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3493F" w14:textId="77777777" w:rsidR="00055993" w:rsidRPr="00055993" w:rsidRDefault="00055993" w:rsidP="00055993">
      <w:pPr>
        <w:spacing w:after="0" w:line="240" w:lineRule="auto"/>
        <w:rPr>
          <w:rFonts w:ascii="Calibri" w:hAnsi="Calibri"/>
          <w:i/>
          <w:sz w:val="24"/>
          <w:szCs w:val="24"/>
          <w:lang w:val="en"/>
        </w:rPr>
      </w:pPr>
      <w:bookmarkStart w:id="0" w:name="_GoBack"/>
      <w:bookmarkEnd w:id="0"/>
      <w:r w:rsidRPr="00055993">
        <w:rPr>
          <w:rFonts w:ascii="Calibri" w:hAnsi="Calibri"/>
          <w:sz w:val="24"/>
          <w:szCs w:val="24"/>
        </w:rPr>
        <w:t xml:space="preserve">Manuscript version of article published in </w:t>
      </w:r>
      <w:r w:rsidRPr="00055993">
        <w:rPr>
          <w:rFonts w:ascii="Calibri" w:hAnsi="Calibri"/>
          <w:i/>
          <w:sz w:val="24"/>
          <w:szCs w:val="24"/>
        </w:rPr>
        <w:t xml:space="preserve">British Journal of Social Work, </w:t>
      </w:r>
      <w:r w:rsidRPr="00055993">
        <w:rPr>
          <w:rFonts w:ascii="Calibri" w:hAnsi="Calibri"/>
          <w:sz w:val="24"/>
          <w:szCs w:val="24"/>
        </w:rPr>
        <w:t xml:space="preserve">advanced access, 20 December 2019, </w:t>
      </w:r>
      <w:r w:rsidRPr="00055993">
        <w:rPr>
          <w:rFonts w:ascii="Calibri" w:hAnsi="Calibri"/>
          <w:sz w:val="24"/>
          <w:szCs w:val="24"/>
          <w:lang w:val="en"/>
        </w:rPr>
        <w:t>bcz145,</w:t>
      </w:r>
      <w:r w:rsidRPr="00055993">
        <w:rPr>
          <w:rFonts w:ascii="Calibri" w:hAnsi="Calibri"/>
          <w:i/>
          <w:sz w:val="24"/>
          <w:szCs w:val="24"/>
          <w:lang w:val="en"/>
        </w:rPr>
        <w:t xml:space="preserve"> </w:t>
      </w:r>
      <w:hyperlink r:id="rId7" w:history="1">
        <w:r w:rsidRPr="00055993">
          <w:rPr>
            <w:rFonts w:ascii="Calibri" w:hAnsi="Calibri"/>
            <w:i/>
            <w:color w:val="0000FF" w:themeColor="hyperlink"/>
            <w:sz w:val="24"/>
            <w:szCs w:val="24"/>
            <w:u w:val="single"/>
            <w:lang w:val="en"/>
          </w:rPr>
          <w:t>https://doi.org/10.1093/bjsw/bcz145</w:t>
        </w:r>
      </w:hyperlink>
    </w:p>
    <w:p w14:paraId="2C9DC4DD" w14:textId="77777777" w:rsidR="00055993" w:rsidRPr="00055993" w:rsidRDefault="00055993" w:rsidP="00055993">
      <w:pPr>
        <w:spacing w:after="0" w:line="240" w:lineRule="auto"/>
        <w:rPr>
          <w:rFonts w:ascii="Calibri" w:hAnsi="Calibri"/>
          <w:sz w:val="24"/>
          <w:szCs w:val="24"/>
        </w:rPr>
      </w:pPr>
    </w:p>
    <w:p w14:paraId="3B9616FF" w14:textId="77777777" w:rsidR="00055993" w:rsidRPr="00055993" w:rsidRDefault="00055993" w:rsidP="00055993">
      <w:pPr>
        <w:spacing w:after="0" w:line="240" w:lineRule="auto"/>
        <w:rPr>
          <w:rFonts w:ascii="Calibri" w:hAnsi="Calibri"/>
          <w:sz w:val="24"/>
          <w:szCs w:val="24"/>
        </w:rPr>
      </w:pPr>
    </w:p>
    <w:p w14:paraId="07FCFDC5" w14:textId="77777777" w:rsidR="00055993" w:rsidRPr="00055993" w:rsidRDefault="00055993" w:rsidP="00055993">
      <w:pPr>
        <w:rPr>
          <w:rFonts w:ascii="Arial" w:hAnsi="Arial" w:cs="Arial"/>
          <w:b/>
          <w:sz w:val="24"/>
          <w:szCs w:val="24"/>
        </w:rPr>
      </w:pPr>
      <w:r w:rsidRPr="00055993">
        <w:rPr>
          <w:rFonts w:ascii="Arial" w:hAnsi="Arial" w:cs="Arial"/>
          <w:b/>
          <w:sz w:val="24"/>
          <w:szCs w:val="24"/>
        </w:rPr>
        <w:t>Social workers under the spotlight: An analysis of fitness to practise referrals to the regulatory body in England, 2014-16</w:t>
      </w:r>
    </w:p>
    <w:p w14:paraId="0FA02CD6" w14:textId="77777777" w:rsidR="00055993" w:rsidRPr="00055993" w:rsidRDefault="00055993" w:rsidP="00055993">
      <w:pPr>
        <w:numPr>
          <w:ilvl w:val="0"/>
          <w:numId w:val="11"/>
        </w:numPr>
        <w:contextualSpacing/>
        <w:rPr>
          <w:rFonts w:ascii="Arial" w:hAnsi="Arial" w:cs="Arial"/>
          <w:sz w:val="24"/>
          <w:szCs w:val="24"/>
        </w:rPr>
      </w:pPr>
      <w:r w:rsidRPr="00055993">
        <w:rPr>
          <w:rFonts w:ascii="Arial" w:hAnsi="Arial" w:cs="Arial"/>
          <w:sz w:val="24"/>
          <w:szCs w:val="24"/>
        </w:rPr>
        <w:t>* Sarah Banks, (2) Magda Zasada, (3) Robert Jago, (2) Ann Gallagher, (4) Zubin Austin, (2) Anna van der Gaag</w:t>
      </w:r>
    </w:p>
    <w:p w14:paraId="0EE4BF0C" w14:textId="77777777" w:rsidR="00055993" w:rsidRPr="00055993" w:rsidRDefault="00055993" w:rsidP="00055993">
      <w:pPr>
        <w:rPr>
          <w:rFonts w:ascii="Arial" w:hAnsi="Arial" w:cs="Arial"/>
          <w:sz w:val="24"/>
          <w:szCs w:val="24"/>
        </w:rPr>
      </w:pPr>
    </w:p>
    <w:p w14:paraId="7881F6C3" w14:textId="77777777" w:rsidR="00055993" w:rsidRPr="00055993" w:rsidRDefault="00055993" w:rsidP="00055993">
      <w:pPr>
        <w:numPr>
          <w:ilvl w:val="0"/>
          <w:numId w:val="12"/>
        </w:numPr>
        <w:contextualSpacing/>
        <w:rPr>
          <w:rFonts w:ascii="Arial" w:hAnsi="Arial" w:cs="Arial"/>
          <w:sz w:val="24"/>
          <w:szCs w:val="24"/>
        </w:rPr>
      </w:pPr>
      <w:r w:rsidRPr="00055993">
        <w:rPr>
          <w:rFonts w:ascii="Arial" w:hAnsi="Arial" w:cs="Arial"/>
          <w:sz w:val="24"/>
          <w:szCs w:val="24"/>
        </w:rPr>
        <w:t>Department of Sociology, Durham University, UK</w:t>
      </w:r>
    </w:p>
    <w:p w14:paraId="2CE49B04" w14:textId="77777777" w:rsidR="00055993" w:rsidRPr="00055993" w:rsidRDefault="00055993" w:rsidP="00055993">
      <w:pPr>
        <w:numPr>
          <w:ilvl w:val="0"/>
          <w:numId w:val="12"/>
        </w:numPr>
        <w:contextualSpacing/>
        <w:rPr>
          <w:rFonts w:ascii="Arial" w:hAnsi="Arial" w:cs="Arial"/>
          <w:sz w:val="24"/>
          <w:szCs w:val="24"/>
        </w:rPr>
      </w:pPr>
      <w:r w:rsidRPr="00055993">
        <w:rPr>
          <w:rFonts w:ascii="Arial" w:hAnsi="Arial" w:cs="Arial"/>
          <w:sz w:val="24"/>
          <w:szCs w:val="24"/>
        </w:rPr>
        <w:t xml:space="preserve">School of Health Sciences, University of Surrey, UK </w:t>
      </w:r>
    </w:p>
    <w:p w14:paraId="591BABD0" w14:textId="77777777" w:rsidR="00055993" w:rsidRPr="00055993" w:rsidRDefault="00055993" w:rsidP="00055993">
      <w:pPr>
        <w:numPr>
          <w:ilvl w:val="0"/>
          <w:numId w:val="12"/>
        </w:numPr>
        <w:contextualSpacing/>
        <w:rPr>
          <w:rFonts w:ascii="Arial" w:hAnsi="Arial" w:cs="Arial"/>
          <w:sz w:val="24"/>
          <w:szCs w:val="24"/>
        </w:rPr>
      </w:pPr>
      <w:r w:rsidRPr="00055993">
        <w:rPr>
          <w:rFonts w:ascii="Arial" w:hAnsi="Arial" w:cs="Arial"/>
          <w:sz w:val="24"/>
          <w:szCs w:val="24"/>
        </w:rPr>
        <w:t>Department of Law and Criminology/ Department of Social Work, Royal Holloway, University of London, UK</w:t>
      </w:r>
    </w:p>
    <w:p w14:paraId="159B2FB8" w14:textId="77777777" w:rsidR="00055993" w:rsidRPr="00055993" w:rsidRDefault="00055993" w:rsidP="00055993">
      <w:pPr>
        <w:numPr>
          <w:ilvl w:val="0"/>
          <w:numId w:val="12"/>
        </w:numPr>
        <w:contextualSpacing/>
        <w:rPr>
          <w:rFonts w:ascii="Arial" w:hAnsi="Arial" w:cs="Arial"/>
          <w:sz w:val="24"/>
          <w:szCs w:val="24"/>
        </w:rPr>
      </w:pPr>
      <w:r w:rsidRPr="00055993">
        <w:rPr>
          <w:rFonts w:ascii="Arial" w:hAnsi="Arial" w:cs="Arial"/>
          <w:sz w:val="24"/>
          <w:szCs w:val="24"/>
        </w:rPr>
        <w:t>Institute of Health Policy, Management and Evaluation University of Toronto, Canada</w:t>
      </w:r>
    </w:p>
    <w:p w14:paraId="7D82618F" w14:textId="77777777" w:rsidR="00055993" w:rsidRPr="00055993" w:rsidRDefault="00055993" w:rsidP="00055993">
      <w:pPr>
        <w:rPr>
          <w:rFonts w:ascii="Arial" w:hAnsi="Arial" w:cs="Arial"/>
          <w:sz w:val="24"/>
          <w:szCs w:val="24"/>
        </w:rPr>
      </w:pPr>
    </w:p>
    <w:p w14:paraId="0DE5A23D" w14:textId="77777777" w:rsidR="00055993" w:rsidRPr="00055993" w:rsidRDefault="00055993" w:rsidP="00055993">
      <w:pPr>
        <w:rPr>
          <w:rFonts w:ascii="Arial" w:hAnsi="Arial" w:cs="Arial"/>
          <w:sz w:val="24"/>
          <w:szCs w:val="24"/>
        </w:rPr>
      </w:pPr>
      <w:r w:rsidRPr="00055993">
        <w:rPr>
          <w:rFonts w:ascii="Arial" w:hAnsi="Arial" w:cs="Arial"/>
          <w:sz w:val="24"/>
          <w:szCs w:val="24"/>
        </w:rPr>
        <w:t xml:space="preserve">* Correspondence to be sent to: Professor Sarah Banks, Department of Sociology, 29 Old Elvet, Durham University, DH1 3HN, UK, </w:t>
      </w:r>
      <w:hyperlink r:id="rId8" w:history="1">
        <w:r w:rsidRPr="00055993">
          <w:rPr>
            <w:rFonts w:ascii="Arial" w:hAnsi="Arial" w:cs="Arial"/>
            <w:color w:val="0000FF" w:themeColor="hyperlink"/>
            <w:sz w:val="24"/>
            <w:szCs w:val="24"/>
            <w:u w:val="single"/>
          </w:rPr>
          <w:t>s.j.banks@durham.ac.uk</w:t>
        </w:r>
      </w:hyperlink>
      <w:r w:rsidRPr="00055993">
        <w:rPr>
          <w:rFonts w:ascii="Arial" w:hAnsi="Arial" w:cs="Arial"/>
          <w:sz w:val="24"/>
          <w:szCs w:val="24"/>
          <w:u w:val="single"/>
        </w:rPr>
        <w:t xml:space="preserve"> </w:t>
      </w:r>
      <w:r w:rsidRPr="00055993">
        <w:rPr>
          <w:rFonts w:ascii="Arial" w:hAnsi="Arial" w:cs="Arial"/>
          <w:sz w:val="24"/>
          <w:szCs w:val="24"/>
        </w:rPr>
        <w:t>(corresponding author)</w:t>
      </w:r>
    </w:p>
    <w:p w14:paraId="3D8DB83B" w14:textId="77777777" w:rsidR="00055993" w:rsidRPr="00055993" w:rsidRDefault="00055993" w:rsidP="00055993">
      <w:pPr>
        <w:rPr>
          <w:rFonts w:ascii="Arial" w:hAnsi="Arial" w:cs="Arial"/>
          <w:b/>
          <w:sz w:val="24"/>
          <w:szCs w:val="24"/>
        </w:rPr>
      </w:pPr>
    </w:p>
    <w:p w14:paraId="00E18083" w14:textId="77777777" w:rsidR="00055993" w:rsidRPr="00055993" w:rsidRDefault="00055993" w:rsidP="00055993">
      <w:pPr>
        <w:rPr>
          <w:rFonts w:ascii="Arial" w:hAnsi="Arial" w:cs="Arial"/>
          <w:b/>
          <w:sz w:val="24"/>
          <w:szCs w:val="24"/>
        </w:rPr>
      </w:pPr>
      <w:r w:rsidRPr="00055993">
        <w:rPr>
          <w:rFonts w:ascii="Arial" w:hAnsi="Arial" w:cs="Arial"/>
          <w:b/>
          <w:sz w:val="24"/>
          <w:szCs w:val="24"/>
        </w:rPr>
        <w:t xml:space="preserve">Funding statement </w:t>
      </w:r>
    </w:p>
    <w:p w14:paraId="660BC33B" w14:textId="77777777" w:rsidR="00055993" w:rsidRPr="00055993" w:rsidRDefault="00055993" w:rsidP="00055993">
      <w:pPr>
        <w:rPr>
          <w:rFonts w:ascii="Arial" w:hAnsi="Arial" w:cs="Arial"/>
          <w:sz w:val="24"/>
          <w:szCs w:val="24"/>
        </w:rPr>
      </w:pPr>
      <w:r w:rsidRPr="00055993">
        <w:rPr>
          <w:rFonts w:ascii="Arial" w:hAnsi="Arial" w:cs="Arial"/>
          <w:sz w:val="24"/>
          <w:szCs w:val="24"/>
        </w:rPr>
        <w:t xml:space="preserve">This study was funded by the Health and Care Professions Council (HCPC).   </w:t>
      </w:r>
    </w:p>
    <w:p w14:paraId="6C4D9DA0" w14:textId="77777777" w:rsidR="00055993" w:rsidRPr="00055993" w:rsidRDefault="00055993" w:rsidP="00055993">
      <w:pPr>
        <w:rPr>
          <w:rFonts w:ascii="Arial" w:hAnsi="Arial" w:cs="Arial"/>
          <w:b/>
          <w:sz w:val="24"/>
          <w:szCs w:val="24"/>
        </w:rPr>
      </w:pPr>
      <w:r w:rsidRPr="00055993">
        <w:rPr>
          <w:rFonts w:ascii="Arial" w:hAnsi="Arial" w:cs="Arial"/>
          <w:b/>
          <w:sz w:val="24"/>
          <w:szCs w:val="24"/>
        </w:rPr>
        <w:t>Acknowledgements</w:t>
      </w:r>
    </w:p>
    <w:p w14:paraId="78A4FDB4" w14:textId="77777777" w:rsidR="00055993" w:rsidRPr="00055993" w:rsidRDefault="00055993" w:rsidP="00055993">
      <w:pPr>
        <w:rPr>
          <w:rFonts w:ascii="Arial" w:hAnsi="Arial" w:cs="Arial"/>
          <w:sz w:val="24"/>
          <w:szCs w:val="24"/>
        </w:rPr>
      </w:pPr>
      <w:r w:rsidRPr="00055993">
        <w:rPr>
          <w:rFonts w:ascii="Arial" w:hAnsi="Arial" w:cs="Arial"/>
          <w:sz w:val="24"/>
          <w:szCs w:val="24"/>
        </w:rPr>
        <w:t>We are grateful to HCPC for funding and supporting the research, especially Michael Guthrie, Director of Policy and Standards; members of the Research Advisory Group, including Jane Lindsay, Jon Gabe and John Donaghy; and many others who contributed to the project as a whole.</w:t>
      </w:r>
    </w:p>
    <w:p w14:paraId="3EB27CB5" w14:textId="77777777" w:rsidR="00055993" w:rsidRDefault="00055993">
      <w:pPr>
        <w:rPr>
          <w:rFonts w:ascii="Arial" w:eastAsia="Cambria" w:hAnsi="Arial" w:cs="Arial"/>
          <w:b/>
          <w:sz w:val="28"/>
          <w:szCs w:val="28"/>
        </w:rPr>
      </w:pPr>
      <w:r>
        <w:rPr>
          <w:rFonts w:ascii="Arial" w:eastAsia="Cambria" w:hAnsi="Arial" w:cs="Arial"/>
          <w:b/>
          <w:sz w:val="28"/>
          <w:szCs w:val="28"/>
        </w:rPr>
        <w:br w:type="page"/>
      </w:r>
    </w:p>
    <w:p w14:paraId="762C79E2" w14:textId="7DABB101" w:rsidR="00590979" w:rsidRPr="00194AEC" w:rsidRDefault="00C1114E" w:rsidP="00F134BB">
      <w:pPr>
        <w:spacing w:line="360" w:lineRule="auto"/>
        <w:rPr>
          <w:rFonts w:ascii="Arial" w:eastAsia="Cambria" w:hAnsi="Arial" w:cs="Arial"/>
          <w:b/>
          <w:sz w:val="28"/>
          <w:szCs w:val="28"/>
        </w:rPr>
      </w:pPr>
      <w:r w:rsidRPr="00C1114E">
        <w:rPr>
          <w:rFonts w:ascii="Arial" w:eastAsia="Cambria" w:hAnsi="Arial" w:cs="Arial"/>
          <w:b/>
          <w:sz w:val="28"/>
          <w:szCs w:val="28"/>
        </w:rPr>
        <w:lastRenderedPageBreak/>
        <w:t>Social workers under the spotlight</w:t>
      </w:r>
      <w:r w:rsidR="007E19E1">
        <w:rPr>
          <w:rFonts w:ascii="Arial" w:eastAsia="Cambria" w:hAnsi="Arial" w:cs="Arial"/>
          <w:b/>
          <w:sz w:val="28"/>
          <w:szCs w:val="28"/>
        </w:rPr>
        <w:t xml:space="preserve">: </w:t>
      </w:r>
      <w:r w:rsidR="00590979" w:rsidRPr="00194AEC">
        <w:rPr>
          <w:rFonts w:ascii="Arial" w:eastAsia="Cambria" w:hAnsi="Arial" w:cs="Arial"/>
          <w:b/>
          <w:sz w:val="28"/>
          <w:szCs w:val="28"/>
        </w:rPr>
        <w:t>An</w:t>
      </w:r>
      <w:r w:rsidR="00C47520">
        <w:rPr>
          <w:rFonts w:ascii="Arial" w:eastAsia="Cambria" w:hAnsi="Arial" w:cs="Arial"/>
          <w:b/>
          <w:sz w:val="28"/>
          <w:szCs w:val="28"/>
        </w:rPr>
        <w:t xml:space="preserve"> an</w:t>
      </w:r>
      <w:r w:rsidR="00590979" w:rsidRPr="00194AEC">
        <w:rPr>
          <w:rFonts w:ascii="Arial" w:eastAsia="Cambria" w:hAnsi="Arial" w:cs="Arial"/>
          <w:b/>
          <w:sz w:val="28"/>
          <w:szCs w:val="28"/>
        </w:rPr>
        <w:t xml:space="preserve">alysis of </w:t>
      </w:r>
      <w:r>
        <w:rPr>
          <w:rFonts w:ascii="Arial" w:eastAsia="Cambria" w:hAnsi="Arial" w:cs="Arial"/>
          <w:b/>
          <w:sz w:val="28"/>
          <w:szCs w:val="28"/>
        </w:rPr>
        <w:t>fitness to practise r</w:t>
      </w:r>
      <w:r w:rsidR="00923F2A">
        <w:rPr>
          <w:rFonts w:ascii="Arial" w:eastAsia="Cambria" w:hAnsi="Arial" w:cs="Arial"/>
          <w:b/>
          <w:sz w:val="28"/>
          <w:szCs w:val="28"/>
        </w:rPr>
        <w:t>eferrals</w:t>
      </w:r>
      <w:r w:rsidR="00590979" w:rsidRPr="00194AEC">
        <w:rPr>
          <w:rFonts w:ascii="Arial" w:eastAsia="Cambria" w:hAnsi="Arial" w:cs="Arial"/>
          <w:b/>
          <w:sz w:val="28"/>
          <w:szCs w:val="28"/>
        </w:rPr>
        <w:t xml:space="preserve"> to the regulatory body in England</w:t>
      </w:r>
      <w:r>
        <w:rPr>
          <w:rFonts w:ascii="Arial" w:eastAsia="Cambria" w:hAnsi="Arial" w:cs="Arial"/>
          <w:b/>
          <w:sz w:val="28"/>
          <w:szCs w:val="28"/>
        </w:rPr>
        <w:t xml:space="preserve">, </w:t>
      </w:r>
      <w:r w:rsidR="008E28E2">
        <w:rPr>
          <w:rFonts w:ascii="Arial" w:eastAsia="Cambria" w:hAnsi="Arial" w:cs="Arial"/>
          <w:b/>
          <w:sz w:val="28"/>
          <w:szCs w:val="28"/>
        </w:rPr>
        <w:t>2014-16</w:t>
      </w:r>
    </w:p>
    <w:p w14:paraId="1F376A41" w14:textId="2364BEBA" w:rsidR="00F134BB" w:rsidRPr="00F134BB" w:rsidRDefault="00F134BB" w:rsidP="00F134BB">
      <w:pPr>
        <w:spacing w:line="360" w:lineRule="auto"/>
        <w:rPr>
          <w:rFonts w:ascii="Arial" w:hAnsi="Arial" w:cs="Arial"/>
          <w:b/>
          <w:sz w:val="24"/>
          <w:szCs w:val="24"/>
        </w:rPr>
      </w:pPr>
      <w:r w:rsidRPr="00F134BB">
        <w:rPr>
          <w:rFonts w:ascii="Arial" w:hAnsi="Arial" w:cs="Arial"/>
          <w:b/>
          <w:sz w:val="24"/>
          <w:szCs w:val="24"/>
        </w:rPr>
        <w:t>Abstract</w:t>
      </w:r>
    </w:p>
    <w:p w14:paraId="2BF3FB42" w14:textId="77777777" w:rsidR="00F134BB" w:rsidRPr="00F134BB" w:rsidRDefault="00F134BB" w:rsidP="00F134BB">
      <w:pPr>
        <w:spacing w:line="360" w:lineRule="auto"/>
        <w:rPr>
          <w:rFonts w:ascii="Arial" w:hAnsi="Arial" w:cs="Arial"/>
          <w:sz w:val="24"/>
          <w:szCs w:val="24"/>
        </w:rPr>
      </w:pPr>
      <w:r w:rsidRPr="00F134BB">
        <w:rPr>
          <w:rFonts w:ascii="Arial" w:hAnsi="Arial" w:cs="Arial"/>
          <w:sz w:val="24"/>
          <w:szCs w:val="24"/>
        </w:rPr>
        <w:t xml:space="preserve">This article examines the nature of, and reasons for, the disproportionately high rates of fitness to practice referrals of social workers in England to the Health and Care Professions Council (HCPC), compared with other professions regulated by HCPC during 2014-16. In 2014-15, the rate of referrals for social workers was 1.42% of registrants, compared with an average for the 16 professions regulated by HCPC of 0.66%. </w:t>
      </w:r>
    </w:p>
    <w:p w14:paraId="49FADCEE" w14:textId="77777777" w:rsidR="00F134BB" w:rsidRPr="00F134BB" w:rsidRDefault="00F134BB" w:rsidP="00F134BB">
      <w:pPr>
        <w:spacing w:line="360" w:lineRule="auto"/>
        <w:rPr>
          <w:rFonts w:ascii="Arial" w:hAnsi="Arial" w:cs="Arial"/>
          <w:sz w:val="24"/>
          <w:szCs w:val="24"/>
        </w:rPr>
      </w:pPr>
      <w:r w:rsidRPr="00F134BB">
        <w:rPr>
          <w:rFonts w:ascii="Arial" w:hAnsi="Arial" w:cs="Arial"/>
          <w:sz w:val="24"/>
          <w:szCs w:val="24"/>
        </w:rPr>
        <w:t xml:space="preserve">Drawing on published statistics and unique analysis of a sample of 232 case files undertaken as part of a research project in 2016-17, the article highlights relatively high rates of inappropriate referrals from ‘members of the public’ (mainly service users) particularly in relation to child placements and contact. A detailed picture is offered of the variety of referrals dealt with at each stage of the fitness to practice process (from initial triage to final hearings), with recommendations for how to prevent inappropriate referrals, whilst focusing concern on the most serious cases of incompetence and misconduct.    </w:t>
      </w:r>
    </w:p>
    <w:p w14:paraId="37FA7B04" w14:textId="77777777" w:rsidR="00F134BB" w:rsidRPr="00F134BB" w:rsidRDefault="00F134BB" w:rsidP="00F134BB">
      <w:pPr>
        <w:spacing w:line="360" w:lineRule="auto"/>
        <w:rPr>
          <w:rFonts w:ascii="Arial" w:hAnsi="Arial" w:cs="Arial"/>
          <w:sz w:val="24"/>
          <w:szCs w:val="24"/>
        </w:rPr>
      </w:pPr>
      <w:r w:rsidRPr="00F134BB">
        <w:rPr>
          <w:rFonts w:ascii="Arial" w:hAnsi="Arial" w:cs="Arial"/>
          <w:sz w:val="24"/>
          <w:szCs w:val="24"/>
        </w:rPr>
        <w:t xml:space="preserve">This research is of significance at a time of increasing pressure for social workers, social services and service users under conditions of austerity and managerialism; on-going concerns about standards in social work; and recent changes in social work regulation. </w:t>
      </w:r>
    </w:p>
    <w:p w14:paraId="1F4E1927" w14:textId="6C68CD05" w:rsidR="00F134BB" w:rsidRPr="00F134BB" w:rsidRDefault="00F134BB" w:rsidP="00F134BB">
      <w:pPr>
        <w:spacing w:line="360" w:lineRule="auto"/>
        <w:rPr>
          <w:rFonts w:ascii="Arial" w:hAnsi="Arial" w:cs="Arial"/>
          <w:sz w:val="24"/>
          <w:szCs w:val="24"/>
        </w:rPr>
      </w:pPr>
      <w:r w:rsidRPr="00F134BB">
        <w:rPr>
          <w:rFonts w:ascii="Arial" w:hAnsi="Arial" w:cs="Arial"/>
          <w:b/>
          <w:sz w:val="24"/>
          <w:szCs w:val="24"/>
        </w:rPr>
        <w:t xml:space="preserve">Key words: </w:t>
      </w:r>
      <w:r w:rsidRPr="00F134BB">
        <w:rPr>
          <w:rFonts w:ascii="Arial" w:hAnsi="Arial" w:cs="Arial"/>
          <w:sz w:val="24"/>
          <w:szCs w:val="24"/>
        </w:rPr>
        <w:t>fitness to practise, Health and Care Professions Council</w:t>
      </w:r>
      <w:r w:rsidR="00CA782D">
        <w:rPr>
          <w:rFonts w:ascii="Arial" w:hAnsi="Arial" w:cs="Arial"/>
          <w:sz w:val="24"/>
          <w:szCs w:val="24"/>
        </w:rPr>
        <w:t xml:space="preserve">, </w:t>
      </w:r>
      <w:r w:rsidR="00CA782D" w:rsidRPr="00CA782D">
        <w:rPr>
          <w:rFonts w:ascii="Arial" w:hAnsi="Arial" w:cs="Arial"/>
          <w:sz w:val="24"/>
          <w:szCs w:val="24"/>
        </w:rPr>
        <w:t>professional regulation, social workers</w:t>
      </w:r>
    </w:p>
    <w:p w14:paraId="234CDB9F" w14:textId="77777777" w:rsidR="00590979" w:rsidRPr="00DD5D77" w:rsidRDefault="00590979" w:rsidP="00F134BB">
      <w:pPr>
        <w:spacing w:after="240" w:line="360" w:lineRule="auto"/>
        <w:rPr>
          <w:rFonts w:ascii="Arial" w:eastAsia="Cambria" w:hAnsi="Arial" w:cs="Arial"/>
          <w:b/>
          <w:sz w:val="24"/>
          <w:szCs w:val="24"/>
        </w:rPr>
      </w:pPr>
      <w:r w:rsidRPr="00DD5D77">
        <w:rPr>
          <w:rFonts w:ascii="Arial" w:eastAsia="Cambria" w:hAnsi="Arial" w:cs="Arial"/>
          <w:b/>
          <w:sz w:val="24"/>
          <w:szCs w:val="24"/>
        </w:rPr>
        <w:t xml:space="preserve">Introduction </w:t>
      </w:r>
    </w:p>
    <w:p w14:paraId="56923ACD" w14:textId="13950E91" w:rsidR="00590979" w:rsidRDefault="00590979" w:rsidP="00F134BB">
      <w:pPr>
        <w:spacing w:after="240" w:line="360" w:lineRule="auto"/>
        <w:rPr>
          <w:rFonts w:ascii="Arial" w:eastAsia="Cambria" w:hAnsi="Arial" w:cs="Arial"/>
          <w:sz w:val="24"/>
          <w:szCs w:val="24"/>
        </w:rPr>
      </w:pPr>
      <w:r w:rsidRPr="00A85271">
        <w:rPr>
          <w:rFonts w:ascii="Arial" w:eastAsia="Cambria" w:hAnsi="Arial" w:cs="Arial"/>
          <w:sz w:val="24"/>
          <w:szCs w:val="24"/>
        </w:rPr>
        <w:t>Th</w:t>
      </w:r>
      <w:r>
        <w:rPr>
          <w:rFonts w:ascii="Arial" w:eastAsia="Cambria" w:hAnsi="Arial" w:cs="Arial"/>
          <w:sz w:val="24"/>
          <w:szCs w:val="24"/>
        </w:rPr>
        <w:t>is article is framed between two apparently contradictory concerns. The first is the public concern (most frequently expressed and exaggerated in the media) that social workers are too powerful</w:t>
      </w:r>
      <w:r w:rsidR="001A083C">
        <w:rPr>
          <w:rFonts w:ascii="Arial" w:eastAsia="Cambria" w:hAnsi="Arial" w:cs="Arial"/>
          <w:sz w:val="24"/>
          <w:szCs w:val="24"/>
        </w:rPr>
        <w:t xml:space="preserve">; </w:t>
      </w:r>
      <w:r>
        <w:rPr>
          <w:rFonts w:ascii="Arial" w:eastAsia="Cambria" w:hAnsi="Arial" w:cs="Arial"/>
          <w:sz w:val="24"/>
          <w:szCs w:val="24"/>
        </w:rPr>
        <w:t>can damage people’s lives, especially those of families and children</w:t>
      </w:r>
      <w:r w:rsidR="001A083C">
        <w:rPr>
          <w:rFonts w:ascii="Arial" w:eastAsia="Cambria" w:hAnsi="Arial" w:cs="Arial"/>
          <w:sz w:val="24"/>
          <w:szCs w:val="24"/>
        </w:rPr>
        <w:t xml:space="preserve">; </w:t>
      </w:r>
      <w:r>
        <w:rPr>
          <w:rFonts w:ascii="Arial" w:eastAsia="Cambria" w:hAnsi="Arial" w:cs="Arial"/>
          <w:sz w:val="24"/>
          <w:szCs w:val="24"/>
        </w:rPr>
        <w:t xml:space="preserve">and often lack practical and moral competence </w:t>
      </w:r>
      <w:r>
        <w:rPr>
          <w:rFonts w:ascii="Arial" w:eastAsia="Cambria" w:hAnsi="Arial" w:cs="Arial"/>
          <w:noProof/>
          <w:sz w:val="24"/>
          <w:szCs w:val="24"/>
        </w:rPr>
        <w:t xml:space="preserve">(see, for example, </w:t>
      </w:r>
      <w:r w:rsidRPr="007B5E06">
        <w:rPr>
          <w:rFonts w:ascii="Arial" w:eastAsia="Cambria" w:hAnsi="Arial" w:cs="Arial"/>
          <w:i/>
          <w:noProof/>
          <w:sz w:val="24"/>
          <w:szCs w:val="24"/>
        </w:rPr>
        <w:t>The Telegraph</w:t>
      </w:r>
      <w:r>
        <w:rPr>
          <w:rFonts w:ascii="Arial" w:eastAsia="Cambria" w:hAnsi="Arial" w:cs="Arial"/>
          <w:noProof/>
          <w:sz w:val="24"/>
          <w:szCs w:val="24"/>
        </w:rPr>
        <w:t>, 2009; Kelly, 2013)</w:t>
      </w:r>
      <w:r>
        <w:rPr>
          <w:rFonts w:ascii="Arial" w:eastAsia="Cambria" w:hAnsi="Arial" w:cs="Arial"/>
          <w:sz w:val="24"/>
          <w:szCs w:val="24"/>
        </w:rPr>
        <w:t>. This</w:t>
      </w:r>
      <w:r w:rsidR="00AB64D9">
        <w:rPr>
          <w:rFonts w:ascii="Arial" w:eastAsia="Cambria" w:hAnsi="Arial" w:cs="Arial"/>
          <w:sz w:val="24"/>
          <w:szCs w:val="24"/>
        </w:rPr>
        <w:t xml:space="preserve"> </w:t>
      </w:r>
      <w:r w:rsidR="00497DB1">
        <w:rPr>
          <w:rFonts w:ascii="Arial" w:eastAsia="Cambria" w:hAnsi="Arial" w:cs="Arial"/>
          <w:sz w:val="24"/>
          <w:szCs w:val="24"/>
        </w:rPr>
        <w:t xml:space="preserve">fuels </w:t>
      </w:r>
      <w:r w:rsidR="00302993">
        <w:rPr>
          <w:rFonts w:ascii="Arial" w:eastAsia="Cambria" w:hAnsi="Arial" w:cs="Arial"/>
          <w:sz w:val="24"/>
          <w:szCs w:val="24"/>
        </w:rPr>
        <w:t xml:space="preserve">arguments for strong, </w:t>
      </w:r>
      <w:r w:rsidR="00AB64D9">
        <w:rPr>
          <w:rFonts w:ascii="Arial" w:eastAsia="Cambria" w:hAnsi="Arial" w:cs="Arial"/>
          <w:sz w:val="24"/>
          <w:szCs w:val="24"/>
        </w:rPr>
        <w:t>independent</w:t>
      </w:r>
      <w:r>
        <w:rPr>
          <w:rFonts w:ascii="Arial" w:eastAsia="Cambria" w:hAnsi="Arial" w:cs="Arial"/>
          <w:sz w:val="24"/>
          <w:szCs w:val="24"/>
        </w:rPr>
        <w:t xml:space="preserve"> regulation. The second is the concern within the profession, most visibly expressed </w:t>
      </w:r>
      <w:r>
        <w:rPr>
          <w:rFonts w:ascii="Arial" w:eastAsia="Cambria" w:hAnsi="Arial" w:cs="Arial"/>
          <w:sz w:val="24"/>
          <w:szCs w:val="24"/>
        </w:rPr>
        <w:lastRenderedPageBreak/>
        <w:t xml:space="preserve">by social work academics, that the </w:t>
      </w:r>
      <w:r w:rsidR="001A083C">
        <w:rPr>
          <w:rFonts w:ascii="Arial" w:eastAsia="Cambria" w:hAnsi="Arial" w:cs="Arial"/>
          <w:sz w:val="24"/>
          <w:szCs w:val="24"/>
        </w:rPr>
        <w:t xml:space="preserve">statutory </w:t>
      </w:r>
      <w:r>
        <w:rPr>
          <w:rFonts w:ascii="Arial" w:eastAsia="Cambria" w:hAnsi="Arial" w:cs="Arial"/>
          <w:sz w:val="24"/>
          <w:szCs w:val="24"/>
        </w:rPr>
        <w:t>regulat</w:t>
      </w:r>
      <w:r w:rsidR="001A083C">
        <w:rPr>
          <w:rFonts w:ascii="Arial" w:eastAsia="Cambria" w:hAnsi="Arial" w:cs="Arial"/>
          <w:sz w:val="24"/>
          <w:szCs w:val="24"/>
        </w:rPr>
        <w:t>or</w:t>
      </w:r>
      <w:r w:rsidR="00A03432">
        <w:rPr>
          <w:rFonts w:ascii="Arial" w:eastAsia="Cambria" w:hAnsi="Arial" w:cs="Arial"/>
          <w:sz w:val="24"/>
          <w:szCs w:val="24"/>
        </w:rPr>
        <w:t>y regime</w:t>
      </w:r>
      <w:r w:rsidR="001A083C">
        <w:rPr>
          <w:rFonts w:ascii="Arial" w:eastAsia="Cambria" w:hAnsi="Arial" w:cs="Arial"/>
          <w:sz w:val="24"/>
          <w:szCs w:val="24"/>
        </w:rPr>
        <w:t xml:space="preserve"> </w:t>
      </w:r>
      <w:r>
        <w:rPr>
          <w:rFonts w:ascii="Arial" w:eastAsia="Cambria" w:hAnsi="Arial" w:cs="Arial"/>
          <w:sz w:val="24"/>
          <w:szCs w:val="24"/>
        </w:rPr>
        <w:t>ha</w:t>
      </w:r>
      <w:r w:rsidR="001A083C">
        <w:rPr>
          <w:rFonts w:ascii="Arial" w:eastAsia="Cambria" w:hAnsi="Arial" w:cs="Arial"/>
          <w:sz w:val="24"/>
          <w:szCs w:val="24"/>
        </w:rPr>
        <w:t>s</w:t>
      </w:r>
      <w:r>
        <w:rPr>
          <w:rFonts w:ascii="Arial" w:eastAsia="Cambria" w:hAnsi="Arial" w:cs="Arial"/>
          <w:sz w:val="24"/>
          <w:szCs w:val="24"/>
        </w:rPr>
        <w:t xml:space="preserve"> a tendency to blame organisational failings on individual practitioners, who are ill-equipped to defend themselves against the </w:t>
      </w:r>
      <w:r w:rsidR="00136C6A">
        <w:rPr>
          <w:rFonts w:ascii="Arial" w:eastAsia="Cambria" w:hAnsi="Arial" w:cs="Arial"/>
          <w:sz w:val="24"/>
          <w:szCs w:val="24"/>
        </w:rPr>
        <w:t xml:space="preserve">regulator’s </w:t>
      </w:r>
      <w:r>
        <w:rPr>
          <w:rFonts w:ascii="Arial" w:eastAsia="Cambria" w:hAnsi="Arial" w:cs="Arial"/>
          <w:sz w:val="24"/>
          <w:szCs w:val="24"/>
        </w:rPr>
        <w:t xml:space="preserve">well-resourced legal and bureaucratic machine </w:t>
      </w:r>
      <w:r>
        <w:rPr>
          <w:rFonts w:ascii="Arial" w:eastAsia="Cambria" w:hAnsi="Arial" w:cs="Arial"/>
          <w:noProof/>
          <w:sz w:val="24"/>
          <w:szCs w:val="24"/>
        </w:rPr>
        <w:t>(Furness, 2015; Kirwan and Melaugh, 2015; McLaughlin</w:t>
      </w:r>
      <w:r w:rsidRPr="00DE0710">
        <w:rPr>
          <w:rFonts w:ascii="Arial" w:eastAsia="Cambria" w:hAnsi="Arial" w:cs="Arial"/>
          <w:i/>
          <w:noProof/>
          <w:sz w:val="24"/>
          <w:szCs w:val="24"/>
        </w:rPr>
        <w:t xml:space="preserve"> et al.</w:t>
      </w:r>
      <w:r>
        <w:rPr>
          <w:rFonts w:ascii="Arial" w:eastAsia="Cambria" w:hAnsi="Arial" w:cs="Arial"/>
          <w:noProof/>
          <w:sz w:val="24"/>
          <w:szCs w:val="24"/>
        </w:rPr>
        <w:t>, 2016; Leigh</w:t>
      </w:r>
      <w:r w:rsidRPr="00DE0710">
        <w:rPr>
          <w:rFonts w:ascii="Arial" w:eastAsia="Cambria" w:hAnsi="Arial" w:cs="Arial"/>
          <w:i/>
          <w:noProof/>
          <w:sz w:val="24"/>
          <w:szCs w:val="24"/>
        </w:rPr>
        <w:t xml:space="preserve"> et al.</w:t>
      </w:r>
      <w:r>
        <w:rPr>
          <w:rFonts w:ascii="Arial" w:eastAsia="Cambria" w:hAnsi="Arial" w:cs="Arial"/>
          <w:noProof/>
          <w:sz w:val="24"/>
          <w:szCs w:val="24"/>
        </w:rPr>
        <w:t>, 2017; Worsley</w:t>
      </w:r>
      <w:r w:rsidRPr="00DE0710">
        <w:rPr>
          <w:rFonts w:ascii="Arial" w:eastAsia="Cambria" w:hAnsi="Arial" w:cs="Arial"/>
          <w:i/>
          <w:noProof/>
          <w:sz w:val="24"/>
          <w:szCs w:val="24"/>
        </w:rPr>
        <w:t xml:space="preserve"> et al.</w:t>
      </w:r>
      <w:r>
        <w:rPr>
          <w:rFonts w:ascii="Arial" w:eastAsia="Cambria" w:hAnsi="Arial" w:cs="Arial"/>
          <w:noProof/>
          <w:sz w:val="24"/>
          <w:szCs w:val="24"/>
        </w:rPr>
        <w:t>, 2017)</w:t>
      </w:r>
      <w:r>
        <w:rPr>
          <w:rFonts w:ascii="Arial" w:eastAsia="Cambria" w:hAnsi="Arial" w:cs="Arial"/>
          <w:sz w:val="24"/>
          <w:szCs w:val="24"/>
        </w:rPr>
        <w:t xml:space="preserve">. </w:t>
      </w:r>
    </w:p>
    <w:p w14:paraId="42E6B4B9" w14:textId="1D150D01" w:rsidR="00590979" w:rsidRDefault="00590979" w:rsidP="00F134BB">
      <w:pPr>
        <w:spacing w:after="240" w:line="360" w:lineRule="auto"/>
        <w:rPr>
          <w:rFonts w:ascii="Arial" w:eastAsia="Cambria" w:hAnsi="Arial" w:cs="Arial"/>
          <w:sz w:val="24"/>
          <w:szCs w:val="24"/>
        </w:rPr>
      </w:pPr>
      <w:r>
        <w:rPr>
          <w:rFonts w:ascii="Arial" w:eastAsia="Cambria" w:hAnsi="Arial" w:cs="Arial"/>
          <w:sz w:val="24"/>
          <w:szCs w:val="24"/>
        </w:rPr>
        <w:t xml:space="preserve">Of course, expressed </w:t>
      </w:r>
      <w:r w:rsidRPr="00DD5D77">
        <w:rPr>
          <w:rFonts w:ascii="Arial" w:eastAsia="Cambria" w:hAnsi="Arial" w:cs="Arial"/>
          <w:sz w:val="24"/>
          <w:szCs w:val="24"/>
        </w:rPr>
        <w:t>in polarised form</w:t>
      </w:r>
      <w:r>
        <w:rPr>
          <w:rFonts w:ascii="Arial" w:eastAsia="Cambria" w:hAnsi="Arial" w:cs="Arial"/>
          <w:sz w:val="24"/>
          <w:szCs w:val="24"/>
        </w:rPr>
        <w:t xml:space="preserve">, this tension does </w:t>
      </w:r>
      <w:r w:rsidR="00017B53">
        <w:rPr>
          <w:rFonts w:ascii="Arial" w:eastAsia="Cambria" w:hAnsi="Arial" w:cs="Arial"/>
          <w:sz w:val="24"/>
          <w:szCs w:val="24"/>
        </w:rPr>
        <w:t xml:space="preserve">little </w:t>
      </w:r>
      <w:r>
        <w:rPr>
          <w:rFonts w:ascii="Arial" w:eastAsia="Cambria" w:hAnsi="Arial" w:cs="Arial"/>
          <w:sz w:val="24"/>
          <w:szCs w:val="24"/>
        </w:rPr>
        <w:t xml:space="preserve">justice to the complexities and nuances of the roles and practice of social workers or the regulatory body. </w:t>
      </w:r>
      <w:r w:rsidR="001A083C">
        <w:rPr>
          <w:rFonts w:ascii="Arial" w:eastAsia="Cambria" w:hAnsi="Arial" w:cs="Arial"/>
          <w:sz w:val="24"/>
          <w:szCs w:val="24"/>
        </w:rPr>
        <w:t>T</w:t>
      </w:r>
      <w:r>
        <w:rPr>
          <w:rFonts w:ascii="Arial" w:eastAsia="Cambria" w:hAnsi="Arial" w:cs="Arial"/>
          <w:sz w:val="24"/>
          <w:szCs w:val="24"/>
        </w:rPr>
        <w:t xml:space="preserve">his article </w:t>
      </w:r>
      <w:r w:rsidR="001A083C">
        <w:rPr>
          <w:rFonts w:ascii="Arial" w:eastAsia="Cambria" w:hAnsi="Arial" w:cs="Arial"/>
          <w:sz w:val="24"/>
          <w:szCs w:val="24"/>
        </w:rPr>
        <w:t>a</w:t>
      </w:r>
      <w:r>
        <w:rPr>
          <w:rFonts w:ascii="Arial" w:eastAsia="Cambria" w:hAnsi="Arial" w:cs="Arial"/>
          <w:sz w:val="24"/>
          <w:szCs w:val="24"/>
        </w:rPr>
        <w:t>i</w:t>
      </w:r>
      <w:r w:rsidR="001A083C">
        <w:rPr>
          <w:rFonts w:ascii="Arial" w:eastAsia="Cambria" w:hAnsi="Arial" w:cs="Arial"/>
          <w:sz w:val="24"/>
          <w:szCs w:val="24"/>
        </w:rPr>
        <w:t>m</w:t>
      </w:r>
      <w:r>
        <w:rPr>
          <w:rFonts w:ascii="Arial" w:eastAsia="Cambria" w:hAnsi="Arial" w:cs="Arial"/>
          <w:sz w:val="24"/>
          <w:szCs w:val="24"/>
        </w:rPr>
        <w:t xml:space="preserve">s to explore in depth the extent and nature of fitness to practise referrals to the regulatory body about social workers in England, considering why and how referrals arise, whether they are justified and </w:t>
      </w:r>
      <w:r w:rsidR="00497DB1">
        <w:rPr>
          <w:rFonts w:ascii="Arial" w:eastAsia="Cambria" w:hAnsi="Arial" w:cs="Arial"/>
          <w:sz w:val="24"/>
          <w:szCs w:val="24"/>
        </w:rPr>
        <w:t xml:space="preserve">any </w:t>
      </w:r>
      <w:r>
        <w:rPr>
          <w:rFonts w:ascii="Arial" w:eastAsia="Cambria" w:hAnsi="Arial" w:cs="Arial"/>
          <w:sz w:val="24"/>
          <w:szCs w:val="24"/>
        </w:rPr>
        <w:t>lessons for the profession and regulator. We draw on empirical research conducted during 2016-17</w:t>
      </w:r>
      <w:r w:rsidR="00017B53">
        <w:rPr>
          <w:rFonts w:ascii="Arial" w:eastAsia="Cambria" w:hAnsi="Arial" w:cs="Arial"/>
          <w:sz w:val="24"/>
          <w:szCs w:val="24"/>
        </w:rPr>
        <w:t>. This</w:t>
      </w:r>
      <w:r>
        <w:rPr>
          <w:rFonts w:ascii="Arial" w:eastAsia="Cambria" w:hAnsi="Arial" w:cs="Arial"/>
          <w:sz w:val="24"/>
          <w:szCs w:val="24"/>
        </w:rPr>
        <w:t xml:space="preserve"> included a unique</w:t>
      </w:r>
      <w:r w:rsidR="001A083C">
        <w:rPr>
          <w:rFonts w:ascii="Arial" w:eastAsia="Cambria" w:hAnsi="Arial" w:cs="Arial"/>
          <w:sz w:val="24"/>
          <w:szCs w:val="24"/>
        </w:rPr>
        <w:t>,</w:t>
      </w:r>
      <w:r>
        <w:rPr>
          <w:rFonts w:ascii="Arial" w:eastAsia="Cambria" w:hAnsi="Arial" w:cs="Arial"/>
          <w:sz w:val="24"/>
          <w:szCs w:val="24"/>
        </w:rPr>
        <w:t xml:space="preserve"> in-depth examination of 232 case files relating to referrals dealt with at all stages of the fitness to practise process during 2014-16 by the Health and Care Professions Council (HCPC), the regulator of social work in England. Hitherto research in this field has relied on published summaries of final hearings and tribunals, which are limited in the details of the cases and decisions made.</w:t>
      </w:r>
    </w:p>
    <w:p w14:paraId="27AFE66A" w14:textId="7E88720F" w:rsidR="00590979" w:rsidRDefault="00590979" w:rsidP="00F134BB">
      <w:pPr>
        <w:spacing w:after="240" w:line="360" w:lineRule="auto"/>
        <w:rPr>
          <w:rFonts w:ascii="Arial" w:eastAsia="Cambria" w:hAnsi="Arial" w:cs="Arial"/>
          <w:sz w:val="24"/>
          <w:szCs w:val="24"/>
        </w:rPr>
      </w:pPr>
      <w:r>
        <w:rPr>
          <w:rFonts w:ascii="Arial" w:eastAsia="Cambria" w:hAnsi="Arial" w:cs="Arial"/>
          <w:sz w:val="24"/>
          <w:szCs w:val="24"/>
        </w:rPr>
        <w:t>Before discussing the research, we briefly consider the background to regulation of social work in the UK and England.</w:t>
      </w:r>
    </w:p>
    <w:p w14:paraId="222735BE" w14:textId="77777777" w:rsidR="00590979" w:rsidRPr="00E448D9" w:rsidRDefault="00590979" w:rsidP="00F134BB">
      <w:pPr>
        <w:spacing w:after="240" w:line="360" w:lineRule="auto"/>
        <w:rPr>
          <w:rFonts w:ascii="Arial" w:eastAsia="Cambria" w:hAnsi="Arial" w:cs="Arial"/>
          <w:b/>
          <w:sz w:val="24"/>
          <w:szCs w:val="24"/>
        </w:rPr>
      </w:pPr>
      <w:r>
        <w:rPr>
          <w:rFonts w:ascii="Arial" w:eastAsia="Cambria" w:hAnsi="Arial" w:cs="Arial"/>
          <w:b/>
          <w:sz w:val="24"/>
          <w:szCs w:val="24"/>
        </w:rPr>
        <w:t>The r</w:t>
      </w:r>
      <w:r w:rsidRPr="00E448D9">
        <w:rPr>
          <w:rFonts w:ascii="Arial" w:eastAsia="Cambria" w:hAnsi="Arial" w:cs="Arial"/>
          <w:b/>
          <w:sz w:val="24"/>
          <w:szCs w:val="24"/>
        </w:rPr>
        <w:t>egulation of social work</w:t>
      </w:r>
    </w:p>
    <w:p w14:paraId="0EC1E043" w14:textId="5F3D7B7A" w:rsidR="00522436" w:rsidRDefault="00590979" w:rsidP="00F134BB">
      <w:pPr>
        <w:spacing w:after="240" w:line="360" w:lineRule="auto"/>
        <w:rPr>
          <w:rFonts w:ascii="Arial" w:eastAsia="Cambria" w:hAnsi="Arial" w:cs="Arial"/>
          <w:sz w:val="24"/>
          <w:szCs w:val="24"/>
        </w:rPr>
      </w:pPr>
      <w:r>
        <w:rPr>
          <w:rFonts w:ascii="Arial" w:eastAsia="Cambria" w:hAnsi="Arial" w:cs="Arial"/>
          <w:sz w:val="24"/>
          <w:szCs w:val="24"/>
        </w:rPr>
        <w:t>The regulation of social workers has been a contentious issue since it was mooted in the early 20</w:t>
      </w:r>
      <w:r w:rsidRPr="00E409A3">
        <w:rPr>
          <w:rFonts w:ascii="Arial" w:eastAsia="Cambria" w:hAnsi="Arial" w:cs="Arial"/>
          <w:sz w:val="24"/>
          <w:szCs w:val="24"/>
          <w:vertAlign w:val="superscript"/>
        </w:rPr>
        <w:t>th</w:t>
      </w:r>
      <w:r>
        <w:rPr>
          <w:rFonts w:ascii="Arial" w:eastAsia="Cambria" w:hAnsi="Arial" w:cs="Arial"/>
          <w:sz w:val="24"/>
          <w:szCs w:val="24"/>
        </w:rPr>
        <w:t xml:space="preserve"> century and re-considered in the 1980s, continu</w:t>
      </w:r>
      <w:r w:rsidR="001A083C">
        <w:rPr>
          <w:rFonts w:ascii="Arial" w:eastAsia="Cambria" w:hAnsi="Arial" w:cs="Arial"/>
          <w:sz w:val="24"/>
          <w:szCs w:val="24"/>
        </w:rPr>
        <w:t>ing</w:t>
      </w:r>
      <w:r>
        <w:rPr>
          <w:rFonts w:ascii="Arial" w:eastAsia="Cambria" w:hAnsi="Arial" w:cs="Arial"/>
          <w:sz w:val="24"/>
          <w:szCs w:val="24"/>
        </w:rPr>
        <w:t xml:space="preserve"> to provoke debate following its implementation with the establishment of Care Councils in the four countries of the UK in 2001 </w:t>
      </w:r>
      <w:r w:rsidRPr="00E409A3">
        <w:rPr>
          <w:rFonts w:ascii="Arial" w:eastAsia="Cambria" w:hAnsi="Arial" w:cs="Arial"/>
          <w:sz w:val="24"/>
          <w:szCs w:val="24"/>
        </w:rPr>
        <w:t>(McLaughlin</w:t>
      </w:r>
      <w:r w:rsidRPr="00E409A3">
        <w:rPr>
          <w:rFonts w:ascii="Arial" w:eastAsia="Cambria" w:hAnsi="Arial" w:cs="Arial"/>
          <w:i/>
          <w:sz w:val="24"/>
          <w:szCs w:val="24"/>
        </w:rPr>
        <w:t xml:space="preserve"> et al.</w:t>
      </w:r>
      <w:r w:rsidRPr="00E409A3">
        <w:rPr>
          <w:rFonts w:ascii="Arial" w:eastAsia="Cambria" w:hAnsi="Arial" w:cs="Arial"/>
          <w:sz w:val="24"/>
          <w:szCs w:val="24"/>
        </w:rPr>
        <w:t>, 2016; P</w:t>
      </w:r>
      <w:r w:rsidR="00A3092B">
        <w:rPr>
          <w:rFonts w:ascii="Arial" w:eastAsia="Cambria" w:hAnsi="Arial" w:cs="Arial"/>
          <w:sz w:val="24"/>
          <w:szCs w:val="24"/>
        </w:rPr>
        <w:t>ark</w:t>
      </w:r>
      <w:r w:rsidRPr="00E409A3">
        <w:rPr>
          <w:rFonts w:ascii="Arial" w:eastAsia="Cambria" w:hAnsi="Arial" w:cs="Arial"/>
          <w:sz w:val="24"/>
          <w:szCs w:val="24"/>
        </w:rPr>
        <w:t>er, 1990)</w:t>
      </w:r>
      <w:r>
        <w:rPr>
          <w:rFonts w:ascii="Arial" w:eastAsia="Cambria" w:hAnsi="Arial" w:cs="Arial"/>
          <w:sz w:val="24"/>
          <w:szCs w:val="24"/>
        </w:rPr>
        <w:t xml:space="preserve">. Debates in the 1990s often centred </w:t>
      </w:r>
      <w:r w:rsidR="00136C6A">
        <w:rPr>
          <w:rFonts w:ascii="Arial" w:eastAsia="Cambria" w:hAnsi="Arial" w:cs="Arial"/>
          <w:sz w:val="24"/>
          <w:szCs w:val="24"/>
        </w:rPr>
        <w:t xml:space="preserve">on </w:t>
      </w:r>
      <w:r w:rsidR="00497DB1">
        <w:rPr>
          <w:rFonts w:ascii="Arial" w:eastAsia="Cambria" w:hAnsi="Arial" w:cs="Arial"/>
          <w:sz w:val="24"/>
          <w:szCs w:val="24"/>
        </w:rPr>
        <w:t xml:space="preserve">the </w:t>
      </w:r>
      <w:r>
        <w:rPr>
          <w:rFonts w:ascii="Arial" w:eastAsia="Cambria" w:hAnsi="Arial" w:cs="Arial"/>
          <w:sz w:val="24"/>
          <w:szCs w:val="24"/>
        </w:rPr>
        <w:t xml:space="preserve">implications </w:t>
      </w:r>
      <w:r w:rsidR="00497DB1">
        <w:rPr>
          <w:rFonts w:ascii="Arial" w:eastAsia="Cambria" w:hAnsi="Arial" w:cs="Arial"/>
          <w:sz w:val="24"/>
          <w:szCs w:val="24"/>
        </w:rPr>
        <w:t xml:space="preserve">of statutory regulation </w:t>
      </w:r>
      <w:r>
        <w:rPr>
          <w:rFonts w:ascii="Arial" w:eastAsia="Cambria" w:hAnsi="Arial" w:cs="Arial"/>
          <w:sz w:val="24"/>
          <w:szCs w:val="24"/>
        </w:rPr>
        <w:t xml:space="preserve">for professional autonomy, while current concerns </w:t>
      </w:r>
      <w:r w:rsidR="00497DB1">
        <w:rPr>
          <w:rFonts w:ascii="Arial" w:eastAsia="Cambria" w:hAnsi="Arial" w:cs="Arial"/>
          <w:sz w:val="24"/>
          <w:szCs w:val="24"/>
        </w:rPr>
        <w:t xml:space="preserve">question whether </w:t>
      </w:r>
      <w:r>
        <w:rPr>
          <w:rFonts w:ascii="Arial" w:eastAsia="Cambria" w:hAnsi="Arial" w:cs="Arial"/>
          <w:sz w:val="24"/>
          <w:szCs w:val="24"/>
        </w:rPr>
        <w:t xml:space="preserve">individual social workers </w:t>
      </w:r>
      <w:r w:rsidR="00497DB1">
        <w:rPr>
          <w:rFonts w:ascii="Arial" w:eastAsia="Cambria" w:hAnsi="Arial" w:cs="Arial"/>
          <w:sz w:val="24"/>
          <w:szCs w:val="24"/>
        </w:rPr>
        <w:t xml:space="preserve">are being </w:t>
      </w:r>
      <w:r>
        <w:rPr>
          <w:rFonts w:ascii="Arial" w:eastAsia="Cambria" w:hAnsi="Arial" w:cs="Arial"/>
          <w:sz w:val="24"/>
          <w:szCs w:val="24"/>
        </w:rPr>
        <w:t>blame</w:t>
      </w:r>
      <w:r w:rsidR="00497DB1">
        <w:rPr>
          <w:rFonts w:ascii="Arial" w:eastAsia="Cambria" w:hAnsi="Arial" w:cs="Arial"/>
          <w:sz w:val="24"/>
          <w:szCs w:val="24"/>
        </w:rPr>
        <w:t>d</w:t>
      </w:r>
      <w:r>
        <w:rPr>
          <w:rFonts w:ascii="Arial" w:eastAsia="Cambria" w:hAnsi="Arial" w:cs="Arial"/>
          <w:sz w:val="24"/>
          <w:szCs w:val="24"/>
        </w:rPr>
        <w:t xml:space="preserve"> for organisational failings in employing agencies. </w:t>
      </w:r>
    </w:p>
    <w:p w14:paraId="55458D91" w14:textId="0F6B96B1" w:rsidR="00590979" w:rsidRDefault="00590979" w:rsidP="00F134BB">
      <w:pPr>
        <w:spacing w:after="240" w:line="360" w:lineRule="auto"/>
        <w:rPr>
          <w:rFonts w:ascii="Arial" w:eastAsia="Cambria" w:hAnsi="Arial" w:cs="Arial"/>
          <w:sz w:val="24"/>
          <w:szCs w:val="24"/>
        </w:rPr>
      </w:pPr>
      <w:r>
        <w:rPr>
          <w:rFonts w:ascii="Arial" w:eastAsia="Cambria" w:hAnsi="Arial" w:cs="Arial"/>
          <w:sz w:val="24"/>
          <w:szCs w:val="24"/>
        </w:rPr>
        <w:t xml:space="preserve">Having finally achieved professional registration, regulation and then protection of title (in 2005), </w:t>
      </w:r>
      <w:r w:rsidR="004C29D7">
        <w:rPr>
          <w:rFonts w:ascii="Arial" w:eastAsia="Cambria" w:hAnsi="Arial" w:cs="Arial"/>
          <w:sz w:val="24"/>
          <w:szCs w:val="24"/>
        </w:rPr>
        <w:t>it surprise</w:t>
      </w:r>
      <w:r w:rsidR="00A118D7">
        <w:rPr>
          <w:rFonts w:ascii="Arial" w:eastAsia="Cambria" w:hAnsi="Arial" w:cs="Arial"/>
          <w:sz w:val="24"/>
          <w:szCs w:val="24"/>
        </w:rPr>
        <w:t>d</w:t>
      </w:r>
      <w:r w:rsidR="004C29D7">
        <w:rPr>
          <w:rFonts w:ascii="Arial" w:eastAsia="Cambria" w:hAnsi="Arial" w:cs="Arial"/>
          <w:sz w:val="24"/>
          <w:szCs w:val="24"/>
        </w:rPr>
        <w:t xml:space="preserve"> many stakeholders </w:t>
      </w:r>
      <w:r>
        <w:rPr>
          <w:rFonts w:ascii="Arial" w:eastAsia="Cambria" w:hAnsi="Arial" w:cs="Arial"/>
          <w:sz w:val="24"/>
          <w:szCs w:val="24"/>
        </w:rPr>
        <w:t xml:space="preserve">when the government announced in 2010 that professional regulation of social workers in England would be transferred from the General Social Care Council (GSSC) to the then Health Professions </w:t>
      </w:r>
      <w:r>
        <w:rPr>
          <w:rFonts w:ascii="Arial" w:eastAsia="Cambria" w:hAnsi="Arial" w:cs="Arial"/>
          <w:sz w:val="24"/>
          <w:szCs w:val="24"/>
        </w:rPr>
        <w:lastRenderedPageBreak/>
        <w:t xml:space="preserve">Council (HPC) </w:t>
      </w:r>
      <w:r>
        <w:rPr>
          <w:rFonts w:ascii="Arial" w:eastAsia="Cambria" w:hAnsi="Arial" w:cs="Arial"/>
          <w:noProof/>
          <w:sz w:val="24"/>
          <w:szCs w:val="24"/>
        </w:rPr>
        <w:t>(Dunning, 2010)</w:t>
      </w:r>
      <w:r>
        <w:rPr>
          <w:rFonts w:ascii="Arial" w:eastAsia="Cambria" w:hAnsi="Arial" w:cs="Arial"/>
          <w:sz w:val="24"/>
          <w:szCs w:val="24"/>
        </w:rPr>
        <w:t xml:space="preserve">. </w:t>
      </w:r>
      <w:r w:rsidR="00923F2A">
        <w:rPr>
          <w:rFonts w:ascii="Arial" w:eastAsia="Cambria" w:hAnsi="Arial" w:cs="Arial"/>
          <w:sz w:val="24"/>
          <w:szCs w:val="24"/>
        </w:rPr>
        <w:t>Scot</w:t>
      </w:r>
      <w:r w:rsidR="001A083C">
        <w:rPr>
          <w:rFonts w:ascii="Arial" w:eastAsia="Cambria" w:hAnsi="Arial" w:cs="Arial"/>
          <w:sz w:val="24"/>
          <w:szCs w:val="24"/>
        </w:rPr>
        <w:t>tish</w:t>
      </w:r>
      <w:r w:rsidR="00923F2A">
        <w:rPr>
          <w:rFonts w:ascii="Arial" w:eastAsia="Cambria" w:hAnsi="Arial" w:cs="Arial"/>
          <w:sz w:val="24"/>
          <w:szCs w:val="24"/>
        </w:rPr>
        <w:t>, W</w:t>
      </w:r>
      <w:r w:rsidR="001A083C">
        <w:rPr>
          <w:rFonts w:ascii="Arial" w:eastAsia="Cambria" w:hAnsi="Arial" w:cs="Arial"/>
          <w:sz w:val="24"/>
          <w:szCs w:val="24"/>
        </w:rPr>
        <w:t>elsh</w:t>
      </w:r>
      <w:r w:rsidR="00923F2A">
        <w:rPr>
          <w:rFonts w:ascii="Arial" w:eastAsia="Cambria" w:hAnsi="Arial" w:cs="Arial"/>
          <w:sz w:val="24"/>
          <w:szCs w:val="24"/>
        </w:rPr>
        <w:t xml:space="preserve"> and Northern</w:t>
      </w:r>
      <w:r w:rsidR="00CF1A06">
        <w:rPr>
          <w:rFonts w:ascii="Arial" w:eastAsia="Cambria" w:hAnsi="Arial" w:cs="Arial"/>
          <w:sz w:val="24"/>
          <w:szCs w:val="24"/>
        </w:rPr>
        <w:t xml:space="preserve"> Ir</w:t>
      </w:r>
      <w:r w:rsidR="001A083C">
        <w:rPr>
          <w:rFonts w:ascii="Arial" w:eastAsia="Cambria" w:hAnsi="Arial" w:cs="Arial"/>
          <w:sz w:val="24"/>
          <w:szCs w:val="24"/>
        </w:rPr>
        <w:t xml:space="preserve">ish </w:t>
      </w:r>
      <w:r w:rsidR="00923F2A">
        <w:rPr>
          <w:rFonts w:ascii="Arial" w:eastAsia="Cambria" w:hAnsi="Arial" w:cs="Arial"/>
          <w:sz w:val="24"/>
          <w:szCs w:val="24"/>
        </w:rPr>
        <w:t>Care Councils</w:t>
      </w:r>
      <w:r w:rsidR="001A083C">
        <w:rPr>
          <w:rFonts w:ascii="Arial" w:eastAsia="Cambria" w:hAnsi="Arial" w:cs="Arial"/>
          <w:sz w:val="24"/>
          <w:szCs w:val="24"/>
        </w:rPr>
        <w:t xml:space="preserve"> </w:t>
      </w:r>
      <w:r w:rsidR="00CF1A06">
        <w:rPr>
          <w:rFonts w:ascii="Arial" w:eastAsia="Cambria" w:hAnsi="Arial" w:cs="Arial"/>
          <w:sz w:val="24"/>
          <w:szCs w:val="24"/>
        </w:rPr>
        <w:t>remained unchanged.</w:t>
      </w:r>
      <w:r w:rsidR="00302993">
        <w:rPr>
          <w:rFonts w:ascii="Arial" w:eastAsia="Cambria" w:hAnsi="Arial" w:cs="Arial"/>
          <w:sz w:val="24"/>
          <w:szCs w:val="24"/>
        </w:rPr>
        <w:t xml:space="preserve"> </w:t>
      </w:r>
      <w:r w:rsidR="00302993" w:rsidRPr="00302993">
        <w:rPr>
          <w:rFonts w:ascii="Arial" w:eastAsia="Cambria" w:hAnsi="Arial" w:cs="Arial"/>
          <w:sz w:val="24"/>
          <w:szCs w:val="24"/>
        </w:rPr>
        <w:t xml:space="preserve">This </w:t>
      </w:r>
      <w:r w:rsidR="00522436">
        <w:rPr>
          <w:rFonts w:ascii="Arial" w:eastAsia="Cambria" w:hAnsi="Arial" w:cs="Arial"/>
          <w:sz w:val="24"/>
          <w:szCs w:val="24"/>
        </w:rPr>
        <w:t xml:space="preserve">decision </w:t>
      </w:r>
      <w:r w:rsidR="00302993" w:rsidRPr="00302993">
        <w:rPr>
          <w:rFonts w:ascii="Arial" w:eastAsia="Cambria" w:hAnsi="Arial" w:cs="Arial"/>
          <w:sz w:val="24"/>
          <w:szCs w:val="24"/>
        </w:rPr>
        <w:t>f</w:t>
      </w:r>
      <w:r w:rsidR="001A083C">
        <w:rPr>
          <w:rFonts w:ascii="Arial" w:eastAsia="Cambria" w:hAnsi="Arial" w:cs="Arial"/>
          <w:sz w:val="24"/>
          <w:szCs w:val="24"/>
        </w:rPr>
        <w:t>ollow</w:t>
      </w:r>
      <w:r w:rsidR="00A118D7">
        <w:rPr>
          <w:rFonts w:ascii="Arial" w:eastAsia="Cambria" w:hAnsi="Arial" w:cs="Arial"/>
          <w:sz w:val="24"/>
          <w:szCs w:val="24"/>
        </w:rPr>
        <w:t>ed</w:t>
      </w:r>
      <w:r w:rsidR="00302993" w:rsidRPr="00302993">
        <w:rPr>
          <w:rFonts w:ascii="Arial" w:eastAsia="Cambria" w:hAnsi="Arial" w:cs="Arial"/>
          <w:sz w:val="24"/>
          <w:szCs w:val="24"/>
        </w:rPr>
        <w:t xml:space="preserve"> </w:t>
      </w:r>
      <w:r w:rsidR="00302993">
        <w:rPr>
          <w:rFonts w:ascii="Arial" w:eastAsia="Cambria" w:hAnsi="Arial" w:cs="Arial"/>
          <w:sz w:val="24"/>
          <w:szCs w:val="24"/>
        </w:rPr>
        <w:t>a</w:t>
      </w:r>
      <w:r w:rsidR="00302993" w:rsidRPr="00302993">
        <w:rPr>
          <w:rFonts w:ascii="Arial" w:eastAsia="Cambria" w:hAnsi="Arial" w:cs="Arial"/>
          <w:sz w:val="24"/>
          <w:szCs w:val="24"/>
        </w:rPr>
        <w:t xml:space="preserve"> review of ‘arms</w:t>
      </w:r>
      <w:r w:rsidR="00522436">
        <w:rPr>
          <w:rFonts w:ascii="Arial" w:eastAsia="Cambria" w:hAnsi="Arial" w:cs="Arial"/>
          <w:sz w:val="24"/>
          <w:szCs w:val="24"/>
        </w:rPr>
        <w:t>-</w:t>
      </w:r>
      <w:r w:rsidR="00302993" w:rsidRPr="00302993">
        <w:rPr>
          <w:rFonts w:ascii="Arial" w:eastAsia="Cambria" w:hAnsi="Arial" w:cs="Arial"/>
          <w:sz w:val="24"/>
          <w:szCs w:val="24"/>
        </w:rPr>
        <w:t xml:space="preserve">length’ </w:t>
      </w:r>
      <w:r w:rsidR="00136C6A" w:rsidRPr="00136C6A">
        <w:rPr>
          <w:rFonts w:ascii="Arial" w:eastAsia="Cambria" w:hAnsi="Arial" w:cs="Arial"/>
          <w:sz w:val="24"/>
          <w:szCs w:val="24"/>
        </w:rPr>
        <w:t xml:space="preserve">government-funded </w:t>
      </w:r>
      <w:r w:rsidR="00302993" w:rsidRPr="00302993">
        <w:rPr>
          <w:rFonts w:ascii="Arial" w:eastAsia="Cambria" w:hAnsi="Arial" w:cs="Arial"/>
          <w:sz w:val="24"/>
          <w:szCs w:val="24"/>
        </w:rPr>
        <w:t>bodies</w:t>
      </w:r>
      <w:r w:rsidR="001A083C">
        <w:rPr>
          <w:rFonts w:ascii="Arial" w:eastAsia="Cambria" w:hAnsi="Arial" w:cs="Arial"/>
          <w:sz w:val="24"/>
          <w:szCs w:val="24"/>
        </w:rPr>
        <w:t xml:space="preserve"> </w:t>
      </w:r>
      <w:r w:rsidR="008B760E">
        <w:rPr>
          <w:rFonts w:ascii="Arial" w:eastAsia="Cambria" w:hAnsi="Arial" w:cs="Arial"/>
          <w:sz w:val="24"/>
          <w:szCs w:val="24"/>
        </w:rPr>
        <w:t>(</w:t>
      </w:r>
      <w:r w:rsidR="00946FB2">
        <w:rPr>
          <w:rFonts w:ascii="Arial" w:eastAsia="Cambria" w:hAnsi="Arial" w:cs="Arial"/>
          <w:sz w:val="24"/>
          <w:szCs w:val="24"/>
        </w:rPr>
        <w:t>DH, 2010</w:t>
      </w:r>
      <w:r w:rsidR="008B760E">
        <w:rPr>
          <w:rFonts w:ascii="Arial" w:eastAsia="Cambria" w:hAnsi="Arial" w:cs="Arial"/>
          <w:sz w:val="24"/>
          <w:szCs w:val="24"/>
        </w:rPr>
        <w:t>)</w:t>
      </w:r>
      <w:r w:rsidR="00302993" w:rsidRPr="00302993">
        <w:rPr>
          <w:rFonts w:ascii="Arial" w:eastAsia="Cambria" w:hAnsi="Arial" w:cs="Arial"/>
          <w:sz w:val="24"/>
          <w:szCs w:val="24"/>
        </w:rPr>
        <w:t>.</w:t>
      </w:r>
      <w:r w:rsidR="00302993">
        <w:rPr>
          <w:rFonts w:ascii="Arial" w:eastAsia="Cambria" w:hAnsi="Arial" w:cs="Arial"/>
          <w:sz w:val="24"/>
          <w:szCs w:val="24"/>
        </w:rPr>
        <w:t xml:space="preserve"> </w:t>
      </w:r>
      <w:r>
        <w:rPr>
          <w:rFonts w:ascii="Arial" w:eastAsia="Cambria" w:hAnsi="Arial" w:cs="Arial"/>
          <w:sz w:val="24"/>
          <w:szCs w:val="24"/>
        </w:rPr>
        <w:t>HP</w:t>
      </w:r>
      <w:r w:rsidR="001A083C">
        <w:rPr>
          <w:rFonts w:ascii="Arial" w:eastAsia="Cambria" w:hAnsi="Arial" w:cs="Arial"/>
          <w:sz w:val="24"/>
          <w:szCs w:val="24"/>
        </w:rPr>
        <w:t>C</w:t>
      </w:r>
      <w:r>
        <w:rPr>
          <w:rFonts w:ascii="Arial" w:eastAsia="Cambria" w:hAnsi="Arial" w:cs="Arial"/>
          <w:sz w:val="24"/>
          <w:szCs w:val="24"/>
        </w:rPr>
        <w:t xml:space="preserve"> was independent of government, fund</w:t>
      </w:r>
      <w:r w:rsidR="001A083C">
        <w:rPr>
          <w:rFonts w:ascii="Arial" w:eastAsia="Cambria" w:hAnsi="Arial" w:cs="Arial"/>
          <w:sz w:val="24"/>
          <w:szCs w:val="24"/>
        </w:rPr>
        <w:t>ed</w:t>
      </w:r>
      <w:r>
        <w:rPr>
          <w:rFonts w:ascii="Arial" w:eastAsia="Cambria" w:hAnsi="Arial" w:cs="Arial"/>
          <w:sz w:val="24"/>
          <w:szCs w:val="24"/>
        </w:rPr>
        <w:t xml:space="preserve"> through fees charged to registrants. It had a well-developed system for regulating 15 smaller</w:t>
      </w:r>
      <w:r w:rsidR="002724A5">
        <w:rPr>
          <w:rFonts w:ascii="Arial" w:eastAsia="Cambria" w:hAnsi="Arial" w:cs="Arial"/>
          <w:sz w:val="24"/>
          <w:szCs w:val="24"/>
        </w:rPr>
        <w:t>,</w:t>
      </w:r>
      <w:r>
        <w:rPr>
          <w:rFonts w:ascii="Arial" w:eastAsia="Cambria" w:hAnsi="Arial" w:cs="Arial"/>
          <w:sz w:val="24"/>
          <w:szCs w:val="24"/>
        </w:rPr>
        <w:t xml:space="preserve"> </w:t>
      </w:r>
      <w:r w:rsidR="004C29D7">
        <w:rPr>
          <w:rFonts w:ascii="Arial" w:eastAsia="Cambria" w:hAnsi="Arial" w:cs="Arial"/>
          <w:sz w:val="24"/>
          <w:szCs w:val="24"/>
        </w:rPr>
        <w:t xml:space="preserve">mainly </w:t>
      </w:r>
      <w:r>
        <w:rPr>
          <w:rFonts w:ascii="Arial" w:eastAsia="Cambria" w:hAnsi="Arial" w:cs="Arial"/>
          <w:sz w:val="24"/>
          <w:szCs w:val="24"/>
        </w:rPr>
        <w:t>health-related professions</w:t>
      </w:r>
      <w:r w:rsidR="00302993">
        <w:rPr>
          <w:rFonts w:ascii="Arial" w:eastAsia="Cambria" w:hAnsi="Arial" w:cs="Arial"/>
          <w:sz w:val="24"/>
          <w:szCs w:val="24"/>
        </w:rPr>
        <w:t xml:space="preserve"> (from </w:t>
      </w:r>
      <w:r w:rsidR="00946FB2">
        <w:rPr>
          <w:rFonts w:ascii="Arial" w:eastAsia="Cambria" w:hAnsi="Arial" w:cs="Arial"/>
          <w:sz w:val="24"/>
          <w:szCs w:val="24"/>
        </w:rPr>
        <w:t xml:space="preserve">physiotherapists </w:t>
      </w:r>
      <w:r w:rsidR="00302993">
        <w:rPr>
          <w:rFonts w:ascii="Arial" w:eastAsia="Cambria" w:hAnsi="Arial" w:cs="Arial"/>
          <w:sz w:val="24"/>
          <w:szCs w:val="24"/>
        </w:rPr>
        <w:t>to radiographers)</w:t>
      </w:r>
      <w:r>
        <w:rPr>
          <w:rFonts w:ascii="Arial" w:eastAsia="Cambria" w:hAnsi="Arial" w:cs="Arial"/>
          <w:sz w:val="24"/>
          <w:szCs w:val="24"/>
        </w:rPr>
        <w:t>, based on</w:t>
      </w:r>
      <w:r w:rsidR="003657F2">
        <w:rPr>
          <w:rFonts w:ascii="Arial" w:eastAsia="Cambria" w:hAnsi="Arial" w:cs="Arial"/>
          <w:sz w:val="24"/>
          <w:szCs w:val="24"/>
        </w:rPr>
        <w:t xml:space="preserve"> standard</w:t>
      </w:r>
      <w:r w:rsidR="00A118D7">
        <w:rPr>
          <w:rFonts w:ascii="Arial" w:eastAsia="Cambria" w:hAnsi="Arial" w:cs="Arial"/>
          <w:sz w:val="24"/>
          <w:szCs w:val="24"/>
        </w:rPr>
        <w:t>-</w:t>
      </w:r>
      <w:r w:rsidR="003657F2">
        <w:rPr>
          <w:rFonts w:ascii="Arial" w:eastAsia="Cambria" w:hAnsi="Arial" w:cs="Arial"/>
          <w:sz w:val="24"/>
          <w:szCs w:val="24"/>
        </w:rPr>
        <w:t>setting, accreditation of education and</w:t>
      </w:r>
      <w:r>
        <w:rPr>
          <w:rFonts w:ascii="Arial" w:eastAsia="Cambria" w:hAnsi="Arial" w:cs="Arial"/>
          <w:sz w:val="24"/>
          <w:szCs w:val="24"/>
        </w:rPr>
        <w:t xml:space="preserve"> assessing registrants’ fitness to practise</w:t>
      </w:r>
      <w:r w:rsidR="003657F2">
        <w:rPr>
          <w:rFonts w:ascii="Arial" w:eastAsia="Cambria" w:hAnsi="Arial" w:cs="Arial"/>
          <w:sz w:val="24"/>
          <w:szCs w:val="24"/>
        </w:rPr>
        <w:t xml:space="preserve"> against agreed standards</w:t>
      </w:r>
      <w:r w:rsidR="00302993">
        <w:rPr>
          <w:rFonts w:ascii="Arial" w:eastAsia="Cambria" w:hAnsi="Arial" w:cs="Arial"/>
          <w:noProof/>
          <w:sz w:val="24"/>
          <w:szCs w:val="24"/>
        </w:rPr>
        <w:t xml:space="preserve"> </w:t>
      </w:r>
      <w:r w:rsidR="008B760E">
        <w:rPr>
          <w:rFonts w:ascii="Arial" w:eastAsia="Cambria" w:hAnsi="Arial" w:cs="Arial"/>
          <w:noProof/>
          <w:sz w:val="24"/>
          <w:szCs w:val="24"/>
        </w:rPr>
        <w:t>of conduct as well as</w:t>
      </w:r>
      <w:r w:rsidR="00B76AF2">
        <w:rPr>
          <w:rFonts w:ascii="Arial" w:eastAsia="Cambria" w:hAnsi="Arial" w:cs="Arial"/>
          <w:noProof/>
          <w:sz w:val="24"/>
          <w:szCs w:val="24"/>
        </w:rPr>
        <w:t xml:space="preserve"> competence </w:t>
      </w:r>
      <w:r>
        <w:rPr>
          <w:rFonts w:ascii="Arial" w:eastAsia="Cambria" w:hAnsi="Arial" w:cs="Arial"/>
          <w:noProof/>
          <w:sz w:val="24"/>
          <w:szCs w:val="24"/>
        </w:rPr>
        <w:t>(Cromarty, 2016, p. 24)</w:t>
      </w:r>
      <w:r>
        <w:rPr>
          <w:rFonts w:ascii="Arial" w:eastAsia="Cambria" w:hAnsi="Arial" w:cs="Arial"/>
          <w:sz w:val="24"/>
          <w:szCs w:val="24"/>
        </w:rPr>
        <w:t xml:space="preserve">. </w:t>
      </w:r>
      <w:r w:rsidR="004A4857">
        <w:rPr>
          <w:rFonts w:ascii="Arial" w:eastAsia="Cambria" w:hAnsi="Arial" w:cs="Arial"/>
          <w:sz w:val="24"/>
          <w:szCs w:val="24"/>
        </w:rPr>
        <w:t>In contrast, GSCC regulate</w:t>
      </w:r>
      <w:r w:rsidR="00A118D7">
        <w:rPr>
          <w:rFonts w:ascii="Arial" w:eastAsia="Cambria" w:hAnsi="Arial" w:cs="Arial"/>
          <w:sz w:val="24"/>
          <w:szCs w:val="24"/>
        </w:rPr>
        <w:t>d</w:t>
      </w:r>
      <w:r w:rsidR="004A4857">
        <w:rPr>
          <w:rFonts w:ascii="Arial" w:eastAsia="Cambria" w:hAnsi="Arial" w:cs="Arial"/>
          <w:sz w:val="24"/>
          <w:szCs w:val="24"/>
        </w:rPr>
        <w:t xml:space="preserve"> </w:t>
      </w:r>
      <w:r w:rsidR="00A118D7">
        <w:rPr>
          <w:rFonts w:ascii="Arial" w:eastAsia="Cambria" w:hAnsi="Arial" w:cs="Arial"/>
          <w:sz w:val="24"/>
          <w:szCs w:val="24"/>
        </w:rPr>
        <w:t xml:space="preserve">only </w:t>
      </w:r>
      <w:r w:rsidR="004A4857">
        <w:rPr>
          <w:rFonts w:ascii="Arial" w:eastAsia="Cambria" w:hAnsi="Arial" w:cs="Arial"/>
          <w:sz w:val="24"/>
          <w:szCs w:val="24"/>
        </w:rPr>
        <w:t>against standards of conduct (DH, 20</w:t>
      </w:r>
      <w:r w:rsidR="00F03B46">
        <w:rPr>
          <w:rFonts w:ascii="Arial" w:eastAsia="Cambria" w:hAnsi="Arial" w:cs="Arial"/>
          <w:sz w:val="24"/>
          <w:szCs w:val="24"/>
        </w:rPr>
        <w:t xml:space="preserve">10). </w:t>
      </w:r>
    </w:p>
    <w:p w14:paraId="6854E1D1" w14:textId="118F9C29" w:rsidR="00590979" w:rsidRDefault="00590979" w:rsidP="00F134BB">
      <w:pPr>
        <w:spacing w:after="240" w:line="360" w:lineRule="auto"/>
        <w:rPr>
          <w:rFonts w:ascii="Arial" w:eastAsia="Cambria" w:hAnsi="Arial" w:cs="Arial"/>
          <w:sz w:val="24"/>
          <w:szCs w:val="24"/>
        </w:rPr>
      </w:pPr>
      <w:r>
        <w:rPr>
          <w:rFonts w:ascii="Arial" w:eastAsia="Cambria" w:hAnsi="Arial" w:cs="Arial"/>
          <w:sz w:val="24"/>
          <w:szCs w:val="24"/>
        </w:rPr>
        <w:t xml:space="preserve">The influx of social work registrants </w:t>
      </w:r>
      <w:r w:rsidRPr="00CF7D2A">
        <w:rPr>
          <w:rFonts w:ascii="Arial" w:eastAsia="Cambria" w:hAnsi="Arial" w:cs="Arial"/>
          <w:sz w:val="24"/>
          <w:szCs w:val="24"/>
        </w:rPr>
        <w:t>in 2012</w:t>
      </w:r>
      <w:r w:rsidR="00A274D7">
        <w:rPr>
          <w:rFonts w:ascii="Arial" w:eastAsia="Cambria" w:hAnsi="Arial" w:cs="Arial"/>
          <w:sz w:val="24"/>
          <w:szCs w:val="24"/>
        </w:rPr>
        <w:t xml:space="preserve"> </w:t>
      </w:r>
      <w:r>
        <w:rPr>
          <w:rFonts w:ascii="Arial" w:eastAsia="Cambria" w:hAnsi="Arial" w:cs="Arial"/>
          <w:sz w:val="24"/>
          <w:szCs w:val="24"/>
        </w:rPr>
        <w:t xml:space="preserve">into the re-named Health and Care Professions Council more than doubled referrals in 2013-14, with social work accounting for 1085 of </w:t>
      </w:r>
      <w:r w:rsidR="00497DB1">
        <w:rPr>
          <w:rFonts w:ascii="Arial" w:eastAsia="Cambria" w:hAnsi="Arial" w:cs="Arial"/>
          <w:sz w:val="24"/>
          <w:szCs w:val="24"/>
        </w:rPr>
        <w:t>the</w:t>
      </w:r>
      <w:r>
        <w:rPr>
          <w:rFonts w:ascii="Arial" w:eastAsia="Cambria" w:hAnsi="Arial" w:cs="Arial"/>
          <w:sz w:val="24"/>
          <w:szCs w:val="24"/>
        </w:rPr>
        <w:t xml:space="preserve"> total of 2069. Social workers were </w:t>
      </w:r>
      <w:r w:rsidR="00892D85">
        <w:rPr>
          <w:rFonts w:ascii="Arial" w:eastAsia="Cambria" w:hAnsi="Arial" w:cs="Arial"/>
          <w:sz w:val="24"/>
          <w:szCs w:val="24"/>
        </w:rPr>
        <w:t>held to account</w:t>
      </w:r>
      <w:r>
        <w:rPr>
          <w:rFonts w:ascii="Arial" w:eastAsia="Cambria" w:hAnsi="Arial" w:cs="Arial"/>
          <w:sz w:val="24"/>
          <w:szCs w:val="24"/>
        </w:rPr>
        <w:t xml:space="preserve"> against generic standards of conduct, performance and ethics applicable to all 16 professions</w:t>
      </w:r>
      <w:r w:rsidR="00CF30C6">
        <w:rPr>
          <w:rFonts w:ascii="Arial" w:eastAsia="Cambria" w:hAnsi="Arial" w:cs="Arial"/>
          <w:sz w:val="24"/>
          <w:szCs w:val="24"/>
        </w:rPr>
        <w:t xml:space="preserve"> </w:t>
      </w:r>
      <w:r>
        <w:rPr>
          <w:rFonts w:ascii="Arial" w:eastAsia="Cambria" w:hAnsi="Arial" w:cs="Arial"/>
          <w:noProof/>
          <w:sz w:val="24"/>
          <w:szCs w:val="24"/>
        </w:rPr>
        <w:t>(HCPC, 2012)</w:t>
      </w:r>
      <w:r w:rsidR="00A274D7">
        <w:rPr>
          <w:rFonts w:ascii="Arial" w:eastAsia="Cambria" w:hAnsi="Arial" w:cs="Arial"/>
          <w:noProof/>
          <w:sz w:val="24"/>
          <w:szCs w:val="24"/>
        </w:rPr>
        <w:t>,</w:t>
      </w:r>
      <w:r w:rsidR="004C29D7">
        <w:rPr>
          <w:rFonts w:ascii="Arial" w:eastAsia="Cambria" w:hAnsi="Arial" w:cs="Arial"/>
          <w:noProof/>
          <w:sz w:val="24"/>
          <w:szCs w:val="24"/>
        </w:rPr>
        <w:t xml:space="preserve"> and profession</w:t>
      </w:r>
      <w:r w:rsidR="00497DB1">
        <w:rPr>
          <w:rFonts w:ascii="Arial" w:eastAsia="Cambria" w:hAnsi="Arial" w:cs="Arial"/>
          <w:noProof/>
          <w:sz w:val="24"/>
          <w:szCs w:val="24"/>
        </w:rPr>
        <w:t>-</w:t>
      </w:r>
      <w:r>
        <w:rPr>
          <w:rFonts w:ascii="Arial" w:eastAsia="Cambria" w:hAnsi="Arial" w:cs="Arial"/>
          <w:sz w:val="24"/>
          <w:szCs w:val="24"/>
        </w:rPr>
        <w:t>specific standards of proficiency</w:t>
      </w:r>
      <w:r w:rsidR="00CC75BC">
        <w:rPr>
          <w:rFonts w:ascii="Arial" w:eastAsia="Cambria" w:hAnsi="Arial" w:cs="Arial"/>
          <w:sz w:val="24"/>
          <w:szCs w:val="24"/>
        </w:rPr>
        <w:t xml:space="preserve"> </w:t>
      </w:r>
      <w:r w:rsidR="00CC75BC" w:rsidRPr="00CC75BC">
        <w:rPr>
          <w:rFonts w:ascii="Arial" w:eastAsia="Cambria" w:hAnsi="Arial" w:cs="Arial"/>
          <w:sz w:val="24"/>
          <w:szCs w:val="24"/>
        </w:rPr>
        <w:t>(HCPC, 2017)</w:t>
      </w:r>
      <w:r w:rsidR="00CC75BC">
        <w:rPr>
          <w:rFonts w:ascii="Arial" w:eastAsia="Cambria" w:hAnsi="Arial" w:cs="Arial"/>
          <w:sz w:val="24"/>
          <w:szCs w:val="24"/>
        </w:rPr>
        <w:t>. The latter</w:t>
      </w:r>
      <w:r w:rsidR="000D4112">
        <w:rPr>
          <w:rFonts w:ascii="Arial" w:eastAsia="Cambria" w:hAnsi="Arial" w:cs="Arial"/>
          <w:sz w:val="24"/>
          <w:szCs w:val="24"/>
        </w:rPr>
        <w:t xml:space="preserve"> were co-produced with a working group </w:t>
      </w:r>
      <w:r w:rsidR="0086514E">
        <w:rPr>
          <w:rFonts w:ascii="Arial" w:eastAsia="Cambria" w:hAnsi="Arial" w:cs="Arial"/>
          <w:sz w:val="24"/>
          <w:szCs w:val="24"/>
        </w:rPr>
        <w:t xml:space="preserve">drawn from </w:t>
      </w:r>
      <w:r w:rsidR="0068358E">
        <w:rPr>
          <w:rFonts w:ascii="Arial" w:eastAsia="Cambria" w:hAnsi="Arial" w:cs="Arial"/>
          <w:sz w:val="24"/>
          <w:szCs w:val="24"/>
        </w:rPr>
        <w:t xml:space="preserve">child and adult social work </w:t>
      </w:r>
      <w:r w:rsidR="0086514E">
        <w:rPr>
          <w:rFonts w:ascii="Arial" w:eastAsia="Cambria" w:hAnsi="Arial" w:cs="Arial"/>
          <w:sz w:val="24"/>
          <w:szCs w:val="24"/>
        </w:rPr>
        <w:t xml:space="preserve">practice, management, unions </w:t>
      </w:r>
      <w:r w:rsidR="0068358E">
        <w:rPr>
          <w:rFonts w:ascii="Arial" w:eastAsia="Cambria" w:hAnsi="Arial" w:cs="Arial"/>
          <w:sz w:val="24"/>
          <w:szCs w:val="24"/>
        </w:rPr>
        <w:t xml:space="preserve">and </w:t>
      </w:r>
      <w:r w:rsidR="0086514E">
        <w:rPr>
          <w:rFonts w:ascii="Arial" w:eastAsia="Cambria" w:hAnsi="Arial" w:cs="Arial"/>
          <w:sz w:val="24"/>
          <w:szCs w:val="24"/>
        </w:rPr>
        <w:t>academia</w:t>
      </w:r>
      <w:r w:rsidR="0068358E">
        <w:rPr>
          <w:rFonts w:ascii="Arial" w:eastAsia="Cambria" w:hAnsi="Arial" w:cs="Arial"/>
          <w:sz w:val="24"/>
          <w:szCs w:val="24"/>
        </w:rPr>
        <w:t>, and subject to a public consultation</w:t>
      </w:r>
      <w:r w:rsidR="004509A5">
        <w:rPr>
          <w:rFonts w:ascii="Arial" w:eastAsia="Cambria" w:hAnsi="Arial" w:cs="Arial"/>
          <w:sz w:val="24"/>
          <w:szCs w:val="24"/>
        </w:rPr>
        <w:t>. This was the first time social work standards of proficiency (or competence) had been created for all aspects of practice</w:t>
      </w:r>
      <w:r>
        <w:rPr>
          <w:rFonts w:ascii="Arial" w:eastAsia="Cambria" w:hAnsi="Arial" w:cs="Arial"/>
          <w:sz w:val="24"/>
          <w:szCs w:val="24"/>
        </w:rPr>
        <w:t xml:space="preserve">. Some commentators </w:t>
      </w:r>
      <w:r w:rsidR="00A3531C">
        <w:rPr>
          <w:rFonts w:ascii="Arial" w:eastAsia="Cambria" w:hAnsi="Arial" w:cs="Arial"/>
          <w:sz w:val="24"/>
          <w:szCs w:val="24"/>
        </w:rPr>
        <w:t xml:space="preserve">at the time </w:t>
      </w:r>
      <w:r>
        <w:rPr>
          <w:rFonts w:ascii="Arial" w:eastAsia="Cambria" w:hAnsi="Arial" w:cs="Arial"/>
          <w:sz w:val="24"/>
          <w:szCs w:val="24"/>
        </w:rPr>
        <w:t xml:space="preserve">argued that HCPC lacked expertise in, and understanding of, social work, with fitness to practise panels at final hearings only having to comprise one qualified </w:t>
      </w:r>
      <w:r w:rsidR="00480D1C">
        <w:rPr>
          <w:rFonts w:ascii="Arial" w:eastAsia="Cambria" w:hAnsi="Arial" w:cs="Arial"/>
          <w:sz w:val="24"/>
          <w:szCs w:val="24"/>
        </w:rPr>
        <w:t>professional</w:t>
      </w:r>
      <w:r>
        <w:rPr>
          <w:rFonts w:ascii="Arial" w:eastAsia="Cambria" w:hAnsi="Arial" w:cs="Arial"/>
          <w:sz w:val="24"/>
          <w:szCs w:val="24"/>
        </w:rPr>
        <w:t xml:space="preserve"> out of a panel of three</w:t>
      </w:r>
      <w:r w:rsidR="00CC75BC">
        <w:rPr>
          <w:rFonts w:ascii="Arial" w:eastAsia="Cambria" w:hAnsi="Arial" w:cs="Arial"/>
          <w:sz w:val="24"/>
          <w:szCs w:val="24"/>
        </w:rPr>
        <w:t xml:space="preserve"> </w:t>
      </w:r>
      <w:r w:rsidR="00CC75BC" w:rsidRPr="00CC75BC">
        <w:rPr>
          <w:rFonts w:ascii="Arial" w:eastAsia="Cambria" w:hAnsi="Arial" w:cs="Arial"/>
          <w:sz w:val="24"/>
          <w:szCs w:val="24"/>
        </w:rPr>
        <w:t>(McLaughlin et al., 2016, p. 833)</w:t>
      </w:r>
      <w:r w:rsidR="00A51B16">
        <w:rPr>
          <w:rFonts w:ascii="Arial" w:eastAsia="Cambria" w:hAnsi="Arial" w:cs="Arial"/>
          <w:sz w:val="24"/>
          <w:szCs w:val="24"/>
        </w:rPr>
        <w:t xml:space="preserve">, the standard approach adopted for all </w:t>
      </w:r>
      <w:r w:rsidR="00E13354">
        <w:rPr>
          <w:rFonts w:ascii="Arial" w:eastAsia="Cambria" w:hAnsi="Arial" w:cs="Arial"/>
          <w:sz w:val="24"/>
          <w:szCs w:val="24"/>
        </w:rPr>
        <w:t xml:space="preserve">HCPC regulated </w:t>
      </w:r>
      <w:r w:rsidR="00A51B16">
        <w:rPr>
          <w:rFonts w:ascii="Arial" w:eastAsia="Cambria" w:hAnsi="Arial" w:cs="Arial"/>
          <w:sz w:val="24"/>
          <w:szCs w:val="24"/>
        </w:rPr>
        <w:t>professions</w:t>
      </w:r>
      <w:r>
        <w:rPr>
          <w:rFonts w:ascii="Arial" w:eastAsia="Cambria" w:hAnsi="Arial" w:cs="Arial"/>
          <w:sz w:val="24"/>
          <w:szCs w:val="24"/>
        </w:rPr>
        <w:t xml:space="preserve">.  </w:t>
      </w:r>
    </w:p>
    <w:p w14:paraId="1B680F95" w14:textId="6F07B06C" w:rsidR="00590979" w:rsidRDefault="00677674" w:rsidP="00F134BB">
      <w:pPr>
        <w:spacing w:after="240" w:line="360" w:lineRule="auto"/>
        <w:rPr>
          <w:rFonts w:ascii="Arial" w:eastAsia="Cambria" w:hAnsi="Arial" w:cs="Arial"/>
          <w:sz w:val="24"/>
          <w:szCs w:val="24"/>
        </w:rPr>
      </w:pPr>
      <w:r>
        <w:rPr>
          <w:rFonts w:ascii="Arial" w:eastAsia="Cambria" w:hAnsi="Arial" w:cs="Arial"/>
          <w:sz w:val="24"/>
          <w:szCs w:val="24"/>
        </w:rPr>
        <w:t xml:space="preserve">In 2016, the government </w:t>
      </w:r>
      <w:r w:rsidR="001A083C">
        <w:rPr>
          <w:rFonts w:ascii="Arial" w:eastAsia="Cambria" w:hAnsi="Arial" w:cs="Arial"/>
          <w:sz w:val="24"/>
          <w:szCs w:val="24"/>
        </w:rPr>
        <w:t>announce</w:t>
      </w:r>
      <w:r w:rsidR="00D96FA9">
        <w:rPr>
          <w:rFonts w:ascii="Arial" w:eastAsia="Cambria" w:hAnsi="Arial" w:cs="Arial"/>
          <w:sz w:val="24"/>
          <w:szCs w:val="24"/>
        </w:rPr>
        <w:t>d that social workers in E</w:t>
      </w:r>
      <w:r>
        <w:rPr>
          <w:rFonts w:ascii="Arial" w:eastAsia="Cambria" w:hAnsi="Arial" w:cs="Arial"/>
          <w:sz w:val="24"/>
          <w:szCs w:val="24"/>
        </w:rPr>
        <w:t xml:space="preserve">ngland </w:t>
      </w:r>
      <w:r w:rsidR="00777C85">
        <w:rPr>
          <w:rFonts w:ascii="Arial" w:eastAsia="Cambria" w:hAnsi="Arial" w:cs="Arial"/>
          <w:sz w:val="24"/>
          <w:szCs w:val="24"/>
        </w:rPr>
        <w:t xml:space="preserve">would </w:t>
      </w:r>
      <w:r>
        <w:rPr>
          <w:rFonts w:ascii="Arial" w:eastAsia="Cambria" w:hAnsi="Arial" w:cs="Arial"/>
          <w:sz w:val="24"/>
          <w:szCs w:val="24"/>
        </w:rPr>
        <w:t>be regulated by a new</w:t>
      </w:r>
      <w:r w:rsidR="00A51B16">
        <w:rPr>
          <w:rFonts w:ascii="Arial" w:eastAsia="Cambria" w:hAnsi="Arial" w:cs="Arial"/>
          <w:sz w:val="24"/>
          <w:szCs w:val="24"/>
        </w:rPr>
        <w:t xml:space="preserve"> profession</w:t>
      </w:r>
      <w:r w:rsidR="00CC75BC">
        <w:rPr>
          <w:rFonts w:ascii="Arial" w:eastAsia="Cambria" w:hAnsi="Arial" w:cs="Arial"/>
          <w:sz w:val="24"/>
          <w:szCs w:val="24"/>
        </w:rPr>
        <w:t>-</w:t>
      </w:r>
      <w:r w:rsidR="00A51B16">
        <w:rPr>
          <w:rFonts w:ascii="Arial" w:eastAsia="Cambria" w:hAnsi="Arial" w:cs="Arial"/>
          <w:sz w:val="24"/>
          <w:szCs w:val="24"/>
        </w:rPr>
        <w:t>specific</w:t>
      </w:r>
      <w:r w:rsidR="0051191E">
        <w:rPr>
          <w:rFonts w:ascii="Arial" w:eastAsia="Cambria" w:hAnsi="Arial" w:cs="Arial"/>
          <w:sz w:val="24"/>
          <w:szCs w:val="24"/>
        </w:rPr>
        <w:t xml:space="preserve"> </w:t>
      </w:r>
      <w:r>
        <w:rPr>
          <w:rFonts w:ascii="Arial" w:eastAsia="Cambria" w:hAnsi="Arial" w:cs="Arial"/>
          <w:sz w:val="24"/>
          <w:szCs w:val="24"/>
        </w:rPr>
        <w:t>body</w:t>
      </w:r>
      <w:r w:rsidR="0051191E">
        <w:rPr>
          <w:rFonts w:ascii="Arial" w:eastAsia="Cambria" w:hAnsi="Arial" w:cs="Arial"/>
          <w:sz w:val="24"/>
          <w:szCs w:val="24"/>
        </w:rPr>
        <w:t xml:space="preserve">. </w:t>
      </w:r>
      <w:r w:rsidR="002244F1">
        <w:rPr>
          <w:rFonts w:ascii="Arial" w:eastAsia="Cambria" w:hAnsi="Arial" w:cs="Arial"/>
          <w:sz w:val="24"/>
          <w:szCs w:val="24"/>
        </w:rPr>
        <w:t>R</w:t>
      </w:r>
      <w:r w:rsidR="00D96FA9">
        <w:rPr>
          <w:rFonts w:ascii="Arial" w:eastAsia="Cambria" w:hAnsi="Arial" w:cs="Arial"/>
          <w:sz w:val="24"/>
          <w:szCs w:val="24"/>
        </w:rPr>
        <w:t>easons</w:t>
      </w:r>
      <w:r w:rsidR="00A3531C">
        <w:rPr>
          <w:rFonts w:ascii="Arial" w:eastAsia="Cambria" w:hAnsi="Arial" w:cs="Arial"/>
          <w:sz w:val="24"/>
          <w:szCs w:val="24"/>
        </w:rPr>
        <w:t xml:space="preserve"> were</w:t>
      </w:r>
      <w:r w:rsidR="00A913A4">
        <w:rPr>
          <w:rFonts w:ascii="Arial" w:eastAsia="Cambria" w:hAnsi="Arial" w:cs="Arial"/>
          <w:sz w:val="24"/>
          <w:szCs w:val="24"/>
        </w:rPr>
        <w:t xml:space="preserve"> less about </w:t>
      </w:r>
      <w:r w:rsidR="00A913A4" w:rsidRPr="00A913A4">
        <w:rPr>
          <w:rFonts w:ascii="Arial" w:eastAsia="Cambria" w:hAnsi="Arial" w:cs="Arial"/>
          <w:sz w:val="24"/>
          <w:szCs w:val="24"/>
        </w:rPr>
        <w:t>failings on the part of HCPC</w:t>
      </w:r>
      <w:r w:rsidR="00A3531C">
        <w:rPr>
          <w:rFonts w:ascii="Arial" w:eastAsia="Cambria" w:hAnsi="Arial" w:cs="Arial"/>
          <w:sz w:val="24"/>
          <w:szCs w:val="24"/>
        </w:rPr>
        <w:t xml:space="preserve"> as a regulator</w:t>
      </w:r>
      <w:r w:rsidR="00A913A4">
        <w:rPr>
          <w:rFonts w:ascii="Arial" w:eastAsia="Cambria" w:hAnsi="Arial" w:cs="Arial"/>
          <w:sz w:val="24"/>
          <w:szCs w:val="24"/>
        </w:rPr>
        <w:t xml:space="preserve">, and more about </w:t>
      </w:r>
      <w:r w:rsidR="00CC75BC">
        <w:rPr>
          <w:rFonts w:ascii="Arial" w:eastAsia="Cambria" w:hAnsi="Arial" w:cs="Arial"/>
          <w:sz w:val="24"/>
          <w:szCs w:val="24"/>
        </w:rPr>
        <w:t xml:space="preserve">the </w:t>
      </w:r>
      <w:r w:rsidR="00F03B46">
        <w:rPr>
          <w:rFonts w:ascii="Arial" w:eastAsia="Cambria" w:hAnsi="Arial" w:cs="Arial"/>
          <w:sz w:val="24"/>
          <w:szCs w:val="24"/>
        </w:rPr>
        <w:t xml:space="preserve">perceived </w:t>
      </w:r>
      <w:r w:rsidR="00A274D7" w:rsidRPr="00A274D7">
        <w:rPr>
          <w:rFonts w:ascii="Arial" w:eastAsia="Cambria" w:hAnsi="Arial" w:cs="Arial"/>
          <w:sz w:val="24"/>
          <w:szCs w:val="24"/>
        </w:rPr>
        <w:t xml:space="preserve">need for a social work-specific regulatory body to tackle </w:t>
      </w:r>
      <w:r w:rsidR="00777C85">
        <w:rPr>
          <w:rFonts w:ascii="Arial" w:eastAsia="Cambria" w:hAnsi="Arial" w:cs="Arial"/>
          <w:sz w:val="24"/>
          <w:szCs w:val="24"/>
        </w:rPr>
        <w:t xml:space="preserve">on-going </w:t>
      </w:r>
      <w:r w:rsidR="00D96FA9">
        <w:rPr>
          <w:rFonts w:ascii="Arial" w:eastAsia="Cambria" w:hAnsi="Arial" w:cs="Arial"/>
          <w:sz w:val="24"/>
          <w:szCs w:val="24"/>
        </w:rPr>
        <w:t>c</w:t>
      </w:r>
      <w:r w:rsidR="00590979">
        <w:rPr>
          <w:rFonts w:ascii="Arial" w:eastAsia="Cambria" w:hAnsi="Arial" w:cs="Arial"/>
          <w:sz w:val="24"/>
          <w:szCs w:val="24"/>
        </w:rPr>
        <w:t>oncern</w:t>
      </w:r>
      <w:r w:rsidR="00D96FA9">
        <w:rPr>
          <w:rFonts w:ascii="Arial" w:eastAsia="Cambria" w:hAnsi="Arial" w:cs="Arial"/>
          <w:sz w:val="24"/>
          <w:szCs w:val="24"/>
        </w:rPr>
        <w:t>s</w:t>
      </w:r>
      <w:r w:rsidR="00590979">
        <w:rPr>
          <w:rFonts w:ascii="Arial" w:eastAsia="Cambria" w:hAnsi="Arial" w:cs="Arial"/>
          <w:sz w:val="24"/>
          <w:szCs w:val="24"/>
        </w:rPr>
        <w:t xml:space="preserve"> about </w:t>
      </w:r>
      <w:r w:rsidR="00777C85">
        <w:rPr>
          <w:rFonts w:ascii="Arial" w:eastAsia="Cambria" w:hAnsi="Arial" w:cs="Arial"/>
          <w:sz w:val="24"/>
          <w:szCs w:val="24"/>
        </w:rPr>
        <w:t xml:space="preserve">social work </w:t>
      </w:r>
      <w:r w:rsidR="00590979">
        <w:rPr>
          <w:rFonts w:ascii="Arial" w:eastAsia="Cambria" w:hAnsi="Arial" w:cs="Arial"/>
          <w:sz w:val="24"/>
          <w:szCs w:val="24"/>
        </w:rPr>
        <w:t>standards</w:t>
      </w:r>
      <w:r w:rsidR="00777C85">
        <w:rPr>
          <w:rFonts w:ascii="Arial" w:eastAsia="Cambria" w:hAnsi="Arial" w:cs="Arial"/>
          <w:sz w:val="24"/>
          <w:szCs w:val="24"/>
        </w:rPr>
        <w:t xml:space="preserve">, </w:t>
      </w:r>
      <w:r w:rsidR="00590979">
        <w:rPr>
          <w:rFonts w:ascii="Arial" w:eastAsia="Cambria" w:hAnsi="Arial" w:cs="Arial"/>
          <w:sz w:val="24"/>
          <w:szCs w:val="24"/>
        </w:rPr>
        <w:t>public credibility and professional identity</w:t>
      </w:r>
      <w:r w:rsidR="00A274D7">
        <w:rPr>
          <w:rFonts w:ascii="Arial" w:eastAsia="Cambria" w:hAnsi="Arial" w:cs="Arial"/>
          <w:sz w:val="24"/>
          <w:szCs w:val="24"/>
        </w:rPr>
        <w:t xml:space="preserve">. </w:t>
      </w:r>
      <w:r w:rsidR="00777C85">
        <w:rPr>
          <w:rFonts w:ascii="Arial" w:eastAsia="Cambria" w:hAnsi="Arial" w:cs="Arial"/>
          <w:sz w:val="24"/>
          <w:szCs w:val="24"/>
        </w:rPr>
        <w:t>L</w:t>
      </w:r>
      <w:r w:rsidR="00590979">
        <w:rPr>
          <w:rFonts w:ascii="Arial" w:eastAsia="Cambria" w:hAnsi="Arial" w:cs="Arial"/>
          <w:sz w:val="24"/>
          <w:szCs w:val="24"/>
        </w:rPr>
        <w:t xml:space="preserve">essons from </w:t>
      </w:r>
      <w:r w:rsidR="00777C85">
        <w:rPr>
          <w:rFonts w:ascii="Arial" w:eastAsia="Cambria" w:hAnsi="Arial" w:cs="Arial"/>
          <w:sz w:val="24"/>
          <w:szCs w:val="24"/>
        </w:rPr>
        <w:t>our</w:t>
      </w:r>
      <w:r w:rsidR="00590979">
        <w:rPr>
          <w:rFonts w:ascii="Arial" w:eastAsia="Cambria" w:hAnsi="Arial" w:cs="Arial"/>
          <w:sz w:val="24"/>
          <w:szCs w:val="24"/>
        </w:rPr>
        <w:t xml:space="preserve"> research are particularly timely</w:t>
      </w:r>
      <w:r w:rsidR="0051191E">
        <w:rPr>
          <w:rFonts w:ascii="Arial" w:eastAsia="Cambria" w:hAnsi="Arial" w:cs="Arial"/>
          <w:sz w:val="24"/>
          <w:szCs w:val="24"/>
        </w:rPr>
        <w:t>, therefore, as Social Work England,</w:t>
      </w:r>
      <w:r w:rsidR="002244F1">
        <w:rPr>
          <w:rFonts w:ascii="Arial" w:eastAsia="Cambria" w:hAnsi="Arial" w:cs="Arial"/>
          <w:sz w:val="24"/>
          <w:szCs w:val="24"/>
        </w:rPr>
        <w:t xml:space="preserve"> </w:t>
      </w:r>
      <w:r w:rsidR="0051191E">
        <w:rPr>
          <w:rFonts w:ascii="Arial" w:eastAsia="Cambria" w:hAnsi="Arial" w:cs="Arial"/>
          <w:sz w:val="24"/>
          <w:szCs w:val="24"/>
        </w:rPr>
        <w:t xml:space="preserve">the new body, prepares to take over in 2019-20 </w:t>
      </w:r>
      <w:r w:rsidR="0051191E" w:rsidRPr="0051191E">
        <w:rPr>
          <w:rFonts w:ascii="Arial" w:eastAsia="Cambria" w:hAnsi="Arial" w:cs="Arial"/>
          <w:sz w:val="24"/>
          <w:szCs w:val="24"/>
        </w:rPr>
        <w:t xml:space="preserve">(https://socialworkengland.org.uk/).  </w:t>
      </w:r>
      <w:r w:rsidR="0051191E">
        <w:rPr>
          <w:rFonts w:ascii="Arial" w:eastAsia="Cambria" w:hAnsi="Arial" w:cs="Arial"/>
          <w:sz w:val="24"/>
          <w:szCs w:val="24"/>
        </w:rPr>
        <w:t xml:space="preserve"> </w:t>
      </w:r>
      <w:r w:rsidR="00590979">
        <w:rPr>
          <w:rFonts w:ascii="Arial" w:eastAsia="Cambria" w:hAnsi="Arial" w:cs="Arial"/>
          <w:sz w:val="24"/>
          <w:szCs w:val="24"/>
        </w:rPr>
        <w:t xml:space="preserve">                                 </w:t>
      </w:r>
    </w:p>
    <w:p w14:paraId="022A75E3" w14:textId="77777777" w:rsidR="00590979" w:rsidRDefault="00590979" w:rsidP="00F134BB">
      <w:pPr>
        <w:spacing w:after="240" w:line="360" w:lineRule="auto"/>
        <w:rPr>
          <w:rFonts w:ascii="Arial" w:eastAsia="Cambria" w:hAnsi="Arial" w:cs="Arial"/>
          <w:b/>
          <w:sz w:val="24"/>
          <w:szCs w:val="24"/>
        </w:rPr>
      </w:pPr>
      <w:r w:rsidRPr="00301A96">
        <w:rPr>
          <w:rFonts w:ascii="Arial" w:eastAsia="Cambria" w:hAnsi="Arial" w:cs="Arial"/>
          <w:b/>
          <w:sz w:val="24"/>
          <w:szCs w:val="24"/>
        </w:rPr>
        <w:t xml:space="preserve">The </w:t>
      </w:r>
      <w:r>
        <w:rPr>
          <w:rFonts w:ascii="Arial" w:eastAsia="Cambria" w:hAnsi="Arial" w:cs="Arial"/>
          <w:b/>
          <w:sz w:val="24"/>
          <w:szCs w:val="24"/>
        </w:rPr>
        <w:t>fitness to practice process</w:t>
      </w:r>
    </w:p>
    <w:p w14:paraId="31F94621" w14:textId="71E791A9" w:rsidR="00590979" w:rsidRPr="00301A96" w:rsidRDefault="00590979" w:rsidP="00F134BB">
      <w:pPr>
        <w:spacing w:after="240" w:line="360" w:lineRule="auto"/>
        <w:rPr>
          <w:rFonts w:ascii="Arial" w:hAnsi="Arial" w:cs="Arial"/>
          <w:sz w:val="24"/>
          <w:szCs w:val="24"/>
        </w:rPr>
      </w:pPr>
      <w:r w:rsidRPr="00301A96">
        <w:rPr>
          <w:rFonts w:ascii="Arial" w:hAnsi="Arial" w:cs="Arial"/>
          <w:sz w:val="24"/>
          <w:szCs w:val="24"/>
        </w:rPr>
        <w:lastRenderedPageBreak/>
        <w:t>HCPC</w:t>
      </w:r>
      <w:r>
        <w:rPr>
          <w:rFonts w:ascii="Arial" w:hAnsi="Arial" w:cs="Arial"/>
          <w:sz w:val="24"/>
          <w:szCs w:val="24"/>
        </w:rPr>
        <w:t xml:space="preserve"> has four roles in relation to the professions it regulates:</w:t>
      </w:r>
      <w:r w:rsidRPr="00301A96">
        <w:rPr>
          <w:rFonts w:ascii="Arial" w:hAnsi="Arial" w:cs="Arial"/>
          <w:sz w:val="24"/>
          <w:szCs w:val="24"/>
        </w:rPr>
        <w:t xml:space="preserve"> keep</w:t>
      </w:r>
      <w:r w:rsidR="00777C85">
        <w:rPr>
          <w:rFonts w:ascii="Arial" w:hAnsi="Arial" w:cs="Arial"/>
          <w:sz w:val="24"/>
          <w:szCs w:val="24"/>
        </w:rPr>
        <w:t>ing</w:t>
      </w:r>
      <w:r w:rsidRPr="00301A96">
        <w:rPr>
          <w:rFonts w:ascii="Arial" w:hAnsi="Arial" w:cs="Arial"/>
          <w:sz w:val="24"/>
          <w:szCs w:val="24"/>
        </w:rPr>
        <w:t xml:space="preserve"> a register of practitioners who meet the required standards; set</w:t>
      </w:r>
      <w:r w:rsidR="00777C85">
        <w:rPr>
          <w:rFonts w:ascii="Arial" w:hAnsi="Arial" w:cs="Arial"/>
          <w:sz w:val="24"/>
          <w:szCs w:val="24"/>
        </w:rPr>
        <w:t>ting</w:t>
      </w:r>
      <w:r w:rsidRPr="00301A96">
        <w:rPr>
          <w:rFonts w:ascii="Arial" w:hAnsi="Arial" w:cs="Arial"/>
          <w:sz w:val="24"/>
          <w:szCs w:val="24"/>
        </w:rPr>
        <w:t xml:space="preserve"> standards for education and training; approv</w:t>
      </w:r>
      <w:r w:rsidR="00777C85">
        <w:rPr>
          <w:rFonts w:ascii="Arial" w:hAnsi="Arial" w:cs="Arial"/>
          <w:sz w:val="24"/>
          <w:szCs w:val="24"/>
        </w:rPr>
        <w:t>ing</w:t>
      </w:r>
      <w:r w:rsidRPr="00301A96">
        <w:rPr>
          <w:rFonts w:ascii="Arial" w:hAnsi="Arial" w:cs="Arial"/>
          <w:sz w:val="24"/>
          <w:szCs w:val="24"/>
        </w:rPr>
        <w:t xml:space="preserve"> educational programmes that prepare practitioners for registration; and tak</w:t>
      </w:r>
      <w:r w:rsidR="00777C85">
        <w:rPr>
          <w:rFonts w:ascii="Arial" w:hAnsi="Arial" w:cs="Arial"/>
          <w:sz w:val="24"/>
          <w:szCs w:val="24"/>
        </w:rPr>
        <w:t>ing</w:t>
      </w:r>
      <w:r w:rsidRPr="00301A96">
        <w:rPr>
          <w:rFonts w:ascii="Arial" w:hAnsi="Arial" w:cs="Arial"/>
          <w:sz w:val="24"/>
          <w:szCs w:val="24"/>
        </w:rPr>
        <w:t xml:space="preserve"> action when registrants do not meet required standards. </w:t>
      </w:r>
      <w:r w:rsidR="00777C85">
        <w:rPr>
          <w:rFonts w:ascii="Arial" w:hAnsi="Arial" w:cs="Arial"/>
          <w:sz w:val="24"/>
          <w:szCs w:val="24"/>
        </w:rPr>
        <w:t>T</w:t>
      </w:r>
      <w:r>
        <w:rPr>
          <w:rFonts w:ascii="Arial" w:hAnsi="Arial" w:cs="Arial"/>
          <w:sz w:val="24"/>
          <w:szCs w:val="24"/>
        </w:rPr>
        <w:t xml:space="preserve">his last function concerns us here, </w:t>
      </w:r>
      <w:r w:rsidRPr="00301A96">
        <w:rPr>
          <w:rFonts w:ascii="Arial" w:hAnsi="Arial" w:cs="Arial"/>
          <w:sz w:val="24"/>
          <w:szCs w:val="24"/>
        </w:rPr>
        <w:t>requir</w:t>
      </w:r>
      <w:r>
        <w:rPr>
          <w:rFonts w:ascii="Arial" w:hAnsi="Arial" w:cs="Arial"/>
          <w:sz w:val="24"/>
          <w:szCs w:val="24"/>
        </w:rPr>
        <w:t>ing</w:t>
      </w:r>
      <w:r w:rsidRPr="00301A96">
        <w:rPr>
          <w:rFonts w:ascii="Arial" w:hAnsi="Arial" w:cs="Arial"/>
          <w:sz w:val="24"/>
          <w:szCs w:val="24"/>
        </w:rPr>
        <w:t xml:space="preserve"> HCPC to ensure, as far as possible, that registrant</w:t>
      </w:r>
      <w:r w:rsidR="00777C85">
        <w:rPr>
          <w:rFonts w:ascii="Arial" w:hAnsi="Arial" w:cs="Arial"/>
          <w:sz w:val="24"/>
          <w:szCs w:val="24"/>
        </w:rPr>
        <w:t>s</w:t>
      </w:r>
      <w:r w:rsidRPr="00301A96">
        <w:rPr>
          <w:rFonts w:ascii="Arial" w:hAnsi="Arial" w:cs="Arial"/>
          <w:sz w:val="24"/>
          <w:szCs w:val="24"/>
        </w:rPr>
        <w:t xml:space="preserve"> </w:t>
      </w:r>
      <w:r w:rsidR="00777C85">
        <w:rPr>
          <w:rFonts w:ascii="Arial" w:hAnsi="Arial" w:cs="Arial"/>
          <w:sz w:val="24"/>
          <w:szCs w:val="24"/>
        </w:rPr>
        <w:t>are</w:t>
      </w:r>
      <w:r w:rsidRPr="00301A96">
        <w:rPr>
          <w:rFonts w:ascii="Arial" w:hAnsi="Arial" w:cs="Arial"/>
          <w:sz w:val="24"/>
          <w:szCs w:val="24"/>
        </w:rPr>
        <w:t xml:space="preserve"> ‘fit to practise’, that is, they have the necessary knowledge, skills and character to practise safely, effectively and ethically. When a </w:t>
      </w:r>
      <w:r>
        <w:rPr>
          <w:rFonts w:ascii="Arial" w:hAnsi="Arial" w:cs="Arial"/>
          <w:sz w:val="24"/>
          <w:szCs w:val="24"/>
        </w:rPr>
        <w:t xml:space="preserve">registrant </w:t>
      </w:r>
      <w:r w:rsidRPr="00301A96">
        <w:rPr>
          <w:rFonts w:ascii="Arial" w:hAnsi="Arial" w:cs="Arial"/>
          <w:sz w:val="24"/>
          <w:szCs w:val="24"/>
        </w:rPr>
        <w:t xml:space="preserve">is judged </w:t>
      </w:r>
      <w:r>
        <w:rPr>
          <w:rFonts w:ascii="Arial" w:hAnsi="Arial" w:cs="Arial"/>
          <w:sz w:val="24"/>
          <w:szCs w:val="24"/>
        </w:rPr>
        <w:t>not to meet the required standards</w:t>
      </w:r>
      <w:r w:rsidRPr="00301A96">
        <w:rPr>
          <w:rFonts w:ascii="Arial" w:hAnsi="Arial" w:cs="Arial"/>
          <w:sz w:val="24"/>
          <w:szCs w:val="24"/>
        </w:rPr>
        <w:t xml:space="preserve">, then service users, employers, colleagues or others can make a ‘fitness to practise’ referral to HCPC. </w:t>
      </w:r>
      <w:r>
        <w:rPr>
          <w:rFonts w:ascii="Arial" w:hAnsi="Arial" w:cs="Arial"/>
          <w:sz w:val="24"/>
          <w:szCs w:val="24"/>
        </w:rPr>
        <w:t xml:space="preserve">Sometimes these are called </w:t>
      </w:r>
      <w:r w:rsidRPr="00301A96">
        <w:rPr>
          <w:rFonts w:ascii="Arial" w:hAnsi="Arial" w:cs="Arial"/>
          <w:sz w:val="24"/>
          <w:szCs w:val="24"/>
        </w:rPr>
        <w:t xml:space="preserve">‘complaints’, </w:t>
      </w:r>
      <w:r>
        <w:rPr>
          <w:rFonts w:ascii="Arial" w:hAnsi="Arial" w:cs="Arial"/>
          <w:sz w:val="24"/>
          <w:szCs w:val="24"/>
        </w:rPr>
        <w:t xml:space="preserve">however, we will largely use the terms </w:t>
      </w:r>
      <w:r w:rsidRPr="00301A96">
        <w:rPr>
          <w:rFonts w:ascii="Arial" w:hAnsi="Arial" w:cs="Arial"/>
          <w:sz w:val="24"/>
          <w:szCs w:val="24"/>
        </w:rPr>
        <w:t>‘referrals’ or ‘concerns’</w:t>
      </w:r>
      <w:r>
        <w:rPr>
          <w:rFonts w:ascii="Arial" w:hAnsi="Arial" w:cs="Arial"/>
          <w:sz w:val="24"/>
          <w:szCs w:val="24"/>
        </w:rPr>
        <w:t>, following HCPC practice</w:t>
      </w:r>
      <w:r w:rsidRPr="00301A96">
        <w:rPr>
          <w:rFonts w:ascii="Arial" w:hAnsi="Arial" w:cs="Arial"/>
          <w:sz w:val="24"/>
          <w:szCs w:val="24"/>
        </w:rPr>
        <w:t xml:space="preserve">. </w:t>
      </w:r>
      <w:r w:rsidR="00E47F26">
        <w:rPr>
          <w:rFonts w:ascii="Arial" w:hAnsi="Arial" w:cs="Arial"/>
          <w:sz w:val="24"/>
          <w:szCs w:val="24"/>
        </w:rPr>
        <w:t xml:space="preserve">This takes account of the fact that </w:t>
      </w:r>
      <w:r w:rsidRPr="00301A96">
        <w:rPr>
          <w:rFonts w:ascii="Arial" w:hAnsi="Arial" w:cs="Arial"/>
          <w:sz w:val="24"/>
          <w:szCs w:val="24"/>
        </w:rPr>
        <w:t>some practitioners refer themselves to HCPC (for example, if they have committed offence</w:t>
      </w:r>
      <w:r w:rsidR="00777C85">
        <w:rPr>
          <w:rFonts w:ascii="Arial" w:hAnsi="Arial" w:cs="Arial"/>
          <w:sz w:val="24"/>
          <w:szCs w:val="24"/>
        </w:rPr>
        <w:t>s</w:t>
      </w:r>
      <w:r w:rsidRPr="00301A96">
        <w:rPr>
          <w:rFonts w:ascii="Arial" w:hAnsi="Arial" w:cs="Arial"/>
          <w:sz w:val="24"/>
          <w:szCs w:val="24"/>
        </w:rPr>
        <w:t xml:space="preserve"> or believe their employer will not deal with them fairly)</w:t>
      </w:r>
      <w:r w:rsidR="00777C85">
        <w:rPr>
          <w:rFonts w:ascii="Arial" w:hAnsi="Arial" w:cs="Arial"/>
          <w:sz w:val="24"/>
          <w:szCs w:val="24"/>
        </w:rPr>
        <w:t xml:space="preserve"> and</w:t>
      </w:r>
      <w:r w:rsidRPr="00301A96">
        <w:rPr>
          <w:rFonts w:ascii="Arial" w:hAnsi="Arial" w:cs="Arial"/>
          <w:sz w:val="24"/>
          <w:szCs w:val="24"/>
        </w:rPr>
        <w:t xml:space="preserve"> some third party referrals are not properly formulated as complaints</w:t>
      </w:r>
      <w:r w:rsidR="00777C85">
        <w:rPr>
          <w:rFonts w:ascii="Arial" w:hAnsi="Arial" w:cs="Arial"/>
          <w:sz w:val="24"/>
          <w:szCs w:val="24"/>
        </w:rPr>
        <w:t>. H</w:t>
      </w:r>
      <w:r w:rsidRPr="00301A96">
        <w:rPr>
          <w:rFonts w:ascii="Arial" w:hAnsi="Arial" w:cs="Arial"/>
          <w:sz w:val="24"/>
          <w:szCs w:val="24"/>
        </w:rPr>
        <w:t xml:space="preserve">ence </w:t>
      </w:r>
      <w:r w:rsidR="00CF62E6">
        <w:rPr>
          <w:rFonts w:ascii="Arial" w:hAnsi="Arial" w:cs="Arial"/>
          <w:sz w:val="24"/>
          <w:szCs w:val="24"/>
        </w:rPr>
        <w:t xml:space="preserve">the term </w:t>
      </w:r>
      <w:r w:rsidRPr="00301A96">
        <w:rPr>
          <w:rFonts w:ascii="Arial" w:hAnsi="Arial" w:cs="Arial"/>
          <w:sz w:val="24"/>
          <w:szCs w:val="24"/>
        </w:rPr>
        <w:t xml:space="preserve">‘concern’ </w:t>
      </w:r>
      <w:r>
        <w:rPr>
          <w:rFonts w:ascii="Arial" w:hAnsi="Arial" w:cs="Arial"/>
          <w:sz w:val="24"/>
          <w:szCs w:val="24"/>
        </w:rPr>
        <w:t xml:space="preserve">is </w:t>
      </w:r>
      <w:r w:rsidRPr="00301A96">
        <w:rPr>
          <w:rFonts w:ascii="Arial" w:hAnsi="Arial" w:cs="Arial"/>
          <w:sz w:val="24"/>
          <w:szCs w:val="24"/>
        </w:rPr>
        <w:t xml:space="preserve">broader and less judgemental.    </w:t>
      </w:r>
    </w:p>
    <w:p w14:paraId="43043077" w14:textId="5BCBFAFA" w:rsidR="00590979" w:rsidRPr="00301A96" w:rsidRDefault="00777C85" w:rsidP="00F134BB">
      <w:pPr>
        <w:spacing w:after="240" w:line="360" w:lineRule="auto"/>
        <w:rPr>
          <w:rFonts w:ascii="Arial" w:hAnsi="Arial" w:cs="Arial"/>
          <w:sz w:val="24"/>
          <w:szCs w:val="24"/>
        </w:rPr>
      </w:pPr>
      <w:r>
        <w:rPr>
          <w:rFonts w:ascii="Arial" w:hAnsi="Arial" w:cs="Arial"/>
          <w:sz w:val="24"/>
          <w:szCs w:val="24"/>
        </w:rPr>
        <w:t>F</w:t>
      </w:r>
      <w:r w:rsidR="00590979" w:rsidRPr="00301A96">
        <w:rPr>
          <w:rFonts w:ascii="Arial" w:hAnsi="Arial" w:cs="Arial"/>
          <w:sz w:val="24"/>
          <w:szCs w:val="24"/>
        </w:rPr>
        <w:t xml:space="preserve">itness to practise cases </w:t>
      </w:r>
      <w:r w:rsidR="00590979">
        <w:rPr>
          <w:rFonts w:ascii="Arial" w:hAnsi="Arial" w:cs="Arial"/>
          <w:sz w:val="24"/>
          <w:szCs w:val="24"/>
        </w:rPr>
        <w:t xml:space="preserve">dealt with by HCPC </w:t>
      </w:r>
      <w:r w:rsidR="00590979" w:rsidRPr="00301A96">
        <w:rPr>
          <w:rFonts w:ascii="Arial" w:hAnsi="Arial" w:cs="Arial"/>
          <w:sz w:val="24"/>
          <w:szCs w:val="24"/>
        </w:rPr>
        <w:t>relat</w:t>
      </w:r>
      <w:r w:rsidR="00590979">
        <w:rPr>
          <w:rFonts w:ascii="Arial" w:hAnsi="Arial" w:cs="Arial"/>
          <w:sz w:val="24"/>
          <w:szCs w:val="24"/>
        </w:rPr>
        <w:t xml:space="preserve">e </w:t>
      </w:r>
      <w:r w:rsidR="00590979" w:rsidRPr="00301A96">
        <w:rPr>
          <w:rFonts w:ascii="Arial" w:hAnsi="Arial" w:cs="Arial"/>
          <w:sz w:val="24"/>
          <w:szCs w:val="24"/>
        </w:rPr>
        <w:t>to</w:t>
      </w:r>
      <w:r w:rsidR="00590979">
        <w:rPr>
          <w:rFonts w:ascii="Arial" w:hAnsi="Arial" w:cs="Arial"/>
          <w:sz w:val="24"/>
          <w:szCs w:val="24"/>
        </w:rPr>
        <w:t xml:space="preserve"> </w:t>
      </w:r>
      <w:r w:rsidR="002244F1">
        <w:rPr>
          <w:rFonts w:ascii="Arial" w:hAnsi="Arial" w:cs="Arial"/>
          <w:sz w:val="24"/>
          <w:szCs w:val="24"/>
        </w:rPr>
        <w:t>many</w:t>
      </w:r>
      <w:r w:rsidR="00590979">
        <w:rPr>
          <w:rFonts w:ascii="Arial" w:hAnsi="Arial" w:cs="Arial"/>
          <w:sz w:val="24"/>
          <w:szCs w:val="24"/>
        </w:rPr>
        <w:t xml:space="preserve"> concerns</w:t>
      </w:r>
      <w:r w:rsidR="00590979" w:rsidRPr="00301A96">
        <w:rPr>
          <w:rFonts w:ascii="Arial" w:hAnsi="Arial" w:cs="Arial"/>
          <w:sz w:val="24"/>
          <w:szCs w:val="24"/>
        </w:rPr>
        <w:t>,</w:t>
      </w:r>
      <w:r w:rsidR="00590979">
        <w:rPr>
          <w:rFonts w:ascii="Arial" w:hAnsi="Arial" w:cs="Arial"/>
          <w:sz w:val="24"/>
          <w:szCs w:val="24"/>
        </w:rPr>
        <w:t xml:space="preserve"> including</w:t>
      </w:r>
      <w:r w:rsidR="00CF62E6">
        <w:rPr>
          <w:rFonts w:ascii="Arial" w:hAnsi="Arial" w:cs="Arial"/>
          <w:sz w:val="24"/>
          <w:szCs w:val="24"/>
        </w:rPr>
        <w:t>:</w:t>
      </w:r>
      <w:r w:rsidR="00590979">
        <w:rPr>
          <w:rFonts w:ascii="Arial" w:hAnsi="Arial" w:cs="Arial"/>
          <w:sz w:val="24"/>
          <w:szCs w:val="24"/>
        </w:rPr>
        <w:t xml:space="preserve"> </w:t>
      </w:r>
      <w:r w:rsidR="00590979" w:rsidRPr="00301A96">
        <w:rPr>
          <w:rFonts w:ascii="Arial" w:hAnsi="Arial" w:cs="Arial"/>
          <w:sz w:val="24"/>
          <w:szCs w:val="24"/>
        </w:rPr>
        <w:t xml:space="preserve">dishonesty; exploitation </w:t>
      </w:r>
      <w:r w:rsidR="00590979">
        <w:rPr>
          <w:rFonts w:ascii="Arial" w:hAnsi="Arial" w:cs="Arial"/>
          <w:sz w:val="24"/>
          <w:szCs w:val="24"/>
        </w:rPr>
        <w:t xml:space="preserve">and inappropriate relationships with </w:t>
      </w:r>
      <w:r w:rsidR="00590979" w:rsidRPr="00301A96">
        <w:rPr>
          <w:rFonts w:ascii="Arial" w:hAnsi="Arial" w:cs="Arial"/>
          <w:sz w:val="24"/>
          <w:szCs w:val="24"/>
        </w:rPr>
        <w:t xml:space="preserve">service </w:t>
      </w:r>
      <w:r w:rsidR="00590979">
        <w:rPr>
          <w:rFonts w:ascii="Arial" w:hAnsi="Arial" w:cs="Arial"/>
          <w:sz w:val="24"/>
          <w:szCs w:val="24"/>
        </w:rPr>
        <w:t>user</w:t>
      </w:r>
      <w:r w:rsidR="00590979" w:rsidRPr="00301A96">
        <w:rPr>
          <w:rFonts w:ascii="Arial" w:hAnsi="Arial" w:cs="Arial"/>
          <w:sz w:val="24"/>
          <w:szCs w:val="24"/>
        </w:rPr>
        <w:t xml:space="preserve">s; disrespect for rights; causing </w:t>
      </w:r>
      <w:r w:rsidR="003D71DB" w:rsidRPr="00301A96">
        <w:rPr>
          <w:rFonts w:ascii="Arial" w:hAnsi="Arial" w:cs="Arial"/>
          <w:sz w:val="24"/>
          <w:szCs w:val="24"/>
        </w:rPr>
        <w:t>harm; engagement</w:t>
      </w:r>
      <w:r w:rsidR="00590979" w:rsidRPr="00301A96">
        <w:rPr>
          <w:rFonts w:ascii="Arial" w:hAnsi="Arial" w:cs="Arial"/>
          <w:sz w:val="24"/>
          <w:szCs w:val="24"/>
        </w:rPr>
        <w:t xml:space="preserve"> in activities that undermine public confidence in the profession; </w:t>
      </w:r>
      <w:r w:rsidR="007276EA">
        <w:rPr>
          <w:rFonts w:ascii="Arial" w:hAnsi="Arial" w:cs="Arial"/>
          <w:sz w:val="24"/>
          <w:szCs w:val="24"/>
        </w:rPr>
        <w:t>lack of competence</w:t>
      </w:r>
      <w:r>
        <w:rPr>
          <w:rFonts w:ascii="Arial" w:hAnsi="Arial" w:cs="Arial"/>
          <w:sz w:val="24"/>
          <w:szCs w:val="24"/>
        </w:rPr>
        <w:t>;</w:t>
      </w:r>
      <w:r w:rsidR="004336D1">
        <w:rPr>
          <w:rFonts w:ascii="Arial" w:hAnsi="Arial" w:cs="Arial"/>
          <w:sz w:val="24"/>
          <w:szCs w:val="24"/>
        </w:rPr>
        <w:t xml:space="preserve"> and health issues</w:t>
      </w:r>
      <w:r w:rsidR="00590979" w:rsidRPr="00301A96">
        <w:rPr>
          <w:rFonts w:ascii="Arial" w:hAnsi="Arial" w:cs="Arial"/>
          <w:sz w:val="24"/>
          <w:szCs w:val="24"/>
        </w:rPr>
        <w:t>.</w:t>
      </w:r>
      <w:r w:rsidR="00590979">
        <w:rPr>
          <w:rFonts w:ascii="Arial" w:hAnsi="Arial" w:cs="Arial"/>
          <w:sz w:val="24"/>
          <w:szCs w:val="24"/>
        </w:rPr>
        <w:t xml:space="preserve"> C</w:t>
      </w:r>
      <w:r w:rsidR="00590979" w:rsidRPr="00301A96">
        <w:rPr>
          <w:rFonts w:ascii="Arial" w:hAnsi="Arial" w:cs="Arial"/>
          <w:sz w:val="24"/>
          <w:szCs w:val="24"/>
        </w:rPr>
        <w:t xml:space="preserve">riminal offences referred to HCPC include fraud, theft, </w:t>
      </w:r>
      <w:r w:rsidR="00136C6A">
        <w:rPr>
          <w:rFonts w:ascii="Arial" w:hAnsi="Arial" w:cs="Arial"/>
          <w:sz w:val="24"/>
          <w:szCs w:val="24"/>
        </w:rPr>
        <w:t xml:space="preserve">assault, </w:t>
      </w:r>
      <w:r w:rsidR="00590979" w:rsidRPr="00301A96">
        <w:rPr>
          <w:rFonts w:ascii="Arial" w:hAnsi="Arial" w:cs="Arial"/>
          <w:sz w:val="24"/>
          <w:szCs w:val="24"/>
        </w:rPr>
        <w:t>alcohol</w:t>
      </w:r>
      <w:r w:rsidR="00136C6A">
        <w:rPr>
          <w:rFonts w:ascii="Arial" w:hAnsi="Arial" w:cs="Arial"/>
          <w:sz w:val="24"/>
          <w:szCs w:val="24"/>
        </w:rPr>
        <w:t xml:space="preserve">, </w:t>
      </w:r>
      <w:r w:rsidR="00590979" w:rsidRPr="00301A96">
        <w:rPr>
          <w:rFonts w:ascii="Arial" w:hAnsi="Arial" w:cs="Arial"/>
          <w:sz w:val="24"/>
          <w:szCs w:val="24"/>
        </w:rPr>
        <w:t xml:space="preserve">drug </w:t>
      </w:r>
      <w:r w:rsidR="00136C6A">
        <w:rPr>
          <w:rFonts w:ascii="Arial" w:hAnsi="Arial" w:cs="Arial"/>
          <w:sz w:val="24"/>
          <w:szCs w:val="24"/>
        </w:rPr>
        <w:t xml:space="preserve">and sexual </w:t>
      </w:r>
      <w:r w:rsidR="00590979" w:rsidRPr="00301A96">
        <w:rPr>
          <w:rFonts w:ascii="Arial" w:hAnsi="Arial" w:cs="Arial"/>
          <w:sz w:val="24"/>
          <w:szCs w:val="24"/>
        </w:rPr>
        <w:t xml:space="preserve">offences </w:t>
      </w:r>
      <w:r w:rsidR="00590979">
        <w:rPr>
          <w:rFonts w:ascii="Arial" w:hAnsi="Arial" w:cs="Arial"/>
          <w:noProof/>
          <w:sz w:val="24"/>
          <w:szCs w:val="24"/>
        </w:rPr>
        <w:t>(HCPC, 2018)</w:t>
      </w:r>
      <w:r w:rsidR="00590979">
        <w:rPr>
          <w:rFonts w:ascii="Arial" w:hAnsi="Arial" w:cs="Arial"/>
          <w:sz w:val="24"/>
          <w:szCs w:val="24"/>
        </w:rPr>
        <w:t>.</w:t>
      </w:r>
    </w:p>
    <w:p w14:paraId="12C412DC" w14:textId="77777777" w:rsidR="00590979" w:rsidRDefault="00590979" w:rsidP="00F134BB">
      <w:pPr>
        <w:spacing w:after="240" w:line="360" w:lineRule="auto"/>
        <w:rPr>
          <w:rFonts w:ascii="Arial" w:eastAsia="Cambria" w:hAnsi="Arial" w:cs="Arial"/>
          <w:sz w:val="24"/>
          <w:szCs w:val="24"/>
        </w:rPr>
      </w:pPr>
      <w:r w:rsidRPr="000C1177">
        <w:rPr>
          <w:rFonts w:ascii="Arial" w:eastAsia="Cambria" w:hAnsi="Arial" w:cs="Arial"/>
          <w:b/>
          <w:sz w:val="24"/>
          <w:szCs w:val="24"/>
        </w:rPr>
        <w:t xml:space="preserve">Social work </w:t>
      </w:r>
      <w:r>
        <w:rPr>
          <w:rFonts w:ascii="Arial" w:eastAsia="Cambria" w:hAnsi="Arial" w:cs="Arial"/>
          <w:b/>
          <w:sz w:val="24"/>
          <w:szCs w:val="24"/>
        </w:rPr>
        <w:t>referrals compared with other professions</w:t>
      </w:r>
    </w:p>
    <w:p w14:paraId="07143C4B" w14:textId="38FB2D8E" w:rsidR="00590979" w:rsidRPr="008E1060" w:rsidRDefault="00590979" w:rsidP="00F134BB">
      <w:pPr>
        <w:spacing w:after="240" w:line="360" w:lineRule="auto"/>
        <w:rPr>
          <w:rFonts w:ascii="Arial" w:eastAsia="Cambria" w:hAnsi="Arial" w:cs="Arial"/>
          <w:sz w:val="24"/>
          <w:szCs w:val="24"/>
        </w:rPr>
      </w:pPr>
      <w:r w:rsidRPr="008E1060">
        <w:rPr>
          <w:rFonts w:ascii="Arial" w:eastAsia="Cambria" w:hAnsi="Arial" w:cs="Arial"/>
          <w:sz w:val="24"/>
          <w:szCs w:val="24"/>
        </w:rPr>
        <w:t>Of the 16 professions regulated by HCPC</w:t>
      </w:r>
      <w:r w:rsidR="002244F1">
        <w:rPr>
          <w:rFonts w:ascii="Arial" w:eastAsia="Cambria" w:hAnsi="Arial" w:cs="Arial"/>
          <w:sz w:val="24"/>
          <w:szCs w:val="24"/>
        </w:rPr>
        <w:t xml:space="preserve"> </w:t>
      </w:r>
      <w:r w:rsidRPr="008E1060">
        <w:rPr>
          <w:rFonts w:ascii="Arial" w:eastAsia="Cambria" w:hAnsi="Arial" w:cs="Arial"/>
          <w:sz w:val="24"/>
          <w:szCs w:val="24"/>
        </w:rPr>
        <w:t>during 2014-15</w:t>
      </w:r>
      <w:r w:rsidR="00136C6A">
        <w:rPr>
          <w:rFonts w:ascii="Arial" w:eastAsia="Cambria" w:hAnsi="Arial" w:cs="Arial"/>
          <w:sz w:val="24"/>
          <w:szCs w:val="24"/>
        </w:rPr>
        <w:t>,</w:t>
      </w:r>
      <w:r w:rsidRPr="008E1060">
        <w:rPr>
          <w:rFonts w:ascii="Arial" w:eastAsia="Cambria" w:hAnsi="Arial" w:cs="Arial"/>
          <w:sz w:val="24"/>
          <w:szCs w:val="24"/>
        </w:rPr>
        <w:t xml:space="preserve"> social work received the highest rate of fitness to practi</w:t>
      </w:r>
      <w:r>
        <w:rPr>
          <w:rFonts w:ascii="Arial" w:eastAsia="Cambria" w:hAnsi="Arial" w:cs="Arial"/>
          <w:sz w:val="24"/>
          <w:szCs w:val="24"/>
        </w:rPr>
        <w:t>s</w:t>
      </w:r>
      <w:r w:rsidRPr="008E1060">
        <w:rPr>
          <w:rFonts w:ascii="Arial" w:eastAsia="Cambria" w:hAnsi="Arial" w:cs="Arial"/>
          <w:sz w:val="24"/>
          <w:szCs w:val="24"/>
        </w:rPr>
        <w:t xml:space="preserve">e concerns relative to the number of social workers on the register. The rate of referrals was 1.42% compared with an average of 0.66% for all 16 professions </w:t>
      </w:r>
      <w:r w:rsidRPr="008E1060">
        <w:rPr>
          <w:rFonts w:ascii="Arial" w:eastAsia="Cambria" w:hAnsi="Arial" w:cs="Arial"/>
          <w:noProof/>
          <w:sz w:val="24"/>
          <w:szCs w:val="24"/>
        </w:rPr>
        <w:t>(</w:t>
      </w:r>
      <w:r>
        <w:rPr>
          <w:rFonts w:ascii="Arial" w:eastAsia="Cambria" w:hAnsi="Arial" w:cs="Arial"/>
          <w:noProof/>
          <w:sz w:val="24"/>
          <w:szCs w:val="24"/>
        </w:rPr>
        <w:t>HCPC</w:t>
      </w:r>
      <w:r w:rsidRPr="008E1060">
        <w:rPr>
          <w:rFonts w:ascii="Arial" w:eastAsia="Cambria" w:hAnsi="Arial" w:cs="Arial"/>
          <w:noProof/>
          <w:sz w:val="24"/>
          <w:szCs w:val="24"/>
        </w:rPr>
        <w:t>, 2015)</w:t>
      </w:r>
      <w:r w:rsidRPr="008E1060">
        <w:rPr>
          <w:rFonts w:ascii="Arial" w:eastAsia="Cambria" w:hAnsi="Arial" w:cs="Arial"/>
          <w:sz w:val="24"/>
          <w:szCs w:val="24"/>
        </w:rPr>
        <w:t xml:space="preserve">. The second </w:t>
      </w:r>
      <w:r w:rsidR="00777C85">
        <w:rPr>
          <w:rFonts w:ascii="Arial" w:eastAsia="Cambria" w:hAnsi="Arial" w:cs="Arial"/>
          <w:sz w:val="24"/>
          <w:szCs w:val="24"/>
        </w:rPr>
        <w:t>highest rate of referrals</w:t>
      </w:r>
      <w:r w:rsidRPr="008E1060">
        <w:rPr>
          <w:rFonts w:ascii="Arial" w:eastAsia="Cambria" w:hAnsi="Arial" w:cs="Arial"/>
          <w:sz w:val="24"/>
          <w:szCs w:val="24"/>
        </w:rPr>
        <w:t xml:space="preserve"> in 2014-15 was </w:t>
      </w:r>
      <w:r w:rsidR="00777C85">
        <w:rPr>
          <w:rFonts w:ascii="Arial" w:eastAsia="Cambria" w:hAnsi="Arial" w:cs="Arial"/>
          <w:sz w:val="24"/>
          <w:szCs w:val="24"/>
        </w:rPr>
        <w:t xml:space="preserve">for </w:t>
      </w:r>
      <w:r w:rsidRPr="008E1060">
        <w:rPr>
          <w:rFonts w:ascii="Arial" w:eastAsia="Cambria" w:hAnsi="Arial" w:cs="Arial"/>
          <w:sz w:val="24"/>
          <w:szCs w:val="24"/>
        </w:rPr>
        <w:t>paramedic</w:t>
      </w:r>
      <w:r w:rsidR="00777C85">
        <w:rPr>
          <w:rFonts w:ascii="Arial" w:eastAsia="Cambria" w:hAnsi="Arial" w:cs="Arial"/>
          <w:sz w:val="24"/>
          <w:szCs w:val="24"/>
        </w:rPr>
        <w:t xml:space="preserve">s </w:t>
      </w:r>
      <w:r w:rsidRPr="008E1060">
        <w:rPr>
          <w:rFonts w:ascii="Arial" w:eastAsia="Cambria" w:hAnsi="Arial" w:cs="Arial"/>
          <w:sz w:val="24"/>
          <w:szCs w:val="24"/>
        </w:rPr>
        <w:t>at 1.09%. The disproportionately high rate of concerns lodged against social workers and paramedics led HCPC to commission research on this topic in 2016</w:t>
      </w:r>
      <w:r>
        <w:rPr>
          <w:rFonts w:ascii="Arial" w:eastAsia="Cambria" w:hAnsi="Arial" w:cs="Arial"/>
          <w:sz w:val="24"/>
          <w:szCs w:val="24"/>
        </w:rPr>
        <w:t>,</w:t>
      </w:r>
      <w:r w:rsidRPr="008E1060">
        <w:rPr>
          <w:rFonts w:ascii="Arial" w:eastAsia="Cambria" w:hAnsi="Arial" w:cs="Arial"/>
          <w:sz w:val="24"/>
          <w:szCs w:val="24"/>
        </w:rPr>
        <w:t xml:space="preserve"> on which this article draws</w:t>
      </w:r>
      <w:r>
        <w:rPr>
          <w:rFonts w:ascii="Arial" w:eastAsia="Cambria" w:hAnsi="Arial" w:cs="Arial"/>
          <w:sz w:val="24"/>
          <w:szCs w:val="24"/>
        </w:rPr>
        <w:t>.</w:t>
      </w:r>
      <w:r w:rsidR="0051191E">
        <w:rPr>
          <w:rFonts w:ascii="Arial" w:eastAsia="Cambria" w:hAnsi="Arial" w:cs="Arial"/>
          <w:sz w:val="24"/>
          <w:szCs w:val="24"/>
        </w:rPr>
        <w:t xml:space="preserve"> Here w</w:t>
      </w:r>
      <w:r w:rsidRPr="00596B45">
        <w:rPr>
          <w:rFonts w:ascii="Arial" w:eastAsia="Cambria" w:hAnsi="Arial" w:cs="Arial"/>
          <w:sz w:val="24"/>
          <w:szCs w:val="24"/>
        </w:rPr>
        <w:t>e focus specifically on social workers (for details of findings about paramedics see</w:t>
      </w:r>
      <w:r w:rsidR="00C619D9">
        <w:rPr>
          <w:rFonts w:ascii="Arial" w:eastAsia="Cambria" w:hAnsi="Arial" w:cs="Arial"/>
          <w:sz w:val="24"/>
          <w:szCs w:val="24"/>
        </w:rPr>
        <w:t xml:space="preserve"> Gallagher et al.</w:t>
      </w:r>
      <w:r w:rsidR="00F52722">
        <w:rPr>
          <w:rFonts w:ascii="Arial" w:eastAsia="Cambria" w:hAnsi="Arial" w:cs="Arial"/>
          <w:sz w:val="24"/>
          <w:szCs w:val="24"/>
        </w:rPr>
        <w:t>,</w:t>
      </w:r>
      <w:r w:rsidR="00C619D9">
        <w:rPr>
          <w:rFonts w:ascii="Arial" w:eastAsia="Cambria" w:hAnsi="Arial" w:cs="Arial"/>
          <w:sz w:val="24"/>
          <w:szCs w:val="24"/>
        </w:rPr>
        <w:t xml:space="preserve"> 2018; Lucas et al.</w:t>
      </w:r>
      <w:r w:rsidRPr="00596B45">
        <w:rPr>
          <w:rFonts w:ascii="Arial" w:eastAsia="Cambria" w:hAnsi="Arial" w:cs="Arial"/>
          <w:sz w:val="24"/>
          <w:szCs w:val="24"/>
        </w:rPr>
        <w:t xml:space="preserve"> 2019</w:t>
      </w:r>
      <w:r w:rsidR="00C619D9">
        <w:rPr>
          <w:rFonts w:ascii="Arial" w:eastAsia="Cambria" w:hAnsi="Arial" w:cs="Arial"/>
          <w:sz w:val="24"/>
          <w:szCs w:val="24"/>
        </w:rPr>
        <w:t>; van der Gaag et al, 2018</w:t>
      </w:r>
      <w:r w:rsidRPr="00596B45">
        <w:rPr>
          <w:rFonts w:ascii="Arial" w:eastAsia="Cambria" w:hAnsi="Arial" w:cs="Arial"/>
          <w:sz w:val="24"/>
          <w:szCs w:val="24"/>
        </w:rPr>
        <w:t xml:space="preserve">). </w:t>
      </w:r>
    </w:p>
    <w:p w14:paraId="2E59CFD4" w14:textId="14056A4E" w:rsidR="00590979" w:rsidRDefault="00590979" w:rsidP="00F134BB">
      <w:pPr>
        <w:spacing w:after="240" w:line="360" w:lineRule="auto"/>
        <w:rPr>
          <w:rFonts w:ascii="Arial" w:eastAsia="Cambria" w:hAnsi="Arial" w:cs="Arial"/>
          <w:sz w:val="24"/>
          <w:szCs w:val="24"/>
        </w:rPr>
      </w:pPr>
      <w:r w:rsidRPr="008E1060">
        <w:rPr>
          <w:rFonts w:ascii="Arial" w:eastAsia="Cambria" w:hAnsi="Arial" w:cs="Arial"/>
          <w:sz w:val="24"/>
          <w:szCs w:val="24"/>
        </w:rPr>
        <w:lastRenderedPageBreak/>
        <w:t xml:space="preserve">Taken at face value, </w:t>
      </w:r>
      <w:r>
        <w:rPr>
          <w:rFonts w:ascii="Arial" w:eastAsia="Cambria" w:hAnsi="Arial" w:cs="Arial"/>
          <w:sz w:val="24"/>
          <w:szCs w:val="24"/>
        </w:rPr>
        <w:t>one interpretation of the referral rates</w:t>
      </w:r>
      <w:r w:rsidRPr="008E1060">
        <w:rPr>
          <w:rFonts w:ascii="Arial" w:eastAsia="Cambria" w:hAnsi="Arial" w:cs="Arial"/>
          <w:sz w:val="24"/>
          <w:szCs w:val="24"/>
        </w:rPr>
        <w:t xml:space="preserve"> </w:t>
      </w:r>
      <w:r>
        <w:rPr>
          <w:rFonts w:ascii="Arial" w:eastAsia="Cambria" w:hAnsi="Arial" w:cs="Arial"/>
          <w:sz w:val="24"/>
          <w:szCs w:val="24"/>
        </w:rPr>
        <w:t xml:space="preserve">might be </w:t>
      </w:r>
      <w:r w:rsidRPr="008E1060">
        <w:rPr>
          <w:rFonts w:ascii="Arial" w:eastAsia="Cambria" w:hAnsi="Arial" w:cs="Arial"/>
          <w:sz w:val="24"/>
          <w:szCs w:val="24"/>
        </w:rPr>
        <w:t xml:space="preserve">that social workers </w:t>
      </w:r>
      <w:r w:rsidR="002244F1">
        <w:rPr>
          <w:rFonts w:ascii="Arial" w:eastAsia="Cambria" w:hAnsi="Arial" w:cs="Arial"/>
          <w:sz w:val="24"/>
          <w:szCs w:val="24"/>
        </w:rPr>
        <w:t>display</w:t>
      </w:r>
      <w:r w:rsidRPr="008E1060">
        <w:rPr>
          <w:rFonts w:ascii="Arial" w:eastAsia="Cambria" w:hAnsi="Arial" w:cs="Arial"/>
          <w:sz w:val="24"/>
          <w:szCs w:val="24"/>
        </w:rPr>
        <w:t xml:space="preserve"> relatively high levels of incompetence and unethical conduct, conf</w:t>
      </w:r>
      <w:r w:rsidR="00777C85">
        <w:rPr>
          <w:rFonts w:ascii="Arial" w:eastAsia="Cambria" w:hAnsi="Arial" w:cs="Arial"/>
          <w:sz w:val="24"/>
          <w:szCs w:val="24"/>
        </w:rPr>
        <w:t>ir</w:t>
      </w:r>
      <w:r w:rsidRPr="008E1060">
        <w:rPr>
          <w:rFonts w:ascii="Arial" w:eastAsia="Cambria" w:hAnsi="Arial" w:cs="Arial"/>
          <w:sz w:val="24"/>
          <w:szCs w:val="24"/>
        </w:rPr>
        <w:t>ming prevailing negative public view</w:t>
      </w:r>
      <w:r w:rsidR="00522436">
        <w:rPr>
          <w:rFonts w:ascii="Arial" w:eastAsia="Cambria" w:hAnsi="Arial" w:cs="Arial"/>
          <w:sz w:val="24"/>
          <w:szCs w:val="24"/>
        </w:rPr>
        <w:t>s</w:t>
      </w:r>
      <w:r w:rsidRPr="008E1060">
        <w:rPr>
          <w:rFonts w:ascii="Arial" w:eastAsia="Cambria" w:hAnsi="Arial" w:cs="Arial"/>
          <w:sz w:val="24"/>
          <w:szCs w:val="24"/>
        </w:rPr>
        <w:t xml:space="preserve"> of their performance and moral character</w:t>
      </w:r>
      <w:r>
        <w:rPr>
          <w:rFonts w:ascii="Arial" w:eastAsia="Cambria" w:hAnsi="Arial" w:cs="Arial"/>
          <w:sz w:val="24"/>
          <w:szCs w:val="24"/>
        </w:rPr>
        <w:t>. H</w:t>
      </w:r>
      <w:r w:rsidRPr="008E1060">
        <w:rPr>
          <w:rFonts w:ascii="Arial" w:eastAsia="Cambria" w:hAnsi="Arial" w:cs="Arial"/>
          <w:sz w:val="24"/>
          <w:szCs w:val="24"/>
        </w:rPr>
        <w:t xml:space="preserve">owever, </w:t>
      </w:r>
      <w:r w:rsidR="00E47F26">
        <w:rPr>
          <w:rFonts w:ascii="Arial" w:eastAsia="Cambria" w:hAnsi="Arial" w:cs="Arial"/>
          <w:sz w:val="24"/>
          <w:szCs w:val="24"/>
        </w:rPr>
        <w:t xml:space="preserve">if we look at other professions in the healthcare field outside the remit of HCPC, we find that </w:t>
      </w:r>
      <w:r w:rsidR="00E47F26" w:rsidRPr="00E47F26">
        <w:rPr>
          <w:rFonts w:ascii="Arial" w:eastAsia="Cambria" w:hAnsi="Arial" w:cs="Arial"/>
          <w:sz w:val="24"/>
          <w:szCs w:val="24"/>
        </w:rPr>
        <w:t xml:space="preserve">the referral rate of 1.42% for social workers was significantly lower than that for doctors (3.6%) and dentists (2.9%) in 2014-15 (calculated from GMC, 2016, ps 27, 29, 30).  </w:t>
      </w:r>
      <w:r w:rsidR="00E47F26">
        <w:rPr>
          <w:rFonts w:ascii="Arial" w:eastAsia="Cambria" w:hAnsi="Arial" w:cs="Arial"/>
          <w:sz w:val="24"/>
          <w:szCs w:val="24"/>
        </w:rPr>
        <w:t>O</w:t>
      </w:r>
      <w:r>
        <w:rPr>
          <w:rFonts w:ascii="Arial" w:eastAsia="Cambria" w:hAnsi="Arial" w:cs="Arial"/>
          <w:sz w:val="24"/>
          <w:szCs w:val="24"/>
        </w:rPr>
        <w:t>ur</w:t>
      </w:r>
      <w:r w:rsidRPr="008E1060">
        <w:rPr>
          <w:rFonts w:ascii="Arial" w:eastAsia="Cambria" w:hAnsi="Arial" w:cs="Arial"/>
          <w:sz w:val="24"/>
          <w:szCs w:val="24"/>
        </w:rPr>
        <w:t xml:space="preserve"> research </w:t>
      </w:r>
      <w:r w:rsidR="00E47F26">
        <w:rPr>
          <w:rFonts w:ascii="Arial" w:eastAsia="Cambria" w:hAnsi="Arial" w:cs="Arial"/>
          <w:sz w:val="24"/>
          <w:szCs w:val="24"/>
        </w:rPr>
        <w:t xml:space="preserve">enables us to </w:t>
      </w:r>
      <w:r w:rsidRPr="008E1060">
        <w:rPr>
          <w:rFonts w:ascii="Arial" w:eastAsia="Cambria" w:hAnsi="Arial" w:cs="Arial"/>
          <w:sz w:val="24"/>
          <w:szCs w:val="24"/>
        </w:rPr>
        <w:t>paint a more nuanced picture</w:t>
      </w:r>
      <w:r w:rsidR="00E47F26">
        <w:rPr>
          <w:rFonts w:ascii="Arial" w:eastAsia="Cambria" w:hAnsi="Arial" w:cs="Arial"/>
          <w:sz w:val="24"/>
          <w:szCs w:val="24"/>
        </w:rPr>
        <w:t xml:space="preserve"> of social work fitness to practise referrals</w:t>
      </w:r>
      <w:r w:rsidRPr="008E1060">
        <w:rPr>
          <w:rFonts w:ascii="Arial" w:eastAsia="Cambria" w:hAnsi="Arial" w:cs="Arial"/>
          <w:sz w:val="24"/>
          <w:szCs w:val="24"/>
        </w:rPr>
        <w:t>. The</w:t>
      </w:r>
      <w:r w:rsidR="00777C85">
        <w:rPr>
          <w:rFonts w:ascii="Arial" w:eastAsia="Cambria" w:hAnsi="Arial" w:cs="Arial"/>
          <w:sz w:val="24"/>
          <w:szCs w:val="24"/>
        </w:rPr>
        <w:t xml:space="preserve"> statistics for social work</w:t>
      </w:r>
      <w:r w:rsidRPr="008E1060">
        <w:rPr>
          <w:rFonts w:ascii="Arial" w:eastAsia="Cambria" w:hAnsi="Arial" w:cs="Arial"/>
          <w:sz w:val="24"/>
          <w:szCs w:val="24"/>
        </w:rPr>
        <w:t xml:space="preserve"> can be accounted for </w:t>
      </w:r>
      <w:r w:rsidR="00547D01">
        <w:rPr>
          <w:rFonts w:ascii="Arial" w:eastAsia="Cambria" w:hAnsi="Arial" w:cs="Arial"/>
          <w:sz w:val="24"/>
          <w:szCs w:val="24"/>
        </w:rPr>
        <w:t xml:space="preserve">partly </w:t>
      </w:r>
      <w:r w:rsidRPr="008E1060">
        <w:rPr>
          <w:rFonts w:ascii="Arial" w:eastAsia="Cambria" w:hAnsi="Arial" w:cs="Arial"/>
          <w:sz w:val="24"/>
          <w:szCs w:val="24"/>
        </w:rPr>
        <w:t xml:space="preserve">by high rates of concerns raised by members of the public </w:t>
      </w:r>
      <w:r>
        <w:rPr>
          <w:rFonts w:ascii="Arial" w:eastAsia="Cambria" w:hAnsi="Arial" w:cs="Arial"/>
          <w:sz w:val="24"/>
          <w:szCs w:val="24"/>
        </w:rPr>
        <w:t xml:space="preserve">(including service users) </w:t>
      </w:r>
      <w:r w:rsidRPr="008E1060">
        <w:rPr>
          <w:rFonts w:ascii="Arial" w:eastAsia="Cambria" w:hAnsi="Arial" w:cs="Arial"/>
          <w:sz w:val="24"/>
          <w:szCs w:val="24"/>
        </w:rPr>
        <w:t>that did not meet HCPC standards of acceptance and were therefore not pursued further – never reaching a final hearing.</w:t>
      </w:r>
      <w:r>
        <w:rPr>
          <w:rFonts w:ascii="Arial" w:eastAsia="Cambria" w:hAnsi="Arial" w:cs="Arial"/>
          <w:sz w:val="24"/>
          <w:szCs w:val="24"/>
        </w:rPr>
        <w:t xml:space="preserve"> In 2014-15, 57.6% of new referrals to HCPC were about social workers, while social workers comprised only 44.1% of registrants sanctioned at final hearings and 37.1% of registrants struck off in that year (calculated from HCPC, 2015). While many people sanctioned or struck off in 2014-15 would have been referred in 2013-14, these figures are a relatively accurate picture of the ratios of referrals to sanctions/striking off (which follow a broadly similar pattern in 2015-16). </w:t>
      </w:r>
    </w:p>
    <w:p w14:paraId="4686D5E7" w14:textId="77777777" w:rsidR="00590979" w:rsidRPr="000C1702" w:rsidRDefault="00590979" w:rsidP="00F134BB">
      <w:pPr>
        <w:spacing w:line="360" w:lineRule="auto"/>
        <w:rPr>
          <w:rFonts w:ascii="Arial" w:hAnsi="Arial" w:cs="Arial"/>
          <w:b/>
          <w:sz w:val="24"/>
          <w:szCs w:val="24"/>
        </w:rPr>
      </w:pPr>
      <w:r w:rsidRPr="000C1702">
        <w:rPr>
          <w:rFonts w:ascii="Arial" w:hAnsi="Arial" w:cs="Arial"/>
          <w:b/>
          <w:sz w:val="24"/>
          <w:szCs w:val="24"/>
        </w:rPr>
        <w:t>Methodology</w:t>
      </w:r>
    </w:p>
    <w:p w14:paraId="3DC8C93F" w14:textId="456059DC" w:rsidR="00590979" w:rsidRDefault="00590979" w:rsidP="00F134BB">
      <w:pPr>
        <w:spacing w:line="360" w:lineRule="auto"/>
        <w:rPr>
          <w:rFonts w:ascii="Arial" w:hAnsi="Arial" w:cs="Arial"/>
          <w:sz w:val="24"/>
          <w:szCs w:val="24"/>
        </w:rPr>
      </w:pPr>
      <w:r>
        <w:rPr>
          <w:rFonts w:ascii="Arial" w:hAnsi="Arial" w:cs="Arial"/>
          <w:sz w:val="24"/>
          <w:szCs w:val="24"/>
        </w:rPr>
        <w:t>This article focuses largely on findings f</w:t>
      </w:r>
      <w:r w:rsidR="00547D01">
        <w:rPr>
          <w:rFonts w:ascii="Arial" w:hAnsi="Arial" w:cs="Arial"/>
          <w:sz w:val="24"/>
          <w:szCs w:val="24"/>
        </w:rPr>
        <w:t xml:space="preserve">rom </w:t>
      </w:r>
      <w:r>
        <w:rPr>
          <w:rFonts w:ascii="Arial" w:hAnsi="Arial" w:cs="Arial"/>
          <w:sz w:val="24"/>
          <w:szCs w:val="24"/>
        </w:rPr>
        <w:t>analysis of a sample of HCPC fitness to practise cases relating to social workers. Th</w:t>
      </w:r>
      <w:r w:rsidR="00522436">
        <w:rPr>
          <w:rFonts w:ascii="Arial" w:hAnsi="Arial" w:cs="Arial"/>
          <w:sz w:val="24"/>
          <w:szCs w:val="24"/>
        </w:rPr>
        <w:t xml:space="preserve">is </w:t>
      </w:r>
      <w:r>
        <w:rPr>
          <w:rFonts w:ascii="Arial" w:hAnsi="Arial" w:cs="Arial"/>
          <w:sz w:val="24"/>
          <w:szCs w:val="24"/>
        </w:rPr>
        <w:t xml:space="preserve">was part of a larger </w:t>
      </w:r>
      <w:r w:rsidR="00417B02">
        <w:rPr>
          <w:rFonts w:ascii="Arial" w:hAnsi="Arial" w:cs="Arial"/>
          <w:sz w:val="24"/>
          <w:szCs w:val="24"/>
        </w:rPr>
        <w:t>study</w:t>
      </w:r>
      <w:r>
        <w:rPr>
          <w:rFonts w:ascii="Arial" w:hAnsi="Arial" w:cs="Arial"/>
          <w:sz w:val="24"/>
          <w:szCs w:val="24"/>
        </w:rPr>
        <w:t>, examin</w:t>
      </w:r>
      <w:r w:rsidR="00CB0112">
        <w:rPr>
          <w:rFonts w:ascii="Arial" w:hAnsi="Arial" w:cs="Arial"/>
          <w:sz w:val="24"/>
          <w:szCs w:val="24"/>
        </w:rPr>
        <w:t>ing</w:t>
      </w:r>
      <w:r>
        <w:rPr>
          <w:rFonts w:ascii="Arial" w:hAnsi="Arial" w:cs="Arial"/>
          <w:sz w:val="24"/>
          <w:szCs w:val="24"/>
        </w:rPr>
        <w:t xml:space="preserve"> reasons for disproportionately high numbers of referrals of paramedics and social workers</w:t>
      </w:r>
      <w:r w:rsidR="00CB0112">
        <w:rPr>
          <w:rFonts w:ascii="Arial" w:hAnsi="Arial" w:cs="Arial"/>
          <w:sz w:val="24"/>
          <w:szCs w:val="24"/>
        </w:rPr>
        <w:t xml:space="preserve">. It </w:t>
      </w:r>
      <w:r>
        <w:rPr>
          <w:rFonts w:ascii="Arial" w:hAnsi="Arial" w:cs="Arial"/>
          <w:sz w:val="24"/>
          <w:szCs w:val="24"/>
        </w:rPr>
        <w:t xml:space="preserve">included a literature review, interviews and focus groups with key stakeholders and a Delphi study to gain opinions of international experts </w:t>
      </w:r>
      <w:r>
        <w:rPr>
          <w:rFonts w:ascii="Arial" w:hAnsi="Arial" w:cs="Arial"/>
          <w:noProof/>
          <w:sz w:val="24"/>
          <w:szCs w:val="24"/>
        </w:rPr>
        <w:t>(</w:t>
      </w:r>
      <w:r w:rsidR="004C76EB">
        <w:rPr>
          <w:rFonts w:ascii="Arial" w:hAnsi="Arial" w:cs="Arial"/>
          <w:noProof/>
          <w:sz w:val="24"/>
          <w:szCs w:val="24"/>
        </w:rPr>
        <w:t>van der Gaag et al</w:t>
      </w:r>
      <w:r>
        <w:rPr>
          <w:rFonts w:ascii="Arial" w:hAnsi="Arial" w:cs="Arial"/>
          <w:noProof/>
          <w:sz w:val="24"/>
          <w:szCs w:val="24"/>
        </w:rPr>
        <w:t>, 201</w:t>
      </w:r>
      <w:r w:rsidR="004C76EB">
        <w:rPr>
          <w:rFonts w:ascii="Arial" w:hAnsi="Arial" w:cs="Arial"/>
          <w:noProof/>
          <w:sz w:val="24"/>
          <w:szCs w:val="24"/>
        </w:rPr>
        <w:t>7</w:t>
      </w:r>
      <w:r>
        <w:rPr>
          <w:rFonts w:ascii="Arial" w:hAnsi="Arial" w:cs="Arial"/>
          <w:noProof/>
          <w:sz w:val="24"/>
          <w:szCs w:val="24"/>
        </w:rPr>
        <w:t>)</w:t>
      </w:r>
      <w:r>
        <w:rPr>
          <w:rFonts w:ascii="Arial" w:hAnsi="Arial" w:cs="Arial"/>
          <w:sz w:val="24"/>
          <w:szCs w:val="24"/>
        </w:rPr>
        <w:t xml:space="preserve">. </w:t>
      </w:r>
      <w:r w:rsidR="008F7442">
        <w:rPr>
          <w:rFonts w:ascii="Arial" w:hAnsi="Arial" w:cs="Arial"/>
          <w:sz w:val="24"/>
          <w:szCs w:val="24"/>
        </w:rPr>
        <w:t xml:space="preserve">Ethical approval was given by the University of Surrey. </w:t>
      </w:r>
    </w:p>
    <w:p w14:paraId="5ADD56EB" w14:textId="749AAE48" w:rsidR="00590979" w:rsidRPr="00160EE8" w:rsidRDefault="00590979" w:rsidP="00F134BB">
      <w:pPr>
        <w:spacing w:line="360" w:lineRule="auto"/>
        <w:rPr>
          <w:rFonts w:ascii="Arial" w:hAnsi="Arial" w:cs="Arial"/>
          <w:sz w:val="24"/>
          <w:szCs w:val="24"/>
        </w:rPr>
      </w:pPr>
      <w:r>
        <w:rPr>
          <w:rFonts w:ascii="Arial" w:hAnsi="Arial" w:cs="Arial"/>
          <w:sz w:val="24"/>
          <w:szCs w:val="24"/>
        </w:rPr>
        <w:t>For the case analysis, t</w:t>
      </w:r>
      <w:r w:rsidRPr="00160EE8">
        <w:rPr>
          <w:rFonts w:ascii="Arial" w:hAnsi="Arial" w:cs="Arial"/>
          <w:sz w:val="24"/>
          <w:szCs w:val="24"/>
        </w:rPr>
        <w:t xml:space="preserve">hree members of the research team were given on-site, supervised access to </w:t>
      </w:r>
      <w:r>
        <w:rPr>
          <w:rFonts w:ascii="Arial" w:hAnsi="Arial" w:cs="Arial"/>
          <w:sz w:val="24"/>
          <w:szCs w:val="24"/>
        </w:rPr>
        <w:t>H</w:t>
      </w:r>
      <w:r w:rsidRPr="00160EE8">
        <w:rPr>
          <w:rFonts w:ascii="Arial" w:hAnsi="Arial" w:cs="Arial"/>
          <w:sz w:val="24"/>
          <w:szCs w:val="24"/>
        </w:rPr>
        <w:t>CPC’s case management system</w:t>
      </w:r>
      <w:r w:rsidR="00E47F26">
        <w:rPr>
          <w:rFonts w:ascii="Arial" w:hAnsi="Arial" w:cs="Arial"/>
          <w:sz w:val="24"/>
          <w:szCs w:val="24"/>
        </w:rPr>
        <w:t xml:space="preserve">, containing records associated with each fitness to practise referral. The researchers </w:t>
      </w:r>
      <w:r w:rsidR="0077517C">
        <w:rPr>
          <w:rFonts w:ascii="Arial" w:hAnsi="Arial" w:cs="Arial"/>
          <w:sz w:val="24"/>
          <w:szCs w:val="24"/>
        </w:rPr>
        <w:t xml:space="preserve">kept all </w:t>
      </w:r>
      <w:r w:rsidR="00E47F26">
        <w:rPr>
          <w:rFonts w:ascii="Arial" w:hAnsi="Arial" w:cs="Arial"/>
          <w:sz w:val="24"/>
          <w:szCs w:val="24"/>
        </w:rPr>
        <w:t>personal details anonymous</w:t>
      </w:r>
      <w:r w:rsidR="00D71119">
        <w:rPr>
          <w:rFonts w:ascii="Arial" w:hAnsi="Arial" w:cs="Arial"/>
          <w:sz w:val="24"/>
          <w:szCs w:val="24"/>
        </w:rPr>
        <w:t>,</w:t>
      </w:r>
      <w:r w:rsidR="00E47F26">
        <w:rPr>
          <w:rFonts w:ascii="Arial" w:hAnsi="Arial" w:cs="Arial"/>
          <w:sz w:val="24"/>
          <w:szCs w:val="24"/>
        </w:rPr>
        <w:t xml:space="preserve"> and HCPC checked the final report to ensure no information that should have been kept confidential was revealed. The study is obviously limited by confidentiality considerations and oversight by HCPC, but no requests for remov</w:t>
      </w:r>
      <w:r w:rsidR="00FA02C8">
        <w:rPr>
          <w:rFonts w:ascii="Arial" w:hAnsi="Arial" w:cs="Arial"/>
          <w:sz w:val="24"/>
          <w:szCs w:val="24"/>
        </w:rPr>
        <w:t>a</w:t>
      </w:r>
      <w:r w:rsidR="00E47F26">
        <w:rPr>
          <w:rFonts w:ascii="Arial" w:hAnsi="Arial" w:cs="Arial"/>
          <w:sz w:val="24"/>
          <w:szCs w:val="24"/>
        </w:rPr>
        <w:t xml:space="preserve">l of any data relating to cases was made and the presence of an HCPC staff member on the advisory group was beneficial in enabling dialogue and greater understanding </w:t>
      </w:r>
      <w:r w:rsidR="00E47F26">
        <w:rPr>
          <w:rFonts w:ascii="Arial" w:hAnsi="Arial" w:cs="Arial"/>
          <w:sz w:val="24"/>
          <w:szCs w:val="24"/>
        </w:rPr>
        <w:lastRenderedPageBreak/>
        <w:t>about HCPC processes. A</w:t>
      </w:r>
      <w:r w:rsidRPr="00160EE8">
        <w:rPr>
          <w:rFonts w:ascii="Arial" w:hAnsi="Arial" w:cs="Arial"/>
          <w:sz w:val="24"/>
          <w:szCs w:val="24"/>
        </w:rPr>
        <w:t xml:space="preserve"> structured random sample of just over 10% of social worker cases (n=232) </w:t>
      </w:r>
      <w:r>
        <w:rPr>
          <w:rFonts w:ascii="Arial" w:hAnsi="Arial" w:cs="Arial"/>
          <w:sz w:val="24"/>
          <w:szCs w:val="24"/>
        </w:rPr>
        <w:t xml:space="preserve">dealt with </w:t>
      </w:r>
      <w:r w:rsidRPr="00160EE8">
        <w:rPr>
          <w:rFonts w:ascii="Arial" w:hAnsi="Arial" w:cs="Arial"/>
          <w:sz w:val="24"/>
          <w:szCs w:val="24"/>
        </w:rPr>
        <w:t xml:space="preserve">between July 2014 and August 2016 was selected. The sample was organised according to the stage of the fitness to practice process at which the cases were </w:t>
      </w:r>
      <w:r>
        <w:rPr>
          <w:rFonts w:ascii="Arial" w:hAnsi="Arial" w:cs="Arial"/>
          <w:sz w:val="24"/>
          <w:szCs w:val="24"/>
        </w:rPr>
        <w:t xml:space="preserve">dealt with </w:t>
      </w:r>
      <w:r w:rsidRPr="00160EE8">
        <w:rPr>
          <w:rFonts w:ascii="Arial" w:hAnsi="Arial" w:cs="Arial"/>
          <w:sz w:val="24"/>
          <w:szCs w:val="24"/>
        </w:rPr>
        <w:t xml:space="preserve">and then according to the source of referrals, to reflect the proportion of </w:t>
      </w:r>
      <w:r>
        <w:rPr>
          <w:rFonts w:ascii="Arial" w:hAnsi="Arial" w:cs="Arial"/>
          <w:sz w:val="24"/>
          <w:szCs w:val="24"/>
        </w:rPr>
        <w:t xml:space="preserve">all </w:t>
      </w:r>
      <w:r w:rsidRPr="00160EE8">
        <w:rPr>
          <w:rFonts w:ascii="Arial" w:hAnsi="Arial" w:cs="Arial"/>
          <w:sz w:val="24"/>
          <w:szCs w:val="24"/>
        </w:rPr>
        <w:t>cases in each category</w:t>
      </w:r>
      <w:r>
        <w:rPr>
          <w:rFonts w:ascii="Arial" w:hAnsi="Arial" w:cs="Arial"/>
          <w:sz w:val="24"/>
          <w:szCs w:val="24"/>
        </w:rPr>
        <w:t xml:space="preserve"> as follows:</w:t>
      </w:r>
    </w:p>
    <w:p w14:paraId="785C57D3" w14:textId="5A469691" w:rsidR="00590979" w:rsidRPr="00364CC4" w:rsidRDefault="00590979" w:rsidP="00F134BB">
      <w:pPr>
        <w:pStyle w:val="ListParagraph"/>
        <w:numPr>
          <w:ilvl w:val="0"/>
          <w:numId w:val="10"/>
        </w:numPr>
        <w:spacing w:line="360" w:lineRule="auto"/>
        <w:rPr>
          <w:rFonts w:ascii="Arial" w:hAnsi="Arial" w:cs="Arial"/>
          <w:sz w:val="24"/>
          <w:szCs w:val="24"/>
        </w:rPr>
      </w:pPr>
      <w:r w:rsidRPr="00364CC4">
        <w:rPr>
          <w:rFonts w:ascii="Arial" w:hAnsi="Arial" w:cs="Arial"/>
          <w:i/>
          <w:sz w:val="24"/>
          <w:szCs w:val="24"/>
        </w:rPr>
        <w:t xml:space="preserve">Initial stage </w:t>
      </w:r>
      <w:r w:rsidRPr="00364CC4">
        <w:rPr>
          <w:rFonts w:ascii="Arial" w:hAnsi="Arial" w:cs="Arial"/>
          <w:sz w:val="24"/>
          <w:szCs w:val="24"/>
        </w:rPr>
        <w:t xml:space="preserve">(173 cases) – members of the </w:t>
      </w:r>
      <w:r>
        <w:rPr>
          <w:rFonts w:ascii="Arial" w:hAnsi="Arial" w:cs="Arial"/>
          <w:sz w:val="24"/>
          <w:szCs w:val="24"/>
        </w:rPr>
        <w:t>c</w:t>
      </w:r>
      <w:r w:rsidRPr="00364CC4">
        <w:rPr>
          <w:rFonts w:ascii="Arial" w:hAnsi="Arial" w:cs="Arial"/>
          <w:sz w:val="24"/>
          <w:szCs w:val="24"/>
        </w:rPr>
        <w:t xml:space="preserve">ase </w:t>
      </w:r>
      <w:r>
        <w:rPr>
          <w:rFonts w:ascii="Arial" w:hAnsi="Arial" w:cs="Arial"/>
          <w:sz w:val="24"/>
          <w:szCs w:val="24"/>
        </w:rPr>
        <w:t>r</w:t>
      </w:r>
      <w:r w:rsidRPr="00364CC4">
        <w:rPr>
          <w:rFonts w:ascii="Arial" w:hAnsi="Arial" w:cs="Arial"/>
          <w:sz w:val="24"/>
          <w:szCs w:val="24"/>
        </w:rPr>
        <w:t xml:space="preserve">eception and </w:t>
      </w:r>
      <w:r>
        <w:rPr>
          <w:rFonts w:ascii="Arial" w:hAnsi="Arial" w:cs="Arial"/>
          <w:sz w:val="24"/>
          <w:szCs w:val="24"/>
        </w:rPr>
        <w:t>t</w:t>
      </w:r>
      <w:r w:rsidRPr="00364CC4">
        <w:rPr>
          <w:rFonts w:ascii="Arial" w:hAnsi="Arial" w:cs="Arial"/>
          <w:sz w:val="24"/>
          <w:szCs w:val="24"/>
        </w:rPr>
        <w:t>riage team determine whether</w:t>
      </w:r>
      <w:r w:rsidR="00547D01">
        <w:rPr>
          <w:rFonts w:ascii="Arial" w:hAnsi="Arial" w:cs="Arial"/>
          <w:sz w:val="24"/>
          <w:szCs w:val="24"/>
        </w:rPr>
        <w:t xml:space="preserve"> a</w:t>
      </w:r>
      <w:r w:rsidRPr="00364CC4">
        <w:rPr>
          <w:rFonts w:ascii="Arial" w:hAnsi="Arial" w:cs="Arial"/>
          <w:sz w:val="24"/>
          <w:szCs w:val="24"/>
        </w:rPr>
        <w:t xml:space="preserve"> referral meets the standard of acceptance for further investigation. This requires there to be enough information to identify the registrant and for them to respond; and sufficiently ‘credible’ evidence for a reasonable person to consider </w:t>
      </w:r>
      <w:r w:rsidR="00547D01">
        <w:rPr>
          <w:rFonts w:ascii="Arial" w:hAnsi="Arial" w:cs="Arial"/>
          <w:sz w:val="24"/>
          <w:szCs w:val="24"/>
        </w:rPr>
        <w:t>the concerns</w:t>
      </w:r>
      <w:r w:rsidRPr="00364CC4">
        <w:rPr>
          <w:rFonts w:ascii="Arial" w:hAnsi="Arial" w:cs="Arial"/>
          <w:sz w:val="24"/>
          <w:szCs w:val="24"/>
        </w:rPr>
        <w:t xml:space="preserve"> believable </w:t>
      </w:r>
      <w:r w:rsidRPr="00364CC4">
        <w:rPr>
          <w:rFonts w:ascii="Arial" w:hAnsi="Arial" w:cs="Arial"/>
          <w:noProof/>
          <w:sz w:val="24"/>
          <w:szCs w:val="24"/>
        </w:rPr>
        <w:t>(</w:t>
      </w:r>
      <w:r>
        <w:rPr>
          <w:rFonts w:ascii="Arial" w:hAnsi="Arial" w:cs="Arial"/>
          <w:noProof/>
          <w:sz w:val="24"/>
          <w:szCs w:val="24"/>
        </w:rPr>
        <w:t>HCPC</w:t>
      </w:r>
      <w:r w:rsidRPr="00364CC4">
        <w:rPr>
          <w:rFonts w:ascii="Arial" w:hAnsi="Arial" w:cs="Arial"/>
          <w:noProof/>
          <w:sz w:val="24"/>
          <w:szCs w:val="24"/>
        </w:rPr>
        <w:t>, n.d.)</w:t>
      </w:r>
      <w:r w:rsidR="00417B02">
        <w:rPr>
          <w:rFonts w:ascii="Arial" w:hAnsi="Arial" w:cs="Arial"/>
          <w:noProof/>
          <w:sz w:val="24"/>
          <w:szCs w:val="24"/>
        </w:rPr>
        <w:t xml:space="preserve">. </w:t>
      </w:r>
      <w:r w:rsidRPr="00364CC4">
        <w:rPr>
          <w:rFonts w:ascii="Arial" w:hAnsi="Arial" w:cs="Arial"/>
          <w:sz w:val="24"/>
          <w:szCs w:val="24"/>
        </w:rPr>
        <w:t>This stage usually involves contacting the referr</w:t>
      </w:r>
      <w:r>
        <w:rPr>
          <w:rFonts w:ascii="Arial" w:hAnsi="Arial" w:cs="Arial"/>
          <w:sz w:val="24"/>
          <w:szCs w:val="24"/>
        </w:rPr>
        <w:t>er</w:t>
      </w:r>
      <w:r w:rsidRPr="00364CC4">
        <w:rPr>
          <w:rFonts w:ascii="Arial" w:hAnsi="Arial" w:cs="Arial"/>
          <w:sz w:val="24"/>
          <w:szCs w:val="24"/>
        </w:rPr>
        <w:t xml:space="preserve"> </w:t>
      </w:r>
      <w:r w:rsidRPr="007C271C">
        <w:rPr>
          <w:rFonts w:ascii="Arial" w:hAnsi="Arial" w:cs="Arial"/>
          <w:sz w:val="24"/>
          <w:szCs w:val="24"/>
        </w:rPr>
        <w:t>and</w:t>
      </w:r>
      <w:r w:rsidR="00CB0112">
        <w:rPr>
          <w:rFonts w:ascii="Arial" w:hAnsi="Arial" w:cs="Arial"/>
          <w:sz w:val="24"/>
          <w:szCs w:val="24"/>
        </w:rPr>
        <w:t>,</w:t>
      </w:r>
      <w:r w:rsidRPr="007C271C">
        <w:rPr>
          <w:rFonts w:ascii="Arial" w:hAnsi="Arial" w:cs="Arial"/>
          <w:sz w:val="24"/>
          <w:szCs w:val="24"/>
        </w:rPr>
        <w:t xml:space="preserve"> </w:t>
      </w:r>
      <w:r w:rsidR="001B0080">
        <w:rPr>
          <w:rFonts w:ascii="Arial" w:hAnsi="Arial" w:cs="Arial"/>
          <w:sz w:val="24"/>
          <w:szCs w:val="24"/>
        </w:rPr>
        <w:t>if appropriate</w:t>
      </w:r>
      <w:r w:rsidR="00CB0112">
        <w:rPr>
          <w:rFonts w:ascii="Arial" w:hAnsi="Arial" w:cs="Arial"/>
          <w:sz w:val="24"/>
          <w:szCs w:val="24"/>
        </w:rPr>
        <w:t>,</w:t>
      </w:r>
      <w:r w:rsidR="001B0080">
        <w:rPr>
          <w:rFonts w:ascii="Arial" w:hAnsi="Arial" w:cs="Arial"/>
          <w:sz w:val="24"/>
          <w:szCs w:val="24"/>
        </w:rPr>
        <w:t xml:space="preserve"> </w:t>
      </w:r>
      <w:r w:rsidRPr="007C271C">
        <w:rPr>
          <w:rFonts w:ascii="Arial" w:hAnsi="Arial" w:cs="Arial"/>
          <w:sz w:val="24"/>
          <w:szCs w:val="24"/>
        </w:rPr>
        <w:t xml:space="preserve">the employer </w:t>
      </w:r>
      <w:r w:rsidRPr="00364CC4">
        <w:rPr>
          <w:rFonts w:ascii="Arial" w:hAnsi="Arial" w:cs="Arial"/>
          <w:sz w:val="24"/>
          <w:szCs w:val="24"/>
        </w:rPr>
        <w:t>for further information</w:t>
      </w:r>
      <w:r w:rsidR="00CB0112">
        <w:rPr>
          <w:rFonts w:ascii="Arial" w:hAnsi="Arial" w:cs="Arial"/>
          <w:sz w:val="24"/>
          <w:szCs w:val="24"/>
        </w:rPr>
        <w:t>.</w:t>
      </w:r>
      <w:r w:rsidRPr="00364CC4">
        <w:rPr>
          <w:rFonts w:ascii="Arial" w:hAnsi="Arial" w:cs="Arial"/>
          <w:sz w:val="24"/>
          <w:szCs w:val="24"/>
        </w:rPr>
        <w:t xml:space="preserve">  </w:t>
      </w:r>
    </w:p>
    <w:p w14:paraId="09A22D6C" w14:textId="40FE6ECB" w:rsidR="00590979" w:rsidRPr="00364CC4" w:rsidRDefault="00590979" w:rsidP="00F134BB">
      <w:pPr>
        <w:pStyle w:val="ListParagraph"/>
        <w:numPr>
          <w:ilvl w:val="0"/>
          <w:numId w:val="10"/>
        </w:numPr>
        <w:spacing w:line="360" w:lineRule="auto"/>
        <w:rPr>
          <w:rFonts w:ascii="Arial" w:hAnsi="Arial" w:cs="Arial"/>
          <w:sz w:val="24"/>
          <w:szCs w:val="24"/>
        </w:rPr>
      </w:pPr>
      <w:r w:rsidRPr="00364CC4">
        <w:rPr>
          <w:rFonts w:ascii="Arial" w:hAnsi="Arial" w:cs="Arial"/>
          <w:i/>
          <w:sz w:val="24"/>
          <w:szCs w:val="24"/>
        </w:rPr>
        <w:t>Investigating Committee Panel</w:t>
      </w:r>
      <w:r w:rsidRPr="00364CC4">
        <w:rPr>
          <w:rFonts w:ascii="Arial" w:hAnsi="Arial" w:cs="Arial"/>
          <w:sz w:val="24"/>
          <w:szCs w:val="24"/>
        </w:rPr>
        <w:t xml:space="preserve"> </w:t>
      </w:r>
      <w:r w:rsidR="00547D01">
        <w:rPr>
          <w:rFonts w:ascii="Arial" w:hAnsi="Arial" w:cs="Arial"/>
          <w:sz w:val="24"/>
          <w:szCs w:val="24"/>
        </w:rPr>
        <w:t xml:space="preserve">(ICP) </w:t>
      </w:r>
      <w:r w:rsidRPr="00364CC4">
        <w:rPr>
          <w:rFonts w:ascii="Arial" w:hAnsi="Arial" w:cs="Arial"/>
          <w:sz w:val="24"/>
          <w:szCs w:val="24"/>
        </w:rPr>
        <w:t xml:space="preserve">(28 cases) – a panel is convened to assess the evidence and decide if there is a case to answer (whether there is a realistic prospect of HCPC proving that fitness to practice is impaired), and if so, the case progresses to a final hearing. </w:t>
      </w:r>
    </w:p>
    <w:p w14:paraId="2DB52DC6" w14:textId="706DFE47" w:rsidR="00590979" w:rsidRPr="00364CC4" w:rsidRDefault="00590979" w:rsidP="00F134BB">
      <w:pPr>
        <w:pStyle w:val="ListParagraph"/>
        <w:numPr>
          <w:ilvl w:val="0"/>
          <w:numId w:val="10"/>
        </w:numPr>
        <w:spacing w:line="360" w:lineRule="auto"/>
        <w:rPr>
          <w:rFonts w:ascii="Arial" w:hAnsi="Arial" w:cs="Arial"/>
          <w:sz w:val="24"/>
          <w:szCs w:val="24"/>
        </w:rPr>
      </w:pPr>
      <w:r w:rsidRPr="00364CC4">
        <w:rPr>
          <w:rFonts w:ascii="Arial" w:hAnsi="Arial" w:cs="Arial"/>
          <w:i/>
          <w:sz w:val="24"/>
          <w:szCs w:val="24"/>
        </w:rPr>
        <w:t>Final hearing</w:t>
      </w:r>
      <w:r w:rsidRPr="00364CC4">
        <w:rPr>
          <w:rFonts w:ascii="Arial" w:hAnsi="Arial" w:cs="Arial"/>
          <w:sz w:val="24"/>
          <w:szCs w:val="24"/>
        </w:rPr>
        <w:t xml:space="preserve"> </w:t>
      </w:r>
      <w:r w:rsidR="00547D01">
        <w:rPr>
          <w:rFonts w:ascii="Arial" w:hAnsi="Arial" w:cs="Arial"/>
          <w:sz w:val="24"/>
          <w:szCs w:val="24"/>
        </w:rPr>
        <w:t xml:space="preserve">(FH) </w:t>
      </w:r>
      <w:r w:rsidRPr="00364CC4">
        <w:rPr>
          <w:rFonts w:ascii="Arial" w:hAnsi="Arial" w:cs="Arial"/>
          <w:sz w:val="24"/>
          <w:szCs w:val="24"/>
        </w:rPr>
        <w:t>(31 cases) – after instructing solicitors and gathering evidence, HCPC brings the case to a three-person panel, which decides: whether the facts are proven</w:t>
      </w:r>
      <w:r w:rsidR="00D71119">
        <w:rPr>
          <w:rFonts w:ascii="Arial" w:hAnsi="Arial" w:cs="Arial"/>
          <w:sz w:val="24"/>
          <w:szCs w:val="24"/>
        </w:rPr>
        <w:t xml:space="preserve"> on the balance of probabilities (civil standard of proof)</w:t>
      </w:r>
      <w:r w:rsidRPr="00364CC4">
        <w:rPr>
          <w:rFonts w:ascii="Arial" w:hAnsi="Arial" w:cs="Arial"/>
          <w:sz w:val="24"/>
          <w:szCs w:val="24"/>
        </w:rPr>
        <w:t xml:space="preserve">; whether the facts amount to misconduct or lack of competence; whether the person’s fitness to practise is impaired; and if so, what sanction </w:t>
      </w:r>
      <w:r w:rsidR="00975132">
        <w:rPr>
          <w:rFonts w:ascii="Arial" w:hAnsi="Arial" w:cs="Arial"/>
          <w:sz w:val="24"/>
          <w:szCs w:val="24"/>
        </w:rPr>
        <w:t>to</w:t>
      </w:r>
      <w:r w:rsidRPr="00364CC4">
        <w:rPr>
          <w:rFonts w:ascii="Arial" w:hAnsi="Arial" w:cs="Arial"/>
          <w:sz w:val="24"/>
          <w:szCs w:val="24"/>
        </w:rPr>
        <w:t xml:space="preserve"> appl</w:t>
      </w:r>
      <w:r w:rsidR="00975132">
        <w:rPr>
          <w:rFonts w:ascii="Arial" w:hAnsi="Arial" w:cs="Arial"/>
          <w:sz w:val="24"/>
          <w:szCs w:val="24"/>
        </w:rPr>
        <w:t>y</w:t>
      </w:r>
      <w:r w:rsidRPr="00364CC4">
        <w:rPr>
          <w:rFonts w:ascii="Arial" w:hAnsi="Arial" w:cs="Arial"/>
          <w:sz w:val="24"/>
          <w:szCs w:val="24"/>
        </w:rPr>
        <w:t xml:space="preserve">.      </w:t>
      </w:r>
    </w:p>
    <w:p w14:paraId="425E4131" w14:textId="57445904" w:rsidR="00590979" w:rsidRPr="000C1702" w:rsidRDefault="00D71119" w:rsidP="00F134BB">
      <w:pPr>
        <w:spacing w:line="360" w:lineRule="auto"/>
        <w:rPr>
          <w:rFonts w:ascii="Arial" w:hAnsi="Arial" w:cs="Arial"/>
          <w:sz w:val="24"/>
          <w:szCs w:val="24"/>
        </w:rPr>
      </w:pPr>
      <w:r>
        <w:rPr>
          <w:rFonts w:ascii="Arial" w:hAnsi="Arial" w:cs="Arial"/>
          <w:sz w:val="24"/>
          <w:szCs w:val="24"/>
        </w:rPr>
        <w:t xml:space="preserve">Although using a 10% sample means some unique or interesting cases would not be analysed, by taking a period of two years and structuring the sample according to the number of cases at each stage of the process we aimed to get a representative picture of the range of cases. </w:t>
      </w:r>
      <w:r w:rsidR="00590979">
        <w:rPr>
          <w:rFonts w:ascii="Arial" w:hAnsi="Arial" w:cs="Arial"/>
          <w:sz w:val="24"/>
          <w:szCs w:val="24"/>
        </w:rPr>
        <w:t>C</w:t>
      </w:r>
      <w:r w:rsidR="00590979" w:rsidRPr="000C1702">
        <w:rPr>
          <w:rFonts w:ascii="Arial" w:hAnsi="Arial" w:cs="Arial"/>
          <w:sz w:val="24"/>
          <w:szCs w:val="24"/>
        </w:rPr>
        <w:t>ase notes for the 232 referrals were reviewed</w:t>
      </w:r>
      <w:r w:rsidR="00547D01">
        <w:rPr>
          <w:rFonts w:ascii="Arial" w:hAnsi="Arial" w:cs="Arial"/>
          <w:sz w:val="24"/>
          <w:szCs w:val="24"/>
        </w:rPr>
        <w:t xml:space="preserve"> and key characteristics recorded, with t</w:t>
      </w:r>
      <w:r w:rsidR="00590979" w:rsidRPr="000C1702">
        <w:rPr>
          <w:rFonts w:ascii="Arial" w:hAnsi="Arial" w:cs="Arial"/>
          <w:sz w:val="24"/>
          <w:szCs w:val="24"/>
        </w:rPr>
        <w:t>he circumstances of each case noted as a brief narrative</w:t>
      </w:r>
      <w:r w:rsidR="00547D01">
        <w:rPr>
          <w:rFonts w:ascii="Arial" w:hAnsi="Arial" w:cs="Arial"/>
          <w:sz w:val="24"/>
          <w:szCs w:val="24"/>
        </w:rPr>
        <w:t xml:space="preserve">. </w:t>
      </w:r>
      <w:r w:rsidR="00590979" w:rsidRPr="000C1702">
        <w:rPr>
          <w:rFonts w:ascii="Arial" w:hAnsi="Arial" w:cs="Arial"/>
          <w:sz w:val="24"/>
          <w:szCs w:val="24"/>
        </w:rPr>
        <w:t xml:space="preserve">This dataset was analysed using basic cross tabulation for quantitative data </w:t>
      </w:r>
      <w:r>
        <w:rPr>
          <w:rFonts w:ascii="Arial" w:hAnsi="Arial" w:cs="Arial"/>
          <w:sz w:val="24"/>
          <w:szCs w:val="24"/>
        </w:rPr>
        <w:t xml:space="preserve">(characteristics of referrers, registrants and allegations) </w:t>
      </w:r>
      <w:r w:rsidR="00590979" w:rsidRPr="000C1702">
        <w:rPr>
          <w:rFonts w:ascii="Arial" w:hAnsi="Arial" w:cs="Arial"/>
          <w:sz w:val="24"/>
          <w:szCs w:val="24"/>
        </w:rPr>
        <w:t xml:space="preserve">and detailed coding of qualitative data </w:t>
      </w:r>
      <w:r>
        <w:rPr>
          <w:rFonts w:ascii="Arial" w:hAnsi="Arial" w:cs="Arial"/>
          <w:sz w:val="24"/>
          <w:szCs w:val="24"/>
        </w:rPr>
        <w:t xml:space="preserve">(correspondence, transcripts of hearings and other case records) </w:t>
      </w:r>
      <w:r w:rsidR="00590979" w:rsidRPr="000C1702">
        <w:rPr>
          <w:rFonts w:ascii="Arial" w:hAnsi="Arial" w:cs="Arial"/>
          <w:sz w:val="24"/>
          <w:szCs w:val="24"/>
        </w:rPr>
        <w:t xml:space="preserve">based on </w:t>
      </w:r>
      <w:r w:rsidR="00590979">
        <w:rPr>
          <w:rFonts w:ascii="Arial" w:hAnsi="Arial" w:cs="Arial"/>
          <w:sz w:val="24"/>
          <w:szCs w:val="24"/>
        </w:rPr>
        <w:t xml:space="preserve">thematic analysis </w:t>
      </w:r>
      <w:r w:rsidR="00A62982">
        <w:rPr>
          <w:rFonts w:ascii="Arial" w:hAnsi="Arial" w:cs="Arial"/>
          <w:sz w:val="24"/>
          <w:szCs w:val="24"/>
        </w:rPr>
        <w:t>following the</w:t>
      </w:r>
      <w:r w:rsidR="00590979" w:rsidRPr="000C1702">
        <w:rPr>
          <w:rFonts w:ascii="Arial" w:hAnsi="Arial" w:cs="Arial"/>
          <w:sz w:val="24"/>
          <w:szCs w:val="24"/>
        </w:rPr>
        <w:t xml:space="preserve"> principles of Braun and Clark </w:t>
      </w:r>
      <w:r w:rsidR="00590979">
        <w:rPr>
          <w:rFonts w:ascii="Arial" w:hAnsi="Arial" w:cs="Arial"/>
          <w:noProof/>
          <w:sz w:val="24"/>
          <w:szCs w:val="24"/>
        </w:rPr>
        <w:t>(2006)</w:t>
      </w:r>
      <w:r w:rsidR="00590979" w:rsidRPr="000C1702">
        <w:rPr>
          <w:rFonts w:ascii="Arial" w:hAnsi="Arial" w:cs="Arial"/>
          <w:sz w:val="24"/>
          <w:szCs w:val="24"/>
        </w:rPr>
        <w:t>.</w:t>
      </w:r>
      <w:r>
        <w:rPr>
          <w:rFonts w:ascii="Arial" w:hAnsi="Arial" w:cs="Arial"/>
          <w:sz w:val="24"/>
          <w:szCs w:val="24"/>
        </w:rPr>
        <w:t xml:space="preserve"> The latter resulted in the creation of a detailed typology of the fitness to practise concerns (shown in Table 4) within which to frame our discussion of reasons for referrals and </w:t>
      </w:r>
      <w:r>
        <w:rPr>
          <w:rFonts w:ascii="Arial" w:hAnsi="Arial" w:cs="Arial"/>
          <w:sz w:val="24"/>
          <w:szCs w:val="24"/>
        </w:rPr>
        <w:lastRenderedPageBreak/>
        <w:t xml:space="preserve">responses by the regulator (for more details of the methodology see </w:t>
      </w:r>
      <w:r w:rsidR="00435E94">
        <w:rPr>
          <w:rFonts w:ascii="Arial" w:hAnsi="Arial" w:cs="Arial"/>
          <w:sz w:val="24"/>
          <w:szCs w:val="24"/>
        </w:rPr>
        <w:t xml:space="preserve">van der Gaag et al., </w:t>
      </w:r>
      <w:r>
        <w:rPr>
          <w:rFonts w:ascii="Arial" w:hAnsi="Arial" w:cs="Arial"/>
          <w:sz w:val="24"/>
          <w:szCs w:val="24"/>
        </w:rPr>
        <w:t>2017).</w:t>
      </w:r>
    </w:p>
    <w:p w14:paraId="34F7B9D0" w14:textId="77777777" w:rsidR="00590979" w:rsidRPr="000C1702" w:rsidRDefault="00590979" w:rsidP="00F134BB">
      <w:pPr>
        <w:spacing w:line="360" w:lineRule="auto"/>
        <w:rPr>
          <w:rFonts w:ascii="Arial" w:hAnsi="Arial" w:cs="Arial"/>
          <w:b/>
          <w:bCs/>
          <w:sz w:val="24"/>
          <w:szCs w:val="24"/>
        </w:rPr>
      </w:pPr>
      <w:r w:rsidRPr="000C1702">
        <w:rPr>
          <w:rFonts w:ascii="Arial" w:hAnsi="Arial" w:cs="Arial"/>
          <w:b/>
          <w:bCs/>
          <w:sz w:val="24"/>
          <w:szCs w:val="24"/>
        </w:rPr>
        <w:t>Findings</w:t>
      </w:r>
      <w:r>
        <w:rPr>
          <w:rFonts w:ascii="Arial" w:hAnsi="Arial" w:cs="Arial"/>
          <w:b/>
          <w:bCs/>
          <w:sz w:val="24"/>
          <w:szCs w:val="24"/>
        </w:rPr>
        <w:t>: the overall picture</w:t>
      </w:r>
    </w:p>
    <w:p w14:paraId="1EA01F34" w14:textId="392FF785" w:rsidR="00590979" w:rsidRPr="000C1702" w:rsidRDefault="00590979" w:rsidP="00F134BB">
      <w:pPr>
        <w:spacing w:line="360" w:lineRule="auto"/>
        <w:rPr>
          <w:rFonts w:ascii="Arial" w:hAnsi="Arial" w:cs="Arial"/>
          <w:sz w:val="24"/>
          <w:szCs w:val="24"/>
        </w:rPr>
      </w:pPr>
      <w:r w:rsidRPr="000C1702">
        <w:rPr>
          <w:rFonts w:ascii="Arial" w:hAnsi="Arial" w:cs="Arial"/>
          <w:sz w:val="24"/>
          <w:szCs w:val="24"/>
        </w:rPr>
        <w:t>Quantitative analysis of the sample of cases gave insight into the characteristics of the people referred, by whom and the main allegations made</w:t>
      </w:r>
      <w:r>
        <w:rPr>
          <w:rFonts w:ascii="Arial" w:hAnsi="Arial" w:cs="Arial"/>
          <w:sz w:val="24"/>
          <w:szCs w:val="24"/>
        </w:rPr>
        <w:t>. T</w:t>
      </w:r>
      <w:r w:rsidRPr="000C1702">
        <w:rPr>
          <w:rFonts w:ascii="Arial" w:hAnsi="Arial" w:cs="Arial"/>
          <w:sz w:val="24"/>
          <w:szCs w:val="24"/>
        </w:rPr>
        <w:t xml:space="preserve">wo </w:t>
      </w:r>
      <w:r>
        <w:rPr>
          <w:rFonts w:ascii="Arial" w:hAnsi="Arial" w:cs="Arial"/>
          <w:sz w:val="24"/>
          <w:szCs w:val="24"/>
        </w:rPr>
        <w:t>features are noteworthy. F</w:t>
      </w:r>
      <w:r w:rsidRPr="000C1702">
        <w:rPr>
          <w:rFonts w:ascii="Arial" w:hAnsi="Arial" w:cs="Arial"/>
          <w:sz w:val="24"/>
          <w:szCs w:val="24"/>
        </w:rPr>
        <w:t>irstly, men were over</w:t>
      </w:r>
      <w:r>
        <w:rPr>
          <w:rFonts w:ascii="Arial" w:hAnsi="Arial" w:cs="Arial"/>
          <w:sz w:val="24"/>
          <w:szCs w:val="24"/>
        </w:rPr>
        <w:t>-</w:t>
      </w:r>
      <w:r w:rsidRPr="000C1702">
        <w:rPr>
          <w:rFonts w:ascii="Arial" w:hAnsi="Arial" w:cs="Arial"/>
          <w:sz w:val="24"/>
          <w:szCs w:val="24"/>
        </w:rPr>
        <w:t>represented, constituting 31% of the sample,</w:t>
      </w:r>
      <w:r>
        <w:rPr>
          <w:rFonts w:ascii="Arial" w:hAnsi="Arial" w:cs="Arial"/>
          <w:sz w:val="24"/>
          <w:szCs w:val="24"/>
        </w:rPr>
        <w:t xml:space="preserve"> compared with a figure of</w:t>
      </w:r>
      <w:r w:rsidR="00C43C89">
        <w:rPr>
          <w:rFonts w:ascii="Arial" w:hAnsi="Arial" w:cs="Arial"/>
          <w:sz w:val="24"/>
          <w:szCs w:val="24"/>
        </w:rPr>
        <w:t xml:space="preserve"> approximately</w:t>
      </w:r>
      <w:r>
        <w:rPr>
          <w:rFonts w:ascii="Arial" w:hAnsi="Arial" w:cs="Arial"/>
          <w:sz w:val="24"/>
          <w:szCs w:val="24"/>
        </w:rPr>
        <w:t xml:space="preserve"> </w:t>
      </w:r>
      <w:r w:rsidRPr="000C1702">
        <w:rPr>
          <w:rFonts w:ascii="Arial" w:hAnsi="Arial" w:cs="Arial"/>
          <w:sz w:val="24"/>
          <w:szCs w:val="24"/>
        </w:rPr>
        <w:t>20% of social workers on the register. Second, those employed in children and family services form</w:t>
      </w:r>
      <w:r w:rsidR="00CB0112">
        <w:rPr>
          <w:rFonts w:ascii="Arial" w:hAnsi="Arial" w:cs="Arial"/>
          <w:sz w:val="24"/>
          <w:szCs w:val="24"/>
        </w:rPr>
        <w:t>ed</w:t>
      </w:r>
      <w:r w:rsidRPr="000C1702">
        <w:rPr>
          <w:rFonts w:ascii="Arial" w:hAnsi="Arial" w:cs="Arial"/>
          <w:sz w:val="24"/>
          <w:szCs w:val="24"/>
        </w:rPr>
        <w:t xml:space="preserve"> the majority of referrals (69%)</w:t>
      </w:r>
      <w:r>
        <w:rPr>
          <w:rFonts w:ascii="Arial" w:hAnsi="Arial" w:cs="Arial"/>
          <w:sz w:val="24"/>
          <w:szCs w:val="24"/>
        </w:rPr>
        <w:t xml:space="preserve">, compared with </w:t>
      </w:r>
      <w:r w:rsidRPr="000C1702">
        <w:rPr>
          <w:rFonts w:ascii="Arial" w:hAnsi="Arial" w:cs="Arial"/>
          <w:sz w:val="24"/>
          <w:szCs w:val="24"/>
        </w:rPr>
        <w:t xml:space="preserve">adult social work </w:t>
      </w:r>
      <w:r>
        <w:rPr>
          <w:rFonts w:ascii="Arial" w:hAnsi="Arial" w:cs="Arial"/>
          <w:sz w:val="24"/>
          <w:szCs w:val="24"/>
        </w:rPr>
        <w:t>(</w:t>
      </w:r>
      <w:r w:rsidRPr="000C1702">
        <w:rPr>
          <w:rFonts w:ascii="Arial" w:hAnsi="Arial" w:cs="Arial"/>
          <w:sz w:val="24"/>
          <w:szCs w:val="24"/>
        </w:rPr>
        <w:t>16%</w:t>
      </w:r>
      <w:r>
        <w:rPr>
          <w:rFonts w:ascii="Arial" w:hAnsi="Arial" w:cs="Arial"/>
          <w:sz w:val="24"/>
          <w:szCs w:val="24"/>
        </w:rPr>
        <w:t>) and</w:t>
      </w:r>
      <w:r w:rsidRPr="000C1702">
        <w:rPr>
          <w:rFonts w:ascii="Arial" w:hAnsi="Arial" w:cs="Arial"/>
          <w:sz w:val="24"/>
          <w:szCs w:val="24"/>
        </w:rPr>
        <w:t xml:space="preserve"> mental health social work </w:t>
      </w:r>
      <w:r>
        <w:rPr>
          <w:rFonts w:ascii="Arial" w:hAnsi="Arial" w:cs="Arial"/>
          <w:sz w:val="24"/>
          <w:szCs w:val="24"/>
        </w:rPr>
        <w:t>(</w:t>
      </w:r>
      <w:r w:rsidRPr="000C1702">
        <w:rPr>
          <w:rFonts w:ascii="Arial" w:hAnsi="Arial" w:cs="Arial"/>
          <w:sz w:val="24"/>
          <w:szCs w:val="24"/>
        </w:rPr>
        <w:t>10%). This is significant</w:t>
      </w:r>
      <w:r>
        <w:rPr>
          <w:rFonts w:ascii="Arial" w:hAnsi="Arial" w:cs="Arial"/>
          <w:sz w:val="24"/>
          <w:szCs w:val="24"/>
        </w:rPr>
        <w:t xml:space="preserve">ly higher than the proportion of registered social workers employed in this field. Although exact numbers are </w:t>
      </w:r>
      <w:r w:rsidR="00547D01">
        <w:rPr>
          <w:rFonts w:ascii="Arial" w:hAnsi="Arial" w:cs="Arial"/>
          <w:sz w:val="24"/>
          <w:szCs w:val="24"/>
        </w:rPr>
        <w:t>un</w:t>
      </w:r>
      <w:r>
        <w:rPr>
          <w:rFonts w:ascii="Arial" w:hAnsi="Arial" w:cs="Arial"/>
          <w:sz w:val="24"/>
          <w:szCs w:val="24"/>
        </w:rPr>
        <w:t xml:space="preserve">available, </w:t>
      </w:r>
      <w:r w:rsidRPr="000C1702">
        <w:rPr>
          <w:rFonts w:ascii="Arial" w:hAnsi="Arial" w:cs="Arial"/>
          <w:sz w:val="24"/>
          <w:szCs w:val="24"/>
        </w:rPr>
        <w:t>only about one third of registered social workers in England were employed in local authority children and family services in 2016 (</w:t>
      </w:r>
      <w:r>
        <w:rPr>
          <w:rFonts w:ascii="Arial" w:hAnsi="Arial" w:cs="Arial"/>
          <w:sz w:val="24"/>
          <w:szCs w:val="24"/>
        </w:rPr>
        <w:t xml:space="preserve">this obviously </w:t>
      </w:r>
      <w:r w:rsidRPr="000C1702">
        <w:rPr>
          <w:rFonts w:ascii="Arial" w:hAnsi="Arial" w:cs="Arial"/>
          <w:sz w:val="24"/>
          <w:szCs w:val="24"/>
        </w:rPr>
        <w:t>exclud</w:t>
      </w:r>
      <w:r>
        <w:rPr>
          <w:rFonts w:ascii="Arial" w:hAnsi="Arial" w:cs="Arial"/>
          <w:sz w:val="24"/>
          <w:szCs w:val="24"/>
        </w:rPr>
        <w:t>es</w:t>
      </w:r>
      <w:r w:rsidRPr="000C1702">
        <w:rPr>
          <w:rFonts w:ascii="Arial" w:hAnsi="Arial" w:cs="Arial"/>
          <w:sz w:val="24"/>
          <w:szCs w:val="24"/>
        </w:rPr>
        <w:t xml:space="preserve"> those </w:t>
      </w:r>
      <w:r>
        <w:rPr>
          <w:rFonts w:ascii="Arial" w:hAnsi="Arial" w:cs="Arial"/>
          <w:sz w:val="24"/>
          <w:szCs w:val="24"/>
        </w:rPr>
        <w:t xml:space="preserve">employed in </w:t>
      </w:r>
      <w:r w:rsidRPr="000C1702">
        <w:rPr>
          <w:rFonts w:ascii="Arial" w:hAnsi="Arial" w:cs="Arial"/>
          <w:sz w:val="24"/>
          <w:szCs w:val="24"/>
        </w:rPr>
        <w:t>Cafcass</w:t>
      </w:r>
      <w:r>
        <w:rPr>
          <w:rFonts w:ascii="Arial" w:hAnsi="Arial" w:cs="Arial"/>
          <w:sz w:val="24"/>
          <w:szCs w:val="24"/>
        </w:rPr>
        <w:t xml:space="preserve">, </w:t>
      </w:r>
      <w:r w:rsidRPr="000C1702">
        <w:rPr>
          <w:rFonts w:ascii="Arial" w:hAnsi="Arial" w:cs="Arial"/>
          <w:sz w:val="24"/>
          <w:szCs w:val="24"/>
        </w:rPr>
        <w:t xml:space="preserve">the voluntary </w:t>
      </w:r>
      <w:r>
        <w:rPr>
          <w:rFonts w:ascii="Arial" w:hAnsi="Arial" w:cs="Arial"/>
          <w:sz w:val="24"/>
          <w:szCs w:val="24"/>
        </w:rPr>
        <w:t>and</w:t>
      </w:r>
      <w:r w:rsidRPr="000C1702">
        <w:rPr>
          <w:rFonts w:ascii="Arial" w:hAnsi="Arial" w:cs="Arial"/>
          <w:sz w:val="24"/>
          <w:szCs w:val="24"/>
        </w:rPr>
        <w:t xml:space="preserve"> private sector</w:t>
      </w:r>
      <w:r w:rsidR="00547D01">
        <w:rPr>
          <w:rFonts w:ascii="Arial" w:hAnsi="Arial" w:cs="Arial"/>
          <w:sz w:val="24"/>
          <w:szCs w:val="24"/>
        </w:rPr>
        <w:t xml:space="preserve">, </w:t>
      </w:r>
      <w:hyperlink r:id="rId9" w:history="1">
        <w:r w:rsidR="00547D01" w:rsidRPr="00E65679">
          <w:rPr>
            <w:rStyle w:val="Hyperlink"/>
            <w:rFonts w:ascii="Arial" w:hAnsi="Arial" w:cs="Arial"/>
            <w:sz w:val="24"/>
            <w:szCs w:val="24"/>
          </w:rPr>
          <w:t>www.gov.uk/government/statistics/childrens-social-work-workforce-2016</w:t>
        </w:r>
      </w:hyperlink>
      <w:r w:rsidRPr="000C1702">
        <w:rPr>
          <w:rFonts w:ascii="Arial" w:hAnsi="Arial" w:cs="Arial"/>
          <w:sz w:val="24"/>
          <w:szCs w:val="24"/>
        </w:rPr>
        <w:t>)</w:t>
      </w:r>
    </w:p>
    <w:p w14:paraId="64C14C6F" w14:textId="5B0AC83E" w:rsidR="00590979" w:rsidRPr="000C1702" w:rsidRDefault="00590979" w:rsidP="00F134BB">
      <w:pPr>
        <w:spacing w:line="360" w:lineRule="auto"/>
        <w:rPr>
          <w:rFonts w:ascii="Arial" w:hAnsi="Arial" w:cs="Arial"/>
          <w:sz w:val="24"/>
          <w:szCs w:val="24"/>
        </w:rPr>
      </w:pPr>
      <w:r w:rsidRPr="000C1702">
        <w:rPr>
          <w:rFonts w:ascii="Arial" w:hAnsi="Arial" w:cs="Arial"/>
          <w:sz w:val="24"/>
          <w:szCs w:val="24"/>
        </w:rPr>
        <w:t xml:space="preserve">Examining the source of referrals in the sample </w:t>
      </w:r>
      <w:r w:rsidR="00CB0112">
        <w:rPr>
          <w:rFonts w:ascii="Arial" w:hAnsi="Arial" w:cs="Arial"/>
          <w:sz w:val="24"/>
          <w:szCs w:val="24"/>
        </w:rPr>
        <w:t xml:space="preserve">(Table 1) </w:t>
      </w:r>
      <w:r w:rsidR="00440A3C">
        <w:rPr>
          <w:rFonts w:ascii="Arial" w:hAnsi="Arial" w:cs="Arial"/>
          <w:sz w:val="24"/>
          <w:szCs w:val="24"/>
        </w:rPr>
        <w:t xml:space="preserve">shows </w:t>
      </w:r>
      <w:r w:rsidRPr="000C1702">
        <w:rPr>
          <w:rFonts w:ascii="Arial" w:hAnsi="Arial" w:cs="Arial"/>
          <w:sz w:val="24"/>
          <w:szCs w:val="24"/>
        </w:rPr>
        <w:t xml:space="preserve">just over half (56%) made by service users or members of the public (frequently family members or friends of service users). This is much higher than </w:t>
      </w:r>
      <w:r>
        <w:rPr>
          <w:rFonts w:ascii="Arial" w:hAnsi="Arial" w:cs="Arial"/>
          <w:sz w:val="24"/>
          <w:szCs w:val="24"/>
        </w:rPr>
        <w:t xml:space="preserve">for </w:t>
      </w:r>
      <w:r w:rsidR="00CB0112">
        <w:rPr>
          <w:rFonts w:ascii="Arial" w:hAnsi="Arial" w:cs="Arial"/>
          <w:sz w:val="24"/>
          <w:szCs w:val="24"/>
        </w:rPr>
        <w:t xml:space="preserve">the 15 </w:t>
      </w:r>
      <w:r w:rsidRPr="000C1702">
        <w:rPr>
          <w:rFonts w:ascii="Arial" w:hAnsi="Arial" w:cs="Arial"/>
          <w:sz w:val="24"/>
          <w:szCs w:val="24"/>
        </w:rPr>
        <w:t>other HCPC</w:t>
      </w:r>
      <w:r w:rsidR="00FD792D">
        <w:rPr>
          <w:rFonts w:ascii="Arial" w:hAnsi="Arial" w:cs="Arial"/>
          <w:sz w:val="24"/>
          <w:szCs w:val="24"/>
        </w:rPr>
        <w:t>-</w:t>
      </w:r>
      <w:r w:rsidRPr="000C1702">
        <w:rPr>
          <w:rFonts w:ascii="Arial" w:hAnsi="Arial" w:cs="Arial"/>
          <w:sz w:val="24"/>
          <w:szCs w:val="24"/>
        </w:rPr>
        <w:t xml:space="preserve">regulated </w:t>
      </w:r>
      <w:r w:rsidRPr="00D471A8">
        <w:rPr>
          <w:rFonts w:ascii="Arial" w:hAnsi="Arial" w:cs="Arial"/>
          <w:sz w:val="24"/>
          <w:szCs w:val="24"/>
        </w:rPr>
        <w:t>professions</w:t>
      </w:r>
      <w:r w:rsidR="00CB0112">
        <w:rPr>
          <w:rFonts w:ascii="Arial" w:hAnsi="Arial" w:cs="Arial"/>
          <w:sz w:val="24"/>
          <w:szCs w:val="24"/>
        </w:rPr>
        <w:t xml:space="preserve"> </w:t>
      </w:r>
      <w:r w:rsidR="00FD792D">
        <w:rPr>
          <w:rFonts w:ascii="Arial" w:hAnsi="Arial" w:cs="Arial"/>
          <w:sz w:val="24"/>
          <w:szCs w:val="24"/>
        </w:rPr>
        <w:t xml:space="preserve">(average </w:t>
      </w:r>
      <w:r w:rsidRPr="00D471A8">
        <w:rPr>
          <w:rFonts w:ascii="Arial" w:eastAsia="Cambria" w:hAnsi="Arial" w:cs="Arial"/>
          <w:sz w:val="24"/>
          <w:szCs w:val="24"/>
        </w:rPr>
        <w:t>32%</w:t>
      </w:r>
      <w:r w:rsidR="00FD792D">
        <w:rPr>
          <w:rFonts w:ascii="Arial" w:eastAsia="Cambria" w:hAnsi="Arial" w:cs="Arial"/>
          <w:sz w:val="24"/>
          <w:szCs w:val="24"/>
        </w:rPr>
        <w:t xml:space="preserve">, </w:t>
      </w:r>
      <w:r w:rsidRPr="00D471A8">
        <w:rPr>
          <w:rFonts w:ascii="Arial" w:eastAsia="Cambria" w:hAnsi="Arial" w:cs="Arial"/>
          <w:sz w:val="24"/>
          <w:szCs w:val="24"/>
        </w:rPr>
        <w:t xml:space="preserve">calculated from HCPC, 2015, p. 11). </w:t>
      </w:r>
      <w:r w:rsidR="00FD792D">
        <w:rPr>
          <w:rFonts w:ascii="Arial" w:eastAsia="Cambria" w:hAnsi="Arial" w:cs="Arial"/>
          <w:sz w:val="24"/>
          <w:szCs w:val="24"/>
        </w:rPr>
        <w:t>H</w:t>
      </w:r>
      <w:r w:rsidR="00FD792D">
        <w:rPr>
          <w:rFonts w:ascii="Arial" w:hAnsi="Arial" w:cs="Arial"/>
          <w:sz w:val="24"/>
          <w:szCs w:val="24"/>
        </w:rPr>
        <w:t>owever, s</w:t>
      </w:r>
      <w:r w:rsidRPr="000C1702">
        <w:rPr>
          <w:rFonts w:ascii="Arial" w:hAnsi="Arial" w:cs="Arial"/>
          <w:sz w:val="24"/>
          <w:szCs w:val="24"/>
        </w:rPr>
        <w:t xml:space="preserve">ervice user and member of the public referrals </w:t>
      </w:r>
      <w:r>
        <w:rPr>
          <w:rFonts w:ascii="Arial" w:hAnsi="Arial" w:cs="Arial"/>
          <w:sz w:val="24"/>
          <w:szCs w:val="24"/>
        </w:rPr>
        <w:t xml:space="preserve">together </w:t>
      </w:r>
      <w:r w:rsidRPr="000C1702">
        <w:rPr>
          <w:rFonts w:ascii="Arial" w:hAnsi="Arial" w:cs="Arial"/>
          <w:sz w:val="24"/>
          <w:szCs w:val="24"/>
        </w:rPr>
        <w:t xml:space="preserve">comprised 70% of referrals closed at the initial stage, </w:t>
      </w:r>
      <w:r>
        <w:rPr>
          <w:rFonts w:ascii="Arial" w:hAnsi="Arial" w:cs="Arial"/>
          <w:sz w:val="24"/>
          <w:szCs w:val="24"/>
        </w:rPr>
        <w:t xml:space="preserve">and </w:t>
      </w:r>
      <w:r w:rsidRPr="000C1702">
        <w:rPr>
          <w:rFonts w:ascii="Arial" w:hAnsi="Arial" w:cs="Arial"/>
          <w:sz w:val="24"/>
          <w:szCs w:val="24"/>
        </w:rPr>
        <w:t xml:space="preserve">25% </w:t>
      </w:r>
      <w:r>
        <w:rPr>
          <w:rFonts w:ascii="Arial" w:hAnsi="Arial" w:cs="Arial"/>
          <w:sz w:val="24"/>
          <w:szCs w:val="24"/>
        </w:rPr>
        <w:t>of those closed a</w:t>
      </w:r>
      <w:r w:rsidRPr="000C1702">
        <w:rPr>
          <w:rFonts w:ascii="Arial" w:hAnsi="Arial" w:cs="Arial"/>
          <w:sz w:val="24"/>
          <w:szCs w:val="24"/>
        </w:rPr>
        <w:t>t the ICP stage</w:t>
      </w:r>
      <w:r>
        <w:rPr>
          <w:rFonts w:ascii="Arial" w:hAnsi="Arial" w:cs="Arial"/>
          <w:sz w:val="24"/>
          <w:szCs w:val="24"/>
        </w:rPr>
        <w:t xml:space="preserve">, with </w:t>
      </w:r>
      <w:r w:rsidRPr="000C1702">
        <w:rPr>
          <w:rFonts w:ascii="Arial" w:hAnsi="Arial" w:cs="Arial"/>
          <w:sz w:val="24"/>
          <w:szCs w:val="24"/>
        </w:rPr>
        <w:t xml:space="preserve">only one referral </w:t>
      </w:r>
      <w:r w:rsidR="00FD792D">
        <w:rPr>
          <w:rFonts w:ascii="Arial" w:hAnsi="Arial" w:cs="Arial"/>
          <w:sz w:val="24"/>
          <w:szCs w:val="24"/>
        </w:rPr>
        <w:t>at the</w:t>
      </w:r>
      <w:r w:rsidRPr="000C1702">
        <w:rPr>
          <w:rFonts w:ascii="Arial" w:hAnsi="Arial" w:cs="Arial"/>
          <w:sz w:val="24"/>
          <w:szCs w:val="24"/>
        </w:rPr>
        <w:t xml:space="preserve"> final hearing stage (3%). Employer referrals follow a reverse pattern</w:t>
      </w:r>
      <w:r w:rsidR="00FD792D">
        <w:rPr>
          <w:rFonts w:ascii="Arial" w:hAnsi="Arial" w:cs="Arial"/>
          <w:sz w:val="24"/>
          <w:szCs w:val="24"/>
        </w:rPr>
        <w:t>,</w:t>
      </w:r>
      <w:r w:rsidRPr="000C1702">
        <w:rPr>
          <w:rFonts w:ascii="Arial" w:hAnsi="Arial" w:cs="Arial"/>
          <w:sz w:val="24"/>
          <w:szCs w:val="24"/>
        </w:rPr>
        <w:t xml:space="preserve"> constituting 10% of referrals closed at the initial stage</w:t>
      </w:r>
      <w:r>
        <w:rPr>
          <w:rFonts w:ascii="Arial" w:hAnsi="Arial" w:cs="Arial"/>
          <w:sz w:val="24"/>
          <w:szCs w:val="24"/>
        </w:rPr>
        <w:t xml:space="preserve">, </w:t>
      </w:r>
      <w:r w:rsidRPr="000C1702">
        <w:rPr>
          <w:rFonts w:ascii="Arial" w:hAnsi="Arial" w:cs="Arial"/>
          <w:sz w:val="24"/>
          <w:szCs w:val="24"/>
        </w:rPr>
        <w:t>43% closed at ICP stage</w:t>
      </w:r>
      <w:r>
        <w:rPr>
          <w:rFonts w:ascii="Arial" w:hAnsi="Arial" w:cs="Arial"/>
          <w:sz w:val="24"/>
          <w:szCs w:val="24"/>
        </w:rPr>
        <w:t xml:space="preserve">, and </w:t>
      </w:r>
      <w:r w:rsidRPr="000C1702">
        <w:rPr>
          <w:rFonts w:ascii="Arial" w:hAnsi="Arial" w:cs="Arial"/>
          <w:sz w:val="24"/>
          <w:szCs w:val="24"/>
        </w:rPr>
        <w:t>68% of referrals that made it to final hearing.</w:t>
      </w:r>
    </w:p>
    <w:p w14:paraId="669E1E28" w14:textId="522ED71A" w:rsidR="00590979" w:rsidRDefault="00590979" w:rsidP="00C00C66">
      <w:pPr>
        <w:rPr>
          <w:rFonts w:ascii="Arial" w:hAnsi="Arial" w:cs="Arial"/>
          <w:b/>
          <w:sz w:val="24"/>
          <w:szCs w:val="24"/>
        </w:rPr>
      </w:pPr>
      <w:r w:rsidRPr="00E22A09">
        <w:rPr>
          <w:rFonts w:ascii="Arial" w:hAnsi="Arial" w:cs="Arial"/>
          <w:b/>
          <w:sz w:val="24"/>
          <w:szCs w:val="24"/>
        </w:rPr>
        <w:t xml:space="preserve">Table </w:t>
      </w:r>
      <w:r w:rsidR="00FD792D">
        <w:rPr>
          <w:rFonts w:ascii="Arial" w:hAnsi="Arial" w:cs="Arial"/>
          <w:b/>
          <w:sz w:val="24"/>
          <w:szCs w:val="24"/>
        </w:rPr>
        <w:t>1</w:t>
      </w:r>
      <w:r w:rsidRPr="00E22A09">
        <w:rPr>
          <w:rFonts w:ascii="Arial" w:hAnsi="Arial" w:cs="Arial"/>
          <w:b/>
          <w:sz w:val="24"/>
          <w:szCs w:val="24"/>
        </w:rPr>
        <w:t xml:space="preserve">: Source of referral in sampled cases </w:t>
      </w:r>
      <w:r>
        <w:rPr>
          <w:rFonts w:ascii="Arial" w:hAnsi="Arial" w:cs="Arial"/>
          <w:b/>
          <w:sz w:val="24"/>
          <w:szCs w:val="24"/>
        </w:rPr>
        <w:t xml:space="preserve">at </w:t>
      </w:r>
      <w:r w:rsidRPr="00E22A09">
        <w:rPr>
          <w:rFonts w:ascii="Arial" w:hAnsi="Arial" w:cs="Arial"/>
          <w:b/>
          <w:sz w:val="24"/>
          <w:szCs w:val="24"/>
        </w:rPr>
        <w:t xml:space="preserve">each stage of </w:t>
      </w:r>
      <w:r w:rsidR="00435E94">
        <w:rPr>
          <w:rFonts w:ascii="Arial" w:hAnsi="Arial" w:cs="Arial"/>
          <w:b/>
          <w:sz w:val="24"/>
          <w:szCs w:val="24"/>
        </w:rPr>
        <w:t xml:space="preserve">the </w:t>
      </w:r>
      <w:r w:rsidRPr="00E22A09">
        <w:rPr>
          <w:rFonts w:ascii="Arial" w:hAnsi="Arial" w:cs="Arial"/>
          <w:b/>
          <w:sz w:val="24"/>
          <w:szCs w:val="24"/>
        </w:rPr>
        <w:t xml:space="preserve">process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418"/>
        <w:gridCol w:w="1417"/>
        <w:gridCol w:w="1418"/>
      </w:tblGrid>
      <w:tr w:rsidR="00590979" w:rsidRPr="000C1702" w14:paraId="213390B5" w14:textId="77777777" w:rsidTr="00FD792D">
        <w:trPr>
          <w:trHeight w:val="300"/>
        </w:trPr>
        <w:tc>
          <w:tcPr>
            <w:tcW w:w="1985" w:type="dxa"/>
            <w:noWrap/>
            <w:hideMark/>
          </w:tcPr>
          <w:p w14:paraId="5AF7CA95" w14:textId="77777777" w:rsidR="00590979" w:rsidRPr="000C1702" w:rsidRDefault="00590979" w:rsidP="00C00C66">
            <w:pPr>
              <w:rPr>
                <w:rFonts w:ascii="Arial" w:hAnsi="Arial" w:cs="Arial"/>
                <w:sz w:val="24"/>
                <w:szCs w:val="24"/>
              </w:rPr>
            </w:pPr>
          </w:p>
        </w:tc>
        <w:tc>
          <w:tcPr>
            <w:tcW w:w="1417" w:type="dxa"/>
            <w:noWrap/>
            <w:hideMark/>
          </w:tcPr>
          <w:p w14:paraId="6F239F1A" w14:textId="77777777" w:rsidR="00590979" w:rsidRPr="000C1702" w:rsidRDefault="00590979" w:rsidP="00C00C66">
            <w:pPr>
              <w:rPr>
                <w:rFonts w:ascii="Arial" w:hAnsi="Arial" w:cs="Arial"/>
                <w:b/>
                <w:bCs/>
                <w:sz w:val="24"/>
                <w:szCs w:val="24"/>
              </w:rPr>
            </w:pPr>
            <w:r w:rsidRPr="000C1702">
              <w:rPr>
                <w:rFonts w:ascii="Arial" w:hAnsi="Arial" w:cs="Arial"/>
                <w:b/>
                <w:bCs/>
                <w:sz w:val="24"/>
                <w:szCs w:val="24"/>
              </w:rPr>
              <w:t xml:space="preserve">% </w:t>
            </w:r>
            <w:r>
              <w:rPr>
                <w:rFonts w:ascii="Arial" w:hAnsi="Arial" w:cs="Arial"/>
                <w:b/>
                <w:bCs/>
                <w:sz w:val="24"/>
                <w:szCs w:val="24"/>
              </w:rPr>
              <w:t>i</w:t>
            </w:r>
            <w:r w:rsidRPr="000C1702">
              <w:rPr>
                <w:rFonts w:ascii="Arial" w:hAnsi="Arial" w:cs="Arial"/>
                <w:b/>
                <w:bCs/>
                <w:sz w:val="24"/>
                <w:szCs w:val="24"/>
              </w:rPr>
              <w:t xml:space="preserve">nitial </w:t>
            </w:r>
            <w:r>
              <w:rPr>
                <w:rFonts w:ascii="Arial" w:hAnsi="Arial" w:cs="Arial"/>
                <w:b/>
                <w:bCs/>
                <w:sz w:val="24"/>
                <w:szCs w:val="24"/>
              </w:rPr>
              <w:t>s</w:t>
            </w:r>
            <w:r w:rsidRPr="000C1702">
              <w:rPr>
                <w:rFonts w:ascii="Arial" w:hAnsi="Arial" w:cs="Arial"/>
                <w:b/>
                <w:bCs/>
                <w:sz w:val="24"/>
                <w:szCs w:val="24"/>
              </w:rPr>
              <w:t>tage n=173</w:t>
            </w:r>
          </w:p>
        </w:tc>
        <w:tc>
          <w:tcPr>
            <w:tcW w:w="1418" w:type="dxa"/>
            <w:hideMark/>
          </w:tcPr>
          <w:p w14:paraId="449B94A4" w14:textId="77777777" w:rsidR="00590979" w:rsidRPr="000C1702" w:rsidRDefault="00590979" w:rsidP="00C00C66">
            <w:pPr>
              <w:rPr>
                <w:rFonts w:ascii="Arial" w:hAnsi="Arial" w:cs="Arial"/>
                <w:b/>
                <w:bCs/>
                <w:sz w:val="24"/>
                <w:szCs w:val="24"/>
              </w:rPr>
            </w:pPr>
            <w:r w:rsidRPr="000C1702">
              <w:rPr>
                <w:rFonts w:ascii="Arial" w:hAnsi="Arial" w:cs="Arial"/>
                <w:b/>
                <w:bCs/>
                <w:sz w:val="24"/>
                <w:szCs w:val="24"/>
              </w:rPr>
              <w:t>% ICP n=28</w:t>
            </w:r>
          </w:p>
        </w:tc>
        <w:tc>
          <w:tcPr>
            <w:tcW w:w="1417" w:type="dxa"/>
            <w:noWrap/>
            <w:hideMark/>
          </w:tcPr>
          <w:p w14:paraId="1FA23C82" w14:textId="77777777" w:rsidR="00590979" w:rsidRPr="000C1702" w:rsidRDefault="00590979" w:rsidP="00C00C66">
            <w:pPr>
              <w:rPr>
                <w:rFonts w:ascii="Arial" w:hAnsi="Arial" w:cs="Arial"/>
                <w:b/>
                <w:bCs/>
                <w:sz w:val="24"/>
                <w:szCs w:val="24"/>
              </w:rPr>
            </w:pPr>
            <w:r w:rsidRPr="000C1702">
              <w:rPr>
                <w:rFonts w:ascii="Arial" w:hAnsi="Arial" w:cs="Arial"/>
                <w:b/>
                <w:bCs/>
                <w:sz w:val="24"/>
                <w:szCs w:val="24"/>
              </w:rPr>
              <w:t>% FH n=31</w:t>
            </w:r>
          </w:p>
        </w:tc>
        <w:tc>
          <w:tcPr>
            <w:tcW w:w="1418" w:type="dxa"/>
            <w:noWrap/>
            <w:hideMark/>
          </w:tcPr>
          <w:p w14:paraId="2DF81467" w14:textId="3EAD49C2" w:rsidR="00590979" w:rsidRPr="000C1702" w:rsidRDefault="00590979" w:rsidP="00FD792D">
            <w:pPr>
              <w:rPr>
                <w:rFonts w:ascii="Arial" w:hAnsi="Arial" w:cs="Arial"/>
                <w:b/>
                <w:bCs/>
                <w:sz w:val="24"/>
                <w:szCs w:val="24"/>
              </w:rPr>
            </w:pPr>
            <w:r w:rsidRPr="000C1702">
              <w:rPr>
                <w:rFonts w:ascii="Arial" w:hAnsi="Arial" w:cs="Arial"/>
                <w:b/>
                <w:bCs/>
                <w:sz w:val="24"/>
                <w:szCs w:val="24"/>
              </w:rPr>
              <w:t>%</w:t>
            </w:r>
            <w:r>
              <w:rPr>
                <w:rFonts w:ascii="Arial" w:hAnsi="Arial" w:cs="Arial"/>
                <w:b/>
                <w:bCs/>
                <w:sz w:val="24"/>
                <w:szCs w:val="24"/>
              </w:rPr>
              <w:t xml:space="preserve"> at all stages</w:t>
            </w:r>
            <w:r w:rsidR="00FD792D">
              <w:rPr>
                <w:rFonts w:ascii="Arial" w:hAnsi="Arial" w:cs="Arial"/>
                <w:b/>
                <w:bCs/>
                <w:sz w:val="24"/>
                <w:szCs w:val="24"/>
              </w:rPr>
              <w:t xml:space="preserve"> n=232</w:t>
            </w:r>
          </w:p>
        </w:tc>
      </w:tr>
      <w:tr w:rsidR="00590979" w:rsidRPr="000C1702" w14:paraId="4232CE94" w14:textId="77777777" w:rsidTr="00FD792D">
        <w:trPr>
          <w:trHeight w:val="280"/>
        </w:trPr>
        <w:tc>
          <w:tcPr>
            <w:tcW w:w="1985" w:type="dxa"/>
            <w:noWrap/>
            <w:hideMark/>
          </w:tcPr>
          <w:p w14:paraId="524328B3" w14:textId="77777777" w:rsidR="00590979" w:rsidRPr="000C1702" w:rsidRDefault="00590979" w:rsidP="00C00C66">
            <w:pPr>
              <w:rPr>
                <w:rFonts w:ascii="Arial" w:hAnsi="Arial" w:cs="Arial"/>
                <w:i/>
                <w:iCs/>
                <w:sz w:val="24"/>
                <w:szCs w:val="24"/>
              </w:rPr>
            </w:pPr>
            <w:r w:rsidRPr="000C1702">
              <w:rPr>
                <w:rFonts w:ascii="Arial" w:hAnsi="Arial" w:cs="Arial"/>
                <w:sz w:val="24"/>
                <w:szCs w:val="24"/>
              </w:rPr>
              <w:t>Service user</w:t>
            </w:r>
          </w:p>
        </w:tc>
        <w:tc>
          <w:tcPr>
            <w:tcW w:w="1417" w:type="dxa"/>
            <w:noWrap/>
            <w:vAlign w:val="center"/>
            <w:hideMark/>
          </w:tcPr>
          <w:p w14:paraId="757D36A9"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35</w:t>
            </w:r>
          </w:p>
        </w:tc>
        <w:tc>
          <w:tcPr>
            <w:tcW w:w="1418" w:type="dxa"/>
            <w:noWrap/>
            <w:vAlign w:val="center"/>
            <w:hideMark/>
          </w:tcPr>
          <w:p w14:paraId="5FA6F737"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18</w:t>
            </w:r>
          </w:p>
        </w:tc>
        <w:tc>
          <w:tcPr>
            <w:tcW w:w="1417" w:type="dxa"/>
            <w:noWrap/>
            <w:vAlign w:val="center"/>
            <w:hideMark/>
          </w:tcPr>
          <w:p w14:paraId="2366E2B5"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0</w:t>
            </w:r>
          </w:p>
        </w:tc>
        <w:tc>
          <w:tcPr>
            <w:tcW w:w="1418" w:type="dxa"/>
            <w:noWrap/>
            <w:vAlign w:val="center"/>
            <w:hideMark/>
          </w:tcPr>
          <w:p w14:paraId="3D13F88B"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28</w:t>
            </w:r>
          </w:p>
        </w:tc>
      </w:tr>
      <w:tr w:rsidR="00590979" w:rsidRPr="000C1702" w14:paraId="5986D7A2" w14:textId="77777777" w:rsidTr="00FD792D">
        <w:trPr>
          <w:trHeight w:val="280"/>
        </w:trPr>
        <w:tc>
          <w:tcPr>
            <w:tcW w:w="1985" w:type="dxa"/>
            <w:noWrap/>
            <w:hideMark/>
          </w:tcPr>
          <w:p w14:paraId="322BD4B0" w14:textId="77777777" w:rsidR="00590979" w:rsidRPr="000C1702" w:rsidRDefault="00590979" w:rsidP="00C00C66">
            <w:pPr>
              <w:rPr>
                <w:rFonts w:ascii="Arial" w:hAnsi="Arial" w:cs="Arial"/>
                <w:i/>
                <w:iCs/>
                <w:sz w:val="24"/>
                <w:szCs w:val="24"/>
              </w:rPr>
            </w:pPr>
            <w:r w:rsidRPr="000C1702">
              <w:rPr>
                <w:rFonts w:ascii="Arial" w:hAnsi="Arial" w:cs="Arial"/>
                <w:sz w:val="24"/>
                <w:szCs w:val="24"/>
              </w:rPr>
              <w:t>Public</w:t>
            </w:r>
          </w:p>
        </w:tc>
        <w:tc>
          <w:tcPr>
            <w:tcW w:w="1417" w:type="dxa"/>
            <w:noWrap/>
            <w:vAlign w:val="center"/>
            <w:hideMark/>
          </w:tcPr>
          <w:p w14:paraId="568B445F"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35</w:t>
            </w:r>
          </w:p>
        </w:tc>
        <w:tc>
          <w:tcPr>
            <w:tcW w:w="1418" w:type="dxa"/>
            <w:noWrap/>
            <w:vAlign w:val="center"/>
            <w:hideMark/>
          </w:tcPr>
          <w:p w14:paraId="37CAC196"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7</w:t>
            </w:r>
          </w:p>
        </w:tc>
        <w:tc>
          <w:tcPr>
            <w:tcW w:w="1417" w:type="dxa"/>
            <w:noWrap/>
            <w:vAlign w:val="center"/>
            <w:hideMark/>
          </w:tcPr>
          <w:p w14:paraId="78715F7F"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3</w:t>
            </w:r>
          </w:p>
        </w:tc>
        <w:tc>
          <w:tcPr>
            <w:tcW w:w="1418" w:type="dxa"/>
            <w:noWrap/>
            <w:vAlign w:val="center"/>
            <w:hideMark/>
          </w:tcPr>
          <w:p w14:paraId="30697A55"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28</w:t>
            </w:r>
          </w:p>
        </w:tc>
      </w:tr>
      <w:tr w:rsidR="00590979" w:rsidRPr="000C1702" w14:paraId="7034FEDE" w14:textId="77777777" w:rsidTr="00FD792D">
        <w:trPr>
          <w:trHeight w:val="280"/>
        </w:trPr>
        <w:tc>
          <w:tcPr>
            <w:tcW w:w="1985" w:type="dxa"/>
            <w:noWrap/>
            <w:hideMark/>
          </w:tcPr>
          <w:p w14:paraId="250B4A01" w14:textId="77777777" w:rsidR="00590979" w:rsidRPr="000C1702" w:rsidRDefault="00590979" w:rsidP="00C00C66">
            <w:pPr>
              <w:rPr>
                <w:rFonts w:ascii="Arial" w:hAnsi="Arial" w:cs="Arial"/>
                <w:i/>
                <w:iCs/>
                <w:sz w:val="24"/>
                <w:szCs w:val="24"/>
              </w:rPr>
            </w:pPr>
            <w:r w:rsidRPr="000C1702">
              <w:rPr>
                <w:rFonts w:ascii="Arial" w:hAnsi="Arial" w:cs="Arial"/>
                <w:sz w:val="24"/>
                <w:szCs w:val="24"/>
              </w:rPr>
              <w:lastRenderedPageBreak/>
              <w:t>Employer</w:t>
            </w:r>
          </w:p>
        </w:tc>
        <w:tc>
          <w:tcPr>
            <w:tcW w:w="1417" w:type="dxa"/>
            <w:noWrap/>
            <w:vAlign w:val="center"/>
            <w:hideMark/>
          </w:tcPr>
          <w:p w14:paraId="3D22CE46"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10</w:t>
            </w:r>
          </w:p>
        </w:tc>
        <w:tc>
          <w:tcPr>
            <w:tcW w:w="1418" w:type="dxa"/>
            <w:noWrap/>
            <w:vAlign w:val="center"/>
            <w:hideMark/>
          </w:tcPr>
          <w:p w14:paraId="7B5018F6"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43</w:t>
            </w:r>
          </w:p>
        </w:tc>
        <w:tc>
          <w:tcPr>
            <w:tcW w:w="1417" w:type="dxa"/>
            <w:noWrap/>
            <w:vAlign w:val="center"/>
            <w:hideMark/>
          </w:tcPr>
          <w:p w14:paraId="4ADA84C9"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68</w:t>
            </w:r>
          </w:p>
        </w:tc>
        <w:tc>
          <w:tcPr>
            <w:tcW w:w="1418" w:type="dxa"/>
            <w:noWrap/>
            <w:vAlign w:val="center"/>
            <w:hideMark/>
          </w:tcPr>
          <w:p w14:paraId="3C24F0C1"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22</w:t>
            </w:r>
          </w:p>
        </w:tc>
      </w:tr>
      <w:tr w:rsidR="00590979" w:rsidRPr="000C1702" w14:paraId="1DDF76D3" w14:textId="77777777" w:rsidTr="00FD792D">
        <w:trPr>
          <w:trHeight w:val="280"/>
        </w:trPr>
        <w:tc>
          <w:tcPr>
            <w:tcW w:w="1985" w:type="dxa"/>
            <w:noWrap/>
            <w:hideMark/>
          </w:tcPr>
          <w:p w14:paraId="3C2273EC" w14:textId="47B0D49B" w:rsidR="00590979" w:rsidRPr="000C1702" w:rsidRDefault="00590979" w:rsidP="00440A3C">
            <w:pPr>
              <w:rPr>
                <w:rFonts w:ascii="Arial" w:hAnsi="Arial" w:cs="Arial"/>
                <w:i/>
                <w:iCs/>
                <w:sz w:val="24"/>
                <w:szCs w:val="24"/>
              </w:rPr>
            </w:pPr>
            <w:r w:rsidRPr="000C1702">
              <w:rPr>
                <w:rFonts w:ascii="Arial" w:hAnsi="Arial" w:cs="Arial"/>
                <w:sz w:val="24"/>
                <w:szCs w:val="24"/>
              </w:rPr>
              <w:t>Self</w:t>
            </w:r>
            <w:r>
              <w:rPr>
                <w:rFonts w:ascii="Arial" w:hAnsi="Arial" w:cs="Arial"/>
                <w:sz w:val="24"/>
                <w:szCs w:val="24"/>
              </w:rPr>
              <w:t>-</w:t>
            </w:r>
            <w:r w:rsidRPr="000C1702">
              <w:rPr>
                <w:rFonts w:ascii="Arial" w:hAnsi="Arial" w:cs="Arial"/>
                <w:sz w:val="24"/>
                <w:szCs w:val="24"/>
              </w:rPr>
              <w:t>referral</w:t>
            </w:r>
          </w:p>
        </w:tc>
        <w:tc>
          <w:tcPr>
            <w:tcW w:w="1417" w:type="dxa"/>
            <w:noWrap/>
            <w:vAlign w:val="center"/>
            <w:hideMark/>
          </w:tcPr>
          <w:p w14:paraId="10C60685"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9</w:t>
            </w:r>
          </w:p>
        </w:tc>
        <w:tc>
          <w:tcPr>
            <w:tcW w:w="1418" w:type="dxa"/>
            <w:noWrap/>
            <w:vAlign w:val="center"/>
            <w:hideMark/>
          </w:tcPr>
          <w:p w14:paraId="17F4D15E"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25</w:t>
            </w:r>
          </w:p>
        </w:tc>
        <w:tc>
          <w:tcPr>
            <w:tcW w:w="1417" w:type="dxa"/>
            <w:noWrap/>
            <w:vAlign w:val="center"/>
            <w:hideMark/>
          </w:tcPr>
          <w:p w14:paraId="2610CDB4"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16</w:t>
            </w:r>
          </w:p>
        </w:tc>
        <w:tc>
          <w:tcPr>
            <w:tcW w:w="1418" w:type="dxa"/>
            <w:noWrap/>
            <w:vAlign w:val="center"/>
            <w:hideMark/>
          </w:tcPr>
          <w:p w14:paraId="6DB041F6"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12</w:t>
            </w:r>
          </w:p>
        </w:tc>
      </w:tr>
      <w:tr w:rsidR="00590979" w:rsidRPr="000C1702" w14:paraId="6E6F5BC2" w14:textId="77777777" w:rsidTr="00FD792D">
        <w:trPr>
          <w:trHeight w:val="280"/>
        </w:trPr>
        <w:tc>
          <w:tcPr>
            <w:tcW w:w="1985" w:type="dxa"/>
            <w:noWrap/>
            <w:hideMark/>
          </w:tcPr>
          <w:p w14:paraId="20DE4B41" w14:textId="77777777" w:rsidR="00590979" w:rsidRPr="000C1702" w:rsidRDefault="00590979" w:rsidP="00C00C66">
            <w:pPr>
              <w:rPr>
                <w:rFonts w:ascii="Arial" w:hAnsi="Arial" w:cs="Arial"/>
                <w:i/>
                <w:iCs/>
                <w:sz w:val="24"/>
                <w:szCs w:val="24"/>
              </w:rPr>
            </w:pPr>
            <w:r w:rsidRPr="000C1702">
              <w:rPr>
                <w:rFonts w:ascii="Arial" w:hAnsi="Arial" w:cs="Arial"/>
                <w:sz w:val="24"/>
                <w:szCs w:val="24"/>
              </w:rPr>
              <w:t>Other sources</w:t>
            </w:r>
          </w:p>
        </w:tc>
        <w:tc>
          <w:tcPr>
            <w:tcW w:w="1417" w:type="dxa"/>
            <w:noWrap/>
            <w:vAlign w:val="center"/>
            <w:hideMark/>
          </w:tcPr>
          <w:p w14:paraId="0AF9C4D9"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12</w:t>
            </w:r>
          </w:p>
        </w:tc>
        <w:tc>
          <w:tcPr>
            <w:tcW w:w="1418" w:type="dxa"/>
            <w:noWrap/>
            <w:vAlign w:val="center"/>
            <w:hideMark/>
          </w:tcPr>
          <w:p w14:paraId="2B017035"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4</w:t>
            </w:r>
          </w:p>
        </w:tc>
        <w:tc>
          <w:tcPr>
            <w:tcW w:w="1417" w:type="dxa"/>
            <w:noWrap/>
            <w:vAlign w:val="center"/>
            <w:hideMark/>
          </w:tcPr>
          <w:p w14:paraId="713A5DA5"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12</w:t>
            </w:r>
          </w:p>
        </w:tc>
        <w:tc>
          <w:tcPr>
            <w:tcW w:w="1418" w:type="dxa"/>
            <w:noWrap/>
            <w:vAlign w:val="center"/>
            <w:hideMark/>
          </w:tcPr>
          <w:p w14:paraId="67276C37" w14:textId="77777777" w:rsidR="00590979" w:rsidRPr="000C1702" w:rsidRDefault="00590979" w:rsidP="00C00C66">
            <w:pPr>
              <w:jc w:val="right"/>
              <w:rPr>
                <w:rFonts w:ascii="Arial" w:hAnsi="Arial" w:cs="Arial"/>
                <w:sz w:val="24"/>
                <w:szCs w:val="24"/>
              </w:rPr>
            </w:pPr>
            <w:r w:rsidRPr="000C1702">
              <w:rPr>
                <w:rFonts w:ascii="Arial" w:hAnsi="Arial" w:cs="Arial"/>
                <w:sz w:val="24"/>
                <w:szCs w:val="24"/>
              </w:rPr>
              <w:t>8</w:t>
            </w:r>
          </w:p>
        </w:tc>
      </w:tr>
    </w:tbl>
    <w:p w14:paraId="41202341" w14:textId="77777777" w:rsidR="00590979" w:rsidRPr="000C1702" w:rsidRDefault="00590979" w:rsidP="00C00C66">
      <w:pPr>
        <w:rPr>
          <w:rFonts w:ascii="Arial" w:hAnsi="Arial" w:cs="Arial"/>
          <w:sz w:val="24"/>
          <w:szCs w:val="24"/>
        </w:rPr>
      </w:pPr>
    </w:p>
    <w:p w14:paraId="08F53F2C" w14:textId="69FEEFDD" w:rsidR="00590979" w:rsidRDefault="00590979" w:rsidP="009171F8">
      <w:pPr>
        <w:spacing w:line="360" w:lineRule="auto"/>
        <w:rPr>
          <w:rFonts w:ascii="Arial" w:hAnsi="Arial" w:cs="Arial"/>
          <w:sz w:val="24"/>
          <w:szCs w:val="24"/>
        </w:rPr>
      </w:pPr>
      <w:r w:rsidRPr="000C1702">
        <w:rPr>
          <w:rFonts w:ascii="Arial" w:hAnsi="Arial" w:cs="Arial"/>
          <w:sz w:val="24"/>
          <w:szCs w:val="24"/>
        </w:rPr>
        <w:t>HCPC case managers recorded the characteristics of each referral in the case notes.</w:t>
      </w:r>
      <w:r>
        <w:rPr>
          <w:rFonts w:ascii="Arial" w:hAnsi="Arial" w:cs="Arial"/>
          <w:sz w:val="24"/>
          <w:szCs w:val="24"/>
        </w:rPr>
        <w:t xml:space="preserve"> </w:t>
      </w:r>
      <w:r w:rsidR="00440A3C">
        <w:rPr>
          <w:rFonts w:ascii="Arial" w:hAnsi="Arial" w:cs="Arial"/>
          <w:sz w:val="24"/>
          <w:szCs w:val="24"/>
        </w:rPr>
        <w:t>Our analysis showed that t</w:t>
      </w:r>
      <w:r w:rsidRPr="000C1702">
        <w:rPr>
          <w:rFonts w:ascii="Arial" w:hAnsi="Arial" w:cs="Arial"/>
          <w:sz w:val="24"/>
          <w:szCs w:val="24"/>
        </w:rPr>
        <w:t>he majority related to misconduct (45%) or misconduct with lack of competence (44%)</w:t>
      </w:r>
      <w:r>
        <w:rPr>
          <w:rFonts w:ascii="Arial" w:hAnsi="Arial" w:cs="Arial"/>
          <w:sz w:val="24"/>
          <w:szCs w:val="24"/>
        </w:rPr>
        <w:t xml:space="preserve"> </w:t>
      </w:r>
      <w:r w:rsidR="00440A3C">
        <w:rPr>
          <w:rFonts w:ascii="Arial" w:hAnsi="Arial" w:cs="Arial"/>
          <w:sz w:val="24"/>
          <w:szCs w:val="24"/>
        </w:rPr>
        <w:t>(</w:t>
      </w:r>
      <w:r w:rsidR="00435E94">
        <w:rPr>
          <w:rFonts w:ascii="Arial" w:hAnsi="Arial" w:cs="Arial"/>
          <w:sz w:val="24"/>
          <w:szCs w:val="24"/>
        </w:rPr>
        <w:t xml:space="preserve">see </w:t>
      </w:r>
      <w:r>
        <w:rPr>
          <w:rFonts w:ascii="Arial" w:hAnsi="Arial" w:cs="Arial"/>
          <w:sz w:val="24"/>
          <w:szCs w:val="24"/>
        </w:rPr>
        <w:t xml:space="preserve">Table </w:t>
      </w:r>
      <w:r w:rsidR="00FD792D">
        <w:rPr>
          <w:rFonts w:ascii="Arial" w:hAnsi="Arial" w:cs="Arial"/>
          <w:sz w:val="24"/>
          <w:szCs w:val="24"/>
        </w:rPr>
        <w:t>2</w:t>
      </w:r>
      <w:r w:rsidR="00440A3C">
        <w:rPr>
          <w:rFonts w:ascii="Arial" w:hAnsi="Arial" w:cs="Arial"/>
          <w:sz w:val="24"/>
          <w:szCs w:val="24"/>
        </w:rPr>
        <w:t>)</w:t>
      </w:r>
      <w:r>
        <w:rPr>
          <w:rFonts w:ascii="Arial" w:hAnsi="Arial" w:cs="Arial"/>
          <w:sz w:val="24"/>
          <w:szCs w:val="24"/>
        </w:rPr>
        <w:t>.</w:t>
      </w:r>
    </w:p>
    <w:p w14:paraId="43852432" w14:textId="3132BDCB" w:rsidR="00590979" w:rsidRPr="000C1702" w:rsidRDefault="00590979" w:rsidP="00C00C66">
      <w:pPr>
        <w:rPr>
          <w:rFonts w:ascii="Arial" w:hAnsi="Arial" w:cs="Arial"/>
          <w:sz w:val="24"/>
          <w:szCs w:val="24"/>
        </w:rPr>
      </w:pPr>
      <w:r w:rsidRPr="00E22A09">
        <w:rPr>
          <w:rFonts w:ascii="Arial" w:hAnsi="Arial" w:cs="Arial"/>
          <w:b/>
          <w:sz w:val="24"/>
          <w:szCs w:val="24"/>
        </w:rPr>
        <w:t xml:space="preserve">Table </w:t>
      </w:r>
      <w:r w:rsidR="00FD792D">
        <w:rPr>
          <w:rFonts w:ascii="Arial" w:hAnsi="Arial" w:cs="Arial"/>
          <w:b/>
          <w:sz w:val="24"/>
          <w:szCs w:val="24"/>
        </w:rPr>
        <w:t>2</w:t>
      </w:r>
      <w:r w:rsidRPr="00E22A09">
        <w:rPr>
          <w:rFonts w:ascii="Arial" w:hAnsi="Arial" w:cs="Arial"/>
          <w:b/>
          <w:sz w:val="24"/>
          <w:szCs w:val="24"/>
        </w:rPr>
        <w:t>: Referral characteristics of sampled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944"/>
      </w:tblGrid>
      <w:tr w:rsidR="00590979" w:rsidRPr="000C1702" w14:paraId="636D757B" w14:textId="77777777" w:rsidTr="00C00C66">
        <w:trPr>
          <w:trHeight w:val="300"/>
        </w:trPr>
        <w:tc>
          <w:tcPr>
            <w:tcW w:w="4260" w:type="dxa"/>
            <w:noWrap/>
            <w:hideMark/>
          </w:tcPr>
          <w:p w14:paraId="65CA6841" w14:textId="77777777" w:rsidR="00590979" w:rsidRPr="000C1702" w:rsidRDefault="00590979" w:rsidP="00C00C66">
            <w:pPr>
              <w:rPr>
                <w:rFonts w:ascii="Arial" w:hAnsi="Arial" w:cs="Arial"/>
                <w:sz w:val="24"/>
                <w:szCs w:val="24"/>
              </w:rPr>
            </w:pPr>
          </w:p>
        </w:tc>
        <w:tc>
          <w:tcPr>
            <w:tcW w:w="1944" w:type="dxa"/>
            <w:noWrap/>
            <w:hideMark/>
          </w:tcPr>
          <w:p w14:paraId="210E7A81" w14:textId="77777777" w:rsidR="00590979" w:rsidRPr="000C1702" w:rsidRDefault="00590979" w:rsidP="00C00C66">
            <w:pPr>
              <w:jc w:val="right"/>
              <w:rPr>
                <w:rFonts w:ascii="Arial" w:hAnsi="Arial" w:cs="Arial"/>
                <w:b/>
                <w:bCs/>
                <w:sz w:val="24"/>
                <w:szCs w:val="24"/>
              </w:rPr>
            </w:pPr>
            <w:r w:rsidRPr="000C1702">
              <w:rPr>
                <w:rFonts w:ascii="Arial" w:hAnsi="Arial" w:cs="Arial"/>
                <w:b/>
                <w:bCs/>
                <w:sz w:val="24"/>
                <w:szCs w:val="24"/>
              </w:rPr>
              <w:t>% of</w:t>
            </w:r>
            <w:r>
              <w:rPr>
                <w:rFonts w:ascii="Arial" w:hAnsi="Arial" w:cs="Arial"/>
                <w:b/>
                <w:bCs/>
                <w:sz w:val="24"/>
                <w:szCs w:val="24"/>
              </w:rPr>
              <w:t xml:space="preserve"> </w:t>
            </w:r>
            <w:r w:rsidRPr="000C1702">
              <w:rPr>
                <w:rFonts w:ascii="Arial" w:hAnsi="Arial" w:cs="Arial"/>
                <w:b/>
                <w:bCs/>
                <w:sz w:val="24"/>
                <w:szCs w:val="24"/>
              </w:rPr>
              <w:t>cases</w:t>
            </w:r>
          </w:p>
          <w:p w14:paraId="437E6820" w14:textId="77777777" w:rsidR="00590979" w:rsidRPr="000C1702" w:rsidRDefault="00590979" w:rsidP="00C00C66">
            <w:pPr>
              <w:jc w:val="right"/>
              <w:rPr>
                <w:rFonts w:ascii="Arial" w:hAnsi="Arial" w:cs="Arial"/>
                <w:b/>
                <w:bCs/>
                <w:sz w:val="24"/>
                <w:szCs w:val="24"/>
              </w:rPr>
            </w:pPr>
            <w:r w:rsidRPr="000C1702">
              <w:rPr>
                <w:rFonts w:ascii="Arial" w:hAnsi="Arial" w:cs="Arial"/>
                <w:b/>
                <w:bCs/>
                <w:sz w:val="24"/>
                <w:szCs w:val="24"/>
              </w:rPr>
              <w:t>n=232</w:t>
            </w:r>
          </w:p>
        </w:tc>
      </w:tr>
      <w:tr w:rsidR="00590979" w:rsidRPr="000C1702" w14:paraId="72CFDC9E" w14:textId="77777777" w:rsidTr="00C00C66">
        <w:trPr>
          <w:trHeight w:val="280"/>
        </w:trPr>
        <w:tc>
          <w:tcPr>
            <w:tcW w:w="4260" w:type="dxa"/>
            <w:noWrap/>
            <w:hideMark/>
          </w:tcPr>
          <w:p w14:paraId="7940D210" w14:textId="77777777" w:rsidR="00590979" w:rsidRPr="000C1702" w:rsidRDefault="00590979" w:rsidP="00C00C66">
            <w:pPr>
              <w:rPr>
                <w:rFonts w:ascii="Arial" w:hAnsi="Arial" w:cs="Arial"/>
                <w:sz w:val="24"/>
                <w:szCs w:val="24"/>
              </w:rPr>
            </w:pPr>
            <w:r w:rsidRPr="000C1702">
              <w:rPr>
                <w:rFonts w:ascii="Arial" w:hAnsi="Arial" w:cs="Arial"/>
                <w:sz w:val="24"/>
                <w:szCs w:val="24"/>
              </w:rPr>
              <w:t>Misconduct</w:t>
            </w:r>
          </w:p>
        </w:tc>
        <w:tc>
          <w:tcPr>
            <w:tcW w:w="1944" w:type="dxa"/>
            <w:noWrap/>
            <w:hideMark/>
          </w:tcPr>
          <w:p w14:paraId="46C79C9C" w14:textId="7B9C1751" w:rsidR="00590979" w:rsidRPr="000C1702" w:rsidRDefault="00590979" w:rsidP="00440A3C">
            <w:pPr>
              <w:jc w:val="right"/>
              <w:rPr>
                <w:rFonts w:ascii="Arial" w:hAnsi="Arial" w:cs="Arial"/>
                <w:sz w:val="24"/>
                <w:szCs w:val="24"/>
              </w:rPr>
            </w:pPr>
            <w:r w:rsidRPr="000C1702">
              <w:rPr>
                <w:rFonts w:ascii="Arial" w:hAnsi="Arial" w:cs="Arial"/>
                <w:sz w:val="24"/>
                <w:szCs w:val="24"/>
              </w:rPr>
              <w:t>45</w:t>
            </w:r>
          </w:p>
        </w:tc>
      </w:tr>
      <w:tr w:rsidR="00590979" w:rsidRPr="000C1702" w14:paraId="6EF87922" w14:textId="77777777" w:rsidTr="00C00C66">
        <w:trPr>
          <w:trHeight w:val="560"/>
        </w:trPr>
        <w:tc>
          <w:tcPr>
            <w:tcW w:w="4260" w:type="dxa"/>
            <w:hideMark/>
          </w:tcPr>
          <w:p w14:paraId="2B4F9256" w14:textId="77777777" w:rsidR="00590979" w:rsidRPr="000C1702" w:rsidRDefault="00590979" w:rsidP="00C00C66">
            <w:pPr>
              <w:rPr>
                <w:rFonts w:ascii="Arial" w:hAnsi="Arial" w:cs="Arial"/>
                <w:sz w:val="24"/>
                <w:szCs w:val="24"/>
              </w:rPr>
            </w:pPr>
            <w:r w:rsidRPr="000C1702">
              <w:rPr>
                <w:rFonts w:ascii="Arial" w:hAnsi="Arial" w:cs="Arial"/>
                <w:sz w:val="24"/>
                <w:szCs w:val="24"/>
              </w:rPr>
              <w:t>Misconduct and lack of competence</w:t>
            </w:r>
          </w:p>
        </w:tc>
        <w:tc>
          <w:tcPr>
            <w:tcW w:w="1944" w:type="dxa"/>
            <w:noWrap/>
            <w:hideMark/>
          </w:tcPr>
          <w:p w14:paraId="26ADA750" w14:textId="2E377065" w:rsidR="00590979" w:rsidRPr="000C1702" w:rsidRDefault="00590979" w:rsidP="00440A3C">
            <w:pPr>
              <w:jc w:val="right"/>
              <w:rPr>
                <w:rFonts w:ascii="Arial" w:hAnsi="Arial" w:cs="Arial"/>
                <w:sz w:val="24"/>
                <w:szCs w:val="24"/>
              </w:rPr>
            </w:pPr>
            <w:r w:rsidRPr="000C1702">
              <w:rPr>
                <w:rFonts w:ascii="Arial" w:hAnsi="Arial" w:cs="Arial"/>
                <w:sz w:val="24"/>
                <w:szCs w:val="24"/>
              </w:rPr>
              <w:t>44</w:t>
            </w:r>
          </w:p>
        </w:tc>
      </w:tr>
      <w:tr w:rsidR="00590979" w:rsidRPr="000C1702" w14:paraId="0A0B7543" w14:textId="77777777" w:rsidTr="00C00C66">
        <w:trPr>
          <w:trHeight w:val="280"/>
        </w:trPr>
        <w:tc>
          <w:tcPr>
            <w:tcW w:w="4260" w:type="dxa"/>
            <w:hideMark/>
          </w:tcPr>
          <w:p w14:paraId="4D4BFBB8" w14:textId="77777777" w:rsidR="00590979" w:rsidRPr="000C1702" w:rsidRDefault="00590979" w:rsidP="00C00C66">
            <w:pPr>
              <w:rPr>
                <w:rFonts w:ascii="Arial" w:hAnsi="Arial" w:cs="Arial"/>
                <w:sz w:val="24"/>
                <w:szCs w:val="24"/>
              </w:rPr>
            </w:pPr>
            <w:r w:rsidRPr="000C1702">
              <w:rPr>
                <w:rFonts w:ascii="Arial" w:hAnsi="Arial" w:cs="Arial"/>
                <w:sz w:val="24"/>
                <w:szCs w:val="24"/>
              </w:rPr>
              <w:t>Lack of competence</w:t>
            </w:r>
          </w:p>
        </w:tc>
        <w:tc>
          <w:tcPr>
            <w:tcW w:w="1944" w:type="dxa"/>
            <w:noWrap/>
            <w:hideMark/>
          </w:tcPr>
          <w:p w14:paraId="7704B11C" w14:textId="1FDF90CF" w:rsidR="00590979" w:rsidRPr="000C1702" w:rsidRDefault="00590979" w:rsidP="00440A3C">
            <w:pPr>
              <w:jc w:val="right"/>
              <w:rPr>
                <w:rFonts w:ascii="Arial" w:hAnsi="Arial" w:cs="Arial"/>
                <w:sz w:val="24"/>
                <w:szCs w:val="24"/>
              </w:rPr>
            </w:pPr>
            <w:r w:rsidRPr="000C1702">
              <w:rPr>
                <w:rFonts w:ascii="Arial" w:hAnsi="Arial" w:cs="Arial"/>
                <w:sz w:val="24"/>
                <w:szCs w:val="24"/>
              </w:rPr>
              <w:t>6</w:t>
            </w:r>
          </w:p>
        </w:tc>
      </w:tr>
      <w:tr w:rsidR="00590979" w:rsidRPr="000C1702" w14:paraId="42CB6D40" w14:textId="77777777" w:rsidTr="00C00C66">
        <w:trPr>
          <w:trHeight w:val="280"/>
        </w:trPr>
        <w:tc>
          <w:tcPr>
            <w:tcW w:w="4260" w:type="dxa"/>
            <w:hideMark/>
          </w:tcPr>
          <w:p w14:paraId="749E4901" w14:textId="675438FC" w:rsidR="00590979" w:rsidRPr="000C1702" w:rsidRDefault="00590979" w:rsidP="00AB29C9">
            <w:pPr>
              <w:rPr>
                <w:rFonts w:ascii="Arial" w:hAnsi="Arial" w:cs="Arial"/>
                <w:sz w:val="24"/>
                <w:szCs w:val="24"/>
              </w:rPr>
            </w:pPr>
            <w:r w:rsidRPr="000C1702">
              <w:rPr>
                <w:rFonts w:ascii="Arial" w:hAnsi="Arial" w:cs="Arial"/>
                <w:sz w:val="24"/>
                <w:szCs w:val="24"/>
              </w:rPr>
              <w:t>Conviction/caution</w:t>
            </w:r>
          </w:p>
        </w:tc>
        <w:tc>
          <w:tcPr>
            <w:tcW w:w="1944" w:type="dxa"/>
            <w:noWrap/>
            <w:hideMark/>
          </w:tcPr>
          <w:p w14:paraId="77639802" w14:textId="5EC31EED" w:rsidR="00590979" w:rsidRPr="000C1702" w:rsidRDefault="00590979" w:rsidP="00440A3C">
            <w:pPr>
              <w:jc w:val="right"/>
              <w:rPr>
                <w:rFonts w:ascii="Arial" w:hAnsi="Arial" w:cs="Arial"/>
                <w:sz w:val="24"/>
                <w:szCs w:val="24"/>
              </w:rPr>
            </w:pPr>
            <w:r w:rsidRPr="000C1702">
              <w:rPr>
                <w:rFonts w:ascii="Arial" w:hAnsi="Arial" w:cs="Arial"/>
                <w:sz w:val="24"/>
                <w:szCs w:val="24"/>
              </w:rPr>
              <w:t>3</w:t>
            </w:r>
          </w:p>
        </w:tc>
      </w:tr>
      <w:tr w:rsidR="00590979" w:rsidRPr="000C1702" w14:paraId="383E2E11" w14:textId="77777777" w:rsidTr="00C00C66">
        <w:trPr>
          <w:trHeight w:val="280"/>
        </w:trPr>
        <w:tc>
          <w:tcPr>
            <w:tcW w:w="4260" w:type="dxa"/>
            <w:hideMark/>
          </w:tcPr>
          <w:p w14:paraId="112B1914" w14:textId="77777777" w:rsidR="00590979" w:rsidRPr="000C1702" w:rsidRDefault="00590979" w:rsidP="00C00C66">
            <w:pPr>
              <w:rPr>
                <w:rFonts w:ascii="Arial" w:hAnsi="Arial" w:cs="Arial"/>
                <w:sz w:val="24"/>
                <w:szCs w:val="24"/>
              </w:rPr>
            </w:pPr>
            <w:r w:rsidRPr="000C1702">
              <w:rPr>
                <w:rFonts w:ascii="Arial" w:hAnsi="Arial" w:cs="Arial"/>
                <w:sz w:val="24"/>
                <w:szCs w:val="24"/>
              </w:rPr>
              <w:t>Health</w:t>
            </w:r>
          </w:p>
        </w:tc>
        <w:tc>
          <w:tcPr>
            <w:tcW w:w="1944" w:type="dxa"/>
            <w:noWrap/>
            <w:hideMark/>
          </w:tcPr>
          <w:p w14:paraId="3D6DCC2A" w14:textId="7E86601B" w:rsidR="00590979" w:rsidRPr="000C1702" w:rsidRDefault="00590979" w:rsidP="00440A3C">
            <w:pPr>
              <w:jc w:val="right"/>
              <w:rPr>
                <w:rFonts w:ascii="Arial" w:hAnsi="Arial" w:cs="Arial"/>
                <w:sz w:val="24"/>
                <w:szCs w:val="24"/>
              </w:rPr>
            </w:pPr>
            <w:r w:rsidRPr="000C1702">
              <w:rPr>
                <w:rFonts w:ascii="Arial" w:hAnsi="Arial" w:cs="Arial"/>
                <w:sz w:val="24"/>
                <w:szCs w:val="24"/>
              </w:rPr>
              <w:t>1</w:t>
            </w:r>
          </w:p>
        </w:tc>
      </w:tr>
    </w:tbl>
    <w:p w14:paraId="447A0E9A" w14:textId="77777777" w:rsidR="00590979" w:rsidRPr="000C1702" w:rsidRDefault="00590979" w:rsidP="00C00C66">
      <w:pPr>
        <w:rPr>
          <w:rFonts w:ascii="Arial" w:hAnsi="Arial" w:cs="Arial"/>
          <w:sz w:val="24"/>
          <w:szCs w:val="24"/>
        </w:rPr>
      </w:pPr>
    </w:p>
    <w:p w14:paraId="198F0E47" w14:textId="59FD7C99" w:rsidR="00590979" w:rsidRPr="000C1702" w:rsidRDefault="00440A3C" w:rsidP="009171F8">
      <w:pPr>
        <w:spacing w:line="360" w:lineRule="auto"/>
        <w:rPr>
          <w:rFonts w:ascii="Arial" w:hAnsi="Arial" w:cs="Arial"/>
          <w:sz w:val="24"/>
          <w:szCs w:val="24"/>
        </w:rPr>
      </w:pPr>
      <w:r>
        <w:rPr>
          <w:rFonts w:ascii="Arial" w:hAnsi="Arial" w:cs="Arial"/>
          <w:sz w:val="24"/>
          <w:szCs w:val="24"/>
        </w:rPr>
        <w:t>A</w:t>
      </w:r>
      <w:r w:rsidR="00590979" w:rsidRPr="000C1702">
        <w:rPr>
          <w:rFonts w:ascii="Arial" w:hAnsi="Arial" w:cs="Arial"/>
          <w:sz w:val="24"/>
          <w:szCs w:val="24"/>
        </w:rPr>
        <w:t xml:space="preserve"> significant </w:t>
      </w:r>
      <w:r>
        <w:rPr>
          <w:rFonts w:ascii="Arial" w:hAnsi="Arial" w:cs="Arial"/>
          <w:sz w:val="24"/>
          <w:szCs w:val="24"/>
        </w:rPr>
        <w:t>sub-</w:t>
      </w:r>
      <w:r w:rsidR="00590979" w:rsidRPr="000C1702">
        <w:rPr>
          <w:rFonts w:ascii="Arial" w:hAnsi="Arial" w:cs="Arial"/>
          <w:sz w:val="24"/>
          <w:szCs w:val="24"/>
        </w:rPr>
        <w:t xml:space="preserve">category of </w:t>
      </w:r>
      <w:r w:rsidRPr="00440A3C">
        <w:rPr>
          <w:rFonts w:ascii="Arial" w:hAnsi="Arial" w:cs="Arial"/>
          <w:sz w:val="24"/>
          <w:szCs w:val="24"/>
        </w:rPr>
        <w:t xml:space="preserve">misconduct and lack of competence </w:t>
      </w:r>
      <w:r w:rsidR="00590979" w:rsidRPr="000C1702">
        <w:rPr>
          <w:rFonts w:ascii="Arial" w:hAnsi="Arial" w:cs="Arial"/>
          <w:sz w:val="24"/>
          <w:szCs w:val="24"/>
        </w:rPr>
        <w:t>referrals relat</w:t>
      </w:r>
      <w:r w:rsidR="00FD792D">
        <w:rPr>
          <w:rFonts w:ascii="Arial" w:hAnsi="Arial" w:cs="Arial"/>
          <w:sz w:val="24"/>
          <w:szCs w:val="24"/>
        </w:rPr>
        <w:t>ed</w:t>
      </w:r>
      <w:r w:rsidR="00590979" w:rsidRPr="000C1702">
        <w:rPr>
          <w:rFonts w:ascii="Arial" w:hAnsi="Arial" w:cs="Arial"/>
          <w:sz w:val="24"/>
          <w:szCs w:val="24"/>
        </w:rPr>
        <w:t xml:space="preserve"> to disputes</w:t>
      </w:r>
      <w:r w:rsidR="00FD792D">
        <w:rPr>
          <w:rFonts w:ascii="Arial" w:hAnsi="Arial" w:cs="Arial"/>
          <w:sz w:val="24"/>
          <w:szCs w:val="24"/>
        </w:rPr>
        <w:t xml:space="preserve"> with </w:t>
      </w:r>
      <w:r w:rsidR="00590979" w:rsidRPr="000C1702">
        <w:rPr>
          <w:rFonts w:ascii="Arial" w:hAnsi="Arial" w:cs="Arial"/>
          <w:sz w:val="24"/>
          <w:szCs w:val="24"/>
        </w:rPr>
        <w:t xml:space="preserve">family members over place of residence and </w:t>
      </w:r>
      <w:r w:rsidR="00417B02">
        <w:rPr>
          <w:rFonts w:ascii="Arial" w:hAnsi="Arial" w:cs="Arial"/>
          <w:sz w:val="24"/>
          <w:szCs w:val="24"/>
        </w:rPr>
        <w:t>contact with</w:t>
      </w:r>
      <w:r w:rsidR="00590979" w:rsidRPr="000C1702">
        <w:rPr>
          <w:rFonts w:ascii="Arial" w:hAnsi="Arial" w:cs="Arial"/>
          <w:sz w:val="24"/>
          <w:szCs w:val="24"/>
        </w:rPr>
        <w:t xml:space="preserve"> children.  Many </w:t>
      </w:r>
      <w:r w:rsidR="00590979">
        <w:rPr>
          <w:rFonts w:ascii="Arial" w:hAnsi="Arial" w:cs="Arial"/>
          <w:sz w:val="24"/>
          <w:szCs w:val="24"/>
        </w:rPr>
        <w:t>comprised</w:t>
      </w:r>
      <w:r w:rsidR="00590979" w:rsidRPr="000C1702">
        <w:rPr>
          <w:rFonts w:ascii="Arial" w:hAnsi="Arial" w:cs="Arial"/>
          <w:sz w:val="24"/>
          <w:szCs w:val="24"/>
        </w:rPr>
        <w:t xml:space="preserve"> complaints against multiple social workers lodged </w:t>
      </w:r>
      <w:r w:rsidR="00FD792D">
        <w:rPr>
          <w:rFonts w:ascii="Arial" w:hAnsi="Arial" w:cs="Arial"/>
          <w:sz w:val="24"/>
          <w:szCs w:val="24"/>
        </w:rPr>
        <w:t>simultaneously</w:t>
      </w:r>
      <w:r w:rsidR="00590979">
        <w:rPr>
          <w:rFonts w:ascii="Arial" w:hAnsi="Arial" w:cs="Arial"/>
          <w:sz w:val="24"/>
          <w:szCs w:val="24"/>
        </w:rPr>
        <w:t xml:space="preserve"> - </w:t>
      </w:r>
      <w:r w:rsidR="00590979" w:rsidRPr="000C1702">
        <w:rPr>
          <w:rFonts w:ascii="Arial" w:hAnsi="Arial" w:cs="Arial"/>
          <w:sz w:val="24"/>
          <w:szCs w:val="24"/>
        </w:rPr>
        <w:t xml:space="preserve">in one case 14 social workers. </w:t>
      </w:r>
      <w:r w:rsidR="00590979">
        <w:rPr>
          <w:rFonts w:ascii="Arial" w:hAnsi="Arial" w:cs="Arial"/>
          <w:sz w:val="24"/>
          <w:szCs w:val="24"/>
        </w:rPr>
        <w:t xml:space="preserve">Of the </w:t>
      </w:r>
      <w:r w:rsidR="00590979" w:rsidRPr="000C1702">
        <w:rPr>
          <w:rFonts w:ascii="Arial" w:hAnsi="Arial" w:cs="Arial"/>
          <w:sz w:val="24"/>
          <w:szCs w:val="24"/>
        </w:rPr>
        <w:t>77 cases</w:t>
      </w:r>
      <w:r w:rsidR="00590979">
        <w:rPr>
          <w:rFonts w:ascii="Arial" w:hAnsi="Arial" w:cs="Arial"/>
          <w:sz w:val="24"/>
          <w:szCs w:val="24"/>
        </w:rPr>
        <w:t xml:space="preserve"> in this category (</w:t>
      </w:r>
      <w:r w:rsidR="00590979" w:rsidRPr="000C1702">
        <w:rPr>
          <w:rFonts w:ascii="Arial" w:hAnsi="Arial" w:cs="Arial"/>
          <w:sz w:val="24"/>
          <w:szCs w:val="24"/>
        </w:rPr>
        <w:t>33% of the overall sample</w:t>
      </w:r>
      <w:r w:rsidR="00590979">
        <w:rPr>
          <w:rFonts w:ascii="Arial" w:hAnsi="Arial" w:cs="Arial"/>
          <w:sz w:val="24"/>
          <w:szCs w:val="24"/>
        </w:rPr>
        <w:t xml:space="preserve">), </w:t>
      </w:r>
      <w:r w:rsidR="00590979" w:rsidRPr="000C1702">
        <w:rPr>
          <w:rFonts w:ascii="Arial" w:hAnsi="Arial" w:cs="Arial"/>
          <w:sz w:val="24"/>
          <w:szCs w:val="24"/>
        </w:rPr>
        <w:t xml:space="preserve">70 were </w:t>
      </w:r>
      <w:r w:rsidR="00590979">
        <w:rPr>
          <w:rFonts w:ascii="Arial" w:hAnsi="Arial" w:cs="Arial"/>
          <w:sz w:val="24"/>
          <w:szCs w:val="24"/>
        </w:rPr>
        <w:t>closed</w:t>
      </w:r>
      <w:r w:rsidR="00590979" w:rsidRPr="000C1702">
        <w:rPr>
          <w:rFonts w:ascii="Arial" w:hAnsi="Arial" w:cs="Arial"/>
          <w:sz w:val="24"/>
          <w:szCs w:val="24"/>
        </w:rPr>
        <w:t xml:space="preserve"> at the </w:t>
      </w:r>
      <w:r w:rsidR="00163B4A">
        <w:rPr>
          <w:rFonts w:ascii="Arial" w:hAnsi="Arial" w:cs="Arial"/>
          <w:sz w:val="24"/>
          <w:szCs w:val="24"/>
        </w:rPr>
        <w:t>i</w:t>
      </w:r>
      <w:r w:rsidR="00590979" w:rsidRPr="000C1702">
        <w:rPr>
          <w:rFonts w:ascii="Arial" w:hAnsi="Arial" w:cs="Arial"/>
          <w:sz w:val="24"/>
          <w:szCs w:val="24"/>
        </w:rPr>
        <w:t>nitial stage</w:t>
      </w:r>
      <w:r w:rsidR="00590979">
        <w:rPr>
          <w:rFonts w:ascii="Arial" w:hAnsi="Arial" w:cs="Arial"/>
          <w:sz w:val="24"/>
          <w:szCs w:val="24"/>
        </w:rPr>
        <w:t xml:space="preserve">, meaning they were not pursued further. These accounted for </w:t>
      </w:r>
      <w:r w:rsidR="00590979" w:rsidRPr="000C1702">
        <w:rPr>
          <w:rFonts w:ascii="Arial" w:hAnsi="Arial" w:cs="Arial"/>
          <w:sz w:val="24"/>
          <w:szCs w:val="24"/>
        </w:rPr>
        <w:t>40%</w:t>
      </w:r>
      <w:r w:rsidR="00590979">
        <w:rPr>
          <w:rFonts w:ascii="Arial" w:hAnsi="Arial" w:cs="Arial"/>
          <w:sz w:val="24"/>
          <w:szCs w:val="24"/>
        </w:rPr>
        <w:t xml:space="preserve"> of all cases dealt with at this initial stage</w:t>
      </w:r>
      <w:r w:rsidR="00590979" w:rsidRPr="000C1702">
        <w:rPr>
          <w:rFonts w:ascii="Arial" w:hAnsi="Arial" w:cs="Arial"/>
          <w:sz w:val="24"/>
          <w:szCs w:val="24"/>
        </w:rPr>
        <w:t xml:space="preserve">, with a significantly lower proportion of this type of referral </w:t>
      </w:r>
      <w:r>
        <w:rPr>
          <w:rFonts w:ascii="Arial" w:hAnsi="Arial" w:cs="Arial"/>
          <w:sz w:val="24"/>
          <w:szCs w:val="24"/>
        </w:rPr>
        <w:t>dealt with</w:t>
      </w:r>
      <w:r w:rsidR="00590979">
        <w:rPr>
          <w:rFonts w:ascii="Arial" w:hAnsi="Arial" w:cs="Arial"/>
          <w:sz w:val="24"/>
          <w:szCs w:val="24"/>
        </w:rPr>
        <w:t xml:space="preserve"> </w:t>
      </w:r>
      <w:r w:rsidR="00590979" w:rsidRPr="000C1702">
        <w:rPr>
          <w:rFonts w:ascii="Arial" w:hAnsi="Arial" w:cs="Arial"/>
          <w:sz w:val="24"/>
          <w:szCs w:val="24"/>
        </w:rPr>
        <w:t>at the ICP stage (21%) and at final hearings</w:t>
      </w:r>
      <w:r w:rsidR="00952DEE">
        <w:rPr>
          <w:rFonts w:ascii="Arial" w:hAnsi="Arial" w:cs="Arial"/>
          <w:sz w:val="24"/>
          <w:szCs w:val="24"/>
        </w:rPr>
        <w:t xml:space="preserve"> </w:t>
      </w:r>
      <w:r w:rsidR="00590979" w:rsidRPr="000C1702">
        <w:rPr>
          <w:rFonts w:ascii="Arial" w:hAnsi="Arial" w:cs="Arial"/>
          <w:sz w:val="24"/>
          <w:szCs w:val="24"/>
        </w:rPr>
        <w:t>(3%)</w:t>
      </w:r>
      <w:r>
        <w:rPr>
          <w:rFonts w:ascii="Arial" w:hAnsi="Arial" w:cs="Arial"/>
          <w:sz w:val="24"/>
          <w:szCs w:val="24"/>
        </w:rPr>
        <w:t xml:space="preserve"> (</w:t>
      </w:r>
      <w:r w:rsidR="00590979">
        <w:rPr>
          <w:rFonts w:ascii="Arial" w:hAnsi="Arial" w:cs="Arial"/>
          <w:sz w:val="24"/>
          <w:szCs w:val="24"/>
        </w:rPr>
        <w:t xml:space="preserve">Table </w:t>
      </w:r>
      <w:r w:rsidR="00FD792D">
        <w:rPr>
          <w:rFonts w:ascii="Arial" w:hAnsi="Arial" w:cs="Arial"/>
          <w:sz w:val="24"/>
          <w:szCs w:val="24"/>
        </w:rPr>
        <w:t>3</w:t>
      </w:r>
      <w:r>
        <w:rPr>
          <w:rFonts w:ascii="Arial" w:hAnsi="Arial" w:cs="Arial"/>
          <w:sz w:val="24"/>
          <w:szCs w:val="24"/>
        </w:rPr>
        <w:t>)</w:t>
      </w:r>
      <w:r w:rsidR="00590979" w:rsidRPr="000C1702">
        <w:rPr>
          <w:rFonts w:ascii="Arial" w:hAnsi="Arial" w:cs="Arial"/>
          <w:sz w:val="24"/>
          <w:szCs w:val="24"/>
        </w:rPr>
        <w:t>.</w:t>
      </w:r>
    </w:p>
    <w:p w14:paraId="20237597" w14:textId="6BF53FCD" w:rsidR="00590979" w:rsidRPr="00EA4DC2" w:rsidRDefault="00590979" w:rsidP="00C00C66">
      <w:pPr>
        <w:rPr>
          <w:rFonts w:ascii="Arial" w:hAnsi="Arial" w:cs="Arial"/>
          <w:b/>
          <w:sz w:val="24"/>
          <w:szCs w:val="24"/>
        </w:rPr>
      </w:pPr>
      <w:r w:rsidRPr="00EA4DC2">
        <w:rPr>
          <w:rFonts w:ascii="Arial" w:hAnsi="Arial" w:cs="Arial"/>
          <w:b/>
          <w:sz w:val="24"/>
          <w:szCs w:val="24"/>
        </w:rPr>
        <w:t xml:space="preserve">Table </w:t>
      </w:r>
      <w:r w:rsidR="00FD792D">
        <w:rPr>
          <w:rFonts w:ascii="Arial" w:hAnsi="Arial" w:cs="Arial"/>
          <w:b/>
          <w:sz w:val="24"/>
          <w:szCs w:val="24"/>
        </w:rPr>
        <w:t>3</w:t>
      </w:r>
      <w:r w:rsidRPr="00EA4DC2">
        <w:rPr>
          <w:rFonts w:ascii="Arial" w:hAnsi="Arial" w:cs="Arial"/>
          <w:b/>
          <w:sz w:val="24"/>
          <w:szCs w:val="24"/>
        </w:rPr>
        <w:t xml:space="preserve">: Child residence and contact referrals </w:t>
      </w:r>
      <w:r>
        <w:rPr>
          <w:rFonts w:ascii="Arial" w:hAnsi="Arial" w:cs="Arial"/>
          <w:b/>
          <w:sz w:val="24"/>
          <w:szCs w:val="24"/>
        </w:rPr>
        <w:t xml:space="preserve">dealt with </w:t>
      </w:r>
      <w:r w:rsidRPr="00EA4DC2">
        <w:rPr>
          <w:rFonts w:ascii="Arial" w:hAnsi="Arial" w:cs="Arial"/>
          <w:b/>
          <w:sz w:val="24"/>
          <w:szCs w:val="24"/>
        </w:rPr>
        <w:t>at each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842"/>
        <w:gridCol w:w="1985"/>
        <w:gridCol w:w="1751"/>
      </w:tblGrid>
      <w:tr w:rsidR="00FD792D" w:rsidRPr="000C1702" w14:paraId="77505022" w14:textId="77777777" w:rsidTr="00FD792D">
        <w:trPr>
          <w:trHeight w:val="300"/>
        </w:trPr>
        <w:tc>
          <w:tcPr>
            <w:tcW w:w="1901" w:type="dxa"/>
            <w:noWrap/>
            <w:hideMark/>
          </w:tcPr>
          <w:p w14:paraId="695432E9" w14:textId="7980D0C5" w:rsidR="00FD792D" w:rsidRDefault="00FD792D" w:rsidP="00C00C66">
            <w:pPr>
              <w:spacing w:after="0" w:line="240" w:lineRule="auto"/>
              <w:jc w:val="right"/>
              <w:rPr>
                <w:rFonts w:ascii="Arial" w:hAnsi="Arial" w:cs="Arial"/>
                <w:b/>
                <w:bCs/>
                <w:sz w:val="24"/>
                <w:szCs w:val="24"/>
              </w:rPr>
            </w:pPr>
            <w:r w:rsidRPr="000C1702">
              <w:rPr>
                <w:rFonts w:ascii="Arial" w:hAnsi="Arial" w:cs="Arial"/>
                <w:b/>
                <w:bCs/>
                <w:sz w:val="24"/>
                <w:szCs w:val="24"/>
              </w:rPr>
              <w:t xml:space="preserve">% Initial </w:t>
            </w:r>
            <w:r>
              <w:rPr>
                <w:rFonts w:ascii="Arial" w:hAnsi="Arial" w:cs="Arial"/>
                <w:b/>
                <w:bCs/>
                <w:sz w:val="24"/>
                <w:szCs w:val="24"/>
              </w:rPr>
              <w:t>s</w:t>
            </w:r>
            <w:r w:rsidRPr="000C1702">
              <w:rPr>
                <w:rFonts w:ascii="Arial" w:hAnsi="Arial" w:cs="Arial"/>
                <w:b/>
                <w:bCs/>
                <w:sz w:val="24"/>
                <w:szCs w:val="24"/>
              </w:rPr>
              <w:t>tage</w:t>
            </w:r>
            <w:r>
              <w:rPr>
                <w:rFonts w:ascii="Arial" w:hAnsi="Arial" w:cs="Arial"/>
                <w:b/>
                <w:bCs/>
                <w:sz w:val="24"/>
                <w:szCs w:val="24"/>
              </w:rPr>
              <w:t xml:space="preserve"> </w:t>
            </w:r>
            <w:r w:rsidRPr="000C1702">
              <w:rPr>
                <w:rFonts w:ascii="Arial" w:hAnsi="Arial" w:cs="Arial"/>
                <w:b/>
                <w:bCs/>
                <w:sz w:val="24"/>
                <w:szCs w:val="24"/>
              </w:rPr>
              <w:t>n=173</w:t>
            </w:r>
          </w:p>
          <w:p w14:paraId="5E320C74" w14:textId="77777777" w:rsidR="00FD792D" w:rsidRPr="000C1702" w:rsidRDefault="00FD792D" w:rsidP="00C00C66">
            <w:pPr>
              <w:spacing w:after="0" w:line="240" w:lineRule="auto"/>
              <w:jc w:val="right"/>
              <w:rPr>
                <w:rFonts w:ascii="Arial" w:hAnsi="Arial" w:cs="Arial"/>
                <w:b/>
                <w:bCs/>
                <w:sz w:val="24"/>
                <w:szCs w:val="24"/>
              </w:rPr>
            </w:pPr>
          </w:p>
        </w:tc>
        <w:tc>
          <w:tcPr>
            <w:tcW w:w="1842" w:type="dxa"/>
            <w:hideMark/>
          </w:tcPr>
          <w:p w14:paraId="4114A8FD" w14:textId="5DD61A90" w:rsidR="00FD792D" w:rsidRDefault="00FD792D" w:rsidP="00C00C66">
            <w:pPr>
              <w:spacing w:after="0" w:line="240" w:lineRule="auto"/>
              <w:jc w:val="right"/>
              <w:rPr>
                <w:rFonts w:ascii="Arial" w:hAnsi="Arial" w:cs="Arial"/>
                <w:b/>
                <w:bCs/>
                <w:sz w:val="24"/>
                <w:szCs w:val="24"/>
              </w:rPr>
            </w:pPr>
            <w:r w:rsidRPr="000C1702">
              <w:rPr>
                <w:rFonts w:ascii="Arial" w:hAnsi="Arial" w:cs="Arial"/>
                <w:b/>
                <w:bCs/>
                <w:sz w:val="24"/>
                <w:szCs w:val="24"/>
              </w:rPr>
              <w:t>% ICP</w:t>
            </w:r>
            <w:r>
              <w:rPr>
                <w:rFonts w:ascii="Arial" w:hAnsi="Arial" w:cs="Arial"/>
                <w:b/>
                <w:bCs/>
                <w:sz w:val="24"/>
                <w:szCs w:val="24"/>
              </w:rPr>
              <w:t xml:space="preserve"> </w:t>
            </w:r>
          </w:p>
          <w:p w14:paraId="50A3CC7F" w14:textId="77777777" w:rsidR="00FD792D" w:rsidRPr="000C1702" w:rsidRDefault="00FD792D" w:rsidP="00C00C66">
            <w:pPr>
              <w:spacing w:after="0" w:line="240" w:lineRule="auto"/>
              <w:jc w:val="right"/>
              <w:rPr>
                <w:rFonts w:ascii="Arial" w:hAnsi="Arial" w:cs="Arial"/>
                <w:b/>
                <w:bCs/>
                <w:sz w:val="24"/>
                <w:szCs w:val="24"/>
              </w:rPr>
            </w:pPr>
            <w:r w:rsidRPr="000C1702">
              <w:rPr>
                <w:rFonts w:ascii="Arial" w:hAnsi="Arial" w:cs="Arial"/>
                <w:b/>
                <w:bCs/>
                <w:sz w:val="24"/>
                <w:szCs w:val="24"/>
              </w:rPr>
              <w:t>n=28</w:t>
            </w:r>
          </w:p>
        </w:tc>
        <w:tc>
          <w:tcPr>
            <w:tcW w:w="1985" w:type="dxa"/>
            <w:noWrap/>
            <w:hideMark/>
          </w:tcPr>
          <w:p w14:paraId="36E91521" w14:textId="77777777" w:rsidR="00FD792D" w:rsidRDefault="00FD792D" w:rsidP="00C00C66">
            <w:pPr>
              <w:spacing w:after="0" w:line="240" w:lineRule="auto"/>
              <w:jc w:val="right"/>
              <w:rPr>
                <w:rFonts w:ascii="Arial" w:hAnsi="Arial" w:cs="Arial"/>
                <w:b/>
                <w:bCs/>
                <w:sz w:val="24"/>
                <w:szCs w:val="24"/>
              </w:rPr>
            </w:pPr>
            <w:r w:rsidRPr="000C1702">
              <w:rPr>
                <w:rFonts w:ascii="Arial" w:hAnsi="Arial" w:cs="Arial"/>
                <w:b/>
                <w:bCs/>
                <w:sz w:val="24"/>
                <w:szCs w:val="24"/>
              </w:rPr>
              <w:t xml:space="preserve">% FH </w:t>
            </w:r>
          </w:p>
          <w:p w14:paraId="26DC6988" w14:textId="77777777" w:rsidR="00FD792D" w:rsidRPr="000C1702" w:rsidRDefault="00FD792D" w:rsidP="00C00C66">
            <w:pPr>
              <w:spacing w:after="0" w:line="240" w:lineRule="auto"/>
              <w:jc w:val="right"/>
              <w:rPr>
                <w:rFonts w:ascii="Arial" w:hAnsi="Arial" w:cs="Arial"/>
                <w:b/>
                <w:bCs/>
                <w:sz w:val="24"/>
                <w:szCs w:val="24"/>
              </w:rPr>
            </w:pPr>
            <w:r w:rsidRPr="000C1702">
              <w:rPr>
                <w:rFonts w:ascii="Arial" w:hAnsi="Arial" w:cs="Arial"/>
                <w:b/>
                <w:bCs/>
                <w:sz w:val="24"/>
                <w:szCs w:val="24"/>
              </w:rPr>
              <w:t>n=31</w:t>
            </w:r>
          </w:p>
        </w:tc>
        <w:tc>
          <w:tcPr>
            <w:tcW w:w="1751" w:type="dxa"/>
            <w:noWrap/>
            <w:hideMark/>
          </w:tcPr>
          <w:p w14:paraId="54599A6F" w14:textId="77777777" w:rsidR="00FD792D" w:rsidRDefault="00FD792D" w:rsidP="00C00C66">
            <w:pPr>
              <w:spacing w:after="0" w:line="240" w:lineRule="auto"/>
              <w:jc w:val="right"/>
              <w:rPr>
                <w:rFonts w:ascii="Arial" w:hAnsi="Arial" w:cs="Arial"/>
                <w:b/>
                <w:bCs/>
                <w:sz w:val="24"/>
                <w:szCs w:val="24"/>
              </w:rPr>
            </w:pPr>
            <w:r w:rsidRPr="000C1702">
              <w:rPr>
                <w:rFonts w:ascii="Arial" w:hAnsi="Arial" w:cs="Arial"/>
                <w:b/>
                <w:bCs/>
                <w:sz w:val="24"/>
                <w:szCs w:val="24"/>
              </w:rPr>
              <w:t>% Total</w:t>
            </w:r>
          </w:p>
          <w:p w14:paraId="70C95860" w14:textId="2C4E0EF2" w:rsidR="00FD792D" w:rsidRPr="000C1702" w:rsidRDefault="00FD792D" w:rsidP="00C00C66">
            <w:pPr>
              <w:spacing w:after="0" w:line="240" w:lineRule="auto"/>
              <w:jc w:val="right"/>
              <w:rPr>
                <w:rFonts w:ascii="Arial" w:hAnsi="Arial" w:cs="Arial"/>
                <w:b/>
                <w:bCs/>
                <w:sz w:val="24"/>
                <w:szCs w:val="24"/>
              </w:rPr>
            </w:pPr>
            <w:r>
              <w:rPr>
                <w:rFonts w:ascii="Arial" w:hAnsi="Arial" w:cs="Arial"/>
                <w:b/>
                <w:bCs/>
                <w:sz w:val="24"/>
                <w:szCs w:val="24"/>
              </w:rPr>
              <w:t>n= 232</w:t>
            </w:r>
          </w:p>
        </w:tc>
      </w:tr>
      <w:tr w:rsidR="00FD792D" w:rsidRPr="000C1702" w14:paraId="7B41BF4E" w14:textId="77777777" w:rsidTr="00FD792D">
        <w:trPr>
          <w:trHeight w:val="280"/>
        </w:trPr>
        <w:tc>
          <w:tcPr>
            <w:tcW w:w="1901" w:type="dxa"/>
            <w:noWrap/>
            <w:hideMark/>
          </w:tcPr>
          <w:p w14:paraId="4AF04F7C" w14:textId="77777777" w:rsidR="00FD792D" w:rsidRPr="000C1702" w:rsidRDefault="00FD792D" w:rsidP="00C00C66">
            <w:pPr>
              <w:jc w:val="right"/>
              <w:rPr>
                <w:rFonts w:ascii="Arial" w:hAnsi="Arial" w:cs="Arial"/>
                <w:sz w:val="24"/>
                <w:szCs w:val="24"/>
              </w:rPr>
            </w:pPr>
            <w:r w:rsidRPr="000C1702">
              <w:rPr>
                <w:rFonts w:ascii="Arial" w:hAnsi="Arial" w:cs="Arial"/>
                <w:sz w:val="24"/>
                <w:szCs w:val="24"/>
              </w:rPr>
              <w:t>40</w:t>
            </w:r>
          </w:p>
        </w:tc>
        <w:tc>
          <w:tcPr>
            <w:tcW w:w="1842" w:type="dxa"/>
            <w:noWrap/>
            <w:hideMark/>
          </w:tcPr>
          <w:p w14:paraId="00262F27" w14:textId="77777777" w:rsidR="00FD792D" w:rsidRPr="000C1702" w:rsidRDefault="00FD792D" w:rsidP="00C00C66">
            <w:pPr>
              <w:jc w:val="right"/>
              <w:rPr>
                <w:rFonts w:ascii="Arial" w:hAnsi="Arial" w:cs="Arial"/>
                <w:sz w:val="24"/>
                <w:szCs w:val="24"/>
              </w:rPr>
            </w:pPr>
            <w:r w:rsidRPr="000C1702">
              <w:rPr>
                <w:rFonts w:ascii="Arial" w:hAnsi="Arial" w:cs="Arial"/>
                <w:sz w:val="24"/>
                <w:szCs w:val="24"/>
              </w:rPr>
              <w:t>21</w:t>
            </w:r>
          </w:p>
        </w:tc>
        <w:tc>
          <w:tcPr>
            <w:tcW w:w="1985" w:type="dxa"/>
            <w:noWrap/>
            <w:hideMark/>
          </w:tcPr>
          <w:p w14:paraId="53EB9C3F" w14:textId="77777777" w:rsidR="00FD792D" w:rsidRPr="000C1702" w:rsidRDefault="00FD792D" w:rsidP="00C00C66">
            <w:pPr>
              <w:jc w:val="right"/>
              <w:rPr>
                <w:rFonts w:ascii="Arial" w:hAnsi="Arial" w:cs="Arial"/>
                <w:sz w:val="24"/>
                <w:szCs w:val="24"/>
              </w:rPr>
            </w:pPr>
            <w:r w:rsidRPr="000C1702">
              <w:rPr>
                <w:rFonts w:ascii="Arial" w:hAnsi="Arial" w:cs="Arial"/>
                <w:sz w:val="24"/>
                <w:szCs w:val="24"/>
              </w:rPr>
              <w:t>3</w:t>
            </w:r>
          </w:p>
        </w:tc>
        <w:tc>
          <w:tcPr>
            <w:tcW w:w="1751" w:type="dxa"/>
            <w:noWrap/>
            <w:hideMark/>
          </w:tcPr>
          <w:p w14:paraId="10D5F5C2" w14:textId="77777777" w:rsidR="00FD792D" w:rsidRPr="000C1702" w:rsidRDefault="00FD792D" w:rsidP="00C00C66">
            <w:pPr>
              <w:jc w:val="right"/>
              <w:rPr>
                <w:rFonts w:ascii="Arial" w:hAnsi="Arial" w:cs="Arial"/>
                <w:sz w:val="24"/>
                <w:szCs w:val="24"/>
              </w:rPr>
            </w:pPr>
            <w:r w:rsidRPr="000C1702">
              <w:rPr>
                <w:rFonts w:ascii="Arial" w:hAnsi="Arial" w:cs="Arial"/>
                <w:sz w:val="24"/>
                <w:szCs w:val="24"/>
              </w:rPr>
              <w:t>33</w:t>
            </w:r>
          </w:p>
        </w:tc>
      </w:tr>
    </w:tbl>
    <w:p w14:paraId="24551D81" w14:textId="77777777" w:rsidR="00590979" w:rsidRPr="000C1702" w:rsidRDefault="00590979" w:rsidP="00C00C66">
      <w:pPr>
        <w:rPr>
          <w:rFonts w:ascii="Arial" w:hAnsi="Arial" w:cs="Arial"/>
          <w:sz w:val="24"/>
          <w:szCs w:val="24"/>
        </w:rPr>
      </w:pPr>
      <w:r w:rsidRPr="000C1702">
        <w:rPr>
          <w:rFonts w:ascii="Arial" w:hAnsi="Arial" w:cs="Arial"/>
          <w:sz w:val="24"/>
          <w:szCs w:val="24"/>
        </w:rPr>
        <w:lastRenderedPageBreak/>
        <w:t xml:space="preserve"> </w:t>
      </w:r>
    </w:p>
    <w:p w14:paraId="7059B59A" w14:textId="6E583974" w:rsidR="00590979" w:rsidRPr="000C1702" w:rsidRDefault="00590979" w:rsidP="009171F8">
      <w:pPr>
        <w:spacing w:line="360" w:lineRule="auto"/>
        <w:rPr>
          <w:rFonts w:ascii="Arial" w:hAnsi="Arial" w:cs="Arial"/>
          <w:sz w:val="24"/>
          <w:szCs w:val="24"/>
        </w:rPr>
      </w:pPr>
      <w:r w:rsidRPr="000C1702">
        <w:rPr>
          <w:rFonts w:ascii="Arial" w:hAnsi="Arial" w:cs="Arial"/>
          <w:sz w:val="24"/>
          <w:szCs w:val="24"/>
        </w:rPr>
        <w:t xml:space="preserve">Following the quantitative analysis, a more detailed qualitative analysis of case notes was conducted to outline a typology of referrals </w:t>
      </w:r>
      <w:r>
        <w:rPr>
          <w:rFonts w:ascii="Arial" w:hAnsi="Arial" w:cs="Arial"/>
          <w:sz w:val="24"/>
          <w:szCs w:val="24"/>
        </w:rPr>
        <w:t>consider</w:t>
      </w:r>
      <w:r w:rsidRPr="000C1702">
        <w:rPr>
          <w:rFonts w:ascii="Arial" w:hAnsi="Arial" w:cs="Arial"/>
          <w:sz w:val="24"/>
          <w:szCs w:val="24"/>
        </w:rPr>
        <w:t>ed at each stage</w:t>
      </w:r>
      <w:r>
        <w:rPr>
          <w:rFonts w:ascii="Arial" w:hAnsi="Arial" w:cs="Arial"/>
          <w:sz w:val="24"/>
          <w:szCs w:val="24"/>
        </w:rPr>
        <w:t xml:space="preserve"> </w:t>
      </w:r>
      <w:r w:rsidR="00440A3C">
        <w:rPr>
          <w:rFonts w:ascii="Arial" w:hAnsi="Arial" w:cs="Arial"/>
          <w:sz w:val="24"/>
          <w:szCs w:val="24"/>
        </w:rPr>
        <w:t>(</w:t>
      </w:r>
      <w:r>
        <w:rPr>
          <w:rFonts w:ascii="Arial" w:hAnsi="Arial" w:cs="Arial"/>
          <w:sz w:val="24"/>
          <w:szCs w:val="24"/>
        </w:rPr>
        <w:t xml:space="preserve">Table </w:t>
      </w:r>
      <w:r w:rsidR="00417B02">
        <w:rPr>
          <w:rFonts w:ascii="Arial" w:hAnsi="Arial" w:cs="Arial"/>
          <w:sz w:val="24"/>
          <w:szCs w:val="24"/>
        </w:rPr>
        <w:t>4</w:t>
      </w:r>
      <w:r w:rsidR="00440A3C">
        <w:rPr>
          <w:rFonts w:ascii="Arial" w:hAnsi="Arial" w:cs="Arial"/>
          <w:sz w:val="24"/>
          <w:szCs w:val="24"/>
        </w:rPr>
        <w:t>)</w:t>
      </w:r>
      <w:r w:rsidRPr="000C1702">
        <w:rPr>
          <w:rFonts w:ascii="Arial" w:hAnsi="Arial" w:cs="Arial"/>
          <w:sz w:val="24"/>
          <w:szCs w:val="24"/>
        </w:rPr>
        <w:t>.</w:t>
      </w:r>
    </w:p>
    <w:p w14:paraId="3C98C9AF" w14:textId="29BF181B" w:rsidR="00590979" w:rsidRPr="00D471A8" w:rsidRDefault="00590979" w:rsidP="00C00C66">
      <w:pPr>
        <w:rPr>
          <w:rFonts w:ascii="Arial" w:hAnsi="Arial" w:cs="Arial"/>
          <w:b/>
          <w:sz w:val="24"/>
          <w:szCs w:val="24"/>
        </w:rPr>
      </w:pPr>
      <w:r w:rsidRPr="00D471A8">
        <w:rPr>
          <w:rFonts w:ascii="Arial" w:hAnsi="Arial" w:cs="Arial"/>
          <w:b/>
          <w:sz w:val="24"/>
          <w:szCs w:val="24"/>
        </w:rPr>
        <w:t xml:space="preserve">Table </w:t>
      </w:r>
      <w:r w:rsidR="00FD792D">
        <w:rPr>
          <w:rFonts w:ascii="Arial" w:hAnsi="Arial" w:cs="Arial"/>
          <w:b/>
          <w:sz w:val="24"/>
          <w:szCs w:val="24"/>
        </w:rPr>
        <w:t>4</w:t>
      </w:r>
      <w:r w:rsidRPr="00D471A8">
        <w:rPr>
          <w:rFonts w:ascii="Arial" w:hAnsi="Arial" w:cs="Arial"/>
          <w:b/>
          <w:sz w:val="24"/>
          <w:szCs w:val="24"/>
        </w:rPr>
        <w:t xml:space="preserve">: Descriptions of </w:t>
      </w:r>
      <w:r>
        <w:rPr>
          <w:rFonts w:ascii="Arial" w:hAnsi="Arial" w:cs="Arial"/>
          <w:b/>
          <w:sz w:val="24"/>
          <w:szCs w:val="24"/>
        </w:rPr>
        <w:t xml:space="preserve">sampled </w:t>
      </w:r>
      <w:r w:rsidRPr="00D471A8">
        <w:rPr>
          <w:rFonts w:ascii="Arial" w:hAnsi="Arial" w:cs="Arial"/>
          <w:b/>
          <w:sz w:val="24"/>
          <w:szCs w:val="24"/>
        </w:rPr>
        <w:t xml:space="preserve">cases </w:t>
      </w:r>
      <w:r>
        <w:rPr>
          <w:rFonts w:ascii="Arial" w:hAnsi="Arial" w:cs="Arial"/>
          <w:b/>
          <w:sz w:val="24"/>
          <w:szCs w:val="24"/>
        </w:rPr>
        <w:t xml:space="preserve">dealt with </w:t>
      </w:r>
      <w:r w:rsidRPr="00D471A8">
        <w:rPr>
          <w:rFonts w:ascii="Arial" w:hAnsi="Arial" w:cs="Arial"/>
          <w:b/>
          <w:sz w:val="24"/>
          <w:szCs w:val="24"/>
        </w:rPr>
        <w:t>at each stage</w:t>
      </w:r>
    </w:p>
    <w:tbl>
      <w:tblPr>
        <w:tblStyle w:val="TableGrid"/>
        <w:tblW w:w="0" w:type="auto"/>
        <w:tblLook w:val="04A0" w:firstRow="1" w:lastRow="0" w:firstColumn="1" w:lastColumn="0" w:noHBand="0" w:noVBand="1"/>
      </w:tblPr>
      <w:tblGrid>
        <w:gridCol w:w="1809"/>
        <w:gridCol w:w="6707"/>
      </w:tblGrid>
      <w:tr w:rsidR="00590979" w:rsidRPr="000C1702" w14:paraId="6F1485AB" w14:textId="77777777" w:rsidTr="00C00C66">
        <w:tc>
          <w:tcPr>
            <w:tcW w:w="1809" w:type="dxa"/>
          </w:tcPr>
          <w:p w14:paraId="4C7E186A" w14:textId="77777777" w:rsidR="00590979" w:rsidRPr="00EA4DC2" w:rsidRDefault="00590979" w:rsidP="00C00C66">
            <w:pPr>
              <w:rPr>
                <w:rFonts w:ascii="Arial" w:hAnsi="Arial" w:cs="Arial"/>
                <w:b/>
                <w:sz w:val="24"/>
                <w:szCs w:val="24"/>
              </w:rPr>
            </w:pPr>
            <w:r w:rsidRPr="00EA4DC2">
              <w:rPr>
                <w:rFonts w:ascii="Arial" w:hAnsi="Arial" w:cs="Arial"/>
                <w:b/>
                <w:sz w:val="24"/>
                <w:szCs w:val="24"/>
              </w:rPr>
              <w:t>Stage of investigation</w:t>
            </w:r>
          </w:p>
        </w:tc>
        <w:tc>
          <w:tcPr>
            <w:tcW w:w="6707" w:type="dxa"/>
          </w:tcPr>
          <w:p w14:paraId="1C7B6C2F" w14:textId="77777777" w:rsidR="00590979" w:rsidRDefault="00590979" w:rsidP="00C00C66">
            <w:pPr>
              <w:rPr>
                <w:rFonts w:ascii="Arial" w:hAnsi="Arial" w:cs="Arial"/>
                <w:b/>
                <w:sz w:val="24"/>
                <w:szCs w:val="24"/>
              </w:rPr>
            </w:pPr>
          </w:p>
          <w:p w14:paraId="45F1FA1A" w14:textId="77777777" w:rsidR="00590979" w:rsidRPr="00EA4DC2" w:rsidRDefault="00590979" w:rsidP="00C00C66">
            <w:pPr>
              <w:rPr>
                <w:rFonts w:ascii="Arial" w:hAnsi="Arial" w:cs="Arial"/>
                <w:b/>
                <w:sz w:val="24"/>
                <w:szCs w:val="24"/>
              </w:rPr>
            </w:pPr>
            <w:r w:rsidRPr="00EA4DC2">
              <w:rPr>
                <w:rFonts w:ascii="Arial" w:hAnsi="Arial" w:cs="Arial"/>
                <w:b/>
                <w:sz w:val="24"/>
                <w:szCs w:val="24"/>
              </w:rPr>
              <w:t>Summary of case description</w:t>
            </w:r>
          </w:p>
        </w:tc>
      </w:tr>
      <w:tr w:rsidR="00590979" w:rsidRPr="000C1702" w14:paraId="3F0E6A78" w14:textId="77777777" w:rsidTr="00C00C66">
        <w:tc>
          <w:tcPr>
            <w:tcW w:w="1809" w:type="dxa"/>
          </w:tcPr>
          <w:p w14:paraId="0158E33E" w14:textId="77777777" w:rsidR="00590979" w:rsidRPr="00EA4DC2" w:rsidRDefault="00590979" w:rsidP="00C00C66">
            <w:pPr>
              <w:rPr>
                <w:rFonts w:ascii="Arial" w:hAnsi="Arial" w:cs="Arial"/>
                <w:b/>
                <w:sz w:val="24"/>
                <w:szCs w:val="24"/>
              </w:rPr>
            </w:pPr>
            <w:r w:rsidRPr="00EA4DC2">
              <w:rPr>
                <w:rFonts w:ascii="Arial" w:hAnsi="Arial" w:cs="Arial"/>
                <w:b/>
                <w:i/>
                <w:sz w:val="24"/>
                <w:szCs w:val="24"/>
              </w:rPr>
              <w:t xml:space="preserve">Initial </w:t>
            </w:r>
            <w:r>
              <w:rPr>
                <w:rFonts w:ascii="Arial" w:hAnsi="Arial" w:cs="Arial"/>
                <w:b/>
                <w:i/>
                <w:sz w:val="24"/>
                <w:szCs w:val="24"/>
              </w:rPr>
              <w:t>s</w:t>
            </w:r>
            <w:r w:rsidRPr="00EA4DC2">
              <w:rPr>
                <w:rFonts w:ascii="Arial" w:hAnsi="Arial" w:cs="Arial"/>
                <w:b/>
                <w:i/>
                <w:sz w:val="24"/>
                <w:szCs w:val="24"/>
              </w:rPr>
              <w:t>tage</w:t>
            </w:r>
          </w:p>
        </w:tc>
        <w:tc>
          <w:tcPr>
            <w:tcW w:w="6707" w:type="dxa"/>
          </w:tcPr>
          <w:p w14:paraId="4A126736" w14:textId="77777777" w:rsidR="00590979" w:rsidRPr="00EA4DC2" w:rsidRDefault="00590979" w:rsidP="00C00C66">
            <w:pPr>
              <w:rPr>
                <w:rFonts w:ascii="Arial" w:hAnsi="Arial" w:cs="Arial"/>
                <w:b/>
                <w:sz w:val="24"/>
                <w:szCs w:val="24"/>
              </w:rPr>
            </w:pPr>
          </w:p>
        </w:tc>
      </w:tr>
      <w:tr w:rsidR="00590979" w:rsidRPr="000C1702" w14:paraId="4AF35113" w14:textId="77777777" w:rsidTr="00C00C66">
        <w:tc>
          <w:tcPr>
            <w:tcW w:w="1809" w:type="dxa"/>
          </w:tcPr>
          <w:p w14:paraId="27175975" w14:textId="77777777" w:rsidR="00590979" w:rsidRPr="000C1702" w:rsidRDefault="00590979" w:rsidP="00C00C66">
            <w:pPr>
              <w:rPr>
                <w:rFonts w:ascii="Arial" w:hAnsi="Arial" w:cs="Arial"/>
                <w:i/>
                <w:sz w:val="24"/>
                <w:szCs w:val="24"/>
              </w:rPr>
            </w:pPr>
          </w:p>
        </w:tc>
        <w:tc>
          <w:tcPr>
            <w:tcW w:w="6707" w:type="dxa"/>
          </w:tcPr>
          <w:p w14:paraId="45CFAB81" w14:textId="77777777" w:rsidR="00590979" w:rsidRPr="006E5735" w:rsidRDefault="00590979" w:rsidP="00C00C66">
            <w:pPr>
              <w:rPr>
                <w:rFonts w:ascii="Arial" w:hAnsi="Arial" w:cs="Arial"/>
                <w:b/>
                <w:i/>
                <w:sz w:val="24"/>
                <w:szCs w:val="24"/>
              </w:rPr>
            </w:pPr>
            <w:r w:rsidRPr="006E5735">
              <w:rPr>
                <w:rFonts w:ascii="Arial" w:hAnsi="Arial" w:cs="Arial"/>
                <w:b/>
                <w:i/>
                <w:sz w:val="24"/>
                <w:szCs w:val="24"/>
              </w:rPr>
              <w:t>Competence and performance</w:t>
            </w:r>
            <w:r>
              <w:rPr>
                <w:rFonts w:ascii="Arial" w:hAnsi="Arial" w:cs="Arial"/>
                <w:b/>
                <w:i/>
                <w:sz w:val="24"/>
                <w:szCs w:val="24"/>
              </w:rPr>
              <w:t xml:space="preserve"> (120)</w:t>
            </w:r>
          </w:p>
        </w:tc>
      </w:tr>
      <w:tr w:rsidR="00590979" w:rsidRPr="000C1702" w14:paraId="71687963" w14:textId="77777777" w:rsidTr="00C00C66">
        <w:tc>
          <w:tcPr>
            <w:tcW w:w="1809" w:type="dxa"/>
          </w:tcPr>
          <w:p w14:paraId="737A1E3D" w14:textId="77777777" w:rsidR="00590979" w:rsidRPr="000C1702" w:rsidRDefault="00590979" w:rsidP="00C00C66">
            <w:pPr>
              <w:rPr>
                <w:rFonts w:ascii="Arial" w:hAnsi="Arial" w:cs="Arial"/>
                <w:sz w:val="24"/>
                <w:szCs w:val="24"/>
              </w:rPr>
            </w:pPr>
          </w:p>
        </w:tc>
        <w:tc>
          <w:tcPr>
            <w:tcW w:w="6707" w:type="dxa"/>
          </w:tcPr>
          <w:p w14:paraId="2EE71048" w14:textId="77777777" w:rsidR="00590979" w:rsidRPr="006E5735" w:rsidRDefault="00590979" w:rsidP="00C00C66">
            <w:pPr>
              <w:pStyle w:val="ListParagraph"/>
              <w:numPr>
                <w:ilvl w:val="0"/>
                <w:numId w:val="3"/>
              </w:numPr>
              <w:rPr>
                <w:rFonts w:ascii="Arial" w:hAnsi="Arial" w:cs="Arial"/>
                <w:sz w:val="24"/>
                <w:szCs w:val="24"/>
              </w:rPr>
            </w:pPr>
            <w:r w:rsidRPr="006E5735">
              <w:rPr>
                <w:rFonts w:ascii="Arial" w:hAnsi="Arial" w:cs="Arial"/>
                <w:sz w:val="24"/>
                <w:szCs w:val="24"/>
              </w:rPr>
              <w:t>Inaccurate/inadequate assessments/reporting (70)</w:t>
            </w:r>
          </w:p>
        </w:tc>
      </w:tr>
      <w:tr w:rsidR="00590979" w:rsidRPr="000C1702" w14:paraId="248005EC" w14:textId="77777777" w:rsidTr="00C00C66">
        <w:trPr>
          <w:trHeight w:val="189"/>
        </w:trPr>
        <w:tc>
          <w:tcPr>
            <w:tcW w:w="1809" w:type="dxa"/>
          </w:tcPr>
          <w:p w14:paraId="5005C5FF" w14:textId="77777777" w:rsidR="00590979" w:rsidRPr="000C1702" w:rsidRDefault="00590979" w:rsidP="00C00C66">
            <w:pPr>
              <w:rPr>
                <w:rFonts w:ascii="Arial" w:hAnsi="Arial" w:cs="Arial"/>
                <w:sz w:val="24"/>
                <w:szCs w:val="24"/>
              </w:rPr>
            </w:pPr>
          </w:p>
        </w:tc>
        <w:tc>
          <w:tcPr>
            <w:tcW w:w="6707" w:type="dxa"/>
          </w:tcPr>
          <w:p w14:paraId="0889AB5F" w14:textId="77777777" w:rsidR="00590979" w:rsidRPr="006E5735" w:rsidRDefault="00590979" w:rsidP="00C00C66">
            <w:pPr>
              <w:pStyle w:val="ListParagraph"/>
              <w:numPr>
                <w:ilvl w:val="0"/>
                <w:numId w:val="3"/>
              </w:numPr>
              <w:rPr>
                <w:rFonts w:ascii="Arial" w:hAnsi="Arial" w:cs="Arial"/>
                <w:sz w:val="24"/>
                <w:szCs w:val="24"/>
              </w:rPr>
            </w:pPr>
            <w:r w:rsidRPr="006E5735">
              <w:rPr>
                <w:rFonts w:ascii="Arial" w:hAnsi="Arial" w:cs="Arial"/>
                <w:sz w:val="24"/>
                <w:szCs w:val="24"/>
              </w:rPr>
              <w:t>Inadequate care/knowledge (50)</w:t>
            </w:r>
          </w:p>
        </w:tc>
      </w:tr>
      <w:tr w:rsidR="00590979" w:rsidRPr="000C1702" w14:paraId="3FD84602" w14:textId="77777777" w:rsidTr="00C00C66">
        <w:trPr>
          <w:trHeight w:val="189"/>
        </w:trPr>
        <w:tc>
          <w:tcPr>
            <w:tcW w:w="1809" w:type="dxa"/>
          </w:tcPr>
          <w:p w14:paraId="5E70013B" w14:textId="77777777" w:rsidR="00590979" w:rsidRPr="000C1702" w:rsidRDefault="00590979" w:rsidP="00C00C66">
            <w:pPr>
              <w:rPr>
                <w:rFonts w:ascii="Arial" w:hAnsi="Arial" w:cs="Arial"/>
                <w:sz w:val="24"/>
                <w:szCs w:val="24"/>
              </w:rPr>
            </w:pPr>
          </w:p>
        </w:tc>
        <w:tc>
          <w:tcPr>
            <w:tcW w:w="6707" w:type="dxa"/>
          </w:tcPr>
          <w:p w14:paraId="09EC0DC0" w14:textId="2BDB9DC2" w:rsidR="00590979" w:rsidRPr="006E5735" w:rsidRDefault="00590979" w:rsidP="00C470FA">
            <w:pPr>
              <w:rPr>
                <w:rFonts w:ascii="Arial" w:hAnsi="Arial" w:cs="Arial"/>
                <w:b/>
                <w:i/>
                <w:sz w:val="24"/>
                <w:szCs w:val="24"/>
              </w:rPr>
            </w:pPr>
            <w:r w:rsidRPr="006E5735">
              <w:rPr>
                <w:rFonts w:ascii="Arial" w:hAnsi="Arial" w:cs="Arial"/>
                <w:b/>
                <w:i/>
                <w:sz w:val="24"/>
                <w:szCs w:val="24"/>
              </w:rPr>
              <w:t>Conduct (</w:t>
            </w:r>
            <w:r>
              <w:rPr>
                <w:rFonts w:ascii="Arial" w:hAnsi="Arial" w:cs="Arial"/>
                <w:b/>
                <w:i/>
                <w:sz w:val="24"/>
                <w:szCs w:val="24"/>
              </w:rPr>
              <w:t>5</w:t>
            </w:r>
            <w:r w:rsidR="00C470FA">
              <w:rPr>
                <w:rFonts w:ascii="Arial" w:hAnsi="Arial" w:cs="Arial"/>
                <w:b/>
                <w:i/>
                <w:sz w:val="24"/>
                <w:szCs w:val="24"/>
              </w:rPr>
              <w:t>2</w:t>
            </w:r>
            <w:r w:rsidRPr="006E5735">
              <w:rPr>
                <w:rFonts w:ascii="Arial" w:hAnsi="Arial" w:cs="Arial"/>
                <w:b/>
                <w:i/>
                <w:sz w:val="24"/>
                <w:szCs w:val="24"/>
              </w:rPr>
              <w:t>)</w:t>
            </w:r>
          </w:p>
        </w:tc>
      </w:tr>
      <w:tr w:rsidR="00590979" w:rsidRPr="000C1702" w14:paraId="01243C44" w14:textId="77777777" w:rsidTr="00C00C66">
        <w:trPr>
          <w:trHeight w:val="269"/>
        </w:trPr>
        <w:tc>
          <w:tcPr>
            <w:tcW w:w="1809" w:type="dxa"/>
          </w:tcPr>
          <w:p w14:paraId="67028A99" w14:textId="77777777" w:rsidR="00590979" w:rsidRPr="000C1702" w:rsidRDefault="00590979" w:rsidP="00C00C66">
            <w:pPr>
              <w:rPr>
                <w:rFonts w:ascii="Arial" w:hAnsi="Arial" w:cs="Arial"/>
                <w:sz w:val="24"/>
                <w:szCs w:val="24"/>
              </w:rPr>
            </w:pPr>
          </w:p>
        </w:tc>
        <w:tc>
          <w:tcPr>
            <w:tcW w:w="6707" w:type="dxa"/>
          </w:tcPr>
          <w:p w14:paraId="678C018C" w14:textId="77777777" w:rsidR="00590979" w:rsidRPr="006E5735" w:rsidRDefault="00590979" w:rsidP="00C00C66">
            <w:pPr>
              <w:pStyle w:val="ListParagraph"/>
              <w:numPr>
                <w:ilvl w:val="0"/>
                <w:numId w:val="4"/>
              </w:numPr>
              <w:rPr>
                <w:rFonts w:ascii="Arial" w:hAnsi="Arial" w:cs="Arial"/>
                <w:sz w:val="24"/>
                <w:szCs w:val="24"/>
              </w:rPr>
            </w:pPr>
            <w:r w:rsidRPr="006E5735">
              <w:rPr>
                <w:rFonts w:ascii="Arial" w:hAnsi="Arial" w:cs="Arial"/>
                <w:sz w:val="24"/>
                <w:szCs w:val="24"/>
              </w:rPr>
              <w:t>Disputes within teams or with managers (12)</w:t>
            </w:r>
          </w:p>
        </w:tc>
      </w:tr>
      <w:tr w:rsidR="00590979" w:rsidRPr="000C1702" w14:paraId="4E474426" w14:textId="77777777" w:rsidTr="00C00C66">
        <w:tc>
          <w:tcPr>
            <w:tcW w:w="1809" w:type="dxa"/>
          </w:tcPr>
          <w:p w14:paraId="6628BF76" w14:textId="77777777" w:rsidR="00590979" w:rsidRPr="000C1702" w:rsidRDefault="00590979" w:rsidP="00C00C66">
            <w:pPr>
              <w:rPr>
                <w:rFonts w:ascii="Arial" w:hAnsi="Arial" w:cs="Arial"/>
                <w:sz w:val="24"/>
                <w:szCs w:val="24"/>
              </w:rPr>
            </w:pPr>
          </w:p>
        </w:tc>
        <w:tc>
          <w:tcPr>
            <w:tcW w:w="6707" w:type="dxa"/>
          </w:tcPr>
          <w:p w14:paraId="44460C00" w14:textId="77777777" w:rsidR="00590979" w:rsidRPr="006E5735" w:rsidRDefault="00590979" w:rsidP="00C00C66">
            <w:pPr>
              <w:pStyle w:val="ListParagraph"/>
              <w:numPr>
                <w:ilvl w:val="0"/>
                <w:numId w:val="4"/>
              </w:numPr>
              <w:rPr>
                <w:rFonts w:ascii="Arial" w:hAnsi="Arial" w:cs="Arial"/>
                <w:sz w:val="24"/>
                <w:szCs w:val="24"/>
              </w:rPr>
            </w:pPr>
            <w:r w:rsidRPr="006E5735">
              <w:rPr>
                <w:rFonts w:ascii="Arial" w:hAnsi="Arial" w:cs="Arial"/>
                <w:sz w:val="24"/>
                <w:szCs w:val="24"/>
              </w:rPr>
              <w:t>Convictions/cautions (8)</w:t>
            </w:r>
          </w:p>
        </w:tc>
      </w:tr>
      <w:tr w:rsidR="00590979" w:rsidRPr="000C1702" w14:paraId="69C61787" w14:textId="77777777" w:rsidTr="00C00C66">
        <w:tc>
          <w:tcPr>
            <w:tcW w:w="1809" w:type="dxa"/>
          </w:tcPr>
          <w:p w14:paraId="1F0E5214" w14:textId="77777777" w:rsidR="00590979" w:rsidRPr="000C1702" w:rsidRDefault="00590979" w:rsidP="00C00C66">
            <w:pPr>
              <w:rPr>
                <w:rFonts w:ascii="Arial" w:hAnsi="Arial" w:cs="Arial"/>
                <w:sz w:val="24"/>
                <w:szCs w:val="24"/>
              </w:rPr>
            </w:pPr>
          </w:p>
        </w:tc>
        <w:tc>
          <w:tcPr>
            <w:tcW w:w="6707" w:type="dxa"/>
          </w:tcPr>
          <w:p w14:paraId="036F8ECE" w14:textId="77777777" w:rsidR="00590979" w:rsidRPr="006E5735" w:rsidRDefault="00590979" w:rsidP="00C00C66">
            <w:pPr>
              <w:pStyle w:val="ListParagraph"/>
              <w:numPr>
                <w:ilvl w:val="0"/>
                <w:numId w:val="4"/>
              </w:numPr>
              <w:rPr>
                <w:rFonts w:ascii="Arial" w:hAnsi="Arial" w:cs="Arial"/>
                <w:sz w:val="24"/>
                <w:szCs w:val="24"/>
              </w:rPr>
            </w:pPr>
            <w:r w:rsidRPr="006E5735">
              <w:rPr>
                <w:rFonts w:ascii="Arial" w:hAnsi="Arial" w:cs="Arial"/>
                <w:sz w:val="24"/>
                <w:szCs w:val="24"/>
              </w:rPr>
              <w:t>Allegations of a sexual nature (8)</w:t>
            </w:r>
          </w:p>
        </w:tc>
      </w:tr>
      <w:tr w:rsidR="00590979" w:rsidRPr="000C1702" w14:paraId="4DB457D1" w14:textId="77777777" w:rsidTr="00C00C66">
        <w:tc>
          <w:tcPr>
            <w:tcW w:w="1809" w:type="dxa"/>
          </w:tcPr>
          <w:p w14:paraId="6F8173B3" w14:textId="77777777" w:rsidR="00590979" w:rsidRPr="000C1702" w:rsidRDefault="00590979" w:rsidP="00C00C66">
            <w:pPr>
              <w:rPr>
                <w:rFonts w:ascii="Arial" w:hAnsi="Arial" w:cs="Arial"/>
                <w:sz w:val="24"/>
                <w:szCs w:val="24"/>
              </w:rPr>
            </w:pPr>
          </w:p>
        </w:tc>
        <w:tc>
          <w:tcPr>
            <w:tcW w:w="6707" w:type="dxa"/>
          </w:tcPr>
          <w:p w14:paraId="54409C2D" w14:textId="77777777" w:rsidR="00590979" w:rsidRPr="006E5735" w:rsidRDefault="00590979" w:rsidP="00C00C66">
            <w:pPr>
              <w:pStyle w:val="ListParagraph"/>
              <w:numPr>
                <w:ilvl w:val="0"/>
                <w:numId w:val="4"/>
              </w:numPr>
              <w:rPr>
                <w:rFonts w:ascii="Arial" w:hAnsi="Arial" w:cs="Arial"/>
                <w:sz w:val="24"/>
                <w:szCs w:val="24"/>
              </w:rPr>
            </w:pPr>
            <w:r w:rsidRPr="006E5735">
              <w:rPr>
                <w:rFonts w:ascii="Arial" w:hAnsi="Arial" w:cs="Arial"/>
                <w:sz w:val="24"/>
                <w:szCs w:val="24"/>
              </w:rPr>
              <w:t>Dishonesty (7)</w:t>
            </w:r>
          </w:p>
        </w:tc>
      </w:tr>
      <w:tr w:rsidR="00590979" w:rsidRPr="000C1702" w14:paraId="03A225AB" w14:textId="77777777" w:rsidTr="00C00C66">
        <w:tc>
          <w:tcPr>
            <w:tcW w:w="1809" w:type="dxa"/>
          </w:tcPr>
          <w:p w14:paraId="1A99D53B" w14:textId="77777777" w:rsidR="00590979" w:rsidRPr="000C1702" w:rsidRDefault="00590979" w:rsidP="00C00C66">
            <w:pPr>
              <w:rPr>
                <w:rFonts w:ascii="Arial" w:hAnsi="Arial" w:cs="Arial"/>
                <w:sz w:val="24"/>
                <w:szCs w:val="24"/>
              </w:rPr>
            </w:pPr>
          </w:p>
        </w:tc>
        <w:tc>
          <w:tcPr>
            <w:tcW w:w="6707" w:type="dxa"/>
          </w:tcPr>
          <w:p w14:paraId="1A95E5EB" w14:textId="77777777" w:rsidR="00590979" w:rsidRPr="006E5735" w:rsidRDefault="00590979" w:rsidP="00C00C66">
            <w:pPr>
              <w:pStyle w:val="ListParagraph"/>
              <w:numPr>
                <w:ilvl w:val="0"/>
                <w:numId w:val="4"/>
              </w:numPr>
              <w:rPr>
                <w:rFonts w:ascii="Arial" w:hAnsi="Arial" w:cs="Arial"/>
                <w:sz w:val="24"/>
                <w:szCs w:val="24"/>
              </w:rPr>
            </w:pPr>
            <w:r w:rsidRPr="006E5735">
              <w:rPr>
                <w:rFonts w:ascii="Arial" w:hAnsi="Arial" w:cs="Arial"/>
                <w:sz w:val="24"/>
                <w:szCs w:val="24"/>
              </w:rPr>
              <w:t>Breach of confidentiality (6)</w:t>
            </w:r>
          </w:p>
        </w:tc>
      </w:tr>
      <w:tr w:rsidR="00590979" w:rsidRPr="000C1702" w14:paraId="5E015966" w14:textId="77777777" w:rsidTr="00C00C66">
        <w:tc>
          <w:tcPr>
            <w:tcW w:w="1809" w:type="dxa"/>
          </w:tcPr>
          <w:p w14:paraId="7E8BB48F" w14:textId="77777777" w:rsidR="00590979" w:rsidRPr="000C1702" w:rsidRDefault="00590979" w:rsidP="00C00C66">
            <w:pPr>
              <w:rPr>
                <w:rFonts w:ascii="Arial" w:hAnsi="Arial" w:cs="Arial"/>
                <w:sz w:val="24"/>
                <w:szCs w:val="24"/>
              </w:rPr>
            </w:pPr>
          </w:p>
        </w:tc>
        <w:tc>
          <w:tcPr>
            <w:tcW w:w="6707" w:type="dxa"/>
          </w:tcPr>
          <w:p w14:paraId="509ACEEE" w14:textId="77777777" w:rsidR="00590979" w:rsidRPr="006E5735" w:rsidRDefault="00590979" w:rsidP="00C00C66">
            <w:pPr>
              <w:pStyle w:val="ListParagraph"/>
              <w:numPr>
                <w:ilvl w:val="0"/>
                <w:numId w:val="4"/>
              </w:numPr>
              <w:rPr>
                <w:rFonts w:ascii="Arial" w:hAnsi="Arial" w:cs="Arial"/>
                <w:sz w:val="24"/>
                <w:szCs w:val="24"/>
              </w:rPr>
            </w:pPr>
            <w:r w:rsidRPr="006E5735">
              <w:rPr>
                <w:rFonts w:ascii="Arial" w:hAnsi="Arial" w:cs="Arial"/>
                <w:sz w:val="24"/>
                <w:szCs w:val="24"/>
              </w:rPr>
              <w:t xml:space="preserve">Interpersonal/communication issues (5) </w:t>
            </w:r>
          </w:p>
        </w:tc>
      </w:tr>
      <w:tr w:rsidR="00590979" w:rsidRPr="000C1702" w14:paraId="1CA364C0" w14:textId="77777777" w:rsidTr="00C00C66">
        <w:tc>
          <w:tcPr>
            <w:tcW w:w="1809" w:type="dxa"/>
          </w:tcPr>
          <w:p w14:paraId="74CF8F32" w14:textId="77777777" w:rsidR="00590979" w:rsidRPr="000C1702" w:rsidRDefault="00590979" w:rsidP="00C00C66">
            <w:pPr>
              <w:rPr>
                <w:rFonts w:ascii="Arial" w:hAnsi="Arial" w:cs="Arial"/>
                <w:sz w:val="24"/>
                <w:szCs w:val="24"/>
              </w:rPr>
            </w:pPr>
          </w:p>
        </w:tc>
        <w:tc>
          <w:tcPr>
            <w:tcW w:w="6707" w:type="dxa"/>
          </w:tcPr>
          <w:p w14:paraId="59B555A4" w14:textId="77777777" w:rsidR="00590979" w:rsidRPr="006E5735" w:rsidRDefault="00590979" w:rsidP="00C00C66">
            <w:pPr>
              <w:pStyle w:val="ListParagraph"/>
              <w:numPr>
                <w:ilvl w:val="0"/>
                <w:numId w:val="4"/>
              </w:numPr>
              <w:rPr>
                <w:rFonts w:ascii="Arial" w:hAnsi="Arial" w:cs="Arial"/>
                <w:sz w:val="24"/>
                <w:szCs w:val="24"/>
              </w:rPr>
            </w:pPr>
            <w:r w:rsidRPr="006E5735">
              <w:rPr>
                <w:rFonts w:ascii="Arial" w:hAnsi="Arial" w:cs="Arial"/>
                <w:sz w:val="24"/>
                <w:szCs w:val="24"/>
              </w:rPr>
              <w:t>Disputes with students (4)</w:t>
            </w:r>
          </w:p>
        </w:tc>
      </w:tr>
      <w:tr w:rsidR="00C470FA" w:rsidRPr="000C1702" w14:paraId="33704009" w14:textId="77777777" w:rsidTr="00C00C66">
        <w:tc>
          <w:tcPr>
            <w:tcW w:w="1809" w:type="dxa"/>
          </w:tcPr>
          <w:p w14:paraId="017A7D87" w14:textId="77777777" w:rsidR="00C470FA" w:rsidRPr="000C1702" w:rsidRDefault="00C470FA" w:rsidP="00C00C66">
            <w:pPr>
              <w:rPr>
                <w:rFonts w:ascii="Arial" w:hAnsi="Arial" w:cs="Arial"/>
                <w:sz w:val="24"/>
                <w:szCs w:val="24"/>
              </w:rPr>
            </w:pPr>
          </w:p>
        </w:tc>
        <w:tc>
          <w:tcPr>
            <w:tcW w:w="6707" w:type="dxa"/>
          </w:tcPr>
          <w:p w14:paraId="532E5498" w14:textId="5EFA0B00" w:rsidR="00C470FA" w:rsidRPr="006E5735" w:rsidRDefault="00C470FA" w:rsidP="00C00C66">
            <w:pPr>
              <w:pStyle w:val="ListParagraph"/>
              <w:numPr>
                <w:ilvl w:val="0"/>
                <w:numId w:val="4"/>
              </w:numPr>
              <w:rPr>
                <w:rFonts w:ascii="Arial" w:hAnsi="Arial" w:cs="Arial"/>
                <w:sz w:val="24"/>
                <w:szCs w:val="24"/>
              </w:rPr>
            </w:pPr>
            <w:r>
              <w:rPr>
                <w:rFonts w:ascii="Arial" w:hAnsi="Arial" w:cs="Arial"/>
                <w:sz w:val="24"/>
                <w:szCs w:val="24"/>
              </w:rPr>
              <w:t>Registration issue (1)</w:t>
            </w:r>
          </w:p>
        </w:tc>
      </w:tr>
      <w:tr w:rsidR="00C470FA" w:rsidRPr="000C1702" w14:paraId="1C8615AB" w14:textId="77777777" w:rsidTr="00C00C66">
        <w:tc>
          <w:tcPr>
            <w:tcW w:w="1809" w:type="dxa"/>
          </w:tcPr>
          <w:p w14:paraId="3F14BF29" w14:textId="77777777" w:rsidR="00C470FA" w:rsidRPr="000C1702" w:rsidRDefault="00C470FA" w:rsidP="00C00C66">
            <w:pPr>
              <w:rPr>
                <w:rFonts w:ascii="Arial" w:hAnsi="Arial" w:cs="Arial"/>
                <w:sz w:val="24"/>
                <w:szCs w:val="24"/>
              </w:rPr>
            </w:pPr>
          </w:p>
        </w:tc>
        <w:tc>
          <w:tcPr>
            <w:tcW w:w="6707" w:type="dxa"/>
          </w:tcPr>
          <w:p w14:paraId="19F664CF" w14:textId="18633738" w:rsidR="00C470FA" w:rsidRPr="006E5735" w:rsidRDefault="00C470FA" w:rsidP="00C470FA">
            <w:pPr>
              <w:pStyle w:val="ListParagraph"/>
              <w:numPr>
                <w:ilvl w:val="0"/>
                <w:numId w:val="4"/>
              </w:numPr>
              <w:rPr>
                <w:rFonts w:ascii="Arial" w:hAnsi="Arial" w:cs="Arial"/>
                <w:sz w:val="24"/>
                <w:szCs w:val="24"/>
              </w:rPr>
            </w:pPr>
            <w:r>
              <w:rPr>
                <w:rFonts w:ascii="Arial" w:hAnsi="Arial" w:cs="Arial"/>
                <w:sz w:val="24"/>
                <w:szCs w:val="24"/>
              </w:rPr>
              <w:t xml:space="preserve">No specific allegation (1) </w:t>
            </w:r>
          </w:p>
        </w:tc>
      </w:tr>
      <w:tr w:rsidR="00590979" w:rsidRPr="000C1702" w14:paraId="77A7B81C" w14:textId="77777777" w:rsidTr="00C00C66">
        <w:tc>
          <w:tcPr>
            <w:tcW w:w="1809" w:type="dxa"/>
          </w:tcPr>
          <w:p w14:paraId="435CCA01" w14:textId="77777777" w:rsidR="00590979" w:rsidRPr="000C1702" w:rsidRDefault="00590979" w:rsidP="00C00C66">
            <w:pPr>
              <w:rPr>
                <w:rFonts w:ascii="Arial" w:hAnsi="Arial" w:cs="Arial"/>
                <w:i/>
                <w:sz w:val="24"/>
                <w:szCs w:val="24"/>
              </w:rPr>
            </w:pPr>
          </w:p>
        </w:tc>
        <w:tc>
          <w:tcPr>
            <w:tcW w:w="6707" w:type="dxa"/>
          </w:tcPr>
          <w:p w14:paraId="59BE614D" w14:textId="77777777" w:rsidR="00590979" w:rsidRPr="000C1702" w:rsidRDefault="00590979" w:rsidP="00C00C66">
            <w:pPr>
              <w:rPr>
                <w:rFonts w:ascii="Arial" w:hAnsi="Arial" w:cs="Arial"/>
                <w:sz w:val="24"/>
                <w:szCs w:val="24"/>
              </w:rPr>
            </w:pPr>
            <w:r w:rsidRPr="006E5735">
              <w:rPr>
                <w:rFonts w:ascii="Arial" w:hAnsi="Arial" w:cs="Arial"/>
                <w:b/>
                <w:i/>
                <w:sz w:val="24"/>
                <w:szCs w:val="24"/>
              </w:rPr>
              <w:t>Health related (1)</w:t>
            </w:r>
          </w:p>
        </w:tc>
      </w:tr>
      <w:tr w:rsidR="00590979" w:rsidRPr="000C1702" w14:paraId="6F3E2EAB" w14:textId="77777777" w:rsidTr="00C00C66">
        <w:tc>
          <w:tcPr>
            <w:tcW w:w="1809" w:type="dxa"/>
          </w:tcPr>
          <w:p w14:paraId="784F1503" w14:textId="77777777" w:rsidR="00590979" w:rsidRPr="00EA4DC2" w:rsidRDefault="00590979" w:rsidP="00C00C66">
            <w:pPr>
              <w:rPr>
                <w:rFonts w:ascii="Arial" w:hAnsi="Arial" w:cs="Arial"/>
                <w:b/>
                <w:i/>
                <w:sz w:val="24"/>
                <w:szCs w:val="24"/>
              </w:rPr>
            </w:pPr>
            <w:r w:rsidRPr="00EA4DC2">
              <w:rPr>
                <w:rFonts w:ascii="Arial" w:hAnsi="Arial" w:cs="Arial"/>
                <w:b/>
                <w:i/>
                <w:sz w:val="24"/>
                <w:szCs w:val="24"/>
              </w:rPr>
              <w:t xml:space="preserve">ICP stage </w:t>
            </w:r>
          </w:p>
        </w:tc>
        <w:tc>
          <w:tcPr>
            <w:tcW w:w="6707" w:type="dxa"/>
          </w:tcPr>
          <w:p w14:paraId="0CE60443" w14:textId="77777777" w:rsidR="00590979" w:rsidRPr="000C1702" w:rsidRDefault="00590979" w:rsidP="00C00C66">
            <w:pPr>
              <w:rPr>
                <w:rFonts w:ascii="Arial" w:hAnsi="Arial" w:cs="Arial"/>
                <w:sz w:val="24"/>
                <w:szCs w:val="24"/>
              </w:rPr>
            </w:pPr>
          </w:p>
        </w:tc>
      </w:tr>
      <w:tr w:rsidR="00590979" w:rsidRPr="000C1702" w14:paraId="6A0D542A" w14:textId="77777777" w:rsidTr="00C00C66">
        <w:tc>
          <w:tcPr>
            <w:tcW w:w="1809" w:type="dxa"/>
          </w:tcPr>
          <w:p w14:paraId="3F913608" w14:textId="77777777" w:rsidR="00590979" w:rsidRPr="000C1702" w:rsidRDefault="00590979" w:rsidP="00C00C66">
            <w:pPr>
              <w:rPr>
                <w:rFonts w:ascii="Arial" w:hAnsi="Arial" w:cs="Arial"/>
                <w:sz w:val="24"/>
                <w:szCs w:val="24"/>
              </w:rPr>
            </w:pPr>
          </w:p>
        </w:tc>
        <w:tc>
          <w:tcPr>
            <w:tcW w:w="6707" w:type="dxa"/>
          </w:tcPr>
          <w:p w14:paraId="40D29790" w14:textId="77777777" w:rsidR="00590979" w:rsidRPr="006E5735" w:rsidRDefault="00590979" w:rsidP="00C00C66">
            <w:pPr>
              <w:rPr>
                <w:rFonts w:ascii="Arial" w:hAnsi="Arial" w:cs="Arial"/>
                <w:b/>
                <w:i/>
                <w:sz w:val="24"/>
                <w:szCs w:val="24"/>
              </w:rPr>
            </w:pPr>
            <w:r w:rsidRPr="006E5735">
              <w:rPr>
                <w:rFonts w:ascii="Arial" w:hAnsi="Arial" w:cs="Arial"/>
                <w:b/>
                <w:i/>
                <w:sz w:val="24"/>
                <w:szCs w:val="24"/>
              </w:rPr>
              <w:t>Competence and performance</w:t>
            </w:r>
            <w:r>
              <w:rPr>
                <w:rFonts w:ascii="Arial" w:hAnsi="Arial" w:cs="Arial"/>
                <w:b/>
                <w:i/>
                <w:sz w:val="24"/>
                <w:szCs w:val="24"/>
              </w:rPr>
              <w:t xml:space="preserve"> (14)</w:t>
            </w:r>
          </w:p>
        </w:tc>
      </w:tr>
      <w:tr w:rsidR="00590979" w:rsidRPr="000C1702" w14:paraId="4D8D2F2B" w14:textId="77777777" w:rsidTr="00C00C66">
        <w:tc>
          <w:tcPr>
            <w:tcW w:w="1809" w:type="dxa"/>
          </w:tcPr>
          <w:p w14:paraId="1C62BBD5" w14:textId="77777777" w:rsidR="00590979" w:rsidRPr="000C1702" w:rsidRDefault="00590979" w:rsidP="00C00C66">
            <w:pPr>
              <w:rPr>
                <w:rFonts w:ascii="Arial" w:hAnsi="Arial" w:cs="Arial"/>
                <w:sz w:val="24"/>
                <w:szCs w:val="24"/>
              </w:rPr>
            </w:pPr>
          </w:p>
        </w:tc>
        <w:tc>
          <w:tcPr>
            <w:tcW w:w="6707" w:type="dxa"/>
          </w:tcPr>
          <w:p w14:paraId="12CC956D" w14:textId="77777777" w:rsidR="00590979" w:rsidRPr="000C1702" w:rsidRDefault="00590979" w:rsidP="00C00C66">
            <w:pPr>
              <w:numPr>
                <w:ilvl w:val="0"/>
                <w:numId w:val="5"/>
              </w:numPr>
              <w:rPr>
                <w:rFonts w:ascii="Arial" w:hAnsi="Arial" w:cs="Arial"/>
                <w:sz w:val="24"/>
                <w:szCs w:val="24"/>
              </w:rPr>
            </w:pPr>
            <w:r w:rsidRPr="000C1702">
              <w:rPr>
                <w:rFonts w:ascii="Arial" w:hAnsi="Arial" w:cs="Arial"/>
                <w:sz w:val="24"/>
                <w:szCs w:val="24"/>
              </w:rPr>
              <w:t>Inaccurate assessment/reporting (10)</w:t>
            </w:r>
          </w:p>
        </w:tc>
      </w:tr>
      <w:tr w:rsidR="00590979" w:rsidRPr="000C1702" w14:paraId="14BC33C3" w14:textId="77777777" w:rsidTr="00C00C66">
        <w:tc>
          <w:tcPr>
            <w:tcW w:w="1809" w:type="dxa"/>
          </w:tcPr>
          <w:p w14:paraId="3C5763C8" w14:textId="77777777" w:rsidR="00590979" w:rsidRPr="000C1702" w:rsidRDefault="00590979" w:rsidP="00C00C66">
            <w:pPr>
              <w:rPr>
                <w:rFonts w:ascii="Arial" w:hAnsi="Arial" w:cs="Arial"/>
                <w:sz w:val="24"/>
                <w:szCs w:val="24"/>
              </w:rPr>
            </w:pPr>
          </w:p>
        </w:tc>
        <w:tc>
          <w:tcPr>
            <w:tcW w:w="6707" w:type="dxa"/>
          </w:tcPr>
          <w:p w14:paraId="7F9BBD5A" w14:textId="77777777" w:rsidR="00590979" w:rsidRPr="000C1702" w:rsidRDefault="00590979" w:rsidP="00C00C66">
            <w:pPr>
              <w:numPr>
                <w:ilvl w:val="0"/>
                <w:numId w:val="5"/>
              </w:numPr>
              <w:rPr>
                <w:rFonts w:ascii="Arial" w:hAnsi="Arial" w:cs="Arial"/>
                <w:sz w:val="24"/>
                <w:szCs w:val="24"/>
              </w:rPr>
            </w:pPr>
            <w:r w:rsidRPr="000C1702">
              <w:rPr>
                <w:rFonts w:ascii="Arial" w:hAnsi="Arial" w:cs="Arial"/>
                <w:sz w:val="24"/>
                <w:szCs w:val="24"/>
              </w:rPr>
              <w:t>Inadequate care (2)</w:t>
            </w:r>
          </w:p>
        </w:tc>
      </w:tr>
      <w:tr w:rsidR="00590979" w:rsidRPr="000C1702" w14:paraId="222D9E9B" w14:textId="77777777" w:rsidTr="00C00C66">
        <w:tc>
          <w:tcPr>
            <w:tcW w:w="1809" w:type="dxa"/>
          </w:tcPr>
          <w:p w14:paraId="131A824E" w14:textId="77777777" w:rsidR="00590979" w:rsidRPr="000C1702" w:rsidRDefault="00590979" w:rsidP="00C00C66">
            <w:pPr>
              <w:rPr>
                <w:rFonts w:ascii="Arial" w:hAnsi="Arial" w:cs="Arial"/>
                <w:sz w:val="24"/>
                <w:szCs w:val="24"/>
              </w:rPr>
            </w:pPr>
          </w:p>
        </w:tc>
        <w:tc>
          <w:tcPr>
            <w:tcW w:w="6707" w:type="dxa"/>
          </w:tcPr>
          <w:p w14:paraId="7B05A23B" w14:textId="77777777" w:rsidR="00590979" w:rsidRPr="000C1702" w:rsidRDefault="00590979" w:rsidP="00C00C66">
            <w:pPr>
              <w:numPr>
                <w:ilvl w:val="0"/>
                <w:numId w:val="5"/>
              </w:numPr>
              <w:rPr>
                <w:rFonts w:ascii="Arial" w:hAnsi="Arial" w:cs="Arial"/>
                <w:sz w:val="24"/>
                <w:szCs w:val="24"/>
              </w:rPr>
            </w:pPr>
            <w:r w:rsidRPr="000C1702">
              <w:rPr>
                <w:rFonts w:ascii="Arial" w:hAnsi="Arial" w:cs="Arial"/>
                <w:sz w:val="24"/>
                <w:szCs w:val="24"/>
              </w:rPr>
              <w:t>Administrative failings (2)</w:t>
            </w:r>
          </w:p>
        </w:tc>
      </w:tr>
      <w:tr w:rsidR="00590979" w:rsidRPr="000C1702" w14:paraId="69C0E22B" w14:textId="77777777" w:rsidTr="00C00C66">
        <w:tc>
          <w:tcPr>
            <w:tcW w:w="1809" w:type="dxa"/>
          </w:tcPr>
          <w:p w14:paraId="4B2A6CCF" w14:textId="77777777" w:rsidR="00590979" w:rsidRPr="000C1702" w:rsidRDefault="00590979" w:rsidP="00C00C66">
            <w:pPr>
              <w:rPr>
                <w:rFonts w:ascii="Arial" w:hAnsi="Arial" w:cs="Arial"/>
                <w:sz w:val="24"/>
                <w:szCs w:val="24"/>
              </w:rPr>
            </w:pPr>
          </w:p>
        </w:tc>
        <w:tc>
          <w:tcPr>
            <w:tcW w:w="6707" w:type="dxa"/>
          </w:tcPr>
          <w:p w14:paraId="359D2C7F" w14:textId="77777777" w:rsidR="00590979" w:rsidRPr="006E5735" w:rsidRDefault="00590979" w:rsidP="00C00C66">
            <w:pPr>
              <w:rPr>
                <w:rFonts w:ascii="Arial" w:hAnsi="Arial" w:cs="Arial"/>
                <w:b/>
                <w:i/>
                <w:sz w:val="24"/>
                <w:szCs w:val="24"/>
              </w:rPr>
            </w:pPr>
            <w:r w:rsidRPr="006E5735">
              <w:rPr>
                <w:rFonts w:ascii="Arial" w:hAnsi="Arial" w:cs="Arial"/>
                <w:b/>
                <w:i/>
                <w:sz w:val="24"/>
                <w:szCs w:val="24"/>
              </w:rPr>
              <w:t>Conduct</w:t>
            </w:r>
            <w:r>
              <w:rPr>
                <w:rFonts w:ascii="Arial" w:hAnsi="Arial" w:cs="Arial"/>
                <w:b/>
                <w:i/>
                <w:sz w:val="24"/>
                <w:szCs w:val="24"/>
              </w:rPr>
              <w:t xml:space="preserve"> (14)</w:t>
            </w:r>
          </w:p>
        </w:tc>
      </w:tr>
      <w:tr w:rsidR="00590979" w:rsidRPr="000C1702" w14:paraId="7A1C6CD6" w14:textId="77777777" w:rsidTr="00C00C66">
        <w:tc>
          <w:tcPr>
            <w:tcW w:w="1809" w:type="dxa"/>
          </w:tcPr>
          <w:p w14:paraId="27B18A40" w14:textId="77777777" w:rsidR="00590979" w:rsidRPr="000C1702" w:rsidRDefault="00590979" w:rsidP="00C00C66">
            <w:pPr>
              <w:rPr>
                <w:rFonts w:ascii="Arial" w:hAnsi="Arial" w:cs="Arial"/>
                <w:sz w:val="24"/>
                <w:szCs w:val="24"/>
              </w:rPr>
            </w:pPr>
          </w:p>
        </w:tc>
        <w:tc>
          <w:tcPr>
            <w:tcW w:w="6707" w:type="dxa"/>
          </w:tcPr>
          <w:p w14:paraId="6111920A" w14:textId="77777777" w:rsidR="00590979" w:rsidRPr="006E5735" w:rsidRDefault="00590979" w:rsidP="00C00C66">
            <w:pPr>
              <w:pStyle w:val="ListParagraph"/>
              <w:numPr>
                <w:ilvl w:val="0"/>
                <w:numId w:val="7"/>
              </w:numPr>
              <w:ind w:left="743" w:hanging="284"/>
              <w:rPr>
                <w:rFonts w:ascii="Arial" w:hAnsi="Arial" w:cs="Arial"/>
                <w:sz w:val="24"/>
                <w:szCs w:val="24"/>
              </w:rPr>
            </w:pPr>
            <w:r w:rsidRPr="006E5735">
              <w:rPr>
                <w:rFonts w:ascii="Arial" w:hAnsi="Arial" w:cs="Arial"/>
                <w:sz w:val="24"/>
                <w:szCs w:val="24"/>
              </w:rPr>
              <w:t>Interpersonal/communication issues (9)</w:t>
            </w:r>
          </w:p>
        </w:tc>
      </w:tr>
      <w:tr w:rsidR="00590979" w:rsidRPr="000C1702" w14:paraId="2B72BE2E" w14:textId="77777777" w:rsidTr="00C00C66">
        <w:tc>
          <w:tcPr>
            <w:tcW w:w="1809" w:type="dxa"/>
          </w:tcPr>
          <w:p w14:paraId="2F883A77" w14:textId="77777777" w:rsidR="00590979" w:rsidRPr="000C1702" w:rsidRDefault="00590979" w:rsidP="00C00C66">
            <w:pPr>
              <w:rPr>
                <w:rFonts w:ascii="Arial" w:hAnsi="Arial" w:cs="Arial"/>
                <w:sz w:val="24"/>
                <w:szCs w:val="24"/>
              </w:rPr>
            </w:pPr>
          </w:p>
        </w:tc>
        <w:tc>
          <w:tcPr>
            <w:tcW w:w="6707" w:type="dxa"/>
          </w:tcPr>
          <w:p w14:paraId="1837B04A" w14:textId="77777777" w:rsidR="00590979" w:rsidRPr="006E5735" w:rsidRDefault="00590979" w:rsidP="00C00C66">
            <w:pPr>
              <w:pStyle w:val="ListParagraph"/>
              <w:numPr>
                <w:ilvl w:val="0"/>
                <w:numId w:val="7"/>
              </w:numPr>
              <w:ind w:left="743" w:hanging="284"/>
              <w:rPr>
                <w:rFonts w:ascii="Arial" w:hAnsi="Arial" w:cs="Arial"/>
                <w:sz w:val="24"/>
                <w:szCs w:val="24"/>
              </w:rPr>
            </w:pPr>
            <w:r w:rsidRPr="006E5735">
              <w:rPr>
                <w:rFonts w:ascii="Arial" w:hAnsi="Arial" w:cs="Arial"/>
                <w:sz w:val="24"/>
                <w:szCs w:val="24"/>
              </w:rPr>
              <w:t>Breaches of confidentiality (3)</w:t>
            </w:r>
          </w:p>
        </w:tc>
      </w:tr>
      <w:tr w:rsidR="00590979" w:rsidRPr="000C1702" w14:paraId="630AB9BC" w14:textId="77777777" w:rsidTr="00C00C66">
        <w:tc>
          <w:tcPr>
            <w:tcW w:w="1809" w:type="dxa"/>
          </w:tcPr>
          <w:p w14:paraId="6BF6C67F" w14:textId="77777777" w:rsidR="00590979" w:rsidRPr="000C1702" w:rsidRDefault="00590979" w:rsidP="00C00C66">
            <w:pPr>
              <w:rPr>
                <w:rFonts w:ascii="Arial" w:hAnsi="Arial" w:cs="Arial"/>
                <w:sz w:val="24"/>
                <w:szCs w:val="24"/>
              </w:rPr>
            </w:pPr>
          </w:p>
        </w:tc>
        <w:tc>
          <w:tcPr>
            <w:tcW w:w="6707" w:type="dxa"/>
          </w:tcPr>
          <w:p w14:paraId="7529E387" w14:textId="77777777" w:rsidR="00590979" w:rsidRPr="006E5735" w:rsidRDefault="00590979" w:rsidP="00C00C66">
            <w:pPr>
              <w:pStyle w:val="ListParagraph"/>
              <w:numPr>
                <w:ilvl w:val="0"/>
                <w:numId w:val="7"/>
              </w:numPr>
              <w:ind w:left="743" w:hanging="284"/>
              <w:rPr>
                <w:rFonts w:ascii="Arial" w:hAnsi="Arial" w:cs="Arial"/>
                <w:sz w:val="24"/>
                <w:szCs w:val="24"/>
              </w:rPr>
            </w:pPr>
            <w:r w:rsidRPr="006E5735">
              <w:rPr>
                <w:rFonts w:ascii="Arial" w:hAnsi="Arial" w:cs="Arial"/>
                <w:sz w:val="24"/>
                <w:szCs w:val="24"/>
              </w:rPr>
              <w:t>Dishonesty (1)</w:t>
            </w:r>
          </w:p>
        </w:tc>
      </w:tr>
      <w:tr w:rsidR="00590979" w:rsidRPr="000C1702" w14:paraId="36A6AD00" w14:textId="77777777" w:rsidTr="00C00C66">
        <w:tc>
          <w:tcPr>
            <w:tcW w:w="1809" w:type="dxa"/>
          </w:tcPr>
          <w:p w14:paraId="2D845FB4" w14:textId="77777777" w:rsidR="00590979" w:rsidRPr="000C1702" w:rsidRDefault="00590979" w:rsidP="00C00C66">
            <w:pPr>
              <w:rPr>
                <w:rFonts w:ascii="Arial" w:hAnsi="Arial" w:cs="Arial"/>
                <w:sz w:val="24"/>
                <w:szCs w:val="24"/>
              </w:rPr>
            </w:pPr>
          </w:p>
        </w:tc>
        <w:tc>
          <w:tcPr>
            <w:tcW w:w="6707" w:type="dxa"/>
          </w:tcPr>
          <w:p w14:paraId="4A584046" w14:textId="77777777" w:rsidR="00590979" w:rsidRPr="006E5735" w:rsidRDefault="00590979" w:rsidP="00C00C66">
            <w:pPr>
              <w:pStyle w:val="ListParagraph"/>
              <w:numPr>
                <w:ilvl w:val="0"/>
                <w:numId w:val="7"/>
              </w:numPr>
              <w:ind w:left="743" w:hanging="284"/>
              <w:rPr>
                <w:rFonts w:ascii="Arial" w:hAnsi="Arial" w:cs="Arial"/>
                <w:sz w:val="24"/>
                <w:szCs w:val="24"/>
              </w:rPr>
            </w:pPr>
            <w:r w:rsidRPr="006E5735">
              <w:rPr>
                <w:rFonts w:ascii="Arial" w:hAnsi="Arial" w:cs="Arial"/>
                <w:sz w:val="24"/>
                <w:szCs w:val="24"/>
              </w:rPr>
              <w:t>Registration issue (1)</w:t>
            </w:r>
          </w:p>
        </w:tc>
      </w:tr>
      <w:tr w:rsidR="00590979" w:rsidRPr="000C1702" w14:paraId="33EDF2C0" w14:textId="77777777" w:rsidTr="00C00C66">
        <w:tc>
          <w:tcPr>
            <w:tcW w:w="1809" w:type="dxa"/>
          </w:tcPr>
          <w:p w14:paraId="33479E3C" w14:textId="77777777" w:rsidR="00590979" w:rsidRPr="006E5735" w:rsidRDefault="00590979" w:rsidP="00C00C66">
            <w:pPr>
              <w:rPr>
                <w:rFonts w:ascii="Arial" w:hAnsi="Arial" w:cs="Arial"/>
                <w:b/>
                <w:i/>
                <w:sz w:val="24"/>
                <w:szCs w:val="24"/>
              </w:rPr>
            </w:pPr>
            <w:r w:rsidRPr="006E5735">
              <w:rPr>
                <w:rFonts w:ascii="Arial" w:hAnsi="Arial" w:cs="Arial"/>
                <w:b/>
                <w:i/>
                <w:sz w:val="24"/>
                <w:szCs w:val="24"/>
              </w:rPr>
              <w:t>Final Hearing</w:t>
            </w:r>
          </w:p>
        </w:tc>
        <w:tc>
          <w:tcPr>
            <w:tcW w:w="6707" w:type="dxa"/>
          </w:tcPr>
          <w:p w14:paraId="5D8E3757" w14:textId="77777777" w:rsidR="00590979" w:rsidRPr="000C1702" w:rsidRDefault="00590979" w:rsidP="00C00C66">
            <w:pPr>
              <w:rPr>
                <w:rFonts w:ascii="Arial" w:hAnsi="Arial" w:cs="Arial"/>
                <w:sz w:val="24"/>
                <w:szCs w:val="24"/>
              </w:rPr>
            </w:pPr>
          </w:p>
        </w:tc>
      </w:tr>
      <w:tr w:rsidR="00590979" w:rsidRPr="000C1702" w14:paraId="5D5A8AC6" w14:textId="77777777" w:rsidTr="00C00C66">
        <w:tc>
          <w:tcPr>
            <w:tcW w:w="1809" w:type="dxa"/>
          </w:tcPr>
          <w:p w14:paraId="4A868A0A" w14:textId="77777777" w:rsidR="00590979" w:rsidRPr="000C1702" w:rsidRDefault="00590979" w:rsidP="00C00C66">
            <w:pPr>
              <w:rPr>
                <w:rFonts w:ascii="Arial" w:hAnsi="Arial" w:cs="Arial"/>
                <w:sz w:val="24"/>
                <w:szCs w:val="24"/>
              </w:rPr>
            </w:pPr>
          </w:p>
        </w:tc>
        <w:tc>
          <w:tcPr>
            <w:tcW w:w="6707" w:type="dxa"/>
          </w:tcPr>
          <w:p w14:paraId="266A76C1" w14:textId="77777777" w:rsidR="00590979" w:rsidRPr="006E5735" w:rsidRDefault="00590979" w:rsidP="00C00C66">
            <w:pPr>
              <w:rPr>
                <w:rFonts w:ascii="Arial" w:hAnsi="Arial" w:cs="Arial"/>
                <w:b/>
                <w:i/>
                <w:sz w:val="24"/>
                <w:szCs w:val="24"/>
              </w:rPr>
            </w:pPr>
            <w:r w:rsidRPr="006E5735">
              <w:rPr>
                <w:rFonts w:ascii="Arial" w:hAnsi="Arial" w:cs="Arial"/>
                <w:b/>
                <w:i/>
                <w:sz w:val="24"/>
                <w:szCs w:val="24"/>
              </w:rPr>
              <w:t>Conduct and behaviour (12)</w:t>
            </w:r>
          </w:p>
        </w:tc>
      </w:tr>
      <w:tr w:rsidR="00590979" w:rsidRPr="000C1702" w14:paraId="36FBCB50" w14:textId="77777777" w:rsidTr="00C00C66">
        <w:tc>
          <w:tcPr>
            <w:tcW w:w="1809" w:type="dxa"/>
          </w:tcPr>
          <w:p w14:paraId="758AC4C3" w14:textId="77777777" w:rsidR="00590979" w:rsidRPr="000C1702" w:rsidRDefault="00590979" w:rsidP="00C00C66">
            <w:pPr>
              <w:rPr>
                <w:rFonts w:ascii="Arial" w:hAnsi="Arial" w:cs="Arial"/>
                <w:sz w:val="24"/>
                <w:szCs w:val="24"/>
              </w:rPr>
            </w:pPr>
          </w:p>
        </w:tc>
        <w:tc>
          <w:tcPr>
            <w:tcW w:w="6707" w:type="dxa"/>
          </w:tcPr>
          <w:p w14:paraId="67AB7030" w14:textId="77777777" w:rsidR="00590979" w:rsidRPr="006E5735" w:rsidRDefault="00590979" w:rsidP="00C00C66">
            <w:pPr>
              <w:pStyle w:val="ListParagraph"/>
              <w:numPr>
                <w:ilvl w:val="0"/>
                <w:numId w:val="9"/>
              </w:numPr>
              <w:rPr>
                <w:rFonts w:ascii="Arial" w:hAnsi="Arial" w:cs="Arial"/>
                <w:sz w:val="24"/>
                <w:szCs w:val="24"/>
              </w:rPr>
            </w:pPr>
            <w:r w:rsidRPr="006E5735">
              <w:rPr>
                <w:rFonts w:ascii="Arial" w:hAnsi="Arial" w:cs="Arial"/>
                <w:sz w:val="24"/>
                <w:szCs w:val="24"/>
              </w:rPr>
              <w:t xml:space="preserve">Dishonesty - </w:t>
            </w:r>
            <w:r>
              <w:rPr>
                <w:rFonts w:ascii="Arial" w:hAnsi="Arial" w:cs="Arial"/>
                <w:sz w:val="24"/>
                <w:szCs w:val="24"/>
              </w:rPr>
              <w:t>f</w:t>
            </w:r>
            <w:r w:rsidRPr="006E5735">
              <w:rPr>
                <w:rFonts w:ascii="Arial" w:hAnsi="Arial" w:cs="Arial"/>
                <w:sz w:val="24"/>
                <w:szCs w:val="24"/>
              </w:rPr>
              <w:t>inancial</w:t>
            </w:r>
          </w:p>
        </w:tc>
      </w:tr>
      <w:tr w:rsidR="00590979" w:rsidRPr="000C1702" w14:paraId="04B76775" w14:textId="77777777" w:rsidTr="00C00C66">
        <w:tc>
          <w:tcPr>
            <w:tcW w:w="1809" w:type="dxa"/>
          </w:tcPr>
          <w:p w14:paraId="74B388C9" w14:textId="77777777" w:rsidR="00590979" w:rsidRPr="000C1702" w:rsidRDefault="00590979" w:rsidP="00C00C66">
            <w:pPr>
              <w:rPr>
                <w:rFonts w:ascii="Arial" w:hAnsi="Arial" w:cs="Arial"/>
                <w:sz w:val="24"/>
                <w:szCs w:val="24"/>
              </w:rPr>
            </w:pPr>
          </w:p>
        </w:tc>
        <w:tc>
          <w:tcPr>
            <w:tcW w:w="6707" w:type="dxa"/>
          </w:tcPr>
          <w:p w14:paraId="26938739" w14:textId="77777777" w:rsidR="00590979" w:rsidRPr="006E5735" w:rsidRDefault="00590979" w:rsidP="00C00C66">
            <w:pPr>
              <w:pStyle w:val="ListParagraph"/>
              <w:numPr>
                <w:ilvl w:val="0"/>
                <w:numId w:val="9"/>
              </w:numPr>
              <w:rPr>
                <w:rFonts w:ascii="Arial" w:hAnsi="Arial" w:cs="Arial"/>
                <w:sz w:val="24"/>
                <w:szCs w:val="24"/>
              </w:rPr>
            </w:pPr>
            <w:r w:rsidRPr="006E5735">
              <w:rPr>
                <w:rFonts w:ascii="Arial" w:hAnsi="Arial" w:cs="Arial"/>
                <w:sz w:val="24"/>
                <w:szCs w:val="24"/>
              </w:rPr>
              <w:t xml:space="preserve">Dishonesty – </w:t>
            </w:r>
            <w:r>
              <w:rPr>
                <w:rFonts w:ascii="Arial" w:hAnsi="Arial" w:cs="Arial"/>
                <w:sz w:val="24"/>
                <w:szCs w:val="24"/>
              </w:rPr>
              <w:t>c</w:t>
            </w:r>
            <w:r w:rsidRPr="006E5735">
              <w:rPr>
                <w:rFonts w:ascii="Arial" w:hAnsi="Arial" w:cs="Arial"/>
                <w:sz w:val="24"/>
                <w:szCs w:val="24"/>
              </w:rPr>
              <w:t>onflicts of interest</w:t>
            </w:r>
          </w:p>
        </w:tc>
      </w:tr>
      <w:tr w:rsidR="00590979" w:rsidRPr="000C1702" w14:paraId="5919F36F" w14:textId="77777777" w:rsidTr="00C00C66">
        <w:tc>
          <w:tcPr>
            <w:tcW w:w="1809" w:type="dxa"/>
          </w:tcPr>
          <w:p w14:paraId="0B08AD81" w14:textId="77777777" w:rsidR="00590979" w:rsidRPr="000C1702" w:rsidRDefault="00590979" w:rsidP="00C00C66">
            <w:pPr>
              <w:rPr>
                <w:rFonts w:ascii="Arial" w:hAnsi="Arial" w:cs="Arial"/>
                <w:sz w:val="24"/>
                <w:szCs w:val="24"/>
              </w:rPr>
            </w:pPr>
          </w:p>
        </w:tc>
        <w:tc>
          <w:tcPr>
            <w:tcW w:w="6707" w:type="dxa"/>
          </w:tcPr>
          <w:p w14:paraId="66F4D19A" w14:textId="77777777" w:rsidR="00590979" w:rsidRPr="006E5735" w:rsidRDefault="00590979" w:rsidP="00C00C66">
            <w:pPr>
              <w:pStyle w:val="ListParagraph"/>
              <w:numPr>
                <w:ilvl w:val="0"/>
                <w:numId w:val="9"/>
              </w:numPr>
              <w:rPr>
                <w:rFonts w:ascii="Arial" w:hAnsi="Arial" w:cs="Arial"/>
                <w:sz w:val="24"/>
                <w:szCs w:val="24"/>
              </w:rPr>
            </w:pPr>
            <w:r w:rsidRPr="006E5735">
              <w:rPr>
                <w:rFonts w:ascii="Arial" w:hAnsi="Arial" w:cs="Arial"/>
                <w:sz w:val="24"/>
                <w:szCs w:val="24"/>
              </w:rPr>
              <w:t>Conviction/caution</w:t>
            </w:r>
          </w:p>
        </w:tc>
      </w:tr>
      <w:tr w:rsidR="00590979" w:rsidRPr="000C1702" w14:paraId="43599C3C" w14:textId="77777777" w:rsidTr="00C00C66">
        <w:tc>
          <w:tcPr>
            <w:tcW w:w="1809" w:type="dxa"/>
          </w:tcPr>
          <w:p w14:paraId="539CD824" w14:textId="77777777" w:rsidR="00590979" w:rsidRPr="000C1702" w:rsidRDefault="00590979" w:rsidP="00C00C66">
            <w:pPr>
              <w:rPr>
                <w:rFonts w:ascii="Arial" w:hAnsi="Arial" w:cs="Arial"/>
                <w:sz w:val="24"/>
                <w:szCs w:val="24"/>
              </w:rPr>
            </w:pPr>
          </w:p>
        </w:tc>
        <w:tc>
          <w:tcPr>
            <w:tcW w:w="6707" w:type="dxa"/>
          </w:tcPr>
          <w:p w14:paraId="431CCFB8" w14:textId="77777777" w:rsidR="00590979" w:rsidRPr="006E5735" w:rsidRDefault="00590979" w:rsidP="00C00C66">
            <w:pPr>
              <w:pStyle w:val="ListParagraph"/>
              <w:numPr>
                <w:ilvl w:val="0"/>
                <w:numId w:val="9"/>
              </w:numPr>
              <w:rPr>
                <w:rFonts w:ascii="Arial" w:hAnsi="Arial" w:cs="Arial"/>
                <w:sz w:val="24"/>
                <w:szCs w:val="24"/>
              </w:rPr>
            </w:pPr>
            <w:r w:rsidRPr="006E5735">
              <w:rPr>
                <w:rFonts w:ascii="Arial" w:hAnsi="Arial" w:cs="Arial"/>
                <w:sz w:val="24"/>
                <w:szCs w:val="24"/>
              </w:rPr>
              <w:t>Drug and alcohol related</w:t>
            </w:r>
          </w:p>
        </w:tc>
      </w:tr>
      <w:tr w:rsidR="00590979" w:rsidRPr="000C1702" w14:paraId="6534A8B0" w14:textId="77777777" w:rsidTr="00C00C66">
        <w:tc>
          <w:tcPr>
            <w:tcW w:w="1809" w:type="dxa"/>
          </w:tcPr>
          <w:p w14:paraId="5FCB9432" w14:textId="77777777" w:rsidR="00590979" w:rsidRPr="000C1702" w:rsidRDefault="00590979" w:rsidP="00C00C66">
            <w:pPr>
              <w:rPr>
                <w:rFonts w:ascii="Arial" w:hAnsi="Arial" w:cs="Arial"/>
                <w:sz w:val="24"/>
                <w:szCs w:val="24"/>
              </w:rPr>
            </w:pPr>
          </w:p>
        </w:tc>
        <w:tc>
          <w:tcPr>
            <w:tcW w:w="6707" w:type="dxa"/>
          </w:tcPr>
          <w:p w14:paraId="2001194F" w14:textId="77777777" w:rsidR="00590979" w:rsidRPr="006E5735" w:rsidRDefault="00590979" w:rsidP="00C00C66">
            <w:pPr>
              <w:rPr>
                <w:rFonts w:ascii="Arial" w:hAnsi="Arial" w:cs="Arial"/>
                <w:b/>
                <w:sz w:val="24"/>
                <w:szCs w:val="24"/>
              </w:rPr>
            </w:pPr>
            <w:r w:rsidRPr="006E5735">
              <w:rPr>
                <w:rFonts w:ascii="Arial" w:hAnsi="Arial" w:cs="Arial"/>
                <w:b/>
                <w:sz w:val="24"/>
                <w:szCs w:val="24"/>
              </w:rPr>
              <w:t>Competence and performance (18)</w:t>
            </w:r>
          </w:p>
        </w:tc>
      </w:tr>
      <w:tr w:rsidR="00590979" w:rsidRPr="000C1702" w14:paraId="5D82493B" w14:textId="77777777" w:rsidTr="00C00C66">
        <w:tc>
          <w:tcPr>
            <w:tcW w:w="1809" w:type="dxa"/>
          </w:tcPr>
          <w:p w14:paraId="30386299" w14:textId="77777777" w:rsidR="00590979" w:rsidRPr="000C1702" w:rsidRDefault="00590979" w:rsidP="00C00C66">
            <w:pPr>
              <w:rPr>
                <w:rFonts w:ascii="Arial" w:hAnsi="Arial" w:cs="Arial"/>
                <w:sz w:val="24"/>
                <w:szCs w:val="24"/>
              </w:rPr>
            </w:pPr>
          </w:p>
        </w:tc>
        <w:tc>
          <w:tcPr>
            <w:tcW w:w="6707" w:type="dxa"/>
          </w:tcPr>
          <w:p w14:paraId="7E2B4851" w14:textId="77777777" w:rsidR="00590979" w:rsidRPr="006E5735" w:rsidRDefault="00590979" w:rsidP="00C00C66">
            <w:pPr>
              <w:pStyle w:val="ListParagraph"/>
              <w:numPr>
                <w:ilvl w:val="0"/>
                <w:numId w:val="8"/>
              </w:numPr>
              <w:rPr>
                <w:rFonts w:ascii="Arial" w:hAnsi="Arial" w:cs="Arial"/>
                <w:sz w:val="24"/>
                <w:szCs w:val="24"/>
              </w:rPr>
            </w:pPr>
            <w:r w:rsidRPr="006E5735">
              <w:rPr>
                <w:rFonts w:ascii="Arial" w:hAnsi="Arial" w:cs="Arial"/>
                <w:sz w:val="24"/>
                <w:szCs w:val="24"/>
              </w:rPr>
              <w:t>Breaches of confidentiality</w:t>
            </w:r>
          </w:p>
        </w:tc>
      </w:tr>
      <w:tr w:rsidR="00590979" w:rsidRPr="000C1702" w14:paraId="5B3DE125" w14:textId="77777777" w:rsidTr="00C00C66">
        <w:tc>
          <w:tcPr>
            <w:tcW w:w="1809" w:type="dxa"/>
          </w:tcPr>
          <w:p w14:paraId="6A40355F" w14:textId="77777777" w:rsidR="00590979" w:rsidRPr="000C1702" w:rsidRDefault="00590979" w:rsidP="00C00C66">
            <w:pPr>
              <w:rPr>
                <w:rFonts w:ascii="Arial" w:hAnsi="Arial" w:cs="Arial"/>
                <w:sz w:val="24"/>
                <w:szCs w:val="24"/>
              </w:rPr>
            </w:pPr>
          </w:p>
        </w:tc>
        <w:tc>
          <w:tcPr>
            <w:tcW w:w="6707" w:type="dxa"/>
          </w:tcPr>
          <w:p w14:paraId="3C4C6EA7" w14:textId="77777777" w:rsidR="00590979" w:rsidRPr="006E5735" w:rsidRDefault="00590979" w:rsidP="00C00C66">
            <w:pPr>
              <w:pStyle w:val="ListParagraph"/>
              <w:numPr>
                <w:ilvl w:val="0"/>
                <w:numId w:val="8"/>
              </w:numPr>
              <w:rPr>
                <w:rFonts w:ascii="Arial" w:hAnsi="Arial" w:cs="Arial"/>
                <w:sz w:val="24"/>
                <w:szCs w:val="24"/>
              </w:rPr>
            </w:pPr>
            <w:r w:rsidRPr="006E5735">
              <w:rPr>
                <w:rFonts w:ascii="Arial" w:hAnsi="Arial" w:cs="Arial"/>
                <w:sz w:val="24"/>
                <w:szCs w:val="24"/>
              </w:rPr>
              <w:t>Serial failures of assessments, care, record keeping, meeting deadlines</w:t>
            </w:r>
          </w:p>
        </w:tc>
      </w:tr>
      <w:tr w:rsidR="00590979" w:rsidRPr="000C1702" w14:paraId="27727902" w14:textId="77777777" w:rsidTr="00C00C66">
        <w:tc>
          <w:tcPr>
            <w:tcW w:w="1809" w:type="dxa"/>
          </w:tcPr>
          <w:p w14:paraId="6FF33888" w14:textId="77777777" w:rsidR="00590979" w:rsidRPr="000C1702" w:rsidRDefault="00590979" w:rsidP="00C00C66">
            <w:pPr>
              <w:rPr>
                <w:rFonts w:ascii="Arial" w:hAnsi="Arial" w:cs="Arial"/>
                <w:sz w:val="24"/>
                <w:szCs w:val="24"/>
              </w:rPr>
            </w:pPr>
          </w:p>
        </w:tc>
        <w:tc>
          <w:tcPr>
            <w:tcW w:w="6707" w:type="dxa"/>
          </w:tcPr>
          <w:p w14:paraId="60CCAF6B" w14:textId="77777777" w:rsidR="00590979" w:rsidRPr="006E5735" w:rsidRDefault="00590979" w:rsidP="00C00C66">
            <w:pPr>
              <w:pStyle w:val="ListParagraph"/>
              <w:numPr>
                <w:ilvl w:val="0"/>
                <w:numId w:val="8"/>
              </w:numPr>
              <w:rPr>
                <w:rFonts w:ascii="Arial" w:hAnsi="Arial" w:cs="Arial"/>
                <w:sz w:val="24"/>
                <w:szCs w:val="24"/>
              </w:rPr>
            </w:pPr>
            <w:r w:rsidRPr="006E5735">
              <w:rPr>
                <w:rFonts w:ascii="Arial" w:hAnsi="Arial" w:cs="Arial"/>
                <w:sz w:val="24"/>
                <w:szCs w:val="24"/>
              </w:rPr>
              <w:t>One off failures</w:t>
            </w:r>
          </w:p>
        </w:tc>
      </w:tr>
      <w:tr w:rsidR="00590979" w:rsidRPr="000C1702" w14:paraId="257F8127" w14:textId="77777777" w:rsidTr="00C00C66">
        <w:tc>
          <w:tcPr>
            <w:tcW w:w="1809" w:type="dxa"/>
          </w:tcPr>
          <w:p w14:paraId="6D991319" w14:textId="77777777" w:rsidR="00590979" w:rsidRPr="000C1702" w:rsidRDefault="00590979" w:rsidP="00C00C66">
            <w:pPr>
              <w:rPr>
                <w:rFonts w:ascii="Arial" w:hAnsi="Arial" w:cs="Arial"/>
                <w:sz w:val="24"/>
                <w:szCs w:val="24"/>
              </w:rPr>
            </w:pPr>
          </w:p>
        </w:tc>
        <w:tc>
          <w:tcPr>
            <w:tcW w:w="6707" w:type="dxa"/>
          </w:tcPr>
          <w:p w14:paraId="247E89F7" w14:textId="77777777" w:rsidR="00590979" w:rsidRPr="006E5735" w:rsidRDefault="00590979" w:rsidP="00C00C66">
            <w:pPr>
              <w:rPr>
                <w:rFonts w:ascii="Arial" w:hAnsi="Arial" w:cs="Arial"/>
                <w:b/>
                <w:i/>
                <w:sz w:val="24"/>
                <w:szCs w:val="24"/>
              </w:rPr>
            </w:pPr>
            <w:r w:rsidRPr="006E5735">
              <w:rPr>
                <w:rFonts w:ascii="Arial" w:hAnsi="Arial" w:cs="Arial"/>
                <w:b/>
                <w:i/>
                <w:sz w:val="24"/>
                <w:szCs w:val="24"/>
              </w:rPr>
              <w:t>Health (1)</w:t>
            </w:r>
          </w:p>
        </w:tc>
      </w:tr>
    </w:tbl>
    <w:p w14:paraId="278A8664" w14:textId="77777777" w:rsidR="00590979" w:rsidRPr="000C1702" w:rsidRDefault="00590979" w:rsidP="00C00C66">
      <w:pPr>
        <w:rPr>
          <w:rFonts w:ascii="Arial" w:hAnsi="Arial" w:cs="Arial"/>
          <w:sz w:val="24"/>
          <w:szCs w:val="24"/>
        </w:rPr>
      </w:pPr>
    </w:p>
    <w:p w14:paraId="08528046" w14:textId="015BDBF5" w:rsidR="00590979" w:rsidRPr="00E10768" w:rsidRDefault="00590979" w:rsidP="009171F8">
      <w:pPr>
        <w:spacing w:line="360" w:lineRule="auto"/>
        <w:rPr>
          <w:rFonts w:ascii="Arial" w:hAnsi="Arial" w:cs="Arial"/>
          <w:bCs/>
          <w:sz w:val="24"/>
          <w:szCs w:val="24"/>
        </w:rPr>
      </w:pPr>
      <w:r w:rsidRPr="00E10768">
        <w:rPr>
          <w:rFonts w:ascii="Arial" w:hAnsi="Arial" w:cs="Arial"/>
          <w:bCs/>
          <w:sz w:val="24"/>
          <w:szCs w:val="24"/>
        </w:rPr>
        <w:lastRenderedPageBreak/>
        <w:t xml:space="preserve">We now consider details of the cases </w:t>
      </w:r>
      <w:r>
        <w:rPr>
          <w:rFonts w:ascii="Arial" w:hAnsi="Arial" w:cs="Arial"/>
          <w:bCs/>
          <w:sz w:val="24"/>
          <w:szCs w:val="24"/>
        </w:rPr>
        <w:t xml:space="preserve">dealt with </w:t>
      </w:r>
      <w:r w:rsidRPr="00E10768">
        <w:rPr>
          <w:rFonts w:ascii="Arial" w:hAnsi="Arial" w:cs="Arial"/>
          <w:bCs/>
          <w:sz w:val="24"/>
          <w:szCs w:val="24"/>
        </w:rPr>
        <w:t>at each stage. To illustrate the nature of the cases, we offer several case examples summarised from the files.</w:t>
      </w:r>
    </w:p>
    <w:p w14:paraId="600FBE04" w14:textId="2DD5D126" w:rsidR="00590979" w:rsidRDefault="00590979" w:rsidP="009171F8">
      <w:pPr>
        <w:spacing w:line="360" w:lineRule="auto"/>
        <w:rPr>
          <w:rFonts w:ascii="Arial" w:hAnsi="Arial" w:cs="Arial"/>
          <w:b/>
          <w:bCs/>
          <w:sz w:val="24"/>
          <w:szCs w:val="24"/>
        </w:rPr>
      </w:pPr>
      <w:r>
        <w:rPr>
          <w:rFonts w:ascii="Arial" w:hAnsi="Arial" w:cs="Arial"/>
          <w:b/>
          <w:bCs/>
          <w:sz w:val="24"/>
          <w:szCs w:val="24"/>
        </w:rPr>
        <w:t>Findings related to cases closed at i</w:t>
      </w:r>
      <w:r w:rsidRPr="000C1702">
        <w:rPr>
          <w:rFonts w:ascii="Arial" w:hAnsi="Arial" w:cs="Arial"/>
          <w:b/>
          <w:bCs/>
          <w:sz w:val="24"/>
          <w:szCs w:val="24"/>
        </w:rPr>
        <w:t xml:space="preserve">nitial </w:t>
      </w:r>
      <w:r>
        <w:rPr>
          <w:rFonts w:ascii="Arial" w:hAnsi="Arial" w:cs="Arial"/>
          <w:b/>
          <w:bCs/>
          <w:sz w:val="24"/>
          <w:szCs w:val="24"/>
        </w:rPr>
        <w:t>s</w:t>
      </w:r>
      <w:r w:rsidRPr="000C1702">
        <w:rPr>
          <w:rFonts w:ascii="Arial" w:hAnsi="Arial" w:cs="Arial"/>
          <w:b/>
          <w:bCs/>
          <w:sz w:val="24"/>
          <w:szCs w:val="24"/>
        </w:rPr>
        <w:t>tage</w:t>
      </w:r>
    </w:p>
    <w:p w14:paraId="56F98F52" w14:textId="3E948EA0" w:rsidR="00590979" w:rsidRPr="003D7188" w:rsidRDefault="00590979" w:rsidP="009171F8">
      <w:pPr>
        <w:spacing w:line="360" w:lineRule="auto"/>
        <w:rPr>
          <w:rFonts w:ascii="Arial" w:hAnsi="Arial" w:cs="Arial"/>
          <w:b/>
          <w:bCs/>
          <w:sz w:val="24"/>
          <w:szCs w:val="24"/>
        </w:rPr>
      </w:pPr>
      <w:r w:rsidRPr="003D7188">
        <w:rPr>
          <w:rFonts w:ascii="Arial" w:hAnsi="Arial" w:cs="Arial"/>
          <w:bCs/>
          <w:sz w:val="24"/>
          <w:szCs w:val="24"/>
        </w:rPr>
        <w:t>The majority</w:t>
      </w:r>
      <w:r>
        <w:rPr>
          <w:rFonts w:ascii="Arial" w:hAnsi="Arial" w:cs="Arial"/>
          <w:bCs/>
          <w:sz w:val="24"/>
          <w:szCs w:val="24"/>
        </w:rPr>
        <w:t xml:space="preserve"> </w:t>
      </w:r>
      <w:r w:rsidRPr="003D7188">
        <w:rPr>
          <w:rFonts w:ascii="Arial" w:hAnsi="Arial" w:cs="Arial"/>
          <w:bCs/>
          <w:sz w:val="24"/>
          <w:szCs w:val="24"/>
        </w:rPr>
        <w:t>of r</w:t>
      </w:r>
      <w:r>
        <w:rPr>
          <w:rFonts w:ascii="Arial" w:hAnsi="Arial" w:cs="Arial"/>
          <w:bCs/>
          <w:sz w:val="24"/>
          <w:szCs w:val="24"/>
        </w:rPr>
        <w:t xml:space="preserve">eferrals to HCPC are closed at the initial stage </w:t>
      </w:r>
      <w:r w:rsidR="002765A2">
        <w:rPr>
          <w:rFonts w:ascii="Arial" w:hAnsi="Arial" w:cs="Arial"/>
          <w:bCs/>
          <w:sz w:val="24"/>
          <w:szCs w:val="24"/>
        </w:rPr>
        <w:t>as they do not</w:t>
      </w:r>
      <w:r>
        <w:rPr>
          <w:rFonts w:ascii="Arial" w:hAnsi="Arial" w:cs="Arial"/>
          <w:bCs/>
          <w:sz w:val="24"/>
          <w:szCs w:val="24"/>
        </w:rPr>
        <w:t xml:space="preserve"> meet the standard of acceptance. In many of the sampled cases, the person making the referral did not respond to requests for further information, or if they did, the nature of the concern expressed was not deemed relevant to the social worker’s fitness to practise and/or </w:t>
      </w:r>
      <w:r w:rsidR="00440A3C">
        <w:rPr>
          <w:rFonts w:ascii="Arial" w:hAnsi="Arial" w:cs="Arial"/>
          <w:bCs/>
          <w:sz w:val="24"/>
          <w:szCs w:val="24"/>
        </w:rPr>
        <w:t xml:space="preserve">it was judged that it </w:t>
      </w:r>
      <w:r>
        <w:rPr>
          <w:rFonts w:ascii="Arial" w:hAnsi="Arial" w:cs="Arial"/>
          <w:bCs/>
          <w:sz w:val="24"/>
          <w:szCs w:val="24"/>
        </w:rPr>
        <w:t xml:space="preserve">should be dealt with by the employer or another body. </w:t>
      </w:r>
    </w:p>
    <w:p w14:paraId="3EFC1DE6" w14:textId="77777777" w:rsidR="00590979" w:rsidRPr="00E10768" w:rsidRDefault="00590979" w:rsidP="009171F8">
      <w:pPr>
        <w:spacing w:line="360" w:lineRule="auto"/>
        <w:rPr>
          <w:rFonts w:ascii="Arial" w:hAnsi="Arial" w:cs="Arial"/>
          <w:b/>
          <w:bCs/>
          <w:i/>
          <w:sz w:val="24"/>
          <w:szCs w:val="24"/>
        </w:rPr>
      </w:pPr>
      <w:r w:rsidRPr="00E10768">
        <w:rPr>
          <w:rFonts w:ascii="Arial" w:hAnsi="Arial" w:cs="Arial"/>
          <w:b/>
          <w:bCs/>
          <w:i/>
          <w:sz w:val="24"/>
          <w:szCs w:val="24"/>
        </w:rPr>
        <w:t>Competence and performance</w:t>
      </w:r>
    </w:p>
    <w:p w14:paraId="6913C39D" w14:textId="77777777" w:rsidR="00590979" w:rsidRPr="00E10768" w:rsidRDefault="00590979" w:rsidP="009171F8">
      <w:pPr>
        <w:spacing w:line="360" w:lineRule="auto"/>
        <w:rPr>
          <w:rFonts w:ascii="Arial" w:hAnsi="Arial" w:cs="Arial"/>
          <w:bCs/>
          <w:sz w:val="24"/>
          <w:szCs w:val="24"/>
        </w:rPr>
      </w:pPr>
      <w:r w:rsidRPr="00E10768">
        <w:rPr>
          <w:rFonts w:ascii="Arial" w:hAnsi="Arial" w:cs="Arial"/>
          <w:bCs/>
          <w:sz w:val="24"/>
          <w:szCs w:val="24"/>
        </w:rPr>
        <w:t>The majority of referrals closed at the initial stage w</w:t>
      </w:r>
      <w:r>
        <w:rPr>
          <w:rFonts w:ascii="Arial" w:hAnsi="Arial" w:cs="Arial"/>
          <w:bCs/>
          <w:sz w:val="24"/>
          <w:szCs w:val="24"/>
        </w:rPr>
        <w:t xml:space="preserve">ere </w:t>
      </w:r>
      <w:r w:rsidRPr="00E10768">
        <w:rPr>
          <w:rFonts w:ascii="Arial" w:hAnsi="Arial" w:cs="Arial"/>
          <w:bCs/>
          <w:sz w:val="24"/>
          <w:szCs w:val="24"/>
        </w:rPr>
        <w:t>made by service users, their family members or members of the public.</w:t>
      </w:r>
    </w:p>
    <w:p w14:paraId="36444DAE" w14:textId="77777777" w:rsidR="00590979" w:rsidRPr="00E10768" w:rsidRDefault="00590979" w:rsidP="009171F8">
      <w:pPr>
        <w:spacing w:line="360" w:lineRule="auto"/>
        <w:rPr>
          <w:rFonts w:ascii="Arial" w:hAnsi="Arial" w:cs="Arial"/>
          <w:i/>
          <w:sz w:val="24"/>
          <w:szCs w:val="24"/>
        </w:rPr>
      </w:pPr>
      <w:r w:rsidRPr="00E10768">
        <w:rPr>
          <w:rFonts w:ascii="Arial" w:hAnsi="Arial" w:cs="Arial"/>
          <w:i/>
          <w:sz w:val="24"/>
          <w:szCs w:val="24"/>
        </w:rPr>
        <w:t>Inaccurate/inadequate assessments/reporting</w:t>
      </w:r>
    </w:p>
    <w:p w14:paraId="7564D869" w14:textId="315A5E3C" w:rsidR="00590979" w:rsidRPr="000C1702" w:rsidRDefault="00590979" w:rsidP="009171F8">
      <w:pPr>
        <w:spacing w:line="360" w:lineRule="auto"/>
        <w:rPr>
          <w:rFonts w:ascii="Arial" w:hAnsi="Arial" w:cs="Arial"/>
          <w:sz w:val="24"/>
          <w:szCs w:val="24"/>
        </w:rPr>
      </w:pPr>
      <w:r w:rsidRPr="000C1702">
        <w:rPr>
          <w:rFonts w:ascii="Arial" w:hAnsi="Arial" w:cs="Arial"/>
          <w:sz w:val="24"/>
          <w:szCs w:val="24"/>
        </w:rPr>
        <w:t xml:space="preserve">In this subset of cases, 59 </w:t>
      </w:r>
      <w:r>
        <w:rPr>
          <w:rFonts w:ascii="Arial" w:hAnsi="Arial" w:cs="Arial"/>
          <w:sz w:val="24"/>
          <w:szCs w:val="24"/>
        </w:rPr>
        <w:t xml:space="preserve">(of 70) </w:t>
      </w:r>
      <w:r w:rsidRPr="000C1702">
        <w:rPr>
          <w:rFonts w:ascii="Arial" w:hAnsi="Arial" w:cs="Arial"/>
          <w:sz w:val="24"/>
          <w:szCs w:val="24"/>
        </w:rPr>
        <w:t xml:space="preserve">related to child </w:t>
      </w:r>
      <w:r w:rsidR="0089498D">
        <w:rPr>
          <w:rFonts w:ascii="Arial" w:hAnsi="Arial" w:cs="Arial"/>
          <w:sz w:val="24"/>
          <w:szCs w:val="24"/>
        </w:rPr>
        <w:t>residence</w:t>
      </w:r>
      <w:r w:rsidR="00472E20">
        <w:rPr>
          <w:rFonts w:ascii="Arial" w:hAnsi="Arial" w:cs="Arial"/>
          <w:sz w:val="24"/>
          <w:szCs w:val="24"/>
        </w:rPr>
        <w:t xml:space="preserve"> and contact</w:t>
      </w:r>
      <w:r w:rsidRPr="000C1702">
        <w:rPr>
          <w:rFonts w:ascii="Arial" w:hAnsi="Arial" w:cs="Arial"/>
          <w:sz w:val="24"/>
          <w:szCs w:val="24"/>
        </w:rPr>
        <w:t>. Typically, family member</w:t>
      </w:r>
      <w:r w:rsidR="00AD5309">
        <w:rPr>
          <w:rFonts w:ascii="Arial" w:hAnsi="Arial" w:cs="Arial"/>
          <w:sz w:val="24"/>
          <w:szCs w:val="24"/>
        </w:rPr>
        <w:t>s</w:t>
      </w:r>
      <w:r w:rsidRPr="000C1702">
        <w:rPr>
          <w:rFonts w:ascii="Arial" w:hAnsi="Arial" w:cs="Arial"/>
          <w:sz w:val="24"/>
          <w:szCs w:val="24"/>
        </w:rPr>
        <w:t xml:space="preserve"> or foster parent</w:t>
      </w:r>
      <w:r w:rsidR="00AD5309">
        <w:rPr>
          <w:rFonts w:ascii="Arial" w:hAnsi="Arial" w:cs="Arial"/>
          <w:sz w:val="24"/>
          <w:szCs w:val="24"/>
        </w:rPr>
        <w:t>s</w:t>
      </w:r>
      <w:r w:rsidRPr="000C1702">
        <w:rPr>
          <w:rFonts w:ascii="Arial" w:hAnsi="Arial" w:cs="Arial"/>
          <w:sz w:val="24"/>
          <w:szCs w:val="24"/>
        </w:rPr>
        <w:t xml:space="preserve"> w</w:t>
      </w:r>
      <w:r w:rsidR="00AD5309">
        <w:rPr>
          <w:rFonts w:ascii="Arial" w:hAnsi="Arial" w:cs="Arial"/>
          <w:sz w:val="24"/>
          <w:szCs w:val="24"/>
        </w:rPr>
        <w:t>ere</w:t>
      </w:r>
      <w:r w:rsidRPr="000C1702">
        <w:rPr>
          <w:rFonts w:ascii="Arial" w:hAnsi="Arial" w:cs="Arial"/>
          <w:sz w:val="24"/>
          <w:szCs w:val="24"/>
        </w:rPr>
        <w:t xml:space="preserve"> dissatisfied with decision</w:t>
      </w:r>
      <w:r w:rsidR="00F5078E">
        <w:rPr>
          <w:rFonts w:ascii="Arial" w:hAnsi="Arial" w:cs="Arial"/>
          <w:sz w:val="24"/>
          <w:szCs w:val="24"/>
        </w:rPr>
        <w:t>s</w:t>
      </w:r>
      <w:r w:rsidRPr="000C1702">
        <w:rPr>
          <w:rFonts w:ascii="Arial" w:hAnsi="Arial" w:cs="Arial"/>
          <w:sz w:val="24"/>
          <w:szCs w:val="24"/>
        </w:rPr>
        <w:t xml:space="preserve"> of social worker</w:t>
      </w:r>
      <w:r w:rsidR="00AD5309">
        <w:rPr>
          <w:rFonts w:ascii="Arial" w:hAnsi="Arial" w:cs="Arial"/>
          <w:sz w:val="24"/>
          <w:szCs w:val="24"/>
        </w:rPr>
        <w:t>s</w:t>
      </w:r>
      <w:r w:rsidRPr="000C1702">
        <w:rPr>
          <w:rFonts w:ascii="Arial" w:hAnsi="Arial" w:cs="Arial"/>
          <w:sz w:val="24"/>
          <w:szCs w:val="24"/>
        </w:rPr>
        <w:t xml:space="preserve"> or </w:t>
      </w:r>
      <w:r w:rsidR="001809A5">
        <w:rPr>
          <w:rFonts w:ascii="Arial" w:hAnsi="Arial" w:cs="Arial"/>
          <w:sz w:val="24"/>
          <w:szCs w:val="24"/>
        </w:rPr>
        <w:t xml:space="preserve">the </w:t>
      </w:r>
      <w:r w:rsidRPr="000C1702">
        <w:rPr>
          <w:rFonts w:ascii="Arial" w:hAnsi="Arial" w:cs="Arial"/>
          <w:sz w:val="24"/>
          <w:szCs w:val="24"/>
        </w:rPr>
        <w:t xml:space="preserve">family court </w:t>
      </w:r>
      <w:r>
        <w:rPr>
          <w:rFonts w:ascii="Arial" w:hAnsi="Arial" w:cs="Arial"/>
          <w:sz w:val="24"/>
          <w:szCs w:val="24"/>
        </w:rPr>
        <w:t>about</w:t>
      </w:r>
      <w:r w:rsidRPr="000C1702">
        <w:rPr>
          <w:rFonts w:ascii="Arial" w:hAnsi="Arial" w:cs="Arial"/>
          <w:sz w:val="24"/>
          <w:szCs w:val="24"/>
        </w:rPr>
        <w:t xml:space="preserve"> their suitability to visit, care for, or provide a home for </w:t>
      </w:r>
      <w:r>
        <w:rPr>
          <w:rFonts w:ascii="Arial" w:hAnsi="Arial" w:cs="Arial"/>
          <w:sz w:val="24"/>
          <w:szCs w:val="24"/>
        </w:rPr>
        <w:t>a</w:t>
      </w:r>
      <w:r w:rsidRPr="000C1702">
        <w:rPr>
          <w:rFonts w:ascii="Arial" w:hAnsi="Arial" w:cs="Arial"/>
          <w:sz w:val="24"/>
          <w:szCs w:val="24"/>
        </w:rPr>
        <w:t xml:space="preserve"> child. They alleg</w:t>
      </w:r>
      <w:r w:rsidR="0089498D">
        <w:rPr>
          <w:rFonts w:ascii="Arial" w:hAnsi="Arial" w:cs="Arial"/>
          <w:sz w:val="24"/>
          <w:szCs w:val="24"/>
        </w:rPr>
        <w:t>ed</w:t>
      </w:r>
      <w:r w:rsidRPr="000C1702">
        <w:rPr>
          <w:rFonts w:ascii="Arial" w:hAnsi="Arial" w:cs="Arial"/>
          <w:sz w:val="24"/>
          <w:szCs w:val="24"/>
        </w:rPr>
        <w:t xml:space="preserve"> social worker(s) failed to make accurate assessment</w:t>
      </w:r>
      <w:r>
        <w:rPr>
          <w:rFonts w:ascii="Arial" w:hAnsi="Arial" w:cs="Arial"/>
          <w:sz w:val="24"/>
          <w:szCs w:val="24"/>
        </w:rPr>
        <w:t xml:space="preserve">s, </w:t>
      </w:r>
      <w:r w:rsidRPr="000C1702">
        <w:rPr>
          <w:rFonts w:ascii="Arial" w:hAnsi="Arial" w:cs="Arial"/>
          <w:sz w:val="24"/>
          <w:szCs w:val="24"/>
        </w:rPr>
        <w:t>w</w:t>
      </w:r>
      <w:r>
        <w:rPr>
          <w:rFonts w:ascii="Arial" w:hAnsi="Arial" w:cs="Arial"/>
          <w:sz w:val="24"/>
          <w:szCs w:val="24"/>
        </w:rPr>
        <w:t>ere</w:t>
      </w:r>
      <w:r w:rsidRPr="000C1702">
        <w:rPr>
          <w:rFonts w:ascii="Arial" w:hAnsi="Arial" w:cs="Arial"/>
          <w:sz w:val="24"/>
          <w:szCs w:val="24"/>
        </w:rPr>
        <w:t xml:space="preserve"> biased, failed to act in the </w:t>
      </w:r>
      <w:r w:rsidR="00416738">
        <w:rPr>
          <w:rFonts w:ascii="Arial" w:hAnsi="Arial" w:cs="Arial"/>
          <w:sz w:val="24"/>
          <w:szCs w:val="24"/>
        </w:rPr>
        <w:t xml:space="preserve">child’s </w:t>
      </w:r>
      <w:r w:rsidRPr="000C1702">
        <w:rPr>
          <w:rFonts w:ascii="Arial" w:hAnsi="Arial" w:cs="Arial"/>
          <w:sz w:val="24"/>
          <w:szCs w:val="24"/>
        </w:rPr>
        <w:t>interest</w:t>
      </w:r>
      <w:r w:rsidR="00A62982">
        <w:rPr>
          <w:rFonts w:ascii="Arial" w:hAnsi="Arial" w:cs="Arial"/>
          <w:sz w:val="24"/>
          <w:szCs w:val="24"/>
        </w:rPr>
        <w:t>s</w:t>
      </w:r>
      <w:r w:rsidRPr="000C1702">
        <w:rPr>
          <w:rFonts w:ascii="Arial" w:hAnsi="Arial" w:cs="Arial"/>
          <w:sz w:val="24"/>
          <w:szCs w:val="24"/>
        </w:rPr>
        <w:t xml:space="preserve">, behaved unprofessionally or dishonestly, or breached confidentiality. In 18 cases it was alleged </w:t>
      </w:r>
      <w:r w:rsidR="00F5078E" w:rsidRPr="00F5078E">
        <w:rPr>
          <w:rFonts w:ascii="Arial" w:hAnsi="Arial" w:cs="Arial"/>
          <w:sz w:val="24"/>
          <w:szCs w:val="24"/>
        </w:rPr>
        <w:t xml:space="preserve">social workers </w:t>
      </w:r>
      <w:r w:rsidR="00F5078E">
        <w:rPr>
          <w:rFonts w:ascii="Arial" w:hAnsi="Arial" w:cs="Arial"/>
          <w:sz w:val="24"/>
          <w:szCs w:val="24"/>
        </w:rPr>
        <w:t xml:space="preserve">victimised </w:t>
      </w:r>
      <w:r w:rsidRPr="000C1702">
        <w:rPr>
          <w:rFonts w:ascii="Arial" w:hAnsi="Arial" w:cs="Arial"/>
          <w:sz w:val="24"/>
          <w:szCs w:val="24"/>
        </w:rPr>
        <w:t>the family</w:t>
      </w:r>
      <w:r w:rsidR="00F5078E">
        <w:rPr>
          <w:rFonts w:ascii="Arial" w:hAnsi="Arial" w:cs="Arial"/>
          <w:sz w:val="24"/>
          <w:szCs w:val="24"/>
        </w:rPr>
        <w:t>.</w:t>
      </w:r>
      <w:r w:rsidR="00952DEE">
        <w:rPr>
          <w:rFonts w:ascii="Arial" w:hAnsi="Arial" w:cs="Arial"/>
          <w:sz w:val="24"/>
          <w:szCs w:val="24"/>
        </w:rPr>
        <w:t xml:space="preserve"> C</w:t>
      </w:r>
      <w:r w:rsidRPr="000C1702">
        <w:rPr>
          <w:rFonts w:ascii="Arial" w:hAnsi="Arial" w:cs="Arial"/>
          <w:sz w:val="24"/>
          <w:szCs w:val="24"/>
        </w:rPr>
        <w:t>omplainant</w:t>
      </w:r>
      <w:r w:rsidR="00440A3C">
        <w:rPr>
          <w:rFonts w:ascii="Arial" w:hAnsi="Arial" w:cs="Arial"/>
          <w:sz w:val="24"/>
          <w:szCs w:val="24"/>
        </w:rPr>
        <w:t>s</w:t>
      </w:r>
      <w:r w:rsidRPr="000C1702">
        <w:rPr>
          <w:rFonts w:ascii="Arial" w:hAnsi="Arial" w:cs="Arial"/>
          <w:sz w:val="24"/>
          <w:szCs w:val="24"/>
        </w:rPr>
        <w:t xml:space="preserve"> also alleg</w:t>
      </w:r>
      <w:r w:rsidR="00D75E65">
        <w:rPr>
          <w:rFonts w:ascii="Arial" w:hAnsi="Arial" w:cs="Arial"/>
          <w:sz w:val="24"/>
          <w:szCs w:val="24"/>
        </w:rPr>
        <w:t>e</w:t>
      </w:r>
      <w:r w:rsidR="00952DEE">
        <w:rPr>
          <w:rFonts w:ascii="Arial" w:hAnsi="Arial" w:cs="Arial"/>
          <w:sz w:val="24"/>
          <w:szCs w:val="24"/>
        </w:rPr>
        <w:t>d</w:t>
      </w:r>
      <w:r w:rsidRPr="000C1702">
        <w:rPr>
          <w:rFonts w:ascii="Arial" w:hAnsi="Arial" w:cs="Arial"/>
          <w:sz w:val="24"/>
          <w:szCs w:val="24"/>
        </w:rPr>
        <w:t xml:space="preserve"> misconduct, </w:t>
      </w:r>
      <w:r>
        <w:rPr>
          <w:rFonts w:ascii="Arial" w:hAnsi="Arial" w:cs="Arial"/>
          <w:sz w:val="24"/>
          <w:szCs w:val="24"/>
        </w:rPr>
        <w:t xml:space="preserve">variously </w:t>
      </w:r>
      <w:r w:rsidRPr="000C1702">
        <w:rPr>
          <w:rFonts w:ascii="Arial" w:hAnsi="Arial" w:cs="Arial"/>
          <w:sz w:val="24"/>
          <w:szCs w:val="24"/>
        </w:rPr>
        <w:t>describing social worker</w:t>
      </w:r>
      <w:r>
        <w:rPr>
          <w:rFonts w:ascii="Arial" w:hAnsi="Arial" w:cs="Arial"/>
          <w:sz w:val="24"/>
          <w:szCs w:val="24"/>
        </w:rPr>
        <w:t>s</w:t>
      </w:r>
      <w:r w:rsidRPr="000C1702">
        <w:rPr>
          <w:rFonts w:ascii="Arial" w:hAnsi="Arial" w:cs="Arial"/>
          <w:sz w:val="24"/>
          <w:szCs w:val="24"/>
        </w:rPr>
        <w:t xml:space="preserve"> as ‘incompetent’, ‘dishonest’, ‘aggressive’ </w:t>
      </w:r>
      <w:r>
        <w:rPr>
          <w:rFonts w:ascii="Arial" w:hAnsi="Arial" w:cs="Arial"/>
          <w:sz w:val="24"/>
          <w:szCs w:val="24"/>
        </w:rPr>
        <w:t>and</w:t>
      </w:r>
      <w:r w:rsidRPr="000C1702">
        <w:rPr>
          <w:rFonts w:ascii="Arial" w:hAnsi="Arial" w:cs="Arial"/>
          <w:sz w:val="24"/>
          <w:szCs w:val="24"/>
        </w:rPr>
        <w:t xml:space="preserve"> ‘vile’. </w:t>
      </w:r>
    </w:p>
    <w:p w14:paraId="38CF29EF" w14:textId="02BAE97F" w:rsidR="00590979" w:rsidRPr="000C1702" w:rsidRDefault="00590979" w:rsidP="009171F8">
      <w:pPr>
        <w:spacing w:line="360" w:lineRule="auto"/>
        <w:ind w:left="720"/>
        <w:rPr>
          <w:rFonts w:ascii="Arial" w:hAnsi="Arial" w:cs="Arial"/>
          <w:b/>
          <w:sz w:val="24"/>
          <w:szCs w:val="24"/>
        </w:rPr>
      </w:pPr>
      <w:r w:rsidRPr="000C1702">
        <w:rPr>
          <w:rFonts w:ascii="Arial" w:hAnsi="Arial" w:cs="Arial"/>
          <w:b/>
          <w:sz w:val="24"/>
          <w:szCs w:val="24"/>
        </w:rPr>
        <w:t>Case 1</w:t>
      </w:r>
    </w:p>
    <w:p w14:paraId="7E887DFA" w14:textId="122CE0DC" w:rsidR="00590979" w:rsidRPr="000C1702" w:rsidRDefault="00590979" w:rsidP="009171F8">
      <w:pPr>
        <w:spacing w:line="360" w:lineRule="auto"/>
        <w:ind w:left="720"/>
        <w:rPr>
          <w:rFonts w:ascii="Arial" w:hAnsi="Arial" w:cs="Arial"/>
          <w:sz w:val="24"/>
          <w:szCs w:val="24"/>
        </w:rPr>
      </w:pPr>
      <w:r w:rsidRPr="000C1702">
        <w:rPr>
          <w:rFonts w:ascii="Arial" w:hAnsi="Arial" w:cs="Arial"/>
          <w:sz w:val="24"/>
          <w:szCs w:val="24"/>
        </w:rPr>
        <w:t>A</w:t>
      </w:r>
      <w:r w:rsidR="00440A3C">
        <w:rPr>
          <w:rFonts w:ascii="Arial" w:hAnsi="Arial" w:cs="Arial"/>
          <w:sz w:val="24"/>
          <w:szCs w:val="24"/>
        </w:rPr>
        <w:t>n expectant</w:t>
      </w:r>
      <w:r w:rsidRPr="000C1702">
        <w:rPr>
          <w:rFonts w:ascii="Arial" w:hAnsi="Arial" w:cs="Arial"/>
          <w:sz w:val="24"/>
          <w:szCs w:val="24"/>
        </w:rPr>
        <w:t xml:space="preserve"> mother made a referral about </w:t>
      </w:r>
      <w:r>
        <w:rPr>
          <w:rFonts w:ascii="Arial" w:hAnsi="Arial" w:cs="Arial"/>
          <w:sz w:val="24"/>
          <w:szCs w:val="24"/>
        </w:rPr>
        <w:t>three</w:t>
      </w:r>
      <w:r w:rsidRPr="000C1702">
        <w:rPr>
          <w:rFonts w:ascii="Arial" w:hAnsi="Arial" w:cs="Arial"/>
          <w:sz w:val="24"/>
          <w:szCs w:val="24"/>
        </w:rPr>
        <w:t xml:space="preserve"> social workers involved </w:t>
      </w:r>
      <w:r>
        <w:rPr>
          <w:rFonts w:ascii="Arial" w:hAnsi="Arial" w:cs="Arial"/>
          <w:sz w:val="24"/>
          <w:szCs w:val="24"/>
        </w:rPr>
        <w:t>in a</w:t>
      </w:r>
      <w:r w:rsidRPr="000C1702">
        <w:rPr>
          <w:rFonts w:ascii="Arial" w:hAnsi="Arial" w:cs="Arial"/>
          <w:sz w:val="24"/>
          <w:szCs w:val="24"/>
        </w:rPr>
        <w:t xml:space="preserve"> decision to </w:t>
      </w:r>
      <w:r w:rsidR="00440A3C">
        <w:rPr>
          <w:rFonts w:ascii="Arial" w:hAnsi="Arial" w:cs="Arial"/>
          <w:sz w:val="24"/>
          <w:szCs w:val="24"/>
        </w:rPr>
        <w:t xml:space="preserve">remove </w:t>
      </w:r>
      <w:r w:rsidRPr="000C1702">
        <w:rPr>
          <w:rFonts w:ascii="Arial" w:hAnsi="Arial" w:cs="Arial"/>
          <w:sz w:val="24"/>
          <w:szCs w:val="24"/>
        </w:rPr>
        <w:t xml:space="preserve">her baby </w:t>
      </w:r>
      <w:r w:rsidR="00440A3C">
        <w:rPr>
          <w:rFonts w:ascii="Arial" w:hAnsi="Arial" w:cs="Arial"/>
          <w:sz w:val="24"/>
          <w:szCs w:val="24"/>
        </w:rPr>
        <w:t>at</w:t>
      </w:r>
      <w:r w:rsidRPr="000C1702">
        <w:rPr>
          <w:rFonts w:ascii="Arial" w:hAnsi="Arial" w:cs="Arial"/>
          <w:sz w:val="24"/>
          <w:szCs w:val="24"/>
        </w:rPr>
        <w:t xml:space="preserve"> birth. </w:t>
      </w:r>
      <w:r w:rsidR="00440A3C">
        <w:rPr>
          <w:rFonts w:ascii="Arial" w:hAnsi="Arial" w:cs="Arial"/>
          <w:sz w:val="24"/>
          <w:szCs w:val="24"/>
        </w:rPr>
        <w:t>Oth</w:t>
      </w:r>
      <w:r w:rsidRPr="000C1702">
        <w:rPr>
          <w:rFonts w:ascii="Arial" w:hAnsi="Arial" w:cs="Arial"/>
          <w:sz w:val="24"/>
          <w:szCs w:val="24"/>
        </w:rPr>
        <w:t xml:space="preserve">er children </w:t>
      </w:r>
      <w:r>
        <w:rPr>
          <w:rFonts w:ascii="Arial" w:hAnsi="Arial" w:cs="Arial"/>
          <w:sz w:val="24"/>
          <w:szCs w:val="24"/>
        </w:rPr>
        <w:t xml:space="preserve">had been </w:t>
      </w:r>
      <w:r w:rsidRPr="000C1702">
        <w:rPr>
          <w:rFonts w:ascii="Arial" w:hAnsi="Arial" w:cs="Arial"/>
          <w:sz w:val="24"/>
          <w:szCs w:val="24"/>
        </w:rPr>
        <w:t>removed</w:t>
      </w:r>
      <w:r w:rsidR="00440A3C">
        <w:rPr>
          <w:rFonts w:ascii="Arial" w:hAnsi="Arial" w:cs="Arial"/>
          <w:sz w:val="24"/>
          <w:szCs w:val="24"/>
        </w:rPr>
        <w:t xml:space="preserve"> previously</w:t>
      </w:r>
      <w:r w:rsidRPr="000C1702">
        <w:rPr>
          <w:rFonts w:ascii="Arial" w:hAnsi="Arial" w:cs="Arial"/>
          <w:sz w:val="24"/>
          <w:szCs w:val="24"/>
        </w:rPr>
        <w:t xml:space="preserve">. On this occasion she argued that the father had been treated ‘unfairly’ and the social workers were biased against her and her family. </w:t>
      </w:r>
      <w:r w:rsidR="00440A3C">
        <w:rPr>
          <w:rFonts w:ascii="Arial" w:hAnsi="Arial" w:cs="Arial"/>
          <w:sz w:val="24"/>
          <w:szCs w:val="24"/>
        </w:rPr>
        <w:t>HCPC followed up t</w:t>
      </w:r>
      <w:r w:rsidRPr="000C1702">
        <w:rPr>
          <w:rFonts w:ascii="Arial" w:hAnsi="Arial" w:cs="Arial"/>
          <w:sz w:val="24"/>
          <w:szCs w:val="24"/>
        </w:rPr>
        <w:t xml:space="preserve">he </w:t>
      </w:r>
      <w:r>
        <w:rPr>
          <w:rFonts w:ascii="Arial" w:hAnsi="Arial" w:cs="Arial"/>
          <w:sz w:val="24"/>
          <w:szCs w:val="24"/>
        </w:rPr>
        <w:t>referral</w:t>
      </w:r>
      <w:r w:rsidRPr="000C1702">
        <w:rPr>
          <w:rFonts w:ascii="Arial" w:hAnsi="Arial" w:cs="Arial"/>
          <w:sz w:val="24"/>
          <w:szCs w:val="24"/>
        </w:rPr>
        <w:t xml:space="preserve"> </w:t>
      </w:r>
      <w:r w:rsidR="00440A3C">
        <w:rPr>
          <w:rFonts w:ascii="Arial" w:hAnsi="Arial" w:cs="Arial"/>
          <w:sz w:val="24"/>
          <w:szCs w:val="24"/>
        </w:rPr>
        <w:t>f</w:t>
      </w:r>
      <w:r w:rsidRPr="000C1702">
        <w:rPr>
          <w:rFonts w:ascii="Arial" w:hAnsi="Arial" w:cs="Arial"/>
          <w:sz w:val="24"/>
          <w:szCs w:val="24"/>
        </w:rPr>
        <w:t>our times</w:t>
      </w:r>
      <w:r>
        <w:rPr>
          <w:rFonts w:ascii="Arial" w:hAnsi="Arial" w:cs="Arial"/>
          <w:sz w:val="24"/>
          <w:szCs w:val="24"/>
        </w:rPr>
        <w:t>,</w:t>
      </w:r>
      <w:r w:rsidRPr="000C1702">
        <w:rPr>
          <w:rFonts w:ascii="Arial" w:hAnsi="Arial" w:cs="Arial"/>
          <w:sz w:val="24"/>
          <w:szCs w:val="24"/>
        </w:rPr>
        <w:t xml:space="preserve"> </w:t>
      </w:r>
      <w:r>
        <w:rPr>
          <w:rFonts w:ascii="Arial" w:hAnsi="Arial" w:cs="Arial"/>
          <w:sz w:val="24"/>
          <w:szCs w:val="24"/>
        </w:rPr>
        <w:t xml:space="preserve">with </w:t>
      </w:r>
      <w:r w:rsidRPr="000C1702">
        <w:rPr>
          <w:rFonts w:ascii="Arial" w:hAnsi="Arial" w:cs="Arial"/>
          <w:sz w:val="24"/>
          <w:szCs w:val="24"/>
        </w:rPr>
        <w:t xml:space="preserve">no further response from </w:t>
      </w:r>
      <w:r>
        <w:rPr>
          <w:rFonts w:ascii="Arial" w:hAnsi="Arial" w:cs="Arial"/>
          <w:sz w:val="24"/>
          <w:szCs w:val="24"/>
        </w:rPr>
        <w:t xml:space="preserve">family </w:t>
      </w:r>
      <w:r w:rsidRPr="000C1702">
        <w:rPr>
          <w:rFonts w:ascii="Arial" w:hAnsi="Arial" w:cs="Arial"/>
          <w:sz w:val="24"/>
          <w:szCs w:val="24"/>
        </w:rPr>
        <w:t>member</w:t>
      </w:r>
      <w:r w:rsidR="00440A3C">
        <w:rPr>
          <w:rFonts w:ascii="Arial" w:hAnsi="Arial" w:cs="Arial"/>
          <w:sz w:val="24"/>
          <w:szCs w:val="24"/>
        </w:rPr>
        <w:t>s</w:t>
      </w:r>
      <w:r w:rsidRPr="000C1702">
        <w:rPr>
          <w:rFonts w:ascii="Arial" w:hAnsi="Arial" w:cs="Arial"/>
          <w:sz w:val="24"/>
          <w:szCs w:val="24"/>
        </w:rPr>
        <w:t xml:space="preserve"> and no further information on the allegation. The employer</w:t>
      </w:r>
      <w:r>
        <w:rPr>
          <w:rFonts w:ascii="Arial" w:hAnsi="Arial" w:cs="Arial"/>
          <w:sz w:val="24"/>
          <w:szCs w:val="24"/>
        </w:rPr>
        <w:t xml:space="preserve"> judged</w:t>
      </w:r>
      <w:r w:rsidRPr="000C1702">
        <w:rPr>
          <w:rFonts w:ascii="Arial" w:hAnsi="Arial" w:cs="Arial"/>
          <w:sz w:val="24"/>
          <w:szCs w:val="24"/>
        </w:rPr>
        <w:t xml:space="preserve"> there w</w:t>
      </w:r>
      <w:r>
        <w:rPr>
          <w:rFonts w:ascii="Arial" w:hAnsi="Arial" w:cs="Arial"/>
          <w:sz w:val="24"/>
          <w:szCs w:val="24"/>
        </w:rPr>
        <w:t>ere</w:t>
      </w:r>
      <w:r w:rsidRPr="000C1702">
        <w:rPr>
          <w:rFonts w:ascii="Arial" w:hAnsi="Arial" w:cs="Arial"/>
          <w:sz w:val="24"/>
          <w:szCs w:val="24"/>
        </w:rPr>
        <w:t xml:space="preserve"> no fitness to practise concerns</w:t>
      </w:r>
      <w:r>
        <w:rPr>
          <w:rFonts w:ascii="Arial" w:hAnsi="Arial" w:cs="Arial"/>
          <w:sz w:val="24"/>
          <w:szCs w:val="24"/>
        </w:rPr>
        <w:t>. HCPC closed the case after 1</w:t>
      </w:r>
      <w:r w:rsidRPr="000C1702">
        <w:rPr>
          <w:rFonts w:ascii="Arial" w:hAnsi="Arial" w:cs="Arial"/>
          <w:sz w:val="24"/>
          <w:szCs w:val="24"/>
        </w:rPr>
        <w:t>6 months</w:t>
      </w:r>
      <w:r>
        <w:rPr>
          <w:rFonts w:ascii="Arial" w:hAnsi="Arial" w:cs="Arial"/>
          <w:sz w:val="24"/>
          <w:szCs w:val="24"/>
        </w:rPr>
        <w:t xml:space="preserve">. </w:t>
      </w:r>
    </w:p>
    <w:p w14:paraId="5555DCF3" w14:textId="4E10104A" w:rsidR="00590979" w:rsidRPr="000C1702" w:rsidRDefault="00590979" w:rsidP="009171F8">
      <w:pPr>
        <w:spacing w:line="360" w:lineRule="auto"/>
        <w:rPr>
          <w:rFonts w:ascii="Arial" w:hAnsi="Arial" w:cs="Arial"/>
          <w:sz w:val="24"/>
          <w:szCs w:val="24"/>
        </w:rPr>
      </w:pPr>
      <w:r>
        <w:rPr>
          <w:rFonts w:ascii="Arial" w:hAnsi="Arial" w:cs="Arial"/>
          <w:sz w:val="24"/>
          <w:szCs w:val="24"/>
        </w:rPr>
        <w:lastRenderedPageBreak/>
        <w:t xml:space="preserve">This is one example of many similar </w:t>
      </w:r>
      <w:r w:rsidRPr="000C1702">
        <w:rPr>
          <w:rFonts w:ascii="Arial" w:hAnsi="Arial" w:cs="Arial"/>
          <w:sz w:val="24"/>
          <w:szCs w:val="24"/>
        </w:rPr>
        <w:t>referrals</w:t>
      </w:r>
      <w:r>
        <w:rPr>
          <w:rFonts w:ascii="Arial" w:hAnsi="Arial" w:cs="Arial"/>
          <w:sz w:val="24"/>
          <w:szCs w:val="24"/>
        </w:rPr>
        <w:t xml:space="preserve"> </w:t>
      </w:r>
      <w:r w:rsidRPr="000C1702">
        <w:rPr>
          <w:rFonts w:ascii="Arial" w:hAnsi="Arial" w:cs="Arial"/>
          <w:sz w:val="24"/>
          <w:szCs w:val="24"/>
        </w:rPr>
        <w:t>followed up by HCPC</w:t>
      </w:r>
      <w:r w:rsidR="00AD5309">
        <w:rPr>
          <w:rFonts w:ascii="Arial" w:hAnsi="Arial" w:cs="Arial"/>
          <w:sz w:val="24"/>
          <w:szCs w:val="24"/>
        </w:rPr>
        <w:t>,</w:t>
      </w:r>
      <w:r w:rsidRPr="000C1702">
        <w:rPr>
          <w:rFonts w:ascii="Arial" w:hAnsi="Arial" w:cs="Arial"/>
          <w:sz w:val="24"/>
          <w:szCs w:val="24"/>
        </w:rPr>
        <w:t xml:space="preserve"> </w:t>
      </w:r>
      <w:r>
        <w:rPr>
          <w:rFonts w:ascii="Arial" w:hAnsi="Arial" w:cs="Arial"/>
          <w:sz w:val="24"/>
          <w:szCs w:val="24"/>
        </w:rPr>
        <w:t>with</w:t>
      </w:r>
      <w:r w:rsidRPr="000C1702">
        <w:rPr>
          <w:rFonts w:ascii="Arial" w:hAnsi="Arial" w:cs="Arial"/>
          <w:sz w:val="24"/>
          <w:szCs w:val="24"/>
        </w:rPr>
        <w:t xml:space="preserve"> ‘no further evidence’ forthcoming from </w:t>
      </w:r>
      <w:r>
        <w:rPr>
          <w:rFonts w:ascii="Arial" w:hAnsi="Arial" w:cs="Arial"/>
          <w:sz w:val="24"/>
          <w:szCs w:val="24"/>
        </w:rPr>
        <w:t>referrer</w:t>
      </w:r>
      <w:r w:rsidR="00D75E65">
        <w:rPr>
          <w:rFonts w:ascii="Arial" w:hAnsi="Arial" w:cs="Arial"/>
          <w:sz w:val="24"/>
          <w:szCs w:val="24"/>
        </w:rPr>
        <w:t>s</w:t>
      </w:r>
      <w:r w:rsidRPr="000C1702">
        <w:rPr>
          <w:rFonts w:ascii="Arial" w:hAnsi="Arial" w:cs="Arial"/>
          <w:sz w:val="24"/>
          <w:szCs w:val="24"/>
        </w:rPr>
        <w:t xml:space="preserve">. </w:t>
      </w:r>
    </w:p>
    <w:p w14:paraId="5A0A3D4D" w14:textId="77777777" w:rsidR="00590979" w:rsidRPr="009E3E9A" w:rsidRDefault="00590979" w:rsidP="009171F8">
      <w:pPr>
        <w:spacing w:line="360" w:lineRule="auto"/>
        <w:rPr>
          <w:rFonts w:ascii="Arial" w:hAnsi="Arial" w:cs="Arial"/>
          <w:i/>
          <w:sz w:val="24"/>
          <w:szCs w:val="24"/>
        </w:rPr>
      </w:pPr>
      <w:r w:rsidRPr="009E3E9A">
        <w:rPr>
          <w:rFonts w:ascii="Arial" w:hAnsi="Arial" w:cs="Arial"/>
          <w:i/>
          <w:sz w:val="24"/>
          <w:szCs w:val="24"/>
        </w:rPr>
        <w:t>Inadequate care or knowledge</w:t>
      </w:r>
    </w:p>
    <w:p w14:paraId="55DEA9CF" w14:textId="13A81459" w:rsidR="00590979" w:rsidRPr="000C1702" w:rsidRDefault="00590979" w:rsidP="009171F8">
      <w:pPr>
        <w:spacing w:line="360" w:lineRule="auto"/>
        <w:rPr>
          <w:rFonts w:ascii="Arial" w:hAnsi="Arial" w:cs="Arial"/>
          <w:sz w:val="24"/>
          <w:szCs w:val="24"/>
        </w:rPr>
      </w:pPr>
      <w:r>
        <w:rPr>
          <w:rFonts w:ascii="Arial" w:hAnsi="Arial" w:cs="Arial"/>
          <w:sz w:val="24"/>
          <w:szCs w:val="24"/>
        </w:rPr>
        <w:t xml:space="preserve">Several </w:t>
      </w:r>
      <w:r w:rsidRPr="000C1702">
        <w:rPr>
          <w:rFonts w:ascii="Arial" w:hAnsi="Arial" w:cs="Arial"/>
          <w:sz w:val="24"/>
          <w:szCs w:val="24"/>
        </w:rPr>
        <w:t xml:space="preserve">cases </w:t>
      </w:r>
      <w:r w:rsidR="0089498D">
        <w:rPr>
          <w:rFonts w:ascii="Arial" w:hAnsi="Arial" w:cs="Arial"/>
          <w:sz w:val="24"/>
          <w:szCs w:val="24"/>
        </w:rPr>
        <w:t>involved</w:t>
      </w:r>
      <w:r>
        <w:rPr>
          <w:rFonts w:ascii="Arial" w:hAnsi="Arial" w:cs="Arial"/>
          <w:sz w:val="24"/>
          <w:szCs w:val="24"/>
        </w:rPr>
        <w:t xml:space="preserve"> alleg</w:t>
      </w:r>
      <w:r w:rsidR="0089498D">
        <w:rPr>
          <w:rFonts w:ascii="Arial" w:hAnsi="Arial" w:cs="Arial"/>
          <w:sz w:val="24"/>
          <w:szCs w:val="24"/>
        </w:rPr>
        <w:t xml:space="preserve">ations </w:t>
      </w:r>
      <w:r w:rsidR="00440A3C">
        <w:rPr>
          <w:rFonts w:ascii="Arial" w:hAnsi="Arial" w:cs="Arial"/>
          <w:sz w:val="24"/>
          <w:szCs w:val="24"/>
        </w:rPr>
        <w:t>of</w:t>
      </w:r>
      <w:r w:rsidRPr="000C1702">
        <w:rPr>
          <w:rFonts w:ascii="Arial" w:hAnsi="Arial" w:cs="Arial"/>
          <w:sz w:val="24"/>
          <w:szCs w:val="24"/>
        </w:rPr>
        <w:t xml:space="preserve"> social worker</w:t>
      </w:r>
      <w:r w:rsidR="0089498D">
        <w:rPr>
          <w:rFonts w:ascii="Arial" w:hAnsi="Arial" w:cs="Arial"/>
          <w:sz w:val="24"/>
          <w:szCs w:val="24"/>
        </w:rPr>
        <w:t>s</w:t>
      </w:r>
      <w:r w:rsidRPr="000C1702">
        <w:rPr>
          <w:rFonts w:ascii="Arial" w:hAnsi="Arial" w:cs="Arial"/>
          <w:sz w:val="24"/>
          <w:szCs w:val="24"/>
        </w:rPr>
        <w:t xml:space="preserve"> not demonstrat</w:t>
      </w:r>
      <w:r w:rsidR="00440A3C">
        <w:rPr>
          <w:rFonts w:ascii="Arial" w:hAnsi="Arial" w:cs="Arial"/>
          <w:sz w:val="24"/>
          <w:szCs w:val="24"/>
        </w:rPr>
        <w:t>ing</w:t>
      </w:r>
      <w:r w:rsidRPr="000C1702">
        <w:rPr>
          <w:rFonts w:ascii="Arial" w:hAnsi="Arial" w:cs="Arial"/>
          <w:sz w:val="24"/>
          <w:szCs w:val="24"/>
        </w:rPr>
        <w:t xml:space="preserve"> adequate care, </w:t>
      </w:r>
      <w:r>
        <w:rPr>
          <w:rFonts w:ascii="Arial" w:hAnsi="Arial" w:cs="Arial"/>
          <w:sz w:val="24"/>
          <w:szCs w:val="24"/>
        </w:rPr>
        <w:t xml:space="preserve">or </w:t>
      </w:r>
      <w:r w:rsidRPr="000C1702">
        <w:rPr>
          <w:rFonts w:ascii="Arial" w:hAnsi="Arial" w:cs="Arial"/>
          <w:sz w:val="24"/>
          <w:szCs w:val="24"/>
        </w:rPr>
        <w:t>not hav</w:t>
      </w:r>
      <w:r w:rsidR="00440A3C">
        <w:rPr>
          <w:rFonts w:ascii="Arial" w:hAnsi="Arial" w:cs="Arial"/>
          <w:sz w:val="24"/>
          <w:szCs w:val="24"/>
        </w:rPr>
        <w:t>ing</w:t>
      </w:r>
      <w:r w:rsidRPr="000C1702">
        <w:rPr>
          <w:rFonts w:ascii="Arial" w:hAnsi="Arial" w:cs="Arial"/>
          <w:sz w:val="24"/>
          <w:szCs w:val="24"/>
        </w:rPr>
        <w:t xml:space="preserve"> necessary knowledge of a long-term condition to offer or obtain appropriate help. Th</w:t>
      </w:r>
      <w:r w:rsidR="00440A3C">
        <w:rPr>
          <w:rFonts w:ascii="Arial" w:hAnsi="Arial" w:cs="Arial"/>
          <w:sz w:val="24"/>
          <w:szCs w:val="24"/>
        </w:rPr>
        <w:t>e</w:t>
      </w:r>
      <w:r w:rsidRPr="000C1702">
        <w:rPr>
          <w:rFonts w:ascii="Arial" w:hAnsi="Arial" w:cs="Arial"/>
          <w:sz w:val="24"/>
          <w:szCs w:val="24"/>
        </w:rPr>
        <w:t>s</w:t>
      </w:r>
      <w:r w:rsidR="00440A3C">
        <w:rPr>
          <w:rFonts w:ascii="Arial" w:hAnsi="Arial" w:cs="Arial"/>
          <w:sz w:val="24"/>
          <w:szCs w:val="24"/>
        </w:rPr>
        <w:t>e</w:t>
      </w:r>
      <w:r w:rsidRPr="000C1702">
        <w:rPr>
          <w:rFonts w:ascii="Arial" w:hAnsi="Arial" w:cs="Arial"/>
          <w:sz w:val="24"/>
          <w:szCs w:val="24"/>
        </w:rPr>
        <w:t xml:space="preserve"> referral</w:t>
      </w:r>
      <w:r w:rsidR="00440A3C">
        <w:rPr>
          <w:rFonts w:ascii="Arial" w:hAnsi="Arial" w:cs="Arial"/>
          <w:sz w:val="24"/>
          <w:szCs w:val="24"/>
        </w:rPr>
        <w:t>s</w:t>
      </w:r>
      <w:r w:rsidRPr="000C1702">
        <w:rPr>
          <w:rFonts w:ascii="Arial" w:hAnsi="Arial" w:cs="Arial"/>
          <w:sz w:val="24"/>
          <w:szCs w:val="24"/>
        </w:rPr>
        <w:t xml:space="preserve"> occurred in relation to child, adult and mental health services, most commonly concern</w:t>
      </w:r>
      <w:r>
        <w:rPr>
          <w:rFonts w:ascii="Arial" w:hAnsi="Arial" w:cs="Arial"/>
          <w:sz w:val="24"/>
          <w:szCs w:val="24"/>
        </w:rPr>
        <w:t>ing</w:t>
      </w:r>
      <w:r w:rsidRPr="000C1702">
        <w:rPr>
          <w:rFonts w:ascii="Arial" w:hAnsi="Arial" w:cs="Arial"/>
          <w:sz w:val="24"/>
          <w:szCs w:val="24"/>
        </w:rPr>
        <w:t xml:space="preserve"> provision of educational or health services, or access to family members for people with disabilities. </w:t>
      </w:r>
    </w:p>
    <w:p w14:paraId="5A25472F" w14:textId="3FE57131" w:rsidR="00590979" w:rsidRPr="000C1702" w:rsidRDefault="00590979" w:rsidP="009171F8">
      <w:pPr>
        <w:spacing w:line="360" w:lineRule="auto"/>
        <w:ind w:left="720"/>
        <w:rPr>
          <w:rFonts w:ascii="Arial" w:hAnsi="Arial" w:cs="Arial"/>
          <w:b/>
          <w:sz w:val="24"/>
          <w:szCs w:val="24"/>
        </w:rPr>
      </w:pPr>
      <w:r w:rsidRPr="000C1702">
        <w:rPr>
          <w:rFonts w:ascii="Arial" w:hAnsi="Arial" w:cs="Arial"/>
          <w:b/>
          <w:sz w:val="24"/>
          <w:szCs w:val="24"/>
        </w:rPr>
        <w:t xml:space="preserve">Case </w:t>
      </w:r>
      <w:r>
        <w:rPr>
          <w:rFonts w:ascii="Arial" w:hAnsi="Arial" w:cs="Arial"/>
          <w:b/>
          <w:sz w:val="24"/>
          <w:szCs w:val="24"/>
        </w:rPr>
        <w:t>2</w:t>
      </w:r>
    </w:p>
    <w:p w14:paraId="6328BFDF" w14:textId="056BF2E5" w:rsidR="00590979" w:rsidRPr="000C1702" w:rsidRDefault="00590979" w:rsidP="009171F8">
      <w:pPr>
        <w:spacing w:line="360" w:lineRule="auto"/>
        <w:ind w:left="720"/>
        <w:rPr>
          <w:rFonts w:ascii="Arial" w:hAnsi="Arial" w:cs="Arial"/>
          <w:sz w:val="24"/>
          <w:szCs w:val="24"/>
        </w:rPr>
      </w:pPr>
      <w:r w:rsidRPr="000C1702">
        <w:rPr>
          <w:rFonts w:ascii="Arial" w:hAnsi="Arial" w:cs="Arial"/>
          <w:sz w:val="24"/>
          <w:szCs w:val="24"/>
        </w:rPr>
        <w:t>A service user contacted HCPC on multiple occasions</w:t>
      </w:r>
      <w:r w:rsidR="00D75E65">
        <w:rPr>
          <w:rFonts w:ascii="Arial" w:hAnsi="Arial" w:cs="Arial"/>
          <w:sz w:val="24"/>
          <w:szCs w:val="24"/>
        </w:rPr>
        <w:t xml:space="preserve">, </w:t>
      </w:r>
      <w:r w:rsidRPr="000C1702">
        <w:rPr>
          <w:rFonts w:ascii="Arial" w:hAnsi="Arial" w:cs="Arial"/>
          <w:sz w:val="24"/>
          <w:szCs w:val="24"/>
        </w:rPr>
        <w:t>complain</w:t>
      </w:r>
      <w:r w:rsidR="00D75E65">
        <w:rPr>
          <w:rFonts w:ascii="Arial" w:hAnsi="Arial" w:cs="Arial"/>
          <w:sz w:val="24"/>
          <w:szCs w:val="24"/>
        </w:rPr>
        <w:t>ing</w:t>
      </w:r>
      <w:r w:rsidRPr="000C1702">
        <w:rPr>
          <w:rFonts w:ascii="Arial" w:hAnsi="Arial" w:cs="Arial"/>
          <w:sz w:val="24"/>
          <w:szCs w:val="24"/>
        </w:rPr>
        <w:t xml:space="preserve"> about a social worker assigned to provide support. The social worker had allegedly told the service user that they had ‘not taken responsibility for [their] actions’</w:t>
      </w:r>
      <w:r w:rsidR="00440A3C">
        <w:rPr>
          <w:rFonts w:ascii="Arial" w:hAnsi="Arial" w:cs="Arial"/>
          <w:sz w:val="24"/>
          <w:szCs w:val="24"/>
        </w:rPr>
        <w:t>,</w:t>
      </w:r>
      <w:r w:rsidRPr="000C1702">
        <w:rPr>
          <w:rFonts w:ascii="Arial" w:hAnsi="Arial" w:cs="Arial"/>
          <w:sz w:val="24"/>
          <w:szCs w:val="24"/>
        </w:rPr>
        <w:t xml:space="preserve"> </w:t>
      </w:r>
      <w:r w:rsidR="00440A3C">
        <w:rPr>
          <w:rFonts w:ascii="Arial" w:hAnsi="Arial" w:cs="Arial"/>
          <w:sz w:val="24"/>
          <w:szCs w:val="24"/>
        </w:rPr>
        <w:t xml:space="preserve">which </w:t>
      </w:r>
      <w:r w:rsidRPr="000C1702">
        <w:rPr>
          <w:rFonts w:ascii="Arial" w:hAnsi="Arial" w:cs="Arial"/>
          <w:sz w:val="24"/>
          <w:szCs w:val="24"/>
        </w:rPr>
        <w:t xml:space="preserve">had worsened the service user’s mental health condition. HCPC sent seven letters </w:t>
      </w:r>
      <w:r w:rsidR="00440A3C">
        <w:rPr>
          <w:rFonts w:ascii="Arial" w:hAnsi="Arial" w:cs="Arial"/>
          <w:sz w:val="24"/>
          <w:szCs w:val="24"/>
        </w:rPr>
        <w:t xml:space="preserve">to the service user </w:t>
      </w:r>
      <w:r w:rsidR="00D75E65">
        <w:rPr>
          <w:rFonts w:ascii="Arial" w:hAnsi="Arial" w:cs="Arial"/>
          <w:sz w:val="24"/>
          <w:szCs w:val="24"/>
        </w:rPr>
        <w:t>request</w:t>
      </w:r>
      <w:r w:rsidRPr="000C1702">
        <w:rPr>
          <w:rFonts w:ascii="Arial" w:hAnsi="Arial" w:cs="Arial"/>
          <w:sz w:val="24"/>
          <w:szCs w:val="24"/>
        </w:rPr>
        <w:t>ing further information</w:t>
      </w:r>
      <w:r w:rsidR="00D75E65">
        <w:rPr>
          <w:rFonts w:ascii="Arial" w:hAnsi="Arial" w:cs="Arial"/>
          <w:sz w:val="24"/>
          <w:szCs w:val="24"/>
        </w:rPr>
        <w:t xml:space="preserve">. </w:t>
      </w:r>
      <w:r w:rsidR="00440A3C">
        <w:rPr>
          <w:rFonts w:ascii="Arial" w:hAnsi="Arial" w:cs="Arial"/>
          <w:sz w:val="24"/>
          <w:szCs w:val="24"/>
        </w:rPr>
        <w:t>Eventually t</w:t>
      </w:r>
      <w:r w:rsidRPr="000C1702">
        <w:rPr>
          <w:rFonts w:ascii="Arial" w:hAnsi="Arial" w:cs="Arial"/>
          <w:sz w:val="24"/>
          <w:szCs w:val="24"/>
        </w:rPr>
        <w:t>he service user informed HCPC that they did not understand the letters and had ‘no idea’ what ‘fitness to practise’ meant. Following further explanation by the case manager, the</w:t>
      </w:r>
      <w:r w:rsidR="00440A3C">
        <w:rPr>
          <w:rFonts w:ascii="Arial" w:hAnsi="Arial" w:cs="Arial"/>
          <w:sz w:val="24"/>
          <w:szCs w:val="24"/>
        </w:rPr>
        <w:t xml:space="preserve"> person</w:t>
      </w:r>
      <w:r w:rsidRPr="000C1702">
        <w:rPr>
          <w:rFonts w:ascii="Arial" w:hAnsi="Arial" w:cs="Arial"/>
          <w:sz w:val="24"/>
          <w:szCs w:val="24"/>
        </w:rPr>
        <w:t xml:space="preserve"> said that all they wanted was an explanation. They had raised concern</w:t>
      </w:r>
      <w:r w:rsidR="00D75E65">
        <w:rPr>
          <w:rFonts w:ascii="Arial" w:hAnsi="Arial" w:cs="Arial"/>
          <w:sz w:val="24"/>
          <w:szCs w:val="24"/>
        </w:rPr>
        <w:t>s</w:t>
      </w:r>
      <w:r w:rsidRPr="000C1702">
        <w:rPr>
          <w:rFonts w:ascii="Arial" w:hAnsi="Arial" w:cs="Arial"/>
          <w:sz w:val="24"/>
          <w:szCs w:val="24"/>
        </w:rPr>
        <w:t xml:space="preserve"> with the employer, but wanted reassurance that this behaviour would not be repeated with other service users with mental health conditions. The social worker subsequently apologised for this ‘one</w:t>
      </w:r>
      <w:r w:rsidR="00480E83">
        <w:rPr>
          <w:rFonts w:ascii="Arial" w:hAnsi="Arial" w:cs="Arial"/>
          <w:sz w:val="24"/>
          <w:szCs w:val="24"/>
        </w:rPr>
        <w:t>-</w:t>
      </w:r>
      <w:r w:rsidRPr="000C1702">
        <w:rPr>
          <w:rFonts w:ascii="Arial" w:hAnsi="Arial" w:cs="Arial"/>
          <w:sz w:val="24"/>
          <w:szCs w:val="24"/>
        </w:rPr>
        <w:t>off’ incident</w:t>
      </w:r>
      <w:r w:rsidR="001B6E06">
        <w:rPr>
          <w:rFonts w:ascii="Arial" w:hAnsi="Arial" w:cs="Arial"/>
          <w:sz w:val="24"/>
          <w:szCs w:val="24"/>
        </w:rPr>
        <w:t>. (</w:t>
      </w:r>
      <w:r>
        <w:rPr>
          <w:rFonts w:ascii="Arial" w:hAnsi="Arial" w:cs="Arial"/>
          <w:sz w:val="24"/>
          <w:szCs w:val="24"/>
        </w:rPr>
        <w:t xml:space="preserve">case </w:t>
      </w:r>
      <w:r w:rsidR="001B6E06">
        <w:rPr>
          <w:rFonts w:ascii="Arial" w:hAnsi="Arial" w:cs="Arial"/>
          <w:sz w:val="24"/>
          <w:szCs w:val="24"/>
        </w:rPr>
        <w:t>length:</w:t>
      </w:r>
      <w:r>
        <w:rPr>
          <w:rFonts w:ascii="Arial" w:hAnsi="Arial" w:cs="Arial"/>
          <w:sz w:val="24"/>
          <w:szCs w:val="24"/>
        </w:rPr>
        <w:t xml:space="preserve"> six</w:t>
      </w:r>
      <w:r w:rsidRPr="000C1702">
        <w:rPr>
          <w:rFonts w:ascii="Arial" w:hAnsi="Arial" w:cs="Arial"/>
          <w:sz w:val="24"/>
          <w:szCs w:val="24"/>
        </w:rPr>
        <w:t xml:space="preserve"> months</w:t>
      </w:r>
      <w:r w:rsidR="00B6602A">
        <w:rPr>
          <w:rFonts w:ascii="Arial" w:hAnsi="Arial" w:cs="Arial"/>
          <w:sz w:val="24"/>
          <w:szCs w:val="24"/>
        </w:rPr>
        <w:t>)</w:t>
      </w:r>
      <w:r>
        <w:rPr>
          <w:rFonts w:ascii="Arial" w:hAnsi="Arial" w:cs="Arial"/>
          <w:sz w:val="24"/>
          <w:szCs w:val="24"/>
        </w:rPr>
        <w:t xml:space="preserve"> </w:t>
      </w:r>
    </w:p>
    <w:p w14:paraId="2D55BA22" w14:textId="332EC76C" w:rsidR="00590979" w:rsidRPr="000C1702" w:rsidRDefault="001B6E06" w:rsidP="009171F8">
      <w:pPr>
        <w:spacing w:line="360" w:lineRule="auto"/>
        <w:rPr>
          <w:rFonts w:ascii="Arial" w:hAnsi="Arial" w:cs="Arial"/>
          <w:sz w:val="24"/>
          <w:szCs w:val="24"/>
        </w:rPr>
      </w:pPr>
      <w:r>
        <w:rPr>
          <w:rFonts w:ascii="Arial" w:hAnsi="Arial" w:cs="Arial"/>
          <w:sz w:val="24"/>
          <w:szCs w:val="24"/>
        </w:rPr>
        <w:t xml:space="preserve">Several </w:t>
      </w:r>
      <w:r w:rsidR="00590979" w:rsidRPr="000C1702">
        <w:rPr>
          <w:rFonts w:ascii="Arial" w:hAnsi="Arial" w:cs="Arial"/>
          <w:sz w:val="24"/>
          <w:szCs w:val="24"/>
        </w:rPr>
        <w:t>referrals concerned disputes over specific care packages or poor care. For example, the father of a young man with a drug addiction alleged social services failed to provide adequate follow</w:t>
      </w:r>
      <w:r w:rsidR="00590979">
        <w:rPr>
          <w:rFonts w:ascii="Arial" w:hAnsi="Arial" w:cs="Arial"/>
          <w:sz w:val="24"/>
          <w:szCs w:val="24"/>
        </w:rPr>
        <w:t>-</w:t>
      </w:r>
      <w:r w:rsidR="00590979" w:rsidRPr="000C1702">
        <w:rPr>
          <w:rFonts w:ascii="Arial" w:hAnsi="Arial" w:cs="Arial"/>
          <w:sz w:val="24"/>
          <w:szCs w:val="24"/>
        </w:rPr>
        <w:t>up care after his assessment. S</w:t>
      </w:r>
      <w:r>
        <w:rPr>
          <w:rFonts w:ascii="Arial" w:hAnsi="Arial" w:cs="Arial"/>
          <w:sz w:val="24"/>
          <w:szCs w:val="24"/>
        </w:rPr>
        <w:t>ome</w:t>
      </w:r>
      <w:r w:rsidR="00590979" w:rsidRPr="000C1702">
        <w:rPr>
          <w:rFonts w:ascii="Arial" w:hAnsi="Arial" w:cs="Arial"/>
          <w:sz w:val="24"/>
          <w:szCs w:val="24"/>
        </w:rPr>
        <w:t xml:space="preserve"> referrals came from parents/carers of young people with </w:t>
      </w:r>
      <w:r w:rsidR="00590979">
        <w:rPr>
          <w:rFonts w:ascii="Arial" w:hAnsi="Arial" w:cs="Arial"/>
          <w:sz w:val="24"/>
          <w:szCs w:val="24"/>
        </w:rPr>
        <w:t xml:space="preserve">physical or learning </w:t>
      </w:r>
      <w:r w:rsidR="00590979" w:rsidRPr="000C1702">
        <w:rPr>
          <w:rFonts w:ascii="Arial" w:hAnsi="Arial" w:cs="Arial"/>
          <w:sz w:val="24"/>
          <w:szCs w:val="24"/>
        </w:rPr>
        <w:t>disabilities</w:t>
      </w:r>
      <w:r>
        <w:rPr>
          <w:rFonts w:ascii="Arial" w:hAnsi="Arial" w:cs="Arial"/>
          <w:sz w:val="24"/>
          <w:szCs w:val="24"/>
        </w:rPr>
        <w:t>, who</w:t>
      </w:r>
      <w:r w:rsidR="00590979" w:rsidRPr="000C1702">
        <w:rPr>
          <w:rFonts w:ascii="Arial" w:hAnsi="Arial" w:cs="Arial"/>
          <w:sz w:val="24"/>
          <w:szCs w:val="24"/>
        </w:rPr>
        <w:t xml:space="preserve"> described feeling “abandoned” by professionals and unable to obtain the </w:t>
      </w:r>
      <w:r>
        <w:rPr>
          <w:rFonts w:ascii="Arial" w:hAnsi="Arial" w:cs="Arial"/>
          <w:sz w:val="24"/>
          <w:szCs w:val="24"/>
        </w:rPr>
        <w:t xml:space="preserve">necessary </w:t>
      </w:r>
      <w:r w:rsidR="00590979" w:rsidRPr="000C1702">
        <w:rPr>
          <w:rFonts w:ascii="Arial" w:hAnsi="Arial" w:cs="Arial"/>
          <w:sz w:val="24"/>
          <w:szCs w:val="24"/>
        </w:rPr>
        <w:t>support</w:t>
      </w:r>
      <w:r w:rsidR="00590979">
        <w:rPr>
          <w:rFonts w:ascii="Arial" w:hAnsi="Arial" w:cs="Arial"/>
          <w:sz w:val="24"/>
          <w:szCs w:val="24"/>
        </w:rPr>
        <w:t xml:space="preserve">. </w:t>
      </w:r>
    </w:p>
    <w:p w14:paraId="4CD28850" w14:textId="67965B02" w:rsidR="00590979" w:rsidRPr="000C1702" w:rsidRDefault="00590979" w:rsidP="009171F8">
      <w:pPr>
        <w:spacing w:line="360" w:lineRule="auto"/>
        <w:ind w:left="720"/>
        <w:rPr>
          <w:rFonts w:ascii="Arial" w:hAnsi="Arial" w:cs="Arial"/>
          <w:b/>
          <w:sz w:val="24"/>
          <w:szCs w:val="24"/>
        </w:rPr>
      </w:pPr>
      <w:r w:rsidRPr="000C1702">
        <w:rPr>
          <w:rFonts w:ascii="Arial" w:hAnsi="Arial" w:cs="Arial"/>
          <w:b/>
          <w:sz w:val="24"/>
          <w:szCs w:val="24"/>
        </w:rPr>
        <w:t>Case 3</w:t>
      </w:r>
    </w:p>
    <w:p w14:paraId="43C4365C" w14:textId="37AB18C1" w:rsidR="00590979" w:rsidRPr="000C1702" w:rsidRDefault="001B6E06" w:rsidP="009171F8">
      <w:pPr>
        <w:spacing w:line="360" w:lineRule="auto"/>
        <w:ind w:left="720"/>
        <w:rPr>
          <w:rFonts w:ascii="Arial" w:hAnsi="Arial" w:cs="Arial"/>
          <w:sz w:val="24"/>
          <w:szCs w:val="24"/>
        </w:rPr>
      </w:pPr>
      <w:r>
        <w:rPr>
          <w:rFonts w:ascii="Arial" w:hAnsi="Arial" w:cs="Arial"/>
          <w:sz w:val="24"/>
          <w:szCs w:val="24"/>
        </w:rPr>
        <w:t>The</w:t>
      </w:r>
      <w:r w:rsidR="00590979" w:rsidRPr="000C1702">
        <w:rPr>
          <w:rFonts w:ascii="Arial" w:hAnsi="Arial" w:cs="Arial"/>
          <w:sz w:val="24"/>
          <w:szCs w:val="24"/>
        </w:rPr>
        <w:t xml:space="preserve"> family of a child with disabilities alleged negligence and failure </w:t>
      </w:r>
      <w:r>
        <w:rPr>
          <w:rFonts w:ascii="Arial" w:hAnsi="Arial" w:cs="Arial"/>
          <w:sz w:val="24"/>
          <w:szCs w:val="24"/>
        </w:rPr>
        <w:t>by</w:t>
      </w:r>
      <w:r w:rsidR="00590979" w:rsidRPr="000C1702">
        <w:rPr>
          <w:rFonts w:ascii="Arial" w:hAnsi="Arial" w:cs="Arial"/>
          <w:sz w:val="24"/>
          <w:szCs w:val="24"/>
        </w:rPr>
        <w:t xml:space="preserve"> five social workers to provide adequate assessment and care for their child. The </w:t>
      </w:r>
      <w:r w:rsidR="00590979" w:rsidRPr="000C1702">
        <w:rPr>
          <w:rFonts w:ascii="Arial" w:hAnsi="Arial" w:cs="Arial"/>
          <w:sz w:val="24"/>
          <w:szCs w:val="24"/>
        </w:rPr>
        <w:lastRenderedPageBreak/>
        <w:t xml:space="preserve">family alleged the social workers’ behaviour during meetings was unacceptable, </w:t>
      </w:r>
      <w:r w:rsidR="00B9593C">
        <w:rPr>
          <w:rFonts w:ascii="Arial" w:hAnsi="Arial" w:cs="Arial"/>
          <w:sz w:val="24"/>
          <w:szCs w:val="24"/>
        </w:rPr>
        <w:t xml:space="preserve">with </w:t>
      </w:r>
      <w:r w:rsidR="00590979" w:rsidRPr="000C1702">
        <w:rPr>
          <w:rFonts w:ascii="Arial" w:hAnsi="Arial" w:cs="Arial"/>
          <w:sz w:val="24"/>
          <w:szCs w:val="24"/>
        </w:rPr>
        <w:t>breaches of confidentiality. The</w:t>
      </w:r>
      <w:r w:rsidR="00590979">
        <w:rPr>
          <w:rFonts w:ascii="Arial" w:hAnsi="Arial" w:cs="Arial"/>
          <w:sz w:val="24"/>
          <w:szCs w:val="24"/>
        </w:rPr>
        <w:t xml:space="preserve"> family</w:t>
      </w:r>
      <w:r w:rsidR="00590979" w:rsidRPr="000C1702">
        <w:rPr>
          <w:rFonts w:ascii="Arial" w:hAnsi="Arial" w:cs="Arial"/>
          <w:sz w:val="24"/>
          <w:szCs w:val="24"/>
        </w:rPr>
        <w:t xml:space="preserve"> struggled to obtain support, felt they </w:t>
      </w:r>
      <w:r>
        <w:rPr>
          <w:rFonts w:ascii="Arial" w:hAnsi="Arial" w:cs="Arial"/>
          <w:sz w:val="24"/>
          <w:szCs w:val="24"/>
        </w:rPr>
        <w:t xml:space="preserve">were not </w:t>
      </w:r>
      <w:r w:rsidR="00B6602A">
        <w:rPr>
          <w:rFonts w:ascii="Arial" w:hAnsi="Arial" w:cs="Arial"/>
          <w:sz w:val="24"/>
          <w:szCs w:val="24"/>
        </w:rPr>
        <w:t>hea</w:t>
      </w:r>
      <w:r w:rsidR="00D75E65">
        <w:rPr>
          <w:rFonts w:ascii="Arial" w:hAnsi="Arial" w:cs="Arial"/>
          <w:sz w:val="24"/>
          <w:szCs w:val="24"/>
        </w:rPr>
        <w:t>r</w:t>
      </w:r>
      <w:r w:rsidR="00B6602A">
        <w:rPr>
          <w:rFonts w:ascii="Arial" w:hAnsi="Arial" w:cs="Arial"/>
          <w:sz w:val="24"/>
          <w:szCs w:val="24"/>
        </w:rPr>
        <w:t>d,</w:t>
      </w:r>
      <w:r w:rsidR="00590979" w:rsidRPr="000C1702">
        <w:rPr>
          <w:rFonts w:ascii="Arial" w:hAnsi="Arial" w:cs="Arial"/>
          <w:sz w:val="24"/>
          <w:szCs w:val="24"/>
        </w:rPr>
        <w:t xml:space="preserve"> and had not received appropriate services. The employer had investigated the complaint, and none of the allegations against the individual social workers were upheld. HCPC follow</w:t>
      </w:r>
      <w:r w:rsidR="00590979">
        <w:rPr>
          <w:rFonts w:ascii="Arial" w:hAnsi="Arial" w:cs="Arial"/>
          <w:sz w:val="24"/>
          <w:szCs w:val="24"/>
        </w:rPr>
        <w:t>-</w:t>
      </w:r>
      <w:r w:rsidR="00590979" w:rsidRPr="000C1702">
        <w:rPr>
          <w:rFonts w:ascii="Arial" w:hAnsi="Arial" w:cs="Arial"/>
          <w:sz w:val="24"/>
          <w:szCs w:val="24"/>
        </w:rPr>
        <w:t>up confirmed this</w:t>
      </w:r>
      <w:r w:rsidR="00D75E65">
        <w:rPr>
          <w:rFonts w:ascii="Arial" w:hAnsi="Arial" w:cs="Arial"/>
          <w:sz w:val="24"/>
          <w:szCs w:val="24"/>
        </w:rPr>
        <w:t>. T</w:t>
      </w:r>
      <w:r w:rsidR="00590979">
        <w:rPr>
          <w:rFonts w:ascii="Arial" w:hAnsi="Arial" w:cs="Arial"/>
          <w:sz w:val="24"/>
          <w:szCs w:val="24"/>
        </w:rPr>
        <w:t>he case was closed after 1</w:t>
      </w:r>
      <w:r w:rsidR="00590979" w:rsidRPr="000C1702">
        <w:rPr>
          <w:rFonts w:ascii="Arial" w:hAnsi="Arial" w:cs="Arial"/>
          <w:sz w:val="24"/>
          <w:szCs w:val="24"/>
        </w:rPr>
        <w:t>1 months</w:t>
      </w:r>
      <w:r w:rsidR="00590979">
        <w:rPr>
          <w:rFonts w:ascii="Arial" w:hAnsi="Arial" w:cs="Arial"/>
          <w:sz w:val="24"/>
          <w:szCs w:val="24"/>
        </w:rPr>
        <w:t xml:space="preserve">. </w:t>
      </w:r>
    </w:p>
    <w:p w14:paraId="435853B6" w14:textId="77777777" w:rsidR="00590979" w:rsidRPr="00315774" w:rsidRDefault="00590979" w:rsidP="009171F8">
      <w:pPr>
        <w:spacing w:line="360" w:lineRule="auto"/>
        <w:rPr>
          <w:rFonts w:ascii="Arial" w:hAnsi="Arial" w:cs="Arial"/>
          <w:b/>
          <w:i/>
          <w:sz w:val="24"/>
          <w:szCs w:val="24"/>
        </w:rPr>
      </w:pPr>
      <w:r w:rsidRPr="00315774">
        <w:rPr>
          <w:rFonts w:ascii="Arial" w:hAnsi="Arial" w:cs="Arial"/>
          <w:b/>
          <w:i/>
          <w:sz w:val="24"/>
          <w:szCs w:val="24"/>
        </w:rPr>
        <w:t>Conduct</w:t>
      </w:r>
    </w:p>
    <w:p w14:paraId="2E9036FF" w14:textId="77777777" w:rsidR="00590979" w:rsidRPr="00315774" w:rsidRDefault="00590979" w:rsidP="009171F8">
      <w:pPr>
        <w:spacing w:line="360" w:lineRule="auto"/>
        <w:rPr>
          <w:rFonts w:ascii="Arial" w:hAnsi="Arial" w:cs="Arial"/>
          <w:i/>
          <w:sz w:val="24"/>
          <w:szCs w:val="24"/>
        </w:rPr>
      </w:pPr>
      <w:r w:rsidRPr="00315774">
        <w:rPr>
          <w:rFonts w:ascii="Arial" w:hAnsi="Arial" w:cs="Arial"/>
          <w:i/>
          <w:sz w:val="24"/>
          <w:szCs w:val="24"/>
        </w:rPr>
        <w:t>Disputes within teams or with managers</w:t>
      </w:r>
    </w:p>
    <w:p w14:paraId="6D9AB238" w14:textId="46A3084E" w:rsidR="00590979" w:rsidRDefault="00590979" w:rsidP="009171F8">
      <w:pPr>
        <w:spacing w:line="360" w:lineRule="auto"/>
        <w:rPr>
          <w:rFonts w:ascii="Arial" w:hAnsi="Arial" w:cs="Arial"/>
          <w:sz w:val="24"/>
          <w:szCs w:val="24"/>
        </w:rPr>
      </w:pPr>
      <w:r>
        <w:rPr>
          <w:rFonts w:ascii="Arial" w:hAnsi="Arial" w:cs="Arial"/>
          <w:sz w:val="24"/>
          <w:szCs w:val="24"/>
        </w:rPr>
        <w:t>Several</w:t>
      </w:r>
      <w:r w:rsidRPr="000C1702">
        <w:rPr>
          <w:rFonts w:ascii="Arial" w:hAnsi="Arial" w:cs="Arial"/>
          <w:sz w:val="24"/>
          <w:szCs w:val="24"/>
        </w:rPr>
        <w:t xml:space="preserve"> referrals related to disputes within social work teams and with line managers. </w:t>
      </w:r>
      <w:r>
        <w:rPr>
          <w:rFonts w:ascii="Arial" w:hAnsi="Arial" w:cs="Arial"/>
          <w:sz w:val="24"/>
          <w:szCs w:val="24"/>
        </w:rPr>
        <w:t>A</w:t>
      </w:r>
      <w:r w:rsidRPr="000C1702">
        <w:rPr>
          <w:rFonts w:ascii="Arial" w:hAnsi="Arial" w:cs="Arial"/>
          <w:sz w:val="24"/>
          <w:szCs w:val="24"/>
        </w:rPr>
        <w:t xml:space="preserve">llegations </w:t>
      </w:r>
      <w:r>
        <w:rPr>
          <w:rFonts w:ascii="Arial" w:hAnsi="Arial" w:cs="Arial"/>
          <w:sz w:val="24"/>
          <w:szCs w:val="24"/>
        </w:rPr>
        <w:t xml:space="preserve">were </w:t>
      </w:r>
      <w:r w:rsidRPr="000C1702">
        <w:rPr>
          <w:rFonts w:ascii="Arial" w:hAnsi="Arial" w:cs="Arial"/>
          <w:sz w:val="24"/>
          <w:szCs w:val="24"/>
        </w:rPr>
        <w:t>made against managers who had ‘abused positions of power’, pressur</w:t>
      </w:r>
      <w:r w:rsidR="00B9593C">
        <w:rPr>
          <w:rFonts w:ascii="Arial" w:hAnsi="Arial" w:cs="Arial"/>
          <w:sz w:val="24"/>
          <w:szCs w:val="24"/>
        </w:rPr>
        <w:t>is</w:t>
      </w:r>
      <w:r w:rsidRPr="000C1702">
        <w:rPr>
          <w:rFonts w:ascii="Arial" w:hAnsi="Arial" w:cs="Arial"/>
          <w:sz w:val="24"/>
          <w:szCs w:val="24"/>
        </w:rPr>
        <w:t>e</w:t>
      </w:r>
      <w:r w:rsidR="00B9593C">
        <w:rPr>
          <w:rFonts w:ascii="Arial" w:hAnsi="Arial" w:cs="Arial"/>
          <w:sz w:val="24"/>
          <w:szCs w:val="24"/>
        </w:rPr>
        <w:t>d</w:t>
      </w:r>
      <w:r w:rsidRPr="000C1702">
        <w:rPr>
          <w:rFonts w:ascii="Arial" w:hAnsi="Arial" w:cs="Arial"/>
          <w:sz w:val="24"/>
          <w:szCs w:val="24"/>
        </w:rPr>
        <w:t xml:space="preserve"> junior staff to meet targets, demonstrated bullying behaviour, or </w:t>
      </w:r>
      <w:r>
        <w:rPr>
          <w:rFonts w:ascii="Arial" w:hAnsi="Arial" w:cs="Arial"/>
          <w:sz w:val="24"/>
          <w:szCs w:val="24"/>
        </w:rPr>
        <w:t xml:space="preserve">failed to </w:t>
      </w:r>
      <w:r w:rsidRPr="000C1702">
        <w:rPr>
          <w:rFonts w:ascii="Arial" w:hAnsi="Arial" w:cs="Arial"/>
          <w:sz w:val="24"/>
          <w:szCs w:val="24"/>
        </w:rPr>
        <w:t xml:space="preserve">provide appropriate supervision, training or support. One concerned a social worker who had allegedly failed to complete a safeguarding assessment and was suspended by her employer, but re-instated after investigation and signed off on sick leave. This social worker subsequently put in a grievance against her employer and alleged her referral </w:t>
      </w:r>
      <w:r>
        <w:rPr>
          <w:rFonts w:ascii="Arial" w:hAnsi="Arial" w:cs="Arial"/>
          <w:sz w:val="24"/>
          <w:szCs w:val="24"/>
        </w:rPr>
        <w:t xml:space="preserve">to HCPC </w:t>
      </w:r>
      <w:r w:rsidRPr="000C1702">
        <w:rPr>
          <w:rFonts w:ascii="Arial" w:hAnsi="Arial" w:cs="Arial"/>
          <w:sz w:val="24"/>
          <w:szCs w:val="24"/>
        </w:rPr>
        <w:t>was a cover</w:t>
      </w:r>
      <w:r w:rsidR="00B9593C">
        <w:rPr>
          <w:rFonts w:ascii="Arial" w:hAnsi="Arial" w:cs="Arial"/>
          <w:sz w:val="24"/>
          <w:szCs w:val="24"/>
        </w:rPr>
        <w:t>-</w:t>
      </w:r>
      <w:r w:rsidRPr="000C1702">
        <w:rPr>
          <w:rFonts w:ascii="Arial" w:hAnsi="Arial" w:cs="Arial"/>
          <w:sz w:val="24"/>
          <w:szCs w:val="24"/>
        </w:rPr>
        <w:t xml:space="preserve">up for other team members. The HCPC investigation did not find sufficient documentation to evidence the </w:t>
      </w:r>
      <w:r>
        <w:rPr>
          <w:rFonts w:ascii="Arial" w:hAnsi="Arial" w:cs="Arial"/>
          <w:sz w:val="24"/>
          <w:szCs w:val="24"/>
        </w:rPr>
        <w:t xml:space="preserve">employer’s </w:t>
      </w:r>
      <w:r w:rsidRPr="000C1702">
        <w:rPr>
          <w:rFonts w:ascii="Arial" w:hAnsi="Arial" w:cs="Arial"/>
          <w:sz w:val="24"/>
          <w:szCs w:val="24"/>
        </w:rPr>
        <w:t>concern, but did establish that the social worker ha</w:t>
      </w:r>
      <w:r w:rsidR="00B9593C">
        <w:rPr>
          <w:rFonts w:ascii="Arial" w:hAnsi="Arial" w:cs="Arial"/>
          <w:sz w:val="24"/>
          <w:szCs w:val="24"/>
        </w:rPr>
        <w:t>d</w:t>
      </w:r>
      <w:r w:rsidRPr="000C1702">
        <w:rPr>
          <w:rFonts w:ascii="Arial" w:hAnsi="Arial" w:cs="Arial"/>
          <w:sz w:val="24"/>
          <w:szCs w:val="24"/>
        </w:rPr>
        <w:t xml:space="preserve"> </w:t>
      </w:r>
      <w:r w:rsidR="00B9593C">
        <w:rPr>
          <w:rFonts w:ascii="Arial" w:hAnsi="Arial" w:cs="Arial"/>
          <w:sz w:val="24"/>
          <w:szCs w:val="24"/>
        </w:rPr>
        <w:t>in</w:t>
      </w:r>
      <w:r w:rsidRPr="000C1702">
        <w:rPr>
          <w:rFonts w:ascii="Arial" w:hAnsi="Arial" w:cs="Arial"/>
          <w:sz w:val="24"/>
          <w:szCs w:val="24"/>
        </w:rPr>
        <w:t xml:space="preserve">adequate supervision at the time and had not </w:t>
      </w:r>
      <w:r>
        <w:rPr>
          <w:rFonts w:ascii="Arial" w:hAnsi="Arial" w:cs="Arial"/>
          <w:sz w:val="24"/>
          <w:szCs w:val="24"/>
        </w:rPr>
        <w:t>received</w:t>
      </w:r>
      <w:r w:rsidRPr="000C1702">
        <w:rPr>
          <w:rFonts w:ascii="Arial" w:hAnsi="Arial" w:cs="Arial"/>
          <w:sz w:val="24"/>
          <w:szCs w:val="24"/>
        </w:rPr>
        <w:t xml:space="preserve"> safeguarding training. </w:t>
      </w:r>
    </w:p>
    <w:p w14:paraId="62B40986" w14:textId="77777777" w:rsidR="00590979" w:rsidRPr="00315774" w:rsidRDefault="00590979" w:rsidP="009171F8">
      <w:pPr>
        <w:spacing w:line="360" w:lineRule="auto"/>
        <w:rPr>
          <w:rFonts w:ascii="Arial" w:hAnsi="Arial" w:cs="Arial"/>
          <w:i/>
          <w:sz w:val="24"/>
          <w:szCs w:val="24"/>
        </w:rPr>
      </w:pPr>
      <w:r w:rsidRPr="00315774">
        <w:rPr>
          <w:rFonts w:ascii="Arial" w:hAnsi="Arial" w:cs="Arial"/>
          <w:i/>
          <w:sz w:val="24"/>
          <w:szCs w:val="24"/>
        </w:rPr>
        <w:t>Convictions/cautions</w:t>
      </w:r>
    </w:p>
    <w:p w14:paraId="2FDE4B33" w14:textId="5662D830" w:rsidR="00590979" w:rsidRDefault="00590979" w:rsidP="009171F8">
      <w:pPr>
        <w:spacing w:line="360" w:lineRule="auto"/>
        <w:rPr>
          <w:rFonts w:ascii="Arial" w:hAnsi="Arial" w:cs="Arial"/>
          <w:sz w:val="24"/>
          <w:szCs w:val="24"/>
        </w:rPr>
      </w:pPr>
      <w:r>
        <w:rPr>
          <w:rFonts w:ascii="Arial" w:hAnsi="Arial" w:cs="Arial"/>
          <w:sz w:val="24"/>
          <w:szCs w:val="24"/>
        </w:rPr>
        <w:t xml:space="preserve">Referrals relating to convictions/cautions closed at the initial stage tended to be less serious, judged </w:t>
      </w:r>
      <w:r w:rsidR="00D75E65">
        <w:rPr>
          <w:rFonts w:ascii="Arial" w:hAnsi="Arial" w:cs="Arial"/>
          <w:sz w:val="24"/>
          <w:szCs w:val="24"/>
        </w:rPr>
        <w:t xml:space="preserve">not </w:t>
      </w:r>
      <w:r>
        <w:rPr>
          <w:rFonts w:ascii="Arial" w:hAnsi="Arial" w:cs="Arial"/>
          <w:sz w:val="24"/>
          <w:szCs w:val="24"/>
        </w:rPr>
        <w:t xml:space="preserve">to impact on a social worker’s fitness to practise. </w:t>
      </w:r>
      <w:r w:rsidR="000B697F">
        <w:rPr>
          <w:rFonts w:ascii="Arial" w:hAnsi="Arial" w:cs="Arial"/>
          <w:sz w:val="24"/>
          <w:szCs w:val="24"/>
        </w:rPr>
        <w:t>Two</w:t>
      </w:r>
      <w:r w:rsidRPr="000C1702">
        <w:rPr>
          <w:rFonts w:ascii="Arial" w:hAnsi="Arial" w:cs="Arial"/>
          <w:sz w:val="24"/>
          <w:szCs w:val="24"/>
        </w:rPr>
        <w:t xml:space="preserve"> self-referrals from social workers related to driving offences, and one to fare evasion. </w:t>
      </w:r>
    </w:p>
    <w:p w14:paraId="7DF79E1E" w14:textId="77777777" w:rsidR="00590979" w:rsidRPr="00315774" w:rsidRDefault="00590979" w:rsidP="009171F8">
      <w:pPr>
        <w:spacing w:line="360" w:lineRule="auto"/>
        <w:rPr>
          <w:rFonts w:ascii="Arial" w:hAnsi="Arial" w:cs="Arial"/>
          <w:i/>
          <w:sz w:val="24"/>
          <w:szCs w:val="24"/>
        </w:rPr>
      </w:pPr>
      <w:r w:rsidRPr="00315774">
        <w:rPr>
          <w:rFonts w:ascii="Arial" w:hAnsi="Arial" w:cs="Arial"/>
          <w:i/>
          <w:sz w:val="24"/>
          <w:szCs w:val="24"/>
        </w:rPr>
        <w:t>Sexual conduct, dishonesty and breach of confidentiality</w:t>
      </w:r>
    </w:p>
    <w:p w14:paraId="1F79E6C0" w14:textId="3354D4E3" w:rsidR="00590979" w:rsidRDefault="00416738" w:rsidP="009171F8">
      <w:pPr>
        <w:spacing w:line="360" w:lineRule="auto"/>
        <w:rPr>
          <w:rFonts w:ascii="Arial" w:hAnsi="Arial" w:cs="Arial"/>
          <w:sz w:val="24"/>
          <w:szCs w:val="24"/>
        </w:rPr>
      </w:pPr>
      <w:r>
        <w:rPr>
          <w:rFonts w:ascii="Arial" w:hAnsi="Arial" w:cs="Arial"/>
          <w:sz w:val="24"/>
          <w:szCs w:val="24"/>
        </w:rPr>
        <w:t xml:space="preserve">Eight </w:t>
      </w:r>
      <w:r w:rsidR="00590979" w:rsidRPr="000C1702">
        <w:rPr>
          <w:rFonts w:ascii="Arial" w:hAnsi="Arial" w:cs="Arial"/>
          <w:sz w:val="24"/>
          <w:szCs w:val="24"/>
        </w:rPr>
        <w:t xml:space="preserve">allegations of a sexual nature </w:t>
      </w:r>
      <w:r>
        <w:rPr>
          <w:rFonts w:ascii="Arial" w:hAnsi="Arial" w:cs="Arial"/>
          <w:sz w:val="24"/>
          <w:szCs w:val="24"/>
        </w:rPr>
        <w:t>were</w:t>
      </w:r>
      <w:r w:rsidR="00590979">
        <w:rPr>
          <w:rFonts w:ascii="Arial" w:hAnsi="Arial" w:cs="Arial"/>
          <w:sz w:val="24"/>
          <w:szCs w:val="24"/>
        </w:rPr>
        <w:t xml:space="preserve"> closed at the initial stage due to lack of evidence or lack of seriousness. </w:t>
      </w:r>
      <w:r w:rsidR="00590979" w:rsidRPr="000C1702">
        <w:rPr>
          <w:rFonts w:ascii="Arial" w:hAnsi="Arial" w:cs="Arial"/>
          <w:sz w:val="24"/>
          <w:szCs w:val="24"/>
        </w:rPr>
        <w:t xml:space="preserve"> A service user in a mental health setting alleged </w:t>
      </w:r>
      <w:r w:rsidR="0089498D">
        <w:rPr>
          <w:rFonts w:ascii="Arial" w:hAnsi="Arial" w:cs="Arial"/>
          <w:sz w:val="24"/>
          <w:szCs w:val="24"/>
        </w:rPr>
        <w:t>a</w:t>
      </w:r>
      <w:r w:rsidR="00590979" w:rsidRPr="000C1702">
        <w:rPr>
          <w:rFonts w:ascii="Arial" w:hAnsi="Arial" w:cs="Arial"/>
          <w:sz w:val="24"/>
          <w:szCs w:val="24"/>
        </w:rPr>
        <w:t xml:space="preserve"> social worker had a sexual relationship with her, but did not provide further evidence to HCPC. The employer did not verify whether evidence presented to them by the service user was linked to the social worker and did not respond to requests for further information. </w:t>
      </w:r>
    </w:p>
    <w:p w14:paraId="22962559" w14:textId="5877CDD9" w:rsidR="00590979" w:rsidRPr="000C1702" w:rsidRDefault="00590979" w:rsidP="009171F8">
      <w:pPr>
        <w:spacing w:line="360" w:lineRule="auto"/>
        <w:rPr>
          <w:rFonts w:ascii="Arial" w:hAnsi="Arial" w:cs="Arial"/>
          <w:sz w:val="24"/>
          <w:szCs w:val="24"/>
        </w:rPr>
      </w:pPr>
      <w:r>
        <w:rPr>
          <w:rFonts w:ascii="Arial" w:hAnsi="Arial" w:cs="Arial"/>
          <w:sz w:val="24"/>
          <w:szCs w:val="24"/>
        </w:rPr>
        <w:lastRenderedPageBreak/>
        <w:t>Eight</w:t>
      </w:r>
      <w:r w:rsidRPr="000C1702">
        <w:rPr>
          <w:rFonts w:ascii="Arial" w:hAnsi="Arial" w:cs="Arial"/>
          <w:sz w:val="24"/>
          <w:szCs w:val="24"/>
        </w:rPr>
        <w:t xml:space="preserve"> referrals </w:t>
      </w:r>
      <w:r>
        <w:rPr>
          <w:rFonts w:ascii="Arial" w:hAnsi="Arial" w:cs="Arial"/>
          <w:sz w:val="24"/>
          <w:szCs w:val="24"/>
        </w:rPr>
        <w:t xml:space="preserve">closed at the initial stage </w:t>
      </w:r>
      <w:r w:rsidRPr="000C1702">
        <w:rPr>
          <w:rFonts w:ascii="Arial" w:hAnsi="Arial" w:cs="Arial"/>
          <w:sz w:val="24"/>
          <w:szCs w:val="24"/>
        </w:rPr>
        <w:t>relat</w:t>
      </w:r>
      <w:r>
        <w:rPr>
          <w:rFonts w:ascii="Arial" w:hAnsi="Arial" w:cs="Arial"/>
          <w:sz w:val="24"/>
          <w:szCs w:val="24"/>
        </w:rPr>
        <w:t>ed</w:t>
      </w:r>
      <w:r w:rsidRPr="000C1702">
        <w:rPr>
          <w:rFonts w:ascii="Arial" w:hAnsi="Arial" w:cs="Arial"/>
          <w:sz w:val="24"/>
          <w:szCs w:val="24"/>
        </w:rPr>
        <w:t xml:space="preserve"> to dishonesty </w:t>
      </w:r>
      <w:r>
        <w:rPr>
          <w:rFonts w:ascii="Arial" w:hAnsi="Arial" w:cs="Arial"/>
          <w:sz w:val="24"/>
          <w:szCs w:val="24"/>
        </w:rPr>
        <w:t>in</w:t>
      </w:r>
      <w:r w:rsidRPr="000C1702">
        <w:rPr>
          <w:rFonts w:ascii="Arial" w:hAnsi="Arial" w:cs="Arial"/>
          <w:sz w:val="24"/>
          <w:szCs w:val="24"/>
        </w:rPr>
        <w:t xml:space="preserve"> personal </w:t>
      </w:r>
      <w:r>
        <w:rPr>
          <w:rFonts w:ascii="Arial" w:hAnsi="Arial" w:cs="Arial"/>
          <w:sz w:val="24"/>
          <w:szCs w:val="24"/>
        </w:rPr>
        <w:t xml:space="preserve">or </w:t>
      </w:r>
      <w:r w:rsidRPr="000C1702">
        <w:rPr>
          <w:rFonts w:ascii="Arial" w:hAnsi="Arial" w:cs="Arial"/>
          <w:sz w:val="24"/>
          <w:szCs w:val="24"/>
        </w:rPr>
        <w:t xml:space="preserve">professional contexts. Some were </w:t>
      </w:r>
      <w:r w:rsidR="00D75E65">
        <w:rPr>
          <w:rFonts w:ascii="Arial" w:hAnsi="Arial" w:cs="Arial"/>
          <w:sz w:val="24"/>
          <w:szCs w:val="24"/>
        </w:rPr>
        <w:t xml:space="preserve">allegations </w:t>
      </w:r>
      <w:r w:rsidRPr="000C1702">
        <w:rPr>
          <w:rFonts w:ascii="Arial" w:hAnsi="Arial" w:cs="Arial"/>
          <w:sz w:val="24"/>
          <w:szCs w:val="24"/>
        </w:rPr>
        <w:t xml:space="preserve">by employers, including failure to inform the employer of a driving ban and financial mismanagement of overtime payments. </w:t>
      </w:r>
      <w:r w:rsidR="000B697F">
        <w:rPr>
          <w:rFonts w:ascii="Arial" w:hAnsi="Arial" w:cs="Arial"/>
          <w:sz w:val="24"/>
          <w:szCs w:val="24"/>
        </w:rPr>
        <w:t>S</w:t>
      </w:r>
      <w:r>
        <w:rPr>
          <w:rFonts w:ascii="Arial" w:hAnsi="Arial" w:cs="Arial"/>
          <w:sz w:val="24"/>
          <w:szCs w:val="24"/>
        </w:rPr>
        <w:t xml:space="preserve">everal </w:t>
      </w:r>
      <w:r w:rsidRPr="000C1702">
        <w:rPr>
          <w:rFonts w:ascii="Arial" w:hAnsi="Arial" w:cs="Arial"/>
          <w:sz w:val="24"/>
          <w:szCs w:val="24"/>
        </w:rPr>
        <w:t>referrals from service users alleg</w:t>
      </w:r>
      <w:r w:rsidR="000B697F">
        <w:rPr>
          <w:rFonts w:ascii="Arial" w:hAnsi="Arial" w:cs="Arial"/>
          <w:sz w:val="24"/>
          <w:szCs w:val="24"/>
        </w:rPr>
        <w:t>ed</w:t>
      </w:r>
      <w:r w:rsidRPr="000C1702">
        <w:rPr>
          <w:rFonts w:ascii="Arial" w:hAnsi="Arial" w:cs="Arial"/>
          <w:sz w:val="24"/>
          <w:szCs w:val="24"/>
        </w:rPr>
        <w:t xml:space="preserve"> social workers were dishonest or deliberately misleading. One was referred for assur</w:t>
      </w:r>
      <w:r w:rsidR="000B697F">
        <w:rPr>
          <w:rFonts w:ascii="Arial" w:hAnsi="Arial" w:cs="Arial"/>
          <w:sz w:val="24"/>
          <w:szCs w:val="24"/>
        </w:rPr>
        <w:t>ing</w:t>
      </w:r>
      <w:r w:rsidRPr="000C1702">
        <w:rPr>
          <w:rFonts w:ascii="Arial" w:hAnsi="Arial" w:cs="Arial"/>
          <w:sz w:val="24"/>
          <w:szCs w:val="24"/>
        </w:rPr>
        <w:t xml:space="preserve"> parents that their child would be returned and failing to follow this through. Another service user alleged </w:t>
      </w:r>
      <w:r>
        <w:rPr>
          <w:rFonts w:ascii="Arial" w:hAnsi="Arial" w:cs="Arial"/>
          <w:sz w:val="24"/>
          <w:szCs w:val="24"/>
        </w:rPr>
        <w:t>six</w:t>
      </w:r>
      <w:r w:rsidRPr="000C1702">
        <w:rPr>
          <w:rFonts w:ascii="Arial" w:hAnsi="Arial" w:cs="Arial"/>
          <w:sz w:val="24"/>
          <w:szCs w:val="24"/>
        </w:rPr>
        <w:t xml:space="preserve"> social workers had acted dishonestly in conducting unnecessary assessments into her mental well</w:t>
      </w:r>
      <w:r>
        <w:rPr>
          <w:rFonts w:ascii="Arial" w:hAnsi="Arial" w:cs="Arial"/>
          <w:sz w:val="24"/>
          <w:szCs w:val="24"/>
        </w:rPr>
        <w:t>-</w:t>
      </w:r>
      <w:r w:rsidRPr="000C1702">
        <w:rPr>
          <w:rFonts w:ascii="Arial" w:hAnsi="Arial" w:cs="Arial"/>
          <w:sz w:val="24"/>
          <w:szCs w:val="24"/>
        </w:rPr>
        <w:t>being, determined to section her under the Mental Health Act</w:t>
      </w:r>
      <w:r w:rsidR="00A62982">
        <w:rPr>
          <w:rFonts w:ascii="Arial" w:hAnsi="Arial" w:cs="Arial"/>
          <w:sz w:val="24"/>
          <w:szCs w:val="24"/>
        </w:rPr>
        <w:t xml:space="preserve"> 1983</w:t>
      </w:r>
      <w:r w:rsidRPr="000C1702">
        <w:rPr>
          <w:rFonts w:ascii="Arial" w:hAnsi="Arial" w:cs="Arial"/>
          <w:sz w:val="24"/>
          <w:szCs w:val="24"/>
        </w:rPr>
        <w:t>.</w:t>
      </w:r>
    </w:p>
    <w:p w14:paraId="752399C0" w14:textId="0CF9D820" w:rsidR="00590979" w:rsidRDefault="00590979" w:rsidP="009171F8">
      <w:pPr>
        <w:spacing w:line="360" w:lineRule="auto"/>
        <w:rPr>
          <w:rFonts w:ascii="Arial" w:hAnsi="Arial" w:cs="Arial"/>
          <w:sz w:val="24"/>
          <w:szCs w:val="24"/>
        </w:rPr>
      </w:pPr>
      <w:r w:rsidRPr="000C1702">
        <w:rPr>
          <w:rFonts w:ascii="Arial" w:hAnsi="Arial" w:cs="Arial"/>
          <w:sz w:val="24"/>
          <w:szCs w:val="24"/>
        </w:rPr>
        <w:t xml:space="preserve">involved </w:t>
      </w:r>
      <w:r>
        <w:rPr>
          <w:rFonts w:ascii="Arial" w:hAnsi="Arial" w:cs="Arial"/>
          <w:sz w:val="24"/>
          <w:szCs w:val="24"/>
        </w:rPr>
        <w:t xml:space="preserve">social workers </w:t>
      </w:r>
      <w:r w:rsidRPr="000C1702">
        <w:rPr>
          <w:rFonts w:ascii="Arial" w:hAnsi="Arial" w:cs="Arial"/>
          <w:sz w:val="24"/>
          <w:szCs w:val="24"/>
        </w:rPr>
        <w:t xml:space="preserve">accessing personal information </w:t>
      </w:r>
      <w:r>
        <w:rPr>
          <w:rFonts w:ascii="Arial" w:hAnsi="Arial" w:cs="Arial"/>
          <w:sz w:val="24"/>
          <w:szCs w:val="24"/>
        </w:rPr>
        <w:t>about service users i</w:t>
      </w:r>
      <w:r w:rsidRPr="000C1702">
        <w:rPr>
          <w:rFonts w:ascii="Arial" w:hAnsi="Arial" w:cs="Arial"/>
          <w:sz w:val="24"/>
          <w:szCs w:val="24"/>
        </w:rPr>
        <w:t>n cases in which the</w:t>
      </w:r>
      <w:r>
        <w:rPr>
          <w:rFonts w:ascii="Arial" w:hAnsi="Arial" w:cs="Arial"/>
          <w:sz w:val="24"/>
          <w:szCs w:val="24"/>
        </w:rPr>
        <w:t>y</w:t>
      </w:r>
      <w:r w:rsidRPr="000C1702">
        <w:rPr>
          <w:rFonts w:ascii="Arial" w:hAnsi="Arial" w:cs="Arial"/>
          <w:sz w:val="24"/>
          <w:szCs w:val="24"/>
        </w:rPr>
        <w:t xml:space="preserve"> </w:t>
      </w:r>
      <w:r>
        <w:rPr>
          <w:rFonts w:ascii="Arial" w:hAnsi="Arial" w:cs="Arial"/>
          <w:sz w:val="24"/>
          <w:szCs w:val="24"/>
        </w:rPr>
        <w:t>had</w:t>
      </w:r>
      <w:r w:rsidRPr="000C1702">
        <w:rPr>
          <w:rFonts w:ascii="Arial" w:hAnsi="Arial" w:cs="Arial"/>
          <w:sz w:val="24"/>
          <w:szCs w:val="24"/>
        </w:rPr>
        <w:t xml:space="preserve"> a personal interest. </w:t>
      </w:r>
      <w:r>
        <w:rPr>
          <w:rFonts w:ascii="Arial" w:hAnsi="Arial" w:cs="Arial"/>
          <w:sz w:val="24"/>
          <w:szCs w:val="24"/>
        </w:rPr>
        <w:t>For example, a</w:t>
      </w:r>
      <w:r w:rsidRPr="000C1702">
        <w:rPr>
          <w:rFonts w:ascii="Arial" w:hAnsi="Arial" w:cs="Arial"/>
          <w:sz w:val="24"/>
          <w:szCs w:val="24"/>
        </w:rPr>
        <w:t xml:space="preserve"> social worker was referred by </w:t>
      </w:r>
      <w:r>
        <w:rPr>
          <w:rFonts w:ascii="Arial" w:hAnsi="Arial" w:cs="Arial"/>
          <w:sz w:val="24"/>
          <w:szCs w:val="24"/>
        </w:rPr>
        <w:t>a</w:t>
      </w:r>
      <w:r w:rsidRPr="000C1702">
        <w:rPr>
          <w:rFonts w:ascii="Arial" w:hAnsi="Arial" w:cs="Arial"/>
          <w:sz w:val="24"/>
          <w:szCs w:val="24"/>
        </w:rPr>
        <w:t xml:space="preserve"> neighbour for allegedly accessing confidential files about the neighbour’s children</w:t>
      </w:r>
      <w:r>
        <w:rPr>
          <w:rFonts w:ascii="Arial" w:hAnsi="Arial" w:cs="Arial"/>
          <w:sz w:val="24"/>
          <w:szCs w:val="24"/>
        </w:rPr>
        <w:t>, about whose care the social worker had concerns.</w:t>
      </w:r>
      <w:r w:rsidRPr="000C1702">
        <w:rPr>
          <w:rFonts w:ascii="Arial" w:hAnsi="Arial" w:cs="Arial"/>
          <w:sz w:val="24"/>
          <w:szCs w:val="24"/>
        </w:rPr>
        <w:t xml:space="preserve"> The local investigation found no evidence of breach of confidentiality</w:t>
      </w:r>
      <w:r w:rsidR="00B9593C">
        <w:rPr>
          <w:rFonts w:ascii="Arial" w:hAnsi="Arial" w:cs="Arial"/>
          <w:sz w:val="24"/>
          <w:szCs w:val="24"/>
        </w:rPr>
        <w:t>;</w:t>
      </w:r>
      <w:r>
        <w:rPr>
          <w:rFonts w:ascii="Arial" w:hAnsi="Arial" w:cs="Arial"/>
          <w:sz w:val="24"/>
          <w:szCs w:val="24"/>
        </w:rPr>
        <w:t xml:space="preserve"> HCPC closed the case within three </w:t>
      </w:r>
      <w:r w:rsidRPr="000C1702">
        <w:rPr>
          <w:rFonts w:ascii="Arial" w:hAnsi="Arial" w:cs="Arial"/>
          <w:sz w:val="24"/>
          <w:szCs w:val="24"/>
        </w:rPr>
        <w:t>months</w:t>
      </w:r>
      <w:r>
        <w:rPr>
          <w:rFonts w:ascii="Arial" w:hAnsi="Arial" w:cs="Arial"/>
          <w:sz w:val="24"/>
          <w:szCs w:val="24"/>
        </w:rPr>
        <w:t xml:space="preserve">. </w:t>
      </w:r>
    </w:p>
    <w:p w14:paraId="71CE5375" w14:textId="77777777" w:rsidR="00590979" w:rsidRPr="00315774" w:rsidRDefault="00590979" w:rsidP="009171F8">
      <w:pPr>
        <w:spacing w:line="360" w:lineRule="auto"/>
        <w:rPr>
          <w:rFonts w:ascii="Arial" w:hAnsi="Arial" w:cs="Arial"/>
          <w:i/>
          <w:sz w:val="24"/>
          <w:szCs w:val="24"/>
        </w:rPr>
      </w:pPr>
      <w:r w:rsidRPr="00315774">
        <w:rPr>
          <w:rFonts w:ascii="Arial" w:hAnsi="Arial" w:cs="Arial"/>
          <w:i/>
          <w:sz w:val="24"/>
          <w:szCs w:val="24"/>
        </w:rPr>
        <w:t>Interpersonal/communication issues, including disputes with students</w:t>
      </w:r>
    </w:p>
    <w:p w14:paraId="1364A153" w14:textId="04B1A4C0" w:rsidR="00590979" w:rsidRPr="000C1702" w:rsidRDefault="00590979" w:rsidP="009171F8">
      <w:pPr>
        <w:spacing w:line="360" w:lineRule="auto"/>
        <w:rPr>
          <w:rFonts w:ascii="Arial" w:hAnsi="Arial" w:cs="Arial"/>
          <w:sz w:val="24"/>
          <w:szCs w:val="24"/>
        </w:rPr>
      </w:pPr>
      <w:r>
        <w:rPr>
          <w:rFonts w:ascii="Arial" w:hAnsi="Arial" w:cs="Arial"/>
          <w:sz w:val="24"/>
          <w:szCs w:val="24"/>
        </w:rPr>
        <w:t xml:space="preserve">Five </w:t>
      </w:r>
      <w:r w:rsidRPr="000C1702">
        <w:rPr>
          <w:rFonts w:ascii="Arial" w:hAnsi="Arial" w:cs="Arial"/>
          <w:sz w:val="24"/>
          <w:szCs w:val="24"/>
        </w:rPr>
        <w:t xml:space="preserve">referrals </w:t>
      </w:r>
      <w:r>
        <w:rPr>
          <w:rFonts w:ascii="Arial" w:hAnsi="Arial" w:cs="Arial"/>
          <w:sz w:val="24"/>
          <w:szCs w:val="24"/>
        </w:rPr>
        <w:t xml:space="preserve">closed at the initial stage </w:t>
      </w:r>
      <w:r w:rsidRPr="000C1702">
        <w:rPr>
          <w:rFonts w:ascii="Arial" w:hAnsi="Arial" w:cs="Arial"/>
          <w:sz w:val="24"/>
          <w:szCs w:val="24"/>
        </w:rPr>
        <w:t xml:space="preserve">were a mix of interpersonal issues and communication breakdown between service users and social workers, often concerned with the manner decisions were conveyed, or lack of communication following a contentious outcome. Many referrals described social workers as ‘unprofessional’ in </w:t>
      </w:r>
      <w:r w:rsidR="0089498D">
        <w:rPr>
          <w:rFonts w:ascii="Arial" w:hAnsi="Arial" w:cs="Arial"/>
          <w:sz w:val="24"/>
          <w:szCs w:val="24"/>
        </w:rPr>
        <w:t xml:space="preserve">their </w:t>
      </w:r>
      <w:r w:rsidRPr="000C1702">
        <w:rPr>
          <w:rFonts w:ascii="Arial" w:hAnsi="Arial" w:cs="Arial"/>
          <w:sz w:val="24"/>
          <w:szCs w:val="24"/>
        </w:rPr>
        <w:t>communicat</w:t>
      </w:r>
      <w:r w:rsidR="0089498D">
        <w:rPr>
          <w:rFonts w:ascii="Arial" w:hAnsi="Arial" w:cs="Arial"/>
          <w:sz w:val="24"/>
          <w:szCs w:val="24"/>
        </w:rPr>
        <w:t xml:space="preserve">ions, </w:t>
      </w:r>
      <w:r>
        <w:rPr>
          <w:rFonts w:ascii="Arial" w:hAnsi="Arial" w:cs="Arial"/>
          <w:sz w:val="24"/>
          <w:szCs w:val="24"/>
        </w:rPr>
        <w:t xml:space="preserve">failing </w:t>
      </w:r>
      <w:r w:rsidRPr="000C1702">
        <w:rPr>
          <w:rFonts w:ascii="Arial" w:hAnsi="Arial" w:cs="Arial"/>
          <w:sz w:val="24"/>
          <w:szCs w:val="24"/>
        </w:rPr>
        <w:t>t</w:t>
      </w:r>
      <w:r>
        <w:rPr>
          <w:rFonts w:ascii="Arial" w:hAnsi="Arial" w:cs="Arial"/>
          <w:sz w:val="24"/>
          <w:szCs w:val="24"/>
        </w:rPr>
        <w:t>o</w:t>
      </w:r>
      <w:r w:rsidRPr="000C1702">
        <w:rPr>
          <w:rFonts w:ascii="Arial" w:hAnsi="Arial" w:cs="Arial"/>
          <w:sz w:val="24"/>
          <w:szCs w:val="24"/>
        </w:rPr>
        <w:t xml:space="preserve"> communicat</w:t>
      </w:r>
      <w:r>
        <w:rPr>
          <w:rFonts w:ascii="Arial" w:hAnsi="Arial" w:cs="Arial"/>
          <w:sz w:val="24"/>
          <w:szCs w:val="24"/>
        </w:rPr>
        <w:t>e</w:t>
      </w:r>
      <w:r w:rsidRPr="000C1702">
        <w:rPr>
          <w:rFonts w:ascii="Arial" w:hAnsi="Arial" w:cs="Arial"/>
          <w:sz w:val="24"/>
          <w:szCs w:val="24"/>
        </w:rPr>
        <w:t xml:space="preserve"> or follow up communications. These alleged failures occurred in volatile and distressing circumstances, in which service users expressed anger, resentment and disappointment with social workers. </w:t>
      </w:r>
    </w:p>
    <w:p w14:paraId="168D9D56" w14:textId="06DFE008" w:rsidR="00590979" w:rsidRPr="000C1702" w:rsidRDefault="00D85D3F" w:rsidP="009171F8">
      <w:pPr>
        <w:spacing w:line="360" w:lineRule="auto"/>
        <w:rPr>
          <w:rFonts w:ascii="Arial" w:hAnsi="Arial" w:cs="Arial"/>
          <w:sz w:val="24"/>
          <w:szCs w:val="24"/>
        </w:rPr>
      </w:pPr>
      <w:r>
        <w:rPr>
          <w:rFonts w:ascii="Arial" w:hAnsi="Arial" w:cs="Arial"/>
          <w:sz w:val="24"/>
          <w:szCs w:val="24"/>
        </w:rPr>
        <w:t>Several</w:t>
      </w:r>
      <w:r w:rsidR="00590979" w:rsidRPr="000C1702">
        <w:rPr>
          <w:rFonts w:ascii="Arial" w:hAnsi="Arial" w:cs="Arial"/>
          <w:sz w:val="24"/>
          <w:szCs w:val="24"/>
        </w:rPr>
        <w:t xml:space="preserve"> referrals (4) were from students complain</w:t>
      </w:r>
      <w:r w:rsidR="00590979">
        <w:rPr>
          <w:rFonts w:ascii="Arial" w:hAnsi="Arial" w:cs="Arial"/>
          <w:sz w:val="24"/>
          <w:szCs w:val="24"/>
        </w:rPr>
        <w:t>ing</w:t>
      </w:r>
      <w:r w:rsidR="00590979" w:rsidRPr="000C1702">
        <w:rPr>
          <w:rFonts w:ascii="Arial" w:hAnsi="Arial" w:cs="Arial"/>
          <w:sz w:val="24"/>
          <w:szCs w:val="24"/>
        </w:rPr>
        <w:t xml:space="preserve"> about inappropriate behaviour of university staff and social workers responsible for them whilst on placement. One concerned alleged bullying and two alleged drug abuse by member</w:t>
      </w:r>
      <w:r>
        <w:rPr>
          <w:rFonts w:ascii="Arial" w:hAnsi="Arial" w:cs="Arial"/>
          <w:sz w:val="24"/>
          <w:szCs w:val="24"/>
        </w:rPr>
        <w:t>s</w:t>
      </w:r>
      <w:r w:rsidR="00590979" w:rsidRPr="000C1702">
        <w:rPr>
          <w:rFonts w:ascii="Arial" w:hAnsi="Arial" w:cs="Arial"/>
          <w:sz w:val="24"/>
          <w:szCs w:val="24"/>
        </w:rPr>
        <w:t xml:space="preserve"> of staff. These </w:t>
      </w:r>
      <w:r>
        <w:rPr>
          <w:rFonts w:ascii="Arial" w:hAnsi="Arial" w:cs="Arial"/>
          <w:sz w:val="24"/>
          <w:szCs w:val="24"/>
        </w:rPr>
        <w:t>concerns</w:t>
      </w:r>
      <w:r w:rsidR="00590979" w:rsidRPr="000C1702">
        <w:rPr>
          <w:rFonts w:ascii="Arial" w:hAnsi="Arial" w:cs="Arial"/>
          <w:sz w:val="24"/>
          <w:szCs w:val="24"/>
        </w:rPr>
        <w:t xml:space="preserve"> had been previously investigated at a local level. </w:t>
      </w:r>
    </w:p>
    <w:p w14:paraId="51D997DA" w14:textId="537261D6" w:rsidR="00590979" w:rsidRPr="000C1702" w:rsidRDefault="00590979" w:rsidP="009171F8">
      <w:pPr>
        <w:spacing w:line="360" w:lineRule="auto"/>
        <w:rPr>
          <w:rFonts w:ascii="Arial" w:hAnsi="Arial" w:cs="Arial"/>
          <w:b/>
          <w:bCs/>
          <w:sz w:val="24"/>
          <w:szCs w:val="24"/>
        </w:rPr>
      </w:pPr>
      <w:r>
        <w:rPr>
          <w:rFonts w:ascii="Arial" w:hAnsi="Arial" w:cs="Arial"/>
          <w:b/>
          <w:bCs/>
          <w:sz w:val="24"/>
          <w:szCs w:val="24"/>
        </w:rPr>
        <w:t>Findings related to c</w:t>
      </w:r>
      <w:r w:rsidRPr="00081DCA">
        <w:rPr>
          <w:rFonts w:ascii="Arial" w:hAnsi="Arial" w:cs="Arial"/>
          <w:b/>
          <w:bCs/>
          <w:sz w:val="24"/>
          <w:szCs w:val="24"/>
        </w:rPr>
        <w:t xml:space="preserve">ases closed at </w:t>
      </w:r>
      <w:r w:rsidRPr="000C1702">
        <w:rPr>
          <w:rFonts w:ascii="Arial" w:hAnsi="Arial" w:cs="Arial"/>
          <w:b/>
          <w:bCs/>
          <w:sz w:val="24"/>
          <w:szCs w:val="24"/>
        </w:rPr>
        <w:t>ICP</w:t>
      </w:r>
      <w:r>
        <w:rPr>
          <w:rFonts w:ascii="Arial" w:hAnsi="Arial" w:cs="Arial"/>
          <w:b/>
          <w:bCs/>
          <w:sz w:val="24"/>
          <w:szCs w:val="24"/>
        </w:rPr>
        <w:t xml:space="preserve"> stage</w:t>
      </w:r>
    </w:p>
    <w:p w14:paraId="23A35519" w14:textId="664DF043" w:rsidR="00590979" w:rsidRPr="000C1702" w:rsidRDefault="000B697F" w:rsidP="009171F8">
      <w:pPr>
        <w:spacing w:line="360" w:lineRule="auto"/>
        <w:rPr>
          <w:rFonts w:ascii="Arial" w:hAnsi="Arial" w:cs="Arial"/>
          <w:sz w:val="24"/>
          <w:szCs w:val="24"/>
        </w:rPr>
      </w:pPr>
      <w:r>
        <w:rPr>
          <w:rFonts w:ascii="Arial" w:hAnsi="Arial" w:cs="Arial"/>
          <w:sz w:val="24"/>
          <w:szCs w:val="24"/>
        </w:rPr>
        <w:t>The</w:t>
      </w:r>
      <w:r w:rsidR="00590979" w:rsidRPr="000C1702">
        <w:rPr>
          <w:rFonts w:ascii="Arial" w:hAnsi="Arial" w:cs="Arial"/>
          <w:sz w:val="24"/>
          <w:szCs w:val="24"/>
        </w:rPr>
        <w:t xml:space="preserve"> 28 cases closed at the ICP stage </w:t>
      </w:r>
      <w:r>
        <w:rPr>
          <w:rFonts w:ascii="Arial" w:hAnsi="Arial" w:cs="Arial"/>
          <w:sz w:val="24"/>
          <w:szCs w:val="24"/>
        </w:rPr>
        <w:t>were</w:t>
      </w:r>
      <w:r w:rsidR="00590979" w:rsidRPr="000C1702">
        <w:rPr>
          <w:rFonts w:ascii="Arial" w:hAnsi="Arial" w:cs="Arial"/>
          <w:sz w:val="24"/>
          <w:szCs w:val="24"/>
        </w:rPr>
        <w:t xml:space="preserve"> evenly split between relatively clear-cut allegations </w:t>
      </w:r>
      <w:r w:rsidR="00B9593C">
        <w:rPr>
          <w:rFonts w:ascii="Arial" w:hAnsi="Arial" w:cs="Arial"/>
          <w:sz w:val="24"/>
          <w:szCs w:val="24"/>
        </w:rPr>
        <w:t>about</w:t>
      </w:r>
      <w:r w:rsidR="00590979" w:rsidRPr="000C1702">
        <w:rPr>
          <w:rFonts w:ascii="Arial" w:hAnsi="Arial" w:cs="Arial"/>
          <w:sz w:val="24"/>
          <w:szCs w:val="24"/>
        </w:rPr>
        <w:t xml:space="preserve"> competence and performance (14)</w:t>
      </w:r>
      <w:r w:rsidR="00590979">
        <w:rPr>
          <w:rFonts w:ascii="Arial" w:hAnsi="Arial" w:cs="Arial"/>
          <w:sz w:val="24"/>
          <w:szCs w:val="24"/>
        </w:rPr>
        <w:t xml:space="preserve"> and </w:t>
      </w:r>
      <w:r w:rsidR="00590979" w:rsidRPr="007A3D8B">
        <w:rPr>
          <w:rFonts w:ascii="Arial" w:hAnsi="Arial" w:cs="Arial"/>
          <w:sz w:val="24"/>
          <w:szCs w:val="24"/>
        </w:rPr>
        <w:t>conduct and behaviour (14)</w:t>
      </w:r>
      <w:r w:rsidR="00590979">
        <w:rPr>
          <w:rFonts w:ascii="Arial" w:hAnsi="Arial" w:cs="Arial"/>
          <w:sz w:val="24"/>
          <w:szCs w:val="24"/>
        </w:rPr>
        <w:t xml:space="preserve">. Many tended to be </w:t>
      </w:r>
      <w:r w:rsidR="00590979" w:rsidRPr="000C1702">
        <w:rPr>
          <w:rFonts w:ascii="Arial" w:hAnsi="Arial" w:cs="Arial"/>
          <w:sz w:val="24"/>
          <w:szCs w:val="24"/>
        </w:rPr>
        <w:t>one-off occurrences</w:t>
      </w:r>
      <w:r w:rsidR="00590979">
        <w:rPr>
          <w:rFonts w:ascii="Arial" w:hAnsi="Arial" w:cs="Arial"/>
          <w:sz w:val="24"/>
          <w:szCs w:val="24"/>
        </w:rPr>
        <w:t xml:space="preserve">, and if the matter had been, or could </w:t>
      </w:r>
      <w:r w:rsidR="00590979">
        <w:rPr>
          <w:rFonts w:ascii="Arial" w:hAnsi="Arial" w:cs="Arial"/>
          <w:sz w:val="24"/>
          <w:szCs w:val="24"/>
        </w:rPr>
        <w:lastRenderedPageBreak/>
        <w:t>be, resolved locally or was thought not to affect the social worker’s fitness to practise, the case was closed.</w:t>
      </w:r>
      <w:r w:rsidR="00590979" w:rsidRPr="000C1702">
        <w:rPr>
          <w:rFonts w:ascii="Arial" w:hAnsi="Arial" w:cs="Arial"/>
          <w:sz w:val="24"/>
          <w:szCs w:val="24"/>
        </w:rPr>
        <w:t xml:space="preserve"> </w:t>
      </w:r>
    </w:p>
    <w:p w14:paraId="4C045DD3" w14:textId="77777777" w:rsidR="00590979" w:rsidRDefault="00590979" w:rsidP="009171F8">
      <w:pPr>
        <w:spacing w:line="360" w:lineRule="auto"/>
        <w:rPr>
          <w:rFonts w:ascii="Arial" w:hAnsi="Arial" w:cs="Arial"/>
          <w:b/>
          <w:i/>
          <w:sz w:val="24"/>
          <w:szCs w:val="24"/>
        </w:rPr>
      </w:pPr>
      <w:r w:rsidRPr="00081DCA">
        <w:rPr>
          <w:rFonts w:ascii="Arial" w:hAnsi="Arial" w:cs="Arial"/>
          <w:b/>
          <w:i/>
          <w:sz w:val="24"/>
          <w:szCs w:val="24"/>
        </w:rPr>
        <w:t>Competence and performance issues</w:t>
      </w:r>
    </w:p>
    <w:p w14:paraId="5E9034E7" w14:textId="77777777" w:rsidR="00590979" w:rsidRPr="000C1702" w:rsidRDefault="00590979" w:rsidP="009171F8">
      <w:pPr>
        <w:spacing w:line="360" w:lineRule="auto"/>
        <w:rPr>
          <w:rFonts w:ascii="Arial" w:hAnsi="Arial" w:cs="Arial"/>
          <w:sz w:val="24"/>
          <w:szCs w:val="24"/>
        </w:rPr>
      </w:pPr>
      <w:r>
        <w:rPr>
          <w:rFonts w:ascii="Arial" w:hAnsi="Arial" w:cs="Arial"/>
          <w:sz w:val="24"/>
          <w:szCs w:val="24"/>
        </w:rPr>
        <w:t>These referrals were classified into three types: i</w:t>
      </w:r>
      <w:r w:rsidRPr="000C1702">
        <w:rPr>
          <w:rFonts w:ascii="Arial" w:hAnsi="Arial" w:cs="Arial"/>
          <w:sz w:val="24"/>
          <w:szCs w:val="24"/>
        </w:rPr>
        <w:t>naccurate assessment/reporting (10)</w:t>
      </w:r>
      <w:r>
        <w:rPr>
          <w:rFonts w:ascii="Arial" w:hAnsi="Arial" w:cs="Arial"/>
          <w:sz w:val="24"/>
          <w:szCs w:val="24"/>
        </w:rPr>
        <w:t>; i</w:t>
      </w:r>
      <w:r w:rsidRPr="000C1702">
        <w:rPr>
          <w:rFonts w:ascii="Arial" w:hAnsi="Arial" w:cs="Arial"/>
          <w:sz w:val="24"/>
          <w:szCs w:val="24"/>
        </w:rPr>
        <w:t>nadequate care (2)</w:t>
      </w:r>
      <w:r>
        <w:rPr>
          <w:rFonts w:ascii="Arial" w:hAnsi="Arial" w:cs="Arial"/>
          <w:sz w:val="24"/>
          <w:szCs w:val="24"/>
        </w:rPr>
        <w:t>; and a</w:t>
      </w:r>
      <w:r w:rsidRPr="000C1702">
        <w:rPr>
          <w:rFonts w:ascii="Arial" w:hAnsi="Arial" w:cs="Arial"/>
          <w:sz w:val="24"/>
          <w:szCs w:val="24"/>
        </w:rPr>
        <w:t>dministrative failings (2)</w:t>
      </w:r>
      <w:r>
        <w:rPr>
          <w:rFonts w:ascii="Arial" w:hAnsi="Arial" w:cs="Arial"/>
          <w:sz w:val="24"/>
          <w:szCs w:val="24"/>
        </w:rPr>
        <w:t xml:space="preserve">. </w:t>
      </w:r>
    </w:p>
    <w:p w14:paraId="5D4A662C" w14:textId="07F8A408" w:rsidR="00590979" w:rsidRPr="000C1702" w:rsidRDefault="00590979" w:rsidP="009171F8">
      <w:pPr>
        <w:spacing w:line="360" w:lineRule="auto"/>
        <w:rPr>
          <w:rFonts w:ascii="Arial" w:hAnsi="Arial" w:cs="Arial"/>
          <w:sz w:val="24"/>
          <w:szCs w:val="24"/>
        </w:rPr>
      </w:pPr>
      <w:r w:rsidRPr="000C1702">
        <w:rPr>
          <w:rFonts w:ascii="Arial" w:hAnsi="Arial" w:cs="Arial"/>
          <w:sz w:val="24"/>
          <w:szCs w:val="24"/>
        </w:rPr>
        <w:t>Competence and performance issues predominantly concerned one</w:t>
      </w:r>
      <w:r>
        <w:rPr>
          <w:rFonts w:ascii="Arial" w:hAnsi="Arial" w:cs="Arial"/>
          <w:sz w:val="24"/>
          <w:szCs w:val="24"/>
        </w:rPr>
        <w:t>-</w:t>
      </w:r>
      <w:r w:rsidRPr="000C1702">
        <w:rPr>
          <w:rFonts w:ascii="Arial" w:hAnsi="Arial" w:cs="Arial"/>
          <w:sz w:val="24"/>
          <w:szCs w:val="24"/>
        </w:rPr>
        <w:t>off incidents of inaccurate or incomplete assessment and recording (e.g. social worker</w:t>
      </w:r>
      <w:r w:rsidR="000B697F">
        <w:rPr>
          <w:rFonts w:ascii="Arial" w:hAnsi="Arial" w:cs="Arial"/>
          <w:sz w:val="24"/>
          <w:szCs w:val="24"/>
        </w:rPr>
        <w:t>s</w:t>
      </w:r>
      <w:r w:rsidRPr="000C1702">
        <w:rPr>
          <w:rFonts w:ascii="Arial" w:hAnsi="Arial" w:cs="Arial"/>
          <w:sz w:val="24"/>
          <w:szCs w:val="24"/>
        </w:rPr>
        <w:t xml:space="preserve"> not accurately record</w:t>
      </w:r>
      <w:r w:rsidR="000B697F">
        <w:rPr>
          <w:rFonts w:ascii="Arial" w:hAnsi="Arial" w:cs="Arial"/>
          <w:sz w:val="24"/>
          <w:szCs w:val="24"/>
        </w:rPr>
        <w:t>ing</w:t>
      </w:r>
      <w:r w:rsidRPr="000C1702">
        <w:rPr>
          <w:rFonts w:ascii="Arial" w:hAnsi="Arial" w:cs="Arial"/>
          <w:sz w:val="24"/>
          <w:szCs w:val="24"/>
        </w:rPr>
        <w:t xml:space="preserve"> a home visit and circumstances of the child, not conduct</w:t>
      </w:r>
      <w:r w:rsidR="000B697F">
        <w:rPr>
          <w:rFonts w:ascii="Arial" w:hAnsi="Arial" w:cs="Arial"/>
          <w:sz w:val="24"/>
          <w:szCs w:val="24"/>
        </w:rPr>
        <w:t>ing</w:t>
      </w:r>
      <w:r w:rsidRPr="000C1702">
        <w:rPr>
          <w:rFonts w:ascii="Arial" w:hAnsi="Arial" w:cs="Arial"/>
          <w:sz w:val="24"/>
          <w:szCs w:val="24"/>
        </w:rPr>
        <w:t xml:space="preserve"> a full assessment of a child’s wishes </w:t>
      </w:r>
      <w:r w:rsidR="000B697F">
        <w:rPr>
          <w:rFonts w:ascii="Arial" w:hAnsi="Arial" w:cs="Arial"/>
          <w:sz w:val="24"/>
          <w:szCs w:val="24"/>
        </w:rPr>
        <w:t xml:space="preserve">regarding </w:t>
      </w:r>
      <w:r w:rsidRPr="000C1702">
        <w:rPr>
          <w:rFonts w:ascii="Arial" w:hAnsi="Arial" w:cs="Arial"/>
          <w:sz w:val="24"/>
          <w:szCs w:val="24"/>
        </w:rPr>
        <w:t xml:space="preserve">a future placement). </w:t>
      </w:r>
      <w:r w:rsidR="000B697F">
        <w:rPr>
          <w:rFonts w:ascii="Arial" w:hAnsi="Arial" w:cs="Arial"/>
          <w:sz w:val="24"/>
          <w:szCs w:val="24"/>
        </w:rPr>
        <w:t xml:space="preserve">In </w:t>
      </w:r>
      <w:r w:rsidRPr="000C1702">
        <w:rPr>
          <w:rFonts w:ascii="Arial" w:hAnsi="Arial" w:cs="Arial"/>
          <w:sz w:val="24"/>
          <w:szCs w:val="24"/>
        </w:rPr>
        <w:t xml:space="preserve">a </w:t>
      </w:r>
      <w:r w:rsidR="00D85D3F">
        <w:rPr>
          <w:rFonts w:ascii="Arial" w:hAnsi="Arial" w:cs="Arial"/>
          <w:sz w:val="24"/>
          <w:szCs w:val="24"/>
        </w:rPr>
        <w:t>few</w:t>
      </w:r>
      <w:r w:rsidRPr="000C1702">
        <w:rPr>
          <w:rFonts w:ascii="Arial" w:hAnsi="Arial" w:cs="Arial"/>
          <w:sz w:val="24"/>
          <w:szCs w:val="24"/>
        </w:rPr>
        <w:t xml:space="preserve"> one-off instances registrant</w:t>
      </w:r>
      <w:r w:rsidR="00B6602A">
        <w:rPr>
          <w:rFonts w:ascii="Arial" w:hAnsi="Arial" w:cs="Arial"/>
          <w:sz w:val="24"/>
          <w:szCs w:val="24"/>
        </w:rPr>
        <w:t>s</w:t>
      </w:r>
      <w:r w:rsidRPr="000C1702">
        <w:rPr>
          <w:rFonts w:ascii="Arial" w:hAnsi="Arial" w:cs="Arial"/>
          <w:sz w:val="24"/>
          <w:szCs w:val="24"/>
        </w:rPr>
        <w:t xml:space="preserve"> allegedly did not provide adequate care, for example, not undertak</w:t>
      </w:r>
      <w:r>
        <w:rPr>
          <w:rFonts w:ascii="Arial" w:hAnsi="Arial" w:cs="Arial"/>
          <w:sz w:val="24"/>
          <w:szCs w:val="24"/>
        </w:rPr>
        <w:t>ing</w:t>
      </w:r>
      <w:r w:rsidRPr="000C1702">
        <w:rPr>
          <w:rFonts w:ascii="Arial" w:hAnsi="Arial" w:cs="Arial"/>
          <w:sz w:val="24"/>
          <w:szCs w:val="24"/>
        </w:rPr>
        <w:t xml:space="preserve"> a same day visit to an alleged rape victim</w:t>
      </w:r>
      <w:r w:rsidR="00B6602A">
        <w:rPr>
          <w:rFonts w:ascii="Arial" w:hAnsi="Arial" w:cs="Arial"/>
          <w:sz w:val="24"/>
          <w:szCs w:val="24"/>
        </w:rPr>
        <w:t>;</w:t>
      </w:r>
      <w:r w:rsidRPr="000C1702">
        <w:rPr>
          <w:rFonts w:ascii="Arial" w:hAnsi="Arial" w:cs="Arial"/>
          <w:sz w:val="24"/>
          <w:szCs w:val="24"/>
        </w:rPr>
        <w:t xml:space="preserve"> not recognis</w:t>
      </w:r>
      <w:r>
        <w:rPr>
          <w:rFonts w:ascii="Arial" w:hAnsi="Arial" w:cs="Arial"/>
          <w:sz w:val="24"/>
          <w:szCs w:val="24"/>
        </w:rPr>
        <w:t>ing</w:t>
      </w:r>
      <w:r w:rsidRPr="000C1702">
        <w:rPr>
          <w:rFonts w:ascii="Arial" w:hAnsi="Arial" w:cs="Arial"/>
          <w:sz w:val="24"/>
          <w:szCs w:val="24"/>
        </w:rPr>
        <w:t xml:space="preserve"> urgency </w:t>
      </w:r>
      <w:r w:rsidR="00B6602A">
        <w:rPr>
          <w:rFonts w:ascii="Arial" w:hAnsi="Arial" w:cs="Arial"/>
          <w:sz w:val="24"/>
          <w:szCs w:val="24"/>
        </w:rPr>
        <w:t>about</w:t>
      </w:r>
      <w:r w:rsidRPr="000C1702">
        <w:rPr>
          <w:rFonts w:ascii="Arial" w:hAnsi="Arial" w:cs="Arial"/>
          <w:sz w:val="24"/>
          <w:szCs w:val="24"/>
        </w:rPr>
        <w:t xml:space="preserve"> a child’s medical condition</w:t>
      </w:r>
      <w:r w:rsidR="00B6602A">
        <w:rPr>
          <w:rFonts w:ascii="Arial" w:hAnsi="Arial" w:cs="Arial"/>
          <w:sz w:val="24"/>
          <w:szCs w:val="24"/>
        </w:rPr>
        <w:t>;</w:t>
      </w:r>
      <w:r w:rsidRPr="000C1702">
        <w:rPr>
          <w:rFonts w:ascii="Arial" w:hAnsi="Arial" w:cs="Arial"/>
          <w:sz w:val="24"/>
          <w:szCs w:val="24"/>
        </w:rPr>
        <w:t xml:space="preserve"> or not report</w:t>
      </w:r>
      <w:r>
        <w:rPr>
          <w:rFonts w:ascii="Arial" w:hAnsi="Arial" w:cs="Arial"/>
          <w:sz w:val="24"/>
          <w:szCs w:val="24"/>
        </w:rPr>
        <w:t>ing</w:t>
      </w:r>
      <w:r w:rsidRPr="000C1702">
        <w:rPr>
          <w:rFonts w:ascii="Arial" w:hAnsi="Arial" w:cs="Arial"/>
          <w:sz w:val="24"/>
          <w:szCs w:val="24"/>
        </w:rPr>
        <w:t xml:space="preserve"> suspected drug overdose</w:t>
      </w:r>
      <w:r w:rsidR="000B697F">
        <w:rPr>
          <w:rFonts w:ascii="Arial" w:hAnsi="Arial" w:cs="Arial"/>
          <w:sz w:val="24"/>
          <w:szCs w:val="24"/>
        </w:rPr>
        <w:t>s</w:t>
      </w:r>
      <w:r w:rsidRPr="000C1702">
        <w:rPr>
          <w:rFonts w:ascii="Arial" w:hAnsi="Arial" w:cs="Arial"/>
          <w:sz w:val="24"/>
          <w:szCs w:val="24"/>
        </w:rPr>
        <w:t xml:space="preserve">. </w:t>
      </w:r>
    </w:p>
    <w:p w14:paraId="0A3E812D" w14:textId="5CAD26AE" w:rsidR="00590979" w:rsidRPr="000C1702" w:rsidRDefault="000B697F" w:rsidP="009171F8">
      <w:pPr>
        <w:spacing w:line="360" w:lineRule="auto"/>
        <w:rPr>
          <w:rFonts w:ascii="Arial" w:hAnsi="Arial" w:cs="Arial"/>
          <w:sz w:val="24"/>
          <w:szCs w:val="24"/>
        </w:rPr>
      </w:pPr>
      <w:r>
        <w:rPr>
          <w:rFonts w:ascii="Arial" w:hAnsi="Arial" w:cs="Arial"/>
          <w:sz w:val="24"/>
          <w:szCs w:val="24"/>
        </w:rPr>
        <w:t xml:space="preserve">Most </w:t>
      </w:r>
      <w:r w:rsidR="00590979" w:rsidRPr="000C1702">
        <w:rPr>
          <w:rFonts w:ascii="Arial" w:hAnsi="Arial" w:cs="Arial"/>
          <w:sz w:val="24"/>
          <w:szCs w:val="24"/>
        </w:rPr>
        <w:t>of these social workers engaged fully with investigation</w:t>
      </w:r>
      <w:r w:rsidR="00B6602A">
        <w:rPr>
          <w:rFonts w:ascii="Arial" w:hAnsi="Arial" w:cs="Arial"/>
          <w:sz w:val="24"/>
          <w:szCs w:val="24"/>
        </w:rPr>
        <w:t>s</w:t>
      </w:r>
      <w:r w:rsidR="00590979" w:rsidRPr="000C1702">
        <w:rPr>
          <w:rFonts w:ascii="Arial" w:hAnsi="Arial" w:cs="Arial"/>
          <w:sz w:val="24"/>
          <w:szCs w:val="24"/>
        </w:rPr>
        <w:t>, and they and their employer</w:t>
      </w:r>
      <w:r w:rsidR="00590979">
        <w:rPr>
          <w:rFonts w:ascii="Arial" w:hAnsi="Arial" w:cs="Arial"/>
          <w:sz w:val="24"/>
          <w:szCs w:val="24"/>
        </w:rPr>
        <w:t>s</w:t>
      </w:r>
      <w:r w:rsidR="00590979" w:rsidRPr="000C1702">
        <w:rPr>
          <w:rFonts w:ascii="Arial" w:hAnsi="Arial" w:cs="Arial"/>
          <w:sz w:val="24"/>
          <w:szCs w:val="24"/>
        </w:rPr>
        <w:t xml:space="preserve"> provided evidence of </w:t>
      </w:r>
      <w:r w:rsidR="00590979" w:rsidRPr="005F0D42">
        <w:rPr>
          <w:rFonts w:ascii="Arial" w:hAnsi="Arial" w:cs="Arial"/>
          <w:sz w:val="24"/>
          <w:szCs w:val="24"/>
        </w:rPr>
        <w:t xml:space="preserve">regret that the incident had occurred </w:t>
      </w:r>
      <w:r w:rsidR="00590979">
        <w:rPr>
          <w:rFonts w:ascii="Arial" w:hAnsi="Arial" w:cs="Arial"/>
          <w:sz w:val="24"/>
          <w:szCs w:val="24"/>
        </w:rPr>
        <w:t xml:space="preserve">and </w:t>
      </w:r>
      <w:r w:rsidR="00590979" w:rsidRPr="000C1702">
        <w:rPr>
          <w:rFonts w:ascii="Arial" w:hAnsi="Arial" w:cs="Arial"/>
          <w:sz w:val="24"/>
          <w:szCs w:val="24"/>
        </w:rPr>
        <w:t xml:space="preserve">steps taken to remediate (for example, peer supervision, studying, good record keeping). </w:t>
      </w:r>
      <w:r w:rsidR="00590979">
        <w:rPr>
          <w:rFonts w:ascii="Arial" w:hAnsi="Arial" w:cs="Arial"/>
          <w:sz w:val="24"/>
          <w:szCs w:val="24"/>
        </w:rPr>
        <w:t xml:space="preserve">In </w:t>
      </w:r>
      <w:r w:rsidR="00590979" w:rsidRPr="000C1702">
        <w:rPr>
          <w:rFonts w:ascii="Arial" w:hAnsi="Arial" w:cs="Arial"/>
          <w:sz w:val="24"/>
          <w:szCs w:val="24"/>
        </w:rPr>
        <w:t xml:space="preserve">a </w:t>
      </w:r>
      <w:r w:rsidR="00D85D3F">
        <w:rPr>
          <w:rFonts w:ascii="Arial" w:hAnsi="Arial" w:cs="Arial"/>
          <w:sz w:val="24"/>
          <w:szCs w:val="24"/>
        </w:rPr>
        <w:t>few</w:t>
      </w:r>
      <w:r w:rsidR="00590979" w:rsidRPr="000C1702">
        <w:rPr>
          <w:rFonts w:ascii="Arial" w:hAnsi="Arial" w:cs="Arial"/>
          <w:sz w:val="24"/>
          <w:szCs w:val="24"/>
        </w:rPr>
        <w:t xml:space="preserve"> </w:t>
      </w:r>
      <w:r w:rsidR="00590979">
        <w:rPr>
          <w:rFonts w:ascii="Arial" w:hAnsi="Arial" w:cs="Arial"/>
          <w:sz w:val="24"/>
          <w:szCs w:val="24"/>
        </w:rPr>
        <w:t>cas</w:t>
      </w:r>
      <w:r w:rsidR="00590979" w:rsidRPr="000C1702">
        <w:rPr>
          <w:rFonts w:ascii="Arial" w:hAnsi="Arial" w:cs="Arial"/>
          <w:sz w:val="24"/>
          <w:szCs w:val="24"/>
        </w:rPr>
        <w:t>es social worker</w:t>
      </w:r>
      <w:r w:rsidR="00590979">
        <w:rPr>
          <w:rFonts w:ascii="Arial" w:hAnsi="Arial" w:cs="Arial"/>
          <w:sz w:val="24"/>
          <w:szCs w:val="24"/>
        </w:rPr>
        <w:t>s</w:t>
      </w:r>
      <w:r w:rsidR="00590979" w:rsidRPr="000C1702">
        <w:rPr>
          <w:rFonts w:ascii="Arial" w:hAnsi="Arial" w:cs="Arial"/>
          <w:sz w:val="24"/>
          <w:szCs w:val="24"/>
        </w:rPr>
        <w:t xml:space="preserve"> had experienced long</w:t>
      </w:r>
      <w:r w:rsidR="00590979">
        <w:rPr>
          <w:rFonts w:ascii="Arial" w:hAnsi="Arial" w:cs="Arial"/>
          <w:sz w:val="24"/>
          <w:szCs w:val="24"/>
        </w:rPr>
        <w:t>-</w:t>
      </w:r>
      <w:r w:rsidR="00590979" w:rsidRPr="000C1702">
        <w:rPr>
          <w:rFonts w:ascii="Arial" w:hAnsi="Arial" w:cs="Arial"/>
          <w:sz w:val="24"/>
          <w:szCs w:val="24"/>
        </w:rPr>
        <w:t xml:space="preserve">term illness </w:t>
      </w:r>
      <w:r w:rsidR="00590979">
        <w:rPr>
          <w:rFonts w:ascii="Arial" w:hAnsi="Arial" w:cs="Arial"/>
          <w:sz w:val="24"/>
          <w:szCs w:val="24"/>
        </w:rPr>
        <w:t xml:space="preserve">at the time of </w:t>
      </w:r>
      <w:r w:rsidR="00590979" w:rsidRPr="000C1702">
        <w:rPr>
          <w:rFonts w:ascii="Arial" w:hAnsi="Arial" w:cs="Arial"/>
          <w:sz w:val="24"/>
          <w:szCs w:val="24"/>
        </w:rPr>
        <w:t>the incident(s)</w:t>
      </w:r>
      <w:r w:rsidR="00590979">
        <w:rPr>
          <w:rFonts w:ascii="Arial" w:hAnsi="Arial" w:cs="Arial"/>
          <w:sz w:val="24"/>
          <w:szCs w:val="24"/>
        </w:rPr>
        <w:t xml:space="preserve"> or ha</w:t>
      </w:r>
      <w:r w:rsidR="00590979" w:rsidRPr="000C1702">
        <w:rPr>
          <w:rFonts w:ascii="Arial" w:hAnsi="Arial" w:cs="Arial"/>
          <w:sz w:val="24"/>
          <w:szCs w:val="24"/>
        </w:rPr>
        <w:t>d made it clear to their manager</w:t>
      </w:r>
      <w:r w:rsidR="00590979">
        <w:rPr>
          <w:rFonts w:ascii="Arial" w:hAnsi="Arial" w:cs="Arial"/>
          <w:sz w:val="24"/>
          <w:szCs w:val="24"/>
        </w:rPr>
        <w:t>s</w:t>
      </w:r>
      <w:r w:rsidR="00590979" w:rsidRPr="000C1702">
        <w:rPr>
          <w:rFonts w:ascii="Arial" w:hAnsi="Arial" w:cs="Arial"/>
          <w:sz w:val="24"/>
          <w:szCs w:val="24"/>
        </w:rPr>
        <w:t xml:space="preserve"> that the incident </w:t>
      </w:r>
      <w:r w:rsidR="00590979">
        <w:rPr>
          <w:rFonts w:ascii="Arial" w:hAnsi="Arial" w:cs="Arial"/>
          <w:sz w:val="24"/>
          <w:szCs w:val="24"/>
        </w:rPr>
        <w:t>was</w:t>
      </w:r>
      <w:r w:rsidR="00590979" w:rsidRPr="000C1702">
        <w:rPr>
          <w:rFonts w:ascii="Arial" w:hAnsi="Arial" w:cs="Arial"/>
          <w:sz w:val="24"/>
          <w:szCs w:val="24"/>
        </w:rPr>
        <w:t xml:space="preserve"> related to workload pressures. </w:t>
      </w:r>
    </w:p>
    <w:p w14:paraId="1AEE5100" w14:textId="448936ED" w:rsidR="00590979" w:rsidRPr="000C1702" w:rsidRDefault="00B9593C" w:rsidP="009171F8">
      <w:pPr>
        <w:spacing w:line="360" w:lineRule="auto"/>
        <w:rPr>
          <w:rFonts w:ascii="Arial" w:hAnsi="Arial" w:cs="Arial"/>
          <w:sz w:val="24"/>
          <w:szCs w:val="24"/>
        </w:rPr>
      </w:pPr>
      <w:r>
        <w:rPr>
          <w:rFonts w:ascii="Arial" w:hAnsi="Arial" w:cs="Arial"/>
          <w:sz w:val="24"/>
          <w:szCs w:val="24"/>
        </w:rPr>
        <w:t>T</w:t>
      </w:r>
      <w:r w:rsidR="00590979" w:rsidRPr="000C1702">
        <w:rPr>
          <w:rFonts w:ascii="Arial" w:hAnsi="Arial" w:cs="Arial"/>
          <w:sz w:val="24"/>
          <w:szCs w:val="24"/>
        </w:rPr>
        <w:t xml:space="preserve">wo cases </w:t>
      </w:r>
      <w:r>
        <w:rPr>
          <w:rFonts w:ascii="Arial" w:hAnsi="Arial" w:cs="Arial"/>
          <w:sz w:val="24"/>
          <w:szCs w:val="24"/>
        </w:rPr>
        <w:t>related to</w:t>
      </w:r>
      <w:r w:rsidR="00590979" w:rsidRPr="000C1702">
        <w:rPr>
          <w:rFonts w:ascii="Arial" w:hAnsi="Arial" w:cs="Arial"/>
          <w:sz w:val="24"/>
          <w:szCs w:val="24"/>
        </w:rPr>
        <w:t xml:space="preserve"> administrative failings, both of which implicated an organisational failure and were not deemed by ICP as an individual responsibility</w:t>
      </w:r>
      <w:r w:rsidR="00590979">
        <w:rPr>
          <w:rFonts w:ascii="Arial" w:hAnsi="Arial" w:cs="Arial"/>
          <w:sz w:val="24"/>
          <w:szCs w:val="24"/>
        </w:rPr>
        <w:t>, of which Case 4 is an example</w:t>
      </w:r>
      <w:r w:rsidR="00590979" w:rsidRPr="000C1702">
        <w:rPr>
          <w:rFonts w:ascii="Arial" w:hAnsi="Arial" w:cs="Arial"/>
          <w:sz w:val="24"/>
          <w:szCs w:val="24"/>
        </w:rPr>
        <w:t xml:space="preserve">. </w:t>
      </w:r>
    </w:p>
    <w:p w14:paraId="43A62293" w14:textId="17A87352" w:rsidR="00590979" w:rsidRPr="000C1702" w:rsidRDefault="00590979" w:rsidP="009171F8">
      <w:pPr>
        <w:spacing w:line="360" w:lineRule="auto"/>
        <w:ind w:left="720"/>
        <w:rPr>
          <w:rFonts w:ascii="Arial" w:hAnsi="Arial" w:cs="Arial"/>
          <w:b/>
          <w:sz w:val="24"/>
          <w:szCs w:val="24"/>
        </w:rPr>
      </w:pPr>
      <w:r w:rsidRPr="000C1702">
        <w:rPr>
          <w:rFonts w:ascii="Arial" w:hAnsi="Arial" w:cs="Arial"/>
          <w:b/>
          <w:sz w:val="24"/>
          <w:szCs w:val="24"/>
        </w:rPr>
        <w:t xml:space="preserve">Case </w:t>
      </w:r>
      <w:r>
        <w:rPr>
          <w:rFonts w:ascii="Arial" w:hAnsi="Arial" w:cs="Arial"/>
          <w:b/>
          <w:sz w:val="24"/>
          <w:szCs w:val="24"/>
        </w:rPr>
        <w:t>4</w:t>
      </w:r>
    </w:p>
    <w:p w14:paraId="5789365F" w14:textId="5F0CF258" w:rsidR="00590979" w:rsidRPr="000C1702" w:rsidRDefault="00590979" w:rsidP="009171F8">
      <w:pPr>
        <w:spacing w:line="360" w:lineRule="auto"/>
        <w:ind w:left="720"/>
        <w:rPr>
          <w:rFonts w:ascii="Arial" w:hAnsi="Arial" w:cs="Arial"/>
          <w:sz w:val="24"/>
          <w:szCs w:val="24"/>
        </w:rPr>
      </w:pPr>
      <w:r>
        <w:rPr>
          <w:rFonts w:ascii="Arial" w:hAnsi="Arial" w:cs="Arial"/>
          <w:sz w:val="24"/>
          <w:szCs w:val="24"/>
        </w:rPr>
        <w:t>A</w:t>
      </w:r>
      <w:r w:rsidRPr="000C1702">
        <w:rPr>
          <w:rFonts w:ascii="Arial" w:hAnsi="Arial" w:cs="Arial"/>
          <w:sz w:val="24"/>
          <w:szCs w:val="24"/>
        </w:rPr>
        <w:t xml:space="preserve">n experienced social worker </w:t>
      </w:r>
      <w:r>
        <w:rPr>
          <w:rFonts w:ascii="Arial" w:hAnsi="Arial" w:cs="Arial"/>
          <w:sz w:val="24"/>
          <w:szCs w:val="24"/>
        </w:rPr>
        <w:t>with</w:t>
      </w:r>
      <w:r w:rsidRPr="000C1702">
        <w:rPr>
          <w:rFonts w:ascii="Arial" w:hAnsi="Arial" w:cs="Arial"/>
          <w:sz w:val="24"/>
          <w:szCs w:val="24"/>
        </w:rPr>
        <w:t xml:space="preserve"> concerns about timescales for processing domestic abuse notifications</w:t>
      </w:r>
      <w:r>
        <w:rPr>
          <w:rFonts w:ascii="Arial" w:hAnsi="Arial" w:cs="Arial"/>
          <w:sz w:val="24"/>
          <w:szCs w:val="24"/>
        </w:rPr>
        <w:t xml:space="preserve"> made a self-referral</w:t>
      </w:r>
      <w:r w:rsidRPr="000C1702">
        <w:rPr>
          <w:rFonts w:ascii="Arial" w:hAnsi="Arial" w:cs="Arial"/>
          <w:sz w:val="24"/>
          <w:szCs w:val="24"/>
        </w:rPr>
        <w:t xml:space="preserve">. </w:t>
      </w:r>
      <w:r w:rsidR="000B697F">
        <w:rPr>
          <w:rFonts w:ascii="Arial" w:hAnsi="Arial" w:cs="Arial"/>
          <w:sz w:val="24"/>
          <w:szCs w:val="24"/>
        </w:rPr>
        <w:t>U</w:t>
      </w:r>
      <w:r w:rsidR="000B697F" w:rsidRPr="000B697F">
        <w:rPr>
          <w:rFonts w:ascii="Arial" w:hAnsi="Arial" w:cs="Arial"/>
          <w:sz w:val="24"/>
          <w:szCs w:val="24"/>
        </w:rPr>
        <w:t>nder direction of the team manager</w:t>
      </w:r>
      <w:r w:rsidR="000B697F">
        <w:rPr>
          <w:rFonts w:ascii="Arial" w:hAnsi="Arial" w:cs="Arial"/>
          <w:sz w:val="24"/>
          <w:szCs w:val="24"/>
        </w:rPr>
        <w:t>, t</w:t>
      </w:r>
      <w:r w:rsidRPr="000C1702">
        <w:rPr>
          <w:rFonts w:ascii="Arial" w:hAnsi="Arial" w:cs="Arial"/>
          <w:sz w:val="24"/>
          <w:szCs w:val="24"/>
        </w:rPr>
        <w:t xml:space="preserve">his social worker delayed </w:t>
      </w:r>
      <w:r>
        <w:rPr>
          <w:rFonts w:ascii="Arial" w:hAnsi="Arial" w:cs="Arial"/>
          <w:sz w:val="24"/>
          <w:szCs w:val="24"/>
        </w:rPr>
        <w:t>record</w:t>
      </w:r>
      <w:r w:rsidRPr="000C1702">
        <w:rPr>
          <w:rFonts w:ascii="Arial" w:hAnsi="Arial" w:cs="Arial"/>
          <w:sz w:val="24"/>
          <w:szCs w:val="24"/>
        </w:rPr>
        <w:t xml:space="preserve">ing ‘medium and standard risk’ notifications </w:t>
      </w:r>
      <w:r>
        <w:rPr>
          <w:rFonts w:ascii="Arial" w:hAnsi="Arial" w:cs="Arial"/>
          <w:sz w:val="24"/>
          <w:szCs w:val="24"/>
        </w:rPr>
        <w:t xml:space="preserve">until </w:t>
      </w:r>
      <w:r w:rsidRPr="000C1702">
        <w:rPr>
          <w:rFonts w:ascii="Arial" w:hAnsi="Arial" w:cs="Arial"/>
          <w:sz w:val="24"/>
          <w:szCs w:val="24"/>
        </w:rPr>
        <w:t xml:space="preserve">decisions </w:t>
      </w:r>
      <w:r>
        <w:rPr>
          <w:rFonts w:ascii="Arial" w:hAnsi="Arial" w:cs="Arial"/>
          <w:sz w:val="24"/>
          <w:szCs w:val="24"/>
        </w:rPr>
        <w:t xml:space="preserve">were made </w:t>
      </w:r>
      <w:r w:rsidRPr="000C1702">
        <w:rPr>
          <w:rFonts w:ascii="Arial" w:hAnsi="Arial" w:cs="Arial"/>
          <w:sz w:val="24"/>
          <w:szCs w:val="24"/>
        </w:rPr>
        <w:t>regarding contacts already logged. This reduc</w:t>
      </w:r>
      <w:r>
        <w:rPr>
          <w:rFonts w:ascii="Arial" w:hAnsi="Arial" w:cs="Arial"/>
          <w:sz w:val="24"/>
          <w:szCs w:val="24"/>
        </w:rPr>
        <w:t xml:space="preserve">ed </w:t>
      </w:r>
      <w:r w:rsidRPr="000C1702">
        <w:rPr>
          <w:rFonts w:ascii="Arial" w:hAnsi="Arial" w:cs="Arial"/>
          <w:sz w:val="24"/>
          <w:szCs w:val="24"/>
        </w:rPr>
        <w:t>the number of contacts deemed to be outside the target timescale for completion. The social worker was investigated</w:t>
      </w:r>
      <w:r>
        <w:rPr>
          <w:rFonts w:ascii="Arial" w:hAnsi="Arial" w:cs="Arial"/>
          <w:sz w:val="24"/>
          <w:szCs w:val="24"/>
        </w:rPr>
        <w:t>, e</w:t>
      </w:r>
      <w:r w:rsidRPr="000C1702">
        <w:rPr>
          <w:rFonts w:ascii="Arial" w:hAnsi="Arial" w:cs="Arial"/>
          <w:sz w:val="24"/>
          <w:szCs w:val="24"/>
        </w:rPr>
        <w:t>xpress</w:t>
      </w:r>
      <w:r>
        <w:rPr>
          <w:rFonts w:ascii="Arial" w:hAnsi="Arial" w:cs="Arial"/>
          <w:sz w:val="24"/>
          <w:szCs w:val="24"/>
        </w:rPr>
        <w:t>ing</w:t>
      </w:r>
      <w:r w:rsidRPr="000C1702">
        <w:rPr>
          <w:rFonts w:ascii="Arial" w:hAnsi="Arial" w:cs="Arial"/>
          <w:sz w:val="24"/>
          <w:szCs w:val="24"/>
        </w:rPr>
        <w:t xml:space="preserve"> regret </w:t>
      </w:r>
      <w:r>
        <w:rPr>
          <w:rFonts w:ascii="Arial" w:hAnsi="Arial" w:cs="Arial"/>
          <w:sz w:val="24"/>
          <w:szCs w:val="24"/>
        </w:rPr>
        <w:t xml:space="preserve">and acknowledging </w:t>
      </w:r>
      <w:r w:rsidRPr="000C1702">
        <w:rPr>
          <w:rFonts w:ascii="Arial" w:hAnsi="Arial" w:cs="Arial"/>
          <w:sz w:val="24"/>
          <w:szCs w:val="24"/>
        </w:rPr>
        <w:t xml:space="preserve">‘potential harm’ </w:t>
      </w:r>
      <w:r>
        <w:rPr>
          <w:rFonts w:ascii="Arial" w:hAnsi="Arial" w:cs="Arial"/>
          <w:sz w:val="24"/>
          <w:szCs w:val="24"/>
        </w:rPr>
        <w:t xml:space="preserve">to children from this practice. </w:t>
      </w:r>
      <w:r w:rsidRPr="000C1702">
        <w:rPr>
          <w:rFonts w:ascii="Arial" w:hAnsi="Arial" w:cs="Arial"/>
          <w:sz w:val="24"/>
          <w:szCs w:val="24"/>
        </w:rPr>
        <w:t xml:space="preserve">It was </w:t>
      </w:r>
      <w:r>
        <w:rPr>
          <w:rFonts w:ascii="Arial" w:hAnsi="Arial" w:cs="Arial"/>
          <w:sz w:val="24"/>
          <w:szCs w:val="24"/>
        </w:rPr>
        <w:t>ascrib</w:t>
      </w:r>
      <w:r w:rsidRPr="000C1702">
        <w:rPr>
          <w:rFonts w:ascii="Arial" w:hAnsi="Arial" w:cs="Arial"/>
          <w:sz w:val="24"/>
          <w:szCs w:val="24"/>
        </w:rPr>
        <w:t xml:space="preserve">ed </w:t>
      </w:r>
      <w:r>
        <w:rPr>
          <w:rFonts w:ascii="Arial" w:hAnsi="Arial" w:cs="Arial"/>
          <w:sz w:val="24"/>
          <w:szCs w:val="24"/>
        </w:rPr>
        <w:t>to</w:t>
      </w:r>
      <w:r w:rsidRPr="000C1702">
        <w:rPr>
          <w:rFonts w:ascii="Arial" w:hAnsi="Arial" w:cs="Arial"/>
          <w:sz w:val="24"/>
          <w:szCs w:val="24"/>
        </w:rPr>
        <w:t xml:space="preserve"> an ‘error of judgement’ and ‘flawed system’ during a period of </w:t>
      </w:r>
      <w:r w:rsidRPr="000C1702">
        <w:rPr>
          <w:rFonts w:ascii="Arial" w:hAnsi="Arial" w:cs="Arial"/>
          <w:sz w:val="24"/>
          <w:szCs w:val="24"/>
        </w:rPr>
        <w:lastRenderedPageBreak/>
        <w:t>‘extreme’ workload pressure. The ICP concluded there was no case to answer</w:t>
      </w:r>
      <w:r>
        <w:rPr>
          <w:rFonts w:ascii="Arial" w:hAnsi="Arial" w:cs="Arial"/>
          <w:sz w:val="24"/>
          <w:szCs w:val="24"/>
        </w:rPr>
        <w:t>, as the social worker was not individually responsible for organisational practice</w:t>
      </w:r>
      <w:r w:rsidR="000B697F">
        <w:rPr>
          <w:rFonts w:ascii="Arial" w:hAnsi="Arial" w:cs="Arial"/>
          <w:sz w:val="24"/>
          <w:szCs w:val="24"/>
        </w:rPr>
        <w:t>. (</w:t>
      </w:r>
      <w:r>
        <w:rPr>
          <w:rFonts w:ascii="Arial" w:hAnsi="Arial" w:cs="Arial"/>
          <w:sz w:val="24"/>
          <w:szCs w:val="24"/>
        </w:rPr>
        <w:t xml:space="preserve">case </w:t>
      </w:r>
      <w:r w:rsidR="000B697F">
        <w:rPr>
          <w:rFonts w:ascii="Arial" w:hAnsi="Arial" w:cs="Arial"/>
          <w:sz w:val="24"/>
          <w:szCs w:val="24"/>
        </w:rPr>
        <w:t xml:space="preserve">length: </w:t>
      </w:r>
      <w:r>
        <w:rPr>
          <w:rFonts w:ascii="Arial" w:hAnsi="Arial" w:cs="Arial"/>
          <w:sz w:val="24"/>
          <w:szCs w:val="24"/>
        </w:rPr>
        <w:t>12 months</w:t>
      </w:r>
      <w:r w:rsidR="000B697F">
        <w:rPr>
          <w:rFonts w:ascii="Arial" w:hAnsi="Arial" w:cs="Arial"/>
          <w:sz w:val="24"/>
          <w:szCs w:val="24"/>
        </w:rPr>
        <w:t>)</w:t>
      </w:r>
      <w:r>
        <w:rPr>
          <w:rFonts w:ascii="Arial" w:hAnsi="Arial" w:cs="Arial"/>
          <w:sz w:val="24"/>
          <w:szCs w:val="24"/>
        </w:rPr>
        <w:t xml:space="preserve"> </w:t>
      </w:r>
      <w:r w:rsidRPr="000C1702">
        <w:rPr>
          <w:rFonts w:ascii="Arial" w:hAnsi="Arial" w:cs="Arial"/>
          <w:sz w:val="24"/>
          <w:szCs w:val="24"/>
        </w:rPr>
        <w:t xml:space="preserve"> </w:t>
      </w:r>
    </w:p>
    <w:p w14:paraId="45F7B39A" w14:textId="77777777" w:rsidR="00590979" w:rsidRPr="007A3D8B" w:rsidRDefault="00590979" w:rsidP="009171F8">
      <w:pPr>
        <w:spacing w:line="360" w:lineRule="auto"/>
        <w:rPr>
          <w:rFonts w:ascii="Arial" w:hAnsi="Arial" w:cs="Arial"/>
          <w:b/>
          <w:i/>
          <w:sz w:val="24"/>
          <w:szCs w:val="24"/>
        </w:rPr>
      </w:pPr>
      <w:r w:rsidRPr="007A3D8B">
        <w:rPr>
          <w:rFonts w:ascii="Arial" w:hAnsi="Arial" w:cs="Arial"/>
          <w:b/>
          <w:i/>
          <w:sz w:val="24"/>
          <w:szCs w:val="24"/>
        </w:rPr>
        <w:t>Conduct issues</w:t>
      </w:r>
    </w:p>
    <w:p w14:paraId="4AB1F3A9" w14:textId="564D0D97" w:rsidR="00590979" w:rsidRPr="000C1702" w:rsidRDefault="00590979" w:rsidP="009171F8">
      <w:pPr>
        <w:spacing w:line="360" w:lineRule="auto"/>
        <w:rPr>
          <w:rFonts w:ascii="Arial" w:hAnsi="Arial" w:cs="Arial"/>
          <w:sz w:val="24"/>
          <w:szCs w:val="24"/>
        </w:rPr>
      </w:pPr>
      <w:r w:rsidRPr="00C55788">
        <w:rPr>
          <w:rFonts w:ascii="Arial" w:hAnsi="Arial" w:cs="Arial"/>
          <w:sz w:val="24"/>
          <w:szCs w:val="24"/>
        </w:rPr>
        <w:t>These fell into four categories: interpersonal</w:t>
      </w:r>
      <w:r w:rsidRPr="000C1702">
        <w:rPr>
          <w:rFonts w:ascii="Arial" w:hAnsi="Arial" w:cs="Arial"/>
          <w:sz w:val="24"/>
          <w:szCs w:val="24"/>
        </w:rPr>
        <w:t>/communication issues (9)</w:t>
      </w:r>
      <w:r>
        <w:rPr>
          <w:rFonts w:ascii="Arial" w:hAnsi="Arial" w:cs="Arial"/>
          <w:sz w:val="24"/>
          <w:szCs w:val="24"/>
        </w:rPr>
        <w:t>; b</w:t>
      </w:r>
      <w:r w:rsidRPr="000C1702">
        <w:rPr>
          <w:rFonts w:ascii="Arial" w:hAnsi="Arial" w:cs="Arial"/>
          <w:sz w:val="24"/>
          <w:szCs w:val="24"/>
        </w:rPr>
        <w:t>reaches of confidentiality (3)</w:t>
      </w:r>
      <w:r>
        <w:rPr>
          <w:rFonts w:ascii="Arial" w:hAnsi="Arial" w:cs="Arial"/>
          <w:sz w:val="24"/>
          <w:szCs w:val="24"/>
        </w:rPr>
        <w:t>; r</w:t>
      </w:r>
      <w:r w:rsidRPr="000C1702">
        <w:rPr>
          <w:rFonts w:ascii="Arial" w:hAnsi="Arial" w:cs="Arial"/>
          <w:sz w:val="24"/>
          <w:szCs w:val="24"/>
        </w:rPr>
        <w:t>egistration issue (1)</w:t>
      </w:r>
      <w:r>
        <w:rPr>
          <w:rFonts w:ascii="Arial" w:hAnsi="Arial" w:cs="Arial"/>
          <w:sz w:val="24"/>
          <w:szCs w:val="24"/>
        </w:rPr>
        <w:t>; d</w:t>
      </w:r>
      <w:r w:rsidRPr="000C1702">
        <w:rPr>
          <w:rFonts w:ascii="Arial" w:hAnsi="Arial" w:cs="Arial"/>
          <w:sz w:val="24"/>
          <w:szCs w:val="24"/>
        </w:rPr>
        <w:t>ishonesty (1)</w:t>
      </w:r>
    </w:p>
    <w:p w14:paraId="27DD76A2" w14:textId="5F63FE2B" w:rsidR="00590979" w:rsidRPr="000C1702" w:rsidRDefault="00590979" w:rsidP="009171F8">
      <w:pPr>
        <w:spacing w:line="360" w:lineRule="auto"/>
        <w:rPr>
          <w:rFonts w:ascii="Arial" w:hAnsi="Arial" w:cs="Arial"/>
          <w:sz w:val="24"/>
          <w:szCs w:val="24"/>
        </w:rPr>
      </w:pPr>
      <w:r w:rsidRPr="000C1702">
        <w:rPr>
          <w:rFonts w:ascii="Arial" w:hAnsi="Arial" w:cs="Arial"/>
          <w:sz w:val="24"/>
          <w:szCs w:val="24"/>
        </w:rPr>
        <w:t xml:space="preserve">Evidence of conflict with service users was apparent in some referrals categorised </w:t>
      </w:r>
      <w:r w:rsidR="00A62982">
        <w:rPr>
          <w:rFonts w:ascii="Arial" w:hAnsi="Arial" w:cs="Arial"/>
          <w:sz w:val="24"/>
          <w:szCs w:val="24"/>
        </w:rPr>
        <w:t>as</w:t>
      </w:r>
      <w:r w:rsidR="00A62982" w:rsidRPr="000C1702">
        <w:rPr>
          <w:rFonts w:ascii="Arial" w:hAnsi="Arial" w:cs="Arial"/>
          <w:sz w:val="24"/>
          <w:szCs w:val="24"/>
        </w:rPr>
        <w:t xml:space="preserve"> </w:t>
      </w:r>
      <w:r w:rsidRPr="000C1702">
        <w:rPr>
          <w:rFonts w:ascii="Arial" w:hAnsi="Arial" w:cs="Arial"/>
          <w:sz w:val="24"/>
          <w:szCs w:val="24"/>
        </w:rPr>
        <w:t xml:space="preserve">interpersonal/communication issues.  For example, </w:t>
      </w:r>
      <w:r>
        <w:rPr>
          <w:rFonts w:ascii="Arial" w:hAnsi="Arial" w:cs="Arial"/>
          <w:sz w:val="24"/>
          <w:szCs w:val="24"/>
        </w:rPr>
        <w:t xml:space="preserve">a </w:t>
      </w:r>
      <w:r w:rsidRPr="000C1702">
        <w:rPr>
          <w:rFonts w:ascii="Arial" w:hAnsi="Arial" w:cs="Arial"/>
          <w:sz w:val="24"/>
          <w:szCs w:val="24"/>
        </w:rPr>
        <w:t xml:space="preserve">service user alleged </w:t>
      </w:r>
      <w:r w:rsidR="0039620A">
        <w:rPr>
          <w:rFonts w:ascii="Arial" w:hAnsi="Arial" w:cs="Arial"/>
          <w:sz w:val="24"/>
          <w:szCs w:val="24"/>
        </w:rPr>
        <w:t xml:space="preserve">a </w:t>
      </w:r>
      <w:r w:rsidRPr="000C1702">
        <w:rPr>
          <w:rFonts w:ascii="Arial" w:hAnsi="Arial" w:cs="Arial"/>
          <w:sz w:val="24"/>
          <w:szCs w:val="24"/>
        </w:rPr>
        <w:t>social worker had been rude and dismissive towards them in a case conference. The social worker’s response revealed that, with hindsight, they ‘would not act in the same way should a similar situation arise’ and had undertaken further training in relation to this incident. There were also examples of disputes between managers and social workers, resulting in referral</w:t>
      </w:r>
      <w:r w:rsidR="0039620A">
        <w:rPr>
          <w:rFonts w:ascii="Arial" w:hAnsi="Arial" w:cs="Arial"/>
          <w:sz w:val="24"/>
          <w:szCs w:val="24"/>
        </w:rPr>
        <w:t>s</w:t>
      </w:r>
      <w:r w:rsidRPr="000C1702">
        <w:rPr>
          <w:rFonts w:ascii="Arial" w:hAnsi="Arial" w:cs="Arial"/>
          <w:sz w:val="24"/>
          <w:szCs w:val="24"/>
        </w:rPr>
        <w:t xml:space="preserve"> to HCPC. In one case, it was alleged the social worker had falsified assessment activities on the electronic record system. The social worker’s response included reference to lack of support by the manager, who allegedly encouraged this activity to prevent the service from breaching 28-day waiting targets for routine assessments. </w:t>
      </w:r>
    </w:p>
    <w:p w14:paraId="761CEF54" w14:textId="746EFCA4" w:rsidR="00590979" w:rsidRDefault="00590979" w:rsidP="009171F8">
      <w:pPr>
        <w:spacing w:line="360" w:lineRule="auto"/>
        <w:rPr>
          <w:rFonts w:ascii="Arial" w:hAnsi="Arial" w:cs="Arial"/>
          <w:sz w:val="24"/>
          <w:szCs w:val="24"/>
        </w:rPr>
      </w:pPr>
      <w:r w:rsidRPr="000C1702">
        <w:rPr>
          <w:rFonts w:ascii="Arial" w:hAnsi="Arial" w:cs="Arial"/>
          <w:sz w:val="24"/>
          <w:szCs w:val="24"/>
        </w:rPr>
        <w:t xml:space="preserve">Breaches of confidentiality cases included </w:t>
      </w:r>
      <w:r w:rsidR="009607BE">
        <w:rPr>
          <w:rFonts w:ascii="Arial" w:hAnsi="Arial" w:cs="Arial"/>
          <w:sz w:val="24"/>
          <w:szCs w:val="24"/>
        </w:rPr>
        <w:t xml:space="preserve">allegations </w:t>
      </w:r>
      <w:r w:rsidRPr="000C1702">
        <w:rPr>
          <w:rFonts w:ascii="Arial" w:hAnsi="Arial" w:cs="Arial"/>
          <w:sz w:val="24"/>
          <w:szCs w:val="24"/>
        </w:rPr>
        <w:t>by employer</w:t>
      </w:r>
      <w:r w:rsidR="009607BE">
        <w:rPr>
          <w:rFonts w:ascii="Arial" w:hAnsi="Arial" w:cs="Arial"/>
          <w:sz w:val="24"/>
          <w:szCs w:val="24"/>
        </w:rPr>
        <w:t>s</w:t>
      </w:r>
      <w:r w:rsidRPr="000C1702">
        <w:rPr>
          <w:rFonts w:ascii="Arial" w:hAnsi="Arial" w:cs="Arial"/>
          <w:sz w:val="24"/>
          <w:szCs w:val="24"/>
        </w:rPr>
        <w:t xml:space="preserve"> that social worker</w:t>
      </w:r>
      <w:r w:rsidR="00EF2A11">
        <w:rPr>
          <w:rFonts w:ascii="Arial" w:hAnsi="Arial" w:cs="Arial"/>
          <w:sz w:val="24"/>
          <w:szCs w:val="24"/>
        </w:rPr>
        <w:t>s</w:t>
      </w:r>
      <w:r w:rsidRPr="000C1702">
        <w:rPr>
          <w:rFonts w:ascii="Arial" w:hAnsi="Arial" w:cs="Arial"/>
          <w:sz w:val="24"/>
          <w:szCs w:val="24"/>
        </w:rPr>
        <w:t xml:space="preserve"> had left a work laptop open at the family home</w:t>
      </w:r>
      <w:r w:rsidR="009607BE">
        <w:rPr>
          <w:rFonts w:ascii="Arial" w:hAnsi="Arial" w:cs="Arial"/>
          <w:sz w:val="24"/>
          <w:szCs w:val="24"/>
        </w:rPr>
        <w:t xml:space="preserve">, and </w:t>
      </w:r>
      <w:r w:rsidRPr="000C1702">
        <w:rPr>
          <w:rFonts w:ascii="Arial" w:hAnsi="Arial" w:cs="Arial"/>
          <w:sz w:val="24"/>
          <w:szCs w:val="24"/>
        </w:rPr>
        <w:t>had shared a report containing sensitive information with service users. In th</w:t>
      </w:r>
      <w:r w:rsidR="009607BE">
        <w:rPr>
          <w:rFonts w:ascii="Arial" w:hAnsi="Arial" w:cs="Arial"/>
          <w:sz w:val="24"/>
          <w:szCs w:val="24"/>
        </w:rPr>
        <w:t>e latter</w:t>
      </w:r>
      <w:r w:rsidRPr="000C1702">
        <w:rPr>
          <w:rFonts w:ascii="Arial" w:hAnsi="Arial" w:cs="Arial"/>
          <w:sz w:val="24"/>
          <w:szCs w:val="24"/>
        </w:rPr>
        <w:t xml:space="preserve"> case, there was evidence of dysfunctional relationships between the social worker and their manage</w:t>
      </w:r>
      <w:r w:rsidR="0089498D">
        <w:rPr>
          <w:rFonts w:ascii="Arial" w:hAnsi="Arial" w:cs="Arial"/>
          <w:sz w:val="24"/>
          <w:szCs w:val="24"/>
        </w:rPr>
        <w:t xml:space="preserve">r </w:t>
      </w:r>
      <w:r w:rsidRPr="000C1702">
        <w:rPr>
          <w:rFonts w:ascii="Arial" w:hAnsi="Arial" w:cs="Arial"/>
          <w:sz w:val="24"/>
          <w:szCs w:val="24"/>
        </w:rPr>
        <w:t>and within the team.</w:t>
      </w:r>
    </w:p>
    <w:p w14:paraId="274D6756" w14:textId="3D9004A0" w:rsidR="00590979" w:rsidRDefault="00590979" w:rsidP="009171F8">
      <w:pPr>
        <w:spacing w:line="360" w:lineRule="auto"/>
        <w:rPr>
          <w:rFonts w:ascii="Arial" w:hAnsi="Arial" w:cs="Arial"/>
          <w:sz w:val="24"/>
          <w:szCs w:val="24"/>
        </w:rPr>
      </w:pPr>
      <w:r w:rsidRPr="00EA2EEA">
        <w:rPr>
          <w:rFonts w:ascii="Arial" w:hAnsi="Arial" w:cs="Arial"/>
          <w:sz w:val="24"/>
          <w:szCs w:val="24"/>
        </w:rPr>
        <w:t xml:space="preserve">The dishonesty case involved </w:t>
      </w:r>
      <w:r w:rsidR="009607BE">
        <w:rPr>
          <w:rFonts w:ascii="Arial" w:hAnsi="Arial" w:cs="Arial"/>
          <w:sz w:val="24"/>
          <w:szCs w:val="24"/>
        </w:rPr>
        <w:t xml:space="preserve">allegations </w:t>
      </w:r>
      <w:r>
        <w:rPr>
          <w:rFonts w:ascii="Arial" w:hAnsi="Arial" w:cs="Arial"/>
          <w:sz w:val="24"/>
          <w:szCs w:val="24"/>
        </w:rPr>
        <w:t xml:space="preserve">by an employer </w:t>
      </w:r>
      <w:r w:rsidR="009607BE">
        <w:rPr>
          <w:rFonts w:ascii="Arial" w:hAnsi="Arial" w:cs="Arial"/>
          <w:sz w:val="24"/>
          <w:szCs w:val="24"/>
        </w:rPr>
        <w:t>of</w:t>
      </w:r>
      <w:r w:rsidRPr="000C1702">
        <w:rPr>
          <w:rFonts w:ascii="Arial" w:hAnsi="Arial" w:cs="Arial"/>
          <w:sz w:val="24"/>
          <w:szCs w:val="24"/>
        </w:rPr>
        <w:t xml:space="preserve"> a social worker falsif</w:t>
      </w:r>
      <w:r>
        <w:rPr>
          <w:rFonts w:ascii="Arial" w:hAnsi="Arial" w:cs="Arial"/>
          <w:sz w:val="24"/>
          <w:szCs w:val="24"/>
        </w:rPr>
        <w:t>ying</w:t>
      </w:r>
      <w:r w:rsidRPr="000C1702">
        <w:rPr>
          <w:rFonts w:ascii="Arial" w:hAnsi="Arial" w:cs="Arial"/>
          <w:sz w:val="24"/>
          <w:szCs w:val="24"/>
        </w:rPr>
        <w:t xml:space="preserve"> assessment activity on electronic records</w:t>
      </w:r>
      <w:r w:rsidR="009607BE">
        <w:rPr>
          <w:rFonts w:ascii="Arial" w:hAnsi="Arial" w:cs="Arial"/>
          <w:sz w:val="24"/>
          <w:szCs w:val="24"/>
        </w:rPr>
        <w:t xml:space="preserve"> -</w:t>
      </w:r>
      <w:r w:rsidRPr="000C1702">
        <w:rPr>
          <w:rFonts w:ascii="Arial" w:hAnsi="Arial" w:cs="Arial"/>
          <w:sz w:val="24"/>
          <w:szCs w:val="24"/>
        </w:rPr>
        <w:t xml:space="preserve"> duplicating previous assessments as ‘new’.</w:t>
      </w:r>
      <w:r>
        <w:rPr>
          <w:rFonts w:ascii="Arial" w:hAnsi="Arial" w:cs="Arial"/>
          <w:sz w:val="24"/>
          <w:szCs w:val="24"/>
        </w:rPr>
        <w:t xml:space="preserve"> The social worker claimed the line manager encouraged this practice in order to meet targets.</w:t>
      </w:r>
      <w:r w:rsidRPr="000C1702">
        <w:rPr>
          <w:rFonts w:ascii="Arial" w:hAnsi="Arial" w:cs="Arial"/>
          <w:sz w:val="24"/>
          <w:szCs w:val="24"/>
        </w:rPr>
        <w:t xml:space="preserve"> </w:t>
      </w:r>
    </w:p>
    <w:p w14:paraId="656F64DC" w14:textId="148B1283" w:rsidR="00D85D3F" w:rsidRPr="00D85D3F" w:rsidRDefault="00D85D3F" w:rsidP="009171F8">
      <w:pPr>
        <w:spacing w:line="360" w:lineRule="auto"/>
        <w:rPr>
          <w:rFonts w:ascii="Arial" w:hAnsi="Arial" w:cs="Arial"/>
          <w:sz w:val="24"/>
          <w:szCs w:val="24"/>
        </w:rPr>
      </w:pPr>
      <w:r w:rsidRPr="00D85D3F">
        <w:rPr>
          <w:rFonts w:ascii="Arial" w:hAnsi="Arial" w:cs="Arial"/>
          <w:sz w:val="24"/>
          <w:szCs w:val="24"/>
        </w:rPr>
        <w:t>The registration issue concerned a social worker who had continu</w:t>
      </w:r>
      <w:r w:rsidR="00EF2A11">
        <w:rPr>
          <w:rFonts w:ascii="Arial" w:hAnsi="Arial" w:cs="Arial"/>
          <w:sz w:val="24"/>
          <w:szCs w:val="24"/>
        </w:rPr>
        <w:t>ed</w:t>
      </w:r>
      <w:r w:rsidR="00A81013" w:rsidRPr="00A81013">
        <w:rPr>
          <w:rFonts w:ascii="Arial" w:hAnsi="Arial" w:cs="Arial"/>
          <w:sz w:val="24"/>
          <w:szCs w:val="24"/>
        </w:rPr>
        <w:t xml:space="preserve"> </w:t>
      </w:r>
      <w:r w:rsidR="00A81013" w:rsidRPr="000C1702">
        <w:rPr>
          <w:rFonts w:ascii="Arial" w:hAnsi="Arial" w:cs="Arial"/>
          <w:sz w:val="24"/>
          <w:szCs w:val="24"/>
        </w:rPr>
        <w:t>under direction of the team manager</w:t>
      </w:r>
      <w:r w:rsidRPr="00D85D3F">
        <w:rPr>
          <w:rFonts w:ascii="Arial" w:hAnsi="Arial" w:cs="Arial"/>
          <w:sz w:val="24"/>
          <w:szCs w:val="24"/>
        </w:rPr>
        <w:t xml:space="preserve"> to practise without registration. The individual admitted wrongdoing, made it clear there was no intention to avoid registration, and took steps immediately to rectify this.  </w:t>
      </w:r>
    </w:p>
    <w:p w14:paraId="5F82235C" w14:textId="057DF378" w:rsidR="00590979" w:rsidRPr="000C1702" w:rsidRDefault="00590979" w:rsidP="009171F8">
      <w:pPr>
        <w:spacing w:line="360" w:lineRule="auto"/>
        <w:rPr>
          <w:rFonts w:ascii="Arial" w:hAnsi="Arial" w:cs="Arial"/>
          <w:b/>
          <w:bCs/>
          <w:sz w:val="24"/>
          <w:szCs w:val="24"/>
        </w:rPr>
      </w:pPr>
      <w:r>
        <w:rPr>
          <w:rFonts w:ascii="Arial" w:hAnsi="Arial" w:cs="Arial"/>
          <w:b/>
          <w:bCs/>
          <w:sz w:val="24"/>
          <w:szCs w:val="24"/>
        </w:rPr>
        <w:lastRenderedPageBreak/>
        <w:t>Findings relating to cases closed at f</w:t>
      </w:r>
      <w:r w:rsidRPr="000C1702">
        <w:rPr>
          <w:rFonts w:ascii="Arial" w:hAnsi="Arial" w:cs="Arial"/>
          <w:b/>
          <w:bCs/>
          <w:sz w:val="24"/>
          <w:szCs w:val="24"/>
        </w:rPr>
        <w:t xml:space="preserve">inal </w:t>
      </w:r>
      <w:r>
        <w:rPr>
          <w:rFonts w:ascii="Arial" w:hAnsi="Arial" w:cs="Arial"/>
          <w:b/>
          <w:bCs/>
          <w:sz w:val="24"/>
          <w:szCs w:val="24"/>
        </w:rPr>
        <w:t>h</w:t>
      </w:r>
      <w:r w:rsidRPr="000C1702">
        <w:rPr>
          <w:rFonts w:ascii="Arial" w:hAnsi="Arial" w:cs="Arial"/>
          <w:b/>
          <w:bCs/>
          <w:sz w:val="24"/>
          <w:szCs w:val="24"/>
        </w:rPr>
        <w:t xml:space="preserve">earings </w:t>
      </w:r>
      <w:r>
        <w:rPr>
          <w:rFonts w:ascii="Arial" w:hAnsi="Arial" w:cs="Arial"/>
          <w:b/>
          <w:bCs/>
          <w:sz w:val="24"/>
          <w:szCs w:val="24"/>
        </w:rPr>
        <w:t>s</w:t>
      </w:r>
      <w:r w:rsidRPr="000C1702">
        <w:rPr>
          <w:rFonts w:ascii="Arial" w:hAnsi="Arial" w:cs="Arial"/>
          <w:b/>
          <w:bCs/>
          <w:sz w:val="24"/>
          <w:szCs w:val="24"/>
        </w:rPr>
        <w:t>tage</w:t>
      </w:r>
    </w:p>
    <w:p w14:paraId="1E936773" w14:textId="650F3C76" w:rsidR="00590979" w:rsidRPr="00DB3294" w:rsidRDefault="00590979" w:rsidP="009171F8">
      <w:pPr>
        <w:spacing w:line="360" w:lineRule="auto"/>
        <w:rPr>
          <w:rFonts w:ascii="Arial" w:hAnsi="Arial" w:cs="Arial"/>
          <w:sz w:val="24"/>
          <w:szCs w:val="24"/>
        </w:rPr>
      </w:pPr>
      <w:r>
        <w:rPr>
          <w:rFonts w:ascii="Arial" w:hAnsi="Arial" w:cs="Arial"/>
          <w:sz w:val="24"/>
          <w:szCs w:val="24"/>
        </w:rPr>
        <w:t>A</w:t>
      </w:r>
      <w:r w:rsidRPr="000C1702">
        <w:rPr>
          <w:rFonts w:ascii="Arial" w:hAnsi="Arial" w:cs="Arial"/>
          <w:sz w:val="24"/>
          <w:szCs w:val="24"/>
        </w:rPr>
        <w:t>nalysis of 31 cases brought before HCPC panels found two broad typologies: competence and performance (18)</w:t>
      </w:r>
      <w:r>
        <w:rPr>
          <w:rFonts w:ascii="Arial" w:hAnsi="Arial" w:cs="Arial"/>
          <w:sz w:val="24"/>
          <w:szCs w:val="24"/>
        </w:rPr>
        <w:t xml:space="preserve"> and </w:t>
      </w:r>
      <w:r w:rsidRPr="008E1D9F">
        <w:rPr>
          <w:rFonts w:ascii="Arial" w:hAnsi="Arial" w:cs="Arial"/>
          <w:sz w:val="24"/>
          <w:szCs w:val="24"/>
        </w:rPr>
        <w:t>conduct and behaviour (12)</w:t>
      </w:r>
      <w:r>
        <w:rPr>
          <w:rFonts w:ascii="Arial" w:hAnsi="Arial" w:cs="Arial"/>
          <w:sz w:val="24"/>
          <w:szCs w:val="24"/>
        </w:rPr>
        <w:t>. There was one health-related case. These were the more serious cases, which, if proved, were judged to have a likelihood of a significant impact on the social worker’s fitness to practise, and hence on well-being of service users and members of the public. At final hearing</w:t>
      </w:r>
      <w:r w:rsidR="00B9593C">
        <w:rPr>
          <w:rFonts w:ascii="Arial" w:hAnsi="Arial" w:cs="Arial"/>
          <w:sz w:val="24"/>
          <w:szCs w:val="24"/>
        </w:rPr>
        <w:t>s</w:t>
      </w:r>
      <w:r>
        <w:rPr>
          <w:rFonts w:ascii="Arial" w:hAnsi="Arial" w:cs="Arial"/>
          <w:sz w:val="24"/>
          <w:szCs w:val="24"/>
        </w:rPr>
        <w:t xml:space="preserve">, if the facts are proved, misconduct/lack of competence/ill-health is found and fitness to practise judged to be impaired, then various sanctions can be applied, ranging from a caution order to being struck off the register. As shown in Table </w:t>
      </w:r>
      <w:r w:rsidR="00D85D3F">
        <w:rPr>
          <w:rFonts w:ascii="Arial" w:hAnsi="Arial" w:cs="Arial"/>
          <w:sz w:val="24"/>
          <w:szCs w:val="24"/>
        </w:rPr>
        <w:t>5</w:t>
      </w:r>
      <w:r>
        <w:rPr>
          <w:rFonts w:ascii="Arial" w:hAnsi="Arial" w:cs="Arial"/>
          <w:sz w:val="24"/>
          <w:szCs w:val="24"/>
        </w:rPr>
        <w:t>, o</w:t>
      </w:r>
      <w:r w:rsidRPr="00DB3294">
        <w:rPr>
          <w:rFonts w:ascii="Arial" w:hAnsi="Arial" w:cs="Arial"/>
          <w:sz w:val="24"/>
          <w:szCs w:val="24"/>
        </w:rPr>
        <w:t xml:space="preserve">f the 31 final hearing cases analysed, </w:t>
      </w:r>
      <w:r>
        <w:rPr>
          <w:rFonts w:ascii="Arial" w:hAnsi="Arial" w:cs="Arial"/>
          <w:sz w:val="24"/>
          <w:szCs w:val="24"/>
        </w:rPr>
        <w:t>sanctions were applied in 28 cases, with only three</w:t>
      </w:r>
      <w:r w:rsidRPr="00DB3294">
        <w:rPr>
          <w:rFonts w:ascii="Arial" w:hAnsi="Arial" w:cs="Arial"/>
          <w:sz w:val="24"/>
          <w:szCs w:val="24"/>
        </w:rPr>
        <w:t xml:space="preserve"> </w:t>
      </w:r>
      <w:r>
        <w:rPr>
          <w:rFonts w:ascii="Arial" w:hAnsi="Arial" w:cs="Arial"/>
          <w:sz w:val="24"/>
          <w:szCs w:val="24"/>
        </w:rPr>
        <w:t>cases</w:t>
      </w:r>
      <w:r w:rsidRPr="00DB3294">
        <w:rPr>
          <w:rFonts w:ascii="Arial" w:hAnsi="Arial" w:cs="Arial"/>
          <w:sz w:val="24"/>
          <w:szCs w:val="24"/>
        </w:rPr>
        <w:t xml:space="preserve"> judged </w:t>
      </w:r>
      <w:r>
        <w:rPr>
          <w:rFonts w:ascii="Arial" w:hAnsi="Arial" w:cs="Arial"/>
          <w:sz w:val="24"/>
          <w:szCs w:val="24"/>
        </w:rPr>
        <w:t>‘</w:t>
      </w:r>
      <w:r w:rsidRPr="00DB3294">
        <w:rPr>
          <w:rFonts w:ascii="Arial" w:hAnsi="Arial" w:cs="Arial"/>
          <w:sz w:val="24"/>
          <w:szCs w:val="24"/>
        </w:rPr>
        <w:t>not well</w:t>
      </w:r>
      <w:r w:rsidR="00B9593C">
        <w:rPr>
          <w:rFonts w:ascii="Arial" w:hAnsi="Arial" w:cs="Arial"/>
          <w:sz w:val="24"/>
          <w:szCs w:val="24"/>
        </w:rPr>
        <w:t>-</w:t>
      </w:r>
      <w:r w:rsidRPr="00DB3294">
        <w:rPr>
          <w:rFonts w:ascii="Arial" w:hAnsi="Arial" w:cs="Arial"/>
          <w:sz w:val="24"/>
          <w:szCs w:val="24"/>
        </w:rPr>
        <w:t>founded</w:t>
      </w:r>
      <w:r>
        <w:rPr>
          <w:rFonts w:ascii="Arial" w:hAnsi="Arial" w:cs="Arial"/>
          <w:sz w:val="24"/>
          <w:szCs w:val="24"/>
        </w:rPr>
        <w:t xml:space="preserve">’. </w:t>
      </w:r>
      <w:r w:rsidRPr="00DB3294">
        <w:rPr>
          <w:rFonts w:ascii="Arial" w:hAnsi="Arial" w:cs="Arial"/>
          <w:sz w:val="24"/>
          <w:szCs w:val="24"/>
        </w:rPr>
        <w:t xml:space="preserve"> </w:t>
      </w:r>
      <w:r>
        <w:rPr>
          <w:rFonts w:ascii="Arial" w:hAnsi="Arial" w:cs="Arial"/>
          <w:sz w:val="24"/>
          <w:szCs w:val="24"/>
        </w:rPr>
        <w:t>Nine</w:t>
      </w:r>
      <w:r w:rsidRPr="00DB3294">
        <w:rPr>
          <w:rFonts w:ascii="Arial" w:hAnsi="Arial" w:cs="Arial"/>
          <w:sz w:val="24"/>
          <w:szCs w:val="24"/>
        </w:rPr>
        <w:t xml:space="preserve"> social workers were struck off.</w:t>
      </w:r>
    </w:p>
    <w:p w14:paraId="17F47741" w14:textId="0A5123F9" w:rsidR="00590979" w:rsidRPr="00DB3294" w:rsidRDefault="00590979" w:rsidP="00C00C66">
      <w:pPr>
        <w:rPr>
          <w:rFonts w:ascii="Arial" w:hAnsi="Arial" w:cs="Arial"/>
          <w:b/>
          <w:sz w:val="24"/>
          <w:szCs w:val="24"/>
        </w:rPr>
      </w:pPr>
      <w:r w:rsidRPr="00DB3294">
        <w:rPr>
          <w:rFonts w:ascii="Arial" w:hAnsi="Arial" w:cs="Arial"/>
          <w:b/>
          <w:sz w:val="24"/>
          <w:szCs w:val="24"/>
        </w:rPr>
        <w:t xml:space="preserve">Table </w:t>
      </w:r>
      <w:r w:rsidR="0089498D">
        <w:rPr>
          <w:rFonts w:ascii="Arial" w:hAnsi="Arial" w:cs="Arial"/>
          <w:b/>
          <w:sz w:val="24"/>
          <w:szCs w:val="24"/>
        </w:rPr>
        <w:t>5</w:t>
      </w:r>
      <w:r w:rsidRPr="00DB3294">
        <w:rPr>
          <w:rFonts w:ascii="Arial" w:hAnsi="Arial" w:cs="Arial"/>
          <w:b/>
          <w:sz w:val="24"/>
          <w:szCs w:val="24"/>
        </w:rPr>
        <w:t xml:space="preserve">: Breakdown of sanctions at final hearings </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348"/>
      </w:tblGrid>
      <w:tr w:rsidR="00590979" w:rsidRPr="00DB3294" w14:paraId="20660558" w14:textId="77777777" w:rsidTr="00C00C66">
        <w:trPr>
          <w:trHeight w:val="566"/>
        </w:trPr>
        <w:tc>
          <w:tcPr>
            <w:tcW w:w="4281" w:type="dxa"/>
          </w:tcPr>
          <w:p w14:paraId="188FAF3D" w14:textId="77777777" w:rsidR="00590979" w:rsidRPr="00DB3294" w:rsidRDefault="00590979" w:rsidP="00C00C66">
            <w:pPr>
              <w:rPr>
                <w:rFonts w:ascii="Arial" w:hAnsi="Arial" w:cs="Arial"/>
                <w:b/>
                <w:sz w:val="24"/>
                <w:szCs w:val="24"/>
              </w:rPr>
            </w:pPr>
            <w:r w:rsidRPr="00DB3294">
              <w:rPr>
                <w:rFonts w:ascii="Arial" w:hAnsi="Arial" w:cs="Arial"/>
                <w:b/>
                <w:sz w:val="24"/>
                <w:szCs w:val="24"/>
              </w:rPr>
              <w:t>Sanction</w:t>
            </w:r>
          </w:p>
        </w:tc>
        <w:tc>
          <w:tcPr>
            <w:tcW w:w="2348" w:type="dxa"/>
          </w:tcPr>
          <w:p w14:paraId="5B427A98" w14:textId="77777777" w:rsidR="00590979" w:rsidRPr="00DB3294" w:rsidRDefault="00590979" w:rsidP="00C00C66">
            <w:pPr>
              <w:rPr>
                <w:rFonts w:ascii="Arial" w:hAnsi="Arial" w:cs="Arial"/>
                <w:b/>
                <w:sz w:val="24"/>
                <w:szCs w:val="24"/>
              </w:rPr>
            </w:pPr>
            <w:r w:rsidRPr="00DB3294">
              <w:rPr>
                <w:rFonts w:ascii="Arial" w:hAnsi="Arial" w:cs="Arial"/>
                <w:b/>
                <w:sz w:val="24"/>
                <w:szCs w:val="24"/>
              </w:rPr>
              <w:t xml:space="preserve">Number of cases </w:t>
            </w:r>
          </w:p>
        </w:tc>
      </w:tr>
      <w:tr w:rsidR="00590979" w:rsidRPr="00DB3294" w14:paraId="4C28245E" w14:textId="77777777" w:rsidTr="00C00C66">
        <w:trPr>
          <w:trHeight w:val="566"/>
        </w:trPr>
        <w:tc>
          <w:tcPr>
            <w:tcW w:w="4281" w:type="dxa"/>
          </w:tcPr>
          <w:p w14:paraId="04E7B892" w14:textId="77777777" w:rsidR="00590979" w:rsidRPr="00DB3294" w:rsidRDefault="00590979" w:rsidP="00C00C66">
            <w:pPr>
              <w:rPr>
                <w:rFonts w:ascii="Arial" w:hAnsi="Arial" w:cs="Arial"/>
                <w:sz w:val="24"/>
                <w:szCs w:val="24"/>
              </w:rPr>
            </w:pPr>
            <w:r w:rsidRPr="00DB3294">
              <w:rPr>
                <w:rFonts w:ascii="Arial" w:hAnsi="Arial" w:cs="Arial"/>
                <w:sz w:val="24"/>
                <w:szCs w:val="24"/>
              </w:rPr>
              <w:t xml:space="preserve">Struck </w:t>
            </w:r>
            <w:r>
              <w:rPr>
                <w:rFonts w:ascii="Arial" w:hAnsi="Arial" w:cs="Arial"/>
                <w:sz w:val="24"/>
                <w:szCs w:val="24"/>
              </w:rPr>
              <w:t>o</w:t>
            </w:r>
            <w:r w:rsidRPr="00DB3294">
              <w:rPr>
                <w:rFonts w:ascii="Arial" w:hAnsi="Arial" w:cs="Arial"/>
                <w:sz w:val="24"/>
                <w:szCs w:val="24"/>
              </w:rPr>
              <w:t xml:space="preserve">ff </w:t>
            </w:r>
          </w:p>
        </w:tc>
        <w:tc>
          <w:tcPr>
            <w:tcW w:w="2348" w:type="dxa"/>
          </w:tcPr>
          <w:p w14:paraId="48A063F9" w14:textId="77777777" w:rsidR="00590979" w:rsidRPr="00DB3294" w:rsidRDefault="00590979" w:rsidP="00C00C66">
            <w:pPr>
              <w:jc w:val="right"/>
              <w:rPr>
                <w:rFonts w:ascii="Arial" w:hAnsi="Arial" w:cs="Arial"/>
                <w:sz w:val="24"/>
                <w:szCs w:val="24"/>
              </w:rPr>
            </w:pPr>
            <w:r w:rsidRPr="00DB3294">
              <w:rPr>
                <w:rFonts w:ascii="Arial" w:hAnsi="Arial" w:cs="Arial"/>
                <w:sz w:val="24"/>
                <w:szCs w:val="24"/>
              </w:rPr>
              <w:t>9</w:t>
            </w:r>
          </w:p>
        </w:tc>
      </w:tr>
      <w:tr w:rsidR="00590979" w:rsidRPr="00DB3294" w14:paraId="35D61A66" w14:textId="77777777" w:rsidTr="00C00C66">
        <w:trPr>
          <w:trHeight w:val="566"/>
        </w:trPr>
        <w:tc>
          <w:tcPr>
            <w:tcW w:w="4281" w:type="dxa"/>
          </w:tcPr>
          <w:p w14:paraId="3B080CFB" w14:textId="77777777" w:rsidR="00590979" w:rsidRPr="00DB3294" w:rsidRDefault="00590979" w:rsidP="00C00C66">
            <w:pPr>
              <w:rPr>
                <w:rFonts w:ascii="Arial" w:hAnsi="Arial" w:cs="Arial"/>
                <w:sz w:val="24"/>
                <w:szCs w:val="24"/>
              </w:rPr>
            </w:pPr>
            <w:r w:rsidRPr="00DB3294">
              <w:rPr>
                <w:rFonts w:ascii="Arial" w:hAnsi="Arial" w:cs="Arial"/>
                <w:sz w:val="24"/>
                <w:szCs w:val="24"/>
              </w:rPr>
              <w:t>Suspended for 12 months</w:t>
            </w:r>
            <w:r>
              <w:rPr>
                <w:rFonts w:ascii="Arial" w:hAnsi="Arial" w:cs="Arial"/>
                <w:sz w:val="24"/>
                <w:szCs w:val="24"/>
              </w:rPr>
              <w:t xml:space="preserve"> *</w:t>
            </w:r>
          </w:p>
        </w:tc>
        <w:tc>
          <w:tcPr>
            <w:tcW w:w="2348" w:type="dxa"/>
          </w:tcPr>
          <w:p w14:paraId="3EE6C310" w14:textId="77777777" w:rsidR="00590979" w:rsidRPr="00DB3294" w:rsidRDefault="00590979" w:rsidP="00C00C66">
            <w:pPr>
              <w:jc w:val="right"/>
              <w:rPr>
                <w:rFonts w:ascii="Arial" w:hAnsi="Arial" w:cs="Arial"/>
                <w:sz w:val="24"/>
                <w:szCs w:val="24"/>
              </w:rPr>
            </w:pPr>
            <w:r w:rsidRPr="00DB3294">
              <w:rPr>
                <w:rFonts w:ascii="Arial" w:hAnsi="Arial" w:cs="Arial"/>
                <w:sz w:val="24"/>
                <w:szCs w:val="24"/>
              </w:rPr>
              <w:t>9</w:t>
            </w:r>
          </w:p>
        </w:tc>
      </w:tr>
      <w:tr w:rsidR="00590979" w:rsidRPr="00DB3294" w14:paraId="499ACF13" w14:textId="77777777" w:rsidTr="00C00C66">
        <w:trPr>
          <w:trHeight w:val="566"/>
        </w:trPr>
        <w:tc>
          <w:tcPr>
            <w:tcW w:w="4281" w:type="dxa"/>
          </w:tcPr>
          <w:p w14:paraId="71BF8FDF" w14:textId="77777777" w:rsidR="00590979" w:rsidRPr="00DB3294" w:rsidRDefault="00590979" w:rsidP="00C00C66">
            <w:pPr>
              <w:rPr>
                <w:rFonts w:ascii="Arial" w:hAnsi="Arial" w:cs="Arial"/>
                <w:sz w:val="24"/>
                <w:szCs w:val="24"/>
              </w:rPr>
            </w:pPr>
            <w:r w:rsidRPr="00DB3294">
              <w:rPr>
                <w:rFonts w:ascii="Arial" w:hAnsi="Arial" w:cs="Arial"/>
                <w:sz w:val="24"/>
                <w:szCs w:val="24"/>
              </w:rPr>
              <w:t>Conditions of Practice for 6 months</w:t>
            </w:r>
            <w:r>
              <w:rPr>
                <w:rFonts w:ascii="Arial" w:hAnsi="Arial" w:cs="Arial"/>
                <w:sz w:val="24"/>
                <w:szCs w:val="24"/>
              </w:rPr>
              <w:t>**</w:t>
            </w:r>
          </w:p>
        </w:tc>
        <w:tc>
          <w:tcPr>
            <w:tcW w:w="2348" w:type="dxa"/>
          </w:tcPr>
          <w:p w14:paraId="5CFF4F87" w14:textId="77777777" w:rsidR="00590979" w:rsidRPr="00DB3294" w:rsidRDefault="00590979" w:rsidP="00C00C66">
            <w:pPr>
              <w:jc w:val="right"/>
              <w:rPr>
                <w:rFonts w:ascii="Arial" w:hAnsi="Arial" w:cs="Arial"/>
                <w:sz w:val="24"/>
                <w:szCs w:val="24"/>
              </w:rPr>
            </w:pPr>
            <w:r w:rsidRPr="00DB3294">
              <w:rPr>
                <w:rFonts w:ascii="Arial" w:hAnsi="Arial" w:cs="Arial"/>
                <w:sz w:val="24"/>
                <w:szCs w:val="24"/>
              </w:rPr>
              <w:t>4</w:t>
            </w:r>
          </w:p>
        </w:tc>
      </w:tr>
      <w:tr w:rsidR="00590979" w:rsidRPr="00DB3294" w14:paraId="463FC67B" w14:textId="77777777" w:rsidTr="00C00C66">
        <w:trPr>
          <w:trHeight w:val="566"/>
        </w:trPr>
        <w:tc>
          <w:tcPr>
            <w:tcW w:w="4281" w:type="dxa"/>
          </w:tcPr>
          <w:p w14:paraId="5306EE5B" w14:textId="77777777" w:rsidR="00590979" w:rsidRPr="00DB3294" w:rsidRDefault="00590979" w:rsidP="00C00C66">
            <w:pPr>
              <w:rPr>
                <w:rFonts w:ascii="Arial" w:hAnsi="Arial" w:cs="Arial"/>
                <w:sz w:val="24"/>
                <w:szCs w:val="24"/>
              </w:rPr>
            </w:pPr>
            <w:r w:rsidRPr="00DB3294">
              <w:rPr>
                <w:rFonts w:ascii="Arial" w:hAnsi="Arial" w:cs="Arial"/>
                <w:sz w:val="24"/>
                <w:szCs w:val="24"/>
              </w:rPr>
              <w:t>Caution Order</w:t>
            </w:r>
            <w:r>
              <w:rPr>
                <w:rFonts w:ascii="Arial" w:hAnsi="Arial" w:cs="Arial"/>
                <w:sz w:val="24"/>
                <w:szCs w:val="24"/>
              </w:rPr>
              <w:t xml:space="preserve"> ***</w:t>
            </w:r>
          </w:p>
        </w:tc>
        <w:tc>
          <w:tcPr>
            <w:tcW w:w="2348" w:type="dxa"/>
          </w:tcPr>
          <w:p w14:paraId="4BF30CD3" w14:textId="77777777" w:rsidR="00590979" w:rsidRPr="00DB3294" w:rsidRDefault="00590979" w:rsidP="00C00C66">
            <w:pPr>
              <w:jc w:val="right"/>
              <w:rPr>
                <w:rFonts w:ascii="Arial" w:hAnsi="Arial" w:cs="Arial"/>
                <w:sz w:val="24"/>
                <w:szCs w:val="24"/>
              </w:rPr>
            </w:pPr>
            <w:r w:rsidRPr="00DB3294">
              <w:rPr>
                <w:rFonts w:ascii="Arial" w:hAnsi="Arial" w:cs="Arial"/>
                <w:sz w:val="24"/>
                <w:szCs w:val="24"/>
              </w:rPr>
              <w:t>6</w:t>
            </w:r>
          </w:p>
        </w:tc>
      </w:tr>
      <w:tr w:rsidR="00590979" w:rsidRPr="00DB3294" w14:paraId="368A3C25" w14:textId="77777777" w:rsidTr="00C00C66">
        <w:trPr>
          <w:trHeight w:val="566"/>
        </w:trPr>
        <w:tc>
          <w:tcPr>
            <w:tcW w:w="4281" w:type="dxa"/>
          </w:tcPr>
          <w:p w14:paraId="17AE2FA2" w14:textId="4166646E" w:rsidR="00590979" w:rsidRPr="00DB3294" w:rsidRDefault="00590979" w:rsidP="00B9593C">
            <w:pPr>
              <w:rPr>
                <w:rFonts w:ascii="Arial" w:hAnsi="Arial" w:cs="Arial"/>
                <w:sz w:val="24"/>
                <w:szCs w:val="24"/>
              </w:rPr>
            </w:pPr>
            <w:r w:rsidRPr="00DB3294">
              <w:rPr>
                <w:rFonts w:ascii="Arial" w:hAnsi="Arial" w:cs="Arial"/>
                <w:sz w:val="24"/>
                <w:szCs w:val="24"/>
              </w:rPr>
              <w:t>Not well</w:t>
            </w:r>
            <w:r w:rsidR="00B9593C">
              <w:rPr>
                <w:rFonts w:ascii="Arial" w:hAnsi="Arial" w:cs="Arial"/>
                <w:sz w:val="24"/>
                <w:szCs w:val="24"/>
              </w:rPr>
              <w:t>-</w:t>
            </w:r>
            <w:r w:rsidRPr="00DB3294">
              <w:rPr>
                <w:rFonts w:ascii="Arial" w:hAnsi="Arial" w:cs="Arial"/>
                <w:sz w:val="24"/>
                <w:szCs w:val="24"/>
              </w:rPr>
              <w:t>founded</w:t>
            </w:r>
            <w:r w:rsidRPr="00DB3294">
              <w:rPr>
                <w:rFonts w:ascii="Arial" w:hAnsi="Arial" w:cs="Arial"/>
                <w:sz w:val="24"/>
                <w:szCs w:val="24"/>
              </w:rPr>
              <w:tab/>
            </w:r>
          </w:p>
        </w:tc>
        <w:tc>
          <w:tcPr>
            <w:tcW w:w="2348" w:type="dxa"/>
          </w:tcPr>
          <w:p w14:paraId="10661041" w14:textId="77777777" w:rsidR="00590979" w:rsidRPr="00DB3294" w:rsidRDefault="00590979" w:rsidP="00C00C66">
            <w:pPr>
              <w:jc w:val="right"/>
              <w:rPr>
                <w:rFonts w:ascii="Arial" w:hAnsi="Arial" w:cs="Arial"/>
                <w:sz w:val="24"/>
                <w:szCs w:val="24"/>
              </w:rPr>
            </w:pPr>
            <w:r w:rsidRPr="00DB3294">
              <w:rPr>
                <w:rFonts w:ascii="Arial" w:hAnsi="Arial" w:cs="Arial"/>
                <w:sz w:val="24"/>
                <w:szCs w:val="24"/>
              </w:rPr>
              <w:t>3</w:t>
            </w:r>
          </w:p>
        </w:tc>
      </w:tr>
    </w:tbl>
    <w:p w14:paraId="7032298F" w14:textId="3661B365" w:rsidR="00590979" w:rsidRPr="00DB3294" w:rsidRDefault="00590979" w:rsidP="00C00C66">
      <w:pPr>
        <w:spacing w:after="0"/>
        <w:rPr>
          <w:rFonts w:ascii="Arial" w:hAnsi="Arial" w:cs="Arial"/>
          <w:sz w:val="24"/>
          <w:szCs w:val="24"/>
        </w:rPr>
      </w:pPr>
      <w:r w:rsidRPr="00DB3294">
        <w:rPr>
          <w:rFonts w:ascii="Arial" w:hAnsi="Arial" w:cs="Arial"/>
          <w:sz w:val="24"/>
          <w:szCs w:val="24"/>
        </w:rPr>
        <w:t>* 4 later struck off</w:t>
      </w:r>
    </w:p>
    <w:p w14:paraId="4F715626" w14:textId="10279785" w:rsidR="00590979" w:rsidRPr="00DB3294" w:rsidRDefault="00590979" w:rsidP="00C00C66">
      <w:pPr>
        <w:spacing w:after="0"/>
        <w:rPr>
          <w:rFonts w:ascii="Arial" w:hAnsi="Arial" w:cs="Arial"/>
          <w:sz w:val="24"/>
          <w:szCs w:val="24"/>
        </w:rPr>
      </w:pPr>
      <w:r w:rsidRPr="00DB3294">
        <w:rPr>
          <w:rFonts w:ascii="Arial" w:hAnsi="Arial" w:cs="Arial"/>
          <w:sz w:val="24"/>
          <w:szCs w:val="24"/>
        </w:rPr>
        <w:t xml:space="preserve">** 1 </w:t>
      </w:r>
      <w:r w:rsidR="00B9593C">
        <w:rPr>
          <w:rFonts w:ascii="Arial" w:hAnsi="Arial" w:cs="Arial"/>
          <w:sz w:val="24"/>
          <w:szCs w:val="24"/>
        </w:rPr>
        <w:t>l</w:t>
      </w:r>
      <w:r w:rsidRPr="00DB3294">
        <w:rPr>
          <w:rFonts w:ascii="Arial" w:hAnsi="Arial" w:cs="Arial"/>
          <w:sz w:val="24"/>
          <w:szCs w:val="24"/>
        </w:rPr>
        <w:t>ater struck off</w:t>
      </w:r>
    </w:p>
    <w:p w14:paraId="4A02CBBE" w14:textId="77777777" w:rsidR="00590979" w:rsidRPr="00DB3294" w:rsidRDefault="00590979" w:rsidP="00C00C66">
      <w:pPr>
        <w:spacing w:after="0"/>
        <w:rPr>
          <w:rFonts w:ascii="Arial" w:hAnsi="Arial" w:cs="Arial"/>
          <w:sz w:val="24"/>
          <w:szCs w:val="24"/>
        </w:rPr>
      </w:pPr>
      <w:r w:rsidRPr="00DB3294">
        <w:rPr>
          <w:rFonts w:ascii="Arial" w:hAnsi="Arial" w:cs="Arial"/>
          <w:sz w:val="24"/>
          <w:szCs w:val="24"/>
        </w:rPr>
        <w:t>*** Caution orders can remain on the register for different lengths of time</w:t>
      </w:r>
    </w:p>
    <w:p w14:paraId="684F0CFD" w14:textId="77777777" w:rsidR="00590979" w:rsidRDefault="00590979" w:rsidP="00C00C66">
      <w:pPr>
        <w:rPr>
          <w:rFonts w:ascii="Arial" w:hAnsi="Arial" w:cs="Arial"/>
          <w:b/>
          <w:i/>
          <w:sz w:val="24"/>
          <w:szCs w:val="24"/>
        </w:rPr>
      </w:pPr>
    </w:p>
    <w:p w14:paraId="3BB2455D" w14:textId="77777777" w:rsidR="00590979" w:rsidRPr="00DB3294" w:rsidRDefault="00590979" w:rsidP="009171F8">
      <w:pPr>
        <w:spacing w:line="360" w:lineRule="auto"/>
        <w:rPr>
          <w:rFonts w:ascii="Arial" w:hAnsi="Arial" w:cs="Arial"/>
          <w:b/>
          <w:i/>
          <w:sz w:val="24"/>
          <w:szCs w:val="24"/>
        </w:rPr>
      </w:pPr>
      <w:r>
        <w:rPr>
          <w:rFonts w:ascii="Arial" w:hAnsi="Arial" w:cs="Arial"/>
          <w:b/>
          <w:i/>
          <w:sz w:val="24"/>
          <w:szCs w:val="24"/>
        </w:rPr>
        <w:t>C</w:t>
      </w:r>
      <w:r w:rsidRPr="00DB3294">
        <w:rPr>
          <w:rFonts w:ascii="Arial" w:hAnsi="Arial" w:cs="Arial"/>
          <w:b/>
          <w:i/>
          <w:sz w:val="24"/>
          <w:szCs w:val="24"/>
        </w:rPr>
        <w:t>ompetence and performance (18 cases)</w:t>
      </w:r>
    </w:p>
    <w:p w14:paraId="411BD980" w14:textId="77777777" w:rsidR="00590979" w:rsidRDefault="00590979" w:rsidP="009171F8">
      <w:pPr>
        <w:spacing w:line="360" w:lineRule="auto"/>
        <w:rPr>
          <w:rFonts w:ascii="Arial" w:hAnsi="Arial" w:cs="Arial"/>
          <w:sz w:val="24"/>
          <w:szCs w:val="24"/>
        </w:rPr>
      </w:pPr>
      <w:r w:rsidRPr="00DB3294">
        <w:rPr>
          <w:rFonts w:ascii="Arial" w:hAnsi="Arial" w:cs="Arial"/>
          <w:sz w:val="24"/>
          <w:szCs w:val="24"/>
        </w:rPr>
        <w:t>Competence and performance cases included</w:t>
      </w:r>
      <w:r>
        <w:rPr>
          <w:rFonts w:ascii="Arial" w:hAnsi="Arial" w:cs="Arial"/>
          <w:sz w:val="24"/>
          <w:szCs w:val="24"/>
        </w:rPr>
        <w:t xml:space="preserve">: </w:t>
      </w:r>
      <w:r w:rsidRPr="00DB3294">
        <w:rPr>
          <w:rFonts w:ascii="Arial" w:hAnsi="Arial" w:cs="Arial"/>
          <w:sz w:val="24"/>
          <w:szCs w:val="24"/>
        </w:rPr>
        <w:t>serial failure</w:t>
      </w:r>
      <w:r>
        <w:rPr>
          <w:rFonts w:ascii="Arial" w:hAnsi="Arial" w:cs="Arial"/>
          <w:sz w:val="24"/>
          <w:szCs w:val="24"/>
        </w:rPr>
        <w:t>s in performance;</w:t>
      </w:r>
      <w:r w:rsidRPr="00DB3294">
        <w:rPr>
          <w:rFonts w:ascii="Arial" w:hAnsi="Arial" w:cs="Arial"/>
          <w:sz w:val="24"/>
          <w:szCs w:val="24"/>
        </w:rPr>
        <w:t xml:space="preserve"> </w:t>
      </w:r>
      <w:r>
        <w:rPr>
          <w:rFonts w:ascii="Arial" w:hAnsi="Arial" w:cs="Arial"/>
          <w:sz w:val="24"/>
          <w:szCs w:val="24"/>
        </w:rPr>
        <w:t xml:space="preserve">one-off failures; and breaches of confidentiality. </w:t>
      </w:r>
    </w:p>
    <w:p w14:paraId="6473DFBC" w14:textId="7E574AAB" w:rsidR="00590979" w:rsidRPr="00DB3294" w:rsidRDefault="00590979" w:rsidP="009171F8">
      <w:pPr>
        <w:spacing w:line="360" w:lineRule="auto"/>
        <w:rPr>
          <w:rFonts w:ascii="Arial" w:hAnsi="Arial" w:cs="Arial"/>
          <w:sz w:val="24"/>
          <w:szCs w:val="24"/>
        </w:rPr>
      </w:pPr>
      <w:r>
        <w:rPr>
          <w:rFonts w:ascii="Arial" w:hAnsi="Arial" w:cs="Arial"/>
          <w:sz w:val="24"/>
          <w:szCs w:val="24"/>
        </w:rPr>
        <w:t xml:space="preserve">Serial failures included failure </w:t>
      </w:r>
      <w:r w:rsidRPr="00DB3294">
        <w:rPr>
          <w:rFonts w:ascii="Arial" w:hAnsi="Arial" w:cs="Arial"/>
          <w:sz w:val="24"/>
          <w:szCs w:val="24"/>
        </w:rPr>
        <w:t>to</w:t>
      </w:r>
      <w:r>
        <w:rPr>
          <w:rFonts w:ascii="Arial" w:hAnsi="Arial" w:cs="Arial"/>
          <w:sz w:val="24"/>
          <w:szCs w:val="24"/>
        </w:rPr>
        <w:t xml:space="preserve">: </w:t>
      </w:r>
      <w:r w:rsidRPr="00DB3294">
        <w:rPr>
          <w:rFonts w:ascii="Arial" w:hAnsi="Arial" w:cs="Arial"/>
          <w:sz w:val="24"/>
          <w:szCs w:val="24"/>
        </w:rPr>
        <w:t>keep adequate records, undertake appropriate assessments, manage deadlines, use IT systems, follow up risk assessments, and follow safeguarding and other protocols, some of which put service users at risk and demonstrated serial instances of inadequate care and administrative failings.</w:t>
      </w:r>
    </w:p>
    <w:p w14:paraId="4C5B2023" w14:textId="07FCE19E" w:rsidR="00590979" w:rsidRPr="00DB3294" w:rsidRDefault="00590979" w:rsidP="009171F8">
      <w:pPr>
        <w:spacing w:line="360" w:lineRule="auto"/>
        <w:ind w:left="720"/>
        <w:rPr>
          <w:rFonts w:ascii="Arial" w:hAnsi="Arial" w:cs="Arial"/>
          <w:b/>
          <w:sz w:val="24"/>
          <w:szCs w:val="24"/>
        </w:rPr>
      </w:pPr>
      <w:r w:rsidRPr="00DB3294">
        <w:rPr>
          <w:rFonts w:ascii="Arial" w:hAnsi="Arial" w:cs="Arial"/>
          <w:b/>
          <w:sz w:val="24"/>
          <w:szCs w:val="24"/>
        </w:rPr>
        <w:lastRenderedPageBreak/>
        <w:t xml:space="preserve">Case </w:t>
      </w:r>
      <w:r>
        <w:rPr>
          <w:rFonts w:ascii="Arial" w:hAnsi="Arial" w:cs="Arial"/>
          <w:b/>
          <w:sz w:val="24"/>
          <w:szCs w:val="24"/>
        </w:rPr>
        <w:t xml:space="preserve">5 </w:t>
      </w:r>
    </w:p>
    <w:p w14:paraId="5EECCDAF" w14:textId="41215346" w:rsidR="00590979" w:rsidRPr="00DB3294" w:rsidRDefault="00EB632A" w:rsidP="009171F8">
      <w:pPr>
        <w:spacing w:line="360" w:lineRule="auto"/>
        <w:ind w:left="720"/>
        <w:rPr>
          <w:rFonts w:ascii="Arial" w:hAnsi="Arial" w:cs="Arial"/>
          <w:sz w:val="24"/>
          <w:szCs w:val="24"/>
        </w:rPr>
      </w:pPr>
      <w:r>
        <w:rPr>
          <w:rFonts w:ascii="Arial" w:hAnsi="Arial" w:cs="Arial"/>
          <w:sz w:val="24"/>
          <w:szCs w:val="24"/>
        </w:rPr>
        <w:t xml:space="preserve">An </w:t>
      </w:r>
      <w:r w:rsidRPr="00EB632A">
        <w:rPr>
          <w:rFonts w:ascii="Arial" w:hAnsi="Arial" w:cs="Arial"/>
          <w:sz w:val="24"/>
          <w:szCs w:val="24"/>
        </w:rPr>
        <w:t xml:space="preserve">employer </w:t>
      </w:r>
      <w:r>
        <w:rPr>
          <w:rFonts w:ascii="Arial" w:hAnsi="Arial" w:cs="Arial"/>
          <w:sz w:val="24"/>
          <w:szCs w:val="24"/>
        </w:rPr>
        <w:t>referred a</w:t>
      </w:r>
      <w:r w:rsidR="00590979" w:rsidRPr="00DB3294">
        <w:rPr>
          <w:rFonts w:ascii="Arial" w:hAnsi="Arial" w:cs="Arial"/>
          <w:sz w:val="24"/>
          <w:szCs w:val="24"/>
        </w:rPr>
        <w:t xml:space="preserve"> social worker to HCPC. This complex case involved three</w:t>
      </w:r>
      <w:r w:rsidR="00590979">
        <w:rPr>
          <w:rFonts w:ascii="Arial" w:hAnsi="Arial" w:cs="Arial"/>
          <w:sz w:val="24"/>
          <w:szCs w:val="24"/>
        </w:rPr>
        <w:t xml:space="preserve"> child protection </w:t>
      </w:r>
      <w:r w:rsidR="00590979" w:rsidRPr="00DB3294">
        <w:rPr>
          <w:rFonts w:ascii="Arial" w:hAnsi="Arial" w:cs="Arial"/>
          <w:sz w:val="24"/>
          <w:szCs w:val="24"/>
        </w:rPr>
        <w:t xml:space="preserve">social workers. Serious concerns were raised </w:t>
      </w:r>
      <w:r w:rsidR="009607BE">
        <w:rPr>
          <w:rFonts w:ascii="Arial" w:hAnsi="Arial" w:cs="Arial"/>
          <w:sz w:val="24"/>
          <w:szCs w:val="24"/>
        </w:rPr>
        <w:t xml:space="preserve">regarding </w:t>
      </w:r>
      <w:r w:rsidR="00590979" w:rsidRPr="00DB3294">
        <w:rPr>
          <w:rFonts w:ascii="Arial" w:hAnsi="Arial" w:cs="Arial"/>
          <w:sz w:val="24"/>
          <w:szCs w:val="24"/>
        </w:rPr>
        <w:t>the</w:t>
      </w:r>
      <w:r w:rsidR="00AE2117">
        <w:rPr>
          <w:rFonts w:ascii="Arial" w:hAnsi="Arial" w:cs="Arial"/>
          <w:sz w:val="24"/>
          <w:szCs w:val="24"/>
        </w:rPr>
        <w:t>se</w:t>
      </w:r>
      <w:r w:rsidR="00590979" w:rsidRPr="00DB3294">
        <w:rPr>
          <w:rFonts w:ascii="Arial" w:hAnsi="Arial" w:cs="Arial"/>
          <w:sz w:val="24"/>
          <w:szCs w:val="24"/>
        </w:rPr>
        <w:t xml:space="preserve"> social workers</w:t>
      </w:r>
      <w:r w:rsidR="00AE2117">
        <w:rPr>
          <w:rFonts w:ascii="Arial" w:hAnsi="Arial" w:cs="Arial"/>
          <w:sz w:val="24"/>
          <w:szCs w:val="24"/>
        </w:rPr>
        <w:t>’</w:t>
      </w:r>
      <w:r w:rsidR="00590979" w:rsidRPr="00DB3294">
        <w:rPr>
          <w:rFonts w:ascii="Arial" w:hAnsi="Arial" w:cs="Arial"/>
          <w:sz w:val="24"/>
          <w:szCs w:val="24"/>
        </w:rPr>
        <w:t xml:space="preserve"> practice over a two</w:t>
      </w:r>
      <w:r w:rsidR="00590979">
        <w:rPr>
          <w:rFonts w:ascii="Arial" w:hAnsi="Arial" w:cs="Arial"/>
          <w:sz w:val="24"/>
          <w:szCs w:val="24"/>
        </w:rPr>
        <w:t>-</w:t>
      </w:r>
      <w:r w:rsidR="00590979" w:rsidRPr="00DB3294">
        <w:rPr>
          <w:rFonts w:ascii="Arial" w:hAnsi="Arial" w:cs="Arial"/>
          <w:sz w:val="24"/>
          <w:szCs w:val="24"/>
        </w:rPr>
        <w:t xml:space="preserve">year period </w:t>
      </w:r>
      <w:r>
        <w:rPr>
          <w:rFonts w:ascii="Arial" w:hAnsi="Arial" w:cs="Arial"/>
          <w:sz w:val="24"/>
          <w:szCs w:val="24"/>
        </w:rPr>
        <w:t xml:space="preserve">about </w:t>
      </w:r>
      <w:r w:rsidR="00590979" w:rsidRPr="00DB3294">
        <w:rPr>
          <w:rFonts w:ascii="Arial" w:hAnsi="Arial" w:cs="Arial"/>
          <w:sz w:val="24"/>
          <w:szCs w:val="24"/>
        </w:rPr>
        <w:t>three specific child care cases</w:t>
      </w:r>
      <w:r w:rsidR="00590979">
        <w:rPr>
          <w:rFonts w:ascii="Arial" w:hAnsi="Arial" w:cs="Arial"/>
          <w:sz w:val="24"/>
          <w:szCs w:val="24"/>
        </w:rPr>
        <w:t>,</w:t>
      </w:r>
      <w:r w:rsidR="00590979" w:rsidRPr="00DB3294">
        <w:rPr>
          <w:rFonts w:ascii="Arial" w:hAnsi="Arial" w:cs="Arial"/>
          <w:sz w:val="24"/>
          <w:szCs w:val="24"/>
        </w:rPr>
        <w:t xml:space="preserve"> where a child was put at risk of harm because child protection procedures were not initiated in a timely manner</w:t>
      </w:r>
      <w:r w:rsidR="009607BE">
        <w:rPr>
          <w:rFonts w:ascii="Arial" w:hAnsi="Arial" w:cs="Arial"/>
          <w:sz w:val="24"/>
          <w:szCs w:val="24"/>
        </w:rPr>
        <w:t>;</w:t>
      </w:r>
      <w:r w:rsidR="00590979" w:rsidRPr="00DB3294">
        <w:rPr>
          <w:rFonts w:ascii="Arial" w:hAnsi="Arial" w:cs="Arial"/>
          <w:sz w:val="24"/>
          <w:szCs w:val="24"/>
        </w:rPr>
        <w:t xml:space="preserve"> an allegation of sexual abuse against another child was not investigated</w:t>
      </w:r>
      <w:r w:rsidR="009607BE">
        <w:rPr>
          <w:rFonts w:ascii="Arial" w:hAnsi="Arial" w:cs="Arial"/>
          <w:sz w:val="24"/>
          <w:szCs w:val="24"/>
        </w:rPr>
        <w:t>;</w:t>
      </w:r>
      <w:r w:rsidR="00590979" w:rsidRPr="00DB3294">
        <w:rPr>
          <w:rFonts w:ascii="Arial" w:hAnsi="Arial" w:cs="Arial"/>
          <w:sz w:val="24"/>
          <w:szCs w:val="24"/>
        </w:rPr>
        <w:t xml:space="preserve"> and care proceedings were not initiated for another child who had been referred with possible non-accidental injury. Due to the serious </w:t>
      </w:r>
      <w:r>
        <w:rPr>
          <w:rFonts w:ascii="Arial" w:hAnsi="Arial" w:cs="Arial"/>
          <w:sz w:val="24"/>
          <w:szCs w:val="24"/>
        </w:rPr>
        <w:t xml:space="preserve">and </w:t>
      </w:r>
      <w:r w:rsidR="00590979" w:rsidRPr="00DB3294">
        <w:rPr>
          <w:rFonts w:ascii="Arial" w:hAnsi="Arial" w:cs="Arial"/>
          <w:sz w:val="24"/>
          <w:szCs w:val="24"/>
        </w:rPr>
        <w:t xml:space="preserve">repeated </w:t>
      </w:r>
      <w:r>
        <w:rPr>
          <w:rFonts w:ascii="Arial" w:hAnsi="Arial" w:cs="Arial"/>
          <w:sz w:val="24"/>
          <w:szCs w:val="24"/>
        </w:rPr>
        <w:t xml:space="preserve">nature of these </w:t>
      </w:r>
      <w:r w:rsidR="00590979" w:rsidRPr="00DB3294">
        <w:rPr>
          <w:rFonts w:ascii="Arial" w:hAnsi="Arial" w:cs="Arial"/>
          <w:sz w:val="24"/>
          <w:szCs w:val="24"/>
        </w:rPr>
        <w:t>failings</w:t>
      </w:r>
      <w:r w:rsidR="00590979">
        <w:rPr>
          <w:rFonts w:ascii="Arial" w:hAnsi="Arial" w:cs="Arial"/>
          <w:sz w:val="24"/>
          <w:szCs w:val="24"/>
        </w:rPr>
        <w:t>,</w:t>
      </w:r>
      <w:r w:rsidR="00590979" w:rsidRPr="00DB3294">
        <w:rPr>
          <w:rFonts w:ascii="Arial" w:hAnsi="Arial" w:cs="Arial"/>
          <w:sz w:val="24"/>
          <w:szCs w:val="24"/>
        </w:rPr>
        <w:t xml:space="preserve"> and a lack of information as to insight and remediation, the </w:t>
      </w:r>
      <w:r w:rsidR="00590979">
        <w:rPr>
          <w:rFonts w:ascii="Arial" w:hAnsi="Arial" w:cs="Arial"/>
          <w:sz w:val="24"/>
          <w:szCs w:val="24"/>
        </w:rPr>
        <w:t>p</w:t>
      </w:r>
      <w:r w:rsidR="00590979" w:rsidRPr="00DB3294">
        <w:rPr>
          <w:rFonts w:ascii="Arial" w:hAnsi="Arial" w:cs="Arial"/>
          <w:sz w:val="24"/>
          <w:szCs w:val="24"/>
        </w:rPr>
        <w:t xml:space="preserve">anel decided it could not be sure </w:t>
      </w:r>
      <w:r w:rsidR="00590979">
        <w:rPr>
          <w:rFonts w:ascii="Arial" w:hAnsi="Arial" w:cs="Arial"/>
          <w:sz w:val="24"/>
          <w:szCs w:val="24"/>
        </w:rPr>
        <w:t xml:space="preserve">about </w:t>
      </w:r>
      <w:r w:rsidR="00590979" w:rsidRPr="00DB3294">
        <w:rPr>
          <w:rFonts w:ascii="Arial" w:hAnsi="Arial" w:cs="Arial"/>
          <w:sz w:val="24"/>
          <w:szCs w:val="24"/>
        </w:rPr>
        <w:t xml:space="preserve">the </w:t>
      </w:r>
      <w:r w:rsidR="00590979">
        <w:rPr>
          <w:rFonts w:ascii="Arial" w:hAnsi="Arial" w:cs="Arial"/>
          <w:sz w:val="24"/>
          <w:szCs w:val="24"/>
        </w:rPr>
        <w:t xml:space="preserve">likelihood </w:t>
      </w:r>
      <w:r w:rsidR="00590979" w:rsidRPr="00DB3294">
        <w:rPr>
          <w:rFonts w:ascii="Arial" w:hAnsi="Arial" w:cs="Arial"/>
          <w:sz w:val="24"/>
          <w:szCs w:val="24"/>
        </w:rPr>
        <w:t xml:space="preserve">of repetition </w:t>
      </w:r>
      <w:r w:rsidR="00590979">
        <w:rPr>
          <w:rFonts w:ascii="Arial" w:hAnsi="Arial" w:cs="Arial"/>
          <w:sz w:val="24"/>
          <w:szCs w:val="24"/>
        </w:rPr>
        <w:t xml:space="preserve">and risk </w:t>
      </w:r>
      <w:r w:rsidR="00590979" w:rsidRPr="00DB3294">
        <w:rPr>
          <w:rFonts w:ascii="Arial" w:hAnsi="Arial" w:cs="Arial"/>
          <w:sz w:val="24"/>
          <w:szCs w:val="24"/>
        </w:rPr>
        <w:t>to the public</w:t>
      </w:r>
      <w:r w:rsidR="00590979">
        <w:rPr>
          <w:rFonts w:ascii="Arial" w:hAnsi="Arial" w:cs="Arial"/>
          <w:sz w:val="24"/>
          <w:szCs w:val="24"/>
        </w:rPr>
        <w:t xml:space="preserve"> </w:t>
      </w:r>
      <w:r w:rsidR="00590979" w:rsidRPr="005F0D42">
        <w:rPr>
          <w:rFonts w:ascii="Arial" w:hAnsi="Arial" w:cs="Arial"/>
          <w:sz w:val="24"/>
          <w:szCs w:val="24"/>
        </w:rPr>
        <w:t>(the social worker was not present but was available by phone)</w:t>
      </w:r>
      <w:r w:rsidR="00590979" w:rsidRPr="00DB3294">
        <w:rPr>
          <w:rFonts w:ascii="Arial" w:hAnsi="Arial" w:cs="Arial"/>
          <w:sz w:val="24"/>
          <w:szCs w:val="24"/>
        </w:rPr>
        <w:t xml:space="preserve">. Following the </w:t>
      </w:r>
      <w:r w:rsidR="00590979">
        <w:rPr>
          <w:rFonts w:ascii="Arial" w:hAnsi="Arial" w:cs="Arial"/>
          <w:sz w:val="24"/>
          <w:szCs w:val="24"/>
        </w:rPr>
        <w:t>p</w:t>
      </w:r>
      <w:r w:rsidR="00590979" w:rsidRPr="00DB3294">
        <w:rPr>
          <w:rFonts w:ascii="Arial" w:hAnsi="Arial" w:cs="Arial"/>
          <w:sz w:val="24"/>
          <w:szCs w:val="24"/>
        </w:rPr>
        <w:t>anel making a 12 month suspension order, the social worker requested voluntary removal from the register</w:t>
      </w:r>
      <w:r w:rsidR="009607BE">
        <w:rPr>
          <w:rFonts w:ascii="Arial" w:hAnsi="Arial" w:cs="Arial"/>
          <w:sz w:val="24"/>
          <w:szCs w:val="24"/>
        </w:rPr>
        <w:t>.</w:t>
      </w:r>
      <w:r w:rsidR="00590979">
        <w:rPr>
          <w:rFonts w:ascii="Arial" w:hAnsi="Arial" w:cs="Arial"/>
          <w:sz w:val="24"/>
          <w:szCs w:val="24"/>
        </w:rPr>
        <w:t xml:space="preserve"> (c</w:t>
      </w:r>
      <w:r w:rsidR="00590979" w:rsidRPr="00DB3294">
        <w:rPr>
          <w:rFonts w:ascii="Arial" w:hAnsi="Arial" w:cs="Arial"/>
          <w:sz w:val="24"/>
          <w:szCs w:val="24"/>
        </w:rPr>
        <w:t>ase length: 2 years</w:t>
      </w:r>
      <w:r w:rsidR="00590979">
        <w:rPr>
          <w:rFonts w:ascii="Arial" w:hAnsi="Arial" w:cs="Arial"/>
          <w:sz w:val="24"/>
          <w:szCs w:val="24"/>
        </w:rPr>
        <w:t xml:space="preserve">) </w:t>
      </w:r>
    </w:p>
    <w:p w14:paraId="3D9B8CCA" w14:textId="77EEFFF3" w:rsidR="00590979" w:rsidRPr="00DB3294" w:rsidRDefault="00590979" w:rsidP="009171F8">
      <w:pPr>
        <w:spacing w:line="360" w:lineRule="auto"/>
        <w:rPr>
          <w:rFonts w:ascii="Arial" w:hAnsi="Arial" w:cs="Arial"/>
          <w:sz w:val="24"/>
          <w:szCs w:val="24"/>
        </w:rPr>
      </w:pPr>
      <w:r w:rsidRPr="00DB3294">
        <w:rPr>
          <w:rFonts w:ascii="Arial" w:hAnsi="Arial" w:cs="Arial"/>
          <w:sz w:val="24"/>
          <w:szCs w:val="24"/>
        </w:rPr>
        <w:t xml:space="preserve">Breaches of confidentiality included accessing records and sharing information on family members without authorisation and coercing service users into sending positive feedback during an internal complaints investigation. </w:t>
      </w:r>
      <w:r w:rsidR="00EB632A">
        <w:rPr>
          <w:rFonts w:ascii="Arial" w:hAnsi="Arial" w:cs="Arial"/>
          <w:sz w:val="24"/>
          <w:szCs w:val="24"/>
        </w:rPr>
        <w:t>O</w:t>
      </w:r>
      <w:r w:rsidRPr="00DB3294">
        <w:rPr>
          <w:rFonts w:ascii="Arial" w:hAnsi="Arial" w:cs="Arial"/>
          <w:sz w:val="24"/>
          <w:szCs w:val="24"/>
        </w:rPr>
        <w:t>nly one case relat</w:t>
      </w:r>
      <w:r w:rsidR="00EB632A">
        <w:rPr>
          <w:rFonts w:ascii="Arial" w:hAnsi="Arial" w:cs="Arial"/>
          <w:sz w:val="24"/>
          <w:szCs w:val="24"/>
        </w:rPr>
        <w:t>ed</w:t>
      </w:r>
      <w:r w:rsidRPr="00DB3294">
        <w:rPr>
          <w:rFonts w:ascii="Arial" w:hAnsi="Arial" w:cs="Arial"/>
          <w:sz w:val="24"/>
          <w:szCs w:val="24"/>
        </w:rPr>
        <w:t xml:space="preserve"> to a one</w:t>
      </w:r>
      <w:r>
        <w:rPr>
          <w:rFonts w:ascii="Arial" w:hAnsi="Arial" w:cs="Arial"/>
          <w:sz w:val="24"/>
          <w:szCs w:val="24"/>
        </w:rPr>
        <w:t>-</w:t>
      </w:r>
      <w:r w:rsidRPr="00DB3294">
        <w:rPr>
          <w:rFonts w:ascii="Arial" w:hAnsi="Arial" w:cs="Arial"/>
          <w:sz w:val="24"/>
          <w:szCs w:val="24"/>
        </w:rPr>
        <w:t xml:space="preserve">off incident; all others </w:t>
      </w:r>
      <w:r w:rsidR="009607BE">
        <w:rPr>
          <w:rFonts w:ascii="Arial" w:hAnsi="Arial" w:cs="Arial"/>
          <w:sz w:val="24"/>
          <w:szCs w:val="24"/>
        </w:rPr>
        <w:t>included</w:t>
      </w:r>
      <w:r w:rsidRPr="00DB3294">
        <w:rPr>
          <w:rFonts w:ascii="Arial" w:hAnsi="Arial" w:cs="Arial"/>
          <w:sz w:val="24"/>
          <w:szCs w:val="24"/>
        </w:rPr>
        <w:t xml:space="preserve"> multiple occurrences.</w:t>
      </w:r>
    </w:p>
    <w:p w14:paraId="1374EF89" w14:textId="77777777" w:rsidR="00590979" w:rsidRPr="005F746F" w:rsidRDefault="00590979" w:rsidP="009171F8">
      <w:pPr>
        <w:spacing w:line="360" w:lineRule="auto"/>
        <w:rPr>
          <w:rFonts w:ascii="Arial" w:hAnsi="Arial" w:cs="Arial"/>
          <w:b/>
          <w:i/>
          <w:sz w:val="24"/>
          <w:szCs w:val="24"/>
        </w:rPr>
      </w:pPr>
      <w:r w:rsidRPr="005F746F">
        <w:rPr>
          <w:rFonts w:ascii="Arial" w:hAnsi="Arial" w:cs="Arial"/>
          <w:b/>
          <w:i/>
          <w:sz w:val="24"/>
          <w:szCs w:val="24"/>
        </w:rPr>
        <w:t>Conduct and behaviour (12 cases)</w:t>
      </w:r>
    </w:p>
    <w:p w14:paraId="08161F8F" w14:textId="12A29F7C" w:rsidR="00590979" w:rsidRDefault="00590979" w:rsidP="009171F8">
      <w:pPr>
        <w:spacing w:line="360" w:lineRule="auto"/>
        <w:rPr>
          <w:rFonts w:ascii="Arial" w:hAnsi="Arial" w:cs="Arial"/>
          <w:sz w:val="24"/>
          <w:szCs w:val="24"/>
        </w:rPr>
      </w:pPr>
      <w:r>
        <w:rPr>
          <w:rFonts w:ascii="Arial" w:hAnsi="Arial" w:cs="Arial"/>
          <w:sz w:val="24"/>
          <w:szCs w:val="24"/>
        </w:rPr>
        <w:t xml:space="preserve">These cases included: convictions and cautions; </w:t>
      </w:r>
      <w:r w:rsidR="00EB632A">
        <w:rPr>
          <w:rFonts w:ascii="Arial" w:hAnsi="Arial" w:cs="Arial"/>
          <w:sz w:val="24"/>
          <w:szCs w:val="24"/>
        </w:rPr>
        <w:t xml:space="preserve">financial </w:t>
      </w:r>
      <w:r>
        <w:rPr>
          <w:rFonts w:ascii="Arial" w:hAnsi="Arial" w:cs="Arial"/>
          <w:sz w:val="24"/>
          <w:szCs w:val="24"/>
        </w:rPr>
        <w:t xml:space="preserve">dishonesty; dishonesty regarding conflicts of interest; and drug and alcohol-related issues.  </w:t>
      </w:r>
    </w:p>
    <w:p w14:paraId="53C55AAF" w14:textId="77777777" w:rsidR="00590979" w:rsidRPr="000C1702" w:rsidRDefault="00590979" w:rsidP="009171F8">
      <w:pPr>
        <w:spacing w:line="360" w:lineRule="auto"/>
        <w:rPr>
          <w:rFonts w:ascii="Arial" w:hAnsi="Arial" w:cs="Arial"/>
          <w:sz w:val="24"/>
          <w:szCs w:val="24"/>
        </w:rPr>
      </w:pPr>
      <w:r w:rsidRPr="000C1702">
        <w:rPr>
          <w:rFonts w:ascii="Arial" w:hAnsi="Arial" w:cs="Arial"/>
          <w:sz w:val="24"/>
          <w:szCs w:val="24"/>
        </w:rPr>
        <w:t xml:space="preserve">Convictions and cautions related to behaviour outside the work environment, and included common assault, generating indecent images of children and racist behaviour towards the police. </w:t>
      </w:r>
    </w:p>
    <w:p w14:paraId="5534CC15" w14:textId="1D542941" w:rsidR="00590979" w:rsidRPr="000C1702" w:rsidRDefault="00590979" w:rsidP="009171F8">
      <w:pPr>
        <w:spacing w:line="360" w:lineRule="auto"/>
        <w:ind w:left="720"/>
        <w:rPr>
          <w:rFonts w:ascii="Arial" w:hAnsi="Arial" w:cs="Arial"/>
          <w:b/>
          <w:sz w:val="24"/>
          <w:szCs w:val="24"/>
        </w:rPr>
      </w:pPr>
      <w:r w:rsidRPr="000C1702">
        <w:rPr>
          <w:rFonts w:ascii="Arial" w:hAnsi="Arial" w:cs="Arial"/>
          <w:b/>
          <w:sz w:val="24"/>
          <w:szCs w:val="24"/>
        </w:rPr>
        <w:t xml:space="preserve">Case </w:t>
      </w:r>
      <w:r>
        <w:rPr>
          <w:rFonts w:ascii="Arial" w:hAnsi="Arial" w:cs="Arial"/>
          <w:b/>
          <w:sz w:val="24"/>
          <w:szCs w:val="24"/>
        </w:rPr>
        <w:t>6</w:t>
      </w:r>
      <w:r w:rsidRPr="000C1702">
        <w:rPr>
          <w:rFonts w:ascii="Arial" w:hAnsi="Arial" w:cs="Arial"/>
          <w:b/>
          <w:sz w:val="24"/>
          <w:szCs w:val="24"/>
        </w:rPr>
        <w:t xml:space="preserve"> </w:t>
      </w:r>
    </w:p>
    <w:p w14:paraId="658619AB" w14:textId="7CA14DE5" w:rsidR="00590979" w:rsidRPr="000C1702" w:rsidRDefault="00590979" w:rsidP="009171F8">
      <w:pPr>
        <w:spacing w:line="360" w:lineRule="auto"/>
        <w:ind w:left="720"/>
        <w:rPr>
          <w:rFonts w:ascii="Arial" w:hAnsi="Arial" w:cs="Arial"/>
          <w:sz w:val="24"/>
          <w:szCs w:val="24"/>
        </w:rPr>
      </w:pPr>
      <w:r w:rsidRPr="000C1702">
        <w:rPr>
          <w:rFonts w:ascii="Arial" w:hAnsi="Arial" w:cs="Arial"/>
          <w:sz w:val="24"/>
          <w:szCs w:val="24"/>
        </w:rPr>
        <w:t>Following a disciplinary hearing the social worker was summarily dismissed from employment and referred by their employer to HCPC</w:t>
      </w:r>
      <w:r>
        <w:rPr>
          <w:rFonts w:ascii="Arial" w:hAnsi="Arial" w:cs="Arial"/>
          <w:sz w:val="24"/>
          <w:szCs w:val="24"/>
        </w:rPr>
        <w:t xml:space="preserve">.  HCPC </w:t>
      </w:r>
      <w:r w:rsidRPr="000C1702">
        <w:rPr>
          <w:rFonts w:ascii="Arial" w:hAnsi="Arial" w:cs="Arial"/>
          <w:sz w:val="24"/>
          <w:szCs w:val="24"/>
        </w:rPr>
        <w:t>issued an interim order. The social worker had been cautioned and required to sign on to the Sex Offenders Register for two years as a result of police discovering downloaded indecent images of young boys on the</w:t>
      </w:r>
      <w:r w:rsidR="009607BE">
        <w:rPr>
          <w:rFonts w:ascii="Arial" w:hAnsi="Arial" w:cs="Arial"/>
          <w:sz w:val="24"/>
          <w:szCs w:val="24"/>
        </w:rPr>
        <w:t>ir</w:t>
      </w:r>
      <w:r w:rsidRPr="000C1702">
        <w:rPr>
          <w:rFonts w:ascii="Arial" w:hAnsi="Arial" w:cs="Arial"/>
          <w:sz w:val="24"/>
          <w:szCs w:val="24"/>
        </w:rPr>
        <w:t xml:space="preserve"> home computer. Given </w:t>
      </w:r>
      <w:r w:rsidRPr="000C1702">
        <w:rPr>
          <w:rFonts w:ascii="Arial" w:hAnsi="Arial" w:cs="Arial"/>
          <w:sz w:val="24"/>
          <w:szCs w:val="24"/>
        </w:rPr>
        <w:lastRenderedPageBreak/>
        <w:t xml:space="preserve">the worker was involved in safeguarding children, the </w:t>
      </w:r>
      <w:r>
        <w:rPr>
          <w:rFonts w:ascii="Arial" w:hAnsi="Arial" w:cs="Arial"/>
          <w:sz w:val="24"/>
          <w:szCs w:val="24"/>
        </w:rPr>
        <w:t>p</w:t>
      </w:r>
      <w:r w:rsidRPr="000C1702">
        <w:rPr>
          <w:rFonts w:ascii="Arial" w:hAnsi="Arial" w:cs="Arial"/>
          <w:sz w:val="24"/>
          <w:szCs w:val="24"/>
        </w:rPr>
        <w:t xml:space="preserve">anel </w:t>
      </w:r>
      <w:r w:rsidR="00A37CB2">
        <w:rPr>
          <w:rFonts w:ascii="Arial" w:hAnsi="Arial" w:cs="Arial"/>
          <w:sz w:val="24"/>
          <w:szCs w:val="24"/>
        </w:rPr>
        <w:t xml:space="preserve">judged </w:t>
      </w:r>
      <w:r w:rsidRPr="000C1702">
        <w:rPr>
          <w:rFonts w:ascii="Arial" w:hAnsi="Arial" w:cs="Arial"/>
          <w:sz w:val="24"/>
          <w:szCs w:val="24"/>
        </w:rPr>
        <w:t>that such conduct was incompatible with the role. Although the social worker admitted downloading the images</w:t>
      </w:r>
      <w:r>
        <w:rPr>
          <w:rFonts w:ascii="Arial" w:hAnsi="Arial" w:cs="Arial"/>
          <w:sz w:val="24"/>
          <w:szCs w:val="24"/>
        </w:rPr>
        <w:t>,</w:t>
      </w:r>
      <w:r w:rsidRPr="000C1702">
        <w:rPr>
          <w:rFonts w:ascii="Arial" w:hAnsi="Arial" w:cs="Arial"/>
          <w:sz w:val="24"/>
          <w:szCs w:val="24"/>
        </w:rPr>
        <w:t xml:space="preserve"> the </w:t>
      </w:r>
      <w:r>
        <w:rPr>
          <w:rFonts w:ascii="Arial" w:hAnsi="Arial" w:cs="Arial"/>
          <w:sz w:val="24"/>
          <w:szCs w:val="24"/>
        </w:rPr>
        <w:t>p</w:t>
      </w:r>
      <w:r w:rsidRPr="000C1702">
        <w:rPr>
          <w:rFonts w:ascii="Arial" w:hAnsi="Arial" w:cs="Arial"/>
          <w:sz w:val="24"/>
          <w:szCs w:val="24"/>
        </w:rPr>
        <w:t>anel w</w:t>
      </w:r>
      <w:r>
        <w:rPr>
          <w:rFonts w:ascii="Arial" w:hAnsi="Arial" w:cs="Arial"/>
          <w:sz w:val="24"/>
          <w:szCs w:val="24"/>
        </w:rPr>
        <w:t>as</w:t>
      </w:r>
      <w:r w:rsidRPr="000C1702">
        <w:rPr>
          <w:rFonts w:ascii="Arial" w:hAnsi="Arial" w:cs="Arial"/>
          <w:sz w:val="24"/>
          <w:szCs w:val="24"/>
        </w:rPr>
        <w:t xml:space="preserve"> concerned that neither remorse nor insight was apparent and no professional help had been sought. Given concern about past</w:t>
      </w:r>
      <w:r>
        <w:rPr>
          <w:rFonts w:ascii="Arial" w:hAnsi="Arial" w:cs="Arial"/>
          <w:sz w:val="24"/>
          <w:szCs w:val="24"/>
        </w:rPr>
        <w:t xml:space="preserve"> behaviour,</w:t>
      </w:r>
      <w:r w:rsidRPr="000C1702">
        <w:rPr>
          <w:rFonts w:ascii="Arial" w:hAnsi="Arial" w:cs="Arial"/>
          <w:sz w:val="24"/>
          <w:szCs w:val="24"/>
        </w:rPr>
        <w:t xml:space="preserve"> and potential for future harm</w:t>
      </w:r>
      <w:r>
        <w:rPr>
          <w:rFonts w:ascii="Arial" w:hAnsi="Arial" w:cs="Arial"/>
          <w:sz w:val="24"/>
          <w:szCs w:val="24"/>
        </w:rPr>
        <w:t>,</w:t>
      </w:r>
      <w:r w:rsidRPr="000C1702">
        <w:rPr>
          <w:rFonts w:ascii="Arial" w:hAnsi="Arial" w:cs="Arial"/>
          <w:sz w:val="24"/>
          <w:szCs w:val="24"/>
        </w:rPr>
        <w:t xml:space="preserve"> the social worker was struck off the register</w:t>
      </w:r>
      <w:r w:rsidR="00A37CB2">
        <w:rPr>
          <w:rFonts w:ascii="Arial" w:hAnsi="Arial" w:cs="Arial"/>
          <w:sz w:val="24"/>
          <w:szCs w:val="24"/>
        </w:rPr>
        <w:t>.</w:t>
      </w:r>
      <w:r>
        <w:rPr>
          <w:rFonts w:ascii="Arial" w:hAnsi="Arial" w:cs="Arial"/>
          <w:sz w:val="24"/>
          <w:szCs w:val="24"/>
        </w:rPr>
        <w:t xml:space="preserve"> (c</w:t>
      </w:r>
      <w:r w:rsidRPr="000C1702">
        <w:rPr>
          <w:rFonts w:ascii="Arial" w:hAnsi="Arial" w:cs="Arial"/>
          <w:sz w:val="24"/>
          <w:szCs w:val="24"/>
        </w:rPr>
        <w:t>ase length: 11 months</w:t>
      </w:r>
      <w:r>
        <w:rPr>
          <w:rFonts w:ascii="Arial" w:hAnsi="Arial" w:cs="Arial"/>
          <w:sz w:val="24"/>
          <w:szCs w:val="24"/>
        </w:rPr>
        <w:t>)</w:t>
      </w:r>
      <w:r w:rsidRPr="000C1702">
        <w:rPr>
          <w:rFonts w:ascii="Arial" w:hAnsi="Arial" w:cs="Arial"/>
          <w:sz w:val="24"/>
          <w:szCs w:val="24"/>
        </w:rPr>
        <w:t xml:space="preserve"> </w:t>
      </w:r>
    </w:p>
    <w:p w14:paraId="64939F5E" w14:textId="6CA480D3" w:rsidR="00590979" w:rsidRPr="000C1702" w:rsidRDefault="00590979" w:rsidP="009171F8">
      <w:pPr>
        <w:spacing w:line="360" w:lineRule="auto"/>
        <w:rPr>
          <w:rFonts w:ascii="Arial" w:hAnsi="Arial" w:cs="Arial"/>
          <w:sz w:val="24"/>
          <w:szCs w:val="24"/>
        </w:rPr>
      </w:pPr>
      <w:r w:rsidRPr="000C1702">
        <w:rPr>
          <w:rFonts w:ascii="Arial" w:hAnsi="Arial" w:cs="Arial"/>
          <w:sz w:val="24"/>
          <w:szCs w:val="24"/>
        </w:rPr>
        <w:t>Cases concerning dishonesty were wide</w:t>
      </w:r>
      <w:r w:rsidR="00EB632A">
        <w:rPr>
          <w:rFonts w:ascii="Arial" w:hAnsi="Arial" w:cs="Arial"/>
          <w:sz w:val="24"/>
          <w:szCs w:val="24"/>
        </w:rPr>
        <w:t>-</w:t>
      </w:r>
      <w:r w:rsidRPr="000C1702">
        <w:rPr>
          <w:rFonts w:ascii="Arial" w:hAnsi="Arial" w:cs="Arial"/>
          <w:sz w:val="24"/>
          <w:szCs w:val="24"/>
        </w:rPr>
        <w:t>ranging</w:t>
      </w:r>
      <w:r>
        <w:rPr>
          <w:rFonts w:ascii="Arial" w:hAnsi="Arial" w:cs="Arial"/>
          <w:sz w:val="24"/>
          <w:szCs w:val="24"/>
        </w:rPr>
        <w:t>, including</w:t>
      </w:r>
      <w:r w:rsidRPr="000C1702">
        <w:rPr>
          <w:rFonts w:ascii="Arial" w:hAnsi="Arial" w:cs="Arial"/>
          <w:sz w:val="24"/>
          <w:szCs w:val="24"/>
        </w:rPr>
        <w:t xml:space="preserve"> instances of financial fraud, </w:t>
      </w:r>
      <w:r>
        <w:rPr>
          <w:rFonts w:ascii="Arial" w:hAnsi="Arial" w:cs="Arial"/>
          <w:sz w:val="24"/>
          <w:szCs w:val="24"/>
        </w:rPr>
        <w:t>from</w:t>
      </w:r>
      <w:r w:rsidRPr="000C1702">
        <w:rPr>
          <w:rFonts w:ascii="Arial" w:hAnsi="Arial" w:cs="Arial"/>
          <w:sz w:val="24"/>
          <w:szCs w:val="24"/>
        </w:rPr>
        <w:t xml:space="preserve"> </w:t>
      </w:r>
      <w:r w:rsidR="009607BE">
        <w:rPr>
          <w:rFonts w:ascii="Arial" w:hAnsi="Arial" w:cs="Arial"/>
          <w:sz w:val="24"/>
          <w:szCs w:val="24"/>
        </w:rPr>
        <w:t xml:space="preserve">expense </w:t>
      </w:r>
      <w:r w:rsidRPr="000C1702">
        <w:rPr>
          <w:rFonts w:ascii="Arial" w:hAnsi="Arial" w:cs="Arial"/>
          <w:sz w:val="24"/>
          <w:szCs w:val="24"/>
        </w:rPr>
        <w:t xml:space="preserve">claims to mishandling funds in a foster care setting. </w:t>
      </w:r>
    </w:p>
    <w:p w14:paraId="0E55C8B8" w14:textId="39A017C6" w:rsidR="00590979" w:rsidRPr="000C1702" w:rsidRDefault="009607BE" w:rsidP="009171F8">
      <w:pPr>
        <w:spacing w:line="360" w:lineRule="auto"/>
        <w:rPr>
          <w:rFonts w:ascii="Arial" w:hAnsi="Arial" w:cs="Arial"/>
          <w:sz w:val="24"/>
          <w:szCs w:val="24"/>
        </w:rPr>
      </w:pPr>
      <w:r>
        <w:rPr>
          <w:rFonts w:ascii="Arial" w:hAnsi="Arial" w:cs="Arial"/>
          <w:sz w:val="24"/>
          <w:szCs w:val="24"/>
        </w:rPr>
        <w:t>S</w:t>
      </w:r>
      <w:r w:rsidR="00590979" w:rsidRPr="000C1702">
        <w:rPr>
          <w:rFonts w:ascii="Arial" w:hAnsi="Arial" w:cs="Arial"/>
          <w:sz w:val="24"/>
          <w:szCs w:val="24"/>
        </w:rPr>
        <w:t>everal cases concern</w:t>
      </w:r>
      <w:r>
        <w:rPr>
          <w:rFonts w:ascii="Arial" w:hAnsi="Arial" w:cs="Arial"/>
          <w:sz w:val="24"/>
          <w:szCs w:val="24"/>
        </w:rPr>
        <w:t>ed</w:t>
      </w:r>
      <w:r w:rsidR="00590979" w:rsidRPr="000C1702">
        <w:rPr>
          <w:rFonts w:ascii="Arial" w:hAnsi="Arial" w:cs="Arial"/>
          <w:sz w:val="24"/>
          <w:szCs w:val="24"/>
        </w:rPr>
        <w:t xml:space="preserve"> boundaries</w:t>
      </w:r>
      <w:r w:rsidR="00590979">
        <w:rPr>
          <w:rFonts w:ascii="Arial" w:hAnsi="Arial" w:cs="Arial"/>
          <w:sz w:val="24"/>
          <w:szCs w:val="24"/>
        </w:rPr>
        <w:t xml:space="preserve">, </w:t>
      </w:r>
      <w:r w:rsidR="00590979" w:rsidRPr="000C1702">
        <w:rPr>
          <w:rFonts w:ascii="Arial" w:hAnsi="Arial" w:cs="Arial"/>
          <w:sz w:val="24"/>
          <w:szCs w:val="24"/>
        </w:rPr>
        <w:t>often linked to conflicts of interest. These included</w:t>
      </w:r>
      <w:r w:rsidR="00590979">
        <w:rPr>
          <w:rFonts w:ascii="Arial" w:hAnsi="Arial" w:cs="Arial"/>
          <w:sz w:val="24"/>
          <w:szCs w:val="24"/>
        </w:rPr>
        <w:t xml:space="preserve">: </w:t>
      </w:r>
      <w:r w:rsidR="00590979" w:rsidRPr="004B547D">
        <w:rPr>
          <w:rFonts w:ascii="Arial" w:hAnsi="Arial" w:cs="Arial"/>
          <w:sz w:val="24"/>
          <w:szCs w:val="24"/>
        </w:rPr>
        <w:t>inappropriate discussion of sexual matters in a childcare setting</w:t>
      </w:r>
      <w:r w:rsidR="00590979">
        <w:rPr>
          <w:rFonts w:ascii="Arial" w:hAnsi="Arial" w:cs="Arial"/>
          <w:sz w:val="24"/>
          <w:szCs w:val="24"/>
        </w:rPr>
        <w:t>;</w:t>
      </w:r>
      <w:r w:rsidR="00590979" w:rsidRPr="000C1702">
        <w:rPr>
          <w:rFonts w:ascii="Arial" w:hAnsi="Arial" w:cs="Arial"/>
          <w:sz w:val="24"/>
          <w:szCs w:val="24"/>
        </w:rPr>
        <w:t xml:space="preserve"> failure to declare a personal commercial interest when referring a service user to another provider</w:t>
      </w:r>
      <w:r w:rsidR="00590979">
        <w:rPr>
          <w:rFonts w:ascii="Arial" w:hAnsi="Arial" w:cs="Arial"/>
          <w:sz w:val="24"/>
          <w:szCs w:val="24"/>
        </w:rPr>
        <w:t>;</w:t>
      </w:r>
      <w:r w:rsidR="00590979" w:rsidRPr="000C1702">
        <w:rPr>
          <w:rFonts w:ascii="Arial" w:hAnsi="Arial" w:cs="Arial"/>
          <w:sz w:val="24"/>
          <w:szCs w:val="24"/>
        </w:rPr>
        <w:t xml:space="preserve"> applying to foster a child on the social worker’s own caseload</w:t>
      </w:r>
      <w:r w:rsidR="00590979">
        <w:rPr>
          <w:rFonts w:ascii="Arial" w:hAnsi="Arial" w:cs="Arial"/>
          <w:sz w:val="24"/>
          <w:szCs w:val="24"/>
        </w:rPr>
        <w:t>;</w:t>
      </w:r>
      <w:r w:rsidR="00590979" w:rsidRPr="000C1702">
        <w:rPr>
          <w:rFonts w:ascii="Arial" w:hAnsi="Arial" w:cs="Arial"/>
          <w:sz w:val="24"/>
          <w:szCs w:val="24"/>
        </w:rPr>
        <w:t xml:space="preserve"> </w:t>
      </w:r>
      <w:r w:rsidR="00590979">
        <w:rPr>
          <w:rFonts w:ascii="Arial" w:hAnsi="Arial" w:cs="Arial"/>
          <w:sz w:val="24"/>
          <w:szCs w:val="24"/>
        </w:rPr>
        <w:t>and</w:t>
      </w:r>
      <w:r w:rsidR="00590979" w:rsidRPr="000C1702">
        <w:rPr>
          <w:rFonts w:ascii="Arial" w:hAnsi="Arial" w:cs="Arial"/>
          <w:sz w:val="24"/>
          <w:szCs w:val="24"/>
        </w:rPr>
        <w:t xml:space="preserve"> having a relationship with the parent of a child assessed during a previous investigation.</w:t>
      </w:r>
    </w:p>
    <w:p w14:paraId="0C020015" w14:textId="2DC47DBC" w:rsidR="00590979" w:rsidRPr="000C1702" w:rsidRDefault="00590979" w:rsidP="009171F8">
      <w:pPr>
        <w:spacing w:line="360" w:lineRule="auto"/>
        <w:ind w:left="720"/>
        <w:rPr>
          <w:rFonts w:ascii="Arial" w:hAnsi="Arial" w:cs="Arial"/>
          <w:b/>
          <w:sz w:val="24"/>
          <w:szCs w:val="24"/>
        </w:rPr>
      </w:pPr>
      <w:r w:rsidRPr="000C1702">
        <w:rPr>
          <w:rFonts w:ascii="Arial" w:hAnsi="Arial" w:cs="Arial"/>
          <w:b/>
          <w:sz w:val="24"/>
          <w:szCs w:val="24"/>
        </w:rPr>
        <w:t xml:space="preserve">Case </w:t>
      </w:r>
      <w:r>
        <w:rPr>
          <w:rFonts w:ascii="Arial" w:hAnsi="Arial" w:cs="Arial"/>
          <w:b/>
          <w:sz w:val="24"/>
          <w:szCs w:val="24"/>
        </w:rPr>
        <w:t>7</w:t>
      </w:r>
      <w:r w:rsidRPr="000C1702">
        <w:rPr>
          <w:rFonts w:ascii="Arial" w:hAnsi="Arial" w:cs="Arial"/>
          <w:b/>
          <w:sz w:val="24"/>
          <w:szCs w:val="24"/>
        </w:rPr>
        <w:t xml:space="preserve"> </w:t>
      </w:r>
    </w:p>
    <w:p w14:paraId="43C9D2D0" w14:textId="6AA255FD" w:rsidR="00590979" w:rsidRPr="000C1702" w:rsidRDefault="00590979" w:rsidP="009171F8">
      <w:pPr>
        <w:spacing w:line="360" w:lineRule="auto"/>
        <w:ind w:left="720"/>
        <w:rPr>
          <w:rFonts w:ascii="Arial" w:hAnsi="Arial" w:cs="Arial"/>
          <w:sz w:val="24"/>
          <w:szCs w:val="24"/>
        </w:rPr>
      </w:pPr>
      <w:r>
        <w:rPr>
          <w:rFonts w:ascii="Arial" w:hAnsi="Arial" w:cs="Arial"/>
          <w:sz w:val="24"/>
          <w:szCs w:val="24"/>
        </w:rPr>
        <w:t>An employer referred a</w:t>
      </w:r>
      <w:r w:rsidRPr="000C1702">
        <w:rPr>
          <w:rFonts w:ascii="Arial" w:hAnsi="Arial" w:cs="Arial"/>
          <w:sz w:val="24"/>
          <w:szCs w:val="24"/>
        </w:rPr>
        <w:t xml:space="preserve"> social worker to HCPC </w:t>
      </w:r>
      <w:r>
        <w:rPr>
          <w:rFonts w:ascii="Arial" w:hAnsi="Arial" w:cs="Arial"/>
          <w:sz w:val="24"/>
          <w:szCs w:val="24"/>
        </w:rPr>
        <w:t>for failure to</w:t>
      </w:r>
      <w:r w:rsidRPr="000C1702">
        <w:rPr>
          <w:rFonts w:ascii="Arial" w:hAnsi="Arial" w:cs="Arial"/>
          <w:sz w:val="24"/>
          <w:szCs w:val="24"/>
        </w:rPr>
        <w:t xml:space="preserve"> maintain professional boundaries </w:t>
      </w:r>
      <w:r>
        <w:rPr>
          <w:rFonts w:ascii="Arial" w:hAnsi="Arial" w:cs="Arial"/>
          <w:sz w:val="24"/>
          <w:szCs w:val="24"/>
        </w:rPr>
        <w:t>by</w:t>
      </w:r>
      <w:r w:rsidRPr="000C1702">
        <w:rPr>
          <w:rFonts w:ascii="Arial" w:hAnsi="Arial" w:cs="Arial"/>
          <w:sz w:val="24"/>
          <w:szCs w:val="24"/>
        </w:rPr>
        <w:t xml:space="preserve"> form</w:t>
      </w:r>
      <w:r>
        <w:rPr>
          <w:rFonts w:ascii="Arial" w:hAnsi="Arial" w:cs="Arial"/>
          <w:sz w:val="24"/>
          <w:szCs w:val="24"/>
        </w:rPr>
        <w:t xml:space="preserve">ing </w:t>
      </w:r>
      <w:r w:rsidRPr="000C1702">
        <w:rPr>
          <w:rFonts w:ascii="Arial" w:hAnsi="Arial" w:cs="Arial"/>
          <w:sz w:val="24"/>
          <w:szCs w:val="24"/>
        </w:rPr>
        <w:t xml:space="preserve">an inappropriate relationship with the father of a child who had previously been assessed by the social worker. The social worker, now pregnant by the </w:t>
      </w:r>
      <w:r w:rsidR="00A37CB2">
        <w:rPr>
          <w:rFonts w:ascii="Arial" w:hAnsi="Arial" w:cs="Arial"/>
          <w:sz w:val="24"/>
          <w:szCs w:val="24"/>
        </w:rPr>
        <w:t>man</w:t>
      </w:r>
      <w:r>
        <w:rPr>
          <w:rFonts w:ascii="Arial" w:hAnsi="Arial" w:cs="Arial"/>
          <w:sz w:val="24"/>
          <w:szCs w:val="24"/>
        </w:rPr>
        <w:t xml:space="preserve">, </w:t>
      </w:r>
      <w:r w:rsidRPr="000C1702">
        <w:rPr>
          <w:rFonts w:ascii="Arial" w:hAnsi="Arial" w:cs="Arial"/>
          <w:sz w:val="24"/>
          <w:szCs w:val="24"/>
        </w:rPr>
        <w:t xml:space="preserve">had started a relationship six months after </w:t>
      </w:r>
      <w:r>
        <w:rPr>
          <w:rFonts w:ascii="Arial" w:hAnsi="Arial" w:cs="Arial"/>
          <w:sz w:val="24"/>
          <w:szCs w:val="24"/>
        </w:rPr>
        <w:t xml:space="preserve">the </w:t>
      </w:r>
      <w:r w:rsidRPr="000C1702">
        <w:rPr>
          <w:rFonts w:ascii="Arial" w:hAnsi="Arial" w:cs="Arial"/>
          <w:sz w:val="24"/>
          <w:szCs w:val="24"/>
        </w:rPr>
        <w:t>child’s case</w:t>
      </w:r>
      <w:r w:rsidR="00A37CB2">
        <w:rPr>
          <w:rFonts w:ascii="Arial" w:hAnsi="Arial" w:cs="Arial"/>
          <w:sz w:val="24"/>
          <w:szCs w:val="24"/>
        </w:rPr>
        <w:t xml:space="preserve"> was closed</w:t>
      </w:r>
      <w:r w:rsidRPr="000C1702">
        <w:rPr>
          <w:rFonts w:ascii="Arial" w:hAnsi="Arial" w:cs="Arial"/>
          <w:sz w:val="24"/>
          <w:szCs w:val="24"/>
        </w:rPr>
        <w:t xml:space="preserve">. Although there was no evidence that the relationship had started prior to the </w:t>
      </w:r>
      <w:r w:rsidR="00A37CB2">
        <w:rPr>
          <w:rFonts w:ascii="Arial" w:hAnsi="Arial" w:cs="Arial"/>
          <w:sz w:val="24"/>
          <w:szCs w:val="24"/>
        </w:rPr>
        <w:t xml:space="preserve">closure of the </w:t>
      </w:r>
      <w:r w:rsidRPr="000C1702">
        <w:rPr>
          <w:rFonts w:ascii="Arial" w:hAnsi="Arial" w:cs="Arial"/>
          <w:sz w:val="24"/>
          <w:szCs w:val="24"/>
        </w:rPr>
        <w:t>case</w:t>
      </w:r>
      <w:r>
        <w:rPr>
          <w:rFonts w:ascii="Arial" w:hAnsi="Arial" w:cs="Arial"/>
          <w:sz w:val="24"/>
          <w:szCs w:val="24"/>
        </w:rPr>
        <w:t>,</w:t>
      </w:r>
      <w:r w:rsidRPr="000C1702">
        <w:rPr>
          <w:rFonts w:ascii="Arial" w:hAnsi="Arial" w:cs="Arial"/>
          <w:sz w:val="24"/>
          <w:szCs w:val="24"/>
        </w:rPr>
        <w:t xml:space="preserve"> the </w:t>
      </w:r>
      <w:r>
        <w:rPr>
          <w:rFonts w:ascii="Arial" w:hAnsi="Arial" w:cs="Arial"/>
          <w:sz w:val="24"/>
          <w:szCs w:val="24"/>
        </w:rPr>
        <w:t>p</w:t>
      </w:r>
      <w:r w:rsidRPr="000C1702">
        <w:rPr>
          <w:rFonts w:ascii="Arial" w:hAnsi="Arial" w:cs="Arial"/>
          <w:sz w:val="24"/>
          <w:szCs w:val="24"/>
        </w:rPr>
        <w:t xml:space="preserve">anel found that the social worker had formed an inappropriate relationship with a service user. It was considered that there had been insufficient distance between closing the case and the relationship </w:t>
      </w:r>
      <w:r w:rsidR="00A37CB2">
        <w:rPr>
          <w:rFonts w:ascii="Arial" w:hAnsi="Arial" w:cs="Arial"/>
          <w:sz w:val="24"/>
          <w:szCs w:val="24"/>
        </w:rPr>
        <w:t xml:space="preserve">starting </w:t>
      </w:r>
      <w:r w:rsidRPr="000C1702">
        <w:rPr>
          <w:rFonts w:ascii="Arial" w:hAnsi="Arial" w:cs="Arial"/>
          <w:sz w:val="24"/>
          <w:szCs w:val="24"/>
        </w:rPr>
        <w:t>and</w:t>
      </w:r>
      <w:r>
        <w:rPr>
          <w:rFonts w:ascii="Arial" w:hAnsi="Arial" w:cs="Arial"/>
          <w:sz w:val="24"/>
          <w:szCs w:val="24"/>
        </w:rPr>
        <w:t>,</w:t>
      </w:r>
      <w:r w:rsidRPr="000C1702">
        <w:rPr>
          <w:rFonts w:ascii="Arial" w:hAnsi="Arial" w:cs="Arial"/>
          <w:sz w:val="24"/>
          <w:szCs w:val="24"/>
        </w:rPr>
        <w:t xml:space="preserve"> although highly regarded as a social worker</w:t>
      </w:r>
      <w:r>
        <w:rPr>
          <w:rFonts w:ascii="Arial" w:hAnsi="Arial" w:cs="Arial"/>
          <w:sz w:val="24"/>
          <w:szCs w:val="24"/>
        </w:rPr>
        <w:t>,</w:t>
      </w:r>
      <w:r w:rsidRPr="000C1702">
        <w:rPr>
          <w:rFonts w:ascii="Arial" w:hAnsi="Arial" w:cs="Arial"/>
          <w:sz w:val="24"/>
          <w:szCs w:val="24"/>
        </w:rPr>
        <w:t xml:space="preserve"> the </w:t>
      </w:r>
      <w:r>
        <w:rPr>
          <w:rFonts w:ascii="Arial" w:hAnsi="Arial" w:cs="Arial"/>
          <w:sz w:val="24"/>
          <w:szCs w:val="24"/>
        </w:rPr>
        <w:t>p</w:t>
      </w:r>
      <w:r w:rsidRPr="000C1702">
        <w:rPr>
          <w:rFonts w:ascii="Arial" w:hAnsi="Arial" w:cs="Arial"/>
          <w:sz w:val="24"/>
          <w:szCs w:val="24"/>
        </w:rPr>
        <w:t xml:space="preserve">anel felt the misconduct could impact on confidence in the social worker and the profession. There was also insufficient evidence for the </w:t>
      </w:r>
      <w:r>
        <w:rPr>
          <w:rFonts w:ascii="Arial" w:hAnsi="Arial" w:cs="Arial"/>
          <w:sz w:val="24"/>
          <w:szCs w:val="24"/>
        </w:rPr>
        <w:t>p</w:t>
      </w:r>
      <w:r w:rsidRPr="000C1702">
        <w:rPr>
          <w:rFonts w:ascii="Arial" w:hAnsi="Arial" w:cs="Arial"/>
          <w:sz w:val="24"/>
          <w:szCs w:val="24"/>
        </w:rPr>
        <w:t>anel to conclude that there was no risk of repetition</w:t>
      </w:r>
      <w:r>
        <w:rPr>
          <w:rFonts w:ascii="Arial" w:hAnsi="Arial" w:cs="Arial"/>
          <w:sz w:val="24"/>
          <w:szCs w:val="24"/>
        </w:rPr>
        <w:t>,</w:t>
      </w:r>
      <w:r w:rsidRPr="000C1702">
        <w:rPr>
          <w:rFonts w:ascii="Arial" w:hAnsi="Arial" w:cs="Arial"/>
          <w:sz w:val="24"/>
          <w:szCs w:val="24"/>
        </w:rPr>
        <w:t xml:space="preserve"> due to a lack of conclusive insight </w:t>
      </w:r>
      <w:r w:rsidR="00EB632A">
        <w:rPr>
          <w:rFonts w:ascii="Arial" w:hAnsi="Arial" w:cs="Arial"/>
          <w:sz w:val="24"/>
          <w:szCs w:val="24"/>
        </w:rPr>
        <w:t xml:space="preserve">by </w:t>
      </w:r>
      <w:r w:rsidRPr="000C1702">
        <w:rPr>
          <w:rFonts w:ascii="Arial" w:hAnsi="Arial" w:cs="Arial"/>
          <w:sz w:val="24"/>
          <w:szCs w:val="24"/>
        </w:rPr>
        <w:t xml:space="preserve">the social worker. The </w:t>
      </w:r>
      <w:r>
        <w:rPr>
          <w:rFonts w:ascii="Arial" w:hAnsi="Arial" w:cs="Arial"/>
          <w:sz w:val="24"/>
          <w:szCs w:val="24"/>
        </w:rPr>
        <w:t>p</w:t>
      </w:r>
      <w:r w:rsidRPr="000C1702">
        <w:rPr>
          <w:rFonts w:ascii="Arial" w:hAnsi="Arial" w:cs="Arial"/>
          <w:sz w:val="24"/>
          <w:szCs w:val="24"/>
        </w:rPr>
        <w:t>anel therefore decided to suspend the social worker for 12 months</w:t>
      </w:r>
      <w:r w:rsidR="00A37CB2">
        <w:rPr>
          <w:rFonts w:ascii="Arial" w:hAnsi="Arial" w:cs="Arial"/>
          <w:sz w:val="24"/>
          <w:szCs w:val="24"/>
        </w:rPr>
        <w:t>.</w:t>
      </w:r>
      <w:r>
        <w:rPr>
          <w:rFonts w:ascii="Arial" w:hAnsi="Arial" w:cs="Arial"/>
          <w:sz w:val="24"/>
          <w:szCs w:val="24"/>
        </w:rPr>
        <w:t xml:space="preserve"> (c</w:t>
      </w:r>
      <w:r w:rsidRPr="000C1702">
        <w:rPr>
          <w:rFonts w:ascii="Arial" w:hAnsi="Arial" w:cs="Arial"/>
          <w:sz w:val="24"/>
          <w:szCs w:val="24"/>
        </w:rPr>
        <w:t>ase length: 2 years</w:t>
      </w:r>
      <w:r>
        <w:rPr>
          <w:rFonts w:ascii="Arial" w:hAnsi="Arial" w:cs="Arial"/>
          <w:sz w:val="24"/>
          <w:szCs w:val="24"/>
        </w:rPr>
        <w:t xml:space="preserve">) </w:t>
      </w:r>
    </w:p>
    <w:p w14:paraId="30A93D58" w14:textId="065A020B" w:rsidR="00590979" w:rsidRDefault="00590979" w:rsidP="009171F8">
      <w:pPr>
        <w:spacing w:line="360" w:lineRule="auto"/>
        <w:rPr>
          <w:rFonts w:ascii="Arial" w:hAnsi="Arial" w:cs="Arial"/>
          <w:sz w:val="24"/>
          <w:szCs w:val="24"/>
        </w:rPr>
      </w:pPr>
      <w:r w:rsidRPr="000C1702">
        <w:rPr>
          <w:rFonts w:ascii="Arial" w:hAnsi="Arial" w:cs="Arial"/>
          <w:sz w:val="24"/>
          <w:szCs w:val="24"/>
        </w:rPr>
        <w:t xml:space="preserve">In the sample there were limited instances of drug and alcohol related cases. One case saw the social worker develop an ailment, which was alleviated by alcohol. The </w:t>
      </w:r>
      <w:r w:rsidRPr="000C1702">
        <w:rPr>
          <w:rFonts w:ascii="Arial" w:hAnsi="Arial" w:cs="Arial"/>
          <w:sz w:val="24"/>
          <w:szCs w:val="24"/>
        </w:rPr>
        <w:lastRenderedPageBreak/>
        <w:t xml:space="preserve">social worker was dismissed </w:t>
      </w:r>
      <w:r>
        <w:rPr>
          <w:rFonts w:ascii="Arial" w:hAnsi="Arial" w:cs="Arial"/>
          <w:sz w:val="24"/>
          <w:szCs w:val="24"/>
        </w:rPr>
        <w:t xml:space="preserve">by the employer </w:t>
      </w:r>
      <w:r w:rsidRPr="000C1702">
        <w:rPr>
          <w:rFonts w:ascii="Arial" w:hAnsi="Arial" w:cs="Arial"/>
          <w:sz w:val="24"/>
          <w:szCs w:val="24"/>
        </w:rPr>
        <w:t>for smelling of alcohol at work</w:t>
      </w:r>
      <w:r>
        <w:rPr>
          <w:rFonts w:ascii="Arial" w:hAnsi="Arial" w:cs="Arial"/>
          <w:sz w:val="24"/>
          <w:szCs w:val="24"/>
        </w:rPr>
        <w:t>,</w:t>
      </w:r>
      <w:r w:rsidRPr="000C1702">
        <w:rPr>
          <w:rFonts w:ascii="Arial" w:hAnsi="Arial" w:cs="Arial"/>
          <w:sz w:val="24"/>
          <w:szCs w:val="24"/>
        </w:rPr>
        <w:t xml:space="preserve"> but the case </w:t>
      </w:r>
      <w:r>
        <w:rPr>
          <w:rFonts w:ascii="Arial" w:hAnsi="Arial" w:cs="Arial"/>
          <w:sz w:val="24"/>
          <w:szCs w:val="24"/>
        </w:rPr>
        <w:t xml:space="preserve">referred to HCPC </w:t>
      </w:r>
      <w:r w:rsidRPr="000C1702">
        <w:rPr>
          <w:rFonts w:ascii="Arial" w:hAnsi="Arial" w:cs="Arial"/>
          <w:sz w:val="24"/>
          <w:szCs w:val="24"/>
        </w:rPr>
        <w:t>was not judged to be well</w:t>
      </w:r>
      <w:r w:rsidR="00EB632A">
        <w:rPr>
          <w:rFonts w:ascii="Arial" w:hAnsi="Arial" w:cs="Arial"/>
          <w:sz w:val="24"/>
          <w:szCs w:val="24"/>
        </w:rPr>
        <w:t>-</w:t>
      </w:r>
      <w:r w:rsidRPr="000C1702">
        <w:rPr>
          <w:rFonts w:ascii="Arial" w:hAnsi="Arial" w:cs="Arial"/>
          <w:sz w:val="24"/>
          <w:szCs w:val="24"/>
        </w:rPr>
        <w:t xml:space="preserve">founded by the </w:t>
      </w:r>
      <w:r>
        <w:rPr>
          <w:rFonts w:ascii="Arial" w:hAnsi="Arial" w:cs="Arial"/>
          <w:sz w:val="24"/>
          <w:szCs w:val="24"/>
        </w:rPr>
        <w:t>p</w:t>
      </w:r>
      <w:r w:rsidRPr="000C1702">
        <w:rPr>
          <w:rFonts w:ascii="Arial" w:hAnsi="Arial" w:cs="Arial"/>
          <w:sz w:val="24"/>
          <w:szCs w:val="24"/>
        </w:rPr>
        <w:t xml:space="preserve">anel. </w:t>
      </w:r>
    </w:p>
    <w:p w14:paraId="67A33341" w14:textId="77777777" w:rsidR="00590979" w:rsidRDefault="00590979" w:rsidP="009171F8">
      <w:pPr>
        <w:spacing w:line="360" w:lineRule="auto"/>
        <w:rPr>
          <w:rFonts w:ascii="Arial" w:hAnsi="Arial" w:cs="Arial"/>
          <w:b/>
          <w:i/>
          <w:sz w:val="24"/>
          <w:szCs w:val="24"/>
        </w:rPr>
      </w:pPr>
      <w:r w:rsidRPr="00CB198F">
        <w:rPr>
          <w:rFonts w:ascii="Arial" w:hAnsi="Arial" w:cs="Arial"/>
          <w:b/>
          <w:i/>
          <w:sz w:val="24"/>
          <w:szCs w:val="24"/>
        </w:rPr>
        <w:t>Health</w:t>
      </w:r>
      <w:r>
        <w:rPr>
          <w:rFonts w:ascii="Arial" w:hAnsi="Arial" w:cs="Arial"/>
          <w:b/>
          <w:i/>
          <w:sz w:val="24"/>
          <w:szCs w:val="24"/>
        </w:rPr>
        <w:t xml:space="preserve"> (1 case)</w:t>
      </w:r>
    </w:p>
    <w:p w14:paraId="7AF24018" w14:textId="7713304A" w:rsidR="00590979" w:rsidRPr="00CB198F" w:rsidRDefault="00EB632A" w:rsidP="009171F8">
      <w:pPr>
        <w:spacing w:line="360" w:lineRule="auto"/>
        <w:rPr>
          <w:rFonts w:ascii="Arial" w:hAnsi="Arial" w:cs="Arial"/>
          <w:sz w:val="24"/>
          <w:szCs w:val="24"/>
        </w:rPr>
      </w:pPr>
      <w:r>
        <w:rPr>
          <w:rFonts w:ascii="Arial" w:hAnsi="Arial" w:cs="Arial"/>
          <w:sz w:val="24"/>
          <w:szCs w:val="24"/>
        </w:rPr>
        <w:t>T</w:t>
      </w:r>
      <w:r w:rsidR="00590979" w:rsidRPr="00CB198F">
        <w:rPr>
          <w:rFonts w:ascii="Arial" w:hAnsi="Arial" w:cs="Arial"/>
          <w:sz w:val="24"/>
          <w:szCs w:val="24"/>
        </w:rPr>
        <w:t xml:space="preserve">he hearing </w:t>
      </w:r>
      <w:r>
        <w:rPr>
          <w:rFonts w:ascii="Arial" w:hAnsi="Arial" w:cs="Arial"/>
          <w:sz w:val="24"/>
          <w:szCs w:val="24"/>
        </w:rPr>
        <w:t xml:space="preserve">for the one health-related case </w:t>
      </w:r>
      <w:r w:rsidR="00590979" w:rsidRPr="00CB198F">
        <w:rPr>
          <w:rFonts w:ascii="Arial" w:hAnsi="Arial" w:cs="Arial"/>
          <w:sz w:val="24"/>
          <w:szCs w:val="24"/>
        </w:rPr>
        <w:t>was held in private. The social worker was suspended for 12 months</w:t>
      </w:r>
      <w:r w:rsidR="00590979">
        <w:rPr>
          <w:rFonts w:ascii="Arial" w:hAnsi="Arial" w:cs="Arial"/>
          <w:sz w:val="24"/>
          <w:szCs w:val="24"/>
        </w:rPr>
        <w:t>. S</w:t>
      </w:r>
      <w:r w:rsidR="00590979" w:rsidRPr="00CB198F">
        <w:rPr>
          <w:rFonts w:ascii="Arial" w:hAnsi="Arial" w:cs="Arial"/>
          <w:sz w:val="24"/>
          <w:szCs w:val="24"/>
        </w:rPr>
        <w:t>ubsequent suspensions due to inability to work mean</w:t>
      </w:r>
      <w:r w:rsidR="00590979">
        <w:rPr>
          <w:rFonts w:ascii="Arial" w:hAnsi="Arial" w:cs="Arial"/>
          <w:sz w:val="24"/>
          <w:szCs w:val="24"/>
        </w:rPr>
        <w:t>t</w:t>
      </w:r>
      <w:r w:rsidR="00590979" w:rsidRPr="00CB198F">
        <w:rPr>
          <w:rFonts w:ascii="Arial" w:hAnsi="Arial" w:cs="Arial"/>
          <w:sz w:val="24"/>
          <w:szCs w:val="24"/>
        </w:rPr>
        <w:t xml:space="preserve"> the social worker </w:t>
      </w:r>
      <w:r w:rsidR="00590979">
        <w:rPr>
          <w:rFonts w:ascii="Arial" w:hAnsi="Arial" w:cs="Arial"/>
          <w:sz w:val="24"/>
          <w:szCs w:val="24"/>
        </w:rPr>
        <w:t>wa</w:t>
      </w:r>
      <w:r w:rsidR="00590979" w:rsidRPr="00CB198F">
        <w:rPr>
          <w:rFonts w:ascii="Arial" w:hAnsi="Arial" w:cs="Arial"/>
          <w:sz w:val="24"/>
          <w:szCs w:val="24"/>
        </w:rPr>
        <w:t>s still suspended from practi</w:t>
      </w:r>
      <w:r w:rsidR="00590979">
        <w:rPr>
          <w:rFonts w:ascii="Arial" w:hAnsi="Arial" w:cs="Arial"/>
          <w:sz w:val="24"/>
          <w:szCs w:val="24"/>
        </w:rPr>
        <w:t>c</w:t>
      </w:r>
      <w:r w:rsidR="00590979" w:rsidRPr="00CB198F">
        <w:rPr>
          <w:rFonts w:ascii="Arial" w:hAnsi="Arial" w:cs="Arial"/>
          <w:sz w:val="24"/>
          <w:szCs w:val="24"/>
        </w:rPr>
        <w:t>e</w:t>
      </w:r>
      <w:r w:rsidR="00590979">
        <w:rPr>
          <w:rFonts w:ascii="Arial" w:hAnsi="Arial" w:cs="Arial"/>
          <w:sz w:val="24"/>
          <w:szCs w:val="24"/>
        </w:rPr>
        <w:t xml:space="preserve"> at the time of the research</w:t>
      </w:r>
      <w:r w:rsidR="00590979" w:rsidRPr="00CB198F">
        <w:rPr>
          <w:rFonts w:ascii="Arial" w:hAnsi="Arial" w:cs="Arial"/>
          <w:sz w:val="24"/>
          <w:szCs w:val="24"/>
        </w:rPr>
        <w:t xml:space="preserve">. </w:t>
      </w:r>
    </w:p>
    <w:p w14:paraId="3A91BFBF" w14:textId="77777777" w:rsidR="00590979" w:rsidRPr="003F4BA5" w:rsidRDefault="00590979" w:rsidP="009171F8">
      <w:pPr>
        <w:spacing w:line="360" w:lineRule="auto"/>
        <w:rPr>
          <w:rFonts w:ascii="Arial" w:hAnsi="Arial" w:cs="Arial"/>
          <w:b/>
          <w:sz w:val="24"/>
          <w:szCs w:val="24"/>
        </w:rPr>
      </w:pPr>
      <w:r w:rsidRPr="003F4BA5">
        <w:rPr>
          <w:rFonts w:ascii="Arial" w:hAnsi="Arial" w:cs="Arial"/>
          <w:b/>
          <w:sz w:val="24"/>
          <w:szCs w:val="24"/>
        </w:rPr>
        <w:t xml:space="preserve">Discussion </w:t>
      </w:r>
    </w:p>
    <w:p w14:paraId="0475D2F0" w14:textId="7E193011" w:rsidR="00590979" w:rsidRDefault="00590979" w:rsidP="009171F8">
      <w:pPr>
        <w:spacing w:line="360" w:lineRule="auto"/>
        <w:rPr>
          <w:rFonts w:ascii="Arial" w:hAnsi="Arial" w:cs="Arial"/>
          <w:sz w:val="24"/>
          <w:szCs w:val="24"/>
        </w:rPr>
      </w:pPr>
      <w:r>
        <w:rPr>
          <w:rFonts w:ascii="Arial" w:hAnsi="Arial" w:cs="Arial"/>
          <w:sz w:val="24"/>
          <w:szCs w:val="24"/>
        </w:rPr>
        <w:t xml:space="preserve">The case analysis presents a complex picture of </w:t>
      </w:r>
      <w:r w:rsidR="009607BE">
        <w:rPr>
          <w:rFonts w:ascii="Arial" w:hAnsi="Arial" w:cs="Arial"/>
          <w:sz w:val="24"/>
          <w:szCs w:val="24"/>
        </w:rPr>
        <w:t xml:space="preserve">varied </w:t>
      </w:r>
      <w:r>
        <w:rPr>
          <w:rFonts w:ascii="Arial" w:hAnsi="Arial" w:cs="Arial"/>
          <w:sz w:val="24"/>
          <w:szCs w:val="24"/>
        </w:rPr>
        <w:t xml:space="preserve">concerns raised about social workers by different stakeholders, for </w:t>
      </w:r>
      <w:r w:rsidR="00441DD9">
        <w:rPr>
          <w:rFonts w:ascii="Arial" w:hAnsi="Arial" w:cs="Arial"/>
          <w:sz w:val="24"/>
          <w:szCs w:val="24"/>
        </w:rPr>
        <w:t xml:space="preserve">various </w:t>
      </w:r>
      <w:r>
        <w:rPr>
          <w:rFonts w:ascii="Arial" w:hAnsi="Arial" w:cs="Arial"/>
          <w:sz w:val="24"/>
          <w:szCs w:val="24"/>
        </w:rPr>
        <w:t xml:space="preserve">reasons. </w:t>
      </w:r>
      <w:r w:rsidR="009607BE">
        <w:rPr>
          <w:rFonts w:ascii="Arial" w:hAnsi="Arial" w:cs="Arial"/>
          <w:sz w:val="24"/>
          <w:szCs w:val="24"/>
        </w:rPr>
        <w:t>A</w:t>
      </w:r>
      <w:r>
        <w:rPr>
          <w:rFonts w:ascii="Arial" w:hAnsi="Arial" w:cs="Arial"/>
          <w:sz w:val="24"/>
          <w:szCs w:val="24"/>
        </w:rPr>
        <w:t xml:space="preserve">nalysis of cases </w:t>
      </w:r>
      <w:r w:rsidR="00F439BC">
        <w:rPr>
          <w:rFonts w:ascii="Arial" w:hAnsi="Arial" w:cs="Arial"/>
          <w:sz w:val="24"/>
          <w:szCs w:val="24"/>
        </w:rPr>
        <w:t>dealt with</w:t>
      </w:r>
      <w:r>
        <w:rPr>
          <w:rFonts w:ascii="Arial" w:hAnsi="Arial" w:cs="Arial"/>
          <w:sz w:val="24"/>
          <w:szCs w:val="24"/>
        </w:rPr>
        <w:t xml:space="preserve"> at </w:t>
      </w:r>
      <w:r w:rsidR="00C7718C">
        <w:rPr>
          <w:rFonts w:ascii="Arial" w:hAnsi="Arial" w:cs="Arial"/>
          <w:sz w:val="24"/>
          <w:szCs w:val="24"/>
        </w:rPr>
        <w:t>the first two</w:t>
      </w:r>
      <w:r>
        <w:rPr>
          <w:rFonts w:ascii="Arial" w:hAnsi="Arial" w:cs="Arial"/>
          <w:sz w:val="24"/>
          <w:szCs w:val="24"/>
        </w:rPr>
        <w:t xml:space="preserve"> stage</w:t>
      </w:r>
      <w:r w:rsidR="00C7718C">
        <w:rPr>
          <w:rFonts w:ascii="Arial" w:hAnsi="Arial" w:cs="Arial"/>
          <w:sz w:val="24"/>
          <w:szCs w:val="24"/>
        </w:rPr>
        <w:t>s</w:t>
      </w:r>
      <w:r>
        <w:rPr>
          <w:rFonts w:ascii="Arial" w:hAnsi="Arial" w:cs="Arial"/>
          <w:sz w:val="24"/>
          <w:szCs w:val="24"/>
        </w:rPr>
        <w:t xml:space="preserve"> of the fitness to practice process offers unique insights not visible in previous studies that rely on published statistical data or summaries of the final hearings available on the web</w:t>
      </w:r>
      <w:r w:rsidR="00F439BC">
        <w:rPr>
          <w:rFonts w:ascii="Arial" w:hAnsi="Arial" w:cs="Arial"/>
          <w:sz w:val="24"/>
          <w:szCs w:val="24"/>
        </w:rPr>
        <w:t xml:space="preserve"> (e.g</w:t>
      </w:r>
      <w:r>
        <w:rPr>
          <w:rFonts w:ascii="Arial" w:hAnsi="Arial" w:cs="Arial"/>
          <w:sz w:val="24"/>
          <w:szCs w:val="24"/>
        </w:rPr>
        <w:t>.</w:t>
      </w:r>
      <w:r w:rsidR="00F439BC">
        <w:rPr>
          <w:rFonts w:ascii="Arial" w:hAnsi="Arial" w:cs="Arial"/>
          <w:sz w:val="24"/>
          <w:szCs w:val="24"/>
        </w:rPr>
        <w:t xml:space="preserve"> Leigh et al., 2017)</w:t>
      </w:r>
      <w:r w:rsidR="00830958">
        <w:rPr>
          <w:rFonts w:ascii="Arial" w:hAnsi="Arial" w:cs="Arial"/>
          <w:sz w:val="24"/>
          <w:szCs w:val="24"/>
        </w:rPr>
        <w:t>.</w:t>
      </w:r>
      <w:r>
        <w:rPr>
          <w:rFonts w:ascii="Arial" w:hAnsi="Arial" w:cs="Arial"/>
          <w:sz w:val="24"/>
          <w:szCs w:val="24"/>
        </w:rPr>
        <w:t xml:space="preserve"> Of particular interest is the profile of cases that do not reach the standard of acceptance at the initial stage</w:t>
      </w:r>
      <w:r w:rsidR="00A118D7">
        <w:rPr>
          <w:rFonts w:ascii="Arial" w:hAnsi="Arial" w:cs="Arial"/>
          <w:sz w:val="24"/>
          <w:szCs w:val="24"/>
        </w:rPr>
        <w:t xml:space="preserve">. </w:t>
      </w:r>
      <w:r>
        <w:rPr>
          <w:rFonts w:ascii="Arial" w:hAnsi="Arial" w:cs="Arial"/>
          <w:sz w:val="24"/>
          <w:szCs w:val="24"/>
        </w:rPr>
        <w:t xml:space="preserve"> </w:t>
      </w:r>
    </w:p>
    <w:p w14:paraId="7AD96A47" w14:textId="53EDC3A1" w:rsidR="00830958" w:rsidRPr="00830958" w:rsidRDefault="00830958" w:rsidP="009171F8">
      <w:pPr>
        <w:spacing w:line="360" w:lineRule="auto"/>
        <w:rPr>
          <w:rFonts w:ascii="Arial" w:hAnsi="Arial" w:cs="Arial"/>
          <w:i/>
          <w:sz w:val="24"/>
          <w:szCs w:val="24"/>
        </w:rPr>
      </w:pPr>
      <w:r w:rsidRPr="00830958">
        <w:rPr>
          <w:rFonts w:ascii="Arial" w:hAnsi="Arial" w:cs="Arial"/>
          <w:i/>
          <w:sz w:val="24"/>
          <w:szCs w:val="24"/>
        </w:rPr>
        <w:t>Inappropriate referrals</w:t>
      </w:r>
      <w:r w:rsidR="00AE2117">
        <w:rPr>
          <w:rFonts w:ascii="Arial" w:hAnsi="Arial" w:cs="Arial"/>
          <w:i/>
          <w:sz w:val="24"/>
          <w:szCs w:val="24"/>
        </w:rPr>
        <w:t>, failure to provide further evidence</w:t>
      </w:r>
      <w:r w:rsidR="00DC083B">
        <w:rPr>
          <w:rFonts w:ascii="Arial" w:hAnsi="Arial" w:cs="Arial"/>
          <w:i/>
          <w:sz w:val="24"/>
          <w:szCs w:val="24"/>
        </w:rPr>
        <w:t xml:space="preserve"> and organisational issues </w:t>
      </w:r>
    </w:p>
    <w:p w14:paraId="3729FEC8" w14:textId="777949CE" w:rsidR="00590979" w:rsidRDefault="00590979" w:rsidP="009171F8">
      <w:pPr>
        <w:spacing w:line="360" w:lineRule="auto"/>
        <w:rPr>
          <w:rFonts w:ascii="Arial" w:hAnsi="Arial" w:cs="Arial"/>
          <w:sz w:val="24"/>
          <w:szCs w:val="24"/>
        </w:rPr>
      </w:pPr>
      <w:r>
        <w:rPr>
          <w:rFonts w:ascii="Arial" w:hAnsi="Arial" w:cs="Arial"/>
          <w:sz w:val="24"/>
          <w:szCs w:val="24"/>
        </w:rPr>
        <w:t>A</w:t>
      </w:r>
      <w:r w:rsidR="00830958">
        <w:rPr>
          <w:rFonts w:ascii="Arial" w:hAnsi="Arial" w:cs="Arial"/>
          <w:sz w:val="24"/>
          <w:szCs w:val="24"/>
        </w:rPr>
        <w:t xml:space="preserve"> </w:t>
      </w:r>
      <w:r>
        <w:rPr>
          <w:rFonts w:ascii="Arial" w:hAnsi="Arial" w:cs="Arial"/>
          <w:sz w:val="24"/>
          <w:szCs w:val="24"/>
        </w:rPr>
        <w:t xml:space="preserve">large proportion of these referrals are made by service users, especially </w:t>
      </w:r>
      <w:r w:rsidR="00EB632A">
        <w:rPr>
          <w:rFonts w:ascii="Arial" w:hAnsi="Arial" w:cs="Arial"/>
          <w:sz w:val="24"/>
          <w:szCs w:val="24"/>
        </w:rPr>
        <w:t xml:space="preserve">about </w:t>
      </w:r>
      <w:r>
        <w:rPr>
          <w:rFonts w:ascii="Arial" w:hAnsi="Arial" w:cs="Arial"/>
          <w:sz w:val="24"/>
          <w:szCs w:val="24"/>
        </w:rPr>
        <w:t xml:space="preserve">child </w:t>
      </w:r>
      <w:r w:rsidR="00830958">
        <w:rPr>
          <w:rFonts w:ascii="Arial" w:hAnsi="Arial" w:cs="Arial"/>
          <w:sz w:val="24"/>
          <w:szCs w:val="24"/>
        </w:rPr>
        <w:t>residence a</w:t>
      </w:r>
      <w:r>
        <w:rPr>
          <w:rFonts w:ascii="Arial" w:hAnsi="Arial" w:cs="Arial"/>
          <w:sz w:val="24"/>
          <w:szCs w:val="24"/>
        </w:rPr>
        <w:t>nd contact. Family members may be angry at decision</w:t>
      </w:r>
      <w:r w:rsidR="00A118D7">
        <w:rPr>
          <w:rFonts w:ascii="Arial" w:hAnsi="Arial" w:cs="Arial"/>
          <w:sz w:val="24"/>
          <w:szCs w:val="24"/>
        </w:rPr>
        <w:t>s</w:t>
      </w:r>
      <w:r>
        <w:rPr>
          <w:rFonts w:ascii="Arial" w:hAnsi="Arial" w:cs="Arial"/>
          <w:sz w:val="24"/>
          <w:szCs w:val="24"/>
        </w:rPr>
        <w:t xml:space="preserve">, or feel they have been treated disrespectfully, or worse, by social workers. They may be unaware that HCPC is not a </w:t>
      </w:r>
      <w:r w:rsidR="007456EA">
        <w:rPr>
          <w:rFonts w:ascii="Arial" w:hAnsi="Arial" w:cs="Arial"/>
          <w:sz w:val="24"/>
          <w:szCs w:val="24"/>
        </w:rPr>
        <w:t xml:space="preserve">general </w:t>
      </w:r>
      <w:r>
        <w:rPr>
          <w:rFonts w:ascii="Arial" w:hAnsi="Arial" w:cs="Arial"/>
          <w:sz w:val="24"/>
          <w:szCs w:val="24"/>
        </w:rPr>
        <w:t xml:space="preserve">complaints body, or that there are local authority or agency complaints procedures that should be tried first. </w:t>
      </w:r>
      <w:r w:rsidR="00AE2117">
        <w:rPr>
          <w:rFonts w:ascii="Arial" w:hAnsi="Arial" w:cs="Arial"/>
          <w:sz w:val="24"/>
          <w:szCs w:val="24"/>
        </w:rPr>
        <w:t xml:space="preserve">In many of the cases, referrers do not respond to requests for further information to substantiate their claims, as exemplified in Cases 1 and 2. </w:t>
      </w:r>
      <w:r w:rsidR="00D05EC9">
        <w:rPr>
          <w:rFonts w:ascii="Arial" w:hAnsi="Arial" w:cs="Arial"/>
          <w:sz w:val="24"/>
          <w:szCs w:val="24"/>
        </w:rPr>
        <w:t xml:space="preserve">There are </w:t>
      </w:r>
      <w:r w:rsidR="001D55B7">
        <w:rPr>
          <w:rFonts w:ascii="Arial" w:hAnsi="Arial" w:cs="Arial"/>
          <w:sz w:val="24"/>
          <w:szCs w:val="24"/>
        </w:rPr>
        <w:t xml:space="preserve">several </w:t>
      </w:r>
      <w:r w:rsidR="00D05EC9">
        <w:rPr>
          <w:rFonts w:ascii="Arial" w:hAnsi="Arial" w:cs="Arial"/>
          <w:sz w:val="24"/>
          <w:szCs w:val="24"/>
        </w:rPr>
        <w:t>reasons for this, some of which relate to the nature of the complaint, frustrations with the current system and a sense of lack of redress</w:t>
      </w:r>
      <w:r w:rsidR="00B75569">
        <w:rPr>
          <w:rFonts w:ascii="Arial" w:hAnsi="Arial" w:cs="Arial"/>
          <w:sz w:val="24"/>
          <w:szCs w:val="24"/>
        </w:rPr>
        <w:t xml:space="preserve"> at a local level</w:t>
      </w:r>
      <w:r w:rsidR="00D05EC9">
        <w:rPr>
          <w:rFonts w:ascii="Arial" w:hAnsi="Arial" w:cs="Arial"/>
          <w:sz w:val="24"/>
          <w:szCs w:val="24"/>
        </w:rPr>
        <w:t xml:space="preserve">. </w:t>
      </w:r>
      <w:r w:rsidR="00B75569">
        <w:rPr>
          <w:rFonts w:ascii="Arial" w:hAnsi="Arial" w:cs="Arial"/>
          <w:sz w:val="24"/>
          <w:szCs w:val="24"/>
        </w:rPr>
        <w:t>These cases may also signal the</w:t>
      </w:r>
      <w:r w:rsidR="00406530">
        <w:rPr>
          <w:rFonts w:ascii="Arial" w:hAnsi="Arial" w:cs="Arial"/>
          <w:sz w:val="24"/>
          <w:szCs w:val="24"/>
        </w:rPr>
        <w:t xml:space="preserve"> </w:t>
      </w:r>
      <w:r w:rsidR="00AE2117">
        <w:rPr>
          <w:rFonts w:ascii="Arial" w:hAnsi="Arial" w:cs="Arial"/>
          <w:sz w:val="24"/>
          <w:szCs w:val="24"/>
        </w:rPr>
        <w:t>need for</w:t>
      </w:r>
      <w:r w:rsidR="00406530">
        <w:rPr>
          <w:rFonts w:ascii="Arial" w:hAnsi="Arial" w:cs="Arial"/>
          <w:sz w:val="24"/>
          <w:szCs w:val="24"/>
        </w:rPr>
        <w:t xml:space="preserve"> regulatory bodies to communicate </w:t>
      </w:r>
      <w:r w:rsidR="001D55B7">
        <w:rPr>
          <w:rFonts w:ascii="Arial" w:hAnsi="Arial" w:cs="Arial"/>
          <w:sz w:val="24"/>
          <w:szCs w:val="24"/>
        </w:rPr>
        <w:t xml:space="preserve">in </w:t>
      </w:r>
      <w:r w:rsidR="00406530">
        <w:rPr>
          <w:rFonts w:ascii="Arial" w:hAnsi="Arial" w:cs="Arial"/>
          <w:sz w:val="24"/>
          <w:szCs w:val="24"/>
        </w:rPr>
        <w:t>language that is accessible</w:t>
      </w:r>
      <w:r w:rsidR="001D55B7">
        <w:rPr>
          <w:rFonts w:ascii="Arial" w:hAnsi="Arial" w:cs="Arial"/>
          <w:sz w:val="24"/>
          <w:szCs w:val="24"/>
        </w:rPr>
        <w:t xml:space="preserve"> and </w:t>
      </w:r>
      <w:r w:rsidR="00AE2117">
        <w:rPr>
          <w:rFonts w:ascii="Arial" w:hAnsi="Arial" w:cs="Arial"/>
          <w:sz w:val="24"/>
          <w:szCs w:val="24"/>
        </w:rPr>
        <w:t>sensitiv</w:t>
      </w:r>
      <w:r w:rsidR="001D55B7">
        <w:rPr>
          <w:rFonts w:ascii="Arial" w:hAnsi="Arial" w:cs="Arial"/>
          <w:sz w:val="24"/>
          <w:szCs w:val="24"/>
        </w:rPr>
        <w:t>e to</w:t>
      </w:r>
      <w:r w:rsidR="00AE2117">
        <w:rPr>
          <w:rFonts w:ascii="Arial" w:hAnsi="Arial" w:cs="Arial"/>
          <w:sz w:val="24"/>
          <w:szCs w:val="24"/>
        </w:rPr>
        <w:t xml:space="preserve"> cultural norms</w:t>
      </w:r>
      <w:r w:rsidR="00F34017">
        <w:rPr>
          <w:rFonts w:ascii="Arial" w:hAnsi="Arial" w:cs="Arial"/>
          <w:sz w:val="24"/>
          <w:szCs w:val="24"/>
        </w:rPr>
        <w:t xml:space="preserve">, and </w:t>
      </w:r>
      <w:r w:rsidR="001D55B7">
        <w:rPr>
          <w:rFonts w:ascii="Arial" w:hAnsi="Arial" w:cs="Arial"/>
          <w:sz w:val="24"/>
          <w:szCs w:val="24"/>
        </w:rPr>
        <w:t xml:space="preserve">to </w:t>
      </w:r>
      <w:r w:rsidR="00B75569">
        <w:rPr>
          <w:rFonts w:ascii="Arial" w:hAnsi="Arial" w:cs="Arial"/>
          <w:sz w:val="24"/>
          <w:szCs w:val="24"/>
        </w:rPr>
        <w:t xml:space="preserve">find </w:t>
      </w:r>
      <w:r w:rsidR="00F34017">
        <w:rPr>
          <w:rFonts w:ascii="Arial" w:hAnsi="Arial" w:cs="Arial"/>
          <w:sz w:val="24"/>
          <w:szCs w:val="24"/>
        </w:rPr>
        <w:t>ways of</w:t>
      </w:r>
      <w:r w:rsidR="00AE2117">
        <w:rPr>
          <w:rFonts w:ascii="Arial" w:hAnsi="Arial" w:cs="Arial"/>
          <w:sz w:val="24"/>
          <w:szCs w:val="24"/>
        </w:rPr>
        <w:t xml:space="preserve"> supporting service users to substantiate referrals or make complaints to another more appropriate body.   </w:t>
      </w:r>
    </w:p>
    <w:p w14:paraId="611FFDF8" w14:textId="64E23270" w:rsidR="00590979" w:rsidRDefault="00590979" w:rsidP="009171F8">
      <w:pPr>
        <w:spacing w:line="360" w:lineRule="auto"/>
        <w:rPr>
          <w:rFonts w:ascii="Arial" w:hAnsi="Arial" w:cs="Arial"/>
          <w:sz w:val="24"/>
          <w:szCs w:val="24"/>
        </w:rPr>
      </w:pPr>
      <w:r>
        <w:rPr>
          <w:rFonts w:ascii="Arial" w:hAnsi="Arial" w:cs="Arial"/>
          <w:sz w:val="24"/>
          <w:szCs w:val="24"/>
        </w:rPr>
        <w:t>Some referrals at th</w:t>
      </w:r>
      <w:r w:rsidR="009607BE">
        <w:rPr>
          <w:rFonts w:ascii="Arial" w:hAnsi="Arial" w:cs="Arial"/>
          <w:sz w:val="24"/>
          <w:szCs w:val="24"/>
        </w:rPr>
        <w:t>e</w:t>
      </w:r>
      <w:r>
        <w:rPr>
          <w:rFonts w:ascii="Arial" w:hAnsi="Arial" w:cs="Arial"/>
          <w:sz w:val="24"/>
          <w:szCs w:val="24"/>
        </w:rPr>
        <w:t xml:space="preserve"> </w:t>
      </w:r>
      <w:r w:rsidR="00F5684A">
        <w:rPr>
          <w:rFonts w:ascii="Arial" w:hAnsi="Arial" w:cs="Arial"/>
          <w:sz w:val="24"/>
          <w:szCs w:val="24"/>
        </w:rPr>
        <w:t>initial</w:t>
      </w:r>
      <w:r w:rsidR="009607BE">
        <w:rPr>
          <w:rFonts w:ascii="Arial" w:hAnsi="Arial" w:cs="Arial"/>
          <w:sz w:val="24"/>
          <w:szCs w:val="24"/>
        </w:rPr>
        <w:t xml:space="preserve"> </w:t>
      </w:r>
      <w:r>
        <w:rPr>
          <w:rFonts w:ascii="Arial" w:hAnsi="Arial" w:cs="Arial"/>
          <w:sz w:val="24"/>
          <w:szCs w:val="24"/>
        </w:rPr>
        <w:t>and Investigating Committee stage</w:t>
      </w:r>
      <w:r w:rsidR="009607BE">
        <w:rPr>
          <w:rFonts w:ascii="Arial" w:hAnsi="Arial" w:cs="Arial"/>
          <w:sz w:val="24"/>
          <w:szCs w:val="24"/>
        </w:rPr>
        <w:t>s</w:t>
      </w:r>
      <w:r>
        <w:rPr>
          <w:rFonts w:ascii="Arial" w:hAnsi="Arial" w:cs="Arial"/>
          <w:sz w:val="24"/>
          <w:szCs w:val="24"/>
        </w:rPr>
        <w:t xml:space="preserve"> relate to one-off instances of poor conduct or competence that are not serious enough to put the social worker’s fitness to practise in question, especially if evidence is forthcoming </w:t>
      </w:r>
      <w:r>
        <w:rPr>
          <w:rFonts w:ascii="Arial" w:hAnsi="Arial" w:cs="Arial"/>
          <w:sz w:val="24"/>
          <w:szCs w:val="24"/>
        </w:rPr>
        <w:lastRenderedPageBreak/>
        <w:t>that steps have been taken to acknowledge or put right (‘remediate’) the mistake or poor behaviour. Furthermore, many cases are judged by HCPC to relate to organisational as opposed to individual failings by social workers</w:t>
      </w:r>
      <w:r w:rsidR="00E16093">
        <w:rPr>
          <w:rFonts w:ascii="Arial" w:hAnsi="Arial" w:cs="Arial"/>
          <w:sz w:val="24"/>
          <w:szCs w:val="24"/>
        </w:rPr>
        <w:t>, and case files show</w:t>
      </w:r>
      <w:r w:rsidR="00A37CB2" w:rsidRPr="00A37CB2">
        <w:rPr>
          <w:rFonts w:ascii="Arial" w:hAnsi="Arial" w:cs="Arial"/>
          <w:sz w:val="24"/>
          <w:szCs w:val="24"/>
        </w:rPr>
        <w:t xml:space="preserve"> the significant time HCPC deploys in filtering out referrals that relate more to organisational than individual issues</w:t>
      </w:r>
      <w:r w:rsidR="00E16093">
        <w:rPr>
          <w:rFonts w:ascii="Arial" w:hAnsi="Arial" w:cs="Arial"/>
          <w:sz w:val="24"/>
          <w:szCs w:val="24"/>
        </w:rPr>
        <w:t>.</w:t>
      </w:r>
      <w:r w:rsidR="00A37CB2">
        <w:rPr>
          <w:rFonts w:ascii="Arial" w:hAnsi="Arial" w:cs="Arial"/>
          <w:sz w:val="24"/>
          <w:szCs w:val="24"/>
        </w:rPr>
        <w:t xml:space="preserve"> </w:t>
      </w:r>
      <w:r w:rsidR="00E16093">
        <w:rPr>
          <w:rFonts w:ascii="Arial" w:hAnsi="Arial" w:cs="Arial"/>
          <w:sz w:val="24"/>
          <w:szCs w:val="24"/>
        </w:rPr>
        <w:t xml:space="preserve">This </w:t>
      </w:r>
      <w:r>
        <w:rPr>
          <w:rFonts w:ascii="Arial" w:hAnsi="Arial" w:cs="Arial"/>
          <w:sz w:val="24"/>
          <w:szCs w:val="24"/>
        </w:rPr>
        <w:t xml:space="preserve">is not </w:t>
      </w:r>
      <w:r w:rsidR="00E16093">
        <w:rPr>
          <w:rFonts w:ascii="Arial" w:hAnsi="Arial" w:cs="Arial"/>
          <w:sz w:val="24"/>
          <w:szCs w:val="24"/>
        </w:rPr>
        <w:t xml:space="preserve">picked up </w:t>
      </w:r>
      <w:r>
        <w:rPr>
          <w:rFonts w:ascii="Arial" w:hAnsi="Arial" w:cs="Arial"/>
          <w:sz w:val="24"/>
          <w:szCs w:val="24"/>
        </w:rPr>
        <w:t xml:space="preserve">in </w:t>
      </w:r>
      <w:r w:rsidR="00AD26CD">
        <w:rPr>
          <w:rFonts w:ascii="Arial" w:hAnsi="Arial" w:cs="Arial"/>
          <w:sz w:val="24"/>
          <w:szCs w:val="24"/>
        </w:rPr>
        <w:t>previous</w:t>
      </w:r>
      <w:r>
        <w:rPr>
          <w:rFonts w:ascii="Arial" w:hAnsi="Arial" w:cs="Arial"/>
          <w:sz w:val="24"/>
          <w:szCs w:val="24"/>
        </w:rPr>
        <w:t xml:space="preserve"> </w:t>
      </w:r>
      <w:r w:rsidR="00E16093">
        <w:rPr>
          <w:rFonts w:ascii="Arial" w:hAnsi="Arial" w:cs="Arial"/>
          <w:sz w:val="24"/>
          <w:szCs w:val="24"/>
        </w:rPr>
        <w:t xml:space="preserve">research </w:t>
      </w:r>
      <w:r w:rsidR="007E19E1">
        <w:rPr>
          <w:rFonts w:ascii="Arial" w:hAnsi="Arial" w:cs="Arial"/>
          <w:sz w:val="24"/>
          <w:szCs w:val="24"/>
        </w:rPr>
        <w:t>focuss</w:t>
      </w:r>
      <w:r w:rsidR="00E16093">
        <w:rPr>
          <w:rFonts w:ascii="Arial" w:hAnsi="Arial" w:cs="Arial"/>
          <w:sz w:val="24"/>
          <w:szCs w:val="24"/>
        </w:rPr>
        <w:t xml:space="preserve">ing </w:t>
      </w:r>
      <w:r>
        <w:rPr>
          <w:rFonts w:ascii="Arial" w:hAnsi="Arial" w:cs="Arial"/>
          <w:sz w:val="24"/>
          <w:szCs w:val="24"/>
        </w:rPr>
        <w:t>solely on final hearings</w:t>
      </w:r>
      <w:r w:rsidR="00E16093">
        <w:rPr>
          <w:rFonts w:ascii="Arial" w:hAnsi="Arial" w:cs="Arial"/>
          <w:sz w:val="24"/>
          <w:szCs w:val="24"/>
        </w:rPr>
        <w:t xml:space="preserve"> </w:t>
      </w:r>
      <w:r w:rsidR="00E16093" w:rsidRPr="00E16093">
        <w:rPr>
          <w:rFonts w:ascii="Arial" w:hAnsi="Arial" w:cs="Arial"/>
          <w:sz w:val="24"/>
          <w:szCs w:val="24"/>
        </w:rPr>
        <w:t>(e.g. Leigh et al. 2017)</w:t>
      </w:r>
      <w:r w:rsidR="00E16093">
        <w:rPr>
          <w:rFonts w:ascii="Arial" w:hAnsi="Arial" w:cs="Arial"/>
          <w:sz w:val="24"/>
          <w:szCs w:val="24"/>
        </w:rPr>
        <w:t xml:space="preserve">. </w:t>
      </w:r>
      <w:r>
        <w:rPr>
          <w:rFonts w:ascii="Arial" w:hAnsi="Arial" w:cs="Arial"/>
          <w:sz w:val="24"/>
          <w:szCs w:val="24"/>
        </w:rPr>
        <w:t xml:space="preserve"> </w:t>
      </w:r>
    </w:p>
    <w:p w14:paraId="7243B9BA" w14:textId="2B390437" w:rsidR="007827D6" w:rsidRPr="007827D6" w:rsidRDefault="007827D6" w:rsidP="009171F8">
      <w:pPr>
        <w:spacing w:line="360" w:lineRule="auto"/>
        <w:rPr>
          <w:rFonts w:ascii="Arial" w:hAnsi="Arial" w:cs="Arial"/>
          <w:i/>
          <w:sz w:val="24"/>
          <w:szCs w:val="24"/>
        </w:rPr>
      </w:pPr>
      <w:r w:rsidRPr="007827D6">
        <w:rPr>
          <w:rFonts w:ascii="Arial" w:hAnsi="Arial" w:cs="Arial"/>
          <w:i/>
          <w:sz w:val="24"/>
          <w:szCs w:val="24"/>
        </w:rPr>
        <w:t>Serious concerns and mitigating factors</w:t>
      </w:r>
    </w:p>
    <w:p w14:paraId="235EFF98" w14:textId="23E3EB22" w:rsidR="00590979" w:rsidRDefault="00590979" w:rsidP="009171F8">
      <w:pPr>
        <w:spacing w:line="360" w:lineRule="auto"/>
        <w:rPr>
          <w:rFonts w:ascii="Arial" w:hAnsi="Arial" w:cs="Arial"/>
          <w:sz w:val="24"/>
          <w:szCs w:val="24"/>
        </w:rPr>
      </w:pPr>
      <w:r>
        <w:rPr>
          <w:rFonts w:ascii="Arial" w:hAnsi="Arial" w:cs="Arial"/>
          <w:sz w:val="24"/>
          <w:szCs w:val="24"/>
        </w:rPr>
        <w:t>The majority of cases reach</w:t>
      </w:r>
      <w:r w:rsidR="009607BE">
        <w:rPr>
          <w:rFonts w:ascii="Arial" w:hAnsi="Arial" w:cs="Arial"/>
          <w:sz w:val="24"/>
          <w:szCs w:val="24"/>
        </w:rPr>
        <w:t>ing</w:t>
      </w:r>
      <w:r>
        <w:rPr>
          <w:rFonts w:ascii="Arial" w:hAnsi="Arial" w:cs="Arial"/>
          <w:sz w:val="24"/>
          <w:szCs w:val="24"/>
        </w:rPr>
        <w:t xml:space="preserve"> the final hearing stage, however, are more serious</w:t>
      </w:r>
      <w:r w:rsidR="009607BE">
        <w:rPr>
          <w:rFonts w:ascii="Arial" w:hAnsi="Arial" w:cs="Arial"/>
          <w:sz w:val="24"/>
          <w:szCs w:val="24"/>
        </w:rPr>
        <w:t xml:space="preserve">, with </w:t>
      </w:r>
      <w:r>
        <w:rPr>
          <w:rFonts w:ascii="Arial" w:hAnsi="Arial" w:cs="Arial"/>
          <w:sz w:val="24"/>
          <w:szCs w:val="24"/>
        </w:rPr>
        <w:t xml:space="preserve">potential to lead to a judgement of ‘impairment’. Often organisational issues are contributory factors, but individual behaviour is serious enough to warrant examination at a final hearing. Precisely what judgement is made and what sanctions imposed </w:t>
      </w:r>
      <w:r w:rsidR="009607BE">
        <w:rPr>
          <w:rFonts w:ascii="Arial" w:hAnsi="Arial" w:cs="Arial"/>
          <w:sz w:val="24"/>
          <w:szCs w:val="24"/>
        </w:rPr>
        <w:t>d</w:t>
      </w:r>
      <w:r>
        <w:rPr>
          <w:rFonts w:ascii="Arial" w:hAnsi="Arial" w:cs="Arial"/>
          <w:sz w:val="24"/>
          <w:szCs w:val="24"/>
        </w:rPr>
        <w:t>epends on many variables, not all of which are obvious in</w:t>
      </w:r>
      <w:r w:rsidR="00210B5C">
        <w:rPr>
          <w:rFonts w:ascii="Arial" w:hAnsi="Arial" w:cs="Arial"/>
          <w:sz w:val="24"/>
          <w:szCs w:val="24"/>
        </w:rPr>
        <w:t xml:space="preserve"> </w:t>
      </w:r>
      <w:r>
        <w:rPr>
          <w:rFonts w:ascii="Arial" w:hAnsi="Arial" w:cs="Arial"/>
          <w:sz w:val="24"/>
          <w:szCs w:val="24"/>
        </w:rPr>
        <w:t xml:space="preserve">final hearing summaries on the web. </w:t>
      </w:r>
      <w:r w:rsidR="00FD5867">
        <w:rPr>
          <w:rFonts w:ascii="Arial" w:hAnsi="Arial" w:cs="Arial"/>
          <w:sz w:val="24"/>
          <w:szCs w:val="24"/>
        </w:rPr>
        <w:t>A previous study</w:t>
      </w:r>
      <w:r w:rsidRPr="00F4703E">
        <w:rPr>
          <w:rFonts w:ascii="Arial" w:hAnsi="Arial" w:cs="Arial"/>
          <w:sz w:val="24"/>
          <w:szCs w:val="24"/>
        </w:rPr>
        <w:t xml:space="preserve"> </w:t>
      </w:r>
      <w:r w:rsidR="007827D6">
        <w:rPr>
          <w:rFonts w:ascii="Arial" w:hAnsi="Arial" w:cs="Arial"/>
          <w:sz w:val="24"/>
          <w:szCs w:val="24"/>
        </w:rPr>
        <w:t>(</w:t>
      </w:r>
      <w:r w:rsidRPr="00F4703E">
        <w:rPr>
          <w:rFonts w:ascii="Arial" w:hAnsi="Arial" w:cs="Arial"/>
          <w:sz w:val="24"/>
          <w:szCs w:val="24"/>
        </w:rPr>
        <w:t>Leigh et al.</w:t>
      </w:r>
      <w:r w:rsidR="007827D6">
        <w:rPr>
          <w:rFonts w:ascii="Arial" w:hAnsi="Arial" w:cs="Arial"/>
          <w:sz w:val="24"/>
          <w:szCs w:val="24"/>
        </w:rPr>
        <w:t>,</w:t>
      </w:r>
      <w:r w:rsidR="00EB632A">
        <w:rPr>
          <w:rFonts w:ascii="Arial" w:hAnsi="Arial" w:cs="Arial"/>
          <w:sz w:val="24"/>
          <w:szCs w:val="24"/>
        </w:rPr>
        <w:t xml:space="preserve"> </w:t>
      </w:r>
      <w:r w:rsidRPr="00F4703E">
        <w:rPr>
          <w:rFonts w:ascii="Arial" w:hAnsi="Arial" w:cs="Arial"/>
          <w:sz w:val="24"/>
          <w:szCs w:val="24"/>
        </w:rPr>
        <w:t>2017)</w:t>
      </w:r>
      <w:r w:rsidR="00210B5C">
        <w:rPr>
          <w:rFonts w:ascii="Arial" w:hAnsi="Arial" w:cs="Arial"/>
          <w:sz w:val="24"/>
          <w:szCs w:val="24"/>
        </w:rPr>
        <w:t>,</w:t>
      </w:r>
      <w:r w:rsidRPr="00F4703E">
        <w:rPr>
          <w:rFonts w:ascii="Arial" w:hAnsi="Arial" w:cs="Arial"/>
          <w:sz w:val="24"/>
          <w:szCs w:val="24"/>
        </w:rPr>
        <w:t xml:space="preserve"> </w:t>
      </w:r>
      <w:r w:rsidR="00FD5867">
        <w:rPr>
          <w:rFonts w:ascii="Arial" w:hAnsi="Arial" w:cs="Arial"/>
          <w:sz w:val="24"/>
          <w:szCs w:val="24"/>
        </w:rPr>
        <w:t>with access only to these summaries,</w:t>
      </w:r>
      <w:r w:rsidRPr="00F4703E">
        <w:rPr>
          <w:rFonts w:ascii="Arial" w:hAnsi="Arial" w:cs="Arial"/>
          <w:sz w:val="24"/>
          <w:szCs w:val="24"/>
        </w:rPr>
        <w:t xml:space="preserve"> suggest</w:t>
      </w:r>
      <w:r w:rsidR="007827D6">
        <w:rPr>
          <w:rFonts w:ascii="Arial" w:hAnsi="Arial" w:cs="Arial"/>
          <w:sz w:val="24"/>
          <w:szCs w:val="24"/>
        </w:rPr>
        <w:t>s</w:t>
      </w:r>
      <w:r>
        <w:rPr>
          <w:rFonts w:ascii="Arial" w:hAnsi="Arial" w:cs="Arial"/>
          <w:sz w:val="24"/>
          <w:szCs w:val="24"/>
        </w:rPr>
        <w:t xml:space="preserve"> there is no link between seriousness of the social worker’s actions that led to a referral, and the actual finding of the panel and sanction(s) applied. However, </w:t>
      </w:r>
      <w:r w:rsidR="007827D6">
        <w:rPr>
          <w:rFonts w:ascii="Arial" w:hAnsi="Arial" w:cs="Arial"/>
          <w:sz w:val="24"/>
          <w:szCs w:val="24"/>
        </w:rPr>
        <w:t>our</w:t>
      </w:r>
      <w:r w:rsidR="00D76C01">
        <w:rPr>
          <w:rFonts w:ascii="Arial" w:hAnsi="Arial" w:cs="Arial"/>
          <w:sz w:val="24"/>
          <w:szCs w:val="24"/>
        </w:rPr>
        <w:t xml:space="preserve"> study found that </w:t>
      </w:r>
      <w:r>
        <w:rPr>
          <w:rFonts w:ascii="Arial" w:hAnsi="Arial" w:cs="Arial"/>
          <w:sz w:val="24"/>
          <w:szCs w:val="24"/>
        </w:rPr>
        <w:t>panel decision</w:t>
      </w:r>
      <w:r w:rsidR="00E16093">
        <w:rPr>
          <w:rFonts w:ascii="Arial" w:hAnsi="Arial" w:cs="Arial"/>
          <w:sz w:val="24"/>
          <w:szCs w:val="24"/>
        </w:rPr>
        <w:t>s</w:t>
      </w:r>
      <w:r>
        <w:rPr>
          <w:rFonts w:ascii="Arial" w:hAnsi="Arial" w:cs="Arial"/>
          <w:sz w:val="24"/>
          <w:szCs w:val="24"/>
        </w:rPr>
        <w:t xml:space="preserve"> also take account of mitigating factors offered by social worker</w:t>
      </w:r>
      <w:r w:rsidR="00E16093">
        <w:rPr>
          <w:rFonts w:ascii="Arial" w:hAnsi="Arial" w:cs="Arial"/>
          <w:sz w:val="24"/>
          <w:szCs w:val="24"/>
        </w:rPr>
        <w:t>s</w:t>
      </w:r>
      <w:r>
        <w:rPr>
          <w:rFonts w:ascii="Arial" w:hAnsi="Arial" w:cs="Arial"/>
          <w:sz w:val="24"/>
          <w:szCs w:val="24"/>
        </w:rPr>
        <w:t xml:space="preserve"> or witnesses, if present, and the extent to which social worker</w:t>
      </w:r>
      <w:r w:rsidR="00E16093">
        <w:rPr>
          <w:rFonts w:ascii="Arial" w:hAnsi="Arial" w:cs="Arial"/>
          <w:sz w:val="24"/>
          <w:szCs w:val="24"/>
        </w:rPr>
        <w:t>s</w:t>
      </w:r>
      <w:r>
        <w:rPr>
          <w:rFonts w:ascii="Arial" w:hAnsi="Arial" w:cs="Arial"/>
          <w:sz w:val="24"/>
          <w:szCs w:val="24"/>
        </w:rPr>
        <w:t xml:space="preserve"> show evidence of genuine regret, remorse and willingness to engage in remediation. </w:t>
      </w:r>
      <w:r w:rsidR="009607BE">
        <w:rPr>
          <w:rFonts w:ascii="Arial" w:hAnsi="Arial" w:cs="Arial"/>
          <w:sz w:val="24"/>
          <w:szCs w:val="24"/>
        </w:rPr>
        <w:t>Although</w:t>
      </w:r>
      <w:r>
        <w:rPr>
          <w:rFonts w:ascii="Arial" w:hAnsi="Arial" w:cs="Arial"/>
          <w:sz w:val="24"/>
          <w:szCs w:val="24"/>
        </w:rPr>
        <w:t xml:space="preserve"> case files cannot tell us exactly what weight panel</w:t>
      </w:r>
      <w:r w:rsidR="00E16093">
        <w:rPr>
          <w:rFonts w:ascii="Arial" w:hAnsi="Arial" w:cs="Arial"/>
          <w:sz w:val="24"/>
          <w:szCs w:val="24"/>
        </w:rPr>
        <w:t>s</w:t>
      </w:r>
      <w:r>
        <w:rPr>
          <w:rFonts w:ascii="Arial" w:hAnsi="Arial" w:cs="Arial"/>
          <w:sz w:val="24"/>
          <w:szCs w:val="24"/>
        </w:rPr>
        <w:t xml:space="preserve"> </w:t>
      </w:r>
      <w:r w:rsidR="00E16093">
        <w:rPr>
          <w:rFonts w:ascii="Arial" w:hAnsi="Arial" w:cs="Arial"/>
          <w:sz w:val="24"/>
          <w:szCs w:val="24"/>
        </w:rPr>
        <w:t>place</w:t>
      </w:r>
      <w:r>
        <w:rPr>
          <w:rFonts w:ascii="Arial" w:hAnsi="Arial" w:cs="Arial"/>
          <w:sz w:val="24"/>
          <w:szCs w:val="24"/>
        </w:rPr>
        <w:t xml:space="preserve"> on each of these factors</w:t>
      </w:r>
      <w:r w:rsidR="009607BE">
        <w:rPr>
          <w:rFonts w:ascii="Arial" w:hAnsi="Arial" w:cs="Arial"/>
          <w:sz w:val="24"/>
          <w:szCs w:val="24"/>
        </w:rPr>
        <w:t xml:space="preserve">, </w:t>
      </w:r>
      <w:r>
        <w:rPr>
          <w:rFonts w:ascii="Arial" w:hAnsi="Arial" w:cs="Arial"/>
          <w:sz w:val="24"/>
          <w:szCs w:val="24"/>
        </w:rPr>
        <w:t xml:space="preserve">repeated patterns of misconduct/incompetence, degree of insight into failings and actual or potential harm to service users (seriousness) are all taken into account. </w:t>
      </w:r>
    </w:p>
    <w:p w14:paraId="0D67A6F1" w14:textId="7F40A4BB" w:rsidR="007827D6" w:rsidRPr="007827D6" w:rsidRDefault="007827D6" w:rsidP="009171F8">
      <w:pPr>
        <w:spacing w:line="360" w:lineRule="auto"/>
        <w:rPr>
          <w:rFonts w:ascii="Arial" w:hAnsi="Arial" w:cs="Arial"/>
          <w:i/>
          <w:sz w:val="24"/>
          <w:szCs w:val="24"/>
        </w:rPr>
      </w:pPr>
      <w:r w:rsidRPr="007827D6">
        <w:rPr>
          <w:rFonts w:ascii="Arial" w:hAnsi="Arial" w:cs="Arial"/>
          <w:i/>
          <w:sz w:val="24"/>
          <w:szCs w:val="24"/>
        </w:rPr>
        <w:t>A continuum of concerns and the ‘dark yellow card’</w:t>
      </w:r>
    </w:p>
    <w:p w14:paraId="0E801E4C" w14:textId="7292B302" w:rsidR="00590979" w:rsidRDefault="00590979" w:rsidP="009171F8">
      <w:pPr>
        <w:spacing w:line="360" w:lineRule="auto"/>
        <w:rPr>
          <w:rFonts w:ascii="Arial" w:hAnsi="Arial" w:cs="Arial"/>
          <w:sz w:val="24"/>
          <w:szCs w:val="24"/>
          <w:lang w:val="en"/>
        </w:rPr>
      </w:pPr>
      <w:r>
        <w:rPr>
          <w:rFonts w:ascii="Arial" w:hAnsi="Arial" w:cs="Arial"/>
          <w:sz w:val="24"/>
          <w:szCs w:val="24"/>
        </w:rPr>
        <w:t>The case analysis led the research team to propose a continuum of fitness to practice concerns from potential to actual impairment, based on the yellow/red card analogy from football. Here players committing misconduct may</w:t>
      </w:r>
      <w:r w:rsidRPr="00AF31EA">
        <w:rPr>
          <w:rFonts w:ascii="Arial" w:hAnsi="Arial" w:cs="Arial"/>
          <w:sz w:val="24"/>
          <w:szCs w:val="24"/>
          <w:lang w:val="en"/>
        </w:rPr>
        <w:t xml:space="preserve"> either receiv</w:t>
      </w:r>
      <w:r>
        <w:rPr>
          <w:rFonts w:ascii="Arial" w:hAnsi="Arial" w:cs="Arial"/>
          <w:sz w:val="24"/>
          <w:szCs w:val="24"/>
          <w:lang w:val="en"/>
        </w:rPr>
        <w:t xml:space="preserve">e </w:t>
      </w:r>
      <w:r w:rsidRPr="00945E38">
        <w:rPr>
          <w:rFonts w:ascii="Arial" w:hAnsi="Arial" w:cs="Arial"/>
          <w:sz w:val="24"/>
          <w:szCs w:val="24"/>
          <w:lang w:val="en"/>
        </w:rPr>
        <w:t xml:space="preserve">a </w:t>
      </w:r>
      <w:hyperlink r:id="rId10" w:anchor="Yellow_card" w:tooltip="Penalty card" w:history="1">
        <w:r w:rsidRPr="00945E38">
          <w:rPr>
            <w:rStyle w:val="Hyperlink"/>
            <w:rFonts w:ascii="Arial" w:hAnsi="Arial" w:cs="Arial"/>
            <w:color w:val="auto"/>
            <w:sz w:val="24"/>
            <w:szCs w:val="24"/>
            <w:u w:val="none"/>
            <w:lang w:val="en"/>
          </w:rPr>
          <w:t>yellow card</w:t>
        </w:r>
      </w:hyperlink>
      <w:r>
        <w:rPr>
          <w:rFonts w:ascii="Arial" w:hAnsi="Arial" w:cs="Arial"/>
          <w:sz w:val="24"/>
          <w:szCs w:val="24"/>
        </w:rPr>
        <w:t xml:space="preserve"> (a caution</w:t>
      </w:r>
      <w:r w:rsidRPr="00945E38">
        <w:rPr>
          <w:rFonts w:ascii="Arial" w:hAnsi="Arial" w:cs="Arial"/>
          <w:sz w:val="24"/>
          <w:szCs w:val="24"/>
          <w:lang w:val="en"/>
        </w:rPr>
        <w:t xml:space="preserve">) or </w:t>
      </w:r>
      <w:r>
        <w:rPr>
          <w:rFonts w:ascii="Arial" w:hAnsi="Arial" w:cs="Arial"/>
          <w:sz w:val="24"/>
          <w:szCs w:val="24"/>
          <w:lang w:val="en"/>
        </w:rPr>
        <w:t xml:space="preserve">for more serious misconduct, a red card meaning they are </w:t>
      </w:r>
      <w:r w:rsidRPr="00945E38">
        <w:rPr>
          <w:rFonts w:ascii="Arial" w:hAnsi="Arial" w:cs="Arial"/>
          <w:sz w:val="24"/>
          <w:szCs w:val="24"/>
          <w:lang w:val="en"/>
        </w:rPr>
        <w:t>dismissed ("sent off") from the field</w:t>
      </w:r>
      <w:r>
        <w:rPr>
          <w:rFonts w:ascii="Arial" w:hAnsi="Arial" w:cs="Arial"/>
          <w:sz w:val="24"/>
          <w:szCs w:val="24"/>
          <w:lang w:val="en"/>
        </w:rPr>
        <w:t>. In some cases closed at the initial and investigating committee stage</w:t>
      </w:r>
      <w:r w:rsidR="009F7067">
        <w:rPr>
          <w:rFonts w:ascii="Arial" w:hAnsi="Arial" w:cs="Arial"/>
          <w:sz w:val="24"/>
          <w:szCs w:val="24"/>
          <w:lang w:val="en"/>
        </w:rPr>
        <w:t>s</w:t>
      </w:r>
      <w:r>
        <w:rPr>
          <w:rFonts w:ascii="Arial" w:hAnsi="Arial" w:cs="Arial"/>
          <w:sz w:val="24"/>
          <w:szCs w:val="24"/>
          <w:lang w:val="en"/>
        </w:rPr>
        <w:t xml:space="preserve"> genuine matters of concern </w:t>
      </w:r>
      <w:r w:rsidR="009F7067">
        <w:rPr>
          <w:rFonts w:ascii="Arial" w:hAnsi="Arial" w:cs="Arial"/>
          <w:sz w:val="24"/>
          <w:szCs w:val="24"/>
          <w:lang w:val="en"/>
        </w:rPr>
        <w:t xml:space="preserve">were </w:t>
      </w:r>
      <w:r>
        <w:rPr>
          <w:rFonts w:ascii="Arial" w:hAnsi="Arial" w:cs="Arial"/>
          <w:sz w:val="24"/>
          <w:szCs w:val="24"/>
          <w:lang w:val="en"/>
        </w:rPr>
        <w:t>raised, but these could be regarded as of the ‘yellow card’ variety</w:t>
      </w:r>
      <w:r w:rsidR="00E16093">
        <w:rPr>
          <w:rFonts w:ascii="Arial" w:hAnsi="Arial" w:cs="Arial"/>
          <w:sz w:val="24"/>
          <w:szCs w:val="24"/>
          <w:lang w:val="en"/>
        </w:rPr>
        <w:t>,</w:t>
      </w:r>
      <w:r>
        <w:rPr>
          <w:rFonts w:ascii="Arial" w:hAnsi="Arial" w:cs="Arial"/>
          <w:sz w:val="24"/>
          <w:szCs w:val="24"/>
          <w:lang w:val="en"/>
        </w:rPr>
        <w:t xml:space="preserve"> which could be dealt with locally. More serious cases could be classified as deserving of a dark yellow card, which </w:t>
      </w:r>
      <w:r>
        <w:rPr>
          <w:rFonts w:ascii="Arial" w:hAnsi="Arial" w:cs="Arial"/>
          <w:sz w:val="24"/>
          <w:szCs w:val="24"/>
          <w:lang w:val="en"/>
        </w:rPr>
        <w:lastRenderedPageBreak/>
        <w:t>may tip them into the final hearings stage if they exhibited several instances of more serious misconduct or incompetence requiring sanctions (red card)</w:t>
      </w:r>
      <w:r w:rsidR="00B92E63">
        <w:rPr>
          <w:rFonts w:ascii="Arial" w:hAnsi="Arial" w:cs="Arial"/>
          <w:sz w:val="24"/>
          <w:szCs w:val="24"/>
          <w:lang w:val="en"/>
        </w:rPr>
        <w:t xml:space="preserve"> (See Figure 1)</w:t>
      </w:r>
      <w:r>
        <w:rPr>
          <w:rFonts w:ascii="Arial" w:hAnsi="Arial" w:cs="Arial"/>
          <w:sz w:val="24"/>
          <w:szCs w:val="24"/>
          <w:lang w:val="en"/>
        </w:rPr>
        <w:t xml:space="preserve">.    </w:t>
      </w:r>
    </w:p>
    <w:p w14:paraId="6417064D" w14:textId="38699029" w:rsidR="00590979" w:rsidRDefault="00590979" w:rsidP="00C00C66">
      <w:pPr>
        <w:rPr>
          <w:rFonts w:ascii="Arial" w:hAnsi="Arial" w:cs="Arial"/>
          <w:b/>
          <w:sz w:val="24"/>
          <w:szCs w:val="24"/>
        </w:rPr>
      </w:pPr>
      <w:r w:rsidRPr="00482E1A">
        <w:rPr>
          <w:rFonts w:ascii="Arial" w:hAnsi="Arial" w:cs="Arial"/>
          <w:b/>
          <w:sz w:val="24"/>
          <w:szCs w:val="24"/>
        </w:rPr>
        <w:t xml:space="preserve">Figure 1: The continuum of impact on fitness to practise </w:t>
      </w:r>
      <w:r w:rsidR="00B92E63">
        <w:rPr>
          <w:rFonts w:ascii="Arial" w:hAnsi="Arial" w:cs="Arial"/>
          <w:b/>
          <w:sz w:val="24"/>
          <w:szCs w:val="24"/>
        </w:rPr>
        <w:t>and</w:t>
      </w:r>
      <w:r w:rsidRPr="00482E1A">
        <w:rPr>
          <w:rFonts w:ascii="Arial" w:hAnsi="Arial" w:cs="Arial"/>
          <w:b/>
          <w:sz w:val="24"/>
          <w:szCs w:val="24"/>
        </w:rPr>
        <w:t xml:space="preserve"> the ‘dark yellow card’</w:t>
      </w:r>
    </w:p>
    <w:p w14:paraId="3D8B1312" w14:textId="1B9EDBF9" w:rsidR="00B92E63" w:rsidRPr="00482E1A" w:rsidRDefault="00B92E63" w:rsidP="00C00C66">
      <w:pPr>
        <w:rPr>
          <w:rFonts w:ascii="Arial" w:hAnsi="Arial" w:cs="Arial"/>
          <w:b/>
          <w:sz w:val="24"/>
          <w:szCs w:val="24"/>
        </w:rPr>
      </w:pPr>
      <w:r>
        <w:rPr>
          <w:rFonts w:ascii="Arial" w:hAnsi="Arial" w:cs="Arial"/>
          <w:b/>
          <w:sz w:val="24"/>
          <w:szCs w:val="24"/>
        </w:rPr>
        <w:t>[Insert Figure 1 near here]</w:t>
      </w:r>
    </w:p>
    <w:p w14:paraId="21F961B3" w14:textId="279D80B5" w:rsidR="00590979" w:rsidRDefault="00E62196" w:rsidP="00B92E63">
      <w:pPr>
        <w:spacing w:line="360" w:lineRule="auto"/>
        <w:rPr>
          <w:rFonts w:ascii="Arial" w:hAnsi="Arial" w:cs="Arial"/>
          <w:sz w:val="24"/>
          <w:szCs w:val="24"/>
        </w:rPr>
      </w:pPr>
      <w:r>
        <w:rPr>
          <w:rFonts w:ascii="Arial" w:hAnsi="Arial" w:cs="Arial"/>
          <w:sz w:val="24"/>
          <w:szCs w:val="24"/>
        </w:rPr>
        <w:t>A</w:t>
      </w:r>
      <w:r w:rsidR="00590979" w:rsidRPr="003F4BA5">
        <w:rPr>
          <w:rFonts w:ascii="Arial" w:hAnsi="Arial" w:cs="Arial"/>
          <w:sz w:val="24"/>
          <w:szCs w:val="24"/>
        </w:rPr>
        <w:t xml:space="preserve">rguably </w:t>
      </w:r>
      <w:r w:rsidR="00590979">
        <w:rPr>
          <w:rFonts w:ascii="Arial" w:hAnsi="Arial" w:cs="Arial"/>
          <w:sz w:val="24"/>
          <w:szCs w:val="24"/>
        </w:rPr>
        <w:t>it is actions in the ‘dark yellow card’ category that require most attention and vigilance from managers and employers</w:t>
      </w:r>
      <w:r w:rsidR="00E83A64">
        <w:rPr>
          <w:rFonts w:ascii="Arial" w:hAnsi="Arial" w:cs="Arial"/>
          <w:sz w:val="24"/>
          <w:szCs w:val="24"/>
        </w:rPr>
        <w:t>.</w:t>
      </w:r>
      <w:r w:rsidR="006F5706">
        <w:rPr>
          <w:rFonts w:ascii="Arial" w:hAnsi="Arial" w:cs="Arial"/>
          <w:sz w:val="24"/>
          <w:szCs w:val="24"/>
        </w:rPr>
        <w:t xml:space="preserve"> </w:t>
      </w:r>
      <w:r w:rsidR="00E83A64">
        <w:rPr>
          <w:rFonts w:ascii="Arial" w:hAnsi="Arial" w:cs="Arial"/>
          <w:sz w:val="24"/>
          <w:szCs w:val="24"/>
        </w:rPr>
        <w:t xml:space="preserve">It is important to </w:t>
      </w:r>
      <w:r w:rsidR="006F5706">
        <w:rPr>
          <w:rFonts w:ascii="Arial" w:hAnsi="Arial" w:cs="Arial"/>
          <w:sz w:val="24"/>
          <w:szCs w:val="24"/>
        </w:rPr>
        <w:t>ensur</w:t>
      </w:r>
      <w:r w:rsidR="00E83A64">
        <w:rPr>
          <w:rFonts w:ascii="Arial" w:hAnsi="Arial" w:cs="Arial"/>
          <w:sz w:val="24"/>
          <w:szCs w:val="24"/>
        </w:rPr>
        <w:t>e</w:t>
      </w:r>
      <w:r w:rsidR="006F5706">
        <w:rPr>
          <w:rFonts w:ascii="Arial" w:hAnsi="Arial" w:cs="Arial"/>
          <w:sz w:val="24"/>
          <w:szCs w:val="24"/>
        </w:rPr>
        <w:t xml:space="preserve"> a ‘one</w:t>
      </w:r>
      <w:r>
        <w:rPr>
          <w:rFonts w:ascii="Arial" w:hAnsi="Arial" w:cs="Arial"/>
          <w:sz w:val="24"/>
          <w:szCs w:val="24"/>
        </w:rPr>
        <w:t>-</w:t>
      </w:r>
      <w:r w:rsidR="006F5706">
        <w:rPr>
          <w:rFonts w:ascii="Arial" w:hAnsi="Arial" w:cs="Arial"/>
          <w:sz w:val="24"/>
          <w:szCs w:val="24"/>
        </w:rPr>
        <w:t xml:space="preserve">off’ incident is understood as often due to </w:t>
      </w:r>
      <w:r w:rsidR="00590979">
        <w:rPr>
          <w:rFonts w:ascii="Arial" w:hAnsi="Arial" w:cs="Arial"/>
          <w:sz w:val="24"/>
          <w:szCs w:val="24"/>
        </w:rPr>
        <w:t xml:space="preserve">organisational factors such as inadequate supervision, pressurised working environments or a bullying culture </w:t>
      </w:r>
      <w:r w:rsidR="00E83A64">
        <w:rPr>
          <w:rFonts w:ascii="Arial" w:hAnsi="Arial" w:cs="Arial"/>
          <w:sz w:val="24"/>
          <w:szCs w:val="24"/>
        </w:rPr>
        <w:t xml:space="preserve">that </w:t>
      </w:r>
      <w:r w:rsidR="00590979">
        <w:rPr>
          <w:rFonts w:ascii="Arial" w:hAnsi="Arial" w:cs="Arial"/>
          <w:sz w:val="24"/>
          <w:szCs w:val="24"/>
        </w:rPr>
        <w:t>can move</w:t>
      </w:r>
      <w:r w:rsidR="00E16093">
        <w:rPr>
          <w:rFonts w:ascii="Arial" w:hAnsi="Arial" w:cs="Arial"/>
          <w:sz w:val="24"/>
          <w:szCs w:val="24"/>
        </w:rPr>
        <w:t xml:space="preserve"> </w:t>
      </w:r>
      <w:r w:rsidR="00590979">
        <w:rPr>
          <w:rFonts w:ascii="Arial" w:hAnsi="Arial" w:cs="Arial"/>
          <w:sz w:val="24"/>
          <w:szCs w:val="24"/>
        </w:rPr>
        <w:t xml:space="preserve">behaviour towards a ‘point of concern’ </w:t>
      </w:r>
      <w:r w:rsidR="00590979">
        <w:rPr>
          <w:rFonts w:ascii="Arial" w:hAnsi="Arial" w:cs="Arial"/>
          <w:noProof/>
          <w:sz w:val="24"/>
          <w:szCs w:val="24"/>
        </w:rPr>
        <w:t>(Sparrow, 2008)</w:t>
      </w:r>
      <w:r w:rsidR="00590979">
        <w:rPr>
          <w:rFonts w:ascii="Arial" w:hAnsi="Arial" w:cs="Arial"/>
          <w:sz w:val="24"/>
          <w:szCs w:val="24"/>
        </w:rPr>
        <w:t xml:space="preserve"> when fitness to practise becomes impaired.  </w:t>
      </w:r>
    </w:p>
    <w:p w14:paraId="7725E5F8" w14:textId="77777777" w:rsidR="00590979" w:rsidRPr="00E3677A" w:rsidRDefault="00590979" w:rsidP="009171F8">
      <w:pPr>
        <w:spacing w:line="360" w:lineRule="auto"/>
        <w:rPr>
          <w:rFonts w:ascii="Arial" w:hAnsi="Arial" w:cs="Arial"/>
          <w:b/>
          <w:sz w:val="24"/>
          <w:szCs w:val="24"/>
        </w:rPr>
      </w:pPr>
      <w:r w:rsidRPr="00E3677A">
        <w:rPr>
          <w:rFonts w:ascii="Arial" w:hAnsi="Arial" w:cs="Arial"/>
          <w:b/>
          <w:sz w:val="24"/>
          <w:szCs w:val="24"/>
        </w:rPr>
        <w:t xml:space="preserve">Conclusions  </w:t>
      </w:r>
    </w:p>
    <w:p w14:paraId="03F4420D" w14:textId="6BDD1C05" w:rsidR="00590979" w:rsidRDefault="00590979" w:rsidP="009171F8">
      <w:pPr>
        <w:spacing w:line="360" w:lineRule="auto"/>
        <w:rPr>
          <w:rFonts w:ascii="Arial" w:hAnsi="Arial" w:cs="Arial"/>
          <w:sz w:val="24"/>
          <w:szCs w:val="24"/>
        </w:rPr>
      </w:pPr>
      <w:r>
        <w:rPr>
          <w:rFonts w:ascii="Arial" w:hAnsi="Arial" w:cs="Arial"/>
          <w:sz w:val="24"/>
          <w:szCs w:val="24"/>
        </w:rPr>
        <w:t xml:space="preserve">This research suggests potential for further action by employers </w:t>
      </w:r>
      <w:r w:rsidR="007827D6">
        <w:rPr>
          <w:rFonts w:ascii="Arial" w:hAnsi="Arial" w:cs="Arial"/>
          <w:sz w:val="24"/>
          <w:szCs w:val="24"/>
        </w:rPr>
        <w:t xml:space="preserve">and the regulator </w:t>
      </w:r>
      <w:r>
        <w:rPr>
          <w:rFonts w:ascii="Arial" w:hAnsi="Arial" w:cs="Arial"/>
          <w:sz w:val="24"/>
          <w:szCs w:val="24"/>
        </w:rPr>
        <w:t>to reduce the volume of inappropriate referrals against social workers, as well as to improve working conditions and standards of practice in social work.</w:t>
      </w:r>
      <w:r w:rsidR="007827D6">
        <w:rPr>
          <w:rFonts w:ascii="Arial" w:hAnsi="Arial" w:cs="Arial"/>
          <w:sz w:val="24"/>
          <w:szCs w:val="24"/>
        </w:rPr>
        <w:t xml:space="preserve"> Here we </w:t>
      </w:r>
      <w:r w:rsidR="00850BFB">
        <w:rPr>
          <w:rFonts w:ascii="Arial" w:hAnsi="Arial" w:cs="Arial"/>
          <w:sz w:val="24"/>
          <w:szCs w:val="24"/>
        </w:rPr>
        <w:t xml:space="preserve">highlight some implications of the research. </w:t>
      </w:r>
    </w:p>
    <w:p w14:paraId="12900A57" w14:textId="268133D6" w:rsidR="00850BFB" w:rsidRPr="00850BFB" w:rsidRDefault="00850BFB" w:rsidP="009171F8">
      <w:pPr>
        <w:spacing w:line="360" w:lineRule="auto"/>
        <w:rPr>
          <w:rFonts w:ascii="Arial" w:hAnsi="Arial" w:cs="Arial"/>
          <w:i/>
          <w:sz w:val="24"/>
          <w:szCs w:val="24"/>
        </w:rPr>
      </w:pPr>
      <w:r w:rsidRPr="00850BFB">
        <w:rPr>
          <w:rFonts w:ascii="Arial" w:hAnsi="Arial" w:cs="Arial"/>
          <w:i/>
          <w:sz w:val="24"/>
          <w:szCs w:val="24"/>
        </w:rPr>
        <w:t>Issues for employers</w:t>
      </w:r>
    </w:p>
    <w:p w14:paraId="4C969003" w14:textId="35ADB49A" w:rsidR="00590979" w:rsidRDefault="00590979" w:rsidP="009171F8">
      <w:pPr>
        <w:spacing w:line="360" w:lineRule="auto"/>
        <w:rPr>
          <w:rFonts w:ascii="Arial" w:hAnsi="Arial" w:cs="Arial"/>
          <w:sz w:val="24"/>
          <w:szCs w:val="24"/>
        </w:rPr>
      </w:pPr>
      <w:r w:rsidRPr="00E3677A">
        <w:rPr>
          <w:rFonts w:ascii="Arial" w:hAnsi="Arial" w:cs="Arial"/>
          <w:sz w:val="24"/>
          <w:szCs w:val="24"/>
        </w:rPr>
        <w:t>Of the cases not proceed</w:t>
      </w:r>
      <w:r w:rsidR="009F7067">
        <w:rPr>
          <w:rFonts w:ascii="Arial" w:hAnsi="Arial" w:cs="Arial"/>
          <w:sz w:val="24"/>
          <w:szCs w:val="24"/>
        </w:rPr>
        <w:t>ing</w:t>
      </w:r>
      <w:r w:rsidRPr="00E3677A">
        <w:rPr>
          <w:rFonts w:ascii="Arial" w:hAnsi="Arial" w:cs="Arial"/>
          <w:sz w:val="24"/>
          <w:szCs w:val="24"/>
        </w:rPr>
        <w:t xml:space="preserve"> beyond the initial stage, we are unable to judge how many involved some element of ‘poor practice’ by social workers</w:t>
      </w:r>
      <w:r>
        <w:rPr>
          <w:rFonts w:ascii="Arial" w:hAnsi="Arial" w:cs="Arial"/>
          <w:sz w:val="24"/>
          <w:szCs w:val="24"/>
        </w:rPr>
        <w:t xml:space="preserve">. </w:t>
      </w:r>
      <w:r w:rsidR="009F7067">
        <w:rPr>
          <w:rFonts w:ascii="Arial" w:hAnsi="Arial" w:cs="Arial"/>
          <w:sz w:val="24"/>
          <w:szCs w:val="24"/>
        </w:rPr>
        <w:t>Yet</w:t>
      </w:r>
      <w:r>
        <w:rPr>
          <w:rFonts w:ascii="Arial" w:hAnsi="Arial" w:cs="Arial"/>
          <w:sz w:val="24"/>
          <w:szCs w:val="24"/>
        </w:rPr>
        <w:t xml:space="preserve"> there is no doubt that if social workers </w:t>
      </w:r>
      <w:r w:rsidR="00441DD9">
        <w:rPr>
          <w:rFonts w:ascii="Arial" w:hAnsi="Arial" w:cs="Arial"/>
          <w:sz w:val="24"/>
          <w:szCs w:val="24"/>
        </w:rPr>
        <w:t>were to</w:t>
      </w:r>
      <w:r w:rsidR="00247CDB">
        <w:rPr>
          <w:rFonts w:ascii="Arial" w:hAnsi="Arial" w:cs="Arial"/>
          <w:sz w:val="24"/>
          <w:szCs w:val="24"/>
        </w:rPr>
        <w:t xml:space="preserve"> </w:t>
      </w:r>
      <w:r>
        <w:rPr>
          <w:rFonts w:ascii="Arial" w:hAnsi="Arial" w:cs="Arial"/>
          <w:sz w:val="24"/>
          <w:szCs w:val="24"/>
        </w:rPr>
        <w:t>spend more time explaining and engaging in respectful communication with service user</w:t>
      </w:r>
      <w:r w:rsidR="009F7067">
        <w:rPr>
          <w:rFonts w:ascii="Arial" w:hAnsi="Arial" w:cs="Arial"/>
          <w:sz w:val="24"/>
          <w:szCs w:val="24"/>
        </w:rPr>
        <w:t xml:space="preserve">s, this might reduce </w:t>
      </w:r>
      <w:r>
        <w:rPr>
          <w:rFonts w:ascii="Arial" w:hAnsi="Arial" w:cs="Arial"/>
          <w:sz w:val="24"/>
          <w:szCs w:val="24"/>
        </w:rPr>
        <w:t xml:space="preserve">resentment and anger. This </w:t>
      </w:r>
      <w:r w:rsidR="00247CDB">
        <w:rPr>
          <w:rFonts w:ascii="Arial" w:hAnsi="Arial" w:cs="Arial"/>
          <w:sz w:val="24"/>
          <w:szCs w:val="24"/>
        </w:rPr>
        <w:t>is</w:t>
      </w:r>
      <w:r>
        <w:rPr>
          <w:rFonts w:ascii="Arial" w:hAnsi="Arial" w:cs="Arial"/>
          <w:sz w:val="24"/>
          <w:szCs w:val="24"/>
        </w:rPr>
        <w:t xml:space="preserve"> </w:t>
      </w:r>
      <w:r w:rsidR="00247CDB">
        <w:rPr>
          <w:rFonts w:ascii="Arial" w:hAnsi="Arial" w:cs="Arial"/>
          <w:sz w:val="24"/>
          <w:szCs w:val="24"/>
        </w:rPr>
        <w:t xml:space="preserve">difficult </w:t>
      </w:r>
      <w:r>
        <w:rPr>
          <w:rFonts w:ascii="Arial" w:hAnsi="Arial" w:cs="Arial"/>
          <w:sz w:val="24"/>
          <w:szCs w:val="24"/>
        </w:rPr>
        <w:t xml:space="preserve">in pressurised, target-driven work environments, and would require a change of culture and increased resources to make a real difference. Furthermore, </w:t>
      </w:r>
      <w:r w:rsidR="00850BFB">
        <w:rPr>
          <w:rFonts w:ascii="Arial" w:hAnsi="Arial" w:cs="Arial"/>
          <w:sz w:val="24"/>
          <w:szCs w:val="24"/>
        </w:rPr>
        <w:t xml:space="preserve">if more </w:t>
      </w:r>
      <w:r>
        <w:rPr>
          <w:rFonts w:ascii="Arial" w:hAnsi="Arial" w:cs="Arial"/>
          <w:sz w:val="24"/>
          <w:szCs w:val="24"/>
        </w:rPr>
        <w:t>employers ha</w:t>
      </w:r>
      <w:r w:rsidR="00850BFB">
        <w:rPr>
          <w:rFonts w:ascii="Arial" w:hAnsi="Arial" w:cs="Arial"/>
          <w:sz w:val="24"/>
          <w:szCs w:val="24"/>
        </w:rPr>
        <w:t>d</w:t>
      </w:r>
      <w:r>
        <w:rPr>
          <w:rFonts w:ascii="Arial" w:hAnsi="Arial" w:cs="Arial"/>
          <w:sz w:val="24"/>
          <w:szCs w:val="24"/>
        </w:rPr>
        <w:t xml:space="preserve"> established, well-publicised and accessible complaints procedures locally, this might also enable at least some service users to feel properly </w:t>
      </w:r>
      <w:r w:rsidR="00E16093">
        <w:rPr>
          <w:rFonts w:ascii="Arial" w:hAnsi="Arial" w:cs="Arial"/>
          <w:sz w:val="24"/>
          <w:szCs w:val="24"/>
        </w:rPr>
        <w:t>heard</w:t>
      </w:r>
      <w:r>
        <w:rPr>
          <w:rFonts w:ascii="Arial" w:hAnsi="Arial" w:cs="Arial"/>
          <w:sz w:val="24"/>
          <w:szCs w:val="24"/>
        </w:rPr>
        <w:t>, and less inclined to make a referral to HCPC</w:t>
      </w:r>
      <w:r w:rsidR="00A166E2">
        <w:rPr>
          <w:rFonts w:ascii="Arial" w:hAnsi="Arial" w:cs="Arial"/>
          <w:sz w:val="24"/>
          <w:szCs w:val="24"/>
        </w:rPr>
        <w:t xml:space="preserve"> out of frustration with local resolution processes</w:t>
      </w:r>
      <w:r>
        <w:rPr>
          <w:rFonts w:ascii="Arial" w:hAnsi="Arial" w:cs="Arial"/>
          <w:sz w:val="24"/>
          <w:szCs w:val="24"/>
        </w:rPr>
        <w:t xml:space="preserve">. </w:t>
      </w:r>
      <w:r w:rsidR="0024279E">
        <w:rPr>
          <w:rFonts w:ascii="Arial" w:hAnsi="Arial" w:cs="Arial"/>
          <w:sz w:val="24"/>
          <w:szCs w:val="24"/>
        </w:rPr>
        <w:t>It is</w:t>
      </w:r>
      <w:r w:rsidR="00441DD9">
        <w:rPr>
          <w:rFonts w:ascii="Arial" w:hAnsi="Arial" w:cs="Arial"/>
          <w:sz w:val="24"/>
          <w:szCs w:val="24"/>
        </w:rPr>
        <w:t xml:space="preserve"> also</w:t>
      </w:r>
      <w:r w:rsidR="0024279E">
        <w:rPr>
          <w:rFonts w:ascii="Arial" w:hAnsi="Arial" w:cs="Arial"/>
          <w:sz w:val="24"/>
          <w:szCs w:val="24"/>
        </w:rPr>
        <w:t xml:space="preserve"> important that employers </w:t>
      </w:r>
      <w:r w:rsidR="005C0E0E">
        <w:rPr>
          <w:rFonts w:ascii="Arial" w:hAnsi="Arial" w:cs="Arial"/>
          <w:sz w:val="24"/>
          <w:szCs w:val="24"/>
        </w:rPr>
        <w:t>respond to HCPC requests for information</w:t>
      </w:r>
      <w:r w:rsidR="0024279E">
        <w:rPr>
          <w:rFonts w:ascii="Arial" w:hAnsi="Arial" w:cs="Arial"/>
          <w:sz w:val="24"/>
          <w:szCs w:val="24"/>
        </w:rPr>
        <w:t xml:space="preserve"> (indeed they are required to do so by law)</w:t>
      </w:r>
      <w:r w:rsidR="005C0E0E">
        <w:rPr>
          <w:rFonts w:ascii="Arial" w:hAnsi="Arial" w:cs="Arial"/>
          <w:sz w:val="24"/>
          <w:szCs w:val="24"/>
        </w:rPr>
        <w:t xml:space="preserve">, even if they are not able to provide the evidence required. </w:t>
      </w:r>
    </w:p>
    <w:p w14:paraId="164BD078" w14:textId="77777777" w:rsidR="00850BFB" w:rsidRPr="00850BFB" w:rsidRDefault="00850BFB" w:rsidP="009171F8">
      <w:pPr>
        <w:spacing w:line="360" w:lineRule="auto"/>
        <w:rPr>
          <w:rFonts w:ascii="Arial" w:hAnsi="Arial" w:cs="Arial"/>
          <w:i/>
          <w:sz w:val="24"/>
          <w:szCs w:val="24"/>
        </w:rPr>
      </w:pPr>
      <w:r w:rsidRPr="00850BFB">
        <w:rPr>
          <w:rFonts w:ascii="Arial" w:hAnsi="Arial" w:cs="Arial"/>
          <w:i/>
          <w:sz w:val="24"/>
          <w:szCs w:val="24"/>
        </w:rPr>
        <w:t xml:space="preserve">Issues for the </w:t>
      </w:r>
      <w:r w:rsidR="00590979" w:rsidRPr="00850BFB">
        <w:rPr>
          <w:rFonts w:ascii="Arial" w:hAnsi="Arial" w:cs="Arial"/>
          <w:i/>
          <w:sz w:val="24"/>
          <w:szCs w:val="24"/>
        </w:rPr>
        <w:t>regulator</w:t>
      </w:r>
    </w:p>
    <w:p w14:paraId="471FB222" w14:textId="6094AF8F" w:rsidR="00590979" w:rsidRDefault="00850BFB" w:rsidP="009171F8">
      <w:pPr>
        <w:spacing w:line="360" w:lineRule="auto"/>
        <w:rPr>
          <w:rFonts w:ascii="Arial" w:hAnsi="Arial" w:cs="Arial"/>
          <w:sz w:val="24"/>
          <w:szCs w:val="24"/>
        </w:rPr>
      </w:pPr>
      <w:r>
        <w:rPr>
          <w:rFonts w:ascii="Arial" w:hAnsi="Arial" w:cs="Arial"/>
          <w:sz w:val="24"/>
          <w:szCs w:val="24"/>
        </w:rPr>
        <w:lastRenderedPageBreak/>
        <w:t>I</w:t>
      </w:r>
      <w:r w:rsidR="00590979" w:rsidRPr="00942E94">
        <w:rPr>
          <w:rFonts w:ascii="Arial" w:hAnsi="Arial" w:cs="Arial"/>
          <w:sz w:val="24"/>
          <w:szCs w:val="24"/>
        </w:rPr>
        <w:t>t is increasingly acknowledged that regulators can and should play more proactive role</w:t>
      </w:r>
      <w:r w:rsidR="00E16093">
        <w:rPr>
          <w:rFonts w:ascii="Arial" w:hAnsi="Arial" w:cs="Arial"/>
          <w:sz w:val="24"/>
          <w:szCs w:val="24"/>
        </w:rPr>
        <w:t>s</w:t>
      </w:r>
      <w:r w:rsidR="00590979" w:rsidRPr="00942E94">
        <w:rPr>
          <w:rFonts w:ascii="Arial" w:hAnsi="Arial" w:cs="Arial"/>
          <w:sz w:val="24"/>
          <w:szCs w:val="24"/>
        </w:rPr>
        <w:t xml:space="preserve"> in promoting good practi</w:t>
      </w:r>
      <w:r w:rsidR="00590979">
        <w:rPr>
          <w:rFonts w:ascii="Arial" w:hAnsi="Arial" w:cs="Arial"/>
          <w:sz w:val="24"/>
          <w:szCs w:val="24"/>
        </w:rPr>
        <w:t>c</w:t>
      </w:r>
      <w:r w:rsidR="00590979" w:rsidRPr="00942E94">
        <w:rPr>
          <w:rFonts w:ascii="Arial" w:hAnsi="Arial" w:cs="Arial"/>
          <w:sz w:val="24"/>
          <w:szCs w:val="24"/>
        </w:rPr>
        <w:t>e</w:t>
      </w:r>
      <w:r w:rsidR="00E62196">
        <w:rPr>
          <w:rFonts w:ascii="Arial" w:hAnsi="Arial" w:cs="Arial"/>
          <w:sz w:val="24"/>
          <w:szCs w:val="24"/>
        </w:rPr>
        <w:t xml:space="preserve">. </w:t>
      </w:r>
      <w:r w:rsidR="00590979">
        <w:rPr>
          <w:rFonts w:ascii="Arial" w:hAnsi="Arial" w:cs="Arial"/>
          <w:sz w:val="24"/>
          <w:szCs w:val="24"/>
        </w:rPr>
        <w:t>Indeed, the need to be aware of, and guard against, the potentially harmful role of regulation is increasingly highlighted</w:t>
      </w:r>
      <w:r w:rsidR="00C355CD">
        <w:rPr>
          <w:rFonts w:ascii="Arial" w:hAnsi="Arial" w:cs="Arial"/>
          <w:sz w:val="24"/>
          <w:szCs w:val="24"/>
        </w:rPr>
        <w:t xml:space="preserve"> (</w:t>
      </w:r>
      <w:r w:rsidR="00E32D62">
        <w:rPr>
          <w:rFonts w:ascii="Arial" w:hAnsi="Arial" w:cs="Arial"/>
          <w:sz w:val="24"/>
          <w:szCs w:val="24"/>
        </w:rPr>
        <w:t>Austin et al., 2018</w:t>
      </w:r>
      <w:r w:rsidR="00C355CD">
        <w:rPr>
          <w:rFonts w:ascii="Arial" w:hAnsi="Arial" w:cs="Arial"/>
          <w:sz w:val="24"/>
          <w:szCs w:val="24"/>
        </w:rPr>
        <w:t>)</w:t>
      </w:r>
      <w:r w:rsidR="00590979">
        <w:rPr>
          <w:rFonts w:ascii="Arial" w:hAnsi="Arial" w:cs="Arial"/>
          <w:sz w:val="24"/>
          <w:szCs w:val="24"/>
        </w:rPr>
        <w:t xml:space="preserve">. Far from increasing public credibility and confidence in professions, there can be a tendency for the fact that many </w:t>
      </w:r>
      <w:r w:rsidR="009F7067">
        <w:rPr>
          <w:rFonts w:ascii="Arial" w:hAnsi="Arial" w:cs="Arial"/>
          <w:sz w:val="24"/>
          <w:szCs w:val="24"/>
        </w:rPr>
        <w:t>referrals</w:t>
      </w:r>
      <w:r w:rsidR="00590979">
        <w:rPr>
          <w:rFonts w:ascii="Arial" w:hAnsi="Arial" w:cs="Arial"/>
          <w:sz w:val="24"/>
          <w:szCs w:val="24"/>
        </w:rPr>
        <w:t xml:space="preserve"> are made, dealt with slowly and then dismissed, to reinforce the idea that the regulator is colluding with the profession. Furthermore, fears of social workers about possible referrals to the regulator may cause them to ‘go by the book’, </w:t>
      </w:r>
      <w:r w:rsidR="008078BA">
        <w:rPr>
          <w:rFonts w:ascii="Arial" w:hAnsi="Arial" w:cs="Arial"/>
          <w:sz w:val="24"/>
          <w:szCs w:val="24"/>
        </w:rPr>
        <w:t>become fearful of</w:t>
      </w:r>
      <w:r w:rsidR="00590979">
        <w:rPr>
          <w:rFonts w:ascii="Arial" w:hAnsi="Arial" w:cs="Arial"/>
          <w:sz w:val="24"/>
          <w:szCs w:val="24"/>
        </w:rPr>
        <w:t xml:space="preserve"> acknowledg</w:t>
      </w:r>
      <w:r w:rsidR="008078BA">
        <w:rPr>
          <w:rFonts w:ascii="Arial" w:hAnsi="Arial" w:cs="Arial"/>
          <w:sz w:val="24"/>
          <w:szCs w:val="24"/>
        </w:rPr>
        <w:t>ing</w:t>
      </w:r>
      <w:r w:rsidR="00590979">
        <w:rPr>
          <w:rFonts w:ascii="Arial" w:hAnsi="Arial" w:cs="Arial"/>
          <w:sz w:val="24"/>
          <w:szCs w:val="24"/>
        </w:rPr>
        <w:t xml:space="preserve"> mistakes and reduc</w:t>
      </w:r>
      <w:r w:rsidR="00E83A64">
        <w:rPr>
          <w:rFonts w:ascii="Arial" w:hAnsi="Arial" w:cs="Arial"/>
          <w:sz w:val="24"/>
          <w:szCs w:val="24"/>
        </w:rPr>
        <w:t>e</w:t>
      </w:r>
      <w:r w:rsidR="00590979">
        <w:rPr>
          <w:rFonts w:ascii="Arial" w:hAnsi="Arial" w:cs="Arial"/>
          <w:sz w:val="24"/>
          <w:szCs w:val="24"/>
        </w:rPr>
        <w:t xml:space="preserve"> communication with service users, hence exacerbating concerns of service users and likelihood of referral to the regulator (‘regulatory iatrogenesis’). A report from the Professional Standards Authority </w:t>
      </w:r>
      <w:r w:rsidR="00590979">
        <w:rPr>
          <w:rFonts w:ascii="Arial" w:hAnsi="Arial" w:cs="Arial"/>
          <w:noProof/>
          <w:sz w:val="24"/>
          <w:szCs w:val="24"/>
        </w:rPr>
        <w:t>(2015)</w:t>
      </w:r>
      <w:r w:rsidR="00590979">
        <w:rPr>
          <w:rFonts w:ascii="Arial" w:hAnsi="Arial" w:cs="Arial"/>
          <w:sz w:val="24"/>
          <w:szCs w:val="24"/>
        </w:rPr>
        <w:t>, which oversees the work of regulators, argues for ‘right</w:t>
      </w:r>
      <w:r>
        <w:rPr>
          <w:rFonts w:ascii="Arial" w:hAnsi="Arial" w:cs="Arial"/>
          <w:sz w:val="24"/>
          <w:szCs w:val="24"/>
        </w:rPr>
        <w:t>-</w:t>
      </w:r>
      <w:r w:rsidR="00590979">
        <w:rPr>
          <w:rFonts w:ascii="Arial" w:hAnsi="Arial" w:cs="Arial"/>
          <w:sz w:val="24"/>
          <w:szCs w:val="24"/>
        </w:rPr>
        <w:t xml:space="preserve">touch’ regulation, which is proportionate and takes a more proactive role in mediating between conflicting parties, and in educating employers, registrants and students. HCPC has already taken on board </w:t>
      </w:r>
      <w:r w:rsidR="00631371">
        <w:rPr>
          <w:rFonts w:ascii="Arial" w:hAnsi="Arial" w:cs="Arial"/>
          <w:sz w:val="24"/>
          <w:szCs w:val="24"/>
        </w:rPr>
        <w:t xml:space="preserve">this more proactive stance and is acting on </w:t>
      </w:r>
      <w:r w:rsidR="009F7067">
        <w:rPr>
          <w:rFonts w:ascii="Arial" w:hAnsi="Arial" w:cs="Arial"/>
          <w:sz w:val="24"/>
          <w:szCs w:val="24"/>
        </w:rPr>
        <w:t>several</w:t>
      </w:r>
      <w:r w:rsidR="00590979">
        <w:rPr>
          <w:rFonts w:ascii="Arial" w:hAnsi="Arial" w:cs="Arial"/>
          <w:sz w:val="24"/>
          <w:szCs w:val="24"/>
        </w:rPr>
        <w:t xml:space="preserve"> </w:t>
      </w:r>
      <w:r w:rsidR="00E32D62">
        <w:rPr>
          <w:rFonts w:ascii="Arial" w:hAnsi="Arial" w:cs="Arial"/>
          <w:sz w:val="24"/>
          <w:szCs w:val="24"/>
        </w:rPr>
        <w:t>r</w:t>
      </w:r>
      <w:r w:rsidR="00590979">
        <w:rPr>
          <w:rFonts w:ascii="Arial" w:hAnsi="Arial" w:cs="Arial"/>
          <w:sz w:val="24"/>
          <w:szCs w:val="24"/>
        </w:rPr>
        <w:t xml:space="preserve">ecommendations made as a result of this research. These include making clearer on the website the types of concerns it is appropriate to raise, and redesigning the referral form to lead people away from the referral process if their concerns do not fit the criteria. </w:t>
      </w:r>
      <w:r>
        <w:rPr>
          <w:rFonts w:ascii="Arial" w:hAnsi="Arial" w:cs="Arial"/>
          <w:sz w:val="24"/>
          <w:szCs w:val="24"/>
        </w:rPr>
        <w:t xml:space="preserve">This should contribute to refocusing on cases that deserve attention. </w:t>
      </w:r>
      <w:r w:rsidR="00401499">
        <w:rPr>
          <w:rFonts w:ascii="Arial" w:hAnsi="Arial" w:cs="Arial"/>
          <w:sz w:val="24"/>
          <w:szCs w:val="24"/>
        </w:rPr>
        <w:t xml:space="preserve">There is also </w:t>
      </w:r>
      <w:r w:rsidR="00E32D62">
        <w:rPr>
          <w:rFonts w:ascii="Arial" w:hAnsi="Arial" w:cs="Arial"/>
          <w:sz w:val="24"/>
          <w:szCs w:val="24"/>
        </w:rPr>
        <w:t xml:space="preserve">a </w:t>
      </w:r>
      <w:r w:rsidR="00A874DD">
        <w:rPr>
          <w:rFonts w:ascii="Arial" w:hAnsi="Arial" w:cs="Arial"/>
          <w:sz w:val="24"/>
          <w:szCs w:val="24"/>
        </w:rPr>
        <w:t>more general challenge for regulators to ensure that their</w:t>
      </w:r>
      <w:r w:rsidR="00401499">
        <w:rPr>
          <w:rFonts w:ascii="Arial" w:hAnsi="Arial" w:cs="Arial"/>
          <w:sz w:val="24"/>
          <w:szCs w:val="24"/>
        </w:rPr>
        <w:t xml:space="preserve"> communication with service users</w:t>
      </w:r>
      <w:r w:rsidR="00E80E50">
        <w:rPr>
          <w:rFonts w:ascii="Arial" w:hAnsi="Arial" w:cs="Arial"/>
          <w:sz w:val="24"/>
          <w:szCs w:val="24"/>
        </w:rPr>
        <w:t xml:space="preserve"> is written in language that is understood, </w:t>
      </w:r>
      <w:r w:rsidR="00E32D62">
        <w:rPr>
          <w:rFonts w:ascii="Arial" w:hAnsi="Arial" w:cs="Arial"/>
          <w:sz w:val="24"/>
          <w:szCs w:val="24"/>
        </w:rPr>
        <w:t xml:space="preserve">and </w:t>
      </w:r>
      <w:r w:rsidR="00401499">
        <w:rPr>
          <w:rFonts w:ascii="Arial" w:hAnsi="Arial" w:cs="Arial"/>
          <w:sz w:val="24"/>
          <w:szCs w:val="24"/>
        </w:rPr>
        <w:t xml:space="preserve">to ensure </w:t>
      </w:r>
      <w:r w:rsidR="00E32D62">
        <w:rPr>
          <w:rFonts w:ascii="Arial" w:hAnsi="Arial" w:cs="Arial"/>
          <w:sz w:val="24"/>
          <w:szCs w:val="24"/>
        </w:rPr>
        <w:t>service users</w:t>
      </w:r>
      <w:r w:rsidR="00401499">
        <w:rPr>
          <w:rFonts w:ascii="Arial" w:hAnsi="Arial" w:cs="Arial"/>
          <w:sz w:val="24"/>
          <w:szCs w:val="24"/>
        </w:rPr>
        <w:t xml:space="preserve"> are adequately supported to understand the process and the </w:t>
      </w:r>
      <w:r w:rsidR="00BC522B">
        <w:rPr>
          <w:rFonts w:ascii="Arial" w:hAnsi="Arial" w:cs="Arial"/>
          <w:sz w:val="24"/>
          <w:szCs w:val="24"/>
        </w:rPr>
        <w:t xml:space="preserve">nature of the </w:t>
      </w:r>
      <w:r w:rsidR="00401499">
        <w:rPr>
          <w:rFonts w:ascii="Arial" w:hAnsi="Arial" w:cs="Arial"/>
          <w:sz w:val="24"/>
          <w:szCs w:val="24"/>
        </w:rPr>
        <w:t>evidence required to support a referral</w:t>
      </w:r>
      <w:r w:rsidR="004E7FD5">
        <w:rPr>
          <w:rFonts w:ascii="Arial" w:hAnsi="Arial" w:cs="Arial"/>
          <w:sz w:val="24"/>
          <w:szCs w:val="24"/>
        </w:rPr>
        <w:t>, particularly if they are from culturally and linguistically diverse backgrounds</w:t>
      </w:r>
      <w:r w:rsidR="00401499">
        <w:rPr>
          <w:rFonts w:ascii="Arial" w:hAnsi="Arial" w:cs="Arial"/>
          <w:sz w:val="24"/>
          <w:szCs w:val="24"/>
        </w:rPr>
        <w:t xml:space="preserve">.  </w:t>
      </w:r>
      <w:r>
        <w:rPr>
          <w:rFonts w:ascii="Arial" w:hAnsi="Arial" w:cs="Arial"/>
          <w:sz w:val="24"/>
          <w:szCs w:val="24"/>
        </w:rPr>
        <w:t xml:space="preserve"> </w:t>
      </w:r>
    </w:p>
    <w:p w14:paraId="2601A389" w14:textId="1A30AB12" w:rsidR="00590979" w:rsidRDefault="00590979" w:rsidP="009171F8">
      <w:pPr>
        <w:spacing w:line="360" w:lineRule="auto"/>
        <w:rPr>
          <w:rFonts w:ascii="Arial" w:hAnsi="Arial" w:cs="Arial"/>
          <w:sz w:val="24"/>
          <w:szCs w:val="24"/>
        </w:rPr>
      </w:pPr>
      <w:r>
        <w:rPr>
          <w:rFonts w:ascii="Arial" w:hAnsi="Arial" w:cs="Arial"/>
          <w:sz w:val="24"/>
          <w:szCs w:val="24"/>
        </w:rPr>
        <w:t xml:space="preserve">At the time of writing, the social work regulator for England is about to change yet again. Part of the rationale is for the new body, Social Work England, to play a greater role than HCPC could in raising standards </w:t>
      </w:r>
      <w:r w:rsidR="00247CDB">
        <w:rPr>
          <w:rFonts w:ascii="Arial" w:hAnsi="Arial" w:cs="Arial"/>
          <w:sz w:val="24"/>
          <w:szCs w:val="24"/>
        </w:rPr>
        <w:t>in</w:t>
      </w:r>
      <w:r>
        <w:rPr>
          <w:rFonts w:ascii="Arial" w:hAnsi="Arial" w:cs="Arial"/>
          <w:sz w:val="24"/>
          <w:szCs w:val="24"/>
        </w:rPr>
        <w:t xml:space="preserve"> social work through developing specialist expertise and learning from the </w:t>
      </w:r>
      <w:r w:rsidR="00E62196">
        <w:rPr>
          <w:rFonts w:ascii="Arial" w:hAnsi="Arial" w:cs="Arial"/>
          <w:sz w:val="24"/>
          <w:szCs w:val="24"/>
        </w:rPr>
        <w:t xml:space="preserve">regulatory </w:t>
      </w:r>
      <w:r>
        <w:rPr>
          <w:rFonts w:ascii="Arial" w:hAnsi="Arial" w:cs="Arial"/>
          <w:sz w:val="24"/>
          <w:szCs w:val="24"/>
        </w:rPr>
        <w:t xml:space="preserve">process and overseeing educational standards. </w:t>
      </w:r>
      <w:r w:rsidR="00401499">
        <w:rPr>
          <w:rFonts w:ascii="Arial" w:hAnsi="Arial" w:cs="Arial"/>
          <w:sz w:val="24"/>
          <w:szCs w:val="24"/>
        </w:rPr>
        <w:t xml:space="preserve"> </w:t>
      </w:r>
      <w:r>
        <w:rPr>
          <w:rFonts w:ascii="Arial" w:hAnsi="Arial" w:cs="Arial"/>
          <w:sz w:val="24"/>
          <w:szCs w:val="24"/>
        </w:rPr>
        <w:t xml:space="preserve"> </w:t>
      </w:r>
      <w:r w:rsidR="00401499">
        <w:rPr>
          <w:rFonts w:ascii="Arial" w:hAnsi="Arial" w:cs="Arial"/>
          <w:sz w:val="24"/>
          <w:szCs w:val="24"/>
        </w:rPr>
        <w:t>Whilst changing the regulator is not a panacea for improving social work practice (which is influenced by deeper structural problems of austerity</w:t>
      </w:r>
      <w:r w:rsidR="00AB2710">
        <w:rPr>
          <w:rFonts w:ascii="Arial" w:hAnsi="Arial" w:cs="Arial"/>
          <w:sz w:val="24"/>
          <w:szCs w:val="24"/>
        </w:rPr>
        <w:t>, victim-blaming, managerialism and resource shortages, see</w:t>
      </w:r>
      <w:r w:rsidR="00E32D62">
        <w:rPr>
          <w:rFonts w:ascii="Arial" w:hAnsi="Arial" w:cs="Arial"/>
          <w:sz w:val="24"/>
          <w:szCs w:val="24"/>
        </w:rPr>
        <w:t xml:space="preserve"> Weinberg and Banks</w:t>
      </w:r>
      <w:r w:rsidR="00AB2710">
        <w:rPr>
          <w:rFonts w:ascii="Arial" w:hAnsi="Arial" w:cs="Arial"/>
          <w:sz w:val="24"/>
          <w:szCs w:val="24"/>
        </w:rPr>
        <w:t xml:space="preserve">, 2019), there are clear lessons from this research for the new regulator and regulators in general.  </w:t>
      </w:r>
      <w:r>
        <w:rPr>
          <w:rFonts w:ascii="Arial" w:hAnsi="Arial" w:cs="Arial"/>
          <w:sz w:val="24"/>
          <w:szCs w:val="24"/>
        </w:rPr>
        <w:t xml:space="preserve">              </w:t>
      </w:r>
      <w:r w:rsidRPr="00E3677A">
        <w:rPr>
          <w:rFonts w:ascii="Arial" w:hAnsi="Arial" w:cs="Arial"/>
          <w:sz w:val="24"/>
          <w:szCs w:val="24"/>
        </w:rPr>
        <w:t xml:space="preserve"> </w:t>
      </w:r>
    </w:p>
    <w:p w14:paraId="365BE573" w14:textId="177B7EF0" w:rsidR="00AB2710" w:rsidRPr="004A254C" w:rsidRDefault="00AB2710" w:rsidP="009171F8">
      <w:pPr>
        <w:spacing w:line="360" w:lineRule="auto"/>
        <w:rPr>
          <w:rFonts w:ascii="Arial" w:eastAsia="Cambria" w:hAnsi="Arial" w:cs="Arial"/>
          <w:sz w:val="24"/>
          <w:szCs w:val="24"/>
        </w:rPr>
      </w:pPr>
    </w:p>
    <w:p w14:paraId="0DAEFBDE" w14:textId="77777777" w:rsidR="00590979" w:rsidRDefault="00590979" w:rsidP="009171F8">
      <w:pPr>
        <w:spacing w:line="360" w:lineRule="auto"/>
        <w:rPr>
          <w:rFonts w:ascii="Arial" w:hAnsi="Arial" w:cs="Arial"/>
          <w:b/>
          <w:sz w:val="24"/>
          <w:szCs w:val="24"/>
        </w:rPr>
      </w:pPr>
      <w:r>
        <w:rPr>
          <w:rFonts w:ascii="Arial" w:hAnsi="Arial" w:cs="Arial"/>
          <w:b/>
          <w:sz w:val="24"/>
          <w:szCs w:val="24"/>
        </w:rPr>
        <w:t>References</w:t>
      </w:r>
    </w:p>
    <w:p w14:paraId="3E30A53B" w14:textId="227C0416" w:rsidR="00C2258B" w:rsidRPr="00C2258B" w:rsidRDefault="00C2258B" w:rsidP="00C2258B">
      <w:pPr>
        <w:spacing w:line="360" w:lineRule="auto"/>
        <w:ind w:left="567" w:hanging="567"/>
        <w:rPr>
          <w:rFonts w:ascii="Arial" w:hAnsi="Arial" w:cs="Arial"/>
          <w:sz w:val="24"/>
          <w:szCs w:val="24"/>
          <w:lang w:val="en-US"/>
        </w:rPr>
      </w:pPr>
      <w:r w:rsidRPr="00C2258B">
        <w:rPr>
          <w:rFonts w:ascii="Arial" w:hAnsi="Arial" w:cs="Arial"/>
          <w:sz w:val="24"/>
          <w:szCs w:val="24"/>
          <w:lang w:val="en-US"/>
        </w:rPr>
        <w:t xml:space="preserve">Austin, Z., van der Gaag, A., Gallagher, A., Jago, R., Banks, S., Lucas, G. &amp; Zasada, M. (2018) </w:t>
      </w:r>
      <w:r>
        <w:rPr>
          <w:rFonts w:ascii="Arial" w:hAnsi="Arial" w:cs="Arial"/>
          <w:sz w:val="24"/>
          <w:szCs w:val="24"/>
          <w:lang w:val="en-US"/>
        </w:rPr>
        <w:t>‘</w:t>
      </w:r>
      <w:r w:rsidRPr="00C2258B">
        <w:rPr>
          <w:rFonts w:ascii="Arial" w:hAnsi="Arial" w:cs="Arial"/>
          <w:sz w:val="24"/>
          <w:szCs w:val="24"/>
          <w:lang w:val="en-US"/>
        </w:rPr>
        <w:t>Understanding complaints about paramedics in the UK and social workers in England: findings from a multi-method study</w:t>
      </w:r>
      <w:r>
        <w:rPr>
          <w:rFonts w:ascii="Arial" w:hAnsi="Arial" w:cs="Arial"/>
          <w:sz w:val="24"/>
          <w:szCs w:val="24"/>
          <w:lang w:val="en-US"/>
        </w:rPr>
        <w:t>’</w:t>
      </w:r>
      <w:r w:rsidRPr="00C2258B">
        <w:rPr>
          <w:rFonts w:ascii="Arial" w:hAnsi="Arial" w:cs="Arial"/>
          <w:sz w:val="24"/>
          <w:szCs w:val="24"/>
          <w:lang w:val="en-US"/>
        </w:rPr>
        <w:t xml:space="preserve">, </w:t>
      </w:r>
      <w:r w:rsidRPr="00C2258B">
        <w:rPr>
          <w:rFonts w:ascii="Arial" w:hAnsi="Arial" w:cs="Arial"/>
          <w:i/>
          <w:sz w:val="24"/>
          <w:szCs w:val="24"/>
          <w:lang w:val="en-US"/>
        </w:rPr>
        <w:t>Journal of Medical Regulation</w:t>
      </w:r>
      <w:r>
        <w:rPr>
          <w:rFonts w:ascii="Arial" w:hAnsi="Arial" w:cs="Arial"/>
          <w:i/>
          <w:sz w:val="24"/>
          <w:szCs w:val="24"/>
          <w:lang w:val="en-US"/>
        </w:rPr>
        <w:t>,</w:t>
      </w:r>
      <w:r w:rsidRPr="00C2258B">
        <w:rPr>
          <w:rFonts w:ascii="Arial" w:hAnsi="Arial" w:cs="Arial"/>
          <w:b/>
          <w:sz w:val="24"/>
          <w:szCs w:val="24"/>
          <w:lang w:val="en-US"/>
        </w:rPr>
        <w:t>104</w:t>
      </w:r>
      <w:r w:rsidRPr="00C2258B">
        <w:rPr>
          <w:rFonts w:ascii="Arial" w:hAnsi="Arial" w:cs="Arial"/>
          <w:sz w:val="24"/>
          <w:szCs w:val="24"/>
          <w:lang w:val="en-US"/>
        </w:rPr>
        <w:t xml:space="preserve"> (3), pp. 19-28.</w:t>
      </w:r>
    </w:p>
    <w:p w14:paraId="0D012734" w14:textId="77777777" w:rsidR="00590979" w:rsidRP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Braun, V. and Clarke, V. (2006) 'Using thematic analysis in psychology ', </w:t>
      </w:r>
      <w:r w:rsidRPr="00590979">
        <w:rPr>
          <w:rFonts w:ascii="Arial" w:hAnsi="Arial" w:cs="Arial"/>
          <w:i/>
          <w:sz w:val="24"/>
          <w:szCs w:val="24"/>
        </w:rPr>
        <w:t>Qualitative Research in Psychology</w:t>
      </w:r>
      <w:r w:rsidRPr="00590979">
        <w:rPr>
          <w:rFonts w:ascii="Arial" w:hAnsi="Arial" w:cs="Arial"/>
          <w:sz w:val="24"/>
          <w:szCs w:val="24"/>
        </w:rPr>
        <w:t xml:space="preserve">, </w:t>
      </w:r>
      <w:r w:rsidRPr="00590979">
        <w:rPr>
          <w:rFonts w:ascii="Arial" w:hAnsi="Arial" w:cs="Arial"/>
          <w:b/>
          <w:sz w:val="24"/>
          <w:szCs w:val="24"/>
        </w:rPr>
        <w:t>3</w:t>
      </w:r>
      <w:r w:rsidRPr="00590979">
        <w:rPr>
          <w:rFonts w:ascii="Arial" w:hAnsi="Arial" w:cs="Arial"/>
          <w:sz w:val="24"/>
          <w:szCs w:val="24"/>
        </w:rPr>
        <w:t>, pp. 77-101.</w:t>
      </w:r>
    </w:p>
    <w:p w14:paraId="0049A82C" w14:textId="77777777" w:rsidR="00590979" w:rsidRP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Cromarty, H. (2016) </w:t>
      </w:r>
      <w:r w:rsidRPr="00590979">
        <w:rPr>
          <w:rFonts w:ascii="Arial" w:hAnsi="Arial" w:cs="Arial"/>
          <w:i/>
          <w:sz w:val="24"/>
          <w:szCs w:val="24"/>
        </w:rPr>
        <w:t>Social Work Regulation (England), Briefing Paper CBP07802</w:t>
      </w:r>
      <w:r w:rsidRPr="00590979">
        <w:rPr>
          <w:rFonts w:ascii="Arial" w:hAnsi="Arial" w:cs="Arial"/>
          <w:sz w:val="24"/>
          <w:szCs w:val="24"/>
        </w:rPr>
        <w:t>, London, House of Commons Library.</w:t>
      </w:r>
    </w:p>
    <w:p w14:paraId="24C54EE4" w14:textId="77777777" w:rsid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Department of Health (2010) </w:t>
      </w:r>
      <w:r w:rsidRPr="00590979">
        <w:rPr>
          <w:rFonts w:ascii="Arial" w:hAnsi="Arial" w:cs="Arial"/>
          <w:i/>
          <w:sz w:val="24"/>
          <w:szCs w:val="24"/>
        </w:rPr>
        <w:t>Liberating the NHS: Report of the arm's length bodies review</w:t>
      </w:r>
      <w:r w:rsidRPr="00590979">
        <w:rPr>
          <w:rFonts w:ascii="Arial" w:hAnsi="Arial" w:cs="Arial"/>
          <w:sz w:val="24"/>
          <w:szCs w:val="24"/>
        </w:rPr>
        <w:t xml:space="preserve">, London, Department of Health, </w:t>
      </w:r>
      <w:hyperlink r:id="rId11" w:history="1">
        <w:r w:rsidRPr="00787BE2">
          <w:rPr>
            <w:rStyle w:val="Hyperlink"/>
            <w:rFonts w:ascii="Arial" w:hAnsi="Arial" w:cs="Arial"/>
            <w:sz w:val="24"/>
            <w:szCs w:val="24"/>
          </w:rPr>
          <w:t>https://assets.publishing.service.gov.uk/government/uploads/system/uploads/attachment_data/file/216278/dh_118053.pdf</w:t>
        </w:r>
      </w:hyperlink>
      <w:r>
        <w:rPr>
          <w:rFonts w:ascii="Arial" w:hAnsi="Arial" w:cs="Arial"/>
          <w:sz w:val="24"/>
          <w:szCs w:val="24"/>
        </w:rPr>
        <w:t>, accessed 23.12.18.</w:t>
      </w:r>
    </w:p>
    <w:p w14:paraId="40704F6E" w14:textId="77777777" w:rsidR="00590979" w:rsidRP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Dunning, J. (2010) 'Sector leaders shocked and surprised by abolition of GSSC', </w:t>
      </w:r>
      <w:r w:rsidRPr="00590979">
        <w:rPr>
          <w:rFonts w:ascii="Arial" w:hAnsi="Arial" w:cs="Arial"/>
          <w:i/>
          <w:sz w:val="24"/>
          <w:szCs w:val="24"/>
        </w:rPr>
        <w:t>Community Care</w:t>
      </w:r>
      <w:r w:rsidRPr="00590979">
        <w:rPr>
          <w:rFonts w:ascii="Arial" w:hAnsi="Arial" w:cs="Arial"/>
          <w:sz w:val="24"/>
          <w:szCs w:val="24"/>
        </w:rPr>
        <w:t xml:space="preserve">, </w:t>
      </w:r>
      <w:r w:rsidRPr="00590979">
        <w:rPr>
          <w:rFonts w:ascii="Arial" w:hAnsi="Arial" w:cs="Arial"/>
          <w:b/>
          <w:sz w:val="24"/>
          <w:szCs w:val="24"/>
        </w:rPr>
        <w:t>26 July</w:t>
      </w:r>
      <w:r w:rsidRPr="00590979">
        <w:rPr>
          <w:rFonts w:ascii="Arial" w:hAnsi="Arial" w:cs="Arial"/>
          <w:sz w:val="24"/>
          <w:szCs w:val="24"/>
        </w:rPr>
        <w:t xml:space="preserve">, </w:t>
      </w:r>
      <w:hyperlink r:id="rId12" w:history="1">
        <w:r w:rsidRPr="00787BE2">
          <w:rPr>
            <w:rStyle w:val="Hyperlink"/>
            <w:rFonts w:ascii="Arial" w:hAnsi="Arial" w:cs="Arial"/>
            <w:sz w:val="24"/>
            <w:szCs w:val="24"/>
          </w:rPr>
          <w:t>www.communitycare.co.uk/2010/07/26/sector-leaders-shocked-and-surprised-by-abolition-of-gscc/</w:t>
        </w:r>
      </w:hyperlink>
      <w:r>
        <w:rPr>
          <w:rFonts w:ascii="Arial" w:hAnsi="Arial" w:cs="Arial"/>
          <w:sz w:val="24"/>
          <w:szCs w:val="24"/>
        </w:rPr>
        <w:t xml:space="preserve">, </w:t>
      </w:r>
      <w:r w:rsidRPr="00590979">
        <w:rPr>
          <w:rFonts w:ascii="Arial" w:hAnsi="Arial" w:cs="Arial"/>
          <w:sz w:val="24"/>
          <w:szCs w:val="24"/>
          <w:lang w:val="en-GB"/>
        </w:rPr>
        <w:t>accessed 23.12.18</w:t>
      </w:r>
      <w:r>
        <w:rPr>
          <w:rFonts w:ascii="Arial" w:hAnsi="Arial" w:cs="Arial"/>
          <w:sz w:val="24"/>
          <w:szCs w:val="24"/>
          <w:lang w:val="en-GB"/>
        </w:rPr>
        <w:t>.</w:t>
      </w:r>
    </w:p>
    <w:p w14:paraId="5BA000FD" w14:textId="6F22915C" w:rsidR="003C6307" w:rsidRDefault="003C6307" w:rsidP="009171F8">
      <w:pPr>
        <w:pStyle w:val="EndNoteBibliography"/>
        <w:spacing w:line="360" w:lineRule="auto"/>
        <w:ind w:left="567" w:hanging="567"/>
        <w:rPr>
          <w:rFonts w:ascii="Arial" w:hAnsi="Arial" w:cs="Arial"/>
          <w:sz w:val="24"/>
          <w:szCs w:val="24"/>
        </w:rPr>
      </w:pPr>
      <w:r>
        <w:rPr>
          <w:rFonts w:ascii="Arial" w:hAnsi="Arial" w:cs="Arial"/>
          <w:sz w:val="24"/>
          <w:szCs w:val="24"/>
        </w:rPr>
        <w:t xml:space="preserve">Department of Health </w:t>
      </w:r>
      <w:r w:rsidR="00946FB2">
        <w:rPr>
          <w:rFonts w:ascii="Arial" w:hAnsi="Arial" w:cs="Arial"/>
          <w:sz w:val="24"/>
          <w:szCs w:val="24"/>
        </w:rPr>
        <w:t xml:space="preserve">(DH) </w:t>
      </w:r>
      <w:r>
        <w:rPr>
          <w:rFonts w:ascii="Arial" w:hAnsi="Arial" w:cs="Arial"/>
          <w:sz w:val="24"/>
          <w:szCs w:val="24"/>
        </w:rPr>
        <w:t xml:space="preserve">(2010) Liberating the NHS: Report of the </w:t>
      </w:r>
      <w:r w:rsidR="00946FB2">
        <w:rPr>
          <w:rFonts w:ascii="Arial" w:hAnsi="Arial" w:cs="Arial"/>
          <w:sz w:val="24"/>
          <w:szCs w:val="24"/>
        </w:rPr>
        <w:t>a</w:t>
      </w:r>
      <w:r>
        <w:rPr>
          <w:rFonts w:ascii="Arial" w:hAnsi="Arial" w:cs="Arial"/>
          <w:sz w:val="24"/>
          <w:szCs w:val="24"/>
        </w:rPr>
        <w:t>rm</w:t>
      </w:r>
      <w:r w:rsidR="00946FB2">
        <w:rPr>
          <w:rFonts w:ascii="Arial" w:hAnsi="Arial" w:cs="Arial"/>
          <w:sz w:val="24"/>
          <w:szCs w:val="24"/>
        </w:rPr>
        <w:t>’</w:t>
      </w:r>
      <w:r>
        <w:rPr>
          <w:rFonts w:ascii="Arial" w:hAnsi="Arial" w:cs="Arial"/>
          <w:sz w:val="24"/>
          <w:szCs w:val="24"/>
        </w:rPr>
        <w:t>s</w:t>
      </w:r>
      <w:r w:rsidR="00946FB2">
        <w:rPr>
          <w:rFonts w:ascii="Arial" w:hAnsi="Arial" w:cs="Arial"/>
          <w:sz w:val="24"/>
          <w:szCs w:val="24"/>
        </w:rPr>
        <w:t>-l</w:t>
      </w:r>
      <w:r>
        <w:rPr>
          <w:rFonts w:ascii="Arial" w:hAnsi="Arial" w:cs="Arial"/>
          <w:sz w:val="24"/>
          <w:szCs w:val="24"/>
        </w:rPr>
        <w:t xml:space="preserve">ength </w:t>
      </w:r>
      <w:r w:rsidR="00946FB2">
        <w:rPr>
          <w:rFonts w:ascii="Arial" w:hAnsi="Arial" w:cs="Arial"/>
          <w:sz w:val="24"/>
          <w:szCs w:val="24"/>
        </w:rPr>
        <w:t>b</w:t>
      </w:r>
      <w:r>
        <w:rPr>
          <w:rFonts w:ascii="Arial" w:hAnsi="Arial" w:cs="Arial"/>
          <w:sz w:val="24"/>
          <w:szCs w:val="24"/>
        </w:rPr>
        <w:t>odie</w:t>
      </w:r>
      <w:r w:rsidR="00946FB2">
        <w:rPr>
          <w:rFonts w:ascii="Arial" w:hAnsi="Arial" w:cs="Arial"/>
          <w:sz w:val="24"/>
          <w:szCs w:val="24"/>
        </w:rPr>
        <w:t>s</w:t>
      </w:r>
      <w:r>
        <w:rPr>
          <w:rFonts w:ascii="Arial" w:hAnsi="Arial" w:cs="Arial"/>
          <w:sz w:val="24"/>
          <w:szCs w:val="24"/>
        </w:rPr>
        <w:t xml:space="preserve"> </w:t>
      </w:r>
      <w:r w:rsidR="00946FB2">
        <w:rPr>
          <w:rFonts w:ascii="Arial" w:hAnsi="Arial" w:cs="Arial"/>
          <w:sz w:val="24"/>
          <w:szCs w:val="24"/>
        </w:rPr>
        <w:t>r</w:t>
      </w:r>
      <w:r>
        <w:rPr>
          <w:rFonts w:ascii="Arial" w:hAnsi="Arial" w:cs="Arial"/>
          <w:sz w:val="24"/>
          <w:szCs w:val="24"/>
        </w:rPr>
        <w:t>eview</w:t>
      </w:r>
      <w:r w:rsidR="00946FB2">
        <w:rPr>
          <w:rFonts w:ascii="Arial" w:hAnsi="Arial" w:cs="Arial"/>
          <w:sz w:val="24"/>
          <w:szCs w:val="24"/>
        </w:rPr>
        <w:t>,</w:t>
      </w:r>
      <w:r w:rsidR="00946FB2" w:rsidRPr="00946FB2">
        <w:t xml:space="preserve"> </w:t>
      </w:r>
      <w:hyperlink r:id="rId13" w:history="1">
        <w:r w:rsidR="00946FB2" w:rsidRPr="009D2086">
          <w:rPr>
            <w:rStyle w:val="Hyperlink"/>
            <w:rFonts w:ascii="Arial" w:hAnsi="Arial" w:cs="Arial"/>
            <w:sz w:val="24"/>
            <w:szCs w:val="24"/>
          </w:rPr>
          <w:t>https://assets.publishing.service.gov.uk/government/uploads/system/uploads/attachment_data/file/216278/dh_118053.pdf</w:t>
        </w:r>
      </w:hyperlink>
      <w:r w:rsidR="00946FB2">
        <w:rPr>
          <w:rFonts w:ascii="Arial" w:hAnsi="Arial" w:cs="Arial"/>
          <w:sz w:val="24"/>
          <w:szCs w:val="24"/>
        </w:rPr>
        <w:t xml:space="preserve">, accessed 1.3.19 </w:t>
      </w:r>
    </w:p>
    <w:p w14:paraId="2FA40594" w14:textId="77777777" w:rsid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Furness, S. (2015) 'Conduct Matters: The Regulation of Social Work in England ', </w:t>
      </w:r>
      <w:r w:rsidRPr="00590979">
        <w:rPr>
          <w:rFonts w:ascii="Arial" w:hAnsi="Arial" w:cs="Arial"/>
          <w:i/>
          <w:sz w:val="24"/>
          <w:szCs w:val="24"/>
        </w:rPr>
        <w:t>British Journal of Social Work</w:t>
      </w:r>
      <w:r w:rsidRPr="00590979">
        <w:rPr>
          <w:rFonts w:ascii="Arial" w:hAnsi="Arial" w:cs="Arial"/>
          <w:sz w:val="24"/>
          <w:szCs w:val="24"/>
        </w:rPr>
        <w:t xml:space="preserve">, </w:t>
      </w:r>
      <w:r w:rsidRPr="00590979">
        <w:rPr>
          <w:rFonts w:ascii="Arial" w:hAnsi="Arial" w:cs="Arial"/>
          <w:b/>
          <w:sz w:val="24"/>
          <w:szCs w:val="24"/>
        </w:rPr>
        <w:t>45</w:t>
      </w:r>
      <w:r w:rsidRPr="00590979">
        <w:rPr>
          <w:rFonts w:ascii="Arial" w:hAnsi="Arial" w:cs="Arial"/>
          <w:sz w:val="24"/>
          <w:szCs w:val="24"/>
        </w:rPr>
        <w:t>, pp. 861-879.</w:t>
      </w:r>
    </w:p>
    <w:p w14:paraId="170F72DC" w14:textId="3E3EDA6A" w:rsidR="00C619D9" w:rsidRPr="00590979" w:rsidRDefault="00C619D9" w:rsidP="009171F8">
      <w:pPr>
        <w:pStyle w:val="EndNoteBibliography"/>
        <w:spacing w:line="360" w:lineRule="auto"/>
        <w:ind w:left="567" w:hanging="567"/>
        <w:rPr>
          <w:rFonts w:ascii="Arial" w:hAnsi="Arial" w:cs="Arial"/>
          <w:sz w:val="24"/>
          <w:szCs w:val="24"/>
        </w:rPr>
      </w:pPr>
      <w:r w:rsidRPr="00C619D9">
        <w:rPr>
          <w:rFonts w:ascii="Arial" w:hAnsi="Arial" w:cs="Arial"/>
          <w:sz w:val="24"/>
          <w:szCs w:val="24"/>
        </w:rPr>
        <w:t xml:space="preserve">Gallagher, A., Zasada, M., Jago, R., Austin, Z., Banks, S., Lucas, G. &amp; van der Gaag, A. (2018) </w:t>
      </w:r>
      <w:r>
        <w:rPr>
          <w:rFonts w:ascii="Arial" w:hAnsi="Arial" w:cs="Arial"/>
          <w:sz w:val="24"/>
          <w:szCs w:val="24"/>
        </w:rPr>
        <w:t>‘</w:t>
      </w:r>
      <w:r w:rsidRPr="00C619D9">
        <w:rPr>
          <w:rFonts w:ascii="Arial" w:hAnsi="Arial" w:cs="Arial"/>
          <w:sz w:val="24"/>
          <w:szCs w:val="24"/>
        </w:rPr>
        <w:t>Fitness-to-practise concerns and preventative strategies</w:t>
      </w:r>
      <w:r>
        <w:rPr>
          <w:rFonts w:ascii="Arial" w:hAnsi="Arial" w:cs="Arial"/>
          <w:sz w:val="24"/>
          <w:szCs w:val="24"/>
        </w:rPr>
        <w:t>’</w:t>
      </w:r>
      <w:r w:rsidRPr="00C619D9">
        <w:rPr>
          <w:rFonts w:ascii="Arial" w:hAnsi="Arial" w:cs="Arial"/>
          <w:sz w:val="24"/>
          <w:szCs w:val="24"/>
        </w:rPr>
        <w:t xml:space="preserve"> </w:t>
      </w:r>
      <w:r w:rsidRPr="00C619D9">
        <w:rPr>
          <w:rFonts w:ascii="Arial" w:hAnsi="Arial" w:cs="Arial"/>
          <w:i/>
          <w:sz w:val="24"/>
          <w:szCs w:val="24"/>
        </w:rPr>
        <w:t>Journal of Paramedic Practice</w:t>
      </w:r>
      <w:r>
        <w:rPr>
          <w:rFonts w:ascii="Arial" w:hAnsi="Arial" w:cs="Arial"/>
          <w:i/>
          <w:sz w:val="24"/>
          <w:szCs w:val="24"/>
        </w:rPr>
        <w:t>,</w:t>
      </w:r>
      <w:r w:rsidRPr="00C619D9">
        <w:rPr>
          <w:rFonts w:ascii="Arial" w:hAnsi="Arial" w:cs="Arial"/>
          <w:sz w:val="24"/>
          <w:szCs w:val="24"/>
        </w:rPr>
        <w:t xml:space="preserve"> </w:t>
      </w:r>
      <w:r w:rsidRPr="00216648">
        <w:rPr>
          <w:rFonts w:ascii="Arial" w:hAnsi="Arial" w:cs="Arial"/>
          <w:b/>
          <w:sz w:val="24"/>
          <w:szCs w:val="24"/>
        </w:rPr>
        <w:t>10</w:t>
      </w:r>
      <w:r w:rsidRPr="00C619D9">
        <w:rPr>
          <w:rFonts w:ascii="Arial" w:hAnsi="Arial" w:cs="Arial"/>
          <w:sz w:val="24"/>
          <w:szCs w:val="24"/>
        </w:rPr>
        <w:t>(4)</w:t>
      </w:r>
      <w:r w:rsidR="00216648">
        <w:rPr>
          <w:rFonts w:ascii="Arial" w:hAnsi="Arial" w:cs="Arial"/>
          <w:sz w:val="24"/>
          <w:szCs w:val="24"/>
        </w:rPr>
        <w:t xml:space="preserve">, pp. </w:t>
      </w:r>
      <w:r w:rsidRPr="00C619D9">
        <w:rPr>
          <w:rFonts w:ascii="Arial" w:hAnsi="Arial" w:cs="Arial"/>
          <w:sz w:val="24"/>
          <w:szCs w:val="24"/>
        </w:rPr>
        <w:t>163-169.</w:t>
      </w:r>
    </w:p>
    <w:p w14:paraId="3A74806A" w14:textId="72D6B5D5" w:rsidR="00550BD7" w:rsidRDefault="00550BD7" w:rsidP="009171F8">
      <w:pPr>
        <w:pStyle w:val="EndNoteBibliography"/>
        <w:spacing w:line="360" w:lineRule="auto"/>
        <w:ind w:left="567" w:hanging="567"/>
        <w:rPr>
          <w:rFonts w:ascii="Arial" w:hAnsi="Arial" w:cs="Arial"/>
          <w:sz w:val="24"/>
          <w:szCs w:val="24"/>
          <w:lang w:val="en-GB"/>
        </w:rPr>
      </w:pPr>
      <w:r>
        <w:rPr>
          <w:rFonts w:ascii="Arial" w:hAnsi="Arial" w:cs="Arial"/>
          <w:sz w:val="24"/>
          <w:szCs w:val="24"/>
          <w:lang w:val="en-GB"/>
        </w:rPr>
        <w:t>General Medical Council (</w:t>
      </w:r>
      <w:r w:rsidRPr="00550BD7">
        <w:rPr>
          <w:rFonts w:ascii="Arial" w:hAnsi="Arial" w:cs="Arial"/>
          <w:sz w:val="24"/>
          <w:szCs w:val="24"/>
          <w:lang w:val="en-GB"/>
        </w:rPr>
        <w:t>GMC</w:t>
      </w:r>
      <w:r>
        <w:rPr>
          <w:rFonts w:ascii="Arial" w:hAnsi="Arial" w:cs="Arial"/>
          <w:sz w:val="24"/>
          <w:szCs w:val="24"/>
          <w:lang w:val="en-GB"/>
        </w:rPr>
        <w:t>)</w:t>
      </w:r>
      <w:r w:rsidRPr="00550BD7">
        <w:rPr>
          <w:rFonts w:ascii="Arial" w:hAnsi="Arial" w:cs="Arial"/>
          <w:sz w:val="24"/>
          <w:szCs w:val="24"/>
          <w:lang w:val="en-GB"/>
        </w:rPr>
        <w:t xml:space="preserve"> (2016) </w:t>
      </w:r>
      <w:r w:rsidRPr="00550BD7">
        <w:rPr>
          <w:rFonts w:ascii="Arial" w:hAnsi="Arial" w:cs="Arial"/>
          <w:i/>
          <w:iCs/>
          <w:sz w:val="24"/>
          <w:szCs w:val="24"/>
          <w:lang w:val="en-GB"/>
        </w:rPr>
        <w:t>U</w:t>
      </w:r>
      <w:r>
        <w:rPr>
          <w:rFonts w:ascii="Arial" w:hAnsi="Arial" w:cs="Arial"/>
          <w:i/>
          <w:iCs/>
          <w:sz w:val="24"/>
          <w:szCs w:val="24"/>
          <w:lang w:val="en-GB"/>
        </w:rPr>
        <w:t>K</w:t>
      </w:r>
      <w:r w:rsidRPr="00550BD7">
        <w:rPr>
          <w:rFonts w:ascii="Arial" w:hAnsi="Arial" w:cs="Arial"/>
          <w:i/>
          <w:iCs/>
          <w:sz w:val="24"/>
          <w:szCs w:val="24"/>
          <w:lang w:val="en-GB"/>
        </w:rPr>
        <w:t xml:space="preserve"> health regulator comparative data report 2016, prepared by GMC for Chief Executive Steering Group</w:t>
      </w:r>
      <w:r>
        <w:rPr>
          <w:rFonts w:ascii="Arial" w:hAnsi="Arial" w:cs="Arial"/>
          <w:i/>
          <w:iCs/>
          <w:sz w:val="24"/>
          <w:szCs w:val="24"/>
          <w:lang w:val="en-GB"/>
        </w:rPr>
        <w:t>,</w:t>
      </w:r>
      <w:r w:rsidRPr="00550BD7">
        <w:rPr>
          <w:rFonts w:ascii="Arial" w:hAnsi="Arial" w:cs="Arial"/>
          <w:i/>
          <w:iCs/>
          <w:sz w:val="24"/>
          <w:szCs w:val="24"/>
          <w:lang w:val="en-GB"/>
        </w:rPr>
        <w:t xml:space="preserve"> </w:t>
      </w:r>
      <w:r w:rsidRPr="00550BD7">
        <w:rPr>
          <w:rFonts w:ascii="Arial" w:hAnsi="Arial" w:cs="Arial"/>
          <w:sz w:val="24"/>
          <w:szCs w:val="24"/>
          <w:lang w:val="en-GB"/>
        </w:rPr>
        <w:t xml:space="preserve">London, GMC, </w:t>
      </w:r>
      <w:hyperlink r:id="rId14" w:history="1">
        <w:r w:rsidRPr="006E20A9">
          <w:rPr>
            <w:rStyle w:val="Hyperlink"/>
            <w:rFonts w:ascii="Arial" w:hAnsi="Arial" w:cs="Arial"/>
            <w:sz w:val="24"/>
            <w:szCs w:val="24"/>
            <w:lang w:val="en-GB"/>
          </w:rPr>
          <w:t>www.gmc-</w:t>
        </w:r>
        <w:r w:rsidRPr="006E20A9">
          <w:rPr>
            <w:rStyle w:val="Hyperlink"/>
            <w:rFonts w:ascii="Arial" w:hAnsi="Arial" w:cs="Arial"/>
            <w:sz w:val="24"/>
            <w:szCs w:val="24"/>
            <w:lang w:val="en-GB"/>
          </w:rPr>
          <w:lastRenderedPageBreak/>
          <w:t>uk.org/static/documents/content/UK_health_regulator_comparative_report_FINAL_220217.pdf</w:t>
        </w:r>
      </w:hyperlink>
      <w:r>
        <w:rPr>
          <w:rFonts w:ascii="Arial" w:hAnsi="Arial" w:cs="Arial"/>
          <w:sz w:val="24"/>
          <w:szCs w:val="24"/>
          <w:lang w:val="en-GB"/>
        </w:rPr>
        <w:t>, accessed 2.2.19</w:t>
      </w:r>
    </w:p>
    <w:p w14:paraId="3A6716E3" w14:textId="77777777" w:rsidR="00590979" w:rsidRP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Health and Care Professions Council </w:t>
      </w:r>
      <w:r>
        <w:rPr>
          <w:rFonts w:ascii="Arial" w:hAnsi="Arial" w:cs="Arial"/>
          <w:sz w:val="24"/>
          <w:szCs w:val="24"/>
        </w:rPr>
        <w:t xml:space="preserve">(HCPC) </w:t>
      </w:r>
      <w:r w:rsidRPr="00590979">
        <w:rPr>
          <w:rFonts w:ascii="Arial" w:hAnsi="Arial" w:cs="Arial"/>
          <w:sz w:val="24"/>
          <w:szCs w:val="24"/>
        </w:rPr>
        <w:t xml:space="preserve">(2012) </w:t>
      </w:r>
      <w:r w:rsidRPr="00590979">
        <w:rPr>
          <w:rFonts w:ascii="Arial" w:hAnsi="Arial" w:cs="Arial"/>
          <w:i/>
          <w:sz w:val="24"/>
          <w:szCs w:val="24"/>
        </w:rPr>
        <w:t>Standards of conduct, performance and ethics</w:t>
      </w:r>
      <w:r w:rsidRPr="00590979">
        <w:rPr>
          <w:rFonts w:ascii="Arial" w:hAnsi="Arial" w:cs="Arial"/>
          <w:sz w:val="24"/>
          <w:szCs w:val="24"/>
        </w:rPr>
        <w:t xml:space="preserve">, London, </w:t>
      </w:r>
      <w:r>
        <w:rPr>
          <w:rFonts w:ascii="Arial" w:hAnsi="Arial" w:cs="Arial"/>
          <w:sz w:val="24"/>
          <w:szCs w:val="24"/>
        </w:rPr>
        <w:t>HCPC</w:t>
      </w:r>
      <w:r w:rsidRPr="00590979">
        <w:rPr>
          <w:rFonts w:ascii="Arial" w:hAnsi="Arial" w:cs="Arial"/>
          <w:sz w:val="24"/>
          <w:szCs w:val="24"/>
        </w:rPr>
        <w:t xml:space="preserve">, </w:t>
      </w:r>
      <w:hyperlink r:id="rId15" w:history="1">
        <w:r w:rsidRPr="00787BE2">
          <w:rPr>
            <w:rStyle w:val="Hyperlink"/>
            <w:rFonts w:ascii="Arial" w:hAnsi="Arial" w:cs="Arial"/>
            <w:sz w:val="24"/>
            <w:szCs w:val="24"/>
          </w:rPr>
          <w:t>www.hcpc-uk.org</w:t>
        </w:r>
      </w:hyperlink>
      <w:r>
        <w:rPr>
          <w:rFonts w:ascii="Arial" w:hAnsi="Arial" w:cs="Arial"/>
          <w:sz w:val="24"/>
          <w:szCs w:val="24"/>
        </w:rPr>
        <w:t xml:space="preserve">, </w:t>
      </w:r>
      <w:r w:rsidRPr="00590979">
        <w:rPr>
          <w:rFonts w:ascii="Arial" w:hAnsi="Arial" w:cs="Arial"/>
          <w:sz w:val="24"/>
          <w:szCs w:val="24"/>
          <w:lang w:val="en-GB"/>
        </w:rPr>
        <w:t>accessed 23.12.18.</w:t>
      </w:r>
    </w:p>
    <w:p w14:paraId="1FE5CC32" w14:textId="779022CE" w:rsidR="00590979" w:rsidRPr="00590979" w:rsidRDefault="00590979" w:rsidP="009171F8">
      <w:pPr>
        <w:pStyle w:val="EndNoteBibliography"/>
        <w:spacing w:line="360" w:lineRule="auto"/>
        <w:ind w:left="567" w:hanging="567"/>
        <w:rPr>
          <w:rFonts w:ascii="Arial" w:hAnsi="Arial" w:cs="Arial"/>
          <w:sz w:val="24"/>
          <w:szCs w:val="24"/>
        </w:rPr>
      </w:pPr>
      <w:r>
        <w:rPr>
          <w:rFonts w:ascii="Arial" w:hAnsi="Arial" w:cs="Arial"/>
          <w:sz w:val="24"/>
          <w:szCs w:val="24"/>
        </w:rPr>
        <w:t>HCPC</w:t>
      </w:r>
      <w:r w:rsidR="009F7067">
        <w:rPr>
          <w:rFonts w:ascii="Arial" w:hAnsi="Arial" w:cs="Arial"/>
          <w:sz w:val="24"/>
          <w:szCs w:val="24"/>
        </w:rPr>
        <w:t xml:space="preserve"> </w:t>
      </w:r>
      <w:r w:rsidRPr="00590979">
        <w:rPr>
          <w:rFonts w:ascii="Arial" w:hAnsi="Arial" w:cs="Arial"/>
          <w:sz w:val="24"/>
          <w:szCs w:val="24"/>
        </w:rPr>
        <w:t xml:space="preserve">(2015) </w:t>
      </w:r>
      <w:r w:rsidRPr="00590979">
        <w:rPr>
          <w:rFonts w:ascii="Arial" w:hAnsi="Arial" w:cs="Arial"/>
          <w:i/>
          <w:sz w:val="24"/>
          <w:szCs w:val="24"/>
        </w:rPr>
        <w:t>Fitness to practise annual report 2015</w:t>
      </w:r>
      <w:r w:rsidRPr="00590979">
        <w:rPr>
          <w:rFonts w:ascii="Arial" w:hAnsi="Arial" w:cs="Arial"/>
          <w:sz w:val="24"/>
          <w:szCs w:val="24"/>
        </w:rPr>
        <w:t>, London, H</w:t>
      </w:r>
      <w:r w:rsidR="000B0C79">
        <w:rPr>
          <w:rFonts w:ascii="Arial" w:hAnsi="Arial" w:cs="Arial"/>
          <w:sz w:val="24"/>
          <w:szCs w:val="24"/>
        </w:rPr>
        <w:t>CPC</w:t>
      </w:r>
      <w:r w:rsidRPr="00590979">
        <w:rPr>
          <w:rFonts w:ascii="Arial" w:hAnsi="Arial" w:cs="Arial"/>
          <w:sz w:val="24"/>
          <w:szCs w:val="24"/>
        </w:rPr>
        <w:t xml:space="preserve">, </w:t>
      </w:r>
      <w:hyperlink r:id="rId16" w:history="1">
        <w:r w:rsidRPr="00787BE2">
          <w:rPr>
            <w:rStyle w:val="Hyperlink"/>
            <w:rFonts w:ascii="Arial" w:hAnsi="Arial" w:cs="Arial"/>
            <w:sz w:val="24"/>
            <w:szCs w:val="24"/>
          </w:rPr>
          <w:t>www.hcpc-uk.org/resources/reports/2015/fitness-to-practise-annual-report-2015/</w:t>
        </w:r>
      </w:hyperlink>
      <w:r>
        <w:rPr>
          <w:rFonts w:ascii="Arial" w:hAnsi="Arial" w:cs="Arial"/>
          <w:sz w:val="24"/>
          <w:szCs w:val="24"/>
        </w:rPr>
        <w:t xml:space="preserve">, </w:t>
      </w:r>
      <w:r w:rsidRPr="00590979">
        <w:rPr>
          <w:rFonts w:ascii="Arial" w:hAnsi="Arial" w:cs="Arial"/>
          <w:sz w:val="24"/>
          <w:szCs w:val="24"/>
          <w:lang w:val="en-GB"/>
        </w:rPr>
        <w:t>accessed 23.12.18.</w:t>
      </w:r>
    </w:p>
    <w:p w14:paraId="4DD769D0" w14:textId="23155520" w:rsidR="00590979" w:rsidRPr="00590979" w:rsidRDefault="00590979" w:rsidP="009171F8">
      <w:pPr>
        <w:pStyle w:val="EndNoteBibliography"/>
        <w:spacing w:line="360" w:lineRule="auto"/>
        <w:ind w:left="567" w:hanging="567"/>
        <w:rPr>
          <w:rFonts w:ascii="Arial" w:hAnsi="Arial" w:cs="Arial"/>
          <w:sz w:val="24"/>
          <w:szCs w:val="24"/>
        </w:rPr>
      </w:pPr>
      <w:r>
        <w:rPr>
          <w:rFonts w:ascii="Arial" w:hAnsi="Arial" w:cs="Arial"/>
          <w:sz w:val="24"/>
          <w:szCs w:val="24"/>
        </w:rPr>
        <w:t>HCPC</w:t>
      </w:r>
      <w:r w:rsidRPr="00590979">
        <w:rPr>
          <w:rFonts w:ascii="Arial" w:hAnsi="Arial" w:cs="Arial"/>
          <w:sz w:val="24"/>
          <w:szCs w:val="24"/>
        </w:rPr>
        <w:t xml:space="preserve"> (201</w:t>
      </w:r>
      <w:r w:rsidR="009F7067">
        <w:rPr>
          <w:rFonts w:ascii="Arial" w:hAnsi="Arial" w:cs="Arial"/>
          <w:sz w:val="24"/>
          <w:szCs w:val="24"/>
        </w:rPr>
        <w:t>7</w:t>
      </w:r>
      <w:r w:rsidRPr="00590979">
        <w:rPr>
          <w:rFonts w:ascii="Arial" w:hAnsi="Arial" w:cs="Arial"/>
          <w:sz w:val="24"/>
          <w:szCs w:val="24"/>
        </w:rPr>
        <w:t xml:space="preserve">) </w:t>
      </w:r>
      <w:r w:rsidRPr="00590979">
        <w:rPr>
          <w:rFonts w:ascii="Arial" w:hAnsi="Arial" w:cs="Arial"/>
          <w:i/>
          <w:sz w:val="24"/>
          <w:szCs w:val="24"/>
        </w:rPr>
        <w:t xml:space="preserve">Standards of proficiency - Social workers in England </w:t>
      </w:r>
      <w:r w:rsidRPr="00590979">
        <w:rPr>
          <w:rFonts w:ascii="Arial" w:hAnsi="Arial" w:cs="Arial"/>
          <w:sz w:val="24"/>
          <w:szCs w:val="24"/>
        </w:rPr>
        <w:t xml:space="preserve">London, </w:t>
      </w:r>
      <w:r>
        <w:rPr>
          <w:rFonts w:ascii="Arial" w:hAnsi="Arial" w:cs="Arial"/>
          <w:sz w:val="24"/>
          <w:szCs w:val="24"/>
        </w:rPr>
        <w:t>HCPC</w:t>
      </w:r>
      <w:r w:rsidRPr="00590979">
        <w:rPr>
          <w:rFonts w:ascii="Arial" w:hAnsi="Arial" w:cs="Arial"/>
          <w:sz w:val="24"/>
          <w:szCs w:val="24"/>
        </w:rPr>
        <w:t xml:space="preserve">, </w:t>
      </w:r>
      <w:hyperlink r:id="rId17" w:history="1">
        <w:r w:rsidR="000B0C79" w:rsidRPr="00787BE2">
          <w:rPr>
            <w:rStyle w:val="Hyperlink"/>
            <w:rFonts w:ascii="Arial" w:hAnsi="Arial" w:cs="Arial"/>
            <w:sz w:val="24"/>
            <w:szCs w:val="24"/>
          </w:rPr>
          <w:t>www.hcpc-uk.org/resources/standards/standards-of-proficiency-social-workers-in-england/</w:t>
        </w:r>
      </w:hyperlink>
      <w:r>
        <w:rPr>
          <w:rFonts w:ascii="Arial" w:hAnsi="Arial" w:cs="Arial"/>
          <w:sz w:val="24"/>
          <w:szCs w:val="24"/>
        </w:rPr>
        <w:t>,</w:t>
      </w:r>
      <w:r w:rsidRPr="00590979">
        <w:rPr>
          <w:rFonts w:ascii="Arial" w:hAnsi="Arial" w:cs="Arial"/>
          <w:noProof w:val="0"/>
          <w:sz w:val="24"/>
          <w:szCs w:val="24"/>
          <w:lang w:val="en-GB"/>
        </w:rPr>
        <w:t xml:space="preserve"> </w:t>
      </w:r>
      <w:r w:rsidRPr="00590979">
        <w:rPr>
          <w:rFonts w:ascii="Arial" w:hAnsi="Arial" w:cs="Arial"/>
          <w:sz w:val="24"/>
          <w:szCs w:val="24"/>
          <w:lang w:val="en-GB"/>
        </w:rPr>
        <w:t>accessed 23.12.18.</w:t>
      </w:r>
      <w:r>
        <w:rPr>
          <w:rFonts w:ascii="Arial" w:hAnsi="Arial" w:cs="Arial"/>
          <w:sz w:val="24"/>
          <w:szCs w:val="24"/>
        </w:rPr>
        <w:t xml:space="preserve"> </w:t>
      </w:r>
    </w:p>
    <w:p w14:paraId="5C032D9F" w14:textId="77777777" w:rsidR="00590979" w:rsidRPr="00590979" w:rsidRDefault="00590979" w:rsidP="009171F8">
      <w:pPr>
        <w:pStyle w:val="EndNoteBibliography"/>
        <w:spacing w:line="360" w:lineRule="auto"/>
        <w:ind w:left="567" w:hanging="567"/>
        <w:rPr>
          <w:rFonts w:ascii="Arial" w:hAnsi="Arial" w:cs="Arial"/>
          <w:sz w:val="24"/>
          <w:szCs w:val="24"/>
        </w:rPr>
      </w:pPr>
      <w:r>
        <w:rPr>
          <w:rFonts w:ascii="Arial" w:hAnsi="Arial" w:cs="Arial"/>
          <w:sz w:val="24"/>
          <w:szCs w:val="24"/>
        </w:rPr>
        <w:t>HCPC</w:t>
      </w:r>
      <w:r w:rsidRPr="00590979">
        <w:rPr>
          <w:rFonts w:ascii="Arial" w:hAnsi="Arial" w:cs="Arial"/>
          <w:sz w:val="24"/>
          <w:szCs w:val="24"/>
        </w:rPr>
        <w:t xml:space="preserve"> (2018) </w:t>
      </w:r>
      <w:r w:rsidRPr="00590979">
        <w:rPr>
          <w:rFonts w:ascii="Arial" w:hAnsi="Arial" w:cs="Arial"/>
          <w:i/>
          <w:sz w:val="24"/>
          <w:szCs w:val="24"/>
        </w:rPr>
        <w:t>Fitness to practise annual report 2018</w:t>
      </w:r>
      <w:r w:rsidRPr="00590979">
        <w:rPr>
          <w:rFonts w:ascii="Arial" w:hAnsi="Arial" w:cs="Arial"/>
          <w:sz w:val="24"/>
          <w:szCs w:val="24"/>
        </w:rPr>
        <w:t xml:space="preserve">, London, </w:t>
      </w:r>
      <w:r>
        <w:rPr>
          <w:rFonts w:ascii="Arial" w:hAnsi="Arial" w:cs="Arial"/>
          <w:sz w:val="24"/>
          <w:szCs w:val="24"/>
        </w:rPr>
        <w:t>HCPC</w:t>
      </w:r>
      <w:r w:rsidRPr="00590979">
        <w:rPr>
          <w:rFonts w:ascii="Arial" w:hAnsi="Arial" w:cs="Arial"/>
          <w:sz w:val="24"/>
          <w:szCs w:val="24"/>
        </w:rPr>
        <w:t xml:space="preserve">, </w:t>
      </w:r>
      <w:hyperlink r:id="rId18" w:history="1">
        <w:r w:rsidR="000B0C79" w:rsidRPr="00787BE2">
          <w:rPr>
            <w:rStyle w:val="Hyperlink"/>
            <w:rFonts w:ascii="Arial" w:hAnsi="Arial" w:cs="Arial"/>
            <w:sz w:val="24"/>
            <w:szCs w:val="24"/>
          </w:rPr>
          <w:t>www.hcpc-uk.org/resources/reports/2018/fitness-to-practise-annual-report-2018/</w:t>
        </w:r>
      </w:hyperlink>
      <w:r>
        <w:rPr>
          <w:rFonts w:ascii="Arial" w:hAnsi="Arial" w:cs="Arial"/>
          <w:sz w:val="24"/>
          <w:szCs w:val="24"/>
        </w:rPr>
        <w:t>,</w:t>
      </w:r>
      <w:r w:rsidRPr="00590979">
        <w:rPr>
          <w:rFonts w:ascii="Arial" w:hAnsi="Arial" w:cs="Arial"/>
          <w:noProof w:val="0"/>
          <w:sz w:val="24"/>
          <w:szCs w:val="24"/>
          <w:lang w:val="en-GB"/>
        </w:rPr>
        <w:t xml:space="preserve"> </w:t>
      </w:r>
      <w:r w:rsidRPr="00590979">
        <w:rPr>
          <w:rFonts w:ascii="Arial" w:hAnsi="Arial" w:cs="Arial"/>
          <w:sz w:val="24"/>
          <w:szCs w:val="24"/>
          <w:lang w:val="en-GB"/>
        </w:rPr>
        <w:t>accessed 23.12.18.</w:t>
      </w:r>
      <w:r>
        <w:rPr>
          <w:rFonts w:ascii="Arial" w:hAnsi="Arial" w:cs="Arial"/>
          <w:sz w:val="24"/>
          <w:szCs w:val="24"/>
        </w:rPr>
        <w:t xml:space="preserve"> </w:t>
      </w:r>
    </w:p>
    <w:p w14:paraId="00FA1D88" w14:textId="77777777" w:rsidR="00590979" w:rsidRPr="00590979" w:rsidRDefault="00590979" w:rsidP="009171F8">
      <w:pPr>
        <w:pStyle w:val="EndNoteBibliography"/>
        <w:spacing w:line="360" w:lineRule="auto"/>
        <w:ind w:left="567" w:hanging="567"/>
        <w:rPr>
          <w:rFonts w:ascii="Arial" w:hAnsi="Arial" w:cs="Arial"/>
          <w:sz w:val="24"/>
          <w:szCs w:val="24"/>
        </w:rPr>
      </w:pPr>
      <w:r>
        <w:rPr>
          <w:rFonts w:ascii="Arial" w:hAnsi="Arial" w:cs="Arial"/>
          <w:sz w:val="24"/>
          <w:szCs w:val="24"/>
        </w:rPr>
        <w:t>HCPC</w:t>
      </w:r>
      <w:r w:rsidRPr="00590979">
        <w:rPr>
          <w:rFonts w:ascii="Arial" w:hAnsi="Arial" w:cs="Arial"/>
          <w:sz w:val="24"/>
          <w:szCs w:val="24"/>
        </w:rPr>
        <w:t xml:space="preserve"> (n.d.) </w:t>
      </w:r>
      <w:r w:rsidRPr="00590979">
        <w:rPr>
          <w:rFonts w:ascii="Arial" w:hAnsi="Arial" w:cs="Arial"/>
          <w:i/>
          <w:sz w:val="24"/>
          <w:szCs w:val="24"/>
        </w:rPr>
        <w:t>Factsheet: Standard of acceptance explained</w:t>
      </w:r>
      <w:r w:rsidRPr="00590979">
        <w:rPr>
          <w:rFonts w:ascii="Arial" w:hAnsi="Arial" w:cs="Arial"/>
          <w:sz w:val="24"/>
          <w:szCs w:val="24"/>
        </w:rPr>
        <w:t xml:space="preserve">, </w:t>
      </w:r>
      <w:r w:rsidRPr="00590979">
        <w:rPr>
          <w:rFonts w:ascii="Arial" w:hAnsi="Arial" w:cs="Arial"/>
          <w:sz w:val="24"/>
          <w:szCs w:val="24"/>
          <w:lang w:val="en-GB"/>
        </w:rPr>
        <w:t xml:space="preserve">London, </w:t>
      </w:r>
      <w:r>
        <w:rPr>
          <w:rFonts w:ascii="Arial" w:hAnsi="Arial" w:cs="Arial"/>
          <w:sz w:val="24"/>
          <w:szCs w:val="24"/>
          <w:lang w:val="en-GB"/>
        </w:rPr>
        <w:t>HCPC</w:t>
      </w:r>
      <w:r w:rsidRPr="00590979">
        <w:rPr>
          <w:rFonts w:ascii="Arial" w:hAnsi="Arial" w:cs="Arial"/>
          <w:sz w:val="24"/>
          <w:szCs w:val="24"/>
          <w:lang w:val="en-GB"/>
        </w:rPr>
        <w:t xml:space="preserve">, </w:t>
      </w:r>
      <w:r w:rsidRPr="00590979">
        <w:rPr>
          <w:rFonts w:ascii="Arial" w:hAnsi="Arial" w:cs="Arial"/>
          <w:sz w:val="24"/>
          <w:szCs w:val="24"/>
        </w:rPr>
        <w:t xml:space="preserve">www.hcpc-uk.org/resources/policy/the-standard-of-acceptance-for-allegations/, </w:t>
      </w:r>
      <w:r w:rsidRPr="00590979">
        <w:rPr>
          <w:rFonts w:ascii="Arial" w:hAnsi="Arial" w:cs="Arial"/>
          <w:sz w:val="24"/>
          <w:szCs w:val="24"/>
          <w:lang w:val="en-GB"/>
        </w:rPr>
        <w:t>accessed 23.12.18.</w:t>
      </w:r>
    </w:p>
    <w:p w14:paraId="164BAC0C" w14:textId="180331DB" w:rsid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Kelly, T. (2013) 'Parents' social service hell after one anonymous letter: Judge attacks Baby P council for 'knee-jerk' abuse investigation', </w:t>
      </w:r>
      <w:r w:rsidRPr="00590979">
        <w:rPr>
          <w:rFonts w:ascii="Arial" w:hAnsi="Arial" w:cs="Arial"/>
          <w:i/>
          <w:sz w:val="24"/>
          <w:szCs w:val="24"/>
        </w:rPr>
        <w:t xml:space="preserve">The Daily Mail, </w:t>
      </w:r>
      <w:r w:rsidRPr="00590979">
        <w:rPr>
          <w:rFonts w:ascii="Arial" w:hAnsi="Arial" w:cs="Arial"/>
          <w:sz w:val="24"/>
          <w:szCs w:val="24"/>
        </w:rPr>
        <w:t xml:space="preserve">14 March 2013, </w:t>
      </w:r>
      <w:hyperlink r:id="rId19" w:history="1">
        <w:r w:rsidRPr="00787BE2">
          <w:rPr>
            <w:rStyle w:val="Hyperlink"/>
            <w:rFonts w:ascii="Arial" w:hAnsi="Arial" w:cs="Arial"/>
            <w:sz w:val="24"/>
            <w:szCs w:val="24"/>
          </w:rPr>
          <w:t>www.dailymail.co.uk/news/article-2293432/Parents-social-service-hell-anonymous-letter--Judge-attacks-Baby-P-council-knee-jerk-abuse-investigation.html</w:t>
        </w:r>
      </w:hyperlink>
      <w:r>
        <w:rPr>
          <w:rFonts w:ascii="Arial" w:hAnsi="Arial" w:cs="Arial"/>
          <w:sz w:val="24"/>
          <w:szCs w:val="24"/>
        </w:rPr>
        <w:t xml:space="preserve">, </w:t>
      </w:r>
      <w:r w:rsidRPr="00590979">
        <w:rPr>
          <w:rFonts w:ascii="Arial" w:hAnsi="Arial" w:cs="Arial"/>
          <w:sz w:val="24"/>
          <w:szCs w:val="24"/>
          <w:lang w:val="en-GB"/>
        </w:rPr>
        <w:t>accessed 23.12.18.</w:t>
      </w:r>
    </w:p>
    <w:p w14:paraId="70140054" w14:textId="422DBB71" w:rsidR="00590979" w:rsidRP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Kirwan, G. and Melaugh, B. (2015) 'Taking Care: Criticalilty and Reflexivity in the Context of Social Work Registration', </w:t>
      </w:r>
      <w:r w:rsidRPr="00590979">
        <w:rPr>
          <w:rFonts w:ascii="Arial" w:hAnsi="Arial" w:cs="Arial"/>
          <w:i/>
          <w:sz w:val="24"/>
          <w:szCs w:val="24"/>
        </w:rPr>
        <w:t>British Journal of Social Work</w:t>
      </w:r>
      <w:r w:rsidRPr="00590979">
        <w:rPr>
          <w:rFonts w:ascii="Arial" w:hAnsi="Arial" w:cs="Arial"/>
          <w:sz w:val="24"/>
          <w:szCs w:val="24"/>
        </w:rPr>
        <w:t xml:space="preserve">, </w:t>
      </w:r>
      <w:r w:rsidRPr="00590979">
        <w:rPr>
          <w:rFonts w:ascii="Arial" w:hAnsi="Arial" w:cs="Arial"/>
          <w:b/>
          <w:sz w:val="24"/>
          <w:szCs w:val="24"/>
        </w:rPr>
        <w:t>45</w:t>
      </w:r>
      <w:r w:rsidRPr="00590979">
        <w:rPr>
          <w:rFonts w:ascii="Arial" w:hAnsi="Arial" w:cs="Arial"/>
          <w:sz w:val="24"/>
          <w:szCs w:val="24"/>
        </w:rPr>
        <w:t>, pp. 1050-1059.</w:t>
      </w:r>
    </w:p>
    <w:p w14:paraId="4A5D9628" w14:textId="286E7FDD" w:rsid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Leigh, J., Worsley, A. and McLaughlin, K. (2017) 'An analysis of HCPC fitness to practice hearings: Fit to Practise or fit for purpose?', </w:t>
      </w:r>
      <w:r w:rsidRPr="00590979">
        <w:rPr>
          <w:rFonts w:ascii="Arial" w:hAnsi="Arial" w:cs="Arial"/>
          <w:i/>
          <w:sz w:val="24"/>
          <w:szCs w:val="24"/>
        </w:rPr>
        <w:t>Ethics and Social Welfare</w:t>
      </w:r>
      <w:r w:rsidRPr="00590979">
        <w:rPr>
          <w:rFonts w:ascii="Arial" w:hAnsi="Arial" w:cs="Arial"/>
          <w:sz w:val="24"/>
          <w:szCs w:val="24"/>
        </w:rPr>
        <w:t xml:space="preserve">, </w:t>
      </w:r>
      <w:r w:rsidRPr="00590979">
        <w:rPr>
          <w:rFonts w:ascii="Arial" w:hAnsi="Arial" w:cs="Arial"/>
          <w:b/>
          <w:sz w:val="24"/>
          <w:szCs w:val="24"/>
        </w:rPr>
        <w:t>11</w:t>
      </w:r>
      <w:r w:rsidRPr="00590979">
        <w:rPr>
          <w:rFonts w:ascii="Arial" w:hAnsi="Arial" w:cs="Arial"/>
          <w:sz w:val="24"/>
          <w:szCs w:val="24"/>
        </w:rPr>
        <w:t>(4), pp. 382-396.</w:t>
      </w:r>
    </w:p>
    <w:p w14:paraId="7FA0AA7C" w14:textId="55F6DD21" w:rsidR="00216648" w:rsidRPr="00216648" w:rsidRDefault="00216648" w:rsidP="00216648">
      <w:pPr>
        <w:pStyle w:val="EndNoteBibliography"/>
        <w:spacing w:line="360" w:lineRule="auto"/>
        <w:ind w:left="567" w:hanging="567"/>
        <w:rPr>
          <w:rFonts w:ascii="Arial" w:hAnsi="Arial" w:cs="Arial"/>
          <w:sz w:val="24"/>
          <w:szCs w:val="24"/>
        </w:rPr>
      </w:pPr>
      <w:r w:rsidRPr="00216648">
        <w:rPr>
          <w:rFonts w:ascii="Arial" w:hAnsi="Arial" w:cs="Arial"/>
          <w:sz w:val="24"/>
          <w:szCs w:val="24"/>
        </w:rPr>
        <w:lastRenderedPageBreak/>
        <w:t>Lucas, G., Zasada, M., Gallagher, A., Jago, R., Banks, S., Zubi</w:t>
      </w:r>
      <w:r>
        <w:rPr>
          <w:rFonts w:ascii="Arial" w:hAnsi="Arial" w:cs="Arial"/>
          <w:sz w:val="24"/>
          <w:szCs w:val="24"/>
        </w:rPr>
        <w:t>n, A., &amp; van der Gaag, A. (2019</w:t>
      </w:r>
      <w:r w:rsidRPr="00216648">
        <w:rPr>
          <w:rFonts w:ascii="Arial" w:hAnsi="Arial" w:cs="Arial"/>
          <w:sz w:val="24"/>
          <w:szCs w:val="24"/>
        </w:rPr>
        <w:t xml:space="preserve"> </w:t>
      </w:r>
      <w:r>
        <w:rPr>
          <w:rFonts w:ascii="Arial" w:hAnsi="Arial" w:cs="Arial"/>
          <w:sz w:val="24"/>
          <w:szCs w:val="24"/>
        </w:rPr>
        <w:t>‘</w:t>
      </w:r>
      <w:r w:rsidRPr="00216648">
        <w:rPr>
          <w:rFonts w:ascii="Arial" w:hAnsi="Arial" w:cs="Arial"/>
          <w:sz w:val="24"/>
          <w:szCs w:val="24"/>
        </w:rPr>
        <w:t>Understanding complaints about paramedics: a qualitative exploration in a UK context</w:t>
      </w:r>
      <w:r>
        <w:rPr>
          <w:rFonts w:ascii="Arial" w:hAnsi="Arial" w:cs="Arial"/>
          <w:sz w:val="24"/>
          <w:szCs w:val="24"/>
        </w:rPr>
        <w:t>’</w:t>
      </w:r>
      <w:r w:rsidRPr="00216648">
        <w:rPr>
          <w:rFonts w:ascii="Arial" w:hAnsi="Arial" w:cs="Arial"/>
          <w:sz w:val="24"/>
          <w:szCs w:val="24"/>
        </w:rPr>
        <w:t xml:space="preserve"> </w:t>
      </w:r>
      <w:r w:rsidRPr="00216648">
        <w:rPr>
          <w:rFonts w:ascii="Arial" w:hAnsi="Arial" w:cs="Arial"/>
          <w:i/>
          <w:sz w:val="24"/>
          <w:szCs w:val="24"/>
        </w:rPr>
        <w:t>Australasian Journal of Paramedicine</w:t>
      </w:r>
      <w:r>
        <w:rPr>
          <w:rFonts w:ascii="Arial" w:hAnsi="Arial" w:cs="Arial"/>
          <w:i/>
          <w:sz w:val="24"/>
          <w:szCs w:val="24"/>
        </w:rPr>
        <w:t>,</w:t>
      </w:r>
      <w:r w:rsidRPr="00216648">
        <w:rPr>
          <w:rFonts w:ascii="Arial" w:hAnsi="Arial" w:cs="Arial"/>
          <w:sz w:val="24"/>
          <w:szCs w:val="24"/>
        </w:rPr>
        <w:t xml:space="preserve"> </w:t>
      </w:r>
      <w:r w:rsidRPr="00216648">
        <w:rPr>
          <w:rFonts w:ascii="Arial" w:hAnsi="Arial" w:cs="Arial"/>
          <w:b/>
          <w:sz w:val="24"/>
          <w:szCs w:val="24"/>
        </w:rPr>
        <w:t>16</w:t>
      </w:r>
      <w:r w:rsidRPr="00216648">
        <w:rPr>
          <w:rFonts w:ascii="Arial" w:hAnsi="Arial" w:cs="Arial"/>
          <w:sz w:val="24"/>
          <w:szCs w:val="24"/>
        </w:rPr>
        <w:t xml:space="preserve">, </w:t>
      </w:r>
      <w:r>
        <w:rPr>
          <w:rFonts w:ascii="Arial" w:hAnsi="Arial" w:cs="Arial"/>
          <w:sz w:val="24"/>
          <w:szCs w:val="24"/>
        </w:rPr>
        <w:t>pp.</w:t>
      </w:r>
      <w:r w:rsidRPr="00216648">
        <w:rPr>
          <w:rFonts w:ascii="Arial" w:hAnsi="Arial" w:cs="Arial"/>
          <w:sz w:val="24"/>
          <w:szCs w:val="24"/>
        </w:rPr>
        <w:t xml:space="preserve">1-7 </w:t>
      </w:r>
    </w:p>
    <w:p w14:paraId="21CF111A" w14:textId="77777777" w:rsid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McLaughlin, K., Leigh, J. and Worsley, A. (2016) 'The State of Regulation in England: From the General Social Care Council to the </w:t>
      </w:r>
      <w:r>
        <w:rPr>
          <w:rFonts w:ascii="Arial" w:hAnsi="Arial" w:cs="Arial"/>
          <w:sz w:val="24"/>
          <w:szCs w:val="24"/>
        </w:rPr>
        <w:t>HCPC</w:t>
      </w:r>
      <w:r w:rsidRPr="00590979">
        <w:rPr>
          <w:rFonts w:ascii="Arial" w:hAnsi="Arial" w:cs="Arial"/>
          <w:sz w:val="24"/>
          <w:szCs w:val="24"/>
        </w:rPr>
        <w:t xml:space="preserve">', </w:t>
      </w:r>
      <w:r w:rsidRPr="00590979">
        <w:rPr>
          <w:rFonts w:ascii="Arial" w:hAnsi="Arial" w:cs="Arial"/>
          <w:i/>
          <w:sz w:val="24"/>
          <w:szCs w:val="24"/>
        </w:rPr>
        <w:t>British Journal of Social Work</w:t>
      </w:r>
      <w:r w:rsidRPr="00590979">
        <w:rPr>
          <w:rFonts w:ascii="Arial" w:hAnsi="Arial" w:cs="Arial"/>
          <w:sz w:val="24"/>
          <w:szCs w:val="24"/>
        </w:rPr>
        <w:t xml:space="preserve">, </w:t>
      </w:r>
      <w:r w:rsidRPr="00590979">
        <w:rPr>
          <w:rFonts w:ascii="Arial" w:hAnsi="Arial" w:cs="Arial"/>
          <w:b/>
          <w:sz w:val="24"/>
          <w:szCs w:val="24"/>
        </w:rPr>
        <w:t>46</w:t>
      </w:r>
      <w:r w:rsidRPr="00590979">
        <w:rPr>
          <w:rFonts w:ascii="Arial" w:hAnsi="Arial" w:cs="Arial"/>
          <w:sz w:val="24"/>
          <w:szCs w:val="24"/>
        </w:rPr>
        <w:t>, pp. 825-838.</w:t>
      </w:r>
    </w:p>
    <w:p w14:paraId="7512E5AE" w14:textId="7EEEF93D" w:rsidR="00A3092B" w:rsidRPr="00590979" w:rsidRDefault="00A3092B" w:rsidP="009171F8">
      <w:pPr>
        <w:pStyle w:val="EndNoteBibliography"/>
        <w:spacing w:line="360" w:lineRule="auto"/>
        <w:ind w:left="567" w:hanging="567"/>
        <w:rPr>
          <w:rFonts w:ascii="Arial" w:hAnsi="Arial" w:cs="Arial"/>
          <w:sz w:val="24"/>
          <w:szCs w:val="24"/>
        </w:rPr>
      </w:pPr>
      <w:r w:rsidRPr="00A3092B">
        <w:rPr>
          <w:rFonts w:ascii="Arial" w:hAnsi="Arial" w:cs="Arial"/>
          <w:sz w:val="24"/>
          <w:szCs w:val="24"/>
          <w:lang w:val="en-GB"/>
        </w:rPr>
        <w:t xml:space="preserve">Parker, R. (1990) </w:t>
      </w:r>
      <w:r w:rsidRPr="00A3092B">
        <w:rPr>
          <w:rFonts w:ascii="Arial" w:hAnsi="Arial" w:cs="Arial"/>
          <w:i/>
          <w:iCs/>
          <w:sz w:val="24"/>
          <w:szCs w:val="24"/>
          <w:lang w:val="en-GB"/>
        </w:rPr>
        <w:t>Safeguarding standards: a report on the desirability and feasibility of establishing a United Kingdom independent body to regulate and promote good practice in social work and social care</w:t>
      </w:r>
      <w:r w:rsidRPr="00A3092B">
        <w:rPr>
          <w:rFonts w:ascii="Arial" w:hAnsi="Arial" w:cs="Arial"/>
          <w:sz w:val="24"/>
          <w:szCs w:val="24"/>
          <w:lang w:val="en-GB"/>
        </w:rPr>
        <w:t>,</w:t>
      </w:r>
      <w:r w:rsidRPr="00A3092B">
        <w:rPr>
          <w:rFonts w:ascii="Arial" w:hAnsi="Arial" w:cs="Arial"/>
          <w:i/>
          <w:iCs/>
          <w:sz w:val="24"/>
          <w:szCs w:val="24"/>
          <w:lang w:val="en-GB"/>
        </w:rPr>
        <w:t xml:space="preserve"> </w:t>
      </w:r>
      <w:r w:rsidRPr="00A3092B">
        <w:rPr>
          <w:rFonts w:ascii="Arial" w:hAnsi="Arial" w:cs="Arial"/>
          <w:sz w:val="24"/>
          <w:szCs w:val="24"/>
          <w:lang w:val="en-GB"/>
        </w:rPr>
        <w:t>London, National Institute of Social Work.</w:t>
      </w:r>
    </w:p>
    <w:p w14:paraId="1FCFC89F" w14:textId="77777777" w:rsidR="00590979" w:rsidRP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Professional Standards Authority (2015) </w:t>
      </w:r>
      <w:r w:rsidRPr="00590979">
        <w:rPr>
          <w:rFonts w:ascii="Arial" w:hAnsi="Arial" w:cs="Arial"/>
          <w:i/>
          <w:sz w:val="24"/>
          <w:szCs w:val="24"/>
        </w:rPr>
        <w:t>Rethinking Regulation</w:t>
      </w:r>
      <w:r w:rsidRPr="00590979">
        <w:rPr>
          <w:rFonts w:ascii="Arial" w:hAnsi="Arial" w:cs="Arial"/>
          <w:sz w:val="24"/>
          <w:szCs w:val="24"/>
        </w:rPr>
        <w:t xml:space="preserve">, London, PSA, </w:t>
      </w:r>
      <w:hyperlink r:id="rId20" w:history="1">
        <w:r w:rsidRPr="00787BE2">
          <w:rPr>
            <w:rStyle w:val="Hyperlink"/>
            <w:rFonts w:ascii="Arial" w:hAnsi="Arial" w:cs="Arial"/>
            <w:sz w:val="24"/>
            <w:szCs w:val="24"/>
          </w:rPr>
          <w:t>www.professionalstandards.org.uk/publications/detail/rethinking-regulation</w:t>
        </w:r>
      </w:hyperlink>
      <w:r w:rsidRPr="00590979">
        <w:rPr>
          <w:rFonts w:ascii="Arial" w:hAnsi="Arial" w:cs="Arial"/>
          <w:sz w:val="24"/>
          <w:szCs w:val="24"/>
        </w:rPr>
        <w:t xml:space="preserve"> accessed 23.12.18.</w:t>
      </w:r>
    </w:p>
    <w:p w14:paraId="01503BC1" w14:textId="77777777" w:rsidR="00590979" w:rsidRP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Sparrow, M. (2008) </w:t>
      </w:r>
      <w:r w:rsidRPr="00590979">
        <w:rPr>
          <w:rFonts w:ascii="Arial" w:hAnsi="Arial" w:cs="Arial"/>
          <w:i/>
          <w:sz w:val="24"/>
          <w:szCs w:val="24"/>
        </w:rPr>
        <w:t>The Character of Harms: Operational Challenges in Control</w:t>
      </w:r>
      <w:r w:rsidRPr="00590979">
        <w:rPr>
          <w:rFonts w:ascii="Arial" w:hAnsi="Arial" w:cs="Arial"/>
          <w:sz w:val="24"/>
          <w:szCs w:val="24"/>
        </w:rPr>
        <w:t>, Cambridge, Cambridge University Press</w:t>
      </w:r>
      <w:r>
        <w:rPr>
          <w:rFonts w:ascii="Arial" w:hAnsi="Arial" w:cs="Arial"/>
          <w:sz w:val="24"/>
          <w:szCs w:val="24"/>
        </w:rPr>
        <w:t>.</w:t>
      </w:r>
      <w:r w:rsidRPr="00590979">
        <w:rPr>
          <w:rFonts w:ascii="Arial" w:hAnsi="Arial" w:cs="Arial"/>
          <w:sz w:val="24"/>
          <w:szCs w:val="24"/>
        </w:rPr>
        <w:t xml:space="preserve"> </w:t>
      </w:r>
    </w:p>
    <w:p w14:paraId="7E11133B" w14:textId="77777777" w:rsidR="00590979" w:rsidRPr="00590979" w:rsidRDefault="00590979" w:rsidP="009171F8">
      <w:pPr>
        <w:pStyle w:val="EndNoteBibliography"/>
        <w:spacing w:line="360" w:lineRule="auto"/>
        <w:ind w:left="567" w:hanging="567"/>
        <w:rPr>
          <w:rFonts w:ascii="Arial" w:hAnsi="Arial" w:cs="Arial"/>
          <w:sz w:val="24"/>
          <w:szCs w:val="24"/>
        </w:rPr>
      </w:pPr>
      <w:r w:rsidRPr="00590979">
        <w:rPr>
          <w:rFonts w:ascii="Arial" w:hAnsi="Arial" w:cs="Arial"/>
          <w:sz w:val="24"/>
          <w:szCs w:val="24"/>
        </w:rPr>
        <w:t xml:space="preserve">The Telegraph (2009) 'Lord Laming's review of Baby P failures ', </w:t>
      </w:r>
      <w:r w:rsidRPr="00590979">
        <w:rPr>
          <w:rFonts w:ascii="Arial" w:hAnsi="Arial" w:cs="Arial"/>
          <w:i/>
          <w:sz w:val="24"/>
          <w:szCs w:val="24"/>
        </w:rPr>
        <w:t>The Telegraph</w:t>
      </w:r>
      <w:r w:rsidRPr="00590979">
        <w:rPr>
          <w:rFonts w:ascii="Arial" w:hAnsi="Arial" w:cs="Arial"/>
          <w:sz w:val="24"/>
          <w:szCs w:val="24"/>
        </w:rPr>
        <w:t xml:space="preserve">, 6th May 2009, </w:t>
      </w:r>
      <w:hyperlink r:id="rId21" w:history="1">
        <w:r w:rsidRPr="00787BE2">
          <w:rPr>
            <w:rStyle w:val="Hyperlink"/>
            <w:rFonts w:ascii="Arial" w:hAnsi="Arial" w:cs="Arial"/>
            <w:sz w:val="24"/>
            <w:szCs w:val="24"/>
          </w:rPr>
          <w:t>www.telegraph.co.uk/news/uknews/baby-p/5283897/Lord-Lamings-review-of-Baby-P-failures.html</w:t>
        </w:r>
      </w:hyperlink>
      <w:r>
        <w:rPr>
          <w:rFonts w:ascii="Arial" w:hAnsi="Arial" w:cs="Arial"/>
          <w:sz w:val="24"/>
          <w:szCs w:val="24"/>
        </w:rPr>
        <w:t>,</w:t>
      </w:r>
      <w:r w:rsidRPr="00590979">
        <w:rPr>
          <w:rFonts w:ascii="Arial" w:hAnsi="Arial" w:cs="Arial"/>
          <w:sz w:val="24"/>
          <w:szCs w:val="24"/>
        </w:rPr>
        <w:t xml:space="preserve"> </w:t>
      </w:r>
      <w:r w:rsidRPr="00590979">
        <w:rPr>
          <w:rFonts w:ascii="Arial" w:hAnsi="Arial" w:cs="Arial"/>
          <w:sz w:val="24"/>
          <w:szCs w:val="24"/>
          <w:lang w:val="en-GB"/>
        </w:rPr>
        <w:t>accessed 23.12.18.</w:t>
      </w:r>
    </w:p>
    <w:p w14:paraId="33DB4198" w14:textId="691D85BD" w:rsidR="00216648" w:rsidRDefault="00216648" w:rsidP="00216648">
      <w:pPr>
        <w:pStyle w:val="EndNoteBibliography"/>
        <w:spacing w:line="360" w:lineRule="auto"/>
        <w:ind w:left="567" w:hanging="567"/>
        <w:rPr>
          <w:rFonts w:ascii="Arial" w:hAnsi="Arial" w:cs="Arial"/>
          <w:sz w:val="24"/>
          <w:szCs w:val="24"/>
          <w:lang w:val="en-GB"/>
        </w:rPr>
      </w:pPr>
      <w:r w:rsidRPr="00216648">
        <w:rPr>
          <w:rFonts w:ascii="Arial" w:hAnsi="Arial" w:cs="Arial"/>
          <w:sz w:val="24"/>
          <w:szCs w:val="24"/>
        </w:rPr>
        <w:t xml:space="preserve">van der Gaag, A., Lucas, G., Zasada, M., Gallagher, A., Jago, R., Banks, S., &amp; Zubin, A. (2017) </w:t>
      </w:r>
      <w:r w:rsidRPr="00216648">
        <w:rPr>
          <w:rFonts w:ascii="Arial" w:hAnsi="Arial" w:cs="Arial"/>
          <w:i/>
          <w:sz w:val="24"/>
          <w:szCs w:val="24"/>
        </w:rPr>
        <w:t>People like us? Understanding complaints about paramedics and social workers</w:t>
      </w:r>
      <w:r>
        <w:rPr>
          <w:rFonts w:ascii="Arial" w:hAnsi="Arial" w:cs="Arial"/>
          <w:i/>
          <w:sz w:val="24"/>
          <w:szCs w:val="24"/>
        </w:rPr>
        <w:t>,</w:t>
      </w:r>
      <w:r w:rsidRPr="00216648">
        <w:rPr>
          <w:rFonts w:ascii="Arial" w:hAnsi="Arial" w:cs="Arial"/>
          <w:i/>
          <w:sz w:val="24"/>
          <w:szCs w:val="24"/>
        </w:rPr>
        <w:t xml:space="preserve"> </w:t>
      </w:r>
      <w:r w:rsidRPr="00216648">
        <w:rPr>
          <w:rFonts w:ascii="Arial" w:hAnsi="Arial" w:cs="Arial"/>
          <w:sz w:val="24"/>
          <w:szCs w:val="24"/>
        </w:rPr>
        <w:t xml:space="preserve">Guildford: University of Surrey, </w:t>
      </w:r>
      <w:hyperlink r:id="rId22" w:history="1">
        <w:r w:rsidR="005C44F9" w:rsidRPr="00F65D74">
          <w:rPr>
            <w:rStyle w:val="Hyperlink"/>
            <w:rFonts w:ascii="Arial" w:hAnsi="Arial" w:cs="Arial"/>
            <w:sz w:val="24"/>
            <w:szCs w:val="24"/>
            <w:lang w:val="en-GB"/>
          </w:rPr>
          <w:t>https://www.hcpc-uk.org/resources/reports/2017/people-like-us-understanding-complaints-about-paramedics-and-social-workers/</w:t>
        </w:r>
      </w:hyperlink>
    </w:p>
    <w:p w14:paraId="5AF60BEC" w14:textId="1C6F2E99" w:rsidR="00C41E1D" w:rsidRDefault="00C41E1D" w:rsidP="00216648">
      <w:pPr>
        <w:pStyle w:val="EndNoteBibliography"/>
        <w:spacing w:line="360" w:lineRule="auto"/>
        <w:ind w:left="567" w:hanging="567"/>
        <w:rPr>
          <w:rFonts w:ascii="Arial" w:hAnsi="Arial" w:cs="Arial"/>
          <w:sz w:val="24"/>
          <w:szCs w:val="24"/>
        </w:rPr>
      </w:pPr>
      <w:r w:rsidRPr="00C41E1D">
        <w:rPr>
          <w:rFonts w:ascii="Arial" w:hAnsi="Arial" w:cs="Arial"/>
          <w:sz w:val="24"/>
          <w:szCs w:val="24"/>
        </w:rPr>
        <w:t xml:space="preserve">van der Gaag, A., Jago, R., Austin, Z., Zasada, M., Banks, S., Lucas, G. &amp; Gallagher,  A. (2018) ‘Why do paramedics have a high rate of self-referral?’ </w:t>
      </w:r>
      <w:r w:rsidRPr="00C41E1D">
        <w:rPr>
          <w:rFonts w:ascii="Arial" w:hAnsi="Arial" w:cs="Arial"/>
          <w:i/>
          <w:sz w:val="24"/>
          <w:szCs w:val="24"/>
        </w:rPr>
        <w:t>Journal of Paramedic Practice</w:t>
      </w:r>
      <w:r w:rsidRPr="00C41E1D">
        <w:rPr>
          <w:rFonts w:ascii="Arial" w:hAnsi="Arial" w:cs="Arial"/>
          <w:sz w:val="24"/>
          <w:szCs w:val="24"/>
        </w:rPr>
        <w:t xml:space="preserve">, </w:t>
      </w:r>
      <w:r w:rsidRPr="00C2258B">
        <w:rPr>
          <w:rFonts w:ascii="Arial" w:hAnsi="Arial" w:cs="Arial"/>
          <w:b/>
          <w:sz w:val="24"/>
          <w:szCs w:val="24"/>
        </w:rPr>
        <w:t>10</w:t>
      </w:r>
      <w:r w:rsidR="00C2258B">
        <w:rPr>
          <w:rFonts w:ascii="Arial" w:hAnsi="Arial" w:cs="Arial"/>
          <w:sz w:val="24"/>
          <w:szCs w:val="24"/>
        </w:rPr>
        <w:t xml:space="preserve"> (5)</w:t>
      </w:r>
      <w:r w:rsidRPr="00C41E1D">
        <w:rPr>
          <w:rFonts w:ascii="Arial" w:hAnsi="Arial" w:cs="Arial"/>
          <w:sz w:val="24"/>
          <w:szCs w:val="24"/>
        </w:rPr>
        <w:t>, pp. 205-210</w:t>
      </w:r>
      <w:r>
        <w:rPr>
          <w:rFonts w:ascii="Arial" w:hAnsi="Arial" w:cs="Arial"/>
          <w:sz w:val="24"/>
          <w:szCs w:val="24"/>
        </w:rPr>
        <w:t>.</w:t>
      </w:r>
    </w:p>
    <w:p w14:paraId="070FE6E7" w14:textId="6B5ED65D" w:rsidR="00CC1689" w:rsidRPr="00CC1689" w:rsidRDefault="00CC1689" w:rsidP="00CC1689">
      <w:pPr>
        <w:pStyle w:val="EndNoteBibliography"/>
        <w:spacing w:line="360" w:lineRule="auto"/>
        <w:ind w:left="567" w:hanging="567"/>
        <w:rPr>
          <w:rFonts w:ascii="Arial" w:hAnsi="Arial" w:cs="Arial"/>
          <w:sz w:val="24"/>
          <w:szCs w:val="24"/>
          <w:lang w:val="en-GB"/>
        </w:rPr>
      </w:pPr>
      <w:r w:rsidRPr="00CC1689">
        <w:rPr>
          <w:rFonts w:ascii="Arial" w:hAnsi="Arial" w:cs="Arial"/>
          <w:sz w:val="24"/>
          <w:szCs w:val="24"/>
          <w:lang w:val="en-GB"/>
        </w:rPr>
        <w:t xml:space="preserve">Weinberg, M. and Banks, S. (2019) 'Practising Ethically in Unethical Times: Everyday Resistance in Social Work', </w:t>
      </w:r>
      <w:r w:rsidRPr="00CC1689">
        <w:rPr>
          <w:rFonts w:ascii="Arial" w:hAnsi="Arial" w:cs="Arial"/>
          <w:i/>
          <w:iCs/>
          <w:sz w:val="24"/>
          <w:szCs w:val="24"/>
          <w:lang w:val="en-GB"/>
        </w:rPr>
        <w:t>Ethics and Social Welfare</w:t>
      </w:r>
      <w:r w:rsidRPr="00CC1689">
        <w:rPr>
          <w:rFonts w:ascii="Arial" w:hAnsi="Arial" w:cs="Arial"/>
          <w:sz w:val="24"/>
          <w:szCs w:val="24"/>
          <w:lang w:val="en-GB"/>
        </w:rPr>
        <w:t>,</w:t>
      </w:r>
      <w:r w:rsidR="00055993">
        <w:rPr>
          <w:rFonts w:ascii="Arial" w:hAnsi="Arial" w:cs="Arial"/>
          <w:sz w:val="24"/>
          <w:szCs w:val="24"/>
          <w:lang w:val="en-GB"/>
        </w:rPr>
        <w:t xml:space="preserve"> </w:t>
      </w:r>
      <w:r w:rsidR="00055993" w:rsidRPr="00055993">
        <w:rPr>
          <w:rFonts w:ascii="Arial" w:hAnsi="Arial" w:cs="Arial"/>
          <w:b/>
          <w:sz w:val="24"/>
          <w:szCs w:val="24"/>
          <w:lang w:val="en-GB"/>
        </w:rPr>
        <w:t>13</w:t>
      </w:r>
      <w:r w:rsidR="00055993" w:rsidRPr="00055993">
        <w:rPr>
          <w:rFonts w:ascii="Arial" w:hAnsi="Arial" w:cs="Arial"/>
          <w:sz w:val="24"/>
          <w:szCs w:val="24"/>
          <w:lang w:val="en-GB"/>
        </w:rPr>
        <w:t xml:space="preserve"> (4), pp. 361-75</w:t>
      </w:r>
      <w:r w:rsidR="00055993">
        <w:rPr>
          <w:rFonts w:ascii="Arial" w:hAnsi="Arial" w:cs="Arial"/>
          <w:sz w:val="24"/>
          <w:szCs w:val="24"/>
          <w:lang w:val="en-GB"/>
        </w:rPr>
        <w:t>.</w:t>
      </w:r>
    </w:p>
    <w:p w14:paraId="23383620" w14:textId="223A14EE" w:rsidR="00C41E1D" w:rsidRPr="00216648" w:rsidRDefault="00C41E1D" w:rsidP="00216648">
      <w:pPr>
        <w:pStyle w:val="EndNoteBibliography"/>
        <w:spacing w:line="360" w:lineRule="auto"/>
        <w:ind w:left="567" w:hanging="567"/>
        <w:rPr>
          <w:rFonts w:ascii="Arial" w:hAnsi="Arial" w:cs="Arial"/>
          <w:sz w:val="24"/>
          <w:szCs w:val="24"/>
        </w:rPr>
      </w:pPr>
      <w:r w:rsidRPr="00C41E1D">
        <w:rPr>
          <w:rFonts w:ascii="Arial" w:hAnsi="Arial" w:cs="Arial"/>
          <w:sz w:val="24"/>
          <w:szCs w:val="24"/>
        </w:rPr>
        <w:lastRenderedPageBreak/>
        <w:t xml:space="preserve">Worsley, A., McLaughlin, K. and Leigh, J. (2017) 'A Subject of Concern: The Experiences of Social Workers Referred to the HCPC', </w:t>
      </w:r>
      <w:r w:rsidRPr="00C41E1D">
        <w:rPr>
          <w:rFonts w:ascii="Arial" w:hAnsi="Arial" w:cs="Arial"/>
          <w:i/>
          <w:sz w:val="24"/>
          <w:szCs w:val="24"/>
        </w:rPr>
        <w:t>British Journal of Social Work</w:t>
      </w:r>
      <w:r w:rsidRPr="00C41E1D">
        <w:rPr>
          <w:rFonts w:ascii="Arial" w:hAnsi="Arial" w:cs="Arial"/>
          <w:sz w:val="24"/>
          <w:szCs w:val="24"/>
        </w:rPr>
        <w:t xml:space="preserve">, </w:t>
      </w:r>
      <w:r w:rsidRPr="00C2258B">
        <w:rPr>
          <w:rFonts w:ascii="Arial" w:hAnsi="Arial" w:cs="Arial"/>
          <w:b/>
          <w:sz w:val="24"/>
          <w:szCs w:val="24"/>
        </w:rPr>
        <w:t>47</w:t>
      </w:r>
      <w:r w:rsidRPr="00C41E1D">
        <w:rPr>
          <w:rFonts w:ascii="Arial" w:hAnsi="Arial" w:cs="Arial"/>
          <w:sz w:val="24"/>
          <w:szCs w:val="24"/>
        </w:rPr>
        <w:t>, pp. 2421-2437.</w:t>
      </w:r>
    </w:p>
    <w:sectPr w:rsidR="00C41E1D" w:rsidRPr="00216648">
      <w:footerReference w:type="default" r:id="rId2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F8BF1" w16cid:durableId="200B15A0"/>
  <w16cid:commentId w16cid:paraId="6C256A7D" w16cid:durableId="200B15A1"/>
  <w16cid:commentId w16cid:paraId="047503E6" w16cid:durableId="200B15A2"/>
  <w16cid:commentId w16cid:paraId="1A477E73" w16cid:durableId="200B15A3"/>
  <w16cid:commentId w16cid:paraId="5E6FC0C0" w16cid:durableId="200B15A4"/>
  <w16cid:commentId w16cid:paraId="31BAB431" w16cid:durableId="1FF0EA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645DD" w14:textId="77777777" w:rsidR="00305506" w:rsidRDefault="00305506" w:rsidP="00590979">
      <w:pPr>
        <w:spacing w:after="0" w:line="240" w:lineRule="auto"/>
      </w:pPr>
      <w:r>
        <w:separator/>
      </w:r>
    </w:p>
  </w:endnote>
  <w:endnote w:type="continuationSeparator" w:id="0">
    <w:p w14:paraId="4F6E09AB" w14:textId="77777777" w:rsidR="00305506" w:rsidRDefault="00305506" w:rsidP="0059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16411"/>
      <w:docPartObj>
        <w:docPartGallery w:val="Page Numbers (Bottom of Page)"/>
        <w:docPartUnique/>
      </w:docPartObj>
    </w:sdtPr>
    <w:sdtEndPr>
      <w:rPr>
        <w:noProof/>
      </w:rPr>
    </w:sdtEndPr>
    <w:sdtContent>
      <w:p w14:paraId="60045A3E" w14:textId="66A83508" w:rsidR="006A3286" w:rsidRDefault="006A3286">
        <w:pPr>
          <w:pStyle w:val="Footer"/>
          <w:jc w:val="right"/>
        </w:pPr>
        <w:r>
          <w:fldChar w:fldCharType="begin"/>
        </w:r>
        <w:r>
          <w:instrText xml:space="preserve"> PAGE   \* MERGEFORMAT </w:instrText>
        </w:r>
        <w:r>
          <w:fldChar w:fldCharType="separate"/>
        </w:r>
        <w:r w:rsidR="009F166B">
          <w:rPr>
            <w:noProof/>
          </w:rPr>
          <w:t>4</w:t>
        </w:r>
        <w:r>
          <w:rPr>
            <w:noProof/>
          </w:rPr>
          <w:fldChar w:fldCharType="end"/>
        </w:r>
      </w:p>
    </w:sdtContent>
  </w:sdt>
  <w:p w14:paraId="2206F83B" w14:textId="77777777" w:rsidR="006A3286" w:rsidRDefault="006A3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36D57" w14:textId="77777777" w:rsidR="00305506" w:rsidRDefault="00305506" w:rsidP="00590979">
      <w:pPr>
        <w:spacing w:after="0" w:line="240" w:lineRule="auto"/>
      </w:pPr>
      <w:r>
        <w:separator/>
      </w:r>
    </w:p>
  </w:footnote>
  <w:footnote w:type="continuationSeparator" w:id="0">
    <w:p w14:paraId="6277D2D7" w14:textId="77777777" w:rsidR="00305506" w:rsidRDefault="00305506" w:rsidP="00590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51E94"/>
    <w:multiLevelType w:val="hybridMultilevel"/>
    <w:tmpl w:val="B93C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A3682"/>
    <w:multiLevelType w:val="hybridMultilevel"/>
    <w:tmpl w:val="BEF8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05BC1"/>
    <w:multiLevelType w:val="hybridMultilevel"/>
    <w:tmpl w:val="A808D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AA170C"/>
    <w:multiLevelType w:val="hybridMultilevel"/>
    <w:tmpl w:val="AA60A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2C5A3F"/>
    <w:multiLevelType w:val="hybridMultilevel"/>
    <w:tmpl w:val="B8D8A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C487D"/>
    <w:multiLevelType w:val="hybridMultilevel"/>
    <w:tmpl w:val="DF52FF32"/>
    <w:lvl w:ilvl="0" w:tplc="6F3EFE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E25312"/>
    <w:multiLevelType w:val="hybridMultilevel"/>
    <w:tmpl w:val="3F3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16E29"/>
    <w:multiLevelType w:val="hybridMultilevel"/>
    <w:tmpl w:val="B2E20068"/>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2B0866"/>
    <w:multiLevelType w:val="hybridMultilevel"/>
    <w:tmpl w:val="C26C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0A39"/>
    <w:multiLevelType w:val="hybridMultilevel"/>
    <w:tmpl w:val="ACC6A0F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65425"/>
    <w:multiLevelType w:val="hybridMultilevel"/>
    <w:tmpl w:val="B5BEE75A"/>
    <w:lvl w:ilvl="0" w:tplc="85E8A8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F861CD"/>
    <w:multiLevelType w:val="hybridMultilevel"/>
    <w:tmpl w:val="64743C3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9"/>
  </w:num>
  <w:num w:numId="6">
    <w:abstractNumId w:val="7"/>
  </w:num>
  <w:num w:numId="7">
    <w:abstractNumId w:val="11"/>
  </w:num>
  <w:num w:numId="8">
    <w:abstractNumId w:val="0"/>
  </w:num>
  <w:num w:numId="9">
    <w:abstractNumId w:val="6"/>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90979"/>
    <w:rsid w:val="00011E6E"/>
    <w:rsid w:val="000127F8"/>
    <w:rsid w:val="00013169"/>
    <w:rsid w:val="00017B53"/>
    <w:rsid w:val="00025CBF"/>
    <w:rsid w:val="00026B98"/>
    <w:rsid w:val="00042D7F"/>
    <w:rsid w:val="00055993"/>
    <w:rsid w:val="000A7D89"/>
    <w:rsid w:val="000B0C79"/>
    <w:rsid w:val="000B697F"/>
    <w:rsid w:val="000D4112"/>
    <w:rsid w:val="0010432D"/>
    <w:rsid w:val="00136C6A"/>
    <w:rsid w:val="00141241"/>
    <w:rsid w:val="00151215"/>
    <w:rsid w:val="00163B4A"/>
    <w:rsid w:val="001809A5"/>
    <w:rsid w:val="00181D6A"/>
    <w:rsid w:val="001869B5"/>
    <w:rsid w:val="001A083C"/>
    <w:rsid w:val="001B0080"/>
    <w:rsid w:val="001B6E06"/>
    <w:rsid w:val="001D55B7"/>
    <w:rsid w:val="00210B5C"/>
    <w:rsid w:val="00216648"/>
    <w:rsid w:val="002244F1"/>
    <w:rsid w:val="00231089"/>
    <w:rsid w:val="0024279E"/>
    <w:rsid w:val="002476F2"/>
    <w:rsid w:val="00247CDB"/>
    <w:rsid w:val="0027068E"/>
    <w:rsid w:val="002724A5"/>
    <w:rsid w:val="002765A2"/>
    <w:rsid w:val="002D19AE"/>
    <w:rsid w:val="002D3F74"/>
    <w:rsid w:val="002F38B6"/>
    <w:rsid w:val="00302993"/>
    <w:rsid w:val="003054A5"/>
    <w:rsid w:val="00305506"/>
    <w:rsid w:val="00321DE5"/>
    <w:rsid w:val="003657F2"/>
    <w:rsid w:val="0039620A"/>
    <w:rsid w:val="003C41EA"/>
    <w:rsid w:val="003C6307"/>
    <w:rsid w:val="003D4AF5"/>
    <w:rsid w:val="003D71DB"/>
    <w:rsid w:val="003E7421"/>
    <w:rsid w:val="00401499"/>
    <w:rsid w:val="00406530"/>
    <w:rsid w:val="0041401B"/>
    <w:rsid w:val="00416738"/>
    <w:rsid w:val="00417B02"/>
    <w:rsid w:val="004336D1"/>
    <w:rsid w:val="00435E94"/>
    <w:rsid w:val="00440A3C"/>
    <w:rsid w:val="00441DD9"/>
    <w:rsid w:val="004509A5"/>
    <w:rsid w:val="004606F6"/>
    <w:rsid w:val="00472E20"/>
    <w:rsid w:val="004747DB"/>
    <w:rsid w:val="00480D1C"/>
    <w:rsid w:val="00480E83"/>
    <w:rsid w:val="00497DB1"/>
    <w:rsid w:val="004A4857"/>
    <w:rsid w:val="004C29D7"/>
    <w:rsid w:val="004C76EB"/>
    <w:rsid w:val="004C781D"/>
    <w:rsid w:val="004D2828"/>
    <w:rsid w:val="004D5D32"/>
    <w:rsid w:val="004E2476"/>
    <w:rsid w:val="004E30D6"/>
    <w:rsid w:val="004E6E62"/>
    <w:rsid w:val="004E6FEE"/>
    <w:rsid w:val="004E7FD5"/>
    <w:rsid w:val="004F41FD"/>
    <w:rsid w:val="005001AB"/>
    <w:rsid w:val="0051191E"/>
    <w:rsid w:val="00522436"/>
    <w:rsid w:val="00547D01"/>
    <w:rsid w:val="00550BD7"/>
    <w:rsid w:val="00581E60"/>
    <w:rsid w:val="00590979"/>
    <w:rsid w:val="00591517"/>
    <w:rsid w:val="005C0E0E"/>
    <w:rsid w:val="005C44F9"/>
    <w:rsid w:val="005E2491"/>
    <w:rsid w:val="00631371"/>
    <w:rsid w:val="006453BB"/>
    <w:rsid w:val="00677674"/>
    <w:rsid w:val="0068358E"/>
    <w:rsid w:val="00693F29"/>
    <w:rsid w:val="00697B2A"/>
    <w:rsid w:val="006A3286"/>
    <w:rsid w:val="006C036F"/>
    <w:rsid w:val="006F5706"/>
    <w:rsid w:val="006F6ED9"/>
    <w:rsid w:val="00704F93"/>
    <w:rsid w:val="007276EA"/>
    <w:rsid w:val="00730130"/>
    <w:rsid w:val="00734962"/>
    <w:rsid w:val="0074245E"/>
    <w:rsid w:val="007456EA"/>
    <w:rsid w:val="0077517C"/>
    <w:rsid w:val="00775F7C"/>
    <w:rsid w:val="00777C85"/>
    <w:rsid w:val="007827D6"/>
    <w:rsid w:val="00791514"/>
    <w:rsid w:val="007B5E06"/>
    <w:rsid w:val="007E19E1"/>
    <w:rsid w:val="007F3D44"/>
    <w:rsid w:val="00800098"/>
    <w:rsid w:val="00805781"/>
    <w:rsid w:val="008078BA"/>
    <w:rsid w:val="00830958"/>
    <w:rsid w:val="00837CD9"/>
    <w:rsid w:val="00847DB5"/>
    <w:rsid w:val="00850BFB"/>
    <w:rsid w:val="008604F1"/>
    <w:rsid w:val="00864A24"/>
    <w:rsid w:val="0086514E"/>
    <w:rsid w:val="00885EDF"/>
    <w:rsid w:val="00885F81"/>
    <w:rsid w:val="00886849"/>
    <w:rsid w:val="00892D85"/>
    <w:rsid w:val="0089498D"/>
    <w:rsid w:val="008B760E"/>
    <w:rsid w:val="008D48ED"/>
    <w:rsid w:val="008E28E2"/>
    <w:rsid w:val="008F7442"/>
    <w:rsid w:val="00906DE6"/>
    <w:rsid w:val="009171F8"/>
    <w:rsid w:val="00923F2A"/>
    <w:rsid w:val="00945FE6"/>
    <w:rsid w:val="00946FB2"/>
    <w:rsid w:val="00952DEE"/>
    <w:rsid w:val="009607BE"/>
    <w:rsid w:val="00975132"/>
    <w:rsid w:val="009779D1"/>
    <w:rsid w:val="00985B5F"/>
    <w:rsid w:val="009F127F"/>
    <w:rsid w:val="009F166B"/>
    <w:rsid w:val="009F2E65"/>
    <w:rsid w:val="009F7067"/>
    <w:rsid w:val="00A03432"/>
    <w:rsid w:val="00A118D7"/>
    <w:rsid w:val="00A12930"/>
    <w:rsid w:val="00A166E2"/>
    <w:rsid w:val="00A274D7"/>
    <w:rsid w:val="00A3092B"/>
    <w:rsid w:val="00A3531C"/>
    <w:rsid w:val="00A37CB2"/>
    <w:rsid w:val="00A51B16"/>
    <w:rsid w:val="00A62982"/>
    <w:rsid w:val="00A739CD"/>
    <w:rsid w:val="00A77DD9"/>
    <w:rsid w:val="00A81013"/>
    <w:rsid w:val="00A874DD"/>
    <w:rsid w:val="00A913A4"/>
    <w:rsid w:val="00AB2710"/>
    <w:rsid w:val="00AB29C9"/>
    <w:rsid w:val="00AB64D9"/>
    <w:rsid w:val="00AC23D2"/>
    <w:rsid w:val="00AD26CD"/>
    <w:rsid w:val="00AD5309"/>
    <w:rsid w:val="00AE2117"/>
    <w:rsid w:val="00B240DA"/>
    <w:rsid w:val="00B44568"/>
    <w:rsid w:val="00B64F33"/>
    <w:rsid w:val="00B6602A"/>
    <w:rsid w:val="00B75569"/>
    <w:rsid w:val="00B76AF2"/>
    <w:rsid w:val="00B92E63"/>
    <w:rsid w:val="00B9593C"/>
    <w:rsid w:val="00BC522B"/>
    <w:rsid w:val="00BD1502"/>
    <w:rsid w:val="00C00C66"/>
    <w:rsid w:val="00C1114E"/>
    <w:rsid w:val="00C20647"/>
    <w:rsid w:val="00C2258B"/>
    <w:rsid w:val="00C355CD"/>
    <w:rsid w:val="00C41E1D"/>
    <w:rsid w:val="00C424E0"/>
    <w:rsid w:val="00C43C89"/>
    <w:rsid w:val="00C46C5F"/>
    <w:rsid w:val="00C470FA"/>
    <w:rsid w:val="00C47520"/>
    <w:rsid w:val="00C619D9"/>
    <w:rsid w:val="00C7718C"/>
    <w:rsid w:val="00C95123"/>
    <w:rsid w:val="00C97B61"/>
    <w:rsid w:val="00CA3AA7"/>
    <w:rsid w:val="00CA782D"/>
    <w:rsid w:val="00CB0112"/>
    <w:rsid w:val="00CB5E61"/>
    <w:rsid w:val="00CC1689"/>
    <w:rsid w:val="00CC75BC"/>
    <w:rsid w:val="00CF1A06"/>
    <w:rsid w:val="00CF30C6"/>
    <w:rsid w:val="00CF56F2"/>
    <w:rsid w:val="00CF62E6"/>
    <w:rsid w:val="00D05EC9"/>
    <w:rsid w:val="00D17D58"/>
    <w:rsid w:val="00D27617"/>
    <w:rsid w:val="00D64577"/>
    <w:rsid w:val="00D64AD9"/>
    <w:rsid w:val="00D71119"/>
    <w:rsid w:val="00D75E65"/>
    <w:rsid w:val="00D76C01"/>
    <w:rsid w:val="00D85D3F"/>
    <w:rsid w:val="00D960BF"/>
    <w:rsid w:val="00D96FA9"/>
    <w:rsid w:val="00DC083B"/>
    <w:rsid w:val="00DE2958"/>
    <w:rsid w:val="00E04ABA"/>
    <w:rsid w:val="00E13354"/>
    <w:rsid w:val="00E16093"/>
    <w:rsid w:val="00E32D62"/>
    <w:rsid w:val="00E36172"/>
    <w:rsid w:val="00E47F26"/>
    <w:rsid w:val="00E54C45"/>
    <w:rsid w:val="00E62196"/>
    <w:rsid w:val="00E80E50"/>
    <w:rsid w:val="00E83A64"/>
    <w:rsid w:val="00EB632A"/>
    <w:rsid w:val="00EC3A72"/>
    <w:rsid w:val="00EC461B"/>
    <w:rsid w:val="00ED35C2"/>
    <w:rsid w:val="00EE0B35"/>
    <w:rsid w:val="00EE2CA5"/>
    <w:rsid w:val="00EE4A88"/>
    <w:rsid w:val="00EE75F0"/>
    <w:rsid w:val="00EF2A11"/>
    <w:rsid w:val="00F03B46"/>
    <w:rsid w:val="00F134BB"/>
    <w:rsid w:val="00F34017"/>
    <w:rsid w:val="00F4026A"/>
    <w:rsid w:val="00F439BC"/>
    <w:rsid w:val="00F45B59"/>
    <w:rsid w:val="00F5078E"/>
    <w:rsid w:val="00F52722"/>
    <w:rsid w:val="00F54785"/>
    <w:rsid w:val="00F5684A"/>
    <w:rsid w:val="00F83FDD"/>
    <w:rsid w:val="00FA02C8"/>
    <w:rsid w:val="00FA73AF"/>
    <w:rsid w:val="00FA7B3A"/>
    <w:rsid w:val="00FD5867"/>
    <w:rsid w:val="00FD792D"/>
    <w:rsid w:val="00FF7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11169"/>
  <w15:docId w15:val="{CB7EA55D-7310-4960-B1F6-B3317A34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0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979"/>
    <w:rPr>
      <w:sz w:val="20"/>
      <w:szCs w:val="20"/>
    </w:rPr>
  </w:style>
  <w:style w:type="table" w:styleId="TableGrid">
    <w:name w:val="Table Grid"/>
    <w:basedOn w:val="TableNormal"/>
    <w:uiPriority w:val="59"/>
    <w:rsid w:val="0059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979"/>
    <w:rPr>
      <w:color w:val="0000FF" w:themeColor="hyperlink"/>
      <w:u w:val="single"/>
    </w:rPr>
  </w:style>
  <w:style w:type="character" w:styleId="FootnoteReference">
    <w:name w:val="footnote reference"/>
    <w:basedOn w:val="DefaultParagraphFont"/>
    <w:uiPriority w:val="99"/>
    <w:unhideWhenUsed/>
    <w:rsid w:val="00590979"/>
    <w:rPr>
      <w:vertAlign w:val="superscript"/>
    </w:rPr>
  </w:style>
  <w:style w:type="paragraph" w:styleId="BalloonText">
    <w:name w:val="Balloon Text"/>
    <w:basedOn w:val="Normal"/>
    <w:link w:val="BalloonTextChar"/>
    <w:uiPriority w:val="99"/>
    <w:semiHidden/>
    <w:unhideWhenUsed/>
    <w:rsid w:val="0059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79"/>
    <w:rPr>
      <w:rFonts w:ascii="Tahoma" w:hAnsi="Tahoma" w:cs="Tahoma"/>
      <w:sz w:val="16"/>
      <w:szCs w:val="16"/>
    </w:rPr>
  </w:style>
  <w:style w:type="paragraph" w:styleId="ListParagraph">
    <w:name w:val="List Paragraph"/>
    <w:basedOn w:val="Normal"/>
    <w:uiPriority w:val="34"/>
    <w:qFormat/>
    <w:rsid w:val="00590979"/>
    <w:pPr>
      <w:ind w:left="720"/>
      <w:contextualSpacing/>
    </w:pPr>
  </w:style>
  <w:style w:type="paragraph" w:styleId="Header">
    <w:name w:val="header"/>
    <w:basedOn w:val="Normal"/>
    <w:link w:val="HeaderChar"/>
    <w:uiPriority w:val="99"/>
    <w:unhideWhenUsed/>
    <w:rsid w:val="00590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979"/>
  </w:style>
  <w:style w:type="paragraph" w:styleId="Footer">
    <w:name w:val="footer"/>
    <w:basedOn w:val="Normal"/>
    <w:link w:val="FooterChar"/>
    <w:uiPriority w:val="99"/>
    <w:unhideWhenUsed/>
    <w:rsid w:val="00590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979"/>
  </w:style>
  <w:style w:type="paragraph" w:customStyle="1" w:styleId="EndNoteBibliographyTitle">
    <w:name w:val="EndNote Bibliography Title"/>
    <w:basedOn w:val="Normal"/>
    <w:link w:val="EndNoteBibliographyTitleChar"/>
    <w:rsid w:val="0059097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0979"/>
    <w:rPr>
      <w:rFonts w:ascii="Calibri" w:hAnsi="Calibri"/>
      <w:noProof/>
      <w:lang w:val="en-US"/>
    </w:rPr>
  </w:style>
  <w:style w:type="paragraph" w:customStyle="1" w:styleId="EndNoteBibliography">
    <w:name w:val="EndNote Bibliography"/>
    <w:basedOn w:val="Normal"/>
    <w:link w:val="EndNoteBibliographyChar"/>
    <w:rsid w:val="0059097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90979"/>
    <w:rPr>
      <w:rFonts w:ascii="Calibri" w:hAnsi="Calibri"/>
      <w:noProof/>
      <w:lang w:val="en-US"/>
    </w:rPr>
  </w:style>
  <w:style w:type="character" w:styleId="CommentReference">
    <w:name w:val="annotation reference"/>
    <w:basedOn w:val="DefaultParagraphFont"/>
    <w:uiPriority w:val="99"/>
    <w:semiHidden/>
    <w:unhideWhenUsed/>
    <w:rsid w:val="00590979"/>
    <w:rPr>
      <w:sz w:val="16"/>
      <w:szCs w:val="16"/>
    </w:rPr>
  </w:style>
  <w:style w:type="paragraph" w:styleId="CommentText">
    <w:name w:val="annotation text"/>
    <w:basedOn w:val="Normal"/>
    <w:link w:val="CommentTextChar"/>
    <w:uiPriority w:val="99"/>
    <w:unhideWhenUsed/>
    <w:rsid w:val="00590979"/>
    <w:pPr>
      <w:spacing w:line="240" w:lineRule="auto"/>
    </w:pPr>
    <w:rPr>
      <w:sz w:val="20"/>
      <w:szCs w:val="20"/>
    </w:rPr>
  </w:style>
  <w:style w:type="character" w:customStyle="1" w:styleId="CommentTextChar">
    <w:name w:val="Comment Text Char"/>
    <w:basedOn w:val="DefaultParagraphFont"/>
    <w:link w:val="CommentText"/>
    <w:uiPriority w:val="99"/>
    <w:rsid w:val="00590979"/>
    <w:rPr>
      <w:sz w:val="20"/>
      <w:szCs w:val="20"/>
    </w:rPr>
  </w:style>
  <w:style w:type="paragraph" w:styleId="CommentSubject">
    <w:name w:val="annotation subject"/>
    <w:basedOn w:val="CommentText"/>
    <w:next w:val="CommentText"/>
    <w:link w:val="CommentSubjectChar"/>
    <w:uiPriority w:val="99"/>
    <w:semiHidden/>
    <w:unhideWhenUsed/>
    <w:rsid w:val="00590979"/>
    <w:rPr>
      <w:b/>
      <w:bCs/>
    </w:rPr>
  </w:style>
  <w:style w:type="character" w:customStyle="1" w:styleId="CommentSubjectChar">
    <w:name w:val="Comment Subject Char"/>
    <w:basedOn w:val="CommentTextChar"/>
    <w:link w:val="CommentSubject"/>
    <w:uiPriority w:val="99"/>
    <w:semiHidden/>
    <w:rsid w:val="00590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71542">
      <w:bodyDiv w:val="1"/>
      <w:marLeft w:val="0"/>
      <w:marRight w:val="0"/>
      <w:marTop w:val="0"/>
      <w:marBottom w:val="0"/>
      <w:divBdr>
        <w:top w:val="none" w:sz="0" w:space="0" w:color="auto"/>
        <w:left w:val="none" w:sz="0" w:space="0" w:color="auto"/>
        <w:bottom w:val="none" w:sz="0" w:space="0" w:color="auto"/>
        <w:right w:val="none" w:sz="0" w:space="0" w:color="auto"/>
      </w:divBdr>
    </w:div>
    <w:div w:id="20346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banks@durham.ac.uk" TargetMode="External"/><Relationship Id="rId13" Type="http://schemas.openxmlformats.org/officeDocument/2006/relationships/hyperlink" Target="https://assets.publishing.service.gov.uk/government/uploads/system/uploads/attachment_data/file/216278/dh_118053.pdf" TargetMode="External"/><Relationship Id="rId18" Type="http://schemas.openxmlformats.org/officeDocument/2006/relationships/hyperlink" Target="http://www.hcpc-uk.org/resources/reports/2018/fitness-to-practise-annual-report-2018/" TargetMode="External"/><Relationship Id="rId3" Type="http://schemas.openxmlformats.org/officeDocument/2006/relationships/settings" Target="settings.xml"/><Relationship Id="rId21" Type="http://schemas.openxmlformats.org/officeDocument/2006/relationships/hyperlink" Target="http://www.telegraph.co.uk/news/uknews/baby-p/5283897/Lord-Lamings-review-of-Baby-P-failures.html" TargetMode="External"/><Relationship Id="rId7" Type="http://schemas.openxmlformats.org/officeDocument/2006/relationships/hyperlink" Target="https://doi.org/10.1093/bjsw/bcz145" TargetMode="External"/><Relationship Id="rId12" Type="http://schemas.openxmlformats.org/officeDocument/2006/relationships/hyperlink" Target="http://www.communitycare.co.uk/2010/07/26/sector-leaders-shocked-and-surprised-by-abolition-of-gscc/" TargetMode="External"/><Relationship Id="rId17" Type="http://schemas.openxmlformats.org/officeDocument/2006/relationships/hyperlink" Target="http://www.hcpc-uk.org/resources/standards/standards-of-proficiency-social-workers-in-engla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pc-uk.org/resources/reports/2015/fitness-to-practise-annual-report-2015/" TargetMode="External"/><Relationship Id="rId20" Type="http://schemas.openxmlformats.org/officeDocument/2006/relationships/hyperlink" Target="http://www.professionalstandards.org.uk/publications/detail/rethinking-regulation"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216278/dh_118053.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cpc-uk.org" TargetMode="External"/><Relationship Id="rId23" Type="http://schemas.openxmlformats.org/officeDocument/2006/relationships/footer" Target="footer1.xml"/><Relationship Id="rId10" Type="http://schemas.openxmlformats.org/officeDocument/2006/relationships/hyperlink" Target="https://en.wikipedia.org/wiki/Penalty_card" TargetMode="External"/><Relationship Id="rId19" Type="http://schemas.openxmlformats.org/officeDocument/2006/relationships/hyperlink" Target="https://www.dailymail.co.uk/news/article-2293432/Parents-social-service-hell-anonymous-letter--Judge-attacks-Baby-P-council-knee-jerk-abuse-investigation.html" TargetMode="External"/><Relationship Id="rId4" Type="http://schemas.openxmlformats.org/officeDocument/2006/relationships/webSettings" Target="webSettings.xml"/><Relationship Id="rId9" Type="http://schemas.openxmlformats.org/officeDocument/2006/relationships/hyperlink" Target="http://www.gov.uk/government/statistics/childrens-social-work-workforce-2016" TargetMode="External"/><Relationship Id="rId14" Type="http://schemas.openxmlformats.org/officeDocument/2006/relationships/hyperlink" Target="http://www.gmc-uk.org/static/documents/content/UK_health_regulator_comparative_report_FINAL_220217.pdf" TargetMode="External"/><Relationship Id="rId22" Type="http://schemas.openxmlformats.org/officeDocument/2006/relationships/hyperlink" Target="https://www.hcpc-uk.org/resources/reports/2017/people-like-us-understanding-complaints-about-paramedics-and-social-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8167</Words>
  <Characters>46556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Banks</dc:creator>
  <cp:lastModifiedBy>Revan, Jade</cp:lastModifiedBy>
  <cp:revision>2</cp:revision>
  <cp:lastPrinted>2019-07-28T11:58:00Z</cp:lastPrinted>
  <dcterms:created xsi:type="dcterms:W3CDTF">2020-01-13T14:38:00Z</dcterms:created>
  <dcterms:modified xsi:type="dcterms:W3CDTF">2020-01-13T14:38:00Z</dcterms:modified>
</cp:coreProperties>
</file>