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B61E4" w14:textId="7700CD4B" w:rsidR="002550C6" w:rsidRPr="006118E3" w:rsidRDefault="005F3315" w:rsidP="006118E3">
      <w:pPr>
        <w:spacing w:line="480" w:lineRule="auto"/>
        <w:jc w:val="center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>Evaluation of an Integrated Improving Access to Psychological Therapies (IAPT) Pilot Pathway for Long-Term Health Conditions</w:t>
      </w:r>
    </w:p>
    <w:p w14:paraId="26D15696" w14:textId="2D645E92" w:rsidR="00AB0F41" w:rsidRPr="00BC118E" w:rsidRDefault="002550C6" w:rsidP="002550C6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AB0F41" w:rsidRPr="00BC118E">
        <w:rPr>
          <w:sz w:val="24"/>
          <w:szCs w:val="24"/>
        </w:rPr>
        <w:t xml:space="preserve">Laurie Josephs &amp; </w:t>
      </w:r>
      <w:r w:rsidR="004915D1" w:rsidRPr="00BC118E">
        <w:rPr>
          <w:sz w:val="24"/>
          <w:szCs w:val="24"/>
        </w:rPr>
        <w:t xml:space="preserve">Dr </w:t>
      </w:r>
      <w:r w:rsidR="00AB0F41" w:rsidRPr="00BC118E">
        <w:rPr>
          <w:sz w:val="24"/>
          <w:szCs w:val="24"/>
        </w:rPr>
        <w:t xml:space="preserve">Claire </w:t>
      </w:r>
      <w:proofErr w:type="spellStart"/>
      <w:r w:rsidR="00AB0F41" w:rsidRPr="00BC118E">
        <w:rPr>
          <w:sz w:val="24"/>
          <w:szCs w:val="24"/>
        </w:rPr>
        <w:t>Coysh</w:t>
      </w:r>
      <w:proofErr w:type="spellEnd"/>
    </w:p>
    <w:p w14:paraId="6EC5602B" w14:textId="77777777" w:rsidR="002550C6" w:rsidRDefault="002550C6" w:rsidP="007C3A8E">
      <w:pPr>
        <w:spacing w:line="480" w:lineRule="auto"/>
        <w:rPr>
          <w:b/>
          <w:bCs/>
          <w:sz w:val="24"/>
          <w:szCs w:val="24"/>
        </w:rPr>
      </w:pPr>
    </w:p>
    <w:p w14:paraId="5B6908AC" w14:textId="1893F24D" w:rsidR="00743AE5" w:rsidRPr="002550C6" w:rsidRDefault="005F3315" w:rsidP="007C3A8E">
      <w:pPr>
        <w:spacing w:line="480" w:lineRule="auto"/>
        <w:rPr>
          <w:b/>
          <w:bCs/>
          <w:i/>
          <w:iCs/>
          <w:sz w:val="24"/>
          <w:szCs w:val="24"/>
        </w:rPr>
      </w:pPr>
      <w:r w:rsidRPr="002550C6">
        <w:rPr>
          <w:b/>
          <w:bCs/>
          <w:i/>
          <w:iCs/>
          <w:sz w:val="24"/>
          <w:szCs w:val="24"/>
        </w:rPr>
        <w:t>Abstract</w:t>
      </w:r>
    </w:p>
    <w:p w14:paraId="0314CE57" w14:textId="58A9B6AF" w:rsidR="0071089D" w:rsidRPr="002550C6" w:rsidRDefault="005F3315" w:rsidP="007C3A8E">
      <w:pPr>
        <w:spacing w:line="480" w:lineRule="auto"/>
        <w:rPr>
          <w:bCs/>
          <w:i/>
          <w:iCs/>
          <w:sz w:val="24"/>
          <w:szCs w:val="24"/>
        </w:rPr>
      </w:pPr>
      <w:r w:rsidRPr="002550C6">
        <w:rPr>
          <w:bCs/>
          <w:i/>
          <w:iCs/>
          <w:sz w:val="24"/>
          <w:szCs w:val="24"/>
        </w:rPr>
        <w:t>This artic</w:t>
      </w:r>
      <w:r w:rsidR="004915D1" w:rsidRPr="002550C6">
        <w:rPr>
          <w:bCs/>
          <w:i/>
          <w:iCs/>
          <w:sz w:val="24"/>
          <w:szCs w:val="24"/>
        </w:rPr>
        <w:t xml:space="preserve">le describes </w:t>
      </w:r>
      <w:r w:rsidR="008C0CC3" w:rsidRPr="002550C6">
        <w:rPr>
          <w:bCs/>
          <w:i/>
          <w:iCs/>
          <w:sz w:val="24"/>
          <w:szCs w:val="24"/>
        </w:rPr>
        <w:t>an</w:t>
      </w:r>
      <w:r w:rsidR="004915D1" w:rsidRPr="002550C6">
        <w:rPr>
          <w:bCs/>
          <w:i/>
          <w:iCs/>
          <w:sz w:val="24"/>
          <w:szCs w:val="24"/>
        </w:rPr>
        <w:t xml:space="preserve"> evaluation of </w:t>
      </w:r>
      <w:r w:rsidR="00116432" w:rsidRPr="002550C6">
        <w:rPr>
          <w:bCs/>
          <w:i/>
          <w:iCs/>
          <w:sz w:val="24"/>
          <w:szCs w:val="24"/>
        </w:rPr>
        <w:t xml:space="preserve">a Talking Health pathway </w:t>
      </w:r>
      <w:r w:rsidRPr="002550C6">
        <w:rPr>
          <w:bCs/>
          <w:i/>
          <w:iCs/>
          <w:sz w:val="24"/>
          <w:szCs w:val="24"/>
        </w:rPr>
        <w:t>for clients with long-term conditions within an IAPT service</w:t>
      </w:r>
      <w:r w:rsidR="004915D1" w:rsidRPr="002550C6">
        <w:rPr>
          <w:bCs/>
          <w:i/>
          <w:iCs/>
          <w:sz w:val="24"/>
          <w:szCs w:val="24"/>
        </w:rPr>
        <w:t xml:space="preserve">. </w:t>
      </w:r>
    </w:p>
    <w:p w14:paraId="3D188B8D" w14:textId="77777777" w:rsidR="001C7DC1" w:rsidRPr="00FF50DD" w:rsidRDefault="001C7DC1" w:rsidP="007C3A8E">
      <w:pPr>
        <w:spacing w:line="480" w:lineRule="auto"/>
        <w:rPr>
          <w:b/>
          <w:sz w:val="24"/>
          <w:szCs w:val="24"/>
        </w:rPr>
      </w:pPr>
    </w:p>
    <w:p w14:paraId="18ED2C54" w14:textId="77777777" w:rsidR="00994EB4" w:rsidRDefault="00743AE5" w:rsidP="007C3A8E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 xml:space="preserve">It has been estimated that up to 30% of the UK population are living with a long-term condition (LTC), and projections predict that this figure will continue to increase due to </w:t>
      </w:r>
      <w:r w:rsidR="00EF0F78" w:rsidRPr="00BC118E">
        <w:rPr>
          <w:sz w:val="24"/>
          <w:szCs w:val="24"/>
        </w:rPr>
        <w:t>an</w:t>
      </w:r>
      <w:r w:rsidRPr="00BC118E">
        <w:rPr>
          <w:sz w:val="24"/>
          <w:szCs w:val="24"/>
        </w:rPr>
        <w:t xml:space="preserve"> ageing population and lifestyle choices (Naylor et al., 2012). LTC refers to chronic physical health conditions that can be managed but not cured, </w:t>
      </w:r>
      <w:r w:rsidR="001E46FD" w:rsidRPr="00BC118E">
        <w:rPr>
          <w:sz w:val="24"/>
          <w:szCs w:val="24"/>
        </w:rPr>
        <w:t>such as</w:t>
      </w:r>
      <w:r w:rsidRPr="00BC118E">
        <w:rPr>
          <w:sz w:val="24"/>
          <w:szCs w:val="24"/>
        </w:rPr>
        <w:t xml:space="preserve"> diabetes and chronic obstructive pulmonary disease (COPD). Individuals with LTC</w:t>
      </w:r>
      <w:r w:rsidR="002550C6">
        <w:rPr>
          <w:sz w:val="24"/>
          <w:szCs w:val="24"/>
        </w:rPr>
        <w:t>’</w:t>
      </w:r>
      <w:r w:rsidRPr="00BC118E">
        <w:rPr>
          <w:sz w:val="24"/>
          <w:szCs w:val="24"/>
        </w:rPr>
        <w:t>s are intensi</w:t>
      </w:r>
      <w:r w:rsidR="00A458F7" w:rsidRPr="00BC118E">
        <w:rPr>
          <w:sz w:val="24"/>
          <w:szCs w:val="24"/>
        </w:rPr>
        <w:t>ve users of healthcare services</w:t>
      </w:r>
      <w:r w:rsidRPr="00BC118E">
        <w:rPr>
          <w:sz w:val="24"/>
          <w:szCs w:val="24"/>
        </w:rPr>
        <w:t xml:space="preserve"> accounting for 50% of GP appointment</w:t>
      </w:r>
      <w:r w:rsidR="0042415B" w:rsidRPr="00BC118E">
        <w:rPr>
          <w:sz w:val="24"/>
          <w:szCs w:val="24"/>
        </w:rPr>
        <w:t>s and 70% of inpatient bed days. Figures</w:t>
      </w:r>
      <w:r w:rsidR="00A458F7" w:rsidRPr="00BC118E">
        <w:rPr>
          <w:sz w:val="24"/>
          <w:szCs w:val="24"/>
        </w:rPr>
        <w:t xml:space="preserve"> </w:t>
      </w:r>
      <w:r w:rsidRPr="00BC118E">
        <w:rPr>
          <w:sz w:val="24"/>
          <w:szCs w:val="24"/>
        </w:rPr>
        <w:t xml:space="preserve">suggest that 70% of the total health spend in England is attributed to caring for </w:t>
      </w:r>
      <w:r w:rsidR="00794AA1" w:rsidRPr="00BC118E">
        <w:rPr>
          <w:sz w:val="24"/>
          <w:szCs w:val="24"/>
        </w:rPr>
        <w:t>this client group</w:t>
      </w:r>
      <w:r w:rsidRPr="00BC118E">
        <w:rPr>
          <w:sz w:val="24"/>
          <w:szCs w:val="24"/>
        </w:rPr>
        <w:t xml:space="preserve"> (Department of Health, 2012).</w:t>
      </w:r>
    </w:p>
    <w:p w14:paraId="65299C41" w14:textId="71AE75F0" w:rsidR="00994EB4" w:rsidRPr="00BC118E" w:rsidRDefault="00186A8B" w:rsidP="00994EB4">
      <w:pPr>
        <w:spacing w:line="480" w:lineRule="auto"/>
        <w:ind w:firstLine="720"/>
        <w:rPr>
          <w:sz w:val="24"/>
          <w:szCs w:val="24"/>
        </w:rPr>
      </w:pPr>
      <w:r w:rsidRPr="00BC118E">
        <w:rPr>
          <w:sz w:val="24"/>
          <w:szCs w:val="24"/>
        </w:rPr>
        <w:t>A</w:t>
      </w:r>
      <w:r w:rsidR="00743AE5" w:rsidRPr="00BC118E">
        <w:rPr>
          <w:sz w:val="24"/>
          <w:szCs w:val="24"/>
        </w:rPr>
        <w:t xml:space="preserve">pproximately one third of individuals </w:t>
      </w:r>
      <w:r w:rsidR="00EF0F78" w:rsidRPr="00BC118E">
        <w:rPr>
          <w:sz w:val="24"/>
          <w:szCs w:val="24"/>
        </w:rPr>
        <w:t>living with a</w:t>
      </w:r>
      <w:r w:rsidR="001C7DC1">
        <w:rPr>
          <w:sz w:val="24"/>
          <w:szCs w:val="24"/>
        </w:rPr>
        <w:t>n</w:t>
      </w:r>
      <w:r w:rsidR="00EF0F78" w:rsidRPr="00BC118E">
        <w:rPr>
          <w:sz w:val="24"/>
          <w:szCs w:val="24"/>
        </w:rPr>
        <w:t xml:space="preserve"> LTC </w:t>
      </w:r>
      <w:r w:rsidRPr="00BC118E">
        <w:rPr>
          <w:sz w:val="24"/>
          <w:szCs w:val="24"/>
        </w:rPr>
        <w:t xml:space="preserve">also </w:t>
      </w:r>
      <w:r w:rsidR="00743AE5" w:rsidRPr="00BC118E">
        <w:rPr>
          <w:sz w:val="24"/>
          <w:szCs w:val="24"/>
        </w:rPr>
        <w:t xml:space="preserve">experience </w:t>
      </w:r>
      <w:r w:rsidR="00994EB4">
        <w:rPr>
          <w:sz w:val="24"/>
          <w:szCs w:val="24"/>
        </w:rPr>
        <w:t>concurrent</w:t>
      </w:r>
      <w:r w:rsidR="00743AE5" w:rsidRPr="00BC118E">
        <w:rPr>
          <w:sz w:val="24"/>
          <w:szCs w:val="24"/>
        </w:rPr>
        <w:t xml:space="preserve"> mental health problems (Naylor et al., 2012).</w:t>
      </w:r>
      <w:r w:rsidR="008A54A3" w:rsidRPr="00BC118E">
        <w:rPr>
          <w:sz w:val="24"/>
          <w:szCs w:val="24"/>
        </w:rPr>
        <w:t xml:space="preserve"> </w:t>
      </w:r>
      <w:r w:rsidR="00120BB2" w:rsidRPr="00BC118E">
        <w:rPr>
          <w:sz w:val="24"/>
          <w:szCs w:val="24"/>
        </w:rPr>
        <w:t xml:space="preserve">High </w:t>
      </w:r>
      <w:r w:rsidRPr="00BC118E">
        <w:rPr>
          <w:sz w:val="24"/>
          <w:szCs w:val="24"/>
        </w:rPr>
        <w:t xml:space="preserve">rates of anxiety and depression </w:t>
      </w:r>
      <w:r w:rsidR="00120BB2" w:rsidRPr="00BC118E">
        <w:rPr>
          <w:sz w:val="24"/>
          <w:szCs w:val="24"/>
        </w:rPr>
        <w:t xml:space="preserve">exist </w:t>
      </w:r>
      <w:r w:rsidRPr="00BC118E">
        <w:rPr>
          <w:sz w:val="24"/>
          <w:szCs w:val="24"/>
        </w:rPr>
        <w:t>i</w:t>
      </w:r>
      <w:r w:rsidR="00263D1B" w:rsidRPr="00BC118E">
        <w:rPr>
          <w:sz w:val="24"/>
          <w:szCs w:val="24"/>
        </w:rPr>
        <w:t>n diabetes (</w:t>
      </w:r>
      <w:proofErr w:type="spellStart"/>
      <w:r w:rsidR="00263D1B" w:rsidRPr="00BC118E">
        <w:rPr>
          <w:sz w:val="24"/>
          <w:szCs w:val="24"/>
        </w:rPr>
        <w:t>Vamos</w:t>
      </w:r>
      <w:proofErr w:type="spellEnd"/>
      <w:r w:rsidR="00263D1B" w:rsidRPr="00BC118E">
        <w:rPr>
          <w:sz w:val="24"/>
          <w:szCs w:val="24"/>
        </w:rPr>
        <w:t xml:space="preserve"> et al., </w:t>
      </w:r>
      <w:r w:rsidRPr="00BC118E">
        <w:rPr>
          <w:sz w:val="24"/>
          <w:szCs w:val="24"/>
        </w:rPr>
        <w:t>2009) and COPD (Live</w:t>
      </w:r>
      <w:r w:rsidR="00DD4B48" w:rsidRPr="00BC118E">
        <w:rPr>
          <w:sz w:val="24"/>
          <w:szCs w:val="24"/>
        </w:rPr>
        <w:t xml:space="preserve">rmore, </w:t>
      </w:r>
      <w:r w:rsidR="00263D1B" w:rsidRPr="00BC118E">
        <w:rPr>
          <w:sz w:val="24"/>
          <w:szCs w:val="24"/>
        </w:rPr>
        <w:t>et al.,</w:t>
      </w:r>
      <w:r w:rsidR="00DD4B48" w:rsidRPr="00BC118E">
        <w:rPr>
          <w:sz w:val="24"/>
          <w:szCs w:val="24"/>
        </w:rPr>
        <w:t xml:space="preserve"> 2010), </w:t>
      </w:r>
      <w:r w:rsidR="00743AE5" w:rsidRPr="00BC118E">
        <w:rPr>
          <w:sz w:val="24"/>
          <w:szCs w:val="24"/>
        </w:rPr>
        <w:t>both of which require</w:t>
      </w:r>
      <w:r w:rsidR="009543B2" w:rsidRPr="00BC118E">
        <w:rPr>
          <w:sz w:val="24"/>
          <w:szCs w:val="24"/>
        </w:rPr>
        <w:t xml:space="preserve"> high levels of self-management. </w:t>
      </w:r>
      <w:r w:rsidR="00743AE5" w:rsidRPr="00BC118E">
        <w:rPr>
          <w:sz w:val="24"/>
          <w:szCs w:val="24"/>
        </w:rPr>
        <w:t xml:space="preserve">Unsurprisingly, mental health problems can have a substantial impact </w:t>
      </w:r>
      <w:r w:rsidR="00561987" w:rsidRPr="00BC118E">
        <w:rPr>
          <w:sz w:val="24"/>
          <w:szCs w:val="24"/>
        </w:rPr>
        <w:t xml:space="preserve">on </w:t>
      </w:r>
      <w:r w:rsidR="00743AE5" w:rsidRPr="00BC118E">
        <w:rPr>
          <w:sz w:val="24"/>
          <w:szCs w:val="24"/>
        </w:rPr>
        <w:t>engage</w:t>
      </w:r>
      <w:r w:rsidR="00791C35" w:rsidRPr="00BC118E">
        <w:rPr>
          <w:sz w:val="24"/>
          <w:szCs w:val="24"/>
        </w:rPr>
        <w:t>ment</w:t>
      </w:r>
      <w:r w:rsidR="00743AE5" w:rsidRPr="00BC118E">
        <w:rPr>
          <w:sz w:val="24"/>
          <w:szCs w:val="24"/>
        </w:rPr>
        <w:t xml:space="preserve"> in self-management and treatment (</w:t>
      </w:r>
      <w:proofErr w:type="spellStart"/>
      <w:r w:rsidR="00263D1B" w:rsidRPr="00BC118E">
        <w:rPr>
          <w:sz w:val="24"/>
          <w:szCs w:val="24"/>
        </w:rPr>
        <w:t>Krass</w:t>
      </w:r>
      <w:proofErr w:type="spellEnd"/>
      <w:r w:rsidR="00263D1B" w:rsidRPr="00BC118E">
        <w:rPr>
          <w:sz w:val="24"/>
          <w:szCs w:val="24"/>
        </w:rPr>
        <w:t xml:space="preserve"> et al., </w:t>
      </w:r>
      <w:r w:rsidR="00847743" w:rsidRPr="00BC118E">
        <w:rPr>
          <w:sz w:val="24"/>
          <w:szCs w:val="24"/>
        </w:rPr>
        <w:t>2014</w:t>
      </w:r>
      <w:r w:rsidR="00C13135" w:rsidRPr="00BC118E">
        <w:rPr>
          <w:sz w:val="24"/>
          <w:szCs w:val="24"/>
        </w:rPr>
        <w:t xml:space="preserve">), </w:t>
      </w:r>
      <w:r w:rsidRPr="00BC118E">
        <w:rPr>
          <w:sz w:val="24"/>
          <w:szCs w:val="24"/>
        </w:rPr>
        <w:t>leading to</w:t>
      </w:r>
      <w:r w:rsidR="008123E0" w:rsidRPr="00BC118E">
        <w:rPr>
          <w:sz w:val="24"/>
          <w:szCs w:val="24"/>
        </w:rPr>
        <w:t xml:space="preserve"> </w:t>
      </w:r>
      <w:r w:rsidR="00743AE5" w:rsidRPr="00BC118E">
        <w:rPr>
          <w:sz w:val="24"/>
          <w:szCs w:val="24"/>
        </w:rPr>
        <w:lastRenderedPageBreak/>
        <w:t>deterioration in quality of l</w:t>
      </w:r>
      <w:r w:rsidR="00DD4B48" w:rsidRPr="00BC118E">
        <w:rPr>
          <w:sz w:val="24"/>
          <w:szCs w:val="24"/>
        </w:rPr>
        <w:t>ife (Moussavi et al., 2007) and</w:t>
      </w:r>
      <w:r w:rsidR="00743AE5" w:rsidRPr="00BC118E">
        <w:rPr>
          <w:sz w:val="24"/>
          <w:szCs w:val="24"/>
        </w:rPr>
        <w:t xml:space="preserve"> </w:t>
      </w:r>
      <w:r w:rsidR="00994EB4">
        <w:rPr>
          <w:sz w:val="24"/>
          <w:szCs w:val="24"/>
        </w:rPr>
        <w:t xml:space="preserve">poor </w:t>
      </w:r>
      <w:r w:rsidR="00BE0ACE" w:rsidRPr="00BC118E">
        <w:rPr>
          <w:sz w:val="24"/>
          <w:szCs w:val="24"/>
        </w:rPr>
        <w:t>physical health outcomes (Carney et al.</w:t>
      </w:r>
      <w:r w:rsidR="00E802D8" w:rsidRPr="00BC118E">
        <w:rPr>
          <w:sz w:val="24"/>
          <w:szCs w:val="24"/>
        </w:rPr>
        <w:t>, 2004</w:t>
      </w:r>
      <w:r w:rsidR="00B77102" w:rsidRPr="00BC118E">
        <w:rPr>
          <w:sz w:val="24"/>
          <w:szCs w:val="24"/>
        </w:rPr>
        <w:t xml:space="preserve">). </w:t>
      </w:r>
      <w:r w:rsidR="008123E0" w:rsidRPr="00BC118E">
        <w:rPr>
          <w:sz w:val="24"/>
          <w:szCs w:val="24"/>
        </w:rPr>
        <w:t>Subsequently, t</w:t>
      </w:r>
      <w:r w:rsidR="00743AE5" w:rsidRPr="00BC118E">
        <w:rPr>
          <w:sz w:val="24"/>
          <w:szCs w:val="24"/>
        </w:rPr>
        <w:t>here is a marked increase in the use of physical healthcare services and associated healthcare costs in this population (Chiles</w:t>
      </w:r>
      <w:r w:rsidR="00BE0ACE" w:rsidRPr="00BC118E">
        <w:rPr>
          <w:sz w:val="24"/>
          <w:szCs w:val="24"/>
        </w:rPr>
        <w:t xml:space="preserve"> et al.,</w:t>
      </w:r>
      <w:r w:rsidR="006505AB" w:rsidRPr="00BC118E">
        <w:rPr>
          <w:sz w:val="24"/>
          <w:szCs w:val="24"/>
        </w:rPr>
        <w:t xml:space="preserve"> 1999; </w:t>
      </w:r>
      <w:proofErr w:type="spellStart"/>
      <w:r w:rsidR="006505AB" w:rsidRPr="00BC118E">
        <w:rPr>
          <w:sz w:val="24"/>
          <w:szCs w:val="24"/>
        </w:rPr>
        <w:t>Egede</w:t>
      </w:r>
      <w:proofErr w:type="spellEnd"/>
      <w:r w:rsidR="006505AB" w:rsidRPr="00BC118E">
        <w:rPr>
          <w:sz w:val="24"/>
          <w:szCs w:val="24"/>
        </w:rPr>
        <w:t xml:space="preserve">, </w:t>
      </w:r>
      <w:r w:rsidR="00743AE5" w:rsidRPr="00BC118E">
        <w:rPr>
          <w:sz w:val="24"/>
          <w:szCs w:val="24"/>
        </w:rPr>
        <w:t>2007).</w:t>
      </w:r>
    </w:p>
    <w:p w14:paraId="56A00A4B" w14:textId="0ABA8E3D" w:rsidR="00994EB4" w:rsidRDefault="008123E0" w:rsidP="00614D62">
      <w:pPr>
        <w:spacing w:line="480" w:lineRule="auto"/>
        <w:ind w:firstLine="720"/>
        <w:rPr>
          <w:sz w:val="24"/>
          <w:szCs w:val="24"/>
        </w:rPr>
      </w:pPr>
      <w:r w:rsidRPr="00BC118E">
        <w:rPr>
          <w:sz w:val="24"/>
          <w:szCs w:val="24"/>
        </w:rPr>
        <w:t>I</w:t>
      </w:r>
      <w:r w:rsidR="00743AE5" w:rsidRPr="00BC118E">
        <w:rPr>
          <w:sz w:val="24"/>
          <w:szCs w:val="24"/>
        </w:rPr>
        <w:t>t has</w:t>
      </w:r>
      <w:r w:rsidRPr="00BC118E">
        <w:rPr>
          <w:sz w:val="24"/>
          <w:szCs w:val="24"/>
        </w:rPr>
        <w:t xml:space="preserve"> therefore</w:t>
      </w:r>
      <w:r w:rsidR="00743AE5" w:rsidRPr="00BC118E">
        <w:rPr>
          <w:sz w:val="24"/>
          <w:szCs w:val="24"/>
        </w:rPr>
        <w:t xml:space="preserve"> been argued there is a need for integrated physical and psychological healthcare services (Royal College of Psychiatrists, 2015</w:t>
      </w:r>
      <w:r w:rsidR="00275A67" w:rsidRPr="00BC118E">
        <w:rPr>
          <w:sz w:val="24"/>
          <w:szCs w:val="24"/>
        </w:rPr>
        <w:t>). R</w:t>
      </w:r>
      <w:r w:rsidR="00743AE5" w:rsidRPr="00BC118E">
        <w:rPr>
          <w:sz w:val="24"/>
          <w:szCs w:val="24"/>
        </w:rPr>
        <w:t xml:space="preserve">esearch has shown that integrating services leads to better outcomes </w:t>
      </w:r>
      <w:r w:rsidR="00C13135" w:rsidRPr="00BC118E">
        <w:rPr>
          <w:sz w:val="24"/>
          <w:szCs w:val="24"/>
        </w:rPr>
        <w:t>for</w:t>
      </w:r>
      <w:r w:rsidR="00B77102" w:rsidRPr="00BC118E">
        <w:rPr>
          <w:sz w:val="24"/>
          <w:szCs w:val="24"/>
        </w:rPr>
        <w:t xml:space="preserve"> </w:t>
      </w:r>
      <w:r w:rsidR="00EE433A" w:rsidRPr="00BC118E">
        <w:rPr>
          <w:sz w:val="24"/>
          <w:szCs w:val="24"/>
        </w:rPr>
        <w:t xml:space="preserve">both </w:t>
      </w:r>
      <w:r w:rsidR="00743AE5" w:rsidRPr="00BC118E">
        <w:rPr>
          <w:sz w:val="24"/>
          <w:szCs w:val="24"/>
        </w:rPr>
        <w:t>mental health and self-management of</w:t>
      </w:r>
      <w:r w:rsidR="005855CD" w:rsidRPr="00BC118E">
        <w:rPr>
          <w:sz w:val="24"/>
          <w:szCs w:val="24"/>
        </w:rPr>
        <w:t xml:space="preserve"> the LTC (Coventry et al., 2015</w:t>
      </w:r>
      <w:r w:rsidR="00783994" w:rsidRPr="00BC118E">
        <w:rPr>
          <w:sz w:val="24"/>
          <w:szCs w:val="24"/>
        </w:rPr>
        <w:t>; Li et al., 2017</w:t>
      </w:r>
      <w:r w:rsidR="00743AE5" w:rsidRPr="00BC118E">
        <w:rPr>
          <w:sz w:val="24"/>
          <w:szCs w:val="24"/>
        </w:rPr>
        <w:t>).</w:t>
      </w:r>
      <w:r w:rsidR="00EE433A" w:rsidRPr="00BC118E">
        <w:rPr>
          <w:sz w:val="24"/>
          <w:szCs w:val="24"/>
        </w:rPr>
        <w:t xml:space="preserve"> As such, </w:t>
      </w:r>
      <w:r w:rsidR="001C7DC1">
        <w:rPr>
          <w:sz w:val="24"/>
          <w:szCs w:val="24"/>
        </w:rPr>
        <w:t>‘</w:t>
      </w:r>
      <w:r w:rsidR="00BB4E37" w:rsidRPr="00BC118E">
        <w:rPr>
          <w:sz w:val="24"/>
          <w:szCs w:val="24"/>
        </w:rPr>
        <w:t xml:space="preserve">The </w:t>
      </w:r>
      <w:proofErr w:type="gramStart"/>
      <w:r w:rsidR="00BB4E37" w:rsidRPr="00BC118E">
        <w:rPr>
          <w:sz w:val="24"/>
          <w:szCs w:val="24"/>
        </w:rPr>
        <w:t>Five Year</w:t>
      </w:r>
      <w:proofErr w:type="gramEnd"/>
      <w:r w:rsidR="00BB4E37" w:rsidRPr="00BC118E">
        <w:rPr>
          <w:sz w:val="24"/>
          <w:szCs w:val="24"/>
        </w:rPr>
        <w:t xml:space="preserve"> Forwar</w:t>
      </w:r>
      <w:r w:rsidR="00EE433A" w:rsidRPr="00BC118E">
        <w:rPr>
          <w:sz w:val="24"/>
          <w:szCs w:val="24"/>
        </w:rPr>
        <w:t>d View</w:t>
      </w:r>
      <w:r w:rsidR="001C7DC1">
        <w:rPr>
          <w:sz w:val="24"/>
          <w:szCs w:val="24"/>
        </w:rPr>
        <w:t>’</w:t>
      </w:r>
      <w:r w:rsidR="00EE433A" w:rsidRPr="00BC118E">
        <w:rPr>
          <w:sz w:val="24"/>
          <w:szCs w:val="24"/>
        </w:rPr>
        <w:t xml:space="preserve"> planned</w:t>
      </w:r>
      <w:r w:rsidR="00BB4E37" w:rsidRPr="00BC118E">
        <w:rPr>
          <w:sz w:val="24"/>
          <w:szCs w:val="24"/>
        </w:rPr>
        <w:t xml:space="preserve"> for the expansion of IAPT services to include integrated pathways specifically for individuals with LTCs</w:t>
      </w:r>
      <w:r w:rsidR="00120BB2" w:rsidRPr="00BC118E">
        <w:rPr>
          <w:sz w:val="24"/>
          <w:szCs w:val="24"/>
        </w:rPr>
        <w:t xml:space="preserve"> (NHS England, 2014)</w:t>
      </w:r>
      <w:r w:rsidR="00BB4E37" w:rsidRPr="00BC118E">
        <w:rPr>
          <w:sz w:val="24"/>
          <w:szCs w:val="24"/>
        </w:rPr>
        <w:t>.</w:t>
      </w:r>
    </w:p>
    <w:p w14:paraId="31EF74D5" w14:textId="77777777" w:rsidR="00614D62" w:rsidRPr="00614D62" w:rsidRDefault="00614D62" w:rsidP="00614D62">
      <w:pPr>
        <w:spacing w:line="480" w:lineRule="auto"/>
        <w:ind w:firstLine="720"/>
        <w:rPr>
          <w:sz w:val="24"/>
          <w:szCs w:val="24"/>
        </w:rPr>
      </w:pPr>
    </w:p>
    <w:p w14:paraId="414B2C86" w14:textId="085C43C1" w:rsidR="00743AE5" w:rsidRPr="00BC118E" w:rsidRDefault="00743AE5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 xml:space="preserve">Service context </w:t>
      </w:r>
    </w:p>
    <w:p w14:paraId="44004020" w14:textId="1E4C7967" w:rsidR="00743AE5" w:rsidRPr="00BC118E" w:rsidRDefault="00743AE5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 xml:space="preserve">The current service was identified as one of the ‘Early Implementer’ sites </w:t>
      </w:r>
      <w:r w:rsidR="006010CD" w:rsidRPr="00BC118E">
        <w:rPr>
          <w:sz w:val="24"/>
          <w:szCs w:val="24"/>
        </w:rPr>
        <w:t>for</w:t>
      </w:r>
      <w:r w:rsidR="00BB4E37" w:rsidRPr="00BC118E">
        <w:rPr>
          <w:sz w:val="24"/>
          <w:szCs w:val="24"/>
        </w:rPr>
        <w:t xml:space="preserve"> the first wave of the pilot. T</w:t>
      </w:r>
      <w:r w:rsidR="006010CD" w:rsidRPr="00BC118E">
        <w:rPr>
          <w:sz w:val="24"/>
          <w:szCs w:val="24"/>
        </w:rPr>
        <w:t>he pathway, named ‘Talking Health’, o</w:t>
      </w:r>
      <w:r w:rsidR="00BB4E37" w:rsidRPr="00BC118E">
        <w:rPr>
          <w:sz w:val="24"/>
          <w:szCs w:val="24"/>
        </w:rPr>
        <w:t>ffers psychological assessment and intervention specifically for individuals with diabetes or COPD</w:t>
      </w:r>
      <w:r w:rsidR="005855CD" w:rsidRPr="00BC118E">
        <w:rPr>
          <w:sz w:val="24"/>
          <w:szCs w:val="24"/>
        </w:rPr>
        <w:t xml:space="preserve"> through a stepped-care </w:t>
      </w:r>
      <w:r w:rsidR="001A26B7" w:rsidRPr="00BC118E">
        <w:rPr>
          <w:sz w:val="24"/>
          <w:szCs w:val="24"/>
        </w:rPr>
        <w:t>approach.</w:t>
      </w:r>
      <w:r w:rsidR="00994EB4">
        <w:rPr>
          <w:sz w:val="24"/>
          <w:szCs w:val="24"/>
        </w:rPr>
        <w:t xml:space="preserve"> </w:t>
      </w:r>
      <w:r w:rsidRPr="00BC118E">
        <w:rPr>
          <w:sz w:val="24"/>
          <w:szCs w:val="24"/>
        </w:rPr>
        <w:t>All pilot sites were required to monitor clinical outcomes for (</w:t>
      </w:r>
      <w:proofErr w:type="spellStart"/>
      <w:r w:rsidRPr="00BC118E">
        <w:rPr>
          <w:sz w:val="24"/>
          <w:szCs w:val="24"/>
        </w:rPr>
        <w:t>i</w:t>
      </w:r>
      <w:proofErr w:type="spellEnd"/>
      <w:r w:rsidRPr="00BC118E">
        <w:rPr>
          <w:sz w:val="24"/>
          <w:szCs w:val="24"/>
        </w:rPr>
        <w:t xml:space="preserve">) </w:t>
      </w:r>
      <w:r w:rsidR="001A26B7" w:rsidRPr="00BC118E">
        <w:rPr>
          <w:sz w:val="24"/>
          <w:szCs w:val="24"/>
        </w:rPr>
        <w:t>mood,</w:t>
      </w:r>
      <w:r w:rsidRPr="00BC118E">
        <w:rPr>
          <w:sz w:val="24"/>
          <w:szCs w:val="24"/>
        </w:rPr>
        <w:t xml:space="preserve"> (ii) perception of physical health, (iii) healthcare utilisation and (iv) patient </w:t>
      </w:r>
      <w:r w:rsidR="005836DC" w:rsidRPr="00BC118E">
        <w:rPr>
          <w:sz w:val="24"/>
          <w:szCs w:val="24"/>
        </w:rPr>
        <w:t xml:space="preserve">experience (NHS England, 2018). </w:t>
      </w:r>
      <w:r w:rsidRPr="00BC118E">
        <w:rPr>
          <w:sz w:val="24"/>
          <w:szCs w:val="24"/>
        </w:rPr>
        <w:t>Th</w:t>
      </w:r>
      <w:r w:rsidR="007C421E" w:rsidRPr="00BC118E">
        <w:rPr>
          <w:sz w:val="24"/>
          <w:szCs w:val="24"/>
        </w:rPr>
        <w:t>is</w:t>
      </w:r>
      <w:r w:rsidRPr="00BC118E">
        <w:rPr>
          <w:sz w:val="24"/>
          <w:szCs w:val="24"/>
        </w:rPr>
        <w:t xml:space="preserve"> project </w:t>
      </w:r>
      <w:r w:rsidR="005836DC" w:rsidRPr="00BC118E">
        <w:rPr>
          <w:sz w:val="24"/>
          <w:szCs w:val="24"/>
        </w:rPr>
        <w:t>therefore aimed to</w:t>
      </w:r>
      <w:r w:rsidR="009C5F35" w:rsidRPr="00BC118E">
        <w:rPr>
          <w:sz w:val="24"/>
          <w:szCs w:val="24"/>
        </w:rPr>
        <w:t xml:space="preserve"> address</w:t>
      </w:r>
      <w:r w:rsidR="007014A4" w:rsidRPr="00BC118E">
        <w:rPr>
          <w:sz w:val="24"/>
          <w:szCs w:val="24"/>
        </w:rPr>
        <w:t xml:space="preserve"> the following questions:</w:t>
      </w:r>
    </w:p>
    <w:p w14:paraId="63CB08A4" w14:textId="523CF04C" w:rsidR="00743AE5" w:rsidRPr="00BC118E" w:rsidRDefault="00743AE5" w:rsidP="007C3A8E">
      <w:pPr>
        <w:pStyle w:val="ListParagraph"/>
        <w:widowControl w:val="0"/>
        <w:numPr>
          <w:ilvl w:val="0"/>
          <w:numId w:val="1"/>
        </w:numPr>
        <w:tabs>
          <w:tab w:val="left" w:pos="-2250"/>
          <w:tab w:val="left" w:pos="-450"/>
          <w:tab w:val="left" w:pos="270"/>
          <w:tab w:val="left" w:pos="630"/>
          <w:tab w:val="left" w:pos="1890"/>
          <w:tab w:val="left" w:pos="2070"/>
          <w:tab w:val="left" w:pos="2790"/>
          <w:tab w:val="left" w:pos="3960"/>
          <w:tab w:val="left" w:pos="4950"/>
          <w:tab w:val="left" w:pos="5040"/>
          <w:tab w:val="left" w:pos="9360"/>
        </w:tabs>
        <w:autoSpaceDE w:val="0"/>
        <w:autoSpaceDN w:val="0"/>
        <w:spacing w:before="120" w:after="0" w:line="480" w:lineRule="auto"/>
        <w:ind w:right="14"/>
        <w:outlineLvl w:val="0"/>
        <w:rPr>
          <w:sz w:val="24"/>
          <w:szCs w:val="24"/>
        </w:rPr>
      </w:pPr>
      <w:r w:rsidRPr="00BC118E">
        <w:rPr>
          <w:sz w:val="24"/>
          <w:szCs w:val="24"/>
        </w:rPr>
        <w:t xml:space="preserve">Does psychological support for </w:t>
      </w:r>
      <w:r w:rsidR="007014A4" w:rsidRPr="00BC118E">
        <w:rPr>
          <w:sz w:val="24"/>
          <w:szCs w:val="24"/>
        </w:rPr>
        <w:t>LTC clients</w:t>
      </w:r>
      <w:r w:rsidRPr="00BC118E">
        <w:rPr>
          <w:sz w:val="24"/>
          <w:szCs w:val="24"/>
        </w:rPr>
        <w:t xml:space="preserve"> result in fewer visits to other healthcare services</w:t>
      </w:r>
      <w:r w:rsidR="00210291" w:rsidRPr="00BC118E">
        <w:rPr>
          <w:sz w:val="24"/>
          <w:szCs w:val="24"/>
        </w:rPr>
        <w:t>?</w:t>
      </w:r>
      <w:r w:rsidRPr="00BC118E">
        <w:rPr>
          <w:sz w:val="24"/>
          <w:szCs w:val="24"/>
        </w:rPr>
        <w:t xml:space="preserve"> </w:t>
      </w:r>
    </w:p>
    <w:p w14:paraId="7F176167" w14:textId="2B709836" w:rsidR="00743AE5" w:rsidRDefault="00743AE5" w:rsidP="007C3A8E">
      <w:pPr>
        <w:pStyle w:val="ListParagraph"/>
        <w:widowControl w:val="0"/>
        <w:numPr>
          <w:ilvl w:val="0"/>
          <w:numId w:val="1"/>
        </w:numPr>
        <w:tabs>
          <w:tab w:val="left" w:pos="-2250"/>
          <w:tab w:val="left" w:pos="-450"/>
          <w:tab w:val="left" w:pos="270"/>
          <w:tab w:val="left" w:pos="630"/>
          <w:tab w:val="left" w:pos="1890"/>
          <w:tab w:val="left" w:pos="2070"/>
          <w:tab w:val="left" w:pos="2790"/>
          <w:tab w:val="left" w:pos="3960"/>
          <w:tab w:val="left" w:pos="4950"/>
          <w:tab w:val="left" w:pos="5040"/>
          <w:tab w:val="left" w:pos="9360"/>
        </w:tabs>
        <w:autoSpaceDE w:val="0"/>
        <w:autoSpaceDN w:val="0"/>
        <w:spacing w:before="120" w:after="0" w:line="480" w:lineRule="auto"/>
        <w:ind w:right="14"/>
        <w:outlineLvl w:val="0"/>
        <w:rPr>
          <w:sz w:val="24"/>
          <w:szCs w:val="24"/>
        </w:rPr>
      </w:pPr>
      <w:r w:rsidRPr="00BC118E">
        <w:rPr>
          <w:sz w:val="24"/>
          <w:szCs w:val="24"/>
        </w:rPr>
        <w:t xml:space="preserve">Do LTC focused interventions lead to improvements </w:t>
      </w:r>
      <w:r w:rsidR="008B3268" w:rsidRPr="00BC118E">
        <w:rPr>
          <w:sz w:val="24"/>
          <w:szCs w:val="24"/>
        </w:rPr>
        <w:t xml:space="preserve">in client’s perception of their health </w:t>
      </w:r>
      <w:r w:rsidR="00F96C25" w:rsidRPr="00BC118E">
        <w:rPr>
          <w:sz w:val="24"/>
          <w:szCs w:val="24"/>
        </w:rPr>
        <w:t>and emotional wellbeing?</w:t>
      </w:r>
    </w:p>
    <w:p w14:paraId="427269C3" w14:textId="77777777" w:rsidR="001C7DC1" w:rsidRPr="002C0EA9" w:rsidRDefault="001C7DC1" w:rsidP="002C0EA9">
      <w:pPr>
        <w:widowControl w:val="0"/>
        <w:tabs>
          <w:tab w:val="left" w:pos="-2250"/>
          <w:tab w:val="left" w:pos="-450"/>
          <w:tab w:val="left" w:pos="270"/>
          <w:tab w:val="left" w:pos="630"/>
          <w:tab w:val="left" w:pos="1890"/>
          <w:tab w:val="left" w:pos="2070"/>
          <w:tab w:val="left" w:pos="2790"/>
          <w:tab w:val="left" w:pos="3960"/>
          <w:tab w:val="left" w:pos="4950"/>
          <w:tab w:val="left" w:pos="5040"/>
          <w:tab w:val="left" w:pos="9360"/>
        </w:tabs>
        <w:autoSpaceDE w:val="0"/>
        <w:autoSpaceDN w:val="0"/>
        <w:spacing w:before="120" w:after="0" w:line="480" w:lineRule="auto"/>
        <w:ind w:right="14"/>
        <w:outlineLvl w:val="0"/>
        <w:rPr>
          <w:sz w:val="24"/>
          <w:szCs w:val="24"/>
        </w:rPr>
      </w:pPr>
    </w:p>
    <w:p w14:paraId="40E9982A" w14:textId="77777777" w:rsidR="00A036A5" w:rsidRDefault="00A036A5" w:rsidP="007C3A8E">
      <w:pPr>
        <w:widowControl w:val="0"/>
        <w:tabs>
          <w:tab w:val="left" w:pos="-2250"/>
          <w:tab w:val="left" w:pos="-450"/>
          <w:tab w:val="left" w:pos="270"/>
          <w:tab w:val="left" w:pos="630"/>
          <w:tab w:val="left" w:pos="1890"/>
          <w:tab w:val="left" w:pos="2070"/>
          <w:tab w:val="left" w:pos="2790"/>
          <w:tab w:val="left" w:pos="3960"/>
          <w:tab w:val="left" w:pos="4950"/>
          <w:tab w:val="left" w:pos="5040"/>
          <w:tab w:val="left" w:pos="9360"/>
        </w:tabs>
        <w:autoSpaceDE w:val="0"/>
        <w:autoSpaceDN w:val="0"/>
        <w:spacing w:before="120" w:after="0" w:line="480" w:lineRule="auto"/>
        <w:ind w:right="14"/>
        <w:outlineLvl w:val="0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>Participants</w:t>
      </w:r>
    </w:p>
    <w:p w14:paraId="4C0782C5" w14:textId="542B5EDB" w:rsidR="001C7DC1" w:rsidRPr="0022669B" w:rsidRDefault="0022669B" w:rsidP="007C3A8E">
      <w:pPr>
        <w:widowControl w:val="0"/>
        <w:tabs>
          <w:tab w:val="left" w:pos="-2250"/>
          <w:tab w:val="left" w:pos="-450"/>
          <w:tab w:val="left" w:pos="270"/>
          <w:tab w:val="left" w:pos="630"/>
          <w:tab w:val="left" w:pos="1890"/>
          <w:tab w:val="left" w:pos="2070"/>
          <w:tab w:val="left" w:pos="2790"/>
          <w:tab w:val="left" w:pos="3960"/>
          <w:tab w:val="left" w:pos="4950"/>
          <w:tab w:val="left" w:pos="5040"/>
          <w:tab w:val="left" w:pos="9360"/>
        </w:tabs>
        <w:autoSpaceDE w:val="0"/>
        <w:autoSpaceDN w:val="0"/>
        <w:spacing w:before="120" w:after="0" w:line="480" w:lineRule="auto"/>
        <w:ind w:right="14"/>
        <w:outlineLvl w:val="0"/>
        <w:rPr>
          <w:sz w:val="24"/>
          <w:szCs w:val="24"/>
        </w:rPr>
      </w:pPr>
      <w:r>
        <w:rPr>
          <w:sz w:val="24"/>
          <w:szCs w:val="24"/>
        </w:rPr>
        <w:t>60</w:t>
      </w:r>
      <w:r w:rsidR="00FF50DD" w:rsidRPr="0022669B">
        <w:rPr>
          <w:sz w:val="24"/>
          <w:szCs w:val="24"/>
        </w:rPr>
        <w:t xml:space="preserve"> clients were initially identified as having completed the Talking Health pathway. </w:t>
      </w:r>
      <w:r w:rsidRPr="0022669B">
        <w:rPr>
          <w:sz w:val="24"/>
          <w:szCs w:val="24"/>
        </w:rPr>
        <w:t>For the first question addressing healthcare service use, s</w:t>
      </w:r>
      <w:r w:rsidR="00FF50DD" w:rsidRPr="0022669B">
        <w:rPr>
          <w:sz w:val="24"/>
          <w:szCs w:val="24"/>
        </w:rPr>
        <w:t xml:space="preserve">even clients were excluded due to missing the Client Service </w:t>
      </w:r>
      <w:r w:rsidRPr="0022669B">
        <w:rPr>
          <w:sz w:val="24"/>
          <w:szCs w:val="24"/>
        </w:rPr>
        <w:t>Receipt</w:t>
      </w:r>
      <w:r w:rsidR="00FF50DD" w:rsidRPr="0022669B">
        <w:rPr>
          <w:sz w:val="24"/>
          <w:szCs w:val="24"/>
        </w:rPr>
        <w:t xml:space="preserve"> Inventory (CSRI) measure. Of the final 53 clients included for this analysis, 22 had COPD (41.5%) and 31 had diabetes (58.5%), with an age range of 20-86 years of age (M=58.0; SD=16.2).</w:t>
      </w:r>
    </w:p>
    <w:p w14:paraId="69C2A791" w14:textId="3680B263" w:rsidR="00994EB4" w:rsidRPr="00BC118E" w:rsidRDefault="001C7DC1" w:rsidP="0022669B">
      <w:pPr>
        <w:widowControl w:val="0"/>
        <w:tabs>
          <w:tab w:val="left" w:pos="-2250"/>
          <w:tab w:val="left" w:pos="-450"/>
          <w:tab w:val="left" w:pos="270"/>
          <w:tab w:val="left" w:pos="630"/>
          <w:tab w:val="left" w:pos="1890"/>
          <w:tab w:val="left" w:pos="2070"/>
          <w:tab w:val="left" w:pos="2790"/>
          <w:tab w:val="left" w:pos="3960"/>
          <w:tab w:val="left" w:pos="4950"/>
          <w:tab w:val="left" w:pos="5040"/>
          <w:tab w:val="left" w:pos="9360"/>
        </w:tabs>
        <w:autoSpaceDE w:val="0"/>
        <w:autoSpaceDN w:val="0"/>
        <w:spacing w:before="120" w:after="0" w:line="480" w:lineRule="auto"/>
        <w:ind w:right="14"/>
        <w:outlineLvl w:val="0"/>
        <w:rPr>
          <w:sz w:val="24"/>
          <w:szCs w:val="24"/>
        </w:rPr>
      </w:pPr>
      <w:r>
        <w:tab/>
      </w:r>
      <w:r w:rsidR="00FF50DD" w:rsidRPr="0022669B">
        <w:rPr>
          <w:sz w:val="24"/>
          <w:szCs w:val="24"/>
        </w:rPr>
        <w:t>For the second question addressing clients’ perception of their health</w:t>
      </w:r>
      <w:r w:rsidR="00614D62">
        <w:rPr>
          <w:sz w:val="24"/>
          <w:szCs w:val="24"/>
        </w:rPr>
        <w:t xml:space="preserve"> (excluding an evaluation of mood as this utilised the larger sample of 53 participants)</w:t>
      </w:r>
      <w:r w:rsidR="00FF50DD" w:rsidRPr="0022669B">
        <w:rPr>
          <w:sz w:val="24"/>
          <w:szCs w:val="24"/>
        </w:rPr>
        <w:t>, a tot</w:t>
      </w:r>
      <w:r w:rsidR="0022669B" w:rsidRPr="0022669B">
        <w:rPr>
          <w:sz w:val="24"/>
          <w:szCs w:val="24"/>
        </w:rPr>
        <w:t xml:space="preserve">al of 34 clients were included in the final analysis </w:t>
      </w:r>
      <w:r>
        <w:rPr>
          <w:sz w:val="24"/>
          <w:szCs w:val="24"/>
        </w:rPr>
        <w:t>(</w:t>
      </w:r>
      <w:r w:rsidR="0022669B">
        <w:rPr>
          <w:sz w:val="24"/>
          <w:szCs w:val="24"/>
        </w:rPr>
        <w:t>1</w:t>
      </w:r>
      <w:r w:rsidR="0022669B" w:rsidRPr="0022669B">
        <w:rPr>
          <w:sz w:val="24"/>
          <w:szCs w:val="24"/>
        </w:rPr>
        <w:t xml:space="preserve">9 </w:t>
      </w:r>
      <w:r w:rsidR="00E904E8">
        <w:rPr>
          <w:sz w:val="24"/>
          <w:szCs w:val="24"/>
        </w:rPr>
        <w:t xml:space="preserve">of the 53 were </w:t>
      </w:r>
      <w:r w:rsidR="0022669B" w:rsidRPr="0022669B">
        <w:rPr>
          <w:sz w:val="24"/>
          <w:szCs w:val="24"/>
        </w:rPr>
        <w:t>excluded due to missing measures). Of th</w:t>
      </w:r>
      <w:r w:rsidR="00E904E8">
        <w:rPr>
          <w:sz w:val="24"/>
          <w:szCs w:val="24"/>
        </w:rPr>
        <w:t>ese</w:t>
      </w:r>
      <w:r w:rsidR="0022669B" w:rsidRPr="0022669B">
        <w:rPr>
          <w:sz w:val="24"/>
          <w:szCs w:val="24"/>
        </w:rPr>
        <w:t xml:space="preserve">, </w:t>
      </w:r>
      <w:r w:rsidR="00FF50DD" w:rsidRPr="0022669B">
        <w:rPr>
          <w:sz w:val="24"/>
          <w:szCs w:val="24"/>
        </w:rPr>
        <w:t xml:space="preserve">24 had diabetes (70.6%) and 10 had COPD (29.4%). </w:t>
      </w:r>
    </w:p>
    <w:p w14:paraId="1187A257" w14:textId="77777777" w:rsidR="001C7DC1" w:rsidRDefault="001C7DC1" w:rsidP="007C3A8E">
      <w:pPr>
        <w:spacing w:line="480" w:lineRule="auto"/>
        <w:rPr>
          <w:b/>
          <w:sz w:val="24"/>
          <w:szCs w:val="24"/>
        </w:rPr>
      </w:pPr>
    </w:p>
    <w:p w14:paraId="5F1979ED" w14:textId="7C8B92B2" w:rsidR="00203A16" w:rsidRPr="00BC118E" w:rsidRDefault="00203A16" w:rsidP="007C3A8E">
      <w:pPr>
        <w:spacing w:line="480" w:lineRule="auto"/>
        <w:rPr>
          <w:sz w:val="24"/>
          <w:szCs w:val="24"/>
        </w:rPr>
      </w:pPr>
      <w:r w:rsidRPr="00BC118E">
        <w:rPr>
          <w:b/>
          <w:sz w:val="24"/>
          <w:szCs w:val="24"/>
        </w:rPr>
        <w:t xml:space="preserve">Measures </w:t>
      </w:r>
    </w:p>
    <w:p w14:paraId="1AAEFD63" w14:textId="45FE3108" w:rsidR="00203A16" w:rsidRPr="00BC118E" w:rsidRDefault="004E7AB5" w:rsidP="007C3A8E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>Clients</w:t>
      </w:r>
      <w:r w:rsidR="004D66D5" w:rsidRPr="00BC118E">
        <w:rPr>
          <w:sz w:val="24"/>
          <w:szCs w:val="24"/>
        </w:rPr>
        <w:t xml:space="preserve"> completed the following measures at initial assessment, end of intervention and </w:t>
      </w:r>
      <w:r w:rsidR="00E904E8">
        <w:rPr>
          <w:sz w:val="24"/>
          <w:szCs w:val="24"/>
        </w:rPr>
        <w:t xml:space="preserve">at </w:t>
      </w:r>
      <w:r w:rsidR="004D66D5" w:rsidRPr="00BC118E">
        <w:rPr>
          <w:sz w:val="24"/>
          <w:szCs w:val="24"/>
        </w:rPr>
        <w:t>three-</w:t>
      </w:r>
      <w:r w:rsidR="00D92AA9" w:rsidRPr="00BC118E">
        <w:rPr>
          <w:sz w:val="24"/>
          <w:szCs w:val="24"/>
        </w:rPr>
        <w:t>month’s</w:t>
      </w:r>
      <w:r w:rsidR="004D66D5" w:rsidRPr="00BC118E">
        <w:rPr>
          <w:sz w:val="24"/>
          <w:szCs w:val="24"/>
        </w:rPr>
        <w:t xml:space="preserve"> follow-up: </w:t>
      </w:r>
    </w:p>
    <w:p w14:paraId="699505CE" w14:textId="02484773" w:rsidR="00D533F8" w:rsidRPr="00BC118E" w:rsidRDefault="00D533F8" w:rsidP="007C3A8E">
      <w:pPr>
        <w:pStyle w:val="ListParagraph"/>
        <w:numPr>
          <w:ilvl w:val="0"/>
          <w:numId w:val="15"/>
        </w:numPr>
        <w:spacing w:line="480" w:lineRule="auto"/>
        <w:rPr>
          <w:rFonts w:cs="Arial"/>
          <w:sz w:val="24"/>
          <w:szCs w:val="24"/>
          <w:shd w:val="clear" w:color="auto" w:fill="FFFFFF"/>
        </w:rPr>
      </w:pPr>
      <w:r w:rsidRPr="00BC118E">
        <w:rPr>
          <w:sz w:val="24"/>
          <w:szCs w:val="24"/>
        </w:rPr>
        <w:t>Client Service Receipt Inventory (CSRI; Beecham &amp; Knapp, 2001) is a self-report mea</w:t>
      </w:r>
      <w:r w:rsidR="007239D6" w:rsidRPr="00BC118E">
        <w:rPr>
          <w:sz w:val="24"/>
          <w:szCs w:val="24"/>
        </w:rPr>
        <w:t>sure capturing the frequency of</w:t>
      </w:r>
      <w:r w:rsidRPr="00BC118E">
        <w:rPr>
          <w:sz w:val="24"/>
          <w:szCs w:val="24"/>
        </w:rPr>
        <w:t xml:space="preserve"> </w:t>
      </w:r>
      <w:r w:rsidR="004E7AB5" w:rsidRPr="00BC118E">
        <w:rPr>
          <w:sz w:val="24"/>
          <w:szCs w:val="24"/>
        </w:rPr>
        <w:t xml:space="preserve">attending </w:t>
      </w:r>
      <w:r w:rsidRPr="00BC118E">
        <w:rPr>
          <w:sz w:val="24"/>
          <w:szCs w:val="24"/>
        </w:rPr>
        <w:t xml:space="preserve">healthcare services </w:t>
      </w:r>
      <w:r w:rsidRPr="00BC118E">
        <w:rPr>
          <w:rFonts w:cs="Arial"/>
          <w:sz w:val="24"/>
          <w:szCs w:val="24"/>
          <w:shd w:val="clear" w:color="auto" w:fill="FFFFFF"/>
        </w:rPr>
        <w:t>relating to</w:t>
      </w:r>
      <w:r w:rsidR="00994EB4">
        <w:rPr>
          <w:rFonts w:cs="Arial"/>
          <w:sz w:val="24"/>
          <w:szCs w:val="24"/>
          <w:shd w:val="clear" w:color="auto" w:fill="FFFFFF"/>
        </w:rPr>
        <w:t xml:space="preserve"> </w:t>
      </w:r>
      <w:proofErr w:type="gramStart"/>
      <w:r w:rsidR="00994EB4">
        <w:rPr>
          <w:rFonts w:cs="Arial"/>
          <w:sz w:val="24"/>
          <w:szCs w:val="24"/>
          <w:shd w:val="clear" w:color="auto" w:fill="FFFFFF"/>
        </w:rPr>
        <w:t>a</w:t>
      </w:r>
      <w:proofErr w:type="gramEnd"/>
      <w:r w:rsidRPr="00BC118E">
        <w:rPr>
          <w:rFonts w:cs="Arial"/>
          <w:sz w:val="24"/>
          <w:szCs w:val="24"/>
          <w:shd w:val="clear" w:color="auto" w:fill="FFFFFF"/>
        </w:rPr>
        <w:t xml:space="preserve"> LTC three months before and after </w:t>
      </w:r>
      <w:r w:rsidR="00210291" w:rsidRPr="00BC118E">
        <w:rPr>
          <w:rFonts w:cs="Arial"/>
          <w:sz w:val="24"/>
          <w:szCs w:val="24"/>
          <w:shd w:val="clear" w:color="auto" w:fill="FFFFFF"/>
        </w:rPr>
        <w:t>intervention</w:t>
      </w:r>
      <w:r w:rsidRPr="00BC118E">
        <w:rPr>
          <w:rFonts w:cs="Arial"/>
          <w:sz w:val="24"/>
          <w:szCs w:val="24"/>
          <w:shd w:val="clear" w:color="auto" w:fill="FFFFFF"/>
        </w:rPr>
        <w:t>.</w:t>
      </w:r>
    </w:p>
    <w:p w14:paraId="42D49A34" w14:textId="4DBE4F51" w:rsidR="00D533F8" w:rsidRPr="00BC118E" w:rsidRDefault="00D533F8" w:rsidP="007C3A8E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>Diabetes Distress Scale (DDS; Polonsky et al., 2005)</w:t>
      </w:r>
      <w:r w:rsidR="00994EB4">
        <w:rPr>
          <w:sz w:val="24"/>
          <w:szCs w:val="24"/>
        </w:rPr>
        <w:t>,</w:t>
      </w:r>
      <w:r w:rsidRPr="00BC118E">
        <w:rPr>
          <w:sz w:val="24"/>
          <w:szCs w:val="24"/>
        </w:rPr>
        <w:t xml:space="preserve"> requires individuals to indicate their level of perceived distress in r</w:t>
      </w:r>
      <w:r w:rsidR="00FB6A38" w:rsidRPr="00BC118E">
        <w:rPr>
          <w:sz w:val="24"/>
          <w:szCs w:val="24"/>
        </w:rPr>
        <w:t>elation to the emotional burden</w:t>
      </w:r>
      <w:r w:rsidR="00B375EA">
        <w:rPr>
          <w:sz w:val="24"/>
          <w:szCs w:val="24"/>
        </w:rPr>
        <w:t>,</w:t>
      </w:r>
      <w:r w:rsidR="00FB6A38" w:rsidRPr="00BC118E">
        <w:rPr>
          <w:sz w:val="24"/>
          <w:szCs w:val="24"/>
        </w:rPr>
        <w:t xml:space="preserve"> </w:t>
      </w:r>
      <w:r w:rsidR="00B375EA">
        <w:rPr>
          <w:sz w:val="24"/>
          <w:szCs w:val="24"/>
        </w:rPr>
        <w:t xml:space="preserve">diabetes </w:t>
      </w:r>
      <w:r w:rsidR="00FB6A38" w:rsidRPr="00BC118E">
        <w:rPr>
          <w:sz w:val="24"/>
          <w:szCs w:val="24"/>
        </w:rPr>
        <w:t xml:space="preserve">regimen, interpersonal </w:t>
      </w:r>
      <w:r w:rsidR="00B375EA">
        <w:rPr>
          <w:sz w:val="24"/>
          <w:szCs w:val="24"/>
        </w:rPr>
        <w:t xml:space="preserve">impact </w:t>
      </w:r>
      <w:r w:rsidR="00FB6A38" w:rsidRPr="00BC118E">
        <w:rPr>
          <w:sz w:val="24"/>
          <w:szCs w:val="24"/>
        </w:rPr>
        <w:t xml:space="preserve">and </w:t>
      </w:r>
      <w:r w:rsidR="00B375EA">
        <w:rPr>
          <w:sz w:val="24"/>
          <w:szCs w:val="24"/>
        </w:rPr>
        <w:t xml:space="preserve">medical team support. </w:t>
      </w:r>
    </w:p>
    <w:p w14:paraId="63A1262E" w14:textId="07FE97F8" w:rsidR="00D533F8" w:rsidRPr="00BC118E" w:rsidRDefault="00D533F8" w:rsidP="007C3A8E">
      <w:pPr>
        <w:pStyle w:val="ListParagraph"/>
        <w:numPr>
          <w:ilvl w:val="0"/>
          <w:numId w:val="15"/>
        </w:num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lastRenderedPageBreak/>
        <w:t xml:space="preserve">The COPD Assessment Test (CAT; Jones et al., 2009) assesses manifestations of COPD such as coughing, breathlessness, energy levels and impact on daily activities and quantifies the </w:t>
      </w:r>
      <w:r w:rsidR="008F319A" w:rsidRPr="00BC118E">
        <w:rPr>
          <w:sz w:val="24"/>
          <w:szCs w:val="24"/>
        </w:rPr>
        <w:t xml:space="preserve">self-perceived </w:t>
      </w:r>
      <w:r w:rsidRPr="00BC118E">
        <w:rPr>
          <w:sz w:val="24"/>
          <w:szCs w:val="24"/>
        </w:rPr>
        <w:t xml:space="preserve">impact of COPD on the individual’s health status. </w:t>
      </w:r>
    </w:p>
    <w:p w14:paraId="7DF0B22A" w14:textId="483BE7FB" w:rsidR="00D533F8" w:rsidRPr="00BC118E" w:rsidRDefault="00D533F8" w:rsidP="007C3A8E">
      <w:pPr>
        <w:pStyle w:val="ListParagraph"/>
        <w:numPr>
          <w:ilvl w:val="0"/>
          <w:numId w:val="15"/>
        </w:numPr>
        <w:spacing w:line="480" w:lineRule="auto"/>
        <w:rPr>
          <w:color w:val="000000"/>
          <w:sz w:val="24"/>
          <w:szCs w:val="24"/>
        </w:rPr>
      </w:pPr>
      <w:r w:rsidRPr="00BC118E">
        <w:rPr>
          <w:sz w:val="24"/>
          <w:szCs w:val="24"/>
        </w:rPr>
        <w:t>The Patient Health</w:t>
      </w:r>
      <w:r w:rsidR="00BE0ACE" w:rsidRPr="00BC118E">
        <w:rPr>
          <w:sz w:val="24"/>
          <w:szCs w:val="24"/>
        </w:rPr>
        <w:t xml:space="preserve"> Questionnaire (PHQ-9: Kroenke et al., </w:t>
      </w:r>
      <w:r w:rsidRPr="00BC118E">
        <w:rPr>
          <w:sz w:val="24"/>
          <w:szCs w:val="24"/>
        </w:rPr>
        <w:t xml:space="preserve">2001) and Generalised Anxiety Disorder Assessment (GAD-7: </w:t>
      </w:r>
      <w:r w:rsidRPr="00BC118E">
        <w:rPr>
          <w:color w:val="000000"/>
          <w:sz w:val="24"/>
          <w:szCs w:val="24"/>
        </w:rPr>
        <w:t>Spitzer</w:t>
      </w:r>
      <w:r w:rsidR="002F6394">
        <w:rPr>
          <w:color w:val="000000"/>
          <w:sz w:val="24"/>
          <w:szCs w:val="24"/>
        </w:rPr>
        <w:t xml:space="preserve"> et al., </w:t>
      </w:r>
      <w:r w:rsidRPr="00BC118E">
        <w:rPr>
          <w:color w:val="000000"/>
          <w:sz w:val="24"/>
          <w:szCs w:val="24"/>
        </w:rPr>
        <w:t>2006) were used to measure depression and anxiety levels</w:t>
      </w:r>
      <w:r w:rsidR="004D66D5" w:rsidRPr="00BC118E">
        <w:rPr>
          <w:color w:val="000000"/>
          <w:sz w:val="24"/>
          <w:szCs w:val="24"/>
        </w:rPr>
        <w:t xml:space="preserve"> at each appointment</w:t>
      </w:r>
      <w:r w:rsidRPr="00BC118E">
        <w:rPr>
          <w:color w:val="000000"/>
          <w:sz w:val="24"/>
          <w:szCs w:val="24"/>
        </w:rPr>
        <w:t xml:space="preserve">. </w:t>
      </w:r>
    </w:p>
    <w:p w14:paraId="317CF531" w14:textId="77777777" w:rsidR="00E904E8" w:rsidRDefault="00E904E8" w:rsidP="007C3A8E">
      <w:pPr>
        <w:spacing w:line="480" w:lineRule="auto"/>
        <w:rPr>
          <w:b/>
          <w:sz w:val="24"/>
          <w:szCs w:val="24"/>
        </w:rPr>
      </w:pPr>
    </w:p>
    <w:p w14:paraId="49E4D11E" w14:textId="43ABD0FB" w:rsidR="00D82DEB" w:rsidRPr="00BC118E" w:rsidRDefault="00D82DEB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 xml:space="preserve">Results </w:t>
      </w:r>
    </w:p>
    <w:p w14:paraId="46D6F8A7" w14:textId="58F95CD0" w:rsidR="00AF5A1D" w:rsidRPr="00BC118E" w:rsidRDefault="001512C2" w:rsidP="007C3A8E">
      <w:pPr>
        <w:spacing w:line="480" w:lineRule="auto"/>
        <w:rPr>
          <w:b/>
          <w:i/>
          <w:sz w:val="24"/>
          <w:szCs w:val="24"/>
        </w:rPr>
      </w:pPr>
      <w:r w:rsidRPr="00BC118E">
        <w:rPr>
          <w:b/>
          <w:i/>
          <w:sz w:val="24"/>
          <w:szCs w:val="24"/>
        </w:rPr>
        <w:t>P</w:t>
      </w:r>
      <w:r w:rsidR="00B27E01" w:rsidRPr="00BC118E">
        <w:rPr>
          <w:b/>
          <w:i/>
          <w:sz w:val="24"/>
          <w:szCs w:val="24"/>
        </w:rPr>
        <w:t xml:space="preserve">hysical healthcare use </w:t>
      </w:r>
    </w:p>
    <w:p w14:paraId="5FEF9CEC" w14:textId="4D786855" w:rsidR="00417BF7" w:rsidRPr="00BC118E" w:rsidRDefault="004B4B72" w:rsidP="007C3A8E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 xml:space="preserve">The frequency and </w:t>
      </w:r>
      <w:r w:rsidR="008112EC" w:rsidRPr="00BC118E">
        <w:rPr>
          <w:sz w:val="24"/>
          <w:szCs w:val="24"/>
        </w:rPr>
        <w:t xml:space="preserve">percentage change in </w:t>
      </w:r>
      <w:r w:rsidR="00020973" w:rsidRPr="00BC118E">
        <w:rPr>
          <w:sz w:val="24"/>
          <w:szCs w:val="24"/>
        </w:rPr>
        <w:t>healthcare service use</w:t>
      </w:r>
      <w:r w:rsidR="007F378A" w:rsidRPr="00BC118E">
        <w:rPr>
          <w:sz w:val="24"/>
          <w:szCs w:val="24"/>
        </w:rPr>
        <w:t xml:space="preserve"> </w:t>
      </w:r>
      <w:r w:rsidR="005A4E69" w:rsidRPr="00BC118E">
        <w:rPr>
          <w:sz w:val="24"/>
          <w:szCs w:val="24"/>
        </w:rPr>
        <w:t xml:space="preserve">is shown in Tables 1 and 2, </w:t>
      </w:r>
      <w:r w:rsidR="00417BF7" w:rsidRPr="00BC118E">
        <w:rPr>
          <w:sz w:val="24"/>
          <w:szCs w:val="24"/>
        </w:rPr>
        <w:t xml:space="preserve">for diabetic and COPD clients respectively. </w:t>
      </w:r>
    </w:p>
    <w:p w14:paraId="7C863B9C" w14:textId="6A2A9E94" w:rsidR="00390DEE" w:rsidRPr="00FF50DD" w:rsidRDefault="00DF392A" w:rsidP="007C3A8E">
      <w:pPr>
        <w:spacing w:line="480" w:lineRule="auto"/>
        <w:rPr>
          <w:i/>
          <w:iCs/>
          <w:sz w:val="24"/>
          <w:szCs w:val="24"/>
        </w:rPr>
      </w:pPr>
      <w:r w:rsidRPr="00FF50DD">
        <w:rPr>
          <w:i/>
          <w:iCs/>
          <w:sz w:val="24"/>
          <w:szCs w:val="24"/>
        </w:rPr>
        <w:t>Table 1</w:t>
      </w:r>
      <w:r w:rsidR="00994EB4" w:rsidRPr="00A744D7">
        <w:rPr>
          <w:i/>
          <w:iCs/>
          <w:sz w:val="24"/>
          <w:szCs w:val="24"/>
        </w:rPr>
        <w:t xml:space="preserve">: </w:t>
      </w:r>
      <w:r w:rsidR="00390DEE" w:rsidRPr="00A744D7">
        <w:rPr>
          <w:i/>
          <w:iCs/>
          <w:sz w:val="24"/>
          <w:szCs w:val="24"/>
        </w:rPr>
        <w:t xml:space="preserve">Frequencies and percentage change in service utilisation for </w:t>
      </w:r>
      <w:r w:rsidR="00390DEE" w:rsidRPr="00FF50DD">
        <w:rPr>
          <w:b/>
          <w:bCs/>
          <w:i/>
          <w:iCs/>
          <w:sz w:val="24"/>
          <w:szCs w:val="24"/>
        </w:rPr>
        <w:t>diabetic clients</w:t>
      </w:r>
      <w:r w:rsidR="00390DEE" w:rsidRPr="00A744D7">
        <w:rPr>
          <w:i/>
          <w:iCs/>
          <w:sz w:val="24"/>
          <w:szCs w:val="24"/>
        </w:rPr>
        <w:t xml:space="preserve"> </w:t>
      </w:r>
      <w:r w:rsidR="001263AF" w:rsidRPr="00FF50DD">
        <w:rPr>
          <w:i/>
          <w:iCs/>
          <w:sz w:val="24"/>
          <w:szCs w:val="24"/>
        </w:rPr>
        <w:t>(n</w:t>
      </w:r>
      <w:r w:rsidR="00413F4F" w:rsidRPr="00FF50DD">
        <w:rPr>
          <w:i/>
          <w:iCs/>
          <w:sz w:val="24"/>
          <w:szCs w:val="24"/>
        </w:rPr>
        <w:t>=</w:t>
      </w:r>
      <w:r w:rsidR="001937C1" w:rsidRPr="00FF50DD">
        <w:rPr>
          <w:i/>
          <w:iCs/>
          <w:sz w:val="24"/>
          <w:szCs w:val="24"/>
        </w:rPr>
        <w:t>31)</w:t>
      </w:r>
      <w:r w:rsidR="004B4B72" w:rsidRPr="00FF50DD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1701"/>
      </w:tblGrid>
      <w:tr w:rsidR="00020973" w:rsidRPr="00BC118E" w14:paraId="09C700F9" w14:textId="017D1C56" w:rsidTr="00020973">
        <w:tc>
          <w:tcPr>
            <w:tcW w:w="2518" w:type="dxa"/>
          </w:tcPr>
          <w:p w14:paraId="7E2D9539" w14:textId="3E818456" w:rsidR="00020973" w:rsidRPr="00BC118E" w:rsidRDefault="00020973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2126" w:type="dxa"/>
          </w:tcPr>
          <w:p w14:paraId="35C2B4C0" w14:textId="64EEFD35" w:rsidR="00020973" w:rsidRPr="00BC118E" w:rsidRDefault="00493F4A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 xml:space="preserve">Frequency of service </w:t>
            </w:r>
            <w:r w:rsidR="00F048C8" w:rsidRPr="00BC118E">
              <w:rPr>
                <w:b/>
                <w:sz w:val="24"/>
                <w:szCs w:val="24"/>
              </w:rPr>
              <w:t>use</w:t>
            </w:r>
            <w:r w:rsidR="00020973" w:rsidRPr="00BC118E">
              <w:rPr>
                <w:b/>
                <w:sz w:val="24"/>
                <w:szCs w:val="24"/>
              </w:rPr>
              <w:t xml:space="preserve"> </w:t>
            </w:r>
            <w:r w:rsidR="00F048C8" w:rsidRPr="00BC118E">
              <w:rPr>
                <w:b/>
                <w:sz w:val="24"/>
                <w:szCs w:val="24"/>
              </w:rPr>
              <w:t xml:space="preserve">at </w:t>
            </w:r>
            <w:r w:rsidR="00020973" w:rsidRPr="00BC118E">
              <w:rPr>
                <w:b/>
                <w:sz w:val="24"/>
                <w:szCs w:val="24"/>
              </w:rPr>
              <w:t>pre-intervention</w:t>
            </w:r>
          </w:p>
        </w:tc>
        <w:tc>
          <w:tcPr>
            <w:tcW w:w="1985" w:type="dxa"/>
          </w:tcPr>
          <w:p w14:paraId="099D0C22" w14:textId="22CF61BF" w:rsidR="00020973" w:rsidRPr="00BC118E" w:rsidRDefault="00493F4A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 xml:space="preserve">Frequency of service </w:t>
            </w:r>
            <w:r w:rsidR="00F048C8" w:rsidRPr="00BC118E">
              <w:rPr>
                <w:b/>
                <w:sz w:val="24"/>
                <w:szCs w:val="24"/>
              </w:rPr>
              <w:t>use</w:t>
            </w:r>
            <w:r w:rsidRPr="00BC118E">
              <w:rPr>
                <w:b/>
                <w:sz w:val="24"/>
                <w:szCs w:val="24"/>
              </w:rPr>
              <w:t xml:space="preserve"> </w:t>
            </w:r>
            <w:r w:rsidR="00F048C8" w:rsidRPr="00BC118E">
              <w:rPr>
                <w:b/>
                <w:sz w:val="24"/>
                <w:szCs w:val="24"/>
              </w:rPr>
              <w:t xml:space="preserve">at </w:t>
            </w:r>
            <w:r w:rsidR="00E904E8">
              <w:rPr>
                <w:b/>
                <w:sz w:val="24"/>
                <w:szCs w:val="24"/>
              </w:rPr>
              <w:t xml:space="preserve">3-month </w:t>
            </w:r>
            <w:r w:rsidRPr="00BC118E">
              <w:rPr>
                <w:b/>
                <w:sz w:val="24"/>
                <w:szCs w:val="24"/>
              </w:rPr>
              <w:t>follow-up</w:t>
            </w:r>
          </w:p>
        </w:tc>
        <w:tc>
          <w:tcPr>
            <w:tcW w:w="1701" w:type="dxa"/>
          </w:tcPr>
          <w:p w14:paraId="68E73AC8" w14:textId="1C14D57E" w:rsidR="00020973" w:rsidRPr="00BC118E" w:rsidRDefault="00020973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 xml:space="preserve">Percentage change </w:t>
            </w:r>
          </w:p>
        </w:tc>
      </w:tr>
      <w:tr w:rsidR="00020973" w:rsidRPr="00BC118E" w14:paraId="7F681306" w14:textId="2A7F96F6" w:rsidTr="00020973">
        <w:tc>
          <w:tcPr>
            <w:tcW w:w="2518" w:type="dxa"/>
          </w:tcPr>
          <w:p w14:paraId="327CFCAA" w14:textId="50FABF16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GP</w:t>
            </w:r>
          </w:p>
        </w:tc>
        <w:tc>
          <w:tcPr>
            <w:tcW w:w="2126" w:type="dxa"/>
          </w:tcPr>
          <w:p w14:paraId="7FF5E609" w14:textId="511C34FD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14:paraId="1786F722" w14:textId="4229B2C4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14:paraId="2FC3A39A" w14:textId="54BBCF69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-44%</w:t>
            </w:r>
          </w:p>
        </w:tc>
      </w:tr>
      <w:tr w:rsidR="00020973" w:rsidRPr="00BC118E" w14:paraId="5207FE76" w14:textId="54DD5F15" w:rsidTr="00020973">
        <w:tc>
          <w:tcPr>
            <w:tcW w:w="2518" w:type="dxa"/>
          </w:tcPr>
          <w:p w14:paraId="56AEC357" w14:textId="09BEACD0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Practice Nurse</w:t>
            </w:r>
          </w:p>
        </w:tc>
        <w:tc>
          <w:tcPr>
            <w:tcW w:w="2126" w:type="dxa"/>
          </w:tcPr>
          <w:p w14:paraId="0988CBAF" w14:textId="4410D08D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14:paraId="5FFA9B57" w14:textId="541D9028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2C263D3C" w14:textId="0D302DB2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-46%</w:t>
            </w:r>
          </w:p>
        </w:tc>
      </w:tr>
      <w:tr w:rsidR="00020973" w:rsidRPr="00BC118E" w14:paraId="4D70AB9F" w14:textId="44DFE30E" w:rsidTr="00020973">
        <w:tc>
          <w:tcPr>
            <w:tcW w:w="2518" w:type="dxa"/>
          </w:tcPr>
          <w:p w14:paraId="17B9E2A4" w14:textId="7F726BC6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Physiotherapist</w:t>
            </w:r>
          </w:p>
        </w:tc>
        <w:tc>
          <w:tcPr>
            <w:tcW w:w="2126" w:type="dxa"/>
          </w:tcPr>
          <w:p w14:paraId="51386506" w14:textId="0C55AD01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B8880E6" w14:textId="4DDAC0B3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3EC60312" w14:textId="5C1F7BDA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22%</w:t>
            </w:r>
          </w:p>
        </w:tc>
      </w:tr>
      <w:tr w:rsidR="00020973" w:rsidRPr="00BC118E" w14:paraId="7DC67B59" w14:textId="626640B7" w:rsidTr="00020973">
        <w:tc>
          <w:tcPr>
            <w:tcW w:w="2518" w:type="dxa"/>
          </w:tcPr>
          <w:p w14:paraId="7674C3AE" w14:textId="3F478398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Occupational Therapist</w:t>
            </w:r>
          </w:p>
        </w:tc>
        <w:tc>
          <w:tcPr>
            <w:tcW w:w="2126" w:type="dxa"/>
          </w:tcPr>
          <w:p w14:paraId="7883F101" w14:textId="3EDF3875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8C1AADF" w14:textId="1485A750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8C5226D" w14:textId="6670747D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33%</w:t>
            </w:r>
          </w:p>
        </w:tc>
      </w:tr>
      <w:tr w:rsidR="00020973" w:rsidRPr="00BC118E" w14:paraId="4A1E4F49" w14:textId="77FF0BE6" w:rsidTr="00020973">
        <w:tc>
          <w:tcPr>
            <w:tcW w:w="2518" w:type="dxa"/>
          </w:tcPr>
          <w:p w14:paraId="4276F7AC" w14:textId="639D9A91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Specialist Nurse</w:t>
            </w:r>
          </w:p>
        </w:tc>
        <w:tc>
          <w:tcPr>
            <w:tcW w:w="2126" w:type="dxa"/>
          </w:tcPr>
          <w:p w14:paraId="6908625D" w14:textId="0331C3BE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14:paraId="01B284AC" w14:textId="272F0BD1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14:paraId="389869C4" w14:textId="52E528D1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0%</w:t>
            </w:r>
          </w:p>
        </w:tc>
      </w:tr>
      <w:tr w:rsidR="00020973" w:rsidRPr="00BC118E" w14:paraId="1FF9E60A" w14:textId="2F6C5847" w:rsidTr="00020973">
        <w:tc>
          <w:tcPr>
            <w:tcW w:w="2518" w:type="dxa"/>
          </w:tcPr>
          <w:p w14:paraId="5094852B" w14:textId="1148F9EB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A&amp;E</w:t>
            </w:r>
          </w:p>
        </w:tc>
        <w:tc>
          <w:tcPr>
            <w:tcW w:w="2126" w:type="dxa"/>
          </w:tcPr>
          <w:p w14:paraId="6CC5A6DF" w14:textId="644F635E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759FBA8F" w14:textId="54A3F72C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BC50267" w14:textId="314E2DA6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-78%</w:t>
            </w:r>
          </w:p>
        </w:tc>
      </w:tr>
      <w:tr w:rsidR="00020973" w:rsidRPr="00BC118E" w14:paraId="69039DA0" w14:textId="4D05DEE6" w:rsidTr="00020973">
        <w:tc>
          <w:tcPr>
            <w:tcW w:w="2518" w:type="dxa"/>
          </w:tcPr>
          <w:p w14:paraId="087DFB83" w14:textId="3AA73A73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lastRenderedPageBreak/>
              <w:t>Hospital</w:t>
            </w:r>
          </w:p>
        </w:tc>
        <w:tc>
          <w:tcPr>
            <w:tcW w:w="2126" w:type="dxa"/>
          </w:tcPr>
          <w:p w14:paraId="64268C15" w14:textId="1F3A0AE7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35D8E403" w14:textId="10C11258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CB00D85" w14:textId="59E965F3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-80%</w:t>
            </w:r>
          </w:p>
        </w:tc>
      </w:tr>
      <w:tr w:rsidR="00020973" w:rsidRPr="00BC118E" w14:paraId="167FA9F1" w14:textId="72048D29" w:rsidTr="00020973">
        <w:tc>
          <w:tcPr>
            <w:tcW w:w="2518" w:type="dxa"/>
          </w:tcPr>
          <w:p w14:paraId="116F377D" w14:textId="3C7A1496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 xml:space="preserve">Ambulance </w:t>
            </w:r>
          </w:p>
        </w:tc>
        <w:tc>
          <w:tcPr>
            <w:tcW w:w="2126" w:type="dxa"/>
          </w:tcPr>
          <w:p w14:paraId="72B05FD8" w14:textId="579E95DF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7359CC77" w14:textId="79E87FD9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705D9C1" w14:textId="677DA0FD" w:rsidR="00020973" w:rsidRPr="00BC118E" w:rsidRDefault="00020973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-63%</w:t>
            </w:r>
          </w:p>
        </w:tc>
      </w:tr>
    </w:tbl>
    <w:p w14:paraId="7FD5E4FF" w14:textId="77DEEB2D" w:rsidR="00A94223" w:rsidRPr="00BC118E" w:rsidRDefault="004439E3" w:rsidP="007C3A8E">
      <w:pPr>
        <w:spacing w:line="480" w:lineRule="auto"/>
        <w:rPr>
          <w:sz w:val="24"/>
          <w:szCs w:val="24"/>
        </w:rPr>
      </w:pPr>
      <w:r w:rsidRPr="00994EB4">
        <w:rPr>
          <w:rFonts w:cs="Arial"/>
          <w:i/>
          <w:sz w:val="24"/>
          <w:szCs w:val="24"/>
        </w:rPr>
        <w:t xml:space="preserve">Note. </w:t>
      </w:r>
      <w:r w:rsidRPr="00FF50DD">
        <w:rPr>
          <w:rFonts w:cs="Arial"/>
          <w:i/>
          <w:sz w:val="24"/>
          <w:szCs w:val="24"/>
        </w:rPr>
        <w:t>Negative numbers show a decrease in utilisation, positive numbers show an increase in utilisation</w:t>
      </w:r>
      <w:r w:rsidR="00D942F1" w:rsidRPr="00FF50DD">
        <w:rPr>
          <w:rFonts w:cs="Arial"/>
          <w:i/>
          <w:sz w:val="24"/>
          <w:szCs w:val="24"/>
        </w:rPr>
        <w:t>.</w:t>
      </w:r>
      <w:r w:rsidR="00D82DEB" w:rsidRPr="00BC118E">
        <w:rPr>
          <w:rFonts w:cs="Arial"/>
          <w:sz w:val="24"/>
          <w:szCs w:val="24"/>
        </w:rPr>
        <w:br/>
      </w:r>
      <w:r w:rsidR="005373AB" w:rsidRPr="00BC118E">
        <w:rPr>
          <w:sz w:val="24"/>
          <w:szCs w:val="24"/>
        </w:rPr>
        <w:br/>
      </w:r>
      <w:r w:rsidR="00321498" w:rsidRPr="00BC118E">
        <w:rPr>
          <w:sz w:val="24"/>
          <w:szCs w:val="24"/>
        </w:rPr>
        <w:t xml:space="preserve">Reductions in service use were </w:t>
      </w:r>
      <w:r w:rsidR="008957EF" w:rsidRPr="00BC118E">
        <w:rPr>
          <w:sz w:val="24"/>
          <w:szCs w:val="24"/>
        </w:rPr>
        <w:t>found</w:t>
      </w:r>
      <w:r w:rsidR="00321498" w:rsidRPr="00BC118E">
        <w:rPr>
          <w:sz w:val="24"/>
          <w:szCs w:val="24"/>
        </w:rPr>
        <w:t xml:space="preserve"> </w:t>
      </w:r>
      <w:r w:rsidR="003758EA" w:rsidRPr="00BC118E">
        <w:rPr>
          <w:sz w:val="24"/>
          <w:szCs w:val="24"/>
        </w:rPr>
        <w:t xml:space="preserve">for </w:t>
      </w:r>
      <w:r w:rsidR="00321498" w:rsidRPr="00BC118E">
        <w:rPr>
          <w:sz w:val="24"/>
          <w:szCs w:val="24"/>
        </w:rPr>
        <w:t xml:space="preserve">hospital admissions, </w:t>
      </w:r>
      <w:r w:rsidR="003758EA" w:rsidRPr="00BC118E">
        <w:rPr>
          <w:sz w:val="24"/>
          <w:szCs w:val="24"/>
        </w:rPr>
        <w:t xml:space="preserve">A&amp;E, ambulance, </w:t>
      </w:r>
      <w:r w:rsidR="00273DE5" w:rsidRPr="00BC118E">
        <w:rPr>
          <w:sz w:val="24"/>
          <w:szCs w:val="24"/>
        </w:rPr>
        <w:t>GP and practice nurse</w:t>
      </w:r>
      <w:r w:rsidR="008957EF" w:rsidRPr="00BC118E">
        <w:rPr>
          <w:sz w:val="24"/>
          <w:szCs w:val="24"/>
        </w:rPr>
        <w:t xml:space="preserve"> services</w:t>
      </w:r>
      <w:r w:rsidR="00273DE5" w:rsidRPr="00BC118E">
        <w:rPr>
          <w:sz w:val="24"/>
          <w:szCs w:val="24"/>
        </w:rPr>
        <w:t>.</w:t>
      </w:r>
      <w:r w:rsidR="00A17F66" w:rsidRPr="00BC118E">
        <w:rPr>
          <w:sz w:val="24"/>
          <w:szCs w:val="24"/>
        </w:rPr>
        <w:t xml:space="preserve"> </w:t>
      </w:r>
      <w:r w:rsidR="008267B9" w:rsidRPr="00BC118E">
        <w:rPr>
          <w:sz w:val="24"/>
          <w:szCs w:val="24"/>
        </w:rPr>
        <w:t>Clients reported increased use in physiotherapy and occupational therapy services</w:t>
      </w:r>
      <w:r w:rsidR="003758EA" w:rsidRPr="00BC118E">
        <w:rPr>
          <w:sz w:val="24"/>
          <w:szCs w:val="24"/>
        </w:rPr>
        <w:t>.</w:t>
      </w:r>
    </w:p>
    <w:p w14:paraId="48F87DD5" w14:textId="77777777" w:rsidR="002555E5" w:rsidRDefault="002555E5" w:rsidP="007C3A8E">
      <w:pPr>
        <w:spacing w:line="480" w:lineRule="auto"/>
        <w:rPr>
          <w:i/>
          <w:iCs/>
          <w:sz w:val="24"/>
          <w:szCs w:val="24"/>
        </w:rPr>
      </w:pPr>
    </w:p>
    <w:p w14:paraId="29698D03" w14:textId="00127075" w:rsidR="00656757" w:rsidRPr="00FF50DD" w:rsidRDefault="00941E63" w:rsidP="007C3A8E">
      <w:pPr>
        <w:spacing w:line="480" w:lineRule="auto"/>
        <w:rPr>
          <w:i/>
          <w:iCs/>
          <w:sz w:val="24"/>
          <w:szCs w:val="24"/>
        </w:rPr>
      </w:pPr>
      <w:r w:rsidRPr="00FF50DD">
        <w:rPr>
          <w:i/>
          <w:iCs/>
          <w:sz w:val="24"/>
          <w:szCs w:val="24"/>
        </w:rPr>
        <w:t>Table 2</w:t>
      </w:r>
      <w:r w:rsidR="002555E5" w:rsidRPr="00A744D7">
        <w:rPr>
          <w:i/>
          <w:iCs/>
          <w:sz w:val="24"/>
          <w:szCs w:val="24"/>
        </w:rPr>
        <w:t xml:space="preserve">: </w:t>
      </w:r>
      <w:r w:rsidR="00656757" w:rsidRPr="00FF50DD">
        <w:rPr>
          <w:i/>
          <w:iCs/>
          <w:sz w:val="24"/>
          <w:szCs w:val="24"/>
        </w:rPr>
        <w:t xml:space="preserve">Frequencies and percentage change in service utilisation for </w:t>
      </w:r>
      <w:r w:rsidR="00656757" w:rsidRPr="002C0EA9">
        <w:rPr>
          <w:b/>
          <w:bCs/>
          <w:i/>
          <w:iCs/>
          <w:sz w:val="24"/>
          <w:szCs w:val="24"/>
        </w:rPr>
        <w:t>clients with</w:t>
      </w:r>
      <w:r w:rsidR="00656757" w:rsidRPr="00FF50DD">
        <w:rPr>
          <w:i/>
          <w:iCs/>
          <w:sz w:val="24"/>
          <w:szCs w:val="24"/>
        </w:rPr>
        <w:t xml:space="preserve"> </w:t>
      </w:r>
      <w:r w:rsidR="00656757" w:rsidRPr="00FF50DD">
        <w:rPr>
          <w:b/>
          <w:bCs/>
          <w:i/>
          <w:iCs/>
          <w:sz w:val="24"/>
          <w:szCs w:val="24"/>
        </w:rPr>
        <w:t>COPD</w:t>
      </w:r>
      <w:r w:rsidR="00656757" w:rsidRPr="00A744D7">
        <w:rPr>
          <w:i/>
          <w:iCs/>
          <w:sz w:val="24"/>
          <w:szCs w:val="24"/>
        </w:rPr>
        <w:t xml:space="preserve"> (n=22)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4"/>
        <w:gridCol w:w="1980"/>
        <w:gridCol w:w="2261"/>
        <w:gridCol w:w="2121"/>
      </w:tblGrid>
      <w:tr w:rsidR="00493F4A" w:rsidRPr="00BC118E" w14:paraId="6BE448F5" w14:textId="3A2A1513" w:rsidTr="00E71DC5">
        <w:tc>
          <w:tcPr>
            <w:tcW w:w="2660" w:type="dxa"/>
          </w:tcPr>
          <w:p w14:paraId="04036A99" w14:textId="77777777" w:rsidR="00493F4A" w:rsidRPr="00BC118E" w:rsidRDefault="00493F4A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1984" w:type="dxa"/>
          </w:tcPr>
          <w:p w14:paraId="121D1F64" w14:textId="58DE5851" w:rsidR="00493F4A" w:rsidRPr="00BC118E" w:rsidRDefault="00493F4A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 xml:space="preserve">Frequency of service </w:t>
            </w:r>
            <w:r w:rsidR="00F048C8" w:rsidRPr="00BC118E">
              <w:rPr>
                <w:b/>
                <w:sz w:val="24"/>
                <w:szCs w:val="24"/>
              </w:rPr>
              <w:t>use</w:t>
            </w:r>
            <w:r w:rsidRPr="00BC118E">
              <w:rPr>
                <w:b/>
                <w:sz w:val="24"/>
                <w:szCs w:val="24"/>
              </w:rPr>
              <w:t xml:space="preserve"> </w:t>
            </w:r>
            <w:r w:rsidR="00F048C8" w:rsidRPr="00BC118E">
              <w:rPr>
                <w:b/>
                <w:sz w:val="24"/>
                <w:szCs w:val="24"/>
              </w:rPr>
              <w:t xml:space="preserve">at </w:t>
            </w:r>
            <w:r w:rsidRPr="00BC118E">
              <w:rPr>
                <w:b/>
                <w:sz w:val="24"/>
                <w:szCs w:val="24"/>
              </w:rPr>
              <w:t>pre-intervention</w:t>
            </w:r>
          </w:p>
        </w:tc>
        <w:tc>
          <w:tcPr>
            <w:tcW w:w="2268" w:type="dxa"/>
          </w:tcPr>
          <w:p w14:paraId="0249EE76" w14:textId="4320B576" w:rsidR="00493F4A" w:rsidRPr="00BC118E" w:rsidRDefault="00493F4A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 xml:space="preserve">Frequency of service </w:t>
            </w:r>
            <w:r w:rsidR="00F048C8" w:rsidRPr="00BC118E">
              <w:rPr>
                <w:b/>
                <w:sz w:val="24"/>
                <w:szCs w:val="24"/>
              </w:rPr>
              <w:t>use at</w:t>
            </w:r>
            <w:r w:rsidRPr="00BC118E">
              <w:rPr>
                <w:b/>
                <w:sz w:val="24"/>
                <w:szCs w:val="24"/>
              </w:rPr>
              <w:t xml:space="preserve"> follow-up</w:t>
            </w:r>
          </w:p>
        </w:tc>
        <w:tc>
          <w:tcPr>
            <w:tcW w:w="2127" w:type="dxa"/>
          </w:tcPr>
          <w:p w14:paraId="694DE202" w14:textId="3826AF82" w:rsidR="00493F4A" w:rsidRPr="00BC118E" w:rsidRDefault="00493F4A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 xml:space="preserve">Percentage change </w:t>
            </w:r>
          </w:p>
        </w:tc>
      </w:tr>
      <w:tr w:rsidR="00CC1B19" w:rsidRPr="00BC118E" w14:paraId="35901353" w14:textId="2902F228" w:rsidTr="00E71DC5">
        <w:tc>
          <w:tcPr>
            <w:tcW w:w="2660" w:type="dxa"/>
          </w:tcPr>
          <w:p w14:paraId="2FCFD4DE" w14:textId="7777777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GP</w:t>
            </w:r>
          </w:p>
        </w:tc>
        <w:tc>
          <w:tcPr>
            <w:tcW w:w="1984" w:type="dxa"/>
          </w:tcPr>
          <w:p w14:paraId="532617D9" w14:textId="34773419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776DB971" w14:textId="5C16647E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14:paraId="47702D8B" w14:textId="621A2591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-15%</w:t>
            </w:r>
          </w:p>
        </w:tc>
      </w:tr>
      <w:tr w:rsidR="00CC1B19" w:rsidRPr="00BC118E" w14:paraId="39BA228B" w14:textId="2AB88B4A" w:rsidTr="00E71DC5">
        <w:tc>
          <w:tcPr>
            <w:tcW w:w="2660" w:type="dxa"/>
          </w:tcPr>
          <w:p w14:paraId="73422B38" w14:textId="7777777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Practice Nurse</w:t>
            </w:r>
          </w:p>
        </w:tc>
        <w:tc>
          <w:tcPr>
            <w:tcW w:w="1984" w:type="dxa"/>
          </w:tcPr>
          <w:p w14:paraId="4C80FBE7" w14:textId="202005D1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B4CB0CD" w14:textId="078BEA1D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182760D2" w14:textId="1DA0FD14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-43%</w:t>
            </w:r>
          </w:p>
        </w:tc>
      </w:tr>
      <w:tr w:rsidR="00CC1B19" w:rsidRPr="00BC118E" w14:paraId="2BE43D04" w14:textId="7C80BA96" w:rsidTr="00E71DC5">
        <w:tc>
          <w:tcPr>
            <w:tcW w:w="2660" w:type="dxa"/>
          </w:tcPr>
          <w:p w14:paraId="34CC0890" w14:textId="7777777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Physiotherapist</w:t>
            </w:r>
          </w:p>
        </w:tc>
        <w:tc>
          <w:tcPr>
            <w:tcW w:w="1984" w:type="dxa"/>
          </w:tcPr>
          <w:p w14:paraId="12713C87" w14:textId="4419B7FD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1D2BD412" w14:textId="29B448F1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57385E4" w14:textId="045F0BD6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-82%</w:t>
            </w:r>
          </w:p>
        </w:tc>
      </w:tr>
      <w:tr w:rsidR="00CC1B19" w:rsidRPr="00BC118E" w14:paraId="54265BF4" w14:textId="179C83CF" w:rsidTr="00E71DC5">
        <w:tc>
          <w:tcPr>
            <w:tcW w:w="2660" w:type="dxa"/>
          </w:tcPr>
          <w:p w14:paraId="12E66322" w14:textId="7777777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Specialist Nurse</w:t>
            </w:r>
          </w:p>
        </w:tc>
        <w:tc>
          <w:tcPr>
            <w:tcW w:w="1984" w:type="dxa"/>
          </w:tcPr>
          <w:p w14:paraId="2B75BDBC" w14:textId="3422981B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EFC997B" w14:textId="2E321DF3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B98E8C4" w14:textId="53B3BA75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-75%</w:t>
            </w:r>
          </w:p>
        </w:tc>
      </w:tr>
      <w:tr w:rsidR="00CC1B19" w:rsidRPr="00BC118E" w14:paraId="0A70F934" w14:textId="4C5CA139" w:rsidTr="00E71DC5">
        <w:tc>
          <w:tcPr>
            <w:tcW w:w="2660" w:type="dxa"/>
          </w:tcPr>
          <w:p w14:paraId="7E0605DC" w14:textId="7777777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A&amp;E</w:t>
            </w:r>
          </w:p>
        </w:tc>
        <w:tc>
          <w:tcPr>
            <w:tcW w:w="1984" w:type="dxa"/>
          </w:tcPr>
          <w:p w14:paraId="481BCB5F" w14:textId="5DF45B4F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D55DE7D" w14:textId="025FCE14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2455F98" w14:textId="307189B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-40%</w:t>
            </w:r>
          </w:p>
        </w:tc>
      </w:tr>
      <w:tr w:rsidR="00CC1B19" w:rsidRPr="00BC118E" w14:paraId="2B49DC7C" w14:textId="17F16B88" w:rsidTr="00E71DC5">
        <w:tc>
          <w:tcPr>
            <w:tcW w:w="2660" w:type="dxa"/>
          </w:tcPr>
          <w:p w14:paraId="2B14EF19" w14:textId="7777777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Hospital</w:t>
            </w:r>
          </w:p>
        </w:tc>
        <w:tc>
          <w:tcPr>
            <w:tcW w:w="1984" w:type="dxa"/>
          </w:tcPr>
          <w:p w14:paraId="5D255631" w14:textId="0EBD1105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7C6873E8" w14:textId="0642A7A4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E3390E1" w14:textId="4625E23E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-89%</w:t>
            </w:r>
          </w:p>
        </w:tc>
      </w:tr>
      <w:tr w:rsidR="00CC1B19" w:rsidRPr="00BC118E" w14:paraId="5DD8B561" w14:textId="3D18B260" w:rsidTr="00E71DC5">
        <w:tc>
          <w:tcPr>
            <w:tcW w:w="2660" w:type="dxa"/>
          </w:tcPr>
          <w:p w14:paraId="4B9C453B" w14:textId="7777777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 xml:space="preserve">Ambulance </w:t>
            </w:r>
          </w:p>
        </w:tc>
        <w:tc>
          <w:tcPr>
            <w:tcW w:w="1984" w:type="dxa"/>
          </w:tcPr>
          <w:p w14:paraId="4518CD83" w14:textId="3665500C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390F5B3" w14:textId="67BCA8EF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B2ECF6F" w14:textId="4BA9CB17" w:rsidR="00CC1B19" w:rsidRPr="00BC118E" w:rsidRDefault="00CC1B19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0%</w:t>
            </w:r>
          </w:p>
        </w:tc>
      </w:tr>
    </w:tbl>
    <w:p w14:paraId="5650B753" w14:textId="280EF2B9" w:rsidR="00922D10" w:rsidRPr="00FF50DD" w:rsidRDefault="00A42EC7" w:rsidP="007C3A8E">
      <w:pPr>
        <w:spacing w:line="480" w:lineRule="auto"/>
        <w:jc w:val="both"/>
        <w:rPr>
          <w:rFonts w:cs="Arial"/>
          <w:i/>
          <w:sz w:val="24"/>
          <w:szCs w:val="24"/>
        </w:rPr>
      </w:pPr>
      <w:r w:rsidRPr="002555E5">
        <w:rPr>
          <w:rFonts w:cs="Arial"/>
          <w:i/>
          <w:sz w:val="24"/>
          <w:szCs w:val="24"/>
        </w:rPr>
        <w:t xml:space="preserve">Note. </w:t>
      </w:r>
      <w:r w:rsidRPr="00FF50DD">
        <w:rPr>
          <w:rFonts w:cs="Arial"/>
          <w:i/>
          <w:sz w:val="24"/>
          <w:szCs w:val="24"/>
        </w:rPr>
        <w:t>Negative numbers show a decrease in utilisation, positive numbers show an increase in utilisation.</w:t>
      </w:r>
    </w:p>
    <w:p w14:paraId="53B432A0" w14:textId="55ED1E1F" w:rsidR="00D54A33" w:rsidRPr="00BC118E" w:rsidRDefault="00656757" w:rsidP="007C3A8E">
      <w:pPr>
        <w:spacing w:line="480" w:lineRule="auto"/>
        <w:jc w:val="both"/>
        <w:rPr>
          <w:rFonts w:cs="Arial"/>
          <w:sz w:val="24"/>
          <w:szCs w:val="24"/>
        </w:rPr>
      </w:pPr>
      <w:r w:rsidRPr="00BC118E">
        <w:rPr>
          <w:sz w:val="24"/>
          <w:szCs w:val="24"/>
        </w:rPr>
        <w:lastRenderedPageBreak/>
        <w:t>R</w:t>
      </w:r>
      <w:r w:rsidR="00494C34" w:rsidRPr="00BC118E">
        <w:rPr>
          <w:sz w:val="24"/>
          <w:szCs w:val="24"/>
        </w:rPr>
        <w:t xml:space="preserve">eductions </w:t>
      </w:r>
      <w:r w:rsidRPr="00BC118E">
        <w:rPr>
          <w:sz w:val="24"/>
          <w:szCs w:val="24"/>
        </w:rPr>
        <w:t>in healthcare service utilisation were found across the majority of services</w:t>
      </w:r>
      <w:r w:rsidR="0013726D" w:rsidRPr="00BC118E">
        <w:rPr>
          <w:sz w:val="24"/>
          <w:szCs w:val="24"/>
        </w:rPr>
        <w:t xml:space="preserve"> in COPD clients</w:t>
      </w:r>
      <w:r w:rsidRPr="00BC118E">
        <w:rPr>
          <w:sz w:val="24"/>
          <w:szCs w:val="24"/>
        </w:rPr>
        <w:t>.</w:t>
      </w:r>
    </w:p>
    <w:p w14:paraId="20A99B26" w14:textId="77777777" w:rsidR="002555E5" w:rsidRDefault="002555E5" w:rsidP="007C3A8E">
      <w:pPr>
        <w:spacing w:line="480" w:lineRule="auto"/>
        <w:rPr>
          <w:b/>
          <w:i/>
          <w:sz w:val="24"/>
          <w:szCs w:val="24"/>
        </w:rPr>
      </w:pPr>
    </w:p>
    <w:p w14:paraId="23AA1CF3" w14:textId="00002575" w:rsidR="00AF5A1D" w:rsidRPr="00BC118E" w:rsidRDefault="00E80A9C" w:rsidP="007C3A8E">
      <w:pPr>
        <w:spacing w:line="480" w:lineRule="auto"/>
        <w:rPr>
          <w:b/>
          <w:i/>
          <w:sz w:val="24"/>
          <w:szCs w:val="24"/>
        </w:rPr>
      </w:pPr>
      <w:r w:rsidRPr="00BC118E">
        <w:rPr>
          <w:b/>
          <w:i/>
          <w:sz w:val="24"/>
          <w:szCs w:val="24"/>
        </w:rPr>
        <w:t>Client’</w:t>
      </w:r>
      <w:r w:rsidR="009543B2" w:rsidRPr="00BC118E">
        <w:rPr>
          <w:b/>
          <w:i/>
          <w:sz w:val="24"/>
          <w:szCs w:val="24"/>
        </w:rPr>
        <w:t>s perception of their health</w:t>
      </w:r>
    </w:p>
    <w:p w14:paraId="12ED4713" w14:textId="5E70E011" w:rsidR="002F0DDA" w:rsidRDefault="00AE6B17" w:rsidP="007C3A8E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>The median,</w:t>
      </w:r>
      <w:r w:rsidR="002F0DDA" w:rsidRPr="00BC118E">
        <w:rPr>
          <w:sz w:val="24"/>
          <w:szCs w:val="24"/>
        </w:rPr>
        <w:t xml:space="preserve"> standard deviations and ranges of pre</w:t>
      </w:r>
      <w:r w:rsidR="00C70FC7" w:rsidRPr="00BC118E">
        <w:rPr>
          <w:sz w:val="24"/>
          <w:szCs w:val="24"/>
        </w:rPr>
        <w:t xml:space="preserve">-intervention, </w:t>
      </w:r>
      <w:r w:rsidR="00117828" w:rsidRPr="00BC118E">
        <w:rPr>
          <w:sz w:val="24"/>
          <w:szCs w:val="24"/>
        </w:rPr>
        <w:t>follow-up</w:t>
      </w:r>
      <w:r w:rsidR="00851E62" w:rsidRPr="00BC118E">
        <w:rPr>
          <w:sz w:val="24"/>
          <w:szCs w:val="24"/>
        </w:rPr>
        <w:t xml:space="preserve"> </w:t>
      </w:r>
      <w:r w:rsidR="002F0DDA" w:rsidRPr="00BC118E">
        <w:rPr>
          <w:sz w:val="24"/>
          <w:szCs w:val="24"/>
        </w:rPr>
        <w:t>and change scores</w:t>
      </w:r>
      <w:r w:rsidR="003758EA" w:rsidRPr="00BC118E">
        <w:rPr>
          <w:sz w:val="24"/>
          <w:szCs w:val="24"/>
        </w:rPr>
        <w:t xml:space="preserve"> for both the CAT and DDS</w:t>
      </w:r>
      <w:r w:rsidR="002F0DDA" w:rsidRPr="00BC118E">
        <w:rPr>
          <w:sz w:val="24"/>
          <w:szCs w:val="24"/>
        </w:rPr>
        <w:t xml:space="preserve"> </w:t>
      </w:r>
      <w:r w:rsidR="008112EC" w:rsidRPr="00BC118E">
        <w:rPr>
          <w:sz w:val="24"/>
          <w:szCs w:val="24"/>
        </w:rPr>
        <w:t>are shown in Table 3.</w:t>
      </w:r>
    </w:p>
    <w:p w14:paraId="0AA7C3AF" w14:textId="77777777" w:rsidR="002555E5" w:rsidRPr="00BC118E" w:rsidRDefault="002555E5" w:rsidP="007C3A8E">
      <w:pPr>
        <w:spacing w:line="480" w:lineRule="auto"/>
        <w:rPr>
          <w:b/>
          <w:sz w:val="24"/>
          <w:szCs w:val="24"/>
        </w:rPr>
      </w:pPr>
    </w:p>
    <w:p w14:paraId="141F4383" w14:textId="7D8ECF18" w:rsidR="00CE727C" w:rsidRPr="0022669B" w:rsidRDefault="00851E62" w:rsidP="007C3A8E">
      <w:pPr>
        <w:spacing w:line="480" w:lineRule="auto"/>
        <w:rPr>
          <w:i/>
          <w:iCs/>
          <w:sz w:val="24"/>
          <w:szCs w:val="24"/>
        </w:rPr>
      </w:pPr>
      <w:r w:rsidRPr="00FF50DD">
        <w:rPr>
          <w:i/>
          <w:iCs/>
          <w:sz w:val="24"/>
          <w:szCs w:val="24"/>
        </w:rPr>
        <w:t>Table 3</w:t>
      </w:r>
      <w:r w:rsidR="002555E5" w:rsidRPr="00A744D7">
        <w:rPr>
          <w:i/>
          <w:iCs/>
          <w:sz w:val="24"/>
          <w:szCs w:val="24"/>
        </w:rPr>
        <w:t xml:space="preserve">: </w:t>
      </w:r>
      <w:r w:rsidR="00117828" w:rsidRPr="00A744D7">
        <w:rPr>
          <w:i/>
          <w:iCs/>
          <w:sz w:val="24"/>
          <w:szCs w:val="24"/>
        </w:rPr>
        <w:t>Pre-intervention and Follow-Up Medians, Ranges and Change in Scores</w:t>
      </w:r>
      <w:r w:rsidR="008112EC" w:rsidRPr="00FF50DD">
        <w:rPr>
          <w:i/>
          <w:iCs/>
          <w:sz w:val="24"/>
          <w:szCs w:val="24"/>
        </w:rPr>
        <w:t xml:space="preserve"> </w:t>
      </w:r>
      <w:r w:rsidR="00CE727C" w:rsidRPr="00FF50DD">
        <w:rPr>
          <w:i/>
          <w:iCs/>
          <w:sz w:val="24"/>
          <w:szCs w:val="24"/>
        </w:rPr>
        <w:t>for the DDS and CAT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87"/>
        <w:gridCol w:w="1457"/>
        <w:gridCol w:w="1463"/>
        <w:gridCol w:w="2471"/>
      </w:tblGrid>
      <w:tr w:rsidR="00851E62" w:rsidRPr="00BC118E" w14:paraId="68B5FA6A" w14:textId="77777777" w:rsidTr="00117828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43DD5F56" w14:textId="77777777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E9F3F2F" w14:textId="77777777" w:rsidR="00851E62" w:rsidRPr="00BC118E" w:rsidRDefault="00851E62" w:rsidP="007C3A8E">
            <w:pPr>
              <w:spacing w:line="480" w:lineRule="auto"/>
              <w:ind w:right="33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47B8DA" w14:textId="2D54E43A" w:rsidR="00851E62" w:rsidRPr="00BC118E" w:rsidRDefault="00851E62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Pre-intervention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008B67AE" w14:textId="57920C68" w:rsidR="00851E62" w:rsidRPr="00BC118E" w:rsidRDefault="00117828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Follow-up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7F152193" w14:textId="3FE306BE" w:rsidR="00851E62" w:rsidRPr="00BC118E" w:rsidRDefault="00117828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Change from pre-intervention to</w:t>
            </w:r>
            <w:r w:rsidR="00851E62" w:rsidRPr="00BC118E">
              <w:rPr>
                <w:b/>
                <w:sz w:val="24"/>
                <w:szCs w:val="24"/>
              </w:rPr>
              <w:t xml:space="preserve"> </w:t>
            </w:r>
            <w:r w:rsidRPr="00BC118E">
              <w:rPr>
                <w:b/>
                <w:sz w:val="24"/>
                <w:szCs w:val="24"/>
              </w:rPr>
              <w:t>follow-up</w:t>
            </w:r>
          </w:p>
        </w:tc>
      </w:tr>
      <w:tr w:rsidR="00851E62" w:rsidRPr="00BC118E" w14:paraId="24C2D8E0" w14:textId="77777777" w:rsidTr="00117828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28549D2F" w14:textId="2276E6F5" w:rsidR="00851E62" w:rsidRPr="00BC118E" w:rsidRDefault="003A6F3C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CAT</w:t>
            </w:r>
            <w:r w:rsidR="00FF1529">
              <w:rPr>
                <w:b/>
                <w:sz w:val="24"/>
                <w:szCs w:val="24"/>
              </w:rPr>
              <w:t xml:space="preserve"> (n=10)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511EE466" w14:textId="6B31BB3B" w:rsidR="00851E62" w:rsidRPr="00BC118E" w:rsidRDefault="00AE6B17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 xml:space="preserve">Median </w:t>
            </w:r>
            <w:r w:rsidR="00851E62" w:rsidRPr="00BC118E">
              <w:rPr>
                <w:sz w:val="24"/>
                <w:szCs w:val="24"/>
              </w:rPr>
              <w:t>(SD)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2CEC1B" w14:textId="2D4B9D0A" w:rsidR="00851E62" w:rsidRPr="00BC118E" w:rsidRDefault="00CF5290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29.50</w:t>
            </w:r>
            <w:r w:rsidR="00851E62" w:rsidRPr="00BC118E">
              <w:rPr>
                <w:sz w:val="24"/>
                <w:szCs w:val="24"/>
              </w:rPr>
              <w:t xml:space="preserve"> (7.3)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B6A937D" w14:textId="462DD482" w:rsidR="00851E62" w:rsidRPr="00BC118E" w:rsidRDefault="00AE6B17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27.00</w:t>
            </w:r>
            <w:r w:rsidR="00F82811" w:rsidRPr="00BC118E">
              <w:rPr>
                <w:sz w:val="24"/>
                <w:szCs w:val="24"/>
              </w:rPr>
              <w:t xml:space="preserve"> (10.3</w:t>
            </w:r>
            <w:r w:rsidR="00851E62" w:rsidRPr="00BC118E">
              <w:rPr>
                <w:sz w:val="24"/>
                <w:szCs w:val="24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02A8E76C" w14:textId="5B597076" w:rsidR="00851E62" w:rsidRPr="00BC118E" w:rsidRDefault="00F82811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</w:t>
            </w:r>
            <w:r w:rsidR="00AE6B17" w:rsidRPr="00BC118E">
              <w:rPr>
                <w:sz w:val="24"/>
                <w:szCs w:val="24"/>
              </w:rPr>
              <w:t>2.00</w:t>
            </w:r>
            <w:r w:rsidRPr="00BC118E">
              <w:rPr>
                <w:sz w:val="24"/>
                <w:szCs w:val="24"/>
              </w:rPr>
              <w:t xml:space="preserve"> (7.5</w:t>
            </w:r>
            <w:r w:rsidR="00851E62" w:rsidRPr="00BC118E">
              <w:rPr>
                <w:sz w:val="24"/>
                <w:szCs w:val="24"/>
              </w:rPr>
              <w:t>)</w:t>
            </w:r>
          </w:p>
        </w:tc>
      </w:tr>
      <w:tr w:rsidR="00851E62" w:rsidRPr="00BC118E" w14:paraId="1102F472" w14:textId="77777777" w:rsidTr="00117828"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7133946C" w14:textId="77777777" w:rsidR="00851E62" w:rsidRPr="00BC118E" w:rsidRDefault="00851E62" w:rsidP="007C3A8E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62D1D9D0" w14:textId="7A297197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9DD934" w14:textId="5ECFD984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12-33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6DA27528" w14:textId="40205B0F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7-34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0C75747F" w14:textId="3872E8AA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-2 to +22</w:t>
            </w:r>
          </w:p>
        </w:tc>
      </w:tr>
      <w:tr w:rsidR="00851E62" w:rsidRPr="00BC118E" w14:paraId="07811C52" w14:textId="77777777" w:rsidTr="00117828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6206DD85" w14:textId="751FCE22" w:rsidR="00851E62" w:rsidRPr="00BC118E" w:rsidRDefault="003A6F3C" w:rsidP="007C3A8E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DDS</w:t>
            </w:r>
            <w:r w:rsidR="00851E62" w:rsidRPr="00BC118E">
              <w:rPr>
                <w:b/>
                <w:sz w:val="24"/>
                <w:szCs w:val="24"/>
              </w:rPr>
              <w:t xml:space="preserve"> </w:t>
            </w:r>
            <w:r w:rsidR="00FF1529">
              <w:rPr>
                <w:b/>
                <w:sz w:val="24"/>
                <w:szCs w:val="24"/>
              </w:rPr>
              <w:t>(n=24)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3C6D277C" w14:textId="7D0E524A" w:rsidR="00851E62" w:rsidRPr="00BC118E" w:rsidRDefault="00AE6B17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Median</w:t>
            </w:r>
            <w:r w:rsidR="00851E62" w:rsidRPr="00BC118E">
              <w:rPr>
                <w:sz w:val="24"/>
                <w:szCs w:val="24"/>
              </w:rPr>
              <w:t xml:space="preserve"> (SD)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9096AA" w14:textId="472A857C" w:rsidR="00851E62" w:rsidRPr="00BC118E" w:rsidRDefault="00CF5290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1.91</w:t>
            </w:r>
            <w:r w:rsidR="008B231C" w:rsidRPr="00BC118E">
              <w:rPr>
                <w:sz w:val="24"/>
                <w:szCs w:val="24"/>
              </w:rPr>
              <w:t xml:space="preserve"> (0.89)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FF0D0B3" w14:textId="7A443C10" w:rsidR="00851E62" w:rsidRPr="00BC118E" w:rsidRDefault="00CF5290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1.24</w:t>
            </w:r>
            <w:r w:rsidR="008B231C" w:rsidRPr="00BC118E">
              <w:rPr>
                <w:sz w:val="24"/>
                <w:szCs w:val="24"/>
              </w:rPr>
              <w:t xml:space="preserve"> (0.82)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14832DCF" w14:textId="3AD94E2F" w:rsidR="00851E62" w:rsidRPr="00BC118E" w:rsidRDefault="00CF7BD8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</w:t>
            </w:r>
            <w:r w:rsidR="00CF5290" w:rsidRPr="00BC118E">
              <w:rPr>
                <w:sz w:val="24"/>
                <w:szCs w:val="24"/>
              </w:rPr>
              <w:t>0.41</w:t>
            </w:r>
            <w:r w:rsidR="008B231C" w:rsidRPr="00BC118E">
              <w:rPr>
                <w:sz w:val="24"/>
                <w:szCs w:val="24"/>
              </w:rPr>
              <w:t xml:space="preserve"> (0.77</w:t>
            </w:r>
            <w:r w:rsidR="00851E62" w:rsidRPr="00BC118E">
              <w:rPr>
                <w:sz w:val="24"/>
                <w:szCs w:val="24"/>
              </w:rPr>
              <w:t>)</w:t>
            </w:r>
          </w:p>
        </w:tc>
      </w:tr>
      <w:tr w:rsidR="00851E62" w:rsidRPr="00BC118E" w14:paraId="75692429" w14:textId="77777777" w:rsidTr="00117828"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7870ED4B" w14:textId="77777777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1F4C6151" w14:textId="14A93282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3E18B2" w14:textId="607EDF64" w:rsidR="00851E62" w:rsidRPr="00BC118E" w:rsidRDefault="008B231C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1.06-4.12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79464E4F" w14:textId="66A6E79C" w:rsidR="00851E62" w:rsidRPr="00BC118E" w:rsidRDefault="008B231C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1.0-3.94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19373140" w14:textId="04812139" w:rsidR="00851E62" w:rsidRPr="00BC118E" w:rsidRDefault="00851E62" w:rsidP="007C3A8E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</w:t>
            </w:r>
            <w:r w:rsidR="008B231C" w:rsidRPr="00BC118E">
              <w:rPr>
                <w:sz w:val="24"/>
                <w:szCs w:val="24"/>
              </w:rPr>
              <w:t>1.88 to 1.18</w:t>
            </w:r>
          </w:p>
        </w:tc>
      </w:tr>
    </w:tbl>
    <w:p w14:paraId="55AA2615" w14:textId="77777777" w:rsidR="002555E5" w:rsidRPr="00BC118E" w:rsidRDefault="002555E5" w:rsidP="007C3A8E">
      <w:pPr>
        <w:spacing w:line="480" w:lineRule="auto"/>
        <w:rPr>
          <w:sz w:val="24"/>
          <w:szCs w:val="24"/>
        </w:rPr>
      </w:pPr>
    </w:p>
    <w:p w14:paraId="730874EC" w14:textId="0C16A866" w:rsidR="002555E5" w:rsidRDefault="00FF1529" w:rsidP="007C3A8E">
      <w:pPr>
        <w:spacing w:line="48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COPD and the </w:t>
      </w:r>
      <w:r w:rsidR="006F4949" w:rsidRPr="00BC118E">
        <w:rPr>
          <w:b/>
          <w:i/>
          <w:sz w:val="24"/>
          <w:szCs w:val="24"/>
        </w:rPr>
        <w:t xml:space="preserve">CAT </w:t>
      </w:r>
      <w:r w:rsidR="007A3688" w:rsidRPr="00BC118E">
        <w:rPr>
          <w:b/>
          <w:i/>
          <w:sz w:val="24"/>
          <w:szCs w:val="24"/>
        </w:rPr>
        <w:t xml:space="preserve"> </w:t>
      </w:r>
    </w:p>
    <w:p w14:paraId="3282192F" w14:textId="52C62441" w:rsidR="00A5190E" w:rsidRDefault="00D420AE" w:rsidP="007C3A8E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>The</w:t>
      </w:r>
      <w:r w:rsidR="003C3DBB" w:rsidRPr="00BC118E">
        <w:rPr>
          <w:sz w:val="24"/>
          <w:szCs w:val="24"/>
        </w:rPr>
        <w:t xml:space="preserve"> Reliable Change Indicator</w:t>
      </w:r>
      <w:r w:rsidRPr="00BC118E">
        <w:rPr>
          <w:sz w:val="24"/>
          <w:szCs w:val="24"/>
        </w:rPr>
        <w:t xml:space="preserve"> </w:t>
      </w:r>
      <w:r w:rsidR="00D94550" w:rsidRPr="00BC118E">
        <w:rPr>
          <w:sz w:val="24"/>
          <w:szCs w:val="24"/>
        </w:rPr>
        <w:t>(</w:t>
      </w:r>
      <w:r w:rsidR="00863DF3" w:rsidRPr="00BC118E">
        <w:rPr>
          <w:sz w:val="24"/>
          <w:szCs w:val="24"/>
        </w:rPr>
        <w:t xml:space="preserve">Morley &amp; </w:t>
      </w:r>
      <w:proofErr w:type="spellStart"/>
      <w:r w:rsidR="00863DF3" w:rsidRPr="00BC118E">
        <w:rPr>
          <w:sz w:val="24"/>
          <w:szCs w:val="24"/>
        </w:rPr>
        <w:t>Dowzer</w:t>
      </w:r>
      <w:proofErr w:type="spellEnd"/>
      <w:r w:rsidR="00863DF3" w:rsidRPr="00BC118E">
        <w:rPr>
          <w:sz w:val="24"/>
          <w:szCs w:val="24"/>
        </w:rPr>
        <w:t>, 2014</w:t>
      </w:r>
      <w:r w:rsidR="006A3C39" w:rsidRPr="00BC118E">
        <w:rPr>
          <w:sz w:val="24"/>
          <w:szCs w:val="24"/>
        </w:rPr>
        <w:t>)</w:t>
      </w:r>
      <w:r w:rsidR="00D03943" w:rsidRPr="00BC118E">
        <w:rPr>
          <w:sz w:val="24"/>
          <w:szCs w:val="24"/>
        </w:rPr>
        <w:t xml:space="preserve"> </w:t>
      </w:r>
      <w:r w:rsidRPr="00BC118E">
        <w:rPr>
          <w:sz w:val="24"/>
          <w:szCs w:val="24"/>
        </w:rPr>
        <w:t xml:space="preserve">was used to calculate </w:t>
      </w:r>
      <w:r w:rsidR="00606F72" w:rsidRPr="00BC118E">
        <w:rPr>
          <w:sz w:val="24"/>
          <w:szCs w:val="24"/>
        </w:rPr>
        <w:t>reliable</w:t>
      </w:r>
      <w:r w:rsidR="001C6A5A" w:rsidRPr="00BC118E">
        <w:rPr>
          <w:sz w:val="24"/>
          <w:szCs w:val="24"/>
        </w:rPr>
        <w:t xml:space="preserve"> and significant</w:t>
      </w:r>
      <w:r w:rsidR="00606F72" w:rsidRPr="00BC118E">
        <w:rPr>
          <w:sz w:val="24"/>
          <w:szCs w:val="24"/>
        </w:rPr>
        <w:t xml:space="preserve"> </w:t>
      </w:r>
      <w:r w:rsidR="00B34A7C" w:rsidRPr="00BC118E">
        <w:rPr>
          <w:sz w:val="24"/>
          <w:szCs w:val="24"/>
        </w:rPr>
        <w:t xml:space="preserve">change in pre-intervention and follow-up </w:t>
      </w:r>
      <w:r w:rsidRPr="00BC118E">
        <w:rPr>
          <w:sz w:val="24"/>
          <w:szCs w:val="24"/>
        </w:rPr>
        <w:t>scores</w:t>
      </w:r>
      <w:r w:rsidR="002555E5">
        <w:rPr>
          <w:sz w:val="24"/>
          <w:szCs w:val="24"/>
        </w:rPr>
        <w:t xml:space="preserve"> for the CAT</w:t>
      </w:r>
      <w:r w:rsidR="00863DF3" w:rsidRPr="00BC118E">
        <w:rPr>
          <w:sz w:val="24"/>
          <w:szCs w:val="24"/>
        </w:rPr>
        <w:t xml:space="preserve">. </w:t>
      </w:r>
      <w:r w:rsidR="00CE5260" w:rsidRPr="00BC118E">
        <w:rPr>
          <w:sz w:val="24"/>
          <w:szCs w:val="24"/>
        </w:rPr>
        <w:t>Norms from Fisher and colleagues (2012)</w:t>
      </w:r>
      <w:r w:rsidR="00B27182" w:rsidRPr="00BC118E">
        <w:rPr>
          <w:sz w:val="24"/>
          <w:szCs w:val="24"/>
        </w:rPr>
        <w:t xml:space="preserve"> were used as a clinical reference group. </w:t>
      </w:r>
      <w:r w:rsidR="00D94550" w:rsidRPr="00BC118E">
        <w:rPr>
          <w:sz w:val="24"/>
          <w:szCs w:val="24"/>
        </w:rPr>
        <w:t>T</w:t>
      </w:r>
      <w:r w:rsidR="00E3424F" w:rsidRPr="00BC118E">
        <w:rPr>
          <w:sz w:val="24"/>
          <w:szCs w:val="24"/>
        </w:rPr>
        <w:t xml:space="preserve">hree </w:t>
      </w:r>
      <w:r w:rsidR="00D94550" w:rsidRPr="00BC118E">
        <w:rPr>
          <w:sz w:val="24"/>
          <w:szCs w:val="24"/>
        </w:rPr>
        <w:t xml:space="preserve">out of ten clients </w:t>
      </w:r>
      <w:r w:rsidR="008D1C53" w:rsidRPr="00BC118E">
        <w:rPr>
          <w:sz w:val="24"/>
          <w:szCs w:val="24"/>
        </w:rPr>
        <w:lastRenderedPageBreak/>
        <w:t>showed reliable improvement (30</w:t>
      </w:r>
      <w:r w:rsidR="00C06EDE" w:rsidRPr="00BC118E">
        <w:rPr>
          <w:sz w:val="24"/>
          <w:szCs w:val="24"/>
        </w:rPr>
        <w:t xml:space="preserve">%), </w:t>
      </w:r>
      <w:r w:rsidR="00C354F4" w:rsidRPr="00BC118E">
        <w:rPr>
          <w:sz w:val="24"/>
          <w:szCs w:val="24"/>
        </w:rPr>
        <w:t>seven showed no reliable change (70%) and</w:t>
      </w:r>
      <w:r w:rsidR="00401009" w:rsidRPr="00BC118E">
        <w:rPr>
          <w:sz w:val="24"/>
          <w:szCs w:val="24"/>
        </w:rPr>
        <w:t xml:space="preserve"> </w:t>
      </w:r>
      <w:r w:rsidR="00B27182" w:rsidRPr="00BC118E">
        <w:rPr>
          <w:sz w:val="24"/>
          <w:szCs w:val="24"/>
        </w:rPr>
        <w:t>n</w:t>
      </w:r>
      <w:r w:rsidR="0056473E" w:rsidRPr="00BC118E">
        <w:rPr>
          <w:sz w:val="24"/>
          <w:szCs w:val="24"/>
        </w:rPr>
        <w:t>o clients met criteria for clinically significant change.</w:t>
      </w:r>
    </w:p>
    <w:p w14:paraId="5C5EF225" w14:textId="77777777" w:rsidR="002555E5" w:rsidRPr="00BC118E" w:rsidRDefault="002555E5" w:rsidP="007C3A8E">
      <w:pPr>
        <w:spacing w:line="480" w:lineRule="auto"/>
        <w:rPr>
          <w:sz w:val="24"/>
          <w:szCs w:val="24"/>
        </w:rPr>
      </w:pPr>
    </w:p>
    <w:p w14:paraId="2C1758FF" w14:textId="26108AC9" w:rsidR="00922D10" w:rsidRPr="00BC118E" w:rsidRDefault="00FF1529" w:rsidP="007C3A8E">
      <w:pPr>
        <w:spacing w:line="48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Diabetes and the </w:t>
      </w:r>
      <w:r w:rsidR="006F4949" w:rsidRPr="00BC118E">
        <w:rPr>
          <w:b/>
          <w:i/>
          <w:sz w:val="24"/>
          <w:szCs w:val="24"/>
        </w:rPr>
        <w:t>DDS</w:t>
      </w:r>
      <w:r w:rsidR="006F4949" w:rsidRPr="00BC118E">
        <w:rPr>
          <w:b/>
          <w:sz w:val="24"/>
          <w:szCs w:val="24"/>
        </w:rPr>
        <w:t xml:space="preserve"> </w:t>
      </w:r>
    </w:p>
    <w:p w14:paraId="1F4FE886" w14:textId="52BE6819" w:rsidR="00E43676" w:rsidRPr="00BC118E" w:rsidRDefault="00CF5ED1" w:rsidP="007C3A8E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>Reliable and significant changes</w:t>
      </w:r>
      <w:r w:rsidR="00B55AC1" w:rsidRPr="00BC118E">
        <w:rPr>
          <w:sz w:val="24"/>
          <w:szCs w:val="24"/>
        </w:rPr>
        <w:t xml:space="preserve"> in </w:t>
      </w:r>
      <w:r w:rsidR="007371D2" w:rsidRPr="00BC118E">
        <w:rPr>
          <w:sz w:val="24"/>
          <w:szCs w:val="24"/>
        </w:rPr>
        <w:t xml:space="preserve">DDS </w:t>
      </w:r>
      <w:r w:rsidR="00B55AC1" w:rsidRPr="00BC118E">
        <w:rPr>
          <w:sz w:val="24"/>
          <w:szCs w:val="24"/>
        </w:rPr>
        <w:t xml:space="preserve">scores </w:t>
      </w:r>
      <w:r w:rsidR="007371D2" w:rsidRPr="00BC118E">
        <w:rPr>
          <w:sz w:val="24"/>
          <w:szCs w:val="24"/>
        </w:rPr>
        <w:t>were</w:t>
      </w:r>
      <w:r w:rsidR="00B55AC1" w:rsidRPr="00BC118E">
        <w:rPr>
          <w:sz w:val="24"/>
          <w:szCs w:val="24"/>
        </w:rPr>
        <w:t xml:space="preserve"> calculated. </w:t>
      </w:r>
      <w:r w:rsidR="00CE5260" w:rsidRPr="00BC118E">
        <w:rPr>
          <w:sz w:val="24"/>
          <w:szCs w:val="24"/>
        </w:rPr>
        <w:t xml:space="preserve">Norms from </w:t>
      </w:r>
      <w:r w:rsidR="0056469B" w:rsidRPr="00BC118E">
        <w:rPr>
          <w:sz w:val="24"/>
          <w:szCs w:val="24"/>
        </w:rPr>
        <w:t xml:space="preserve">Jones </w:t>
      </w:r>
      <w:r w:rsidR="00852E3C" w:rsidRPr="00BC118E">
        <w:rPr>
          <w:sz w:val="24"/>
          <w:szCs w:val="24"/>
        </w:rPr>
        <w:t xml:space="preserve">and </w:t>
      </w:r>
      <w:r w:rsidRPr="00BC118E">
        <w:rPr>
          <w:sz w:val="24"/>
          <w:szCs w:val="24"/>
        </w:rPr>
        <w:t>colleagues</w:t>
      </w:r>
      <w:r w:rsidR="00CE5260" w:rsidRPr="00BC118E">
        <w:rPr>
          <w:sz w:val="24"/>
          <w:szCs w:val="24"/>
        </w:rPr>
        <w:t xml:space="preserve"> (2011) </w:t>
      </w:r>
      <w:r w:rsidR="00045BC2" w:rsidRPr="00BC118E">
        <w:rPr>
          <w:sz w:val="24"/>
          <w:szCs w:val="24"/>
        </w:rPr>
        <w:t>were used</w:t>
      </w:r>
      <w:r w:rsidR="007371D2" w:rsidRPr="00BC118E">
        <w:rPr>
          <w:sz w:val="24"/>
          <w:szCs w:val="24"/>
        </w:rPr>
        <w:t xml:space="preserve"> as a clinical reference group. </w:t>
      </w:r>
      <w:r w:rsidR="00575A93" w:rsidRPr="00BC118E">
        <w:rPr>
          <w:sz w:val="24"/>
          <w:szCs w:val="24"/>
        </w:rPr>
        <w:t xml:space="preserve">11 </w:t>
      </w:r>
      <w:r w:rsidR="00641147" w:rsidRPr="00BC118E">
        <w:rPr>
          <w:sz w:val="24"/>
          <w:szCs w:val="24"/>
        </w:rPr>
        <w:t>clients demonstrated reliable improvement (45.83%), 11 showed n</w:t>
      </w:r>
      <w:r w:rsidR="00C17385" w:rsidRPr="00BC118E">
        <w:rPr>
          <w:sz w:val="24"/>
          <w:szCs w:val="24"/>
        </w:rPr>
        <w:t>o reliable change (45.83%) and two</w:t>
      </w:r>
      <w:r w:rsidR="00641147" w:rsidRPr="00BC118E">
        <w:rPr>
          <w:sz w:val="24"/>
          <w:szCs w:val="24"/>
        </w:rPr>
        <w:t xml:space="preserve"> clients showed deterioration in scores (8.33%). No clients met clinically significant change criteria</w:t>
      </w:r>
      <w:r w:rsidR="008A1BAC" w:rsidRPr="00BC118E">
        <w:rPr>
          <w:sz w:val="24"/>
          <w:szCs w:val="24"/>
        </w:rPr>
        <w:t>.</w:t>
      </w:r>
    </w:p>
    <w:p w14:paraId="15628D92" w14:textId="77777777" w:rsidR="002555E5" w:rsidRDefault="002555E5" w:rsidP="007C3A8E">
      <w:pPr>
        <w:spacing w:line="480" w:lineRule="auto"/>
        <w:rPr>
          <w:b/>
          <w:sz w:val="24"/>
          <w:szCs w:val="24"/>
        </w:rPr>
      </w:pPr>
    </w:p>
    <w:p w14:paraId="7A1BCBE2" w14:textId="24D4DE58" w:rsidR="00AF5A1D" w:rsidRDefault="0000559C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>Mood questionnaires</w:t>
      </w:r>
    </w:p>
    <w:p w14:paraId="28BAA1B9" w14:textId="1DC1ED37" w:rsidR="00B13A9F" w:rsidRDefault="00B13A9F" w:rsidP="00B13A9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means</w:t>
      </w:r>
      <w:r w:rsidRPr="00BC118E">
        <w:rPr>
          <w:sz w:val="24"/>
          <w:szCs w:val="24"/>
        </w:rPr>
        <w:t xml:space="preserve">, standard deviations and ranges of pre-intervention, follow-up and change scores for both the </w:t>
      </w:r>
      <w:r>
        <w:rPr>
          <w:sz w:val="24"/>
          <w:szCs w:val="24"/>
        </w:rPr>
        <w:t xml:space="preserve">PHQ-9 </w:t>
      </w:r>
      <w:r w:rsidRPr="00BC118E">
        <w:rPr>
          <w:sz w:val="24"/>
          <w:szCs w:val="24"/>
        </w:rPr>
        <w:t xml:space="preserve">and </w:t>
      </w:r>
      <w:r>
        <w:rPr>
          <w:sz w:val="24"/>
          <w:szCs w:val="24"/>
        </w:rPr>
        <w:t>GAD-7</w:t>
      </w:r>
      <w:r w:rsidRPr="00BC118E">
        <w:rPr>
          <w:sz w:val="24"/>
          <w:szCs w:val="24"/>
        </w:rPr>
        <w:t xml:space="preserve"> </w:t>
      </w:r>
      <w:r>
        <w:rPr>
          <w:sz w:val="24"/>
          <w:szCs w:val="24"/>
        </w:rPr>
        <w:t>are shown in Table 4</w:t>
      </w:r>
      <w:r w:rsidRPr="00BC118E">
        <w:rPr>
          <w:sz w:val="24"/>
          <w:szCs w:val="24"/>
        </w:rPr>
        <w:t>.</w:t>
      </w:r>
    </w:p>
    <w:p w14:paraId="506B2E12" w14:textId="5D211DC5" w:rsidR="002663AD" w:rsidRPr="00B13A9F" w:rsidRDefault="002663AD" w:rsidP="007C3A8E">
      <w:pPr>
        <w:spacing w:line="48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Table 4</w:t>
      </w:r>
      <w:r w:rsidRPr="00A744D7">
        <w:rPr>
          <w:i/>
          <w:iCs/>
          <w:sz w:val="24"/>
          <w:szCs w:val="24"/>
        </w:rPr>
        <w:t>: Pre-intervention and Follow-Up</w:t>
      </w:r>
      <w:r>
        <w:rPr>
          <w:i/>
          <w:iCs/>
          <w:sz w:val="24"/>
          <w:szCs w:val="24"/>
        </w:rPr>
        <w:t xml:space="preserve"> Mean</w:t>
      </w:r>
      <w:r w:rsidRPr="00A744D7">
        <w:rPr>
          <w:i/>
          <w:iCs/>
          <w:sz w:val="24"/>
          <w:szCs w:val="24"/>
        </w:rPr>
        <w:t>s, Ranges and Change in Scores</w:t>
      </w:r>
      <w:r w:rsidRPr="00FF50DD">
        <w:rPr>
          <w:i/>
          <w:iCs/>
          <w:sz w:val="24"/>
          <w:szCs w:val="24"/>
        </w:rPr>
        <w:t xml:space="preserve"> for the </w:t>
      </w:r>
      <w:r w:rsidR="00B13A9F">
        <w:rPr>
          <w:i/>
          <w:iCs/>
          <w:sz w:val="24"/>
          <w:szCs w:val="24"/>
        </w:rPr>
        <w:t xml:space="preserve">PHQ-9 and GAD-7 </w:t>
      </w:r>
      <w:r w:rsidR="00B13A9F" w:rsidRPr="00FF50DD">
        <w:rPr>
          <w:i/>
          <w:sz w:val="24"/>
          <w:szCs w:val="24"/>
        </w:rPr>
        <w:t>(N=53)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87"/>
        <w:gridCol w:w="1457"/>
        <w:gridCol w:w="1463"/>
        <w:gridCol w:w="2471"/>
      </w:tblGrid>
      <w:tr w:rsidR="002663AD" w:rsidRPr="00BC118E" w14:paraId="19108427" w14:textId="77777777" w:rsidTr="002663AD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5C87C8E" w14:textId="77777777" w:rsidR="002663AD" w:rsidRPr="00BC118E" w:rsidRDefault="002663AD" w:rsidP="002663A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775F1871" w14:textId="77777777" w:rsidR="002663AD" w:rsidRPr="00BC118E" w:rsidRDefault="002663AD" w:rsidP="002663AD">
            <w:pPr>
              <w:spacing w:line="480" w:lineRule="auto"/>
              <w:ind w:right="338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1639A47C" w14:textId="77777777" w:rsidR="002663AD" w:rsidRPr="00BC118E" w:rsidRDefault="002663AD" w:rsidP="002663AD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Pre-intervention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C67DF38" w14:textId="77777777" w:rsidR="002663AD" w:rsidRPr="00BC118E" w:rsidRDefault="002663AD" w:rsidP="002663AD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Follow-up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77EB4DB1" w14:textId="77777777" w:rsidR="002663AD" w:rsidRPr="00BC118E" w:rsidRDefault="002663AD" w:rsidP="002663AD">
            <w:pPr>
              <w:spacing w:line="480" w:lineRule="auto"/>
              <w:rPr>
                <w:b/>
                <w:sz w:val="24"/>
                <w:szCs w:val="24"/>
              </w:rPr>
            </w:pPr>
            <w:r w:rsidRPr="00BC118E">
              <w:rPr>
                <w:b/>
                <w:sz w:val="24"/>
                <w:szCs w:val="24"/>
              </w:rPr>
              <w:t>Change from pre-intervention to follow-up</w:t>
            </w:r>
          </w:p>
        </w:tc>
      </w:tr>
      <w:tr w:rsidR="002663AD" w:rsidRPr="00BC118E" w14:paraId="277A1854" w14:textId="77777777" w:rsidTr="002663A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29AA8198" w14:textId="795C2678" w:rsidR="002663AD" w:rsidRPr="00BC118E" w:rsidRDefault="002663AD" w:rsidP="002663AD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PHQ-9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0D3A6B41" w14:textId="77777777" w:rsidR="002663AD" w:rsidRPr="00BC118E" w:rsidRDefault="002663AD" w:rsidP="002663AD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Median (SD)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15315796" w14:textId="17B1A631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(6.22)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20F9C719" w14:textId="634F393C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6.87 (6.14)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2957C700" w14:textId="23B2EA04" w:rsidR="002663AD" w:rsidRPr="00BC118E" w:rsidRDefault="002663AD" w:rsidP="00B13A9F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</w:t>
            </w:r>
            <w:r w:rsidR="00B13A9F">
              <w:rPr>
                <w:sz w:val="24"/>
                <w:szCs w:val="24"/>
              </w:rPr>
              <w:t>8.13 (6.86)</w:t>
            </w:r>
          </w:p>
        </w:tc>
      </w:tr>
      <w:tr w:rsidR="002663AD" w:rsidRPr="00BC118E" w14:paraId="71D8F772" w14:textId="77777777" w:rsidTr="002663AD"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12041361" w14:textId="77777777" w:rsidR="002663AD" w:rsidRPr="00BC118E" w:rsidRDefault="002663AD" w:rsidP="002663AD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16820F1" w14:textId="77777777" w:rsidR="002663AD" w:rsidRPr="00BC118E" w:rsidRDefault="002663AD" w:rsidP="002663AD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Range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52C499F0" w14:textId="088079A8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5B52649A" w14:textId="2DABB65D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0-26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02EA4EAD" w14:textId="2090C3B5" w:rsidR="002663AD" w:rsidRPr="00BC118E" w:rsidRDefault="002663AD" w:rsidP="00B13A9F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</w:t>
            </w:r>
            <w:r w:rsidR="00B13A9F">
              <w:rPr>
                <w:sz w:val="24"/>
                <w:szCs w:val="24"/>
              </w:rPr>
              <w:t>22 to 2</w:t>
            </w:r>
          </w:p>
        </w:tc>
      </w:tr>
      <w:tr w:rsidR="002663AD" w:rsidRPr="00BC118E" w14:paraId="585F0EF3" w14:textId="77777777" w:rsidTr="002663AD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2B99BDE3" w14:textId="36229661" w:rsidR="002663AD" w:rsidRPr="00BC118E" w:rsidRDefault="002663AD" w:rsidP="002663AD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GAD-7</w:t>
            </w:r>
            <w:r w:rsidRPr="00BC118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4168668" w14:textId="77777777" w:rsidR="002663AD" w:rsidRPr="00BC118E" w:rsidRDefault="002663AD" w:rsidP="002663AD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Median (SD)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2F2F0E90" w14:textId="64792C58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11.78 (5.13</w:t>
            </w:r>
            <w:r w:rsidR="002663AD" w:rsidRPr="00BC118E">
              <w:rPr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3B4E686E" w14:textId="47439094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 (5.40)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4A090DB1" w14:textId="52EF2F0A" w:rsidR="002663AD" w:rsidRPr="00BC118E" w:rsidRDefault="002663AD" w:rsidP="00B13A9F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</w:t>
            </w:r>
            <w:r w:rsidR="00B13A9F">
              <w:rPr>
                <w:sz w:val="24"/>
                <w:szCs w:val="24"/>
              </w:rPr>
              <w:t>5.77 (6.83)</w:t>
            </w:r>
          </w:p>
        </w:tc>
      </w:tr>
      <w:tr w:rsidR="002663AD" w:rsidRPr="00BC118E" w14:paraId="6E37A7C1" w14:textId="77777777" w:rsidTr="002663AD"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51CD5D56" w14:textId="77777777" w:rsidR="002663AD" w:rsidRPr="00BC118E" w:rsidRDefault="002663AD" w:rsidP="002663A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4E829D02" w14:textId="77777777" w:rsidR="002663AD" w:rsidRPr="00BC118E" w:rsidRDefault="002663AD" w:rsidP="002663AD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Range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14:paraId="03CE3DBB" w14:textId="019BB994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3-21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14:paraId="1A22E6E8" w14:textId="6E6650F0" w:rsidR="002663AD" w:rsidRPr="00BC118E" w:rsidRDefault="00B13A9F" w:rsidP="002663A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17-67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14:paraId="4801200F" w14:textId="6A89FED4" w:rsidR="002663AD" w:rsidRPr="00BC118E" w:rsidRDefault="002663AD" w:rsidP="00B13A9F">
            <w:pPr>
              <w:spacing w:line="480" w:lineRule="auto"/>
              <w:rPr>
                <w:sz w:val="24"/>
                <w:szCs w:val="24"/>
              </w:rPr>
            </w:pPr>
            <w:r w:rsidRPr="00BC118E">
              <w:rPr>
                <w:sz w:val="24"/>
                <w:szCs w:val="24"/>
              </w:rPr>
              <w:t>-</w:t>
            </w:r>
            <w:r w:rsidR="00B13A9F">
              <w:rPr>
                <w:sz w:val="24"/>
                <w:szCs w:val="24"/>
              </w:rPr>
              <w:t>21 to 8</w:t>
            </w:r>
          </w:p>
        </w:tc>
      </w:tr>
    </w:tbl>
    <w:p w14:paraId="142E86E2" w14:textId="77777777" w:rsidR="002663AD" w:rsidRDefault="002663AD" w:rsidP="007C3A8E">
      <w:pPr>
        <w:spacing w:line="480" w:lineRule="auto"/>
        <w:rPr>
          <w:sz w:val="24"/>
          <w:szCs w:val="24"/>
        </w:rPr>
      </w:pPr>
    </w:p>
    <w:p w14:paraId="58E547E2" w14:textId="7FEEA0AB" w:rsidR="00B50AC8" w:rsidRPr="00614D62" w:rsidRDefault="002663AD" w:rsidP="007C3A8E">
      <w:pPr>
        <w:spacing w:line="480" w:lineRule="auto"/>
        <w:rPr>
          <w:i/>
          <w:sz w:val="24"/>
          <w:szCs w:val="24"/>
        </w:rPr>
      </w:pPr>
      <w:r>
        <w:rPr>
          <w:rStyle w:val="CommentReference"/>
        </w:rPr>
        <w:t xml:space="preserve"> </w:t>
      </w:r>
      <w:bookmarkStart w:id="0" w:name="_GoBack"/>
      <w:bookmarkEnd w:id="0"/>
    </w:p>
    <w:p w14:paraId="77194939" w14:textId="77777777" w:rsidR="00AF5A1D" w:rsidRPr="00BC118E" w:rsidRDefault="003A1DB0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>Discussion</w:t>
      </w:r>
    </w:p>
    <w:p w14:paraId="5680285B" w14:textId="34115312" w:rsidR="002555E5" w:rsidRPr="00BC118E" w:rsidRDefault="003A1DB0" w:rsidP="007C3A8E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>The results indicate a general pattern of reported reduc</w:t>
      </w:r>
      <w:r w:rsidR="00C97FE6" w:rsidRPr="00BC118E">
        <w:rPr>
          <w:sz w:val="24"/>
          <w:szCs w:val="24"/>
        </w:rPr>
        <w:t>tions in visitation to healthcare services following</w:t>
      </w:r>
      <w:r w:rsidR="003758EA" w:rsidRPr="00BC118E">
        <w:rPr>
          <w:sz w:val="24"/>
          <w:szCs w:val="24"/>
        </w:rPr>
        <w:t xml:space="preserve"> Talking Health </w:t>
      </w:r>
      <w:r w:rsidRPr="00BC118E">
        <w:rPr>
          <w:sz w:val="24"/>
          <w:szCs w:val="24"/>
        </w:rPr>
        <w:t>intervention</w:t>
      </w:r>
      <w:r w:rsidR="002555E5">
        <w:rPr>
          <w:sz w:val="24"/>
          <w:szCs w:val="24"/>
        </w:rPr>
        <w:t>s</w:t>
      </w:r>
      <w:r w:rsidR="00E71DC5" w:rsidRPr="00BC118E">
        <w:rPr>
          <w:sz w:val="24"/>
          <w:szCs w:val="24"/>
        </w:rPr>
        <w:t xml:space="preserve">. </w:t>
      </w:r>
      <w:r w:rsidR="002D2937" w:rsidRPr="00BC118E">
        <w:rPr>
          <w:sz w:val="24"/>
          <w:szCs w:val="24"/>
        </w:rPr>
        <w:t xml:space="preserve">The </w:t>
      </w:r>
      <w:r w:rsidR="00621F5C" w:rsidRPr="00BC118E">
        <w:rPr>
          <w:sz w:val="24"/>
          <w:szCs w:val="24"/>
        </w:rPr>
        <w:t>greatest</w:t>
      </w:r>
      <w:r w:rsidR="002D2937" w:rsidRPr="00BC118E">
        <w:rPr>
          <w:sz w:val="24"/>
          <w:szCs w:val="24"/>
        </w:rPr>
        <w:t xml:space="preserve"> </w:t>
      </w:r>
      <w:r w:rsidRPr="00BC118E">
        <w:rPr>
          <w:sz w:val="24"/>
          <w:szCs w:val="24"/>
        </w:rPr>
        <w:t>reductions</w:t>
      </w:r>
      <w:r w:rsidR="00725065" w:rsidRPr="00BC118E">
        <w:rPr>
          <w:sz w:val="24"/>
          <w:szCs w:val="24"/>
        </w:rPr>
        <w:t xml:space="preserve"> </w:t>
      </w:r>
      <w:r w:rsidRPr="00BC118E">
        <w:rPr>
          <w:sz w:val="24"/>
          <w:szCs w:val="24"/>
        </w:rPr>
        <w:t xml:space="preserve">were seen </w:t>
      </w:r>
      <w:r w:rsidR="00D857D1" w:rsidRPr="00BC118E">
        <w:rPr>
          <w:sz w:val="24"/>
          <w:szCs w:val="24"/>
        </w:rPr>
        <w:t xml:space="preserve">in </w:t>
      </w:r>
      <w:r w:rsidRPr="00BC118E">
        <w:rPr>
          <w:sz w:val="24"/>
          <w:szCs w:val="24"/>
        </w:rPr>
        <w:t>high-cost servi</w:t>
      </w:r>
      <w:r w:rsidR="00C97FE6" w:rsidRPr="00BC118E">
        <w:rPr>
          <w:sz w:val="24"/>
          <w:szCs w:val="24"/>
        </w:rPr>
        <w:t>ces such as hospital admissions and A&amp;E visits</w:t>
      </w:r>
      <w:r w:rsidR="00364C24" w:rsidRPr="00BC118E">
        <w:rPr>
          <w:sz w:val="24"/>
          <w:szCs w:val="24"/>
        </w:rPr>
        <w:t xml:space="preserve">, which may reflect </w:t>
      </w:r>
      <w:r w:rsidRPr="00BC118E">
        <w:rPr>
          <w:sz w:val="24"/>
          <w:szCs w:val="24"/>
        </w:rPr>
        <w:t>greater awareness</w:t>
      </w:r>
      <w:r w:rsidR="0009760D" w:rsidRPr="00BC118E">
        <w:rPr>
          <w:sz w:val="24"/>
          <w:szCs w:val="24"/>
        </w:rPr>
        <w:t xml:space="preserve"> of</w:t>
      </w:r>
      <w:r w:rsidR="005A2C41" w:rsidRPr="00BC118E">
        <w:rPr>
          <w:sz w:val="24"/>
          <w:szCs w:val="24"/>
        </w:rPr>
        <w:t xml:space="preserve"> </w:t>
      </w:r>
      <w:r w:rsidR="0009760D" w:rsidRPr="00BC118E">
        <w:rPr>
          <w:sz w:val="24"/>
          <w:szCs w:val="24"/>
        </w:rPr>
        <w:t xml:space="preserve">the LTC </w:t>
      </w:r>
      <w:r w:rsidR="005A2C41" w:rsidRPr="00BC118E">
        <w:rPr>
          <w:sz w:val="24"/>
          <w:szCs w:val="24"/>
        </w:rPr>
        <w:t xml:space="preserve">and </w:t>
      </w:r>
      <w:r w:rsidR="0009760D" w:rsidRPr="00BC118E">
        <w:rPr>
          <w:sz w:val="24"/>
          <w:szCs w:val="24"/>
        </w:rPr>
        <w:t xml:space="preserve">improved </w:t>
      </w:r>
      <w:r w:rsidR="005A2C41" w:rsidRPr="00BC118E">
        <w:rPr>
          <w:sz w:val="24"/>
          <w:szCs w:val="24"/>
        </w:rPr>
        <w:t>self-management</w:t>
      </w:r>
      <w:r w:rsidR="002D2937" w:rsidRPr="00BC118E">
        <w:rPr>
          <w:sz w:val="24"/>
          <w:szCs w:val="24"/>
        </w:rPr>
        <w:t xml:space="preserve"> </w:t>
      </w:r>
      <w:r w:rsidR="005A2C41" w:rsidRPr="00BC118E">
        <w:rPr>
          <w:sz w:val="24"/>
          <w:szCs w:val="24"/>
        </w:rPr>
        <w:t>skills</w:t>
      </w:r>
      <w:r w:rsidR="00364C24" w:rsidRPr="00BC118E">
        <w:rPr>
          <w:sz w:val="24"/>
          <w:szCs w:val="24"/>
        </w:rPr>
        <w:t xml:space="preserve">. </w:t>
      </w:r>
      <w:r w:rsidRPr="00BC118E">
        <w:rPr>
          <w:sz w:val="24"/>
          <w:szCs w:val="24"/>
        </w:rPr>
        <w:t xml:space="preserve">This is consistent with existing literature in both COPD and diabetes </w:t>
      </w:r>
      <w:r w:rsidR="00415257" w:rsidRPr="00BC118E">
        <w:rPr>
          <w:sz w:val="24"/>
          <w:szCs w:val="24"/>
        </w:rPr>
        <w:t>(Howard &amp; Dupont, 2014</w:t>
      </w:r>
      <w:r w:rsidRPr="00BC118E">
        <w:rPr>
          <w:sz w:val="24"/>
          <w:szCs w:val="24"/>
        </w:rPr>
        <w:t xml:space="preserve">; </w:t>
      </w:r>
      <w:proofErr w:type="spellStart"/>
      <w:r w:rsidRPr="00BC118E">
        <w:rPr>
          <w:sz w:val="24"/>
          <w:szCs w:val="24"/>
        </w:rPr>
        <w:t>Uchenda</w:t>
      </w:r>
      <w:proofErr w:type="spellEnd"/>
      <w:r w:rsidRPr="00BC118E">
        <w:rPr>
          <w:sz w:val="24"/>
          <w:szCs w:val="24"/>
        </w:rPr>
        <w:t xml:space="preserve"> &amp; Blake, 2016).</w:t>
      </w:r>
    </w:p>
    <w:p w14:paraId="6C556039" w14:textId="562E3023" w:rsidR="00810FF8" w:rsidRDefault="00FE21F5" w:rsidP="002555E5">
      <w:pPr>
        <w:spacing w:line="480" w:lineRule="auto"/>
        <w:ind w:firstLine="720"/>
        <w:rPr>
          <w:sz w:val="24"/>
          <w:szCs w:val="24"/>
        </w:rPr>
      </w:pPr>
      <w:r w:rsidRPr="00BC118E">
        <w:rPr>
          <w:sz w:val="24"/>
          <w:szCs w:val="24"/>
        </w:rPr>
        <w:t>Interestingly, c</w:t>
      </w:r>
      <w:r w:rsidR="003A1DB0" w:rsidRPr="00BC118E">
        <w:rPr>
          <w:sz w:val="24"/>
          <w:szCs w:val="24"/>
        </w:rPr>
        <w:t>lients with diabetes reported an increase in visitation to physiotherapy an</w:t>
      </w:r>
      <w:r w:rsidR="00C97FE6" w:rsidRPr="00BC118E">
        <w:rPr>
          <w:sz w:val="24"/>
          <w:szCs w:val="24"/>
        </w:rPr>
        <w:t xml:space="preserve">d occupational therapy services, </w:t>
      </w:r>
      <w:r w:rsidR="006F70D5" w:rsidRPr="00BC118E">
        <w:rPr>
          <w:sz w:val="24"/>
          <w:szCs w:val="24"/>
        </w:rPr>
        <w:t>and no changes were seen in specialist nurse visits</w:t>
      </w:r>
      <w:r w:rsidR="003A1DB0" w:rsidRPr="00BC118E">
        <w:rPr>
          <w:sz w:val="24"/>
          <w:szCs w:val="24"/>
        </w:rPr>
        <w:t xml:space="preserve">. </w:t>
      </w:r>
      <w:r w:rsidR="006F70D5" w:rsidRPr="00BC118E">
        <w:rPr>
          <w:sz w:val="24"/>
          <w:szCs w:val="24"/>
        </w:rPr>
        <w:t xml:space="preserve">These </w:t>
      </w:r>
      <w:r w:rsidR="003A1DB0" w:rsidRPr="00BC118E">
        <w:rPr>
          <w:sz w:val="24"/>
          <w:szCs w:val="24"/>
        </w:rPr>
        <w:t xml:space="preserve">services have been shown to support individuals to maintain good </w:t>
      </w:r>
      <w:r w:rsidR="006130CB" w:rsidRPr="00BC118E">
        <w:rPr>
          <w:sz w:val="24"/>
          <w:szCs w:val="24"/>
        </w:rPr>
        <w:t>glycaemic</w:t>
      </w:r>
      <w:r w:rsidR="003A1DB0" w:rsidRPr="00BC118E">
        <w:rPr>
          <w:sz w:val="24"/>
          <w:szCs w:val="24"/>
        </w:rPr>
        <w:t xml:space="preserve"> control through self-management behaviours </w:t>
      </w:r>
      <w:r w:rsidR="00252EE2" w:rsidRPr="00BC118E">
        <w:rPr>
          <w:sz w:val="24"/>
          <w:szCs w:val="24"/>
        </w:rPr>
        <w:t xml:space="preserve">such as exercise programmes </w:t>
      </w:r>
      <w:r w:rsidR="006F70D5" w:rsidRPr="00BC118E">
        <w:rPr>
          <w:sz w:val="24"/>
          <w:szCs w:val="24"/>
        </w:rPr>
        <w:t>and adherence to monitoring blood glucose levels</w:t>
      </w:r>
      <w:r w:rsidR="00EB1061" w:rsidRPr="00BC118E">
        <w:rPr>
          <w:sz w:val="24"/>
          <w:szCs w:val="24"/>
        </w:rPr>
        <w:t xml:space="preserve"> (Smith et al.</w:t>
      </w:r>
      <w:r w:rsidR="003A1DB0" w:rsidRPr="00BC118E">
        <w:rPr>
          <w:sz w:val="24"/>
          <w:szCs w:val="24"/>
        </w:rPr>
        <w:t>, 2003). This finding may be reflective of clients becoming less avoidant of thei</w:t>
      </w:r>
      <w:r w:rsidR="005A2C41" w:rsidRPr="00BC118E">
        <w:rPr>
          <w:sz w:val="24"/>
          <w:szCs w:val="24"/>
        </w:rPr>
        <w:t xml:space="preserve">r diabetes and engaging more with </w:t>
      </w:r>
      <w:r w:rsidR="006F70D5" w:rsidRPr="00BC118E">
        <w:rPr>
          <w:sz w:val="24"/>
          <w:szCs w:val="24"/>
        </w:rPr>
        <w:t>specialist support for self-management demands.</w:t>
      </w:r>
    </w:p>
    <w:p w14:paraId="03BC88F5" w14:textId="3380C60B" w:rsidR="00810FF8" w:rsidRPr="00BC118E" w:rsidRDefault="00810FF8" w:rsidP="007C3A8E">
      <w:pPr>
        <w:shd w:val="clear" w:color="auto" w:fill="FFFFFF"/>
        <w:spacing w:line="480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sz w:val="24"/>
          <w:szCs w:val="24"/>
        </w:rPr>
        <w:tab/>
      </w:r>
      <w:r w:rsidR="0095062A" w:rsidRPr="00BC118E">
        <w:rPr>
          <w:rFonts w:eastAsia="Times New Roman" w:cs="Times New Roman"/>
          <w:sz w:val="24"/>
          <w:szCs w:val="24"/>
          <w:lang w:eastAsia="en-GB"/>
        </w:rPr>
        <w:t xml:space="preserve">Exactly half of COPD </w:t>
      </w:r>
      <w:r w:rsidR="002619DD" w:rsidRPr="00BC118E">
        <w:rPr>
          <w:rFonts w:eastAsia="Times New Roman" w:cs="Times New Roman"/>
          <w:sz w:val="24"/>
          <w:szCs w:val="24"/>
          <w:lang w:eastAsia="en-GB"/>
        </w:rPr>
        <w:t>clients sho</w:t>
      </w:r>
      <w:r w:rsidR="002D643D" w:rsidRPr="00BC118E">
        <w:rPr>
          <w:rFonts w:eastAsia="Times New Roman" w:cs="Times New Roman"/>
          <w:sz w:val="24"/>
          <w:szCs w:val="24"/>
          <w:lang w:eastAsia="en-GB"/>
        </w:rPr>
        <w:t>wed a total score reduction of two</w:t>
      </w:r>
      <w:r w:rsidR="00DF117D" w:rsidRPr="00BC118E">
        <w:rPr>
          <w:rFonts w:eastAsia="Times New Roman" w:cs="Times New Roman"/>
          <w:sz w:val="24"/>
          <w:szCs w:val="24"/>
          <w:lang w:eastAsia="en-GB"/>
        </w:rPr>
        <w:t xml:space="preserve"> or more units</w:t>
      </w:r>
      <w:r w:rsidR="00C43ADC">
        <w:rPr>
          <w:rFonts w:eastAsia="Times New Roman" w:cs="Times New Roman"/>
          <w:sz w:val="24"/>
          <w:szCs w:val="24"/>
          <w:lang w:eastAsia="en-GB"/>
        </w:rPr>
        <w:t xml:space="preserve"> on the CAT</w:t>
      </w:r>
      <w:r w:rsidR="002619DD" w:rsidRPr="00BC118E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29374A">
        <w:rPr>
          <w:rFonts w:eastAsia="Times New Roman" w:cs="Times New Roman"/>
          <w:sz w:val="24"/>
          <w:szCs w:val="24"/>
          <w:lang w:eastAsia="en-GB"/>
        </w:rPr>
        <w:t>thus meeting criteria for Minimum Clinically Important Difference (MCID; Kon et al., 2014). MCID refers to the smallest difference in scores that patients perceive as beneficial, regardless of clinical significance (</w:t>
      </w:r>
      <w:proofErr w:type="spellStart"/>
      <w:r w:rsidR="0029374A">
        <w:rPr>
          <w:rFonts w:eastAsia="Times New Roman" w:cs="Times New Roman"/>
          <w:sz w:val="24"/>
          <w:szCs w:val="24"/>
          <w:lang w:eastAsia="en-GB"/>
        </w:rPr>
        <w:t>Jaeschke</w:t>
      </w:r>
      <w:proofErr w:type="spellEnd"/>
      <w:r w:rsidR="0029374A">
        <w:rPr>
          <w:rFonts w:eastAsia="Times New Roman" w:cs="Times New Roman"/>
          <w:sz w:val="24"/>
          <w:szCs w:val="24"/>
          <w:lang w:eastAsia="en-GB"/>
        </w:rPr>
        <w:t xml:space="preserve"> et al., 1989). </w:t>
      </w:r>
      <w:r w:rsidR="0072270C" w:rsidRPr="00BC118E">
        <w:rPr>
          <w:rFonts w:eastAsia="Times New Roman" w:cs="Times New Roman"/>
          <w:sz w:val="24"/>
          <w:szCs w:val="24"/>
          <w:lang w:eastAsia="en-GB"/>
        </w:rPr>
        <w:t xml:space="preserve">Similarly, over half of diabetes clients showed an overall reduction in distress scores. No clients across either groups met criteria for clinically significant change which is likely due to a large number of </w:t>
      </w:r>
      <w:r w:rsidR="0072270C" w:rsidRPr="00BC118E">
        <w:rPr>
          <w:rFonts w:eastAsia="Times New Roman" w:cs="Times New Roman"/>
          <w:sz w:val="24"/>
          <w:szCs w:val="24"/>
          <w:lang w:eastAsia="en-GB"/>
        </w:rPr>
        <w:lastRenderedPageBreak/>
        <w:t xml:space="preserve">clients scoring in the ‘very high impact’ range for COPD and ‘little to no diabetes’ distress range at pre-intervention, therefore requiring greater changes in scores to achieve clinically significant change. </w:t>
      </w:r>
      <w:r w:rsidR="006D4D4A" w:rsidRPr="00BC118E">
        <w:rPr>
          <w:rFonts w:eastAsia="Times New Roman" w:cs="Times New Roman"/>
          <w:sz w:val="24"/>
          <w:szCs w:val="24"/>
          <w:lang w:eastAsia="en-GB"/>
        </w:rPr>
        <w:t>However, just under a third of clients with COPD and half of clients with diabetes demonstrated reliable improvement, suggesting that Talking Health psychological intervention is associated with improvements in client’s perceptions of their health.</w:t>
      </w:r>
    </w:p>
    <w:p w14:paraId="35D90E4A" w14:textId="77777777" w:rsidR="00810FF8" w:rsidRDefault="00810FF8" w:rsidP="007C3A8E">
      <w:pPr>
        <w:spacing w:line="480" w:lineRule="auto"/>
        <w:rPr>
          <w:b/>
          <w:sz w:val="24"/>
          <w:szCs w:val="24"/>
        </w:rPr>
      </w:pPr>
    </w:p>
    <w:p w14:paraId="25193EF7" w14:textId="6A180086" w:rsidR="003A1DB0" w:rsidRPr="00BC118E" w:rsidRDefault="003A1DB0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 xml:space="preserve">Limitations </w:t>
      </w:r>
    </w:p>
    <w:p w14:paraId="2FECB5D6" w14:textId="3F9EDE88" w:rsidR="00B617D8" w:rsidRPr="00BC118E" w:rsidRDefault="00F344A5" w:rsidP="007C3A8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findings from the study are limited as a result of missing questionnaires from clients. T</w:t>
      </w:r>
      <w:r w:rsidR="00002F43">
        <w:rPr>
          <w:sz w:val="24"/>
          <w:szCs w:val="24"/>
        </w:rPr>
        <w:t xml:space="preserve">he use of questionnaires may have introduced self-report biases and response fatigue, which may </w:t>
      </w:r>
      <w:r>
        <w:rPr>
          <w:sz w:val="24"/>
          <w:szCs w:val="24"/>
        </w:rPr>
        <w:t xml:space="preserve">further </w:t>
      </w:r>
      <w:r w:rsidR="00002F43">
        <w:rPr>
          <w:sz w:val="24"/>
          <w:szCs w:val="24"/>
        </w:rPr>
        <w:t xml:space="preserve">impact the validity of the results. </w:t>
      </w:r>
      <w:r>
        <w:rPr>
          <w:sz w:val="24"/>
          <w:szCs w:val="24"/>
        </w:rPr>
        <w:t>Additionally, t</w:t>
      </w:r>
      <w:r w:rsidR="00513A7B" w:rsidRPr="00BC118E">
        <w:rPr>
          <w:sz w:val="24"/>
          <w:szCs w:val="24"/>
        </w:rPr>
        <w:t>he self-report nature of the CSRI creates difficulty in asserting accurate</w:t>
      </w:r>
      <w:r w:rsidR="00894A1D" w:rsidRPr="00BC118E">
        <w:rPr>
          <w:sz w:val="24"/>
          <w:szCs w:val="24"/>
        </w:rPr>
        <w:t xml:space="preserve"> frequency of service use. As such, the service is in the process of comparing actual healthcare service use data with the CSRI to establish </w:t>
      </w:r>
      <w:r w:rsidR="00810FF8">
        <w:rPr>
          <w:sz w:val="24"/>
          <w:szCs w:val="24"/>
        </w:rPr>
        <w:t xml:space="preserve">better </w:t>
      </w:r>
      <w:r w:rsidR="00894A1D" w:rsidRPr="00BC118E">
        <w:rPr>
          <w:sz w:val="24"/>
          <w:szCs w:val="24"/>
        </w:rPr>
        <w:t>accuracy.</w:t>
      </w:r>
    </w:p>
    <w:p w14:paraId="781A65F0" w14:textId="77777777" w:rsidR="00810FF8" w:rsidRDefault="00810FF8" w:rsidP="007C3A8E">
      <w:pPr>
        <w:spacing w:line="480" w:lineRule="auto"/>
        <w:rPr>
          <w:b/>
          <w:sz w:val="24"/>
          <w:szCs w:val="24"/>
        </w:rPr>
      </w:pPr>
    </w:p>
    <w:p w14:paraId="6BE56C1E" w14:textId="6305FF27" w:rsidR="00DE5F10" w:rsidRPr="00BC118E" w:rsidRDefault="003A1DB0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>Conclusion</w:t>
      </w:r>
      <w:r w:rsidR="009C06A1" w:rsidRPr="00BC118E">
        <w:rPr>
          <w:b/>
          <w:sz w:val="24"/>
          <w:szCs w:val="24"/>
        </w:rPr>
        <w:t>s</w:t>
      </w:r>
    </w:p>
    <w:p w14:paraId="6A2DB4CA" w14:textId="48CF2150" w:rsidR="00810FF8" w:rsidRPr="00BC118E" w:rsidRDefault="00894A1D" w:rsidP="002C0EA9">
      <w:pPr>
        <w:spacing w:line="480" w:lineRule="auto"/>
        <w:rPr>
          <w:sz w:val="24"/>
          <w:szCs w:val="24"/>
        </w:rPr>
      </w:pPr>
      <w:r w:rsidRPr="00BC118E">
        <w:rPr>
          <w:sz w:val="24"/>
          <w:szCs w:val="24"/>
        </w:rPr>
        <w:t>E</w:t>
      </w:r>
      <w:r w:rsidR="005B67F2" w:rsidRPr="00BC118E">
        <w:rPr>
          <w:sz w:val="24"/>
          <w:szCs w:val="24"/>
        </w:rPr>
        <w:t xml:space="preserve">valuation of the Talking Health pilot pathway found that psychological intervention within the service is </w:t>
      </w:r>
      <w:r w:rsidR="00F54E9C" w:rsidRPr="00BC118E">
        <w:rPr>
          <w:sz w:val="24"/>
          <w:szCs w:val="24"/>
        </w:rPr>
        <w:t>related</w:t>
      </w:r>
      <w:r w:rsidR="005B67F2" w:rsidRPr="00BC118E">
        <w:rPr>
          <w:sz w:val="24"/>
          <w:szCs w:val="24"/>
        </w:rPr>
        <w:t xml:space="preserve"> </w:t>
      </w:r>
      <w:r w:rsidR="00F54E9C" w:rsidRPr="00BC118E">
        <w:rPr>
          <w:sz w:val="24"/>
          <w:szCs w:val="24"/>
        </w:rPr>
        <w:t>to</w:t>
      </w:r>
      <w:r w:rsidR="005B67F2" w:rsidRPr="00BC118E">
        <w:rPr>
          <w:sz w:val="24"/>
          <w:szCs w:val="24"/>
        </w:rPr>
        <w:t xml:space="preserve"> a reduction in clients utilising a number of physical healthcare services</w:t>
      </w:r>
      <w:r w:rsidR="00F54E9C" w:rsidRPr="00BC118E">
        <w:rPr>
          <w:sz w:val="24"/>
          <w:szCs w:val="24"/>
        </w:rPr>
        <w:t xml:space="preserve"> and improvements in self-reported perception of their health status and emotional well-being. R</w:t>
      </w:r>
      <w:r w:rsidR="003A1DB0" w:rsidRPr="00BC118E">
        <w:rPr>
          <w:sz w:val="24"/>
          <w:szCs w:val="24"/>
        </w:rPr>
        <w:t xml:space="preserve">educed </w:t>
      </w:r>
      <w:r w:rsidR="00F54E9C" w:rsidRPr="00BC118E">
        <w:rPr>
          <w:sz w:val="24"/>
          <w:szCs w:val="24"/>
        </w:rPr>
        <w:t xml:space="preserve">physical healthcare </w:t>
      </w:r>
      <w:r w:rsidR="003A1DB0" w:rsidRPr="00BC118E">
        <w:rPr>
          <w:sz w:val="24"/>
          <w:szCs w:val="24"/>
        </w:rPr>
        <w:t xml:space="preserve">service use also contributes </w:t>
      </w:r>
      <w:r w:rsidRPr="00BC118E">
        <w:rPr>
          <w:sz w:val="24"/>
          <w:szCs w:val="24"/>
        </w:rPr>
        <w:t>to</w:t>
      </w:r>
      <w:r w:rsidR="003A1DB0" w:rsidRPr="00BC118E">
        <w:rPr>
          <w:sz w:val="24"/>
          <w:szCs w:val="24"/>
        </w:rPr>
        <w:t xml:space="preserve"> cost-savings, which is increasingly important </w:t>
      </w:r>
      <w:r w:rsidR="00F54E9C" w:rsidRPr="00BC118E">
        <w:rPr>
          <w:sz w:val="24"/>
          <w:szCs w:val="24"/>
        </w:rPr>
        <w:t>for</w:t>
      </w:r>
      <w:r w:rsidR="003A1DB0" w:rsidRPr="00BC118E">
        <w:rPr>
          <w:sz w:val="24"/>
          <w:szCs w:val="24"/>
        </w:rPr>
        <w:t xml:space="preserve"> commissioning. </w:t>
      </w:r>
      <w:r w:rsidR="00A953AC" w:rsidRPr="00BC118E">
        <w:rPr>
          <w:sz w:val="24"/>
          <w:szCs w:val="24"/>
        </w:rPr>
        <w:t>Service use increase was demonstrated in services supporting self-management demands and is likely reflective of improved understanding and LTC management.</w:t>
      </w:r>
      <w:r w:rsidR="00C75DCD" w:rsidRPr="00BC118E">
        <w:rPr>
          <w:sz w:val="24"/>
          <w:szCs w:val="24"/>
        </w:rPr>
        <w:t xml:space="preserve"> </w:t>
      </w:r>
      <w:r w:rsidR="003A1DB0" w:rsidRPr="00BC118E">
        <w:rPr>
          <w:sz w:val="24"/>
          <w:szCs w:val="24"/>
        </w:rPr>
        <w:t>Together, t</w:t>
      </w:r>
      <w:r w:rsidR="00602A98" w:rsidRPr="00BC118E">
        <w:rPr>
          <w:sz w:val="24"/>
          <w:szCs w:val="24"/>
        </w:rPr>
        <w:t>hese findings suggest that the</w:t>
      </w:r>
      <w:r w:rsidR="003A1DB0" w:rsidRPr="00BC118E">
        <w:rPr>
          <w:sz w:val="24"/>
          <w:szCs w:val="24"/>
        </w:rPr>
        <w:t xml:space="preserve"> pathway is a </w:t>
      </w:r>
      <w:r w:rsidR="003A1DB0" w:rsidRPr="00BC118E">
        <w:rPr>
          <w:sz w:val="24"/>
          <w:szCs w:val="24"/>
        </w:rPr>
        <w:lastRenderedPageBreak/>
        <w:t>valuable addit</w:t>
      </w:r>
      <w:r w:rsidR="00C75DCD" w:rsidRPr="00BC118E">
        <w:rPr>
          <w:sz w:val="24"/>
          <w:szCs w:val="24"/>
        </w:rPr>
        <w:t xml:space="preserve">ion to the current IAPT service, </w:t>
      </w:r>
      <w:r w:rsidR="003A1DB0" w:rsidRPr="00BC118E">
        <w:rPr>
          <w:sz w:val="24"/>
          <w:szCs w:val="24"/>
        </w:rPr>
        <w:t>delivering efficacious intervention</w:t>
      </w:r>
      <w:r w:rsidR="00810FF8">
        <w:rPr>
          <w:sz w:val="24"/>
          <w:szCs w:val="24"/>
        </w:rPr>
        <w:t>s</w:t>
      </w:r>
      <w:r w:rsidR="003A1DB0" w:rsidRPr="00BC118E">
        <w:rPr>
          <w:sz w:val="24"/>
          <w:szCs w:val="24"/>
        </w:rPr>
        <w:t xml:space="preserve"> for those with LTCs. </w:t>
      </w:r>
      <w:r w:rsidR="00810FF8">
        <w:rPr>
          <w:sz w:val="24"/>
          <w:szCs w:val="24"/>
        </w:rPr>
        <w:t>However, f</w:t>
      </w:r>
      <w:r w:rsidR="003A1BB9" w:rsidRPr="00BC118E">
        <w:rPr>
          <w:sz w:val="24"/>
          <w:szCs w:val="24"/>
        </w:rPr>
        <w:t>urther work is needed to better understand the most effective interventions and pathways for this client group.</w:t>
      </w:r>
    </w:p>
    <w:p w14:paraId="4E8A30A6" w14:textId="77777777" w:rsidR="00810FF8" w:rsidRDefault="00810FF8" w:rsidP="007C3A8E">
      <w:pPr>
        <w:spacing w:line="480" w:lineRule="auto"/>
        <w:rPr>
          <w:b/>
          <w:sz w:val="24"/>
          <w:szCs w:val="24"/>
        </w:rPr>
      </w:pPr>
    </w:p>
    <w:p w14:paraId="67521055" w14:textId="4BB08925" w:rsidR="00BC118E" w:rsidRPr="00BC118E" w:rsidRDefault="00BC118E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>Authors</w:t>
      </w:r>
    </w:p>
    <w:p w14:paraId="6615E595" w14:textId="35C55810" w:rsidR="00BC118E" w:rsidRPr="00BC118E" w:rsidRDefault="00BC118E" w:rsidP="007C3A8E">
      <w:pPr>
        <w:spacing w:line="480" w:lineRule="auto"/>
        <w:rPr>
          <w:sz w:val="24"/>
          <w:szCs w:val="24"/>
        </w:rPr>
      </w:pPr>
      <w:r w:rsidRPr="00BC118E">
        <w:rPr>
          <w:b/>
          <w:sz w:val="24"/>
          <w:szCs w:val="24"/>
        </w:rPr>
        <w:t xml:space="preserve">Laurie Josephs, </w:t>
      </w:r>
      <w:r w:rsidRPr="00BC118E">
        <w:rPr>
          <w:sz w:val="24"/>
          <w:szCs w:val="24"/>
        </w:rPr>
        <w:t xml:space="preserve">Trainee Clinical Psychologist, Royal Holloway University of London; </w:t>
      </w:r>
      <w:hyperlink r:id="rId8" w:history="1">
        <w:r w:rsidRPr="00BC118E">
          <w:rPr>
            <w:rStyle w:val="Hyperlink"/>
            <w:sz w:val="24"/>
            <w:szCs w:val="24"/>
          </w:rPr>
          <w:t>laurie.josephs.2017@live.rhul.ac.uk</w:t>
        </w:r>
      </w:hyperlink>
    </w:p>
    <w:p w14:paraId="1DC8C478" w14:textId="25E55D0F" w:rsidR="00BC118E" w:rsidRDefault="00BC118E" w:rsidP="007C3A8E">
      <w:pPr>
        <w:spacing w:line="480" w:lineRule="auto"/>
        <w:rPr>
          <w:sz w:val="24"/>
          <w:szCs w:val="24"/>
        </w:rPr>
      </w:pPr>
      <w:r w:rsidRPr="00BC118E">
        <w:rPr>
          <w:b/>
          <w:sz w:val="24"/>
          <w:szCs w:val="24"/>
        </w:rPr>
        <w:t xml:space="preserve">Dr Claire </w:t>
      </w:r>
      <w:proofErr w:type="spellStart"/>
      <w:r w:rsidRPr="00BC118E">
        <w:rPr>
          <w:b/>
          <w:sz w:val="24"/>
          <w:szCs w:val="24"/>
        </w:rPr>
        <w:t>Coysh</w:t>
      </w:r>
      <w:proofErr w:type="spellEnd"/>
      <w:r w:rsidRPr="00BC118E">
        <w:rPr>
          <w:b/>
          <w:sz w:val="24"/>
          <w:szCs w:val="24"/>
        </w:rPr>
        <w:t xml:space="preserve">, </w:t>
      </w:r>
      <w:r w:rsidRPr="00BC118E">
        <w:rPr>
          <w:sz w:val="24"/>
          <w:szCs w:val="24"/>
        </w:rPr>
        <w:t xml:space="preserve">Clinical Psychologist, Deputy Clinical Lead and Lead for LTC, CNWL Talking Therapies, Hillingdon; </w:t>
      </w:r>
      <w:hyperlink r:id="rId9" w:history="1">
        <w:r w:rsidRPr="00BC118E">
          <w:rPr>
            <w:rStyle w:val="Hyperlink"/>
            <w:sz w:val="24"/>
            <w:szCs w:val="24"/>
          </w:rPr>
          <w:t>Claire.coysh@nhs.net</w:t>
        </w:r>
      </w:hyperlink>
      <w:r w:rsidRPr="00BC118E">
        <w:rPr>
          <w:sz w:val="24"/>
          <w:szCs w:val="24"/>
        </w:rPr>
        <w:t xml:space="preserve">  </w:t>
      </w:r>
    </w:p>
    <w:p w14:paraId="42C2424F" w14:textId="77777777" w:rsidR="00810FF8" w:rsidRDefault="00810FF8" w:rsidP="007C3A8E">
      <w:pPr>
        <w:spacing w:line="480" w:lineRule="auto"/>
        <w:rPr>
          <w:b/>
          <w:sz w:val="24"/>
          <w:szCs w:val="24"/>
        </w:rPr>
      </w:pPr>
    </w:p>
    <w:p w14:paraId="70422C47" w14:textId="4B52CE54" w:rsidR="000913A5" w:rsidRPr="00BC118E" w:rsidRDefault="000D7AA2" w:rsidP="007C3A8E">
      <w:pPr>
        <w:spacing w:line="480" w:lineRule="auto"/>
        <w:rPr>
          <w:b/>
          <w:sz w:val="24"/>
          <w:szCs w:val="24"/>
        </w:rPr>
      </w:pPr>
      <w:r w:rsidRPr="00BC118E">
        <w:rPr>
          <w:b/>
          <w:sz w:val="24"/>
          <w:szCs w:val="24"/>
        </w:rPr>
        <w:t>References</w:t>
      </w:r>
    </w:p>
    <w:p w14:paraId="39AA7223" w14:textId="16705F44" w:rsidR="003263B0" w:rsidRPr="00BC118E" w:rsidRDefault="00F20E1C" w:rsidP="007C3A8E">
      <w:pPr>
        <w:pStyle w:val="NormalWeb"/>
        <w:spacing w:line="480" w:lineRule="auto"/>
        <w:ind w:left="480" w:hanging="480"/>
        <w:rPr>
          <w:rFonts w:asciiTheme="minorHAnsi" w:hAnsiTheme="minorHAnsi" w:cs="MetaPro-Light"/>
        </w:rPr>
      </w:pPr>
      <w:r w:rsidRPr="00BC118E">
        <w:rPr>
          <w:rFonts w:asciiTheme="minorHAnsi" w:hAnsiTheme="minorHAnsi" w:cs="MetaPro-Light"/>
        </w:rPr>
        <w:t xml:space="preserve">Beecham, J., &amp; Knapp, M. (2001). Costing psychiatric interventions. In G. Thornicroft (Ed.), </w:t>
      </w:r>
      <w:r w:rsidRPr="00BC118E">
        <w:rPr>
          <w:rFonts w:asciiTheme="minorHAnsi" w:hAnsiTheme="minorHAnsi" w:cs="MetaPro-Light"/>
          <w:i/>
        </w:rPr>
        <w:t>Measuring Mental Health Needs (2</w:t>
      </w:r>
      <w:r w:rsidRPr="00BC118E">
        <w:rPr>
          <w:rFonts w:asciiTheme="minorHAnsi" w:hAnsiTheme="minorHAnsi" w:cs="MetaPro-Light"/>
          <w:i/>
          <w:vertAlign w:val="superscript"/>
        </w:rPr>
        <w:t>nd</w:t>
      </w:r>
      <w:r w:rsidRPr="00BC118E">
        <w:rPr>
          <w:rFonts w:asciiTheme="minorHAnsi" w:hAnsiTheme="minorHAnsi" w:cs="MetaPro-Light"/>
          <w:i/>
        </w:rPr>
        <w:t xml:space="preserve"> ed.)</w:t>
      </w:r>
      <w:r w:rsidRPr="00BC118E">
        <w:rPr>
          <w:rFonts w:asciiTheme="minorHAnsi" w:hAnsiTheme="minorHAnsi" w:cs="MetaPro-Light"/>
        </w:rPr>
        <w:t>(</w:t>
      </w:r>
      <w:r w:rsidR="00F67DF2" w:rsidRPr="00BC118E">
        <w:rPr>
          <w:rFonts w:asciiTheme="minorHAnsi" w:hAnsiTheme="minorHAnsi" w:cs="MetaPro-Light"/>
        </w:rPr>
        <w:t>pp.</w:t>
      </w:r>
      <w:r w:rsidRPr="00BC118E">
        <w:rPr>
          <w:rFonts w:asciiTheme="minorHAnsi" w:hAnsiTheme="minorHAnsi" w:cs="MetaPro-Light"/>
        </w:rPr>
        <w:t xml:space="preserve">200-224). London: Gaskell. </w:t>
      </w:r>
    </w:p>
    <w:p w14:paraId="3DBFAAE2" w14:textId="011AF9F9" w:rsidR="003263B0" w:rsidRPr="00BC118E" w:rsidRDefault="00F20E1C" w:rsidP="007C3A8E">
      <w:pPr>
        <w:pStyle w:val="NormalWeb"/>
        <w:spacing w:line="480" w:lineRule="auto"/>
        <w:ind w:left="480" w:hanging="480"/>
        <w:rPr>
          <w:rFonts w:asciiTheme="minorHAnsi" w:hAnsiTheme="minorHAnsi" w:cs="Arial"/>
          <w:shd w:val="clear" w:color="auto" w:fill="FFFFFF"/>
        </w:rPr>
      </w:pPr>
      <w:r w:rsidRPr="00BC118E">
        <w:rPr>
          <w:rFonts w:asciiTheme="minorHAnsi" w:hAnsiTheme="minorHAnsi" w:cs="MetaPro-Light"/>
        </w:rPr>
        <w:t xml:space="preserve">Carney R.M., Freedland K.E., </w:t>
      </w:r>
      <w:r w:rsidR="00F67DF2" w:rsidRPr="00BC118E">
        <w:rPr>
          <w:rFonts w:asciiTheme="minorHAnsi" w:hAnsiTheme="minorHAnsi" w:cs="MetaPro-Light"/>
        </w:rPr>
        <w:t xml:space="preserve">&amp; </w:t>
      </w:r>
      <w:proofErr w:type="spellStart"/>
      <w:r w:rsidRPr="00BC118E">
        <w:rPr>
          <w:rFonts w:asciiTheme="minorHAnsi" w:hAnsiTheme="minorHAnsi" w:cs="MetaPro-Light"/>
        </w:rPr>
        <w:t>Sheps</w:t>
      </w:r>
      <w:proofErr w:type="spellEnd"/>
      <w:r w:rsidRPr="00BC118E">
        <w:rPr>
          <w:rFonts w:asciiTheme="minorHAnsi" w:hAnsiTheme="minorHAnsi" w:cs="MetaPro-Light"/>
        </w:rPr>
        <w:t xml:space="preserve">, D.S. (2004). Depression is a risk factor for mortality in coronary heart disease. </w:t>
      </w:r>
      <w:r w:rsidRPr="00BC118E">
        <w:rPr>
          <w:rFonts w:asciiTheme="minorHAnsi" w:hAnsiTheme="minorHAnsi" w:cs="MetaPro-LightIta"/>
          <w:i/>
        </w:rPr>
        <w:t>Psychosomatic Medicine, 66(6),</w:t>
      </w:r>
      <w:r w:rsidRPr="00BC118E">
        <w:rPr>
          <w:rFonts w:asciiTheme="minorHAnsi" w:hAnsiTheme="minorHAnsi" w:cs="MetaPro-LightIta"/>
        </w:rPr>
        <w:t xml:space="preserve"> </w:t>
      </w:r>
      <w:r w:rsidRPr="00BC118E">
        <w:rPr>
          <w:rFonts w:asciiTheme="minorHAnsi" w:hAnsiTheme="minorHAnsi" w:cs="MetaPro-Light"/>
        </w:rPr>
        <w:t xml:space="preserve">799–801. </w:t>
      </w:r>
    </w:p>
    <w:p w14:paraId="28AA8997" w14:textId="02F46C93" w:rsidR="00F8774F" w:rsidRPr="00BC118E" w:rsidRDefault="00F20E1C" w:rsidP="007C3A8E">
      <w:pPr>
        <w:pStyle w:val="NormalWeb"/>
        <w:spacing w:line="480" w:lineRule="auto"/>
        <w:ind w:left="480" w:hanging="480"/>
        <w:rPr>
          <w:rFonts w:asciiTheme="minorHAnsi" w:hAnsiTheme="minorHAnsi"/>
        </w:rPr>
      </w:pPr>
      <w:r w:rsidRPr="00BC118E">
        <w:rPr>
          <w:rFonts w:asciiTheme="minorHAnsi" w:hAnsiTheme="minorHAnsi"/>
        </w:rPr>
        <w:t xml:space="preserve">Chiles, J.A., Lambert, M.J. &amp; Hatch, A.L. (1999). The impact of psychological interventions on medical cost offset: A meta-analytic review. </w:t>
      </w:r>
      <w:r w:rsidRPr="00BC118E">
        <w:rPr>
          <w:rFonts w:asciiTheme="minorHAnsi" w:hAnsiTheme="minorHAnsi"/>
          <w:i/>
        </w:rPr>
        <w:t xml:space="preserve">Clinical Psychology: Science and Practice, 6(2), </w:t>
      </w:r>
      <w:r w:rsidRPr="00BC118E">
        <w:rPr>
          <w:rFonts w:asciiTheme="minorHAnsi" w:hAnsiTheme="minorHAnsi"/>
        </w:rPr>
        <w:t xml:space="preserve">204-220. </w:t>
      </w:r>
    </w:p>
    <w:p w14:paraId="62A110EA" w14:textId="75F5EFD5" w:rsidR="003263B0" w:rsidRPr="00BC118E" w:rsidRDefault="00413613" w:rsidP="007C3A8E">
      <w:pPr>
        <w:pStyle w:val="NormalWeb"/>
        <w:spacing w:line="480" w:lineRule="auto"/>
        <w:ind w:left="480" w:hanging="480"/>
        <w:rPr>
          <w:rFonts w:asciiTheme="minorHAnsi" w:hAnsiTheme="minorHAnsi"/>
        </w:rPr>
      </w:pPr>
      <w:r w:rsidRPr="00BC118E">
        <w:rPr>
          <w:rFonts w:asciiTheme="minorHAnsi" w:hAnsiTheme="minorHAnsi"/>
        </w:rPr>
        <w:t xml:space="preserve">Coventry, P., Lovell, K., Dickens, C., Bower, P., Chew-Graham, C., </w:t>
      </w:r>
      <w:proofErr w:type="spellStart"/>
      <w:r w:rsidRPr="00BC118E">
        <w:rPr>
          <w:rFonts w:asciiTheme="minorHAnsi" w:hAnsiTheme="minorHAnsi"/>
        </w:rPr>
        <w:t>McElvenny</w:t>
      </w:r>
      <w:proofErr w:type="spellEnd"/>
      <w:r w:rsidRPr="00BC118E">
        <w:rPr>
          <w:rFonts w:asciiTheme="minorHAnsi" w:hAnsiTheme="minorHAnsi"/>
        </w:rPr>
        <w:t xml:space="preserve">, D., … </w:t>
      </w:r>
      <w:proofErr w:type="spellStart"/>
      <w:r w:rsidRPr="00BC118E">
        <w:rPr>
          <w:rFonts w:asciiTheme="minorHAnsi" w:hAnsiTheme="minorHAnsi"/>
        </w:rPr>
        <w:t>Gask</w:t>
      </w:r>
      <w:proofErr w:type="spellEnd"/>
      <w:r w:rsidRPr="00BC118E">
        <w:rPr>
          <w:rFonts w:asciiTheme="minorHAnsi" w:hAnsiTheme="minorHAnsi"/>
        </w:rPr>
        <w:t xml:space="preserve">. </w:t>
      </w:r>
      <w:r w:rsidR="003711AF" w:rsidRPr="00BC118E">
        <w:rPr>
          <w:rFonts w:asciiTheme="minorHAnsi" w:hAnsiTheme="minorHAnsi"/>
        </w:rPr>
        <w:t>L. (2015</w:t>
      </w:r>
      <w:r w:rsidRPr="00BC118E">
        <w:rPr>
          <w:rFonts w:asciiTheme="minorHAnsi" w:hAnsiTheme="minorHAnsi"/>
        </w:rPr>
        <w:t xml:space="preserve">). Integrated primary care for patients with mental and physical multimorbidity: </w:t>
      </w:r>
      <w:r w:rsidRPr="00BC118E">
        <w:rPr>
          <w:rFonts w:asciiTheme="minorHAnsi" w:hAnsiTheme="minorHAnsi"/>
        </w:rPr>
        <w:lastRenderedPageBreak/>
        <w:t xml:space="preserve">cluster randomised controlled trial of collaborative care for patients with depression comorbid with diabetes or cardiovascular disease. </w:t>
      </w:r>
      <w:r w:rsidRPr="00BC118E">
        <w:rPr>
          <w:rFonts w:asciiTheme="minorHAnsi" w:hAnsiTheme="minorHAnsi"/>
          <w:i/>
        </w:rPr>
        <w:t xml:space="preserve">BMJ, 350:h638, 1-12. </w:t>
      </w:r>
    </w:p>
    <w:p w14:paraId="223B0E3D" w14:textId="36A3FC90" w:rsidR="003263B0" w:rsidRPr="00BC118E" w:rsidRDefault="004145EB" w:rsidP="007C3A8E">
      <w:pPr>
        <w:pStyle w:val="NormalWeb"/>
        <w:spacing w:line="480" w:lineRule="auto"/>
        <w:ind w:left="480" w:hanging="480"/>
        <w:rPr>
          <w:rFonts w:asciiTheme="minorHAnsi" w:hAnsiTheme="minorHAnsi"/>
          <w:iCs/>
        </w:rPr>
      </w:pPr>
      <w:r w:rsidRPr="00BC118E">
        <w:rPr>
          <w:rFonts w:asciiTheme="minorHAnsi" w:hAnsiTheme="minorHAnsi"/>
        </w:rPr>
        <w:t>Department of Health (2012</w:t>
      </w:r>
      <w:r w:rsidRPr="00BC118E">
        <w:rPr>
          <w:rFonts w:asciiTheme="minorHAnsi" w:hAnsiTheme="minorHAnsi"/>
          <w:i/>
        </w:rPr>
        <w:t>). Long Term Conditions Compendium</w:t>
      </w:r>
      <w:r w:rsidR="003263B0" w:rsidRPr="00BC118E">
        <w:rPr>
          <w:rFonts w:asciiTheme="minorHAnsi" w:hAnsiTheme="minorHAnsi"/>
          <w:i/>
        </w:rPr>
        <w:t xml:space="preserve"> of Information</w:t>
      </w:r>
      <w:r w:rsidR="003263B0" w:rsidRPr="00BC118E">
        <w:rPr>
          <w:rFonts w:asciiTheme="minorHAnsi" w:hAnsiTheme="minorHAnsi"/>
        </w:rPr>
        <w:t xml:space="preserve">. </w:t>
      </w:r>
    </w:p>
    <w:p w14:paraId="583BCED4" w14:textId="76FEBF10" w:rsidR="003263B0" w:rsidRPr="00BC118E" w:rsidRDefault="000D7AA2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/>
          <w:color w:val="auto"/>
        </w:rPr>
      </w:pPr>
      <w:proofErr w:type="spellStart"/>
      <w:r w:rsidRPr="00BC118E">
        <w:rPr>
          <w:rFonts w:asciiTheme="minorHAnsi" w:hAnsiTheme="minorHAnsi"/>
        </w:rPr>
        <w:t>Egede</w:t>
      </w:r>
      <w:proofErr w:type="spellEnd"/>
      <w:r w:rsidRPr="00BC118E">
        <w:rPr>
          <w:rFonts w:asciiTheme="minorHAnsi" w:hAnsiTheme="minorHAnsi"/>
        </w:rPr>
        <w:t xml:space="preserve">, L.E. (2007). </w:t>
      </w:r>
      <w:r w:rsidR="004E41D2" w:rsidRPr="00BC118E">
        <w:rPr>
          <w:rFonts w:asciiTheme="minorHAnsi" w:eastAsia="ScalaLancetPro" w:hAnsiTheme="minorHAnsi" w:cs="ScalaLancetPro"/>
        </w:rPr>
        <w:t>Major depression in individuals with chronic medical</w:t>
      </w:r>
      <w:r w:rsidRPr="00BC118E">
        <w:rPr>
          <w:rFonts w:asciiTheme="minorHAnsi" w:hAnsiTheme="minorHAnsi"/>
        </w:rPr>
        <w:t xml:space="preserve"> </w:t>
      </w:r>
      <w:r w:rsidR="004E41D2" w:rsidRPr="00BC118E">
        <w:rPr>
          <w:rFonts w:asciiTheme="minorHAnsi" w:eastAsia="ScalaLancetPro" w:hAnsiTheme="minorHAnsi" w:cs="ScalaLancetPro"/>
        </w:rPr>
        <w:t>disorders: prevalence, correlates and association with health</w:t>
      </w:r>
      <w:r w:rsidRPr="00BC118E">
        <w:rPr>
          <w:rFonts w:asciiTheme="minorHAnsi" w:hAnsiTheme="minorHAnsi"/>
        </w:rPr>
        <w:t xml:space="preserve"> </w:t>
      </w:r>
      <w:r w:rsidR="004E41D2" w:rsidRPr="00BC118E">
        <w:rPr>
          <w:rFonts w:asciiTheme="minorHAnsi" w:eastAsia="ScalaLancetPro" w:hAnsiTheme="minorHAnsi" w:cs="ScalaLancetPro"/>
        </w:rPr>
        <w:t>resource utilization, lost productivity and functional disability.</w:t>
      </w:r>
      <w:r w:rsidRPr="00BC118E">
        <w:rPr>
          <w:rFonts w:asciiTheme="minorHAnsi" w:hAnsiTheme="minorHAnsi"/>
        </w:rPr>
        <w:t xml:space="preserve"> </w:t>
      </w:r>
      <w:r w:rsidRPr="00BC118E">
        <w:rPr>
          <w:rFonts w:asciiTheme="minorHAnsi" w:hAnsiTheme="minorHAnsi"/>
          <w:i/>
        </w:rPr>
        <w:t>General Hospital Psychiatry, 29</w:t>
      </w:r>
      <w:r w:rsidRPr="00BC118E">
        <w:rPr>
          <w:rFonts w:asciiTheme="minorHAnsi" w:hAnsiTheme="minorHAnsi"/>
        </w:rPr>
        <w:t xml:space="preserve">, 409-16. </w:t>
      </w:r>
    </w:p>
    <w:p w14:paraId="004AEB8B" w14:textId="25F4C3EC" w:rsidR="003263B0" w:rsidRPr="00BC118E" w:rsidRDefault="004145EB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/>
          <w:i/>
          <w:color w:val="auto"/>
        </w:rPr>
      </w:pPr>
      <w:r w:rsidRPr="00BC118E">
        <w:rPr>
          <w:rFonts w:asciiTheme="minorHAnsi" w:hAnsiTheme="minorHAnsi"/>
        </w:rPr>
        <w:t xml:space="preserve">Fisher, L., </w:t>
      </w:r>
      <w:proofErr w:type="spellStart"/>
      <w:r w:rsidRPr="00BC118E">
        <w:rPr>
          <w:rFonts w:asciiTheme="minorHAnsi" w:hAnsiTheme="minorHAnsi"/>
        </w:rPr>
        <w:t>Hessler</w:t>
      </w:r>
      <w:proofErr w:type="spellEnd"/>
      <w:r w:rsidRPr="00BC118E">
        <w:rPr>
          <w:rFonts w:asciiTheme="minorHAnsi" w:hAnsiTheme="minorHAnsi"/>
        </w:rPr>
        <w:t xml:space="preserve">, D.M., Polonsky, W.H. &amp; Mullan, J. (2012). When is diabetes distress clinically meaningful? Establishing cut points for the Diabetes Distress Scale. </w:t>
      </w:r>
      <w:r w:rsidRPr="00BC118E">
        <w:rPr>
          <w:rFonts w:asciiTheme="minorHAnsi" w:hAnsiTheme="minorHAnsi"/>
          <w:i/>
        </w:rPr>
        <w:t xml:space="preserve">Diabetes Care, 35(2), 259-264. </w:t>
      </w:r>
    </w:p>
    <w:p w14:paraId="2DAE4366" w14:textId="115C6691" w:rsidR="00F344A5" w:rsidRDefault="004145EB" w:rsidP="00F344A5">
      <w:pPr>
        <w:pStyle w:val="NormalWeb"/>
        <w:spacing w:line="480" w:lineRule="auto"/>
        <w:ind w:left="480" w:hanging="480"/>
        <w:rPr>
          <w:rFonts w:asciiTheme="minorHAnsi" w:hAnsiTheme="minorHAnsi" w:cs="AdvOT46dcae81"/>
        </w:rPr>
      </w:pPr>
      <w:r w:rsidRPr="00BC118E">
        <w:rPr>
          <w:rFonts w:asciiTheme="minorHAnsi" w:hAnsiTheme="minorHAnsi" w:cs="AdvOT46dcae81"/>
        </w:rPr>
        <w:t xml:space="preserve">Howard, C., &amp; Dupont, S. (2014). ‘The COPD breathlessness manual’: a randomised controlled trial to test a cognitive-behavioural manual versus information booklets on health service use, mood and health status, in patients with chronic obstructive pulmonary disease. </w:t>
      </w:r>
      <w:r w:rsidRPr="00BC118E">
        <w:rPr>
          <w:rFonts w:asciiTheme="minorHAnsi" w:hAnsiTheme="minorHAnsi" w:cs="AdvOT46dcae81"/>
          <w:i/>
        </w:rPr>
        <w:t xml:space="preserve">Primary Care Respiratory Medicine, 24, </w:t>
      </w:r>
      <w:r w:rsidRPr="00BC118E">
        <w:rPr>
          <w:rFonts w:asciiTheme="minorHAnsi" w:hAnsiTheme="minorHAnsi" w:cs="AdvOT46dcae81"/>
        </w:rPr>
        <w:t xml:space="preserve">14076. </w:t>
      </w:r>
    </w:p>
    <w:p w14:paraId="7C71169C" w14:textId="77777777" w:rsidR="00F344A5" w:rsidRDefault="00F344A5" w:rsidP="00F344A5">
      <w:pPr>
        <w:pStyle w:val="NormalWeb"/>
        <w:spacing w:line="480" w:lineRule="auto"/>
        <w:ind w:left="480" w:hanging="480"/>
        <w:rPr>
          <w:rFonts w:asciiTheme="minorHAnsi" w:hAnsiTheme="minorHAnsi" w:cs="AdvOT46dcae81"/>
        </w:rPr>
      </w:pPr>
      <w:proofErr w:type="spellStart"/>
      <w:r>
        <w:rPr>
          <w:rFonts w:asciiTheme="minorHAnsi" w:hAnsiTheme="minorHAnsi" w:cs="AdvOT46dcae81"/>
        </w:rPr>
        <w:t>Jaeschke</w:t>
      </w:r>
      <w:proofErr w:type="spellEnd"/>
      <w:r>
        <w:rPr>
          <w:rFonts w:asciiTheme="minorHAnsi" w:hAnsiTheme="minorHAnsi" w:cs="AdvOT46dcae81"/>
        </w:rPr>
        <w:t xml:space="preserve">, R., Singer, J., &amp; </w:t>
      </w:r>
      <w:proofErr w:type="spellStart"/>
      <w:r>
        <w:rPr>
          <w:rFonts w:asciiTheme="minorHAnsi" w:hAnsiTheme="minorHAnsi" w:cs="AdvOT46dcae81"/>
        </w:rPr>
        <w:t>Guyatt</w:t>
      </w:r>
      <w:proofErr w:type="spellEnd"/>
      <w:r>
        <w:rPr>
          <w:rFonts w:asciiTheme="minorHAnsi" w:hAnsiTheme="minorHAnsi" w:cs="AdvOT46dcae81"/>
        </w:rPr>
        <w:t xml:space="preserve">, G.H. (1989). Measurement of health status: ascertaining the minimal clinically important difference. </w:t>
      </w:r>
      <w:r>
        <w:rPr>
          <w:rFonts w:asciiTheme="minorHAnsi" w:hAnsiTheme="minorHAnsi" w:cs="AdvOT46dcae81"/>
          <w:i/>
        </w:rPr>
        <w:t xml:space="preserve">Controlled clinical trials, 10(4), </w:t>
      </w:r>
      <w:r>
        <w:rPr>
          <w:rFonts w:asciiTheme="minorHAnsi" w:hAnsiTheme="minorHAnsi" w:cs="AdvOT46dcae81"/>
        </w:rPr>
        <w:t>407-415.</w:t>
      </w:r>
    </w:p>
    <w:p w14:paraId="0C0DFA71" w14:textId="197D6552" w:rsidR="003263B0" w:rsidRPr="00F344A5" w:rsidRDefault="004145EB" w:rsidP="00F344A5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 w:cs="AdvOT46dcae81"/>
          <w:color w:val="auto"/>
          <w:u w:val="none"/>
        </w:rPr>
      </w:pPr>
      <w:r w:rsidRPr="00BC118E">
        <w:rPr>
          <w:rFonts w:asciiTheme="minorHAnsi" w:hAnsiTheme="minorHAnsi"/>
        </w:rPr>
        <w:t xml:space="preserve">Jones, P.W., Harding, G., Berry, P., </w:t>
      </w:r>
      <w:proofErr w:type="spellStart"/>
      <w:r w:rsidRPr="00BC118E">
        <w:rPr>
          <w:rFonts w:asciiTheme="minorHAnsi" w:hAnsiTheme="minorHAnsi"/>
        </w:rPr>
        <w:t>Wiklund</w:t>
      </w:r>
      <w:proofErr w:type="spellEnd"/>
      <w:r w:rsidRPr="00BC118E">
        <w:rPr>
          <w:rFonts w:asciiTheme="minorHAnsi" w:hAnsiTheme="minorHAnsi"/>
        </w:rPr>
        <w:t xml:space="preserve">, I., Chen, W.H., &amp; Leidy, N.K. (2009). Development and first validation of the COPD Assessment Test. </w:t>
      </w:r>
      <w:r w:rsidRPr="00BC118E">
        <w:rPr>
          <w:rFonts w:asciiTheme="minorHAnsi" w:hAnsiTheme="minorHAnsi"/>
          <w:i/>
        </w:rPr>
        <w:t xml:space="preserve">European Respiratory Journal, 34(3), 648-654. </w:t>
      </w:r>
    </w:p>
    <w:p w14:paraId="4B44C79C" w14:textId="5D202213" w:rsidR="003263B0" w:rsidRPr="00BC118E" w:rsidRDefault="004145EB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 w:cs="Arial"/>
          <w:color w:val="auto"/>
        </w:rPr>
      </w:pPr>
      <w:r w:rsidRPr="00BC118E">
        <w:rPr>
          <w:rFonts w:asciiTheme="minorHAnsi" w:hAnsiTheme="minorHAnsi" w:cs="Arial"/>
        </w:rPr>
        <w:lastRenderedPageBreak/>
        <w:t xml:space="preserve">Kon, S.S.C., Canavan, J.L., Jones, S.E., Nolan, C.M., Clark, A.L., Dickson, M.J., … Man, W.D.C. (2014). Minimum clinically important difference for the COPD Assessment Test: a prospective analysis. </w:t>
      </w:r>
      <w:r w:rsidRPr="00BC118E">
        <w:rPr>
          <w:rFonts w:asciiTheme="minorHAnsi" w:hAnsiTheme="minorHAnsi" w:cs="Arial"/>
          <w:i/>
        </w:rPr>
        <w:t xml:space="preserve">The Lancet Respiratory Medicine, 2(3), </w:t>
      </w:r>
      <w:r w:rsidRPr="00BC118E">
        <w:rPr>
          <w:rFonts w:asciiTheme="minorHAnsi" w:hAnsiTheme="minorHAnsi" w:cs="Arial"/>
        </w:rPr>
        <w:t xml:space="preserve">195-203. </w:t>
      </w:r>
    </w:p>
    <w:p w14:paraId="1FB22092" w14:textId="34C80F71" w:rsidR="0094736D" w:rsidRPr="00BC118E" w:rsidRDefault="00F260B0" w:rsidP="007C3A8E">
      <w:pPr>
        <w:pStyle w:val="NormalWeb"/>
        <w:spacing w:line="480" w:lineRule="auto"/>
        <w:ind w:left="480" w:hanging="480"/>
        <w:rPr>
          <w:rFonts w:asciiTheme="minorHAnsi" w:hAnsiTheme="minorHAnsi"/>
        </w:rPr>
      </w:pPr>
      <w:proofErr w:type="spellStart"/>
      <w:r w:rsidRPr="00BC118E">
        <w:rPr>
          <w:rFonts w:asciiTheme="minorHAnsi" w:hAnsiTheme="minorHAnsi"/>
        </w:rPr>
        <w:t>Krass</w:t>
      </w:r>
      <w:proofErr w:type="spellEnd"/>
      <w:r w:rsidRPr="00BC118E">
        <w:rPr>
          <w:rFonts w:asciiTheme="minorHAnsi" w:hAnsiTheme="minorHAnsi"/>
        </w:rPr>
        <w:t xml:space="preserve">, I., </w:t>
      </w:r>
      <w:proofErr w:type="spellStart"/>
      <w:r w:rsidRPr="00BC118E">
        <w:rPr>
          <w:rFonts w:asciiTheme="minorHAnsi" w:hAnsiTheme="minorHAnsi"/>
        </w:rPr>
        <w:t>Schieback</w:t>
      </w:r>
      <w:proofErr w:type="spellEnd"/>
      <w:r w:rsidRPr="00BC118E">
        <w:rPr>
          <w:rFonts w:asciiTheme="minorHAnsi" w:hAnsiTheme="minorHAnsi"/>
        </w:rPr>
        <w:t xml:space="preserve">, P., &amp; </w:t>
      </w:r>
      <w:proofErr w:type="spellStart"/>
      <w:r w:rsidRPr="00BC118E">
        <w:rPr>
          <w:rFonts w:asciiTheme="minorHAnsi" w:hAnsiTheme="minorHAnsi"/>
        </w:rPr>
        <w:t>Dhippayom</w:t>
      </w:r>
      <w:proofErr w:type="spellEnd"/>
      <w:r w:rsidRPr="00BC118E">
        <w:rPr>
          <w:rFonts w:asciiTheme="minorHAnsi" w:hAnsiTheme="minorHAnsi"/>
        </w:rPr>
        <w:t xml:space="preserve">, T. (2014). Adherence to diabetes medication: a systematic review. </w:t>
      </w:r>
      <w:r w:rsidRPr="00BC118E">
        <w:rPr>
          <w:rFonts w:asciiTheme="minorHAnsi" w:hAnsiTheme="minorHAnsi"/>
          <w:i/>
        </w:rPr>
        <w:t xml:space="preserve">Diabetic Medicine, 32(6), </w:t>
      </w:r>
      <w:r w:rsidRPr="00BC118E">
        <w:rPr>
          <w:rFonts w:asciiTheme="minorHAnsi" w:hAnsiTheme="minorHAnsi"/>
        </w:rPr>
        <w:t xml:space="preserve">725-737. </w:t>
      </w:r>
    </w:p>
    <w:p w14:paraId="35E6AB7E" w14:textId="7A052209" w:rsidR="002E5A48" w:rsidRDefault="002E5A48" w:rsidP="007C3A8E">
      <w:pPr>
        <w:pStyle w:val="NormalWeb"/>
        <w:spacing w:line="480" w:lineRule="auto"/>
        <w:ind w:left="480" w:hanging="480"/>
        <w:rPr>
          <w:rFonts w:asciiTheme="minorHAnsi" w:hAnsiTheme="minorHAnsi"/>
        </w:rPr>
      </w:pPr>
      <w:r w:rsidRPr="00BC118E">
        <w:rPr>
          <w:rFonts w:asciiTheme="minorHAnsi" w:hAnsiTheme="minorHAnsi"/>
        </w:rPr>
        <w:t xml:space="preserve">Kroenke, K., Spitzer, R.L., &amp; Williams, J.B. (2001). The PHQ-9: Validity of a brief depression severity measure. </w:t>
      </w:r>
      <w:r w:rsidRPr="00BC118E">
        <w:rPr>
          <w:rFonts w:asciiTheme="minorHAnsi" w:hAnsiTheme="minorHAnsi"/>
          <w:i/>
        </w:rPr>
        <w:t xml:space="preserve">Journal of General Internal Medicine, 16(9), </w:t>
      </w:r>
      <w:r w:rsidRPr="00BC118E">
        <w:rPr>
          <w:rFonts w:asciiTheme="minorHAnsi" w:hAnsiTheme="minorHAnsi"/>
        </w:rPr>
        <w:t xml:space="preserve">606-613. </w:t>
      </w:r>
    </w:p>
    <w:p w14:paraId="51FF2CD3" w14:textId="45677B4F" w:rsidR="00C52090" w:rsidRPr="00C52090" w:rsidRDefault="00C52090" w:rsidP="007C3A8E">
      <w:pPr>
        <w:pStyle w:val="NormalWeb"/>
        <w:spacing w:line="480" w:lineRule="auto"/>
        <w:ind w:left="480" w:hanging="480"/>
        <w:rPr>
          <w:rFonts w:asciiTheme="minorHAnsi" w:hAnsiTheme="minorHAnsi"/>
          <w:spacing w:val="4"/>
          <w:shd w:val="clear" w:color="auto" w:fill="FFFFFF"/>
        </w:rPr>
      </w:pPr>
      <w:r w:rsidRPr="002F6394">
        <w:rPr>
          <w:rFonts w:asciiTheme="minorHAnsi" w:hAnsiTheme="minorHAnsi" w:cs="Arial"/>
          <w:shd w:val="clear" w:color="auto" w:fill="FFFFFF"/>
        </w:rPr>
        <w:t xml:space="preserve">Li, C., Zu, D., Hu, M., Tan, Y., Zhang, P, Li, G., &amp; Chen, L. (2017). A systematic review and meta-analysis of randomized controlled trials of cognitive behavioural therapy for patients with diabetes and depression. </w:t>
      </w:r>
      <w:r w:rsidRPr="002F6394">
        <w:rPr>
          <w:rFonts w:asciiTheme="minorHAnsi" w:hAnsiTheme="minorHAnsi" w:cs="Arial"/>
          <w:i/>
          <w:shd w:val="clear" w:color="auto" w:fill="FFFFFF"/>
        </w:rPr>
        <w:t xml:space="preserve">Journal of Psychosomatic Research, 95, </w:t>
      </w:r>
      <w:r w:rsidRPr="002F6394">
        <w:rPr>
          <w:rFonts w:asciiTheme="minorHAnsi" w:hAnsiTheme="minorHAnsi" w:cs="Arial"/>
          <w:shd w:val="clear" w:color="auto" w:fill="FFFFFF"/>
        </w:rPr>
        <w:t>44-54.</w:t>
      </w:r>
    </w:p>
    <w:p w14:paraId="60EB793F" w14:textId="31F7B81E" w:rsidR="007051B2" w:rsidRPr="00BC118E" w:rsidRDefault="007051B2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/>
          <w:bCs/>
          <w:color w:val="auto"/>
          <w:shd w:val="clear" w:color="auto" w:fill="FFFFFF"/>
        </w:rPr>
      </w:pPr>
      <w:r w:rsidRPr="00BC118E">
        <w:rPr>
          <w:rFonts w:asciiTheme="minorHAnsi" w:hAnsiTheme="minorHAnsi"/>
          <w:bCs/>
          <w:shd w:val="clear" w:color="auto" w:fill="FFFFFF"/>
        </w:rPr>
        <w:t xml:space="preserve">Livermore, N., Sharpe, L., &amp; McKenzie, D. (2010). Panic attacks and panic disorder in chronic obstructive pulmonary disease: A cognitive behavioural perspective. </w:t>
      </w:r>
      <w:r w:rsidRPr="00BC118E">
        <w:rPr>
          <w:rFonts w:asciiTheme="minorHAnsi" w:hAnsiTheme="minorHAnsi"/>
          <w:bCs/>
          <w:i/>
          <w:shd w:val="clear" w:color="auto" w:fill="FFFFFF"/>
        </w:rPr>
        <w:t xml:space="preserve">Respiratory Medicine, 104(9), </w:t>
      </w:r>
      <w:r w:rsidRPr="00BC118E">
        <w:rPr>
          <w:rFonts w:asciiTheme="minorHAnsi" w:hAnsiTheme="minorHAnsi"/>
          <w:bCs/>
          <w:shd w:val="clear" w:color="auto" w:fill="FFFFFF"/>
        </w:rPr>
        <w:t xml:space="preserve">1426-1523. </w:t>
      </w:r>
    </w:p>
    <w:p w14:paraId="3392645C" w14:textId="075F32B0" w:rsidR="003263B0" w:rsidRPr="00BC118E" w:rsidRDefault="004145EB" w:rsidP="007C3A8E">
      <w:pPr>
        <w:pStyle w:val="NormalWeb"/>
        <w:spacing w:line="480" w:lineRule="auto"/>
        <w:ind w:left="480" w:hanging="480"/>
        <w:rPr>
          <w:rFonts w:asciiTheme="minorHAnsi" w:hAnsiTheme="minorHAnsi" w:cs="AdvTT6780a46b"/>
        </w:rPr>
      </w:pPr>
      <w:r w:rsidRPr="00BC118E">
        <w:rPr>
          <w:rFonts w:asciiTheme="minorHAnsi" w:hAnsiTheme="minorHAnsi" w:cs="AdvTT6780a46b"/>
        </w:rPr>
        <w:t xml:space="preserve">Morley, S., &amp; </w:t>
      </w:r>
      <w:proofErr w:type="spellStart"/>
      <w:r w:rsidRPr="00BC118E">
        <w:rPr>
          <w:rFonts w:asciiTheme="minorHAnsi" w:hAnsiTheme="minorHAnsi" w:cs="AdvTT6780a46b"/>
        </w:rPr>
        <w:t>Dowzer</w:t>
      </w:r>
      <w:proofErr w:type="spellEnd"/>
      <w:r w:rsidRPr="00BC118E">
        <w:rPr>
          <w:rFonts w:asciiTheme="minorHAnsi" w:hAnsiTheme="minorHAnsi" w:cs="AdvTT6780a46b"/>
        </w:rPr>
        <w:t xml:space="preserve">, C.N. (2014). Manual for the Leeds Reliable Change Indicator: Simple Excel applications for the analysis of individual patient and group data. </w:t>
      </w:r>
      <w:r w:rsidRPr="00BC118E">
        <w:rPr>
          <w:rFonts w:asciiTheme="minorHAnsi" w:hAnsiTheme="minorHAnsi" w:cs="AdvTT6780a46b"/>
          <w:i/>
        </w:rPr>
        <w:t xml:space="preserve">Leeds, UK: University of Leeds. </w:t>
      </w:r>
      <w:r w:rsidRPr="00BC118E">
        <w:rPr>
          <w:rFonts w:asciiTheme="minorHAnsi" w:hAnsiTheme="minorHAnsi" w:cs="AdvTT6780a46b"/>
        </w:rPr>
        <w:t xml:space="preserve"> </w:t>
      </w:r>
    </w:p>
    <w:p w14:paraId="178D01AE" w14:textId="6A2850F8" w:rsidR="002447F9" w:rsidRPr="00BC118E" w:rsidRDefault="002447F9" w:rsidP="007C3A8E">
      <w:pPr>
        <w:pStyle w:val="NormalWeb"/>
        <w:spacing w:line="480" w:lineRule="auto"/>
        <w:ind w:left="480" w:hanging="480"/>
        <w:rPr>
          <w:rFonts w:asciiTheme="minorHAnsi" w:hAnsiTheme="minorHAnsi" w:cs="AdvTT6780a46b"/>
        </w:rPr>
      </w:pPr>
      <w:r w:rsidRPr="00BC118E">
        <w:rPr>
          <w:rFonts w:asciiTheme="minorHAnsi" w:hAnsiTheme="minorHAnsi" w:cs="AdvTT6780a46b"/>
        </w:rPr>
        <w:t xml:space="preserve">Moussavi, S., </w:t>
      </w:r>
      <w:proofErr w:type="spellStart"/>
      <w:r w:rsidRPr="00BC118E">
        <w:rPr>
          <w:rFonts w:asciiTheme="minorHAnsi" w:hAnsiTheme="minorHAnsi" w:cs="AdvTT6780a46b"/>
        </w:rPr>
        <w:t>Chatterji</w:t>
      </w:r>
      <w:proofErr w:type="spellEnd"/>
      <w:r w:rsidRPr="00BC118E">
        <w:rPr>
          <w:rFonts w:asciiTheme="minorHAnsi" w:hAnsiTheme="minorHAnsi" w:cs="AdvTT6780a46b"/>
        </w:rPr>
        <w:t xml:space="preserve">, S., Verdes, E., Tandon, A., Patel, V., &amp; </w:t>
      </w:r>
      <w:proofErr w:type="spellStart"/>
      <w:r w:rsidRPr="00BC118E">
        <w:rPr>
          <w:rFonts w:asciiTheme="minorHAnsi" w:hAnsiTheme="minorHAnsi" w:cs="AdvTT6780a46b"/>
        </w:rPr>
        <w:t>Ustun</w:t>
      </w:r>
      <w:proofErr w:type="spellEnd"/>
      <w:r w:rsidRPr="00BC118E">
        <w:rPr>
          <w:rFonts w:asciiTheme="minorHAnsi" w:hAnsiTheme="minorHAnsi" w:cs="AdvTT6780a46b"/>
        </w:rPr>
        <w:t xml:space="preserve">, B. (2007). Depression, chronic diseases, and decrements in health: results from the World Health Surveys. </w:t>
      </w:r>
      <w:r w:rsidRPr="00BC118E">
        <w:rPr>
          <w:rFonts w:asciiTheme="minorHAnsi" w:hAnsiTheme="minorHAnsi" w:cs="AdvTT6780a46b"/>
          <w:i/>
        </w:rPr>
        <w:t xml:space="preserve">The Lancet, 370, </w:t>
      </w:r>
      <w:r w:rsidRPr="00BC118E">
        <w:rPr>
          <w:rFonts w:asciiTheme="minorHAnsi" w:hAnsiTheme="minorHAnsi" w:cs="AdvTT6780a46b"/>
        </w:rPr>
        <w:t xml:space="preserve">851-858. </w:t>
      </w:r>
    </w:p>
    <w:p w14:paraId="7B2C8116" w14:textId="27B71B6D" w:rsidR="003263B0" w:rsidRPr="00BC118E" w:rsidRDefault="000D7AA2" w:rsidP="007C3A8E">
      <w:pPr>
        <w:pStyle w:val="NormalWeb"/>
        <w:spacing w:line="480" w:lineRule="auto"/>
        <w:ind w:left="480" w:hanging="480"/>
        <w:rPr>
          <w:rFonts w:asciiTheme="minorHAnsi" w:eastAsia="ScalaLancetPro" w:hAnsiTheme="minorHAnsi" w:cs="ScalaLancetPro"/>
        </w:rPr>
      </w:pPr>
      <w:r w:rsidRPr="00BC118E">
        <w:rPr>
          <w:rFonts w:asciiTheme="minorHAnsi" w:eastAsia="ScalaLancetPro" w:hAnsiTheme="minorHAnsi" w:cs="ScalaLancetPro"/>
        </w:rPr>
        <w:lastRenderedPageBreak/>
        <w:t xml:space="preserve">Naylor, C., Parsonage, M., McDaid, D., Knapp, M., </w:t>
      </w:r>
      <w:proofErr w:type="spellStart"/>
      <w:r w:rsidRPr="00BC118E">
        <w:rPr>
          <w:rFonts w:asciiTheme="minorHAnsi" w:eastAsia="ScalaLancetPro" w:hAnsiTheme="minorHAnsi" w:cs="ScalaLancetPro"/>
        </w:rPr>
        <w:t>Fossey</w:t>
      </w:r>
      <w:proofErr w:type="spellEnd"/>
      <w:r w:rsidRPr="00BC118E">
        <w:rPr>
          <w:rFonts w:asciiTheme="minorHAnsi" w:eastAsia="ScalaLancetPro" w:hAnsiTheme="minorHAnsi" w:cs="ScalaLancetPro"/>
        </w:rPr>
        <w:t xml:space="preserve">, M. &amp; Galea, A. (2012). </w:t>
      </w:r>
      <w:r w:rsidRPr="00BC118E">
        <w:rPr>
          <w:rFonts w:asciiTheme="minorHAnsi" w:eastAsia="ScalaLancetPro" w:hAnsiTheme="minorHAnsi" w:cs="ScalaLancetPro"/>
          <w:i/>
        </w:rPr>
        <w:t>Long term conditions and mental health: The cost of co-morbidities.</w:t>
      </w:r>
      <w:r w:rsidRPr="00BC118E">
        <w:rPr>
          <w:rFonts w:asciiTheme="minorHAnsi" w:eastAsia="ScalaLancetPro" w:hAnsiTheme="minorHAnsi" w:cs="ScalaLancetPro"/>
        </w:rPr>
        <w:t xml:space="preserve"> </w:t>
      </w:r>
    </w:p>
    <w:p w14:paraId="6299899D" w14:textId="14FCC374" w:rsidR="003263B0" w:rsidRPr="00BC118E" w:rsidRDefault="004145EB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/>
          <w:color w:val="auto"/>
        </w:rPr>
      </w:pPr>
      <w:r w:rsidRPr="00BC118E">
        <w:rPr>
          <w:rFonts w:asciiTheme="minorHAnsi" w:hAnsiTheme="minorHAnsi"/>
        </w:rPr>
        <w:t xml:space="preserve">NHS England (2014). </w:t>
      </w:r>
      <w:r w:rsidRPr="00BC118E">
        <w:rPr>
          <w:rFonts w:asciiTheme="minorHAnsi" w:hAnsiTheme="minorHAnsi"/>
          <w:i/>
        </w:rPr>
        <w:t>Five Year Forward View.</w:t>
      </w:r>
      <w:r w:rsidRPr="00BC118E">
        <w:rPr>
          <w:rFonts w:asciiTheme="minorHAnsi" w:hAnsiTheme="minorHAnsi"/>
        </w:rPr>
        <w:t xml:space="preserve"> London: NHS England. </w:t>
      </w:r>
    </w:p>
    <w:p w14:paraId="2764A055" w14:textId="3FE2EFD7" w:rsidR="003263B0" w:rsidRPr="00BC118E" w:rsidRDefault="004145EB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 w:cs="Segoe UI"/>
          <w:color w:val="auto"/>
        </w:rPr>
      </w:pPr>
      <w:r w:rsidRPr="00BC118E">
        <w:rPr>
          <w:rFonts w:asciiTheme="minorHAnsi" w:hAnsiTheme="minorHAnsi"/>
        </w:rPr>
        <w:t xml:space="preserve">NHS England (2018). </w:t>
      </w:r>
      <w:r w:rsidRPr="00BC118E">
        <w:rPr>
          <w:rFonts w:asciiTheme="minorHAnsi" w:hAnsiTheme="minorHAnsi" w:cs="Segoe UI"/>
          <w:i/>
        </w:rPr>
        <w:t xml:space="preserve">The Improving Access to Psychological Therapies (IAPT) Pathway for People with Long-term Physical Health Conditions and Medically Unexplained Symptoms. </w:t>
      </w:r>
    </w:p>
    <w:p w14:paraId="54A5BA06" w14:textId="0017D583" w:rsidR="00BC4F4A" w:rsidRPr="00BC118E" w:rsidRDefault="0046799A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/>
          <w:color w:val="auto"/>
          <w:bdr w:val="none" w:sz="0" w:space="0" w:color="auto" w:frame="1"/>
          <w:shd w:val="clear" w:color="auto" w:fill="FFFFFF"/>
        </w:rPr>
      </w:pPr>
      <w:r w:rsidRPr="00BC118E">
        <w:rPr>
          <w:rFonts w:asciiTheme="minorHAnsi" w:hAnsiTheme="minorHAnsi" w:cs="MetaPro-Light"/>
        </w:rPr>
        <w:t xml:space="preserve">Polonsky, W.H., Fisher, L., </w:t>
      </w:r>
      <w:proofErr w:type="spellStart"/>
      <w:r w:rsidRPr="00BC118E">
        <w:rPr>
          <w:rFonts w:asciiTheme="minorHAnsi" w:hAnsiTheme="minorHAnsi" w:cs="MetaPro-Light"/>
        </w:rPr>
        <w:t>Earles</w:t>
      </w:r>
      <w:proofErr w:type="spellEnd"/>
      <w:r w:rsidRPr="00BC118E">
        <w:rPr>
          <w:rFonts w:asciiTheme="minorHAnsi" w:hAnsiTheme="minorHAnsi" w:cs="MetaPro-Light"/>
        </w:rPr>
        <w:t xml:space="preserve">, J., </w:t>
      </w:r>
      <w:proofErr w:type="spellStart"/>
      <w:r w:rsidRPr="00BC118E">
        <w:rPr>
          <w:rFonts w:asciiTheme="minorHAnsi" w:hAnsiTheme="minorHAnsi" w:cs="MetaPro-Light"/>
        </w:rPr>
        <w:t>Dudl</w:t>
      </w:r>
      <w:proofErr w:type="spellEnd"/>
      <w:r w:rsidRPr="00BC118E">
        <w:rPr>
          <w:rFonts w:asciiTheme="minorHAnsi" w:hAnsiTheme="minorHAnsi" w:cs="MetaPro-Light"/>
        </w:rPr>
        <w:t xml:space="preserve">, R.J., Lees, J., Mullan, J., &amp; Jackson, R.A. (2005). Assessing psychosocial distress in diabetes: development of the diabetes distress scale, </w:t>
      </w:r>
      <w:r w:rsidRPr="00BC118E">
        <w:rPr>
          <w:rFonts w:asciiTheme="minorHAnsi" w:hAnsiTheme="minorHAnsi" w:cs="MetaPro-Light"/>
          <w:i/>
        </w:rPr>
        <w:t xml:space="preserve">Diabetes Care, 28(3), </w:t>
      </w:r>
      <w:r w:rsidRPr="00BC118E">
        <w:rPr>
          <w:rFonts w:asciiTheme="minorHAnsi" w:hAnsiTheme="minorHAnsi" w:cs="MetaPro-Light"/>
        </w:rPr>
        <w:t xml:space="preserve">626-631. </w:t>
      </w:r>
    </w:p>
    <w:p w14:paraId="433352EB" w14:textId="2D66C43A" w:rsidR="00BC4F4A" w:rsidRPr="00BC118E" w:rsidRDefault="004145EB" w:rsidP="007C3A8E">
      <w:pPr>
        <w:pStyle w:val="NormalWeb"/>
        <w:spacing w:line="480" w:lineRule="auto"/>
        <w:ind w:left="480" w:hanging="480"/>
        <w:rPr>
          <w:rStyle w:val="Hyperlink"/>
          <w:rFonts w:asciiTheme="minorHAnsi" w:hAnsiTheme="minorHAnsi"/>
          <w:bCs/>
          <w:color w:val="auto"/>
          <w:shd w:val="clear" w:color="auto" w:fill="FFFFFF"/>
        </w:rPr>
      </w:pPr>
      <w:r w:rsidRPr="00BC118E">
        <w:rPr>
          <w:rFonts w:asciiTheme="minorHAnsi" w:hAnsiTheme="minorHAnsi"/>
          <w:bCs/>
          <w:shd w:val="clear" w:color="auto" w:fill="FFFFFF"/>
        </w:rPr>
        <w:t xml:space="preserve">Royal College of Psychiatrists (2015). </w:t>
      </w:r>
      <w:r w:rsidRPr="00BC118E">
        <w:rPr>
          <w:rFonts w:asciiTheme="minorHAnsi" w:hAnsiTheme="minorHAnsi"/>
          <w:bCs/>
          <w:i/>
          <w:shd w:val="clear" w:color="auto" w:fill="FFFFFF"/>
        </w:rPr>
        <w:t xml:space="preserve">Providing evidence-based psychological therapies to people with long-term conditions and/or medically unexplained symptoms. </w:t>
      </w:r>
    </w:p>
    <w:p w14:paraId="70CE921B" w14:textId="5A82C368" w:rsidR="00BC4F4A" w:rsidRPr="00BC118E" w:rsidRDefault="004145EB" w:rsidP="007C3A8E">
      <w:pPr>
        <w:pStyle w:val="NormalWeb"/>
        <w:spacing w:line="480" w:lineRule="auto"/>
        <w:ind w:left="480" w:hanging="480"/>
        <w:rPr>
          <w:rFonts w:asciiTheme="minorHAnsi" w:hAnsiTheme="minorHAnsi"/>
        </w:rPr>
      </w:pPr>
      <w:r w:rsidRPr="00BC118E">
        <w:rPr>
          <w:rFonts w:asciiTheme="minorHAnsi" w:hAnsiTheme="minorHAnsi"/>
        </w:rPr>
        <w:t xml:space="preserve">Smith, L.L., Burnet, S.P., &amp; McNeil, J.D. (2003). Musculoskeletal manifestations of diabetes mellitus. </w:t>
      </w:r>
      <w:r w:rsidRPr="00BC118E">
        <w:rPr>
          <w:rFonts w:asciiTheme="minorHAnsi" w:hAnsiTheme="minorHAnsi"/>
          <w:i/>
        </w:rPr>
        <w:t xml:space="preserve">British Journal of Sports Medicine, 37(1), </w:t>
      </w:r>
      <w:r w:rsidRPr="00BC118E">
        <w:rPr>
          <w:rFonts w:asciiTheme="minorHAnsi" w:hAnsiTheme="minorHAnsi"/>
        </w:rPr>
        <w:t xml:space="preserve">30-35. </w:t>
      </w:r>
    </w:p>
    <w:p w14:paraId="78AC99E5" w14:textId="658F4831" w:rsidR="00184961" w:rsidRPr="00BC118E" w:rsidRDefault="00184961" w:rsidP="007C3A8E">
      <w:pPr>
        <w:pStyle w:val="NormalWeb"/>
        <w:spacing w:line="480" w:lineRule="auto"/>
        <w:ind w:left="480" w:hanging="480"/>
        <w:rPr>
          <w:rFonts w:asciiTheme="minorHAnsi" w:hAnsiTheme="minorHAnsi" w:cs="Arial"/>
        </w:rPr>
      </w:pPr>
      <w:r w:rsidRPr="00BC118E">
        <w:rPr>
          <w:rFonts w:asciiTheme="minorHAnsi" w:hAnsiTheme="minorHAnsi" w:cs="Tahoma"/>
        </w:rPr>
        <w:t xml:space="preserve">Spitzer, R.L., Kroenke, K., Williams, J.B., &amp; </w:t>
      </w:r>
      <w:proofErr w:type="spellStart"/>
      <w:r w:rsidRPr="00BC118E">
        <w:rPr>
          <w:rFonts w:asciiTheme="minorHAnsi" w:hAnsiTheme="minorHAnsi" w:cs="Tahoma"/>
        </w:rPr>
        <w:t>L</w:t>
      </w:r>
      <w:r w:rsidRPr="00BC118E">
        <w:rPr>
          <w:rFonts w:asciiTheme="minorHAnsi" w:hAnsiTheme="minorHAnsi" w:cs="Lucida Grande"/>
        </w:rPr>
        <w:t>öwe</w:t>
      </w:r>
      <w:proofErr w:type="spellEnd"/>
      <w:r w:rsidRPr="00BC118E">
        <w:rPr>
          <w:rFonts w:asciiTheme="minorHAnsi" w:hAnsiTheme="minorHAnsi" w:cs="Lucida Grande"/>
        </w:rPr>
        <w:t xml:space="preserve">, B. (2006). A brief measure for assessing generalized anxiety disorder: the GAD-7. </w:t>
      </w:r>
      <w:r w:rsidRPr="00BC118E">
        <w:rPr>
          <w:rFonts w:asciiTheme="minorHAnsi" w:hAnsiTheme="minorHAnsi" w:cs="Lucida Grande"/>
          <w:i/>
        </w:rPr>
        <w:t xml:space="preserve">Archives of Internal Medicine, 166(10), </w:t>
      </w:r>
      <w:r w:rsidRPr="00BC118E">
        <w:rPr>
          <w:rFonts w:asciiTheme="minorHAnsi" w:hAnsiTheme="minorHAnsi" w:cs="Lucida Grande"/>
        </w:rPr>
        <w:t xml:space="preserve">1092-1097. </w:t>
      </w:r>
    </w:p>
    <w:p w14:paraId="3264951F" w14:textId="44D170B8" w:rsidR="004B7E97" w:rsidRPr="00BC118E" w:rsidRDefault="004145EB" w:rsidP="007C3A8E">
      <w:pPr>
        <w:pStyle w:val="NormalWeb"/>
        <w:spacing w:line="480" w:lineRule="auto"/>
        <w:ind w:left="480" w:hanging="480"/>
        <w:rPr>
          <w:rFonts w:asciiTheme="minorHAnsi" w:hAnsiTheme="minorHAnsi" w:cs="Arial"/>
        </w:rPr>
      </w:pPr>
      <w:r w:rsidRPr="00BC118E">
        <w:rPr>
          <w:rFonts w:asciiTheme="minorHAnsi" w:hAnsiTheme="minorHAnsi"/>
        </w:rPr>
        <w:t xml:space="preserve">Uchendu, C., &amp; Blake, H. (2016). </w:t>
      </w:r>
      <w:r w:rsidR="00167552" w:rsidRPr="00BC118E">
        <w:rPr>
          <w:rFonts w:asciiTheme="minorHAnsi" w:hAnsiTheme="minorHAnsi"/>
        </w:rPr>
        <w:t xml:space="preserve">Effectiveness of cognitive-behavioural therapy on glycaemic control and psychological outcomes in adults with diabetes mellitus: a systematic review and meta-analysis of randomized controlled trials. </w:t>
      </w:r>
      <w:r w:rsidRPr="00BC118E">
        <w:rPr>
          <w:rFonts w:asciiTheme="minorHAnsi" w:hAnsiTheme="minorHAnsi"/>
          <w:i/>
        </w:rPr>
        <w:t xml:space="preserve">Diabetic Medicine, 34(3), </w:t>
      </w:r>
      <w:r w:rsidRPr="00BC118E">
        <w:rPr>
          <w:rFonts w:asciiTheme="minorHAnsi" w:hAnsiTheme="minorHAnsi"/>
        </w:rPr>
        <w:t xml:space="preserve">297-452. </w:t>
      </w:r>
    </w:p>
    <w:p w14:paraId="507DB5BF" w14:textId="6244DB20" w:rsidR="0080389E" w:rsidRPr="00BC118E" w:rsidRDefault="008300D9" w:rsidP="002C0EA9">
      <w:pPr>
        <w:pStyle w:val="NormalWeb"/>
        <w:spacing w:line="480" w:lineRule="auto"/>
        <w:ind w:left="480" w:hanging="480"/>
      </w:pPr>
      <w:proofErr w:type="spellStart"/>
      <w:r w:rsidRPr="00BC118E">
        <w:rPr>
          <w:rFonts w:asciiTheme="minorHAnsi" w:hAnsiTheme="minorHAnsi"/>
        </w:rPr>
        <w:lastRenderedPageBreak/>
        <w:t>Vamos</w:t>
      </w:r>
      <w:proofErr w:type="spellEnd"/>
      <w:r w:rsidRPr="00BC118E">
        <w:rPr>
          <w:rFonts w:asciiTheme="minorHAnsi" w:hAnsiTheme="minorHAnsi"/>
        </w:rPr>
        <w:t xml:space="preserve">, E.P., </w:t>
      </w:r>
      <w:proofErr w:type="spellStart"/>
      <w:r w:rsidRPr="00BC118E">
        <w:rPr>
          <w:rFonts w:asciiTheme="minorHAnsi" w:hAnsiTheme="minorHAnsi"/>
        </w:rPr>
        <w:t>Mucsi</w:t>
      </w:r>
      <w:proofErr w:type="spellEnd"/>
      <w:r w:rsidRPr="00BC118E">
        <w:rPr>
          <w:rFonts w:asciiTheme="minorHAnsi" w:hAnsiTheme="minorHAnsi"/>
        </w:rPr>
        <w:t xml:space="preserve">, I., </w:t>
      </w:r>
      <w:proofErr w:type="spellStart"/>
      <w:r w:rsidRPr="00BC118E">
        <w:rPr>
          <w:rFonts w:asciiTheme="minorHAnsi" w:hAnsiTheme="minorHAnsi"/>
        </w:rPr>
        <w:t>Keszei</w:t>
      </w:r>
      <w:proofErr w:type="spellEnd"/>
      <w:r w:rsidRPr="00BC118E">
        <w:rPr>
          <w:rFonts w:asciiTheme="minorHAnsi" w:hAnsiTheme="minorHAnsi"/>
        </w:rPr>
        <w:t xml:space="preserve">, A., Kopp, M.S., &amp; Novak, M. (2009). Comorbid depression is associated with increased healthcare utilization and lost productivity in persons with diabetes. </w:t>
      </w:r>
      <w:r w:rsidRPr="00BC118E">
        <w:rPr>
          <w:rFonts w:asciiTheme="minorHAnsi" w:hAnsiTheme="minorHAnsi"/>
          <w:i/>
        </w:rPr>
        <w:t xml:space="preserve">Psychosomatic medicine, 71(5), </w:t>
      </w:r>
      <w:r w:rsidRPr="00BC118E">
        <w:rPr>
          <w:rFonts w:asciiTheme="minorHAnsi" w:hAnsiTheme="minorHAnsi"/>
        </w:rPr>
        <w:t xml:space="preserve">501-507. </w:t>
      </w:r>
    </w:p>
    <w:p w14:paraId="01B23F66" w14:textId="77777777" w:rsidR="0080389E" w:rsidRPr="00BC118E" w:rsidRDefault="0080389E" w:rsidP="00BC118E">
      <w:pPr>
        <w:rPr>
          <w:sz w:val="24"/>
          <w:szCs w:val="24"/>
        </w:rPr>
      </w:pPr>
    </w:p>
    <w:p w14:paraId="59159771" w14:textId="77777777" w:rsidR="0080389E" w:rsidRPr="00BC118E" w:rsidRDefault="0080389E" w:rsidP="00BC118E">
      <w:pPr>
        <w:rPr>
          <w:sz w:val="24"/>
          <w:szCs w:val="24"/>
        </w:rPr>
      </w:pPr>
    </w:p>
    <w:sectPr w:rsidR="0080389E" w:rsidRPr="00BC1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11536" w14:textId="77777777" w:rsidR="005B1321" w:rsidRDefault="005B1321" w:rsidP="004B17F8">
      <w:pPr>
        <w:spacing w:after="0" w:line="240" w:lineRule="auto"/>
      </w:pPr>
      <w:r>
        <w:separator/>
      </w:r>
    </w:p>
  </w:endnote>
  <w:endnote w:type="continuationSeparator" w:id="0">
    <w:p w14:paraId="7BB7BA37" w14:textId="77777777" w:rsidR="005B1321" w:rsidRDefault="005B1321" w:rsidP="004B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LT St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ro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etaPro-LightIta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calaLancetPro">
    <w:altName w:val="Cambria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dvOT46dcae81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vTT6780a46b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24A0" w14:textId="77777777" w:rsidR="005B1321" w:rsidRDefault="005B1321" w:rsidP="004B17F8">
      <w:pPr>
        <w:spacing w:after="0" w:line="240" w:lineRule="auto"/>
      </w:pPr>
      <w:r>
        <w:separator/>
      </w:r>
    </w:p>
  </w:footnote>
  <w:footnote w:type="continuationSeparator" w:id="0">
    <w:p w14:paraId="2EAFEBCD" w14:textId="77777777" w:rsidR="005B1321" w:rsidRDefault="005B1321" w:rsidP="004B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0E67AF"/>
    <w:multiLevelType w:val="hybridMultilevel"/>
    <w:tmpl w:val="F54E3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B02791"/>
    <w:multiLevelType w:val="hybridMultilevel"/>
    <w:tmpl w:val="4C721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17BA8"/>
    <w:multiLevelType w:val="hybridMultilevel"/>
    <w:tmpl w:val="7AF20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4A94"/>
    <w:multiLevelType w:val="hybridMultilevel"/>
    <w:tmpl w:val="A798E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9379DA"/>
    <w:multiLevelType w:val="hybridMultilevel"/>
    <w:tmpl w:val="E452A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E1F86"/>
    <w:multiLevelType w:val="hybridMultilevel"/>
    <w:tmpl w:val="2C6ED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E4B34"/>
    <w:multiLevelType w:val="hybridMultilevel"/>
    <w:tmpl w:val="815C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B2221"/>
    <w:multiLevelType w:val="hybridMultilevel"/>
    <w:tmpl w:val="186EA9D6"/>
    <w:lvl w:ilvl="0" w:tplc="5C7A15E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5C7A15E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E49B4"/>
    <w:multiLevelType w:val="hybridMultilevel"/>
    <w:tmpl w:val="0D90B980"/>
    <w:lvl w:ilvl="0" w:tplc="320A05C8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CE4C75"/>
    <w:multiLevelType w:val="hybridMultilevel"/>
    <w:tmpl w:val="E51CF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76147"/>
    <w:multiLevelType w:val="hybridMultilevel"/>
    <w:tmpl w:val="56D0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9217FF"/>
    <w:multiLevelType w:val="hybridMultilevel"/>
    <w:tmpl w:val="69C2BEF2"/>
    <w:lvl w:ilvl="0" w:tplc="5C7A15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E4C48"/>
    <w:multiLevelType w:val="hybridMultilevel"/>
    <w:tmpl w:val="70DC0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6200"/>
    <w:multiLevelType w:val="hybridMultilevel"/>
    <w:tmpl w:val="8392FFC8"/>
    <w:lvl w:ilvl="0" w:tplc="60AC29B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B2"/>
    <w:rsid w:val="0000170A"/>
    <w:rsid w:val="00002F43"/>
    <w:rsid w:val="0000559C"/>
    <w:rsid w:val="00005E50"/>
    <w:rsid w:val="0000692E"/>
    <w:rsid w:val="00011776"/>
    <w:rsid w:val="00015638"/>
    <w:rsid w:val="00020973"/>
    <w:rsid w:val="000277E3"/>
    <w:rsid w:val="00031E1E"/>
    <w:rsid w:val="00032C5C"/>
    <w:rsid w:val="000351C0"/>
    <w:rsid w:val="00035C3D"/>
    <w:rsid w:val="000362F2"/>
    <w:rsid w:val="00041302"/>
    <w:rsid w:val="00043673"/>
    <w:rsid w:val="00045A4E"/>
    <w:rsid w:val="00045BC2"/>
    <w:rsid w:val="00054B78"/>
    <w:rsid w:val="00056543"/>
    <w:rsid w:val="0005748D"/>
    <w:rsid w:val="00064698"/>
    <w:rsid w:val="000657EC"/>
    <w:rsid w:val="00067C12"/>
    <w:rsid w:val="00067E39"/>
    <w:rsid w:val="0007013E"/>
    <w:rsid w:val="00073DCE"/>
    <w:rsid w:val="000765BB"/>
    <w:rsid w:val="00086AF9"/>
    <w:rsid w:val="000877A0"/>
    <w:rsid w:val="000913A5"/>
    <w:rsid w:val="0009228B"/>
    <w:rsid w:val="0009451D"/>
    <w:rsid w:val="00097174"/>
    <w:rsid w:val="0009760D"/>
    <w:rsid w:val="000A4A0E"/>
    <w:rsid w:val="000A550A"/>
    <w:rsid w:val="000C2895"/>
    <w:rsid w:val="000C2FB1"/>
    <w:rsid w:val="000C42D7"/>
    <w:rsid w:val="000C4C22"/>
    <w:rsid w:val="000D0AB2"/>
    <w:rsid w:val="000D3135"/>
    <w:rsid w:val="000D62A7"/>
    <w:rsid w:val="000D7AA2"/>
    <w:rsid w:val="000E073E"/>
    <w:rsid w:val="000E6849"/>
    <w:rsid w:val="000E6918"/>
    <w:rsid w:val="000F0C58"/>
    <w:rsid w:val="001028FF"/>
    <w:rsid w:val="00104AC1"/>
    <w:rsid w:val="00110593"/>
    <w:rsid w:val="00111239"/>
    <w:rsid w:val="00112658"/>
    <w:rsid w:val="00114408"/>
    <w:rsid w:val="00115303"/>
    <w:rsid w:val="001162FF"/>
    <w:rsid w:val="00116432"/>
    <w:rsid w:val="0011652F"/>
    <w:rsid w:val="00117828"/>
    <w:rsid w:val="00120BB2"/>
    <w:rsid w:val="00121527"/>
    <w:rsid w:val="00123264"/>
    <w:rsid w:val="00125715"/>
    <w:rsid w:val="001263AF"/>
    <w:rsid w:val="00134945"/>
    <w:rsid w:val="0013726D"/>
    <w:rsid w:val="00140EB4"/>
    <w:rsid w:val="00140F82"/>
    <w:rsid w:val="001512C2"/>
    <w:rsid w:val="00152F9C"/>
    <w:rsid w:val="00167552"/>
    <w:rsid w:val="0018147C"/>
    <w:rsid w:val="00184961"/>
    <w:rsid w:val="00186354"/>
    <w:rsid w:val="00186A8B"/>
    <w:rsid w:val="00186BA3"/>
    <w:rsid w:val="0019242D"/>
    <w:rsid w:val="001937C1"/>
    <w:rsid w:val="00195788"/>
    <w:rsid w:val="001A1B6C"/>
    <w:rsid w:val="001A26B7"/>
    <w:rsid w:val="001A659A"/>
    <w:rsid w:val="001B21D2"/>
    <w:rsid w:val="001B59E7"/>
    <w:rsid w:val="001B63DA"/>
    <w:rsid w:val="001B7E04"/>
    <w:rsid w:val="001C1D38"/>
    <w:rsid w:val="001C2F13"/>
    <w:rsid w:val="001C433F"/>
    <w:rsid w:val="001C6A5A"/>
    <w:rsid w:val="001C7DC1"/>
    <w:rsid w:val="001D4D16"/>
    <w:rsid w:val="001E1488"/>
    <w:rsid w:val="001E2902"/>
    <w:rsid w:val="001E46FD"/>
    <w:rsid w:val="001F082B"/>
    <w:rsid w:val="001F2073"/>
    <w:rsid w:val="001F2765"/>
    <w:rsid w:val="00203A16"/>
    <w:rsid w:val="00210291"/>
    <w:rsid w:val="00214D4B"/>
    <w:rsid w:val="00216318"/>
    <w:rsid w:val="0022177F"/>
    <w:rsid w:val="002248E0"/>
    <w:rsid w:val="00225EBB"/>
    <w:rsid w:val="0022669B"/>
    <w:rsid w:val="002359A4"/>
    <w:rsid w:val="00243C1D"/>
    <w:rsid w:val="002447F9"/>
    <w:rsid w:val="002471E2"/>
    <w:rsid w:val="00250BB7"/>
    <w:rsid w:val="00252EE2"/>
    <w:rsid w:val="002550C6"/>
    <w:rsid w:val="002555E5"/>
    <w:rsid w:val="00260ED1"/>
    <w:rsid w:val="002619DD"/>
    <w:rsid w:val="00263D1B"/>
    <w:rsid w:val="002663AD"/>
    <w:rsid w:val="00266BF6"/>
    <w:rsid w:val="002700CE"/>
    <w:rsid w:val="00271DB7"/>
    <w:rsid w:val="00273DE5"/>
    <w:rsid w:val="002742C4"/>
    <w:rsid w:val="002749DE"/>
    <w:rsid w:val="00275A67"/>
    <w:rsid w:val="002824DE"/>
    <w:rsid w:val="0028484F"/>
    <w:rsid w:val="00292C54"/>
    <w:rsid w:val="0029374A"/>
    <w:rsid w:val="002B497F"/>
    <w:rsid w:val="002B61E1"/>
    <w:rsid w:val="002C0EA9"/>
    <w:rsid w:val="002C256C"/>
    <w:rsid w:val="002C2A9B"/>
    <w:rsid w:val="002C3B31"/>
    <w:rsid w:val="002C478C"/>
    <w:rsid w:val="002C59F7"/>
    <w:rsid w:val="002C5D01"/>
    <w:rsid w:val="002C5D40"/>
    <w:rsid w:val="002D2937"/>
    <w:rsid w:val="002D4249"/>
    <w:rsid w:val="002D4E6D"/>
    <w:rsid w:val="002D643D"/>
    <w:rsid w:val="002D7D93"/>
    <w:rsid w:val="002E056F"/>
    <w:rsid w:val="002E0BA4"/>
    <w:rsid w:val="002E5A48"/>
    <w:rsid w:val="002F0DDA"/>
    <w:rsid w:val="002F3BCF"/>
    <w:rsid w:val="002F46E4"/>
    <w:rsid w:val="002F6394"/>
    <w:rsid w:val="002F6963"/>
    <w:rsid w:val="002F6AB9"/>
    <w:rsid w:val="00300AFB"/>
    <w:rsid w:val="00302E47"/>
    <w:rsid w:val="00303F35"/>
    <w:rsid w:val="00306631"/>
    <w:rsid w:val="00306F2F"/>
    <w:rsid w:val="003072FD"/>
    <w:rsid w:val="003073E3"/>
    <w:rsid w:val="003108C2"/>
    <w:rsid w:val="00312E81"/>
    <w:rsid w:val="00317CE0"/>
    <w:rsid w:val="003202A6"/>
    <w:rsid w:val="003208B6"/>
    <w:rsid w:val="00320D77"/>
    <w:rsid w:val="00321498"/>
    <w:rsid w:val="003263B0"/>
    <w:rsid w:val="003309C5"/>
    <w:rsid w:val="00332B4B"/>
    <w:rsid w:val="00334C8E"/>
    <w:rsid w:val="00336037"/>
    <w:rsid w:val="00336C40"/>
    <w:rsid w:val="00341CCB"/>
    <w:rsid w:val="003433B5"/>
    <w:rsid w:val="0035287E"/>
    <w:rsid w:val="00355E50"/>
    <w:rsid w:val="0036482A"/>
    <w:rsid w:val="00364C24"/>
    <w:rsid w:val="003711AF"/>
    <w:rsid w:val="00373D5E"/>
    <w:rsid w:val="003758EA"/>
    <w:rsid w:val="003846FC"/>
    <w:rsid w:val="003862A0"/>
    <w:rsid w:val="00390DEE"/>
    <w:rsid w:val="0039300A"/>
    <w:rsid w:val="003A1BB9"/>
    <w:rsid w:val="003A1D94"/>
    <w:rsid w:val="003A1DB0"/>
    <w:rsid w:val="003A5242"/>
    <w:rsid w:val="003A6F3C"/>
    <w:rsid w:val="003A7241"/>
    <w:rsid w:val="003C35D4"/>
    <w:rsid w:val="003C3767"/>
    <w:rsid w:val="003C3DBB"/>
    <w:rsid w:val="003D1265"/>
    <w:rsid w:val="003D1374"/>
    <w:rsid w:val="003D1995"/>
    <w:rsid w:val="003D33FE"/>
    <w:rsid w:val="003F2422"/>
    <w:rsid w:val="003F2F0E"/>
    <w:rsid w:val="003F4169"/>
    <w:rsid w:val="0040031C"/>
    <w:rsid w:val="00400660"/>
    <w:rsid w:val="004009C9"/>
    <w:rsid w:val="00401009"/>
    <w:rsid w:val="00404482"/>
    <w:rsid w:val="00404CA9"/>
    <w:rsid w:val="004061B5"/>
    <w:rsid w:val="004066E4"/>
    <w:rsid w:val="00410841"/>
    <w:rsid w:val="0041130E"/>
    <w:rsid w:val="00412D94"/>
    <w:rsid w:val="00413613"/>
    <w:rsid w:val="00413F4F"/>
    <w:rsid w:val="004145EB"/>
    <w:rsid w:val="00415257"/>
    <w:rsid w:val="00417759"/>
    <w:rsid w:val="00417BF7"/>
    <w:rsid w:val="0042415B"/>
    <w:rsid w:val="00425FE5"/>
    <w:rsid w:val="00432783"/>
    <w:rsid w:val="00436B73"/>
    <w:rsid w:val="0044127E"/>
    <w:rsid w:val="004439E3"/>
    <w:rsid w:val="00443F70"/>
    <w:rsid w:val="00445A8A"/>
    <w:rsid w:val="004537BC"/>
    <w:rsid w:val="00453BB3"/>
    <w:rsid w:val="00455B50"/>
    <w:rsid w:val="0046799A"/>
    <w:rsid w:val="00470AD7"/>
    <w:rsid w:val="00470C10"/>
    <w:rsid w:val="0047126B"/>
    <w:rsid w:val="00475377"/>
    <w:rsid w:val="0048060F"/>
    <w:rsid w:val="00486A2E"/>
    <w:rsid w:val="004915D1"/>
    <w:rsid w:val="00493F4A"/>
    <w:rsid w:val="00494C34"/>
    <w:rsid w:val="00496CFD"/>
    <w:rsid w:val="004A15D3"/>
    <w:rsid w:val="004A62F6"/>
    <w:rsid w:val="004A6978"/>
    <w:rsid w:val="004B17F8"/>
    <w:rsid w:val="004B2B9A"/>
    <w:rsid w:val="004B4579"/>
    <w:rsid w:val="004B4B72"/>
    <w:rsid w:val="004B7E97"/>
    <w:rsid w:val="004C353A"/>
    <w:rsid w:val="004C44F4"/>
    <w:rsid w:val="004C524A"/>
    <w:rsid w:val="004D2EC8"/>
    <w:rsid w:val="004D66D5"/>
    <w:rsid w:val="004D6ECB"/>
    <w:rsid w:val="004D79A5"/>
    <w:rsid w:val="004E04A2"/>
    <w:rsid w:val="004E29CD"/>
    <w:rsid w:val="004E3EDF"/>
    <w:rsid w:val="004E41D2"/>
    <w:rsid w:val="004E7001"/>
    <w:rsid w:val="004E7AB5"/>
    <w:rsid w:val="004F3B1E"/>
    <w:rsid w:val="004F4269"/>
    <w:rsid w:val="00502024"/>
    <w:rsid w:val="0050486D"/>
    <w:rsid w:val="00510920"/>
    <w:rsid w:val="00513017"/>
    <w:rsid w:val="00513A7B"/>
    <w:rsid w:val="00517D7F"/>
    <w:rsid w:val="00520107"/>
    <w:rsid w:val="005239E6"/>
    <w:rsid w:val="005249AF"/>
    <w:rsid w:val="00532B87"/>
    <w:rsid w:val="00535F27"/>
    <w:rsid w:val="005373AB"/>
    <w:rsid w:val="0054145B"/>
    <w:rsid w:val="00542197"/>
    <w:rsid w:val="00544806"/>
    <w:rsid w:val="00551C74"/>
    <w:rsid w:val="00555E81"/>
    <w:rsid w:val="005617DF"/>
    <w:rsid w:val="00561987"/>
    <w:rsid w:val="005640B6"/>
    <w:rsid w:val="0056469B"/>
    <w:rsid w:val="0056473E"/>
    <w:rsid w:val="00570BD0"/>
    <w:rsid w:val="00571485"/>
    <w:rsid w:val="00572792"/>
    <w:rsid w:val="00572AD7"/>
    <w:rsid w:val="005731B1"/>
    <w:rsid w:val="0057526F"/>
    <w:rsid w:val="00575A93"/>
    <w:rsid w:val="0057747B"/>
    <w:rsid w:val="00581973"/>
    <w:rsid w:val="005836DC"/>
    <w:rsid w:val="00583E55"/>
    <w:rsid w:val="005855CD"/>
    <w:rsid w:val="005866A4"/>
    <w:rsid w:val="00593CFF"/>
    <w:rsid w:val="0059463F"/>
    <w:rsid w:val="00596451"/>
    <w:rsid w:val="00597F2F"/>
    <w:rsid w:val="005A2C41"/>
    <w:rsid w:val="005A4E69"/>
    <w:rsid w:val="005B018F"/>
    <w:rsid w:val="005B0376"/>
    <w:rsid w:val="005B1321"/>
    <w:rsid w:val="005B67F2"/>
    <w:rsid w:val="005C515C"/>
    <w:rsid w:val="005C5204"/>
    <w:rsid w:val="005C578F"/>
    <w:rsid w:val="005C7D60"/>
    <w:rsid w:val="005D0851"/>
    <w:rsid w:val="005D1A44"/>
    <w:rsid w:val="005E00F6"/>
    <w:rsid w:val="005E33F6"/>
    <w:rsid w:val="005E59B5"/>
    <w:rsid w:val="005F086D"/>
    <w:rsid w:val="005F1601"/>
    <w:rsid w:val="005F2024"/>
    <w:rsid w:val="005F3315"/>
    <w:rsid w:val="005F340A"/>
    <w:rsid w:val="005F5507"/>
    <w:rsid w:val="006010CD"/>
    <w:rsid w:val="00602A98"/>
    <w:rsid w:val="00606F72"/>
    <w:rsid w:val="0061038C"/>
    <w:rsid w:val="006118E3"/>
    <w:rsid w:val="006128DC"/>
    <w:rsid w:val="006130CB"/>
    <w:rsid w:val="006149A1"/>
    <w:rsid w:val="00614CFE"/>
    <w:rsid w:val="00614D62"/>
    <w:rsid w:val="00616068"/>
    <w:rsid w:val="00621F5C"/>
    <w:rsid w:val="006227DE"/>
    <w:rsid w:val="006319E9"/>
    <w:rsid w:val="0064089A"/>
    <w:rsid w:val="00641147"/>
    <w:rsid w:val="00641463"/>
    <w:rsid w:val="00641CD9"/>
    <w:rsid w:val="00642910"/>
    <w:rsid w:val="006505AB"/>
    <w:rsid w:val="00652F1E"/>
    <w:rsid w:val="00653C5A"/>
    <w:rsid w:val="00654BDE"/>
    <w:rsid w:val="00656757"/>
    <w:rsid w:val="00660116"/>
    <w:rsid w:val="00660B90"/>
    <w:rsid w:val="00672E5C"/>
    <w:rsid w:val="006770EC"/>
    <w:rsid w:val="00681FFA"/>
    <w:rsid w:val="00685C0B"/>
    <w:rsid w:val="00692FBE"/>
    <w:rsid w:val="006938AB"/>
    <w:rsid w:val="00694F04"/>
    <w:rsid w:val="00695C85"/>
    <w:rsid w:val="00696F32"/>
    <w:rsid w:val="006A1B64"/>
    <w:rsid w:val="006A3C39"/>
    <w:rsid w:val="006B3530"/>
    <w:rsid w:val="006B5820"/>
    <w:rsid w:val="006B773C"/>
    <w:rsid w:val="006C6674"/>
    <w:rsid w:val="006C6FB6"/>
    <w:rsid w:val="006D11F7"/>
    <w:rsid w:val="006D1721"/>
    <w:rsid w:val="006D29C1"/>
    <w:rsid w:val="006D35B5"/>
    <w:rsid w:val="006D4D4A"/>
    <w:rsid w:val="006D5C11"/>
    <w:rsid w:val="006E26F8"/>
    <w:rsid w:val="006E2EB8"/>
    <w:rsid w:val="006E329D"/>
    <w:rsid w:val="006E38F7"/>
    <w:rsid w:val="006E786F"/>
    <w:rsid w:val="006F42C6"/>
    <w:rsid w:val="006F4949"/>
    <w:rsid w:val="006F4EEC"/>
    <w:rsid w:val="006F6EFA"/>
    <w:rsid w:val="006F70D5"/>
    <w:rsid w:val="00700C7E"/>
    <w:rsid w:val="007014A4"/>
    <w:rsid w:val="007046CB"/>
    <w:rsid w:val="007051B2"/>
    <w:rsid w:val="00707E1E"/>
    <w:rsid w:val="0071089D"/>
    <w:rsid w:val="007110A4"/>
    <w:rsid w:val="007125C3"/>
    <w:rsid w:val="00713470"/>
    <w:rsid w:val="0071683A"/>
    <w:rsid w:val="0072270C"/>
    <w:rsid w:val="00723601"/>
    <w:rsid w:val="007239D6"/>
    <w:rsid w:val="00724044"/>
    <w:rsid w:val="007240E7"/>
    <w:rsid w:val="00724FD5"/>
    <w:rsid w:val="00725065"/>
    <w:rsid w:val="007258D4"/>
    <w:rsid w:val="00725C2D"/>
    <w:rsid w:val="00735E7C"/>
    <w:rsid w:val="007360C0"/>
    <w:rsid w:val="007371D2"/>
    <w:rsid w:val="00742A7F"/>
    <w:rsid w:val="00743AE5"/>
    <w:rsid w:val="00751C74"/>
    <w:rsid w:val="00752545"/>
    <w:rsid w:val="007619E4"/>
    <w:rsid w:val="00777BA7"/>
    <w:rsid w:val="00777BF5"/>
    <w:rsid w:val="00783994"/>
    <w:rsid w:val="00784EE8"/>
    <w:rsid w:val="00790124"/>
    <w:rsid w:val="00791C35"/>
    <w:rsid w:val="00794AA1"/>
    <w:rsid w:val="00795AD1"/>
    <w:rsid w:val="007A3688"/>
    <w:rsid w:val="007A3F4C"/>
    <w:rsid w:val="007B4895"/>
    <w:rsid w:val="007C3A8E"/>
    <w:rsid w:val="007C421E"/>
    <w:rsid w:val="007C709A"/>
    <w:rsid w:val="007D3A7C"/>
    <w:rsid w:val="007D4A87"/>
    <w:rsid w:val="007D4D79"/>
    <w:rsid w:val="007D5D60"/>
    <w:rsid w:val="007D7F2E"/>
    <w:rsid w:val="007E14D4"/>
    <w:rsid w:val="007E305C"/>
    <w:rsid w:val="007E54AE"/>
    <w:rsid w:val="007E696E"/>
    <w:rsid w:val="007F378A"/>
    <w:rsid w:val="0080389E"/>
    <w:rsid w:val="00805CA0"/>
    <w:rsid w:val="00806C66"/>
    <w:rsid w:val="008073EC"/>
    <w:rsid w:val="00810FF8"/>
    <w:rsid w:val="008112EC"/>
    <w:rsid w:val="008123E0"/>
    <w:rsid w:val="00813ECE"/>
    <w:rsid w:val="008216CD"/>
    <w:rsid w:val="00821935"/>
    <w:rsid w:val="0082227F"/>
    <w:rsid w:val="00822F36"/>
    <w:rsid w:val="008267B9"/>
    <w:rsid w:val="00826928"/>
    <w:rsid w:val="008300D9"/>
    <w:rsid w:val="00832984"/>
    <w:rsid w:val="0083330B"/>
    <w:rsid w:val="0083540E"/>
    <w:rsid w:val="00835874"/>
    <w:rsid w:val="008362DD"/>
    <w:rsid w:val="00845235"/>
    <w:rsid w:val="00847743"/>
    <w:rsid w:val="00847C0E"/>
    <w:rsid w:val="00851E62"/>
    <w:rsid w:val="008522E3"/>
    <w:rsid w:val="0085260E"/>
    <w:rsid w:val="00852E3C"/>
    <w:rsid w:val="00855488"/>
    <w:rsid w:val="00861079"/>
    <w:rsid w:val="00863DF3"/>
    <w:rsid w:val="00864CD1"/>
    <w:rsid w:val="00865562"/>
    <w:rsid w:val="00866150"/>
    <w:rsid w:val="0087148E"/>
    <w:rsid w:val="00874618"/>
    <w:rsid w:val="00881643"/>
    <w:rsid w:val="00891F5A"/>
    <w:rsid w:val="0089487F"/>
    <w:rsid w:val="00894A1D"/>
    <w:rsid w:val="00894F0D"/>
    <w:rsid w:val="008955A5"/>
    <w:rsid w:val="008957EF"/>
    <w:rsid w:val="008A1BAC"/>
    <w:rsid w:val="008A54A3"/>
    <w:rsid w:val="008B20F0"/>
    <w:rsid w:val="008B231C"/>
    <w:rsid w:val="008B3268"/>
    <w:rsid w:val="008B6711"/>
    <w:rsid w:val="008C0CC3"/>
    <w:rsid w:val="008C199D"/>
    <w:rsid w:val="008C4CD1"/>
    <w:rsid w:val="008C72A1"/>
    <w:rsid w:val="008C7FAB"/>
    <w:rsid w:val="008D05DA"/>
    <w:rsid w:val="008D1C53"/>
    <w:rsid w:val="008D3A63"/>
    <w:rsid w:val="008D4051"/>
    <w:rsid w:val="008D4DE2"/>
    <w:rsid w:val="008E164D"/>
    <w:rsid w:val="008E17F5"/>
    <w:rsid w:val="008E427A"/>
    <w:rsid w:val="008E74F7"/>
    <w:rsid w:val="008E7B6E"/>
    <w:rsid w:val="008F04B1"/>
    <w:rsid w:val="008F0544"/>
    <w:rsid w:val="008F219D"/>
    <w:rsid w:val="008F319A"/>
    <w:rsid w:val="008F5065"/>
    <w:rsid w:val="008F5237"/>
    <w:rsid w:val="00910121"/>
    <w:rsid w:val="009118FF"/>
    <w:rsid w:val="00911CA4"/>
    <w:rsid w:val="00912615"/>
    <w:rsid w:val="00914623"/>
    <w:rsid w:val="00915587"/>
    <w:rsid w:val="00920E40"/>
    <w:rsid w:val="00922B16"/>
    <w:rsid w:val="00922D10"/>
    <w:rsid w:val="0092321F"/>
    <w:rsid w:val="00923720"/>
    <w:rsid w:val="0092503B"/>
    <w:rsid w:val="009267F1"/>
    <w:rsid w:val="00931780"/>
    <w:rsid w:val="00935A1B"/>
    <w:rsid w:val="00941E63"/>
    <w:rsid w:val="009427DC"/>
    <w:rsid w:val="00946063"/>
    <w:rsid w:val="009463F5"/>
    <w:rsid w:val="00946C45"/>
    <w:rsid w:val="0094736D"/>
    <w:rsid w:val="009502BD"/>
    <w:rsid w:val="0095062A"/>
    <w:rsid w:val="00951DDB"/>
    <w:rsid w:val="009543B2"/>
    <w:rsid w:val="00955443"/>
    <w:rsid w:val="00956E77"/>
    <w:rsid w:val="00960C8A"/>
    <w:rsid w:val="00964560"/>
    <w:rsid w:val="00966A9F"/>
    <w:rsid w:val="00966C4E"/>
    <w:rsid w:val="00967D7E"/>
    <w:rsid w:val="009730AB"/>
    <w:rsid w:val="00980D62"/>
    <w:rsid w:val="00987972"/>
    <w:rsid w:val="00992461"/>
    <w:rsid w:val="00994EB4"/>
    <w:rsid w:val="009950FE"/>
    <w:rsid w:val="009A6236"/>
    <w:rsid w:val="009B3B68"/>
    <w:rsid w:val="009B3D70"/>
    <w:rsid w:val="009B4EFF"/>
    <w:rsid w:val="009B521A"/>
    <w:rsid w:val="009B5AEA"/>
    <w:rsid w:val="009C06A1"/>
    <w:rsid w:val="009C5F35"/>
    <w:rsid w:val="009D0535"/>
    <w:rsid w:val="009D3E5A"/>
    <w:rsid w:val="009E39DB"/>
    <w:rsid w:val="009E511F"/>
    <w:rsid w:val="009F5823"/>
    <w:rsid w:val="00A01016"/>
    <w:rsid w:val="00A017FA"/>
    <w:rsid w:val="00A01968"/>
    <w:rsid w:val="00A036A5"/>
    <w:rsid w:val="00A040BA"/>
    <w:rsid w:val="00A1062E"/>
    <w:rsid w:val="00A17F66"/>
    <w:rsid w:val="00A24AE3"/>
    <w:rsid w:val="00A265D9"/>
    <w:rsid w:val="00A359E5"/>
    <w:rsid w:val="00A42EC7"/>
    <w:rsid w:val="00A4354D"/>
    <w:rsid w:val="00A43DD5"/>
    <w:rsid w:val="00A4433D"/>
    <w:rsid w:val="00A458F7"/>
    <w:rsid w:val="00A50695"/>
    <w:rsid w:val="00A5190E"/>
    <w:rsid w:val="00A625F4"/>
    <w:rsid w:val="00A6391F"/>
    <w:rsid w:val="00A65671"/>
    <w:rsid w:val="00A65AA5"/>
    <w:rsid w:val="00A70F03"/>
    <w:rsid w:val="00A74469"/>
    <w:rsid w:val="00A744D7"/>
    <w:rsid w:val="00A76FE4"/>
    <w:rsid w:val="00A93710"/>
    <w:rsid w:val="00A94223"/>
    <w:rsid w:val="00A953AC"/>
    <w:rsid w:val="00AA13E4"/>
    <w:rsid w:val="00AA7421"/>
    <w:rsid w:val="00AB0F41"/>
    <w:rsid w:val="00AB1ABD"/>
    <w:rsid w:val="00AB45AF"/>
    <w:rsid w:val="00AB7A1F"/>
    <w:rsid w:val="00AC2287"/>
    <w:rsid w:val="00AC3781"/>
    <w:rsid w:val="00AC3F05"/>
    <w:rsid w:val="00AC6B56"/>
    <w:rsid w:val="00AD006B"/>
    <w:rsid w:val="00AD0654"/>
    <w:rsid w:val="00AE01D5"/>
    <w:rsid w:val="00AE1DEB"/>
    <w:rsid w:val="00AE2154"/>
    <w:rsid w:val="00AE6B17"/>
    <w:rsid w:val="00AF048B"/>
    <w:rsid w:val="00AF1179"/>
    <w:rsid w:val="00AF229D"/>
    <w:rsid w:val="00AF2C59"/>
    <w:rsid w:val="00AF5991"/>
    <w:rsid w:val="00AF5A1D"/>
    <w:rsid w:val="00AF78D9"/>
    <w:rsid w:val="00B006DB"/>
    <w:rsid w:val="00B1194F"/>
    <w:rsid w:val="00B13A9F"/>
    <w:rsid w:val="00B1540E"/>
    <w:rsid w:val="00B27182"/>
    <w:rsid w:val="00B27E01"/>
    <w:rsid w:val="00B34A7C"/>
    <w:rsid w:val="00B375EA"/>
    <w:rsid w:val="00B376C6"/>
    <w:rsid w:val="00B41D89"/>
    <w:rsid w:val="00B44045"/>
    <w:rsid w:val="00B50AC8"/>
    <w:rsid w:val="00B55AC1"/>
    <w:rsid w:val="00B560B4"/>
    <w:rsid w:val="00B612D4"/>
    <w:rsid w:val="00B617D8"/>
    <w:rsid w:val="00B63EA5"/>
    <w:rsid w:val="00B64B89"/>
    <w:rsid w:val="00B76A3D"/>
    <w:rsid w:val="00B77102"/>
    <w:rsid w:val="00B804F8"/>
    <w:rsid w:val="00B83641"/>
    <w:rsid w:val="00B84A21"/>
    <w:rsid w:val="00B9664B"/>
    <w:rsid w:val="00BA01DF"/>
    <w:rsid w:val="00BA4186"/>
    <w:rsid w:val="00BA56DD"/>
    <w:rsid w:val="00BA5D46"/>
    <w:rsid w:val="00BA5DD7"/>
    <w:rsid w:val="00BA676B"/>
    <w:rsid w:val="00BA7FDC"/>
    <w:rsid w:val="00BB0E21"/>
    <w:rsid w:val="00BB4488"/>
    <w:rsid w:val="00BB4BA7"/>
    <w:rsid w:val="00BB4E37"/>
    <w:rsid w:val="00BB7A3D"/>
    <w:rsid w:val="00BC118E"/>
    <w:rsid w:val="00BC35CE"/>
    <w:rsid w:val="00BC4F4A"/>
    <w:rsid w:val="00BC637D"/>
    <w:rsid w:val="00BC6B13"/>
    <w:rsid w:val="00BD5663"/>
    <w:rsid w:val="00BD6564"/>
    <w:rsid w:val="00BD65A3"/>
    <w:rsid w:val="00BD7143"/>
    <w:rsid w:val="00BD77EC"/>
    <w:rsid w:val="00BE0ACE"/>
    <w:rsid w:val="00BE2AD9"/>
    <w:rsid w:val="00BF2118"/>
    <w:rsid w:val="00BF258D"/>
    <w:rsid w:val="00BF4AFE"/>
    <w:rsid w:val="00BF4F55"/>
    <w:rsid w:val="00BF5380"/>
    <w:rsid w:val="00BF7DE5"/>
    <w:rsid w:val="00C0166F"/>
    <w:rsid w:val="00C01B4C"/>
    <w:rsid w:val="00C0290E"/>
    <w:rsid w:val="00C02A69"/>
    <w:rsid w:val="00C05743"/>
    <w:rsid w:val="00C06EDE"/>
    <w:rsid w:val="00C074A7"/>
    <w:rsid w:val="00C13135"/>
    <w:rsid w:val="00C132C0"/>
    <w:rsid w:val="00C15057"/>
    <w:rsid w:val="00C1579C"/>
    <w:rsid w:val="00C17385"/>
    <w:rsid w:val="00C21589"/>
    <w:rsid w:val="00C21F9C"/>
    <w:rsid w:val="00C25A6A"/>
    <w:rsid w:val="00C3333F"/>
    <w:rsid w:val="00C354F4"/>
    <w:rsid w:val="00C40886"/>
    <w:rsid w:val="00C40C3A"/>
    <w:rsid w:val="00C40D41"/>
    <w:rsid w:val="00C418FA"/>
    <w:rsid w:val="00C43ADC"/>
    <w:rsid w:val="00C4422D"/>
    <w:rsid w:val="00C44F5D"/>
    <w:rsid w:val="00C46680"/>
    <w:rsid w:val="00C47521"/>
    <w:rsid w:val="00C47C8E"/>
    <w:rsid w:val="00C50C5A"/>
    <w:rsid w:val="00C517E7"/>
    <w:rsid w:val="00C52090"/>
    <w:rsid w:val="00C5259B"/>
    <w:rsid w:val="00C70FC7"/>
    <w:rsid w:val="00C71A4A"/>
    <w:rsid w:val="00C71DC7"/>
    <w:rsid w:val="00C723CE"/>
    <w:rsid w:val="00C75DCD"/>
    <w:rsid w:val="00C8242A"/>
    <w:rsid w:val="00C8323D"/>
    <w:rsid w:val="00C843DC"/>
    <w:rsid w:val="00C84572"/>
    <w:rsid w:val="00C90BB5"/>
    <w:rsid w:val="00C95491"/>
    <w:rsid w:val="00C975A7"/>
    <w:rsid w:val="00C97FE6"/>
    <w:rsid w:val="00CA33C3"/>
    <w:rsid w:val="00CA347F"/>
    <w:rsid w:val="00CA3EC9"/>
    <w:rsid w:val="00CA425D"/>
    <w:rsid w:val="00CB0BDC"/>
    <w:rsid w:val="00CC0682"/>
    <w:rsid w:val="00CC198C"/>
    <w:rsid w:val="00CC1B19"/>
    <w:rsid w:val="00CC5D0A"/>
    <w:rsid w:val="00CD1BA2"/>
    <w:rsid w:val="00CD2B6C"/>
    <w:rsid w:val="00CD351B"/>
    <w:rsid w:val="00CD52F2"/>
    <w:rsid w:val="00CD553B"/>
    <w:rsid w:val="00CD6514"/>
    <w:rsid w:val="00CD689B"/>
    <w:rsid w:val="00CD7511"/>
    <w:rsid w:val="00CD77B2"/>
    <w:rsid w:val="00CE0799"/>
    <w:rsid w:val="00CE11AE"/>
    <w:rsid w:val="00CE1529"/>
    <w:rsid w:val="00CE208B"/>
    <w:rsid w:val="00CE36E2"/>
    <w:rsid w:val="00CE5260"/>
    <w:rsid w:val="00CE727C"/>
    <w:rsid w:val="00CF28CC"/>
    <w:rsid w:val="00CF2AF4"/>
    <w:rsid w:val="00CF49D6"/>
    <w:rsid w:val="00CF5290"/>
    <w:rsid w:val="00CF5ED1"/>
    <w:rsid w:val="00CF7BD8"/>
    <w:rsid w:val="00D02343"/>
    <w:rsid w:val="00D03943"/>
    <w:rsid w:val="00D05494"/>
    <w:rsid w:val="00D05ED3"/>
    <w:rsid w:val="00D12F7C"/>
    <w:rsid w:val="00D14E18"/>
    <w:rsid w:val="00D320A1"/>
    <w:rsid w:val="00D322DA"/>
    <w:rsid w:val="00D33F21"/>
    <w:rsid w:val="00D420AE"/>
    <w:rsid w:val="00D44E92"/>
    <w:rsid w:val="00D47F8C"/>
    <w:rsid w:val="00D50A1A"/>
    <w:rsid w:val="00D526BC"/>
    <w:rsid w:val="00D533F8"/>
    <w:rsid w:val="00D53D89"/>
    <w:rsid w:val="00D54A33"/>
    <w:rsid w:val="00D54C89"/>
    <w:rsid w:val="00D5549F"/>
    <w:rsid w:val="00D555C7"/>
    <w:rsid w:val="00D566BE"/>
    <w:rsid w:val="00D6203A"/>
    <w:rsid w:val="00D706EF"/>
    <w:rsid w:val="00D82DEB"/>
    <w:rsid w:val="00D852AA"/>
    <w:rsid w:val="00D855EB"/>
    <w:rsid w:val="00D857D1"/>
    <w:rsid w:val="00D85831"/>
    <w:rsid w:val="00D9193C"/>
    <w:rsid w:val="00D91D9E"/>
    <w:rsid w:val="00D92AA9"/>
    <w:rsid w:val="00D942F1"/>
    <w:rsid w:val="00D94550"/>
    <w:rsid w:val="00D952E2"/>
    <w:rsid w:val="00D95C0D"/>
    <w:rsid w:val="00D969B9"/>
    <w:rsid w:val="00DA01A0"/>
    <w:rsid w:val="00DA405C"/>
    <w:rsid w:val="00DA7A43"/>
    <w:rsid w:val="00DB0184"/>
    <w:rsid w:val="00DB06FE"/>
    <w:rsid w:val="00DB597D"/>
    <w:rsid w:val="00DB61A4"/>
    <w:rsid w:val="00DB7422"/>
    <w:rsid w:val="00DC2B50"/>
    <w:rsid w:val="00DC4CBD"/>
    <w:rsid w:val="00DD1914"/>
    <w:rsid w:val="00DD4B48"/>
    <w:rsid w:val="00DD54EE"/>
    <w:rsid w:val="00DD6983"/>
    <w:rsid w:val="00DD7654"/>
    <w:rsid w:val="00DE5F10"/>
    <w:rsid w:val="00DF117D"/>
    <w:rsid w:val="00DF1220"/>
    <w:rsid w:val="00DF35E4"/>
    <w:rsid w:val="00DF392A"/>
    <w:rsid w:val="00DF3FE4"/>
    <w:rsid w:val="00E01314"/>
    <w:rsid w:val="00E0421F"/>
    <w:rsid w:val="00E112B2"/>
    <w:rsid w:val="00E14925"/>
    <w:rsid w:val="00E1493C"/>
    <w:rsid w:val="00E21404"/>
    <w:rsid w:val="00E22FCD"/>
    <w:rsid w:val="00E33D42"/>
    <w:rsid w:val="00E3424F"/>
    <w:rsid w:val="00E34B93"/>
    <w:rsid w:val="00E357B1"/>
    <w:rsid w:val="00E37474"/>
    <w:rsid w:val="00E3792D"/>
    <w:rsid w:val="00E4264D"/>
    <w:rsid w:val="00E43676"/>
    <w:rsid w:val="00E4763A"/>
    <w:rsid w:val="00E5123E"/>
    <w:rsid w:val="00E55A81"/>
    <w:rsid w:val="00E56C58"/>
    <w:rsid w:val="00E57684"/>
    <w:rsid w:val="00E6054C"/>
    <w:rsid w:val="00E608FA"/>
    <w:rsid w:val="00E61383"/>
    <w:rsid w:val="00E6387D"/>
    <w:rsid w:val="00E66953"/>
    <w:rsid w:val="00E71DC5"/>
    <w:rsid w:val="00E802D8"/>
    <w:rsid w:val="00E80A9C"/>
    <w:rsid w:val="00E838B5"/>
    <w:rsid w:val="00E85D88"/>
    <w:rsid w:val="00E8785D"/>
    <w:rsid w:val="00E904E8"/>
    <w:rsid w:val="00E947F0"/>
    <w:rsid w:val="00EA27B1"/>
    <w:rsid w:val="00EB1061"/>
    <w:rsid w:val="00EB399F"/>
    <w:rsid w:val="00EC0AA2"/>
    <w:rsid w:val="00EC1526"/>
    <w:rsid w:val="00EC4883"/>
    <w:rsid w:val="00ED1A39"/>
    <w:rsid w:val="00ED2699"/>
    <w:rsid w:val="00EE01E6"/>
    <w:rsid w:val="00EE04B7"/>
    <w:rsid w:val="00EE1520"/>
    <w:rsid w:val="00EE433A"/>
    <w:rsid w:val="00EE47BF"/>
    <w:rsid w:val="00EE4D55"/>
    <w:rsid w:val="00EE512D"/>
    <w:rsid w:val="00EF0F78"/>
    <w:rsid w:val="00EF3FEF"/>
    <w:rsid w:val="00EF4FFF"/>
    <w:rsid w:val="00EF5124"/>
    <w:rsid w:val="00EF5EFA"/>
    <w:rsid w:val="00F0285F"/>
    <w:rsid w:val="00F02BF3"/>
    <w:rsid w:val="00F048C8"/>
    <w:rsid w:val="00F102CE"/>
    <w:rsid w:val="00F17E1F"/>
    <w:rsid w:val="00F20C2D"/>
    <w:rsid w:val="00F20E1C"/>
    <w:rsid w:val="00F2369E"/>
    <w:rsid w:val="00F260B0"/>
    <w:rsid w:val="00F305FC"/>
    <w:rsid w:val="00F30B2B"/>
    <w:rsid w:val="00F344A5"/>
    <w:rsid w:val="00F35D29"/>
    <w:rsid w:val="00F363EF"/>
    <w:rsid w:val="00F36622"/>
    <w:rsid w:val="00F370D9"/>
    <w:rsid w:val="00F4038D"/>
    <w:rsid w:val="00F41E50"/>
    <w:rsid w:val="00F42D82"/>
    <w:rsid w:val="00F430C4"/>
    <w:rsid w:val="00F43669"/>
    <w:rsid w:val="00F44B5E"/>
    <w:rsid w:val="00F52186"/>
    <w:rsid w:val="00F522D8"/>
    <w:rsid w:val="00F549FB"/>
    <w:rsid w:val="00F54E9C"/>
    <w:rsid w:val="00F57025"/>
    <w:rsid w:val="00F62DB6"/>
    <w:rsid w:val="00F652EC"/>
    <w:rsid w:val="00F67886"/>
    <w:rsid w:val="00F67DF2"/>
    <w:rsid w:val="00F71518"/>
    <w:rsid w:val="00F71C77"/>
    <w:rsid w:val="00F722D8"/>
    <w:rsid w:val="00F72AA5"/>
    <w:rsid w:val="00F72F91"/>
    <w:rsid w:val="00F7396E"/>
    <w:rsid w:val="00F82811"/>
    <w:rsid w:val="00F82DA7"/>
    <w:rsid w:val="00F84C0E"/>
    <w:rsid w:val="00F8774F"/>
    <w:rsid w:val="00F96C25"/>
    <w:rsid w:val="00FA2070"/>
    <w:rsid w:val="00FA515B"/>
    <w:rsid w:val="00FA5258"/>
    <w:rsid w:val="00FB2A75"/>
    <w:rsid w:val="00FB4460"/>
    <w:rsid w:val="00FB4F1B"/>
    <w:rsid w:val="00FB6A38"/>
    <w:rsid w:val="00FC2AF0"/>
    <w:rsid w:val="00FC3AB3"/>
    <w:rsid w:val="00FC64F8"/>
    <w:rsid w:val="00FD0669"/>
    <w:rsid w:val="00FD17CC"/>
    <w:rsid w:val="00FD5B76"/>
    <w:rsid w:val="00FE21F5"/>
    <w:rsid w:val="00FF1529"/>
    <w:rsid w:val="00FF1AB3"/>
    <w:rsid w:val="00FF33ED"/>
    <w:rsid w:val="00FF50DD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2C9C5"/>
  <w15:docId w15:val="{03DDB08D-2636-485C-8E81-8FF6F88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1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4CD1"/>
    <w:pPr>
      <w:autoSpaceDE w:val="0"/>
      <w:autoSpaceDN w:val="0"/>
      <w:adjustRightInd w:val="0"/>
      <w:spacing w:after="0" w:line="240" w:lineRule="auto"/>
    </w:pPr>
    <w:rPr>
      <w:rFonts w:ascii="Frutiger LT Std" w:hAnsi="Frutiger LT Std" w:cs="Frutiger LT Std"/>
      <w:color w:val="000000"/>
      <w:sz w:val="24"/>
      <w:szCs w:val="24"/>
    </w:rPr>
  </w:style>
  <w:style w:type="character" w:customStyle="1" w:styleId="A8">
    <w:name w:val="A8"/>
    <w:uiPriority w:val="99"/>
    <w:rsid w:val="008C4CD1"/>
    <w:rPr>
      <w:rFonts w:cs="Frutiger LT Std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217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3530"/>
  </w:style>
  <w:style w:type="character" w:styleId="Emphasis">
    <w:name w:val="Emphasis"/>
    <w:basedOn w:val="DefaultParagraphFont"/>
    <w:uiPriority w:val="20"/>
    <w:qFormat/>
    <w:rsid w:val="006B3530"/>
    <w:rPr>
      <w:i/>
      <w:iCs/>
    </w:rPr>
  </w:style>
  <w:style w:type="paragraph" w:styleId="NormalWeb">
    <w:name w:val="Normal (Web)"/>
    <w:basedOn w:val="Normal"/>
    <w:uiPriority w:val="99"/>
    <w:unhideWhenUsed/>
    <w:rsid w:val="000A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4A0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1F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epub-state">
    <w:name w:val="epub-state"/>
    <w:basedOn w:val="DefaultParagraphFont"/>
    <w:rsid w:val="00E6387D"/>
  </w:style>
  <w:style w:type="character" w:customStyle="1" w:styleId="epub-date">
    <w:name w:val="epub-date"/>
    <w:basedOn w:val="DefaultParagraphFont"/>
    <w:rsid w:val="00E6387D"/>
  </w:style>
  <w:style w:type="character" w:customStyle="1" w:styleId="A0">
    <w:name w:val="A0"/>
    <w:uiPriority w:val="99"/>
    <w:rsid w:val="00C71DC7"/>
    <w:rPr>
      <w:rFonts w:cs="Frutiger LT Std"/>
      <w:color w:val="000000"/>
      <w:sz w:val="60"/>
      <w:szCs w:val="60"/>
    </w:rPr>
  </w:style>
  <w:style w:type="table" w:styleId="TableGrid">
    <w:name w:val="Table Grid"/>
    <w:basedOn w:val="TableNormal"/>
    <w:uiPriority w:val="59"/>
    <w:rsid w:val="008E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BA01D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9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C1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851E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ighwire-citation-authors">
    <w:name w:val="highwire-citation-authors"/>
    <w:basedOn w:val="DefaultParagraphFont"/>
    <w:rsid w:val="00401009"/>
  </w:style>
  <w:style w:type="character" w:customStyle="1" w:styleId="highwire-citation-author">
    <w:name w:val="highwire-citation-author"/>
    <w:basedOn w:val="DefaultParagraphFont"/>
    <w:rsid w:val="00401009"/>
  </w:style>
  <w:style w:type="character" w:customStyle="1" w:styleId="nlm-given-names">
    <w:name w:val="nlm-given-names"/>
    <w:basedOn w:val="DefaultParagraphFont"/>
    <w:rsid w:val="00401009"/>
  </w:style>
  <w:style w:type="character" w:customStyle="1" w:styleId="nlm-surname">
    <w:name w:val="nlm-surname"/>
    <w:basedOn w:val="DefaultParagraphFont"/>
    <w:rsid w:val="00401009"/>
  </w:style>
  <w:style w:type="character" w:customStyle="1" w:styleId="highwire-cite-metadata-journal">
    <w:name w:val="highwire-cite-metadata-journal"/>
    <w:basedOn w:val="DefaultParagraphFont"/>
    <w:rsid w:val="00401009"/>
  </w:style>
  <w:style w:type="character" w:customStyle="1" w:styleId="highwire-cite-metadata-date">
    <w:name w:val="highwire-cite-metadata-date"/>
    <w:basedOn w:val="DefaultParagraphFont"/>
    <w:rsid w:val="00401009"/>
  </w:style>
  <w:style w:type="character" w:customStyle="1" w:styleId="highwire-cite-metadata-doi">
    <w:name w:val="highwire-cite-metadata-doi"/>
    <w:basedOn w:val="DefaultParagraphFont"/>
    <w:rsid w:val="00401009"/>
  </w:style>
  <w:style w:type="character" w:customStyle="1" w:styleId="label">
    <w:name w:val="label"/>
    <w:basedOn w:val="DefaultParagraphFont"/>
    <w:rsid w:val="00401009"/>
  </w:style>
  <w:style w:type="character" w:customStyle="1" w:styleId="title-text">
    <w:name w:val="title-text"/>
    <w:basedOn w:val="DefaultParagraphFont"/>
    <w:rsid w:val="00D5549F"/>
  </w:style>
  <w:style w:type="character" w:customStyle="1" w:styleId="sr-only">
    <w:name w:val="sr-only"/>
    <w:basedOn w:val="DefaultParagraphFont"/>
    <w:rsid w:val="00D5549F"/>
  </w:style>
  <w:style w:type="character" w:customStyle="1" w:styleId="text">
    <w:name w:val="text"/>
    <w:basedOn w:val="DefaultParagraphFont"/>
    <w:rsid w:val="00D5549F"/>
  </w:style>
  <w:style w:type="character" w:customStyle="1" w:styleId="author-ref">
    <w:name w:val="author-ref"/>
    <w:basedOn w:val="DefaultParagraphFont"/>
    <w:rsid w:val="00D5549F"/>
  </w:style>
  <w:style w:type="character" w:styleId="FollowedHyperlink">
    <w:name w:val="FollowedHyperlink"/>
    <w:basedOn w:val="DefaultParagraphFont"/>
    <w:uiPriority w:val="99"/>
    <w:semiHidden/>
    <w:unhideWhenUsed/>
    <w:rsid w:val="00CC198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A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FB2A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B2A7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17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F8"/>
  </w:style>
  <w:style w:type="paragraph" w:styleId="Footer">
    <w:name w:val="footer"/>
    <w:basedOn w:val="Normal"/>
    <w:link w:val="FooterChar"/>
    <w:uiPriority w:val="99"/>
    <w:unhideWhenUsed/>
    <w:rsid w:val="004B17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F8"/>
  </w:style>
  <w:style w:type="paragraph" w:styleId="Revision">
    <w:name w:val="Revision"/>
    <w:hidden/>
    <w:uiPriority w:val="99"/>
    <w:semiHidden/>
    <w:rsid w:val="00845235"/>
    <w:pPr>
      <w:spacing w:after="0" w:line="240" w:lineRule="auto"/>
    </w:pPr>
  </w:style>
  <w:style w:type="paragraph" w:customStyle="1" w:styleId="xmsonormal">
    <w:name w:val="x_msonormal"/>
    <w:basedOn w:val="Normal"/>
    <w:rsid w:val="00BC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8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42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22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68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josephs.2017@live.rh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.coys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C458-FC63-D44B-B65D-EAFB3C59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2755</Words>
  <Characters>14084</Characters>
  <Application>Microsoft Office Word</Application>
  <DocSecurity>0</DocSecurity>
  <Lines>391</Lines>
  <Paragraphs>306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CNWL</Company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Josephs</dc:creator>
  <cp:lastModifiedBy>Josephs, Laurie (2017)</cp:lastModifiedBy>
  <cp:revision>2</cp:revision>
  <cp:lastPrinted>2018-09-14T14:33:00Z</cp:lastPrinted>
  <dcterms:created xsi:type="dcterms:W3CDTF">2019-12-30T14:13:00Z</dcterms:created>
  <dcterms:modified xsi:type="dcterms:W3CDTF">2019-12-30T14:13:00Z</dcterms:modified>
</cp:coreProperties>
</file>