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1C080" w14:textId="6078308E" w:rsidR="00D65E7E" w:rsidRPr="00593BCE" w:rsidRDefault="00923430" w:rsidP="00C532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t>Associations of</w:t>
      </w:r>
      <w:r w:rsidR="00D65E7E" w:rsidRPr="00593BCE">
        <w:rPr>
          <w:rFonts w:ascii="Arial" w:hAnsi="Arial" w:cs="Arial"/>
          <w:b/>
          <w:sz w:val="24"/>
          <w:szCs w:val="24"/>
        </w:rPr>
        <w:t xml:space="preserve"> 4AT </w:t>
      </w:r>
      <w:r w:rsidRPr="00593BCE">
        <w:rPr>
          <w:rFonts w:ascii="Arial" w:hAnsi="Arial" w:cs="Arial"/>
          <w:b/>
          <w:sz w:val="24"/>
          <w:szCs w:val="24"/>
        </w:rPr>
        <w:t>with</w:t>
      </w:r>
      <w:r w:rsidR="00EB09FC" w:rsidRPr="00593BCE">
        <w:rPr>
          <w:rFonts w:ascii="Arial" w:hAnsi="Arial" w:cs="Arial"/>
          <w:b/>
          <w:sz w:val="24"/>
          <w:szCs w:val="24"/>
        </w:rPr>
        <w:t xml:space="preserve"> mobility, </w:t>
      </w:r>
      <w:r w:rsidR="00C11E09" w:rsidRPr="00593BCE">
        <w:rPr>
          <w:rFonts w:ascii="Arial" w:hAnsi="Arial" w:cs="Arial"/>
          <w:b/>
          <w:sz w:val="24"/>
          <w:szCs w:val="24"/>
        </w:rPr>
        <w:t xml:space="preserve">length of stay and mortality in hospital and discharge destination </w:t>
      </w:r>
      <w:r w:rsidR="00D65E7E" w:rsidRPr="00593BCE">
        <w:rPr>
          <w:rFonts w:ascii="Arial" w:hAnsi="Arial" w:cs="Arial"/>
          <w:b/>
          <w:sz w:val="24"/>
          <w:szCs w:val="24"/>
        </w:rPr>
        <w:t>among patients admitted with hip fractures</w:t>
      </w:r>
    </w:p>
    <w:p w14:paraId="2E088CA6" w14:textId="7CD55C99" w:rsidR="00EA156F" w:rsidRPr="00593BCE" w:rsidRDefault="002644D2" w:rsidP="00013591">
      <w:pPr>
        <w:tabs>
          <w:tab w:val="left" w:pos="789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ab/>
      </w:r>
    </w:p>
    <w:p w14:paraId="6FD27EEC" w14:textId="77777777" w:rsidR="00593BCE" w:rsidRPr="00593BCE" w:rsidRDefault="00593BCE">
      <w:pPr>
        <w:rPr>
          <w:rFonts w:ascii="Arial" w:hAnsi="Arial" w:cs="Arial"/>
          <w:b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t>TS Han</w:t>
      </w:r>
    </w:p>
    <w:p w14:paraId="77E8B06C" w14:textId="756F2CCC" w:rsidR="00013591" w:rsidRPr="00593BCE" w:rsidRDefault="00593BCE">
      <w:pPr>
        <w:rPr>
          <w:rFonts w:ascii="Arial" w:hAnsi="Arial" w:cs="Arial"/>
          <w:b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t>P Sharma et al</w:t>
      </w:r>
    </w:p>
    <w:p w14:paraId="7A271318" w14:textId="08C703DA" w:rsidR="00335408" w:rsidRPr="00593BCE" w:rsidRDefault="00335408" w:rsidP="002520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t>ABSTRACT</w:t>
      </w:r>
    </w:p>
    <w:p w14:paraId="48146625" w14:textId="09D14A48" w:rsidR="00335408" w:rsidRPr="00593BCE" w:rsidRDefault="00335408" w:rsidP="002520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t>Background:</w:t>
      </w:r>
      <w:r w:rsidRPr="00593BCE">
        <w:rPr>
          <w:rFonts w:ascii="Arial" w:hAnsi="Arial" w:cs="Arial"/>
          <w:sz w:val="24"/>
          <w:szCs w:val="24"/>
        </w:rPr>
        <w:t xml:space="preserve"> </w:t>
      </w:r>
      <w:r w:rsidR="008051E3" w:rsidRPr="00593BCE">
        <w:rPr>
          <w:rFonts w:ascii="Arial" w:hAnsi="Arial" w:cs="Arial"/>
          <w:sz w:val="24"/>
          <w:szCs w:val="24"/>
        </w:rPr>
        <w:t xml:space="preserve">The </w:t>
      </w:r>
      <w:r w:rsidR="00CF481F" w:rsidRPr="00593BCE">
        <w:rPr>
          <w:rFonts w:ascii="Arial" w:hAnsi="Arial" w:cs="Arial"/>
          <w:sz w:val="24"/>
          <w:szCs w:val="24"/>
        </w:rPr>
        <w:t>4AT</w:t>
      </w:r>
      <w:r w:rsidR="008051E3" w:rsidRPr="00593BCE">
        <w:rPr>
          <w:rFonts w:ascii="Arial" w:hAnsi="Arial" w:cs="Arial"/>
          <w:sz w:val="24"/>
          <w:szCs w:val="24"/>
        </w:rPr>
        <w:t xml:space="preserve"> (Alertness, Abbreviated Mental Test-4, Attention and Acute change or fluctuating course)</w:t>
      </w:r>
      <w:r w:rsidR="00883D47" w:rsidRPr="00593BCE">
        <w:rPr>
          <w:rFonts w:ascii="Arial" w:hAnsi="Arial" w:cs="Arial"/>
          <w:sz w:val="24"/>
          <w:szCs w:val="24"/>
        </w:rPr>
        <w:t>,</w:t>
      </w:r>
      <w:r w:rsidR="00CF481F" w:rsidRPr="00593BCE">
        <w:rPr>
          <w:rFonts w:ascii="Arial" w:hAnsi="Arial" w:cs="Arial"/>
          <w:sz w:val="24"/>
          <w:szCs w:val="24"/>
        </w:rPr>
        <w:t xml:space="preserve"> </w:t>
      </w:r>
      <w:r w:rsidR="008D17FB" w:rsidRPr="00593BCE">
        <w:rPr>
          <w:rFonts w:ascii="Arial" w:hAnsi="Arial" w:cs="Arial"/>
          <w:sz w:val="24"/>
          <w:szCs w:val="24"/>
        </w:rPr>
        <w:t>a tool to screen</w:t>
      </w:r>
      <w:r w:rsidR="00C11E09" w:rsidRPr="00593BCE">
        <w:rPr>
          <w:rFonts w:ascii="Arial" w:hAnsi="Arial" w:cs="Arial"/>
          <w:sz w:val="24"/>
          <w:szCs w:val="24"/>
        </w:rPr>
        <w:t xml:space="preserve"> </w:t>
      </w:r>
      <w:r w:rsidR="0067178C" w:rsidRPr="00593BCE">
        <w:rPr>
          <w:rFonts w:ascii="Arial" w:hAnsi="Arial" w:cs="Arial"/>
          <w:sz w:val="24"/>
          <w:szCs w:val="24"/>
        </w:rPr>
        <w:t xml:space="preserve">cognitive impairment and </w:t>
      </w:r>
      <w:r w:rsidRPr="00593BCE">
        <w:rPr>
          <w:rFonts w:ascii="Arial" w:hAnsi="Arial" w:cs="Arial"/>
          <w:sz w:val="24"/>
          <w:szCs w:val="24"/>
        </w:rPr>
        <w:t>delirium</w:t>
      </w:r>
      <w:r w:rsidR="00883D47" w:rsidRPr="00593BCE">
        <w:rPr>
          <w:rFonts w:ascii="Arial" w:hAnsi="Arial" w:cs="Arial"/>
          <w:sz w:val="24"/>
          <w:szCs w:val="24"/>
        </w:rPr>
        <w:t>,</w:t>
      </w:r>
      <w:r w:rsidR="00DB7B73" w:rsidRPr="00593BCE">
        <w:rPr>
          <w:rFonts w:ascii="Arial" w:hAnsi="Arial" w:cs="Arial"/>
          <w:sz w:val="24"/>
          <w:szCs w:val="24"/>
        </w:rPr>
        <w:t xml:space="preserve"> has recently been </w:t>
      </w:r>
      <w:r w:rsidR="00C11E09" w:rsidRPr="00593BCE">
        <w:rPr>
          <w:rFonts w:ascii="Arial" w:hAnsi="Arial" w:cs="Arial"/>
          <w:sz w:val="24"/>
          <w:szCs w:val="24"/>
        </w:rPr>
        <w:t>recommended by</w:t>
      </w:r>
      <w:r w:rsidR="008051E3" w:rsidRPr="00593BCE">
        <w:rPr>
          <w:rFonts w:ascii="Arial" w:hAnsi="Arial" w:cs="Arial"/>
          <w:sz w:val="24"/>
          <w:szCs w:val="24"/>
        </w:rPr>
        <w:t xml:space="preserve"> the</w:t>
      </w:r>
      <w:r w:rsidR="00C11E09" w:rsidRPr="00593BCE">
        <w:rPr>
          <w:rFonts w:ascii="Arial" w:hAnsi="Arial" w:cs="Arial"/>
          <w:sz w:val="24"/>
          <w:szCs w:val="24"/>
        </w:rPr>
        <w:t xml:space="preserve"> </w:t>
      </w:r>
      <w:r w:rsidR="00F4660B" w:rsidRPr="00593BCE">
        <w:rPr>
          <w:rFonts w:ascii="Arial" w:hAnsi="Arial" w:cs="Arial"/>
          <w:sz w:val="24"/>
          <w:szCs w:val="24"/>
        </w:rPr>
        <w:t>Scottish Intercollegiate Guidelines Network (</w:t>
      </w:r>
      <w:r w:rsidR="00C723F5" w:rsidRPr="00593BCE">
        <w:rPr>
          <w:rFonts w:ascii="Arial" w:hAnsi="Arial" w:cs="Arial"/>
          <w:sz w:val="24"/>
          <w:szCs w:val="24"/>
        </w:rPr>
        <w:t>SIGN</w:t>
      </w:r>
      <w:r w:rsidR="00F4660B" w:rsidRPr="00593BCE">
        <w:rPr>
          <w:rFonts w:ascii="Arial" w:hAnsi="Arial" w:cs="Arial"/>
          <w:sz w:val="24"/>
          <w:szCs w:val="24"/>
        </w:rPr>
        <w:t>)</w:t>
      </w:r>
      <w:r w:rsidRPr="00593BCE">
        <w:rPr>
          <w:rFonts w:ascii="Arial" w:hAnsi="Arial" w:cs="Arial"/>
          <w:sz w:val="24"/>
          <w:szCs w:val="24"/>
        </w:rPr>
        <w:t xml:space="preserve">. We </w:t>
      </w:r>
      <w:r w:rsidR="00824766" w:rsidRPr="00593BCE">
        <w:rPr>
          <w:rFonts w:ascii="Arial" w:hAnsi="Arial" w:cs="Arial"/>
          <w:sz w:val="24"/>
          <w:szCs w:val="24"/>
        </w:rPr>
        <w:t>examined</w:t>
      </w:r>
      <w:r w:rsidRPr="00593BCE">
        <w:rPr>
          <w:rFonts w:ascii="Arial" w:hAnsi="Arial" w:cs="Arial"/>
          <w:sz w:val="24"/>
          <w:szCs w:val="24"/>
        </w:rPr>
        <w:t xml:space="preserve"> </w:t>
      </w:r>
      <w:r w:rsidR="008051E3" w:rsidRPr="00593BCE">
        <w:rPr>
          <w:rFonts w:ascii="Arial" w:hAnsi="Arial" w:cs="Arial"/>
          <w:sz w:val="24"/>
          <w:szCs w:val="24"/>
        </w:rPr>
        <w:t>its ability</w:t>
      </w:r>
      <w:r w:rsidR="00F26757" w:rsidRPr="00593BCE">
        <w:rPr>
          <w:rFonts w:ascii="Arial" w:hAnsi="Arial" w:cs="Arial"/>
          <w:sz w:val="24"/>
          <w:szCs w:val="24"/>
        </w:rPr>
        <w:t xml:space="preserve"> </w:t>
      </w:r>
      <w:r w:rsidRPr="00593BCE">
        <w:rPr>
          <w:rFonts w:ascii="Arial" w:hAnsi="Arial" w:cs="Arial"/>
          <w:sz w:val="24"/>
          <w:szCs w:val="24"/>
        </w:rPr>
        <w:t xml:space="preserve">to predict </w:t>
      </w:r>
      <w:r w:rsidR="00FD0962" w:rsidRPr="00593BCE">
        <w:rPr>
          <w:rFonts w:ascii="Arial" w:hAnsi="Arial" w:cs="Arial"/>
          <w:sz w:val="24"/>
          <w:szCs w:val="24"/>
        </w:rPr>
        <w:t>health</w:t>
      </w:r>
      <w:r w:rsidR="00002AFC" w:rsidRPr="00593BCE">
        <w:rPr>
          <w:rFonts w:ascii="Arial" w:hAnsi="Arial" w:cs="Arial"/>
          <w:sz w:val="24"/>
          <w:szCs w:val="24"/>
        </w:rPr>
        <w:t xml:space="preserve"> outcome</w:t>
      </w:r>
      <w:r w:rsidR="003C0C36" w:rsidRPr="00593BCE">
        <w:rPr>
          <w:rFonts w:ascii="Arial" w:hAnsi="Arial" w:cs="Arial"/>
          <w:sz w:val="24"/>
          <w:szCs w:val="24"/>
        </w:rPr>
        <w:t>s</w:t>
      </w:r>
      <w:r w:rsidR="00002AFC" w:rsidRPr="00593BCE">
        <w:rPr>
          <w:rFonts w:ascii="Arial" w:hAnsi="Arial" w:cs="Arial"/>
          <w:sz w:val="24"/>
          <w:szCs w:val="24"/>
        </w:rPr>
        <w:t xml:space="preserve"> </w:t>
      </w:r>
      <w:r w:rsidR="00066D3E" w:rsidRPr="00593BCE">
        <w:rPr>
          <w:rFonts w:ascii="Arial" w:hAnsi="Arial" w:cs="Arial"/>
          <w:sz w:val="24"/>
          <w:szCs w:val="24"/>
        </w:rPr>
        <w:t>among patients</w:t>
      </w:r>
      <w:r w:rsidR="00A906AC" w:rsidRPr="00593BCE">
        <w:rPr>
          <w:rFonts w:ascii="Arial" w:hAnsi="Arial" w:cs="Arial"/>
          <w:sz w:val="24"/>
          <w:szCs w:val="24"/>
        </w:rPr>
        <w:t xml:space="preserve"> </w:t>
      </w:r>
      <w:r w:rsidR="00066D3E" w:rsidRPr="00593BCE">
        <w:rPr>
          <w:rFonts w:ascii="Arial" w:hAnsi="Arial" w:cs="Arial"/>
          <w:sz w:val="24"/>
          <w:szCs w:val="24"/>
        </w:rPr>
        <w:t xml:space="preserve">admitted with hip fractures </w:t>
      </w:r>
      <w:r w:rsidR="00DB7B73" w:rsidRPr="00593BCE">
        <w:rPr>
          <w:rFonts w:ascii="Arial" w:hAnsi="Arial" w:cs="Arial"/>
          <w:sz w:val="24"/>
          <w:szCs w:val="24"/>
        </w:rPr>
        <w:t xml:space="preserve">to a single </w:t>
      </w:r>
      <w:r w:rsidR="00407AED" w:rsidRPr="00593BCE">
        <w:rPr>
          <w:rFonts w:ascii="Arial" w:hAnsi="Arial" w:cs="Arial"/>
          <w:sz w:val="24"/>
          <w:szCs w:val="24"/>
        </w:rPr>
        <w:t>hospital</w:t>
      </w:r>
      <w:r w:rsidRPr="00593BCE">
        <w:rPr>
          <w:rFonts w:ascii="Arial" w:hAnsi="Arial" w:cs="Arial"/>
          <w:sz w:val="24"/>
          <w:szCs w:val="24"/>
        </w:rPr>
        <w:t>.</w:t>
      </w:r>
    </w:p>
    <w:p w14:paraId="519F7EF8" w14:textId="48B3CD14" w:rsidR="00053A9C" w:rsidRPr="00593BCE" w:rsidRDefault="00335408" w:rsidP="002520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t xml:space="preserve">Methods: </w:t>
      </w:r>
      <w:r w:rsidR="00F4660B" w:rsidRPr="00593BCE">
        <w:rPr>
          <w:rFonts w:ascii="Arial" w:hAnsi="Arial" w:cs="Arial"/>
          <w:sz w:val="24"/>
          <w:szCs w:val="24"/>
        </w:rPr>
        <w:t xml:space="preserve">The </w:t>
      </w:r>
      <w:r w:rsidR="00F26757" w:rsidRPr="00593BCE">
        <w:rPr>
          <w:rFonts w:ascii="Arial" w:hAnsi="Arial" w:cs="Arial"/>
          <w:sz w:val="24"/>
          <w:szCs w:val="24"/>
        </w:rPr>
        <w:t>4AT</w:t>
      </w:r>
      <w:r w:rsidR="00CD482A" w:rsidRPr="00593BCE">
        <w:rPr>
          <w:rFonts w:ascii="Arial" w:hAnsi="Arial" w:cs="Arial"/>
          <w:sz w:val="24"/>
          <w:szCs w:val="24"/>
        </w:rPr>
        <w:t xml:space="preserve"> </w:t>
      </w:r>
      <w:r w:rsidR="00924EF7" w:rsidRPr="00593BCE">
        <w:rPr>
          <w:rFonts w:ascii="Arial" w:hAnsi="Arial" w:cs="Arial"/>
          <w:sz w:val="24"/>
          <w:szCs w:val="24"/>
        </w:rPr>
        <w:t xml:space="preserve">was performed </w:t>
      </w:r>
      <w:r w:rsidR="00FD0962" w:rsidRPr="00593BCE">
        <w:rPr>
          <w:rFonts w:ascii="Arial" w:hAnsi="Arial" w:cs="Arial"/>
          <w:sz w:val="24"/>
          <w:szCs w:val="24"/>
        </w:rPr>
        <w:t xml:space="preserve">within </w:t>
      </w:r>
      <w:r w:rsidR="00F0782B" w:rsidRPr="00593BCE">
        <w:rPr>
          <w:rFonts w:ascii="Arial" w:hAnsi="Arial" w:cs="Arial"/>
          <w:sz w:val="24"/>
          <w:szCs w:val="24"/>
        </w:rPr>
        <w:t>1</w:t>
      </w:r>
      <w:r w:rsidR="00F21485" w:rsidRPr="00593BCE">
        <w:rPr>
          <w:rFonts w:ascii="Arial" w:hAnsi="Arial" w:cs="Arial"/>
          <w:sz w:val="24"/>
          <w:szCs w:val="24"/>
        </w:rPr>
        <w:t>-</w:t>
      </w:r>
      <w:r w:rsidR="00F0782B" w:rsidRPr="00593BCE">
        <w:rPr>
          <w:rFonts w:ascii="Arial" w:hAnsi="Arial" w:cs="Arial"/>
          <w:sz w:val="24"/>
          <w:szCs w:val="24"/>
        </w:rPr>
        <w:t>day</w:t>
      </w:r>
      <w:r w:rsidR="005E46D6" w:rsidRPr="00593BCE">
        <w:rPr>
          <w:rFonts w:ascii="Arial" w:hAnsi="Arial" w:cs="Arial"/>
          <w:sz w:val="24"/>
          <w:szCs w:val="24"/>
        </w:rPr>
        <w:t xml:space="preserve"> after operation</w:t>
      </w:r>
      <w:r w:rsidR="00924EF7" w:rsidRPr="00593BCE">
        <w:rPr>
          <w:rFonts w:ascii="Arial" w:hAnsi="Arial" w:cs="Arial"/>
          <w:sz w:val="24"/>
          <w:szCs w:val="24"/>
        </w:rPr>
        <w:t xml:space="preserve">. </w:t>
      </w:r>
      <w:r w:rsidR="00F21485" w:rsidRPr="00593BCE">
        <w:rPr>
          <w:rFonts w:ascii="Arial" w:hAnsi="Arial" w:cs="Arial"/>
          <w:sz w:val="24"/>
          <w:szCs w:val="24"/>
        </w:rPr>
        <w:t xml:space="preserve">A </w:t>
      </w:r>
      <w:r w:rsidR="00924EF7" w:rsidRPr="00593BCE">
        <w:rPr>
          <w:rFonts w:ascii="Arial" w:hAnsi="Arial" w:cs="Arial"/>
          <w:sz w:val="24"/>
          <w:szCs w:val="24"/>
        </w:rPr>
        <w:t>4AT</w:t>
      </w:r>
      <w:r w:rsidR="00EA6358" w:rsidRPr="00593BCE">
        <w:rPr>
          <w:rFonts w:ascii="Arial" w:hAnsi="Arial" w:cs="Arial"/>
          <w:sz w:val="24"/>
          <w:szCs w:val="24"/>
        </w:rPr>
        <w:t xml:space="preserve"> score</w:t>
      </w:r>
      <w:r w:rsidR="00DE23F3" w:rsidRPr="00593BCE">
        <w:rPr>
          <w:rFonts w:ascii="Arial" w:hAnsi="Arial" w:cs="Arial"/>
          <w:sz w:val="24"/>
          <w:szCs w:val="24"/>
        </w:rPr>
        <w:t xml:space="preserve"> of 0</w:t>
      </w:r>
      <w:r w:rsidR="00F21485" w:rsidRPr="00593BCE">
        <w:rPr>
          <w:rFonts w:ascii="Arial" w:hAnsi="Arial" w:cs="Arial"/>
          <w:sz w:val="24"/>
          <w:szCs w:val="24"/>
        </w:rPr>
        <w:t xml:space="preserve"> means </w:t>
      </w:r>
      <w:r w:rsidR="00C7099B" w:rsidRPr="00593BCE">
        <w:rPr>
          <w:rFonts w:ascii="Arial" w:hAnsi="Arial" w:cs="Arial"/>
          <w:sz w:val="24"/>
          <w:szCs w:val="24"/>
        </w:rPr>
        <w:t xml:space="preserve">unlikely </w:t>
      </w:r>
      <w:r w:rsidRPr="00593BCE">
        <w:rPr>
          <w:rFonts w:ascii="Arial" w:hAnsi="Arial" w:cs="Arial"/>
          <w:sz w:val="24"/>
          <w:szCs w:val="24"/>
        </w:rPr>
        <w:t>delirium or severe cog</w:t>
      </w:r>
      <w:r w:rsidR="00E1758B" w:rsidRPr="00593BCE">
        <w:rPr>
          <w:rFonts w:ascii="Arial" w:hAnsi="Arial" w:cs="Arial"/>
          <w:sz w:val="24"/>
          <w:szCs w:val="24"/>
        </w:rPr>
        <w:t xml:space="preserve">nitive impairment </w:t>
      </w:r>
      <w:r w:rsidR="00E12AA7" w:rsidRPr="00593BCE">
        <w:rPr>
          <w:rFonts w:ascii="Arial" w:hAnsi="Arial" w:cs="Arial"/>
          <w:sz w:val="24"/>
          <w:szCs w:val="24"/>
        </w:rPr>
        <w:t>(</w:t>
      </w:r>
      <w:r w:rsidR="00FC355C" w:rsidRPr="00593BCE">
        <w:rPr>
          <w:rFonts w:ascii="Arial" w:hAnsi="Arial" w:cs="Arial"/>
          <w:sz w:val="24"/>
          <w:szCs w:val="24"/>
        </w:rPr>
        <w:t>reference</w:t>
      </w:r>
      <w:r w:rsidR="0054773C" w:rsidRPr="00593BCE">
        <w:rPr>
          <w:rFonts w:ascii="Arial" w:hAnsi="Arial" w:cs="Arial"/>
          <w:sz w:val="24"/>
          <w:szCs w:val="24"/>
        </w:rPr>
        <w:t xml:space="preserve"> group</w:t>
      </w:r>
      <w:r w:rsidR="00E12AA7" w:rsidRPr="00593BCE">
        <w:rPr>
          <w:rFonts w:ascii="Arial" w:hAnsi="Arial" w:cs="Arial"/>
          <w:sz w:val="24"/>
          <w:szCs w:val="24"/>
        </w:rPr>
        <w:t>)</w:t>
      </w:r>
      <w:r w:rsidR="00C7099B" w:rsidRPr="00593BCE">
        <w:rPr>
          <w:rFonts w:ascii="Arial" w:hAnsi="Arial" w:cs="Arial"/>
          <w:sz w:val="24"/>
          <w:szCs w:val="24"/>
        </w:rPr>
        <w:t>;</w:t>
      </w:r>
      <w:r w:rsidR="00E1758B" w:rsidRPr="00593BCE">
        <w:rPr>
          <w:rFonts w:ascii="Arial" w:hAnsi="Arial" w:cs="Arial"/>
          <w:sz w:val="24"/>
          <w:szCs w:val="24"/>
        </w:rPr>
        <w:t xml:space="preserve"> </w:t>
      </w:r>
      <w:r w:rsidR="00EA6358" w:rsidRPr="00593BCE">
        <w:rPr>
          <w:rFonts w:ascii="Arial" w:hAnsi="Arial" w:cs="Arial"/>
          <w:sz w:val="24"/>
          <w:szCs w:val="24"/>
        </w:rPr>
        <w:t xml:space="preserve">a </w:t>
      </w:r>
      <w:r w:rsidR="00DE23F3" w:rsidRPr="00593BCE">
        <w:rPr>
          <w:rFonts w:ascii="Arial" w:hAnsi="Arial" w:cs="Arial"/>
          <w:sz w:val="24"/>
          <w:szCs w:val="24"/>
        </w:rPr>
        <w:t xml:space="preserve">score of </w:t>
      </w:r>
      <w:r w:rsidR="00E1758B" w:rsidRPr="00593BCE">
        <w:rPr>
          <w:rFonts w:ascii="Arial" w:hAnsi="Arial" w:cs="Arial"/>
          <w:sz w:val="24"/>
          <w:szCs w:val="24"/>
        </w:rPr>
        <w:t>1-3</w:t>
      </w:r>
      <w:r w:rsidR="00EA6358" w:rsidRPr="00593BCE">
        <w:rPr>
          <w:rFonts w:ascii="Arial" w:hAnsi="Arial" w:cs="Arial"/>
          <w:sz w:val="24"/>
          <w:szCs w:val="24"/>
        </w:rPr>
        <w:t xml:space="preserve"> </w:t>
      </w:r>
      <w:r w:rsidR="00F21485" w:rsidRPr="00593BCE">
        <w:rPr>
          <w:rFonts w:ascii="Arial" w:hAnsi="Arial" w:cs="Arial"/>
          <w:sz w:val="24"/>
          <w:szCs w:val="24"/>
        </w:rPr>
        <w:t xml:space="preserve">suggests </w:t>
      </w:r>
      <w:r w:rsidR="004F389A" w:rsidRPr="00593BCE">
        <w:rPr>
          <w:rFonts w:ascii="Arial" w:hAnsi="Arial" w:cs="Arial"/>
          <w:sz w:val="24"/>
          <w:szCs w:val="24"/>
        </w:rPr>
        <w:t xml:space="preserve">possible </w:t>
      </w:r>
      <w:r w:rsidR="00582FA6" w:rsidRPr="00593BCE">
        <w:rPr>
          <w:rFonts w:ascii="Arial" w:hAnsi="Arial" w:cs="Arial"/>
          <w:sz w:val="24"/>
          <w:szCs w:val="24"/>
        </w:rPr>
        <w:t xml:space="preserve">chronic </w:t>
      </w:r>
      <w:r w:rsidR="00257147" w:rsidRPr="00593BCE">
        <w:rPr>
          <w:rFonts w:ascii="Arial" w:hAnsi="Arial" w:cs="Arial"/>
          <w:sz w:val="24"/>
          <w:szCs w:val="24"/>
        </w:rPr>
        <w:t>c</w:t>
      </w:r>
      <w:r w:rsidRPr="00593BCE">
        <w:rPr>
          <w:rFonts w:ascii="Arial" w:hAnsi="Arial" w:cs="Arial"/>
          <w:sz w:val="24"/>
          <w:szCs w:val="24"/>
        </w:rPr>
        <w:t>ognitive impairment</w:t>
      </w:r>
      <w:r w:rsidR="00795771" w:rsidRPr="00593BCE">
        <w:rPr>
          <w:rFonts w:ascii="Arial" w:hAnsi="Arial" w:cs="Arial"/>
          <w:sz w:val="24"/>
          <w:szCs w:val="24"/>
        </w:rPr>
        <w:t>, without</w:t>
      </w:r>
      <w:r w:rsidR="003A3428" w:rsidRPr="00593BCE">
        <w:rPr>
          <w:rFonts w:ascii="Arial" w:hAnsi="Arial" w:cs="Arial"/>
          <w:sz w:val="24"/>
          <w:szCs w:val="24"/>
          <w:shd w:val="clear" w:color="auto" w:fill="FFFFFF"/>
        </w:rPr>
        <w:t xml:space="preserve"> exclud</w:t>
      </w:r>
      <w:r w:rsidR="00795771" w:rsidRPr="00593BCE">
        <w:rPr>
          <w:rFonts w:ascii="Arial" w:hAnsi="Arial" w:cs="Arial"/>
          <w:sz w:val="24"/>
          <w:szCs w:val="24"/>
          <w:shd w:val="clear" w:color="auto" w:fill="FFFFFF"/>
        </w:rPr>
        <w:t>ing</w:t>
      </w:r>
      <w:r w:rsidR="003A3428" w:rsidRPr="00593BCE">
        <w:rPr>
          <w:rFonts w:ascii="Arial" w:hAnsi="Arial" w:cs="Arial"/>
          <w:sz w:val="24"/>
          <w:szCs w:val="24"/>
          <w:shd w:val="clear" w:color="auto" w:fill="FFFFFF"/>
        </w:rPr>
        <w:t xml:space="preserve"> possibility of delirium</w:t>
      </w:r>
      <w:r w:rsidR="00795771" w:rsidRPr="00593BCE">
        <w:rPr>
          <w:rFonts w:ascii="Arial" w:hAnsi="Arial" w:cs="Arial"/>
          <w:sz w:val="24"/>
          <w:szCs w:val="24"/>
        </w:rPr>
        <w:t>;</w:t>
      </w:r>
      <w:r w:rsidRPr="00593BCE">
        <w:rPr>
          <w:rFonts w:ascii="Arial" w:hAnsi="Arial" w:cs="Arial"/>
          <w:sz w:val="24"/>
          <w:szCs w:val="24"/>
        </w:rPr>
        <w:t xml:space="preserve"> </w:t>
      </w:r>
      <w:r w:rsidR="00EA6358" w:rsidRPr="00593BCE">
        <w:rPr>
          <w:rFonts w:ascii="Arial" w:hAnsi="Arial" w:cs="Arial"/>
          <w:sz w:val="24"/>
          <w:szCs w:val="24"/>
        </w:rPr>
        <w:t>a score</w:t>
      </w:r>
      <w:r w:rsidR="00795771" w:rsidRPr="00593BCE">
        <w:rPr>
          <w:rFonts w:ascii="Arial" w:hAnsi="Arial" w:cs="Arial"/>
          <w:sz w:val="24"/>
          <w:szCs w:val="24"/>
        </w:rPr>
        <w:t xml:space="preserve"> ≥4</w:t>
      </w:r>
      <w:r w:rsidR="00F21485" w:rsidRPr="00593BCE">
        <w:rPr>
          <w:rFonts w:ascii="Arial" w:hAnsi="Arial" w:cs="Arial"/>
          <w:sz w:val="24"/>
          <w:szCs w:val="24"/>
        </w:rPr>
        <w:t xml:space="preserve"> suggests </w:t>
      </w:r>
      <w:r w:rsidR="00257147" w:rsidRPr="00593BCE">
        <w:rPr>
          <w:rFonts w:ascii="Arial" w:hAnsi="Arial" w:cs="Arial"/>
          <w:sz w:val="24"/>
          <w:szCs w:val="24"/>
        </w:rPr>
        <w:t>d</w:t>
      </w:r>
      <w:r w:rsidRPr="00593BCE">
        <w:rPr>
          <w:rFonts w:ascii="Arial" w:hAnsi="Arial" w:cs="Arial"/>
          <w:sz w:val="24"/>
          <w:szCs w:val="24"/>
        </w:rPr>
        <w:t>elirium</w:t>
      </w:r>
      <w:r w:rsidR="002A04DA" w:rsidRPr="00593BCE">
        <w:rPr>
          <w:rFonts w:ascii="Arial" w:hAnsi="Arial" w:cs="Arial"/>
          <w:sz w:val="24"/>
          <w:szCs w:val="24"/>
        </w:rPr>
        <w:t xml:space="preserve"> </w:t>
      </w:r>
      <w:r w:rsidR="00DE23F3" w:rsidRPr="00593BCE">
        <w:rPr>
          <w:rFonts w:ascii="Arial" w:hAnsi="Arial" w:cs="Arial"/>
          <w:sz w:val="24"/>
          <w:szCs w:val="24"/>
        </w:rPr>
        <w:t xml:space="preserve">with or without </w:t>
      </w:r>
      <w:r w:rsidR="00582FA6" w:rsidRPr="00593BCE">
        <w:rPr>
          <w:rFonts w:ascii="Arial" w:hAnsi="Arial" w:cs="Arial"/>
          <w:sz w:val="24"/>
          <w:szCs w:val="24"/>
        </w:rPr>
        <w:t xml:space="preserve">chronic </w:t>
      </w:r>
      <w:r w:rsidRPr="00593BCE">
        <w:rPr>
          <w:rFonts w:ascii="Arial" w:hAnsi="Arial" w:cs="Arial"/>
          <w:sz w:val="24"/>
          <w:szCs w:val="24"/>
        </w:rPr>
        <w:t>cognitive impairment</w:t>
      </w:r>
      <w:r w:rsidR="00ED54F8" w:rsidRPr="00593BCE">
        <w:rPr>
          <w:rFonts w:ascii="Arial" w:hAnsi="Arial" w:cs="Arial"/>
          <w:sz w:val="24"/>
          <w:szCs w:val="24"/>
        </w:rPr>
        <w:t>. Logistic regression, adjusted for</w:t>
      </w:r>
      <w:r w:rsidR="0054773C" w:rsidRPr="00593BCE">
        <w:rPr>
          <w:rFonts w:ascii="Arial" w:hAnsi="Arial" w:cs="Arial"/>
          <w:sz w:val="24"/>
          <w:szCs w:val="24"/>
        </w:rPr>
        <w:t>:</w:t>
      </w:r>
      <w:r w:rsidR="00ED54F8" w:rsidRPr="00593BCE">
        <w:rPr>
          <w:rFonts w:ascii="Arial" w:hAnsi="Arial" w:cs="Arial"/>
          <w:sz w:val="24"/>
          <w:szCs w:val="24"/>
        </w:rPr>
        <w:t xml:space="preserve"> </w:t>
      </w:r>
      <w:r w:rsidR="001957AC" w:rsidRPr="00593BCE">
        <w:rPr>
          <w:rFonts w:ascii="Arial" w:hAnsi="Arial" w:cs="Arial"/>
          <w:sz w:val="24"/>
          <w:szCs w:val="24"/>
        </w:rPr>
        <w:t>age</w:t>
      </w:r>
      <w:r w:rsidR="0054773C" w:rsidRPr="00593BCE">
        <w:rPr>
          <w:rFonts w:ascii="Arial" w:hAnsi="Arial" w:cs="Arial"/>
          <w:sz w:val="24"/>
          <w:szCs w:val="24"/>
        </w:rPr>
        <w:t xml:space="preserve">; </w:t>
      </w:r>
      <w:r w:rsidR="001957AC" w:rsidRPr="00593BCE">
        <w:rPr>
          <w:rFonts w:ascii="Arial" w:hAnsi="Arial" w:cs="Arial"/>
          <w:sz w:val="24"/>
          <w:szCs w:val="24"/>
        </w:rPr>
        <w:t>sex</w:t>
      </w:r>
      <w:r w:rsidR="0054773C" w:rsidRPr="00593BCE">
        <w:rPr>
          <w:rFonts w:ascii="Arial" w:hAnsi="Arial" w:cs="Arial"/>
          <w:sz w:val="24"/>
          <w:szCs w:val="24"/>
        </w:rPr>
        <w:t xml:space="preserve">; </w:t>
      </w:r>
      <w:r w:rsidR="001957AC" w:rsidRPr="00593BCE">
        <w:rPr>
          <w:rFonts w:ascii="Arial" w:hAnsi="Arial" w:cs="Arial"/>
          <w:sz w:val="24"/>
          <w:szCs w:val="24"/>
        </w:rPr>
        <w:t>nutritional</w:t>
      </w:r>
      <w:r w:rsidR="004620E0" w:rsidRPr="00593BCE">
        <w:rPr>
          <w:rFonts w:ascii="Arial" w:hAnsi="Arial" w:cs="Arial"/>
          <w:sz w:val="24"/>
          <w:szCs w:val="24"/>
        </w:rPr>
        <w:t xml:space="preserve"> status</w:t>
      </w:r>
      <w:r w:rsidR="0054773C" w:rsidRPr="00593BCE">
        <w:rPr>
          <w:rFonts w:ascii="Arial" w:hAnsi="Arial" w:cs="Arial"/>
          <w:sz w:val="24"/>
          <w:szCs w:val="24"/>
        </w:rPr>
        <w:t>;</w:t>
      </w:r>
      <w:r w:rsidR="00ED54F8" w:rsidRPr="00593BCE">
        <w:rPr>
          <w:rFonts w:ascii="Arial" w:hAnsi="Arial" w:cs="Arial"/>
          <w:sz w:val="24"/>
          <w:szCs w:val="24"/>
        </w:rPr>
        <w:t xml:space="preserve"> </w:t>
      </w:r>
      <w:r w:rsidR="001957AC" w:rsidRPr="00593BCE">
        <w:rPr>
          <w:rFonts w:ascii="Arial" w:hAnsi="Arial" w:cs="Arial"/>
          <w:sz w:val="24"/>
          <w:szCs w:val="24"/>
        </w:rPr>
        <w:t>co-morbidities</w:t>
      </w:r>
      <w:r w:rsidR="0054773C" w:rsidRPr="00593BCE">
        <w:rPr>
          <w:rFonts w:ascii="Arial" w:hAnsi="Arial" w:cs="Arial"/>
          <w:sz w:val="24"/>
          <w:szCs w:val="24"/>
        </w:rPr>
        <w:t xml:space="preserve">; </w:t>
      </w:r>
      <w:r w:rsidR="001957AC" w:rsidRPr="00593BCE">
        <w:rPr>
          <w:rFonts w:ascii="Arial" w:hAnsi="Arial" w:cs="Arial"/>
          <w:sz w:val="24"/>
          <w:szCs w:val="24"/>
        </w:rPr>
        <w:t>polypharmacy and anticholinergic burden</w:t>
      </w:r>
      <w:r w:rsidR="0054773C" w:rsidRPr="00593BCE">
        <w:rPr>
          <w:rFonts w:ascii="Arial" w:hAnsi="Arial" w:cs="Arial"/>
          <w:sz w:val="24"/>
          <w:szCs w:val="24"/>
        </w:rPr>
        <w:t>,</w:t>
      </w:r>
      <w:r w:rsidR="001957AC" w:rsidRPr="00593BCE">
        <w:rPr>
          <w:rFonts w:ascii="Arial" w:hAnsi="Arial" w:cs="Arial"/>
          <w:sz w:val="24"/>
          <w:szCs w:val="24"/>
        </w:rPr>
        <w:t xml:space="preserve"> </w:t>
      </w:r>
      <w:r w:rsidR="000021C6" w:rsidRPr="00593BCE">
        <w:rPr>
          <w:rFonts w:ascii="Arial" w:hAnsi="Arial" w:cs="Arial"/>
          <w:sz w:val="24"/>
          <w:szCs w:val="24"/>
        </w:rPr>
        <w:t>us</w:t>
      </w:r>
      <w:r w:rsidR="00986646" w:rsidRPr="00593BCE">
        <w:rPr>
          <w:rFonts w:ascii="Arial" w:hAnsi="Arial" w:cs="Arial"/>
          <w:sz w:val="24"/>
          <w:szCs w:val="24"/>
        </w:rPr>
        <w:t>ed</w:t>
      </w:r>
      <w:r w:rsidR="000021C6" w:rsidRPr="00593BCE">
        <w:rPr>
          <w:rFonts w:ascii="Arial" w:hAnsi="Arial" w:cs="Arial"/>
          <w:sz w:val="24"/>
          <w:szCs w:val="24"/>
        </w:rPr>
        <w:t xml:space="preserve"> </w:t>
      </w:r>
      <w:r w:rsidR="008051E3" w:rsidRPr="00593BCE">
        <w:rPr>
          <w:rFonts w:ascii="Arial" w:hAnsi="Arial" w:cs="Arial"/>
          <w:sz w:val="24"/>
          <w:szCs w:val="24"/>
        </w:rPr>
        <w:t xml:space="preserve">the </w:t>
      </w:r>
      <w:r w:rsidR="000021C6" w:rsidRPr="00593BCE">
        <w:rPr>
          <w:rFonts w:ascii="Arial" w:hAnsi="Arial" w:cs="Arial"/>
          <w:sz w:val="24"/>
          <w:szCs w:val="24"/>
        </w:rPr>
        <w:t>4AT to predict</w:t>
      </w:r>
      <w:r w:rsidRPr="00593BCE">
        <w:rPr>
          <w:rFonts w:ascii="Arial" w:hAnsi="Arial" w:cs="Arial"/>
          <w:sz w:val="24"/>
          <w:szCs w:val="24"/>
        </w:rPr>
        <w:t xml:space="preserve"> </w:t>
      </w:r>
      <w:r w:rsidR="0097404F" w:rsidRPr="00593BCE">
        <w:rPr>
          <w:rFonts w:ascii="Arial" w:hAnsi="Arial" w:cs="Arial"/>
          <w:sz w:val="24"/>
          <w:szCs w:val="24"/>
        </w:rPr>
        <w:t>mobility,</w:t>
      </w:r>
      <w:r w:rsidRPr="00593BCE">
        <w:rPr>
          <w:rFonts w:ascii="Arial" w:hAnsi="Arial" w:cs="Arial"/>
          <w:sz w:val="24"/>
          <w:szCs w:val="24"/>
        </w:rPr>
        <w:t xml:space="preserve"> </w:t>
      </w:r>
      <w:r w:rsidR="00424122" w:rsidRPr="00593BCE">
        <w:rPr>
          <w:rFonts w:ascii="Arial" w:hAnsi="Arial" w:cs="Arial"/>
          <w:sz w:val="24"/>
          <w:szCs w:val="24"/>
        </w:rPr>
        <w:t>length of stay (</w:t>
      </w:r>
      <w:r w:rsidRPr="00593BCE">
        <w:rPr>
          <w:rFonts w:ascii="Arial" w:hAnsi="Arial" w:cs="Arial"/>
          <w:sz w:val="24"/>
          <w:szCs w:val="24"/>
        </w:rPr>
        <w:t>LOS</w:t>
      </w:r>
      <w:r w:rsidR="00424122" w:rsidRPr="00593BCE">
        <w:rPr>
          <w:rFonts w:ascii="Arial" w:hAnsi="Arial" w:cs="Arial"/>
          <w:sz w:val="24"/>
          <w:szCs w:val="24"/>
        </w:rPr>
        <w:t xml:space="preserve">), </w:t>
      </w:r>
      <w:r w:rsidR="00F21485" w:rsidRPr="00593BCE">
        <w:rPr>
          <w:rFonts w:ascii="Arial" w:hAnsi="Arial" w:cs="Arial"/>
          <w:sz w:val="24"/>
          <w:szCs w:val="24"/>
        </w:rPr>
        <w:t>mortality</w:t>
      </w:r>
      <w:r w:rsidR="004E555A" w:rsidRPr="00593BCE">
        <w:rPr>
          <w:rFonts w:ascii="Arial" w:hAnsi="Arial" w:cs="Arial"/>
          <w:sz w:val="24"/>
          <w:szCs w:val="24"/>
        </w:rPr>
        <w:t>,</w:t>
      </w:r>
      <w:r w:rsidR="00F21485" w:rsidRPr="00593BCE">
        <w:rPr>
          <w:rFonts w:ascii="Arial" w:hAnsi="Arial" w:cs="Arial"/>
          <w:sz w:val="24"/>
          <w:szCs w:val="24"/>
        </w:rPr>
        <w:t xml:space="preserve"> </w:t>
      </w:r>
      <w:r w:rsidR="00C11F1D" w:rsidRPr="00593BCE">
        <w:rPr>
          <w:rFonts w:ascii="Arial" w:hAnsi="Arial" w:cs="Arial"/>
          <w:sz w:val="24"/>
          <w:szCs w:val="24"/>
        </w:rPr>
        <w:t xml:space="preserve">and </w:t>
      </w:r>
      <w:r w:rsidR="00BF4CF6" w:rsidRPr="00593BCE">
        <w:rPr>
          <w:rFonts w:ascii="Arial" w:hAnsi="Arial" w:cs="Arial"/>
          <w:sz w:val="24"/>
          <w:szCs w:val="24"/>
        </w:rPr>
        <w:t>discharge</w:t>
      </w:r>
      <w:r w:rsidR="00424122" w:rsidRPr="00593BCE">
        <w:rPr>
          <w:rFonts w:ascii="Arial" w:hAnsi="Arial" w:cs="Arial"/>
          <w:sz w:val="24"/>
          <w:szCs w:val="24"/>
        </w:rPr>
        <w:t xml:space="preserve"> destination</w:t>
      </w:r>
      <w:r w:rsidR="000C399D" w:rsidRPr="00593BCE">
        <w:rPr>
          <w:rFonts w:ascii="Arial" w:hAnsi="Arial" w:cs="Arial"/>
          <w:sz w:val="24"/>
          <w:szCs w:val="24"/>
        </w:rPr>
        <w:t>, compared to the reference group</w:t>
      </w:r>
      <w:r w:rsidR="00053A9C" w:rsidRPr="00593BCE">
        <w:rPr>
          <w:rFonts w:ascii="Arial" w:hAnsi="Arial" w:cs="Arial"/>
          <w:sz w:val="24"/>
          <w:szCs w:val="24"/>
        </w:rPr>
        <w:t>.</w:t>
      </w:r>
    </w:p>
    <w:p w14:paraId="22780504" w14:textId="593B3346" w:rsidR="00AF011F" w:rsidRPr="00593BCE" w:rsidRDefault="00335408" w:rsidP="002520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t>Results:</w:t>
      </w:r>
      <w:r w:rsidRPr="00593BCE">
        <w:rPr>
          <w:rFonts w:ascii="Arial" w:hAnsi="Arial" w:cs="Arial"/>
          <w:sz w:val="24"/>
          <w:szCs w:val="24"/>
        </w:rPr>
        <w:t xml:space="preserve"> </w:t>
      </w:r>
      <w:r w:rsidR="00466DEE" w:rsidRPr="00593BCE">
        <w:rPr>
          <w:rFonts w:ascii="Arial" w:hAnsi="Arial" w:cs="Arial"/>
          <w:sz w:val="24"/>
          <w:szCs w:val="24"/>
        </w:rPr>
        <w:t>From 537 (392</w:t>
      </w:r>
      <w:r w:rsidR="00DE23F3" w:rsidRPr="00593BCE">
        <w:rPr>
          <w:rFonts w:ascii="Arial" w:hAnsi="Arial" w:cs="Arial"/>
          <w:sz w:val="24"/>
          <w:szCs w:val="24"/>
        </w:rPr>
        <w:t xml:space="preserve"> </w:t>
      </w:r>
      <w:r w:rsidR="00947A4B" w:rsidRPr="00593BCE">
        <w:rPr>
          <w:rFonts w:ascii="Arial" w:hAnsi="Arial" w:cs="Arial"/>
          <w:sz w:val="24"/>
          <w:szCs w:val="24"/>
        </w:rPr>
        <w:t>women</w:t>
      </w:r>
      <w:r w:rsidR="004B798C" w:rsidRPr="00593BCE">
        <w:rPr>
          <w:rFonts w:ascii="Arial" w:hAnsi="Arial" w:cs="Arial"/>
          <w:sz w:val="24"/>
          <w:szCs w:val="24"/>
        </w:rPr>
        <w:t>,</w:t>
      </w:r>
      <w:r w:rsidR="00466DEE" w:rsidRPr="00593BCE">
        <w:rPr>
          <w:rFonts w:ascii="Arial" w:hAnsi="Arial" w:cs="Arial"/>
          <w:sz w:val="24"/>
          <w:szCs w:val="24"/>
        </w:rPr>
        <w:t xml:space="preserve"> 145</w:t>
      </w:r>
      <w:r w:rsidR="00DE23F3" w:rsidRPr="00593BCE">
        <w:rPr>
          <w:rFonts w:ascii="Arial" w:hAnsi="Arial" w:cs="Arial"/>
          <w:sz w:val="24"/>
          <w:szCs w:val="24"/>
        </w:rPr>
        <w:t xml:space="preserve"> </w:t>
      </w:r>
      <w:r w:rsidR="00947A4B" w:rsidRPr="00593BCE">
        <w:rPr>
          <w:rFonts w:ascii="Arial" w:hAnsi="Arial" w:cs="Arial"/>
          <w:sz w:val="24"/>
          <w:szCs w:val="24"/>
        </w:rPr>
        <w:t>men</w:t>
      </w:r>
      <w:r w:rsidR="000C399D" w:rsidRPr="00593BCE">
        <w:rPr>
          <w:rFonts w:ascii="Arial" w:hAnsi="Arial" w:cs="Arial"/>
          <w:sz w:val="24"/>
          <w:szCs w:val="24"/>
        </w:rPr>
        <w:t>:</w:t>
      </w:r>
      <w:r w:rsidR="00B46C5A" w:rsidRPr="00593BCE">
        <w:rPr>
          <w:rFonts w:ascii="Arial" w:hAnsi="Arial" w:cs="Arial"/>
          <w:sz w:val="24"/>
          <w:szCs w:val="24"/>
        </w:rPr>
        <w:t xml:space="preserve"> 83.7±8.8 y</w:t>
      </w:r>
      <w:r w:rsidR="000C399D" w:rsidRPr="00593BCE">
        <w:rPr>
          <w:rFonts w:ascii="Arial" w:hAnsi="Arial" w:cs="Arial"/>
          <w:sz w:val="24"/>
          <w:szCs w:val="24"/>
        </w:rPr>
        <w:t>r</w:t>
      </w:r>
      <w:r w:rsidR="00947A4B" w:rsidRPr="00593BCE">
        <w:rPr>
          <w:rFonts w:ascii="Arial" w:hAnsi="Arial" w:cs="Arial"/>
          <w:sz w:val="24"/>
          <w:szCs w:val="24"/>
        </w:rPr>
        <w:t>) consecutive patient</w:t>
      </w:r>
      <w:r w:rsidR="000C399D" w:rsidRPr="00593BCE">
        <w:rPr>
          <w:rFonts w:ascii="Arial" w:hAnsi="Arial" w:cs="Arial"/>
          <w:sz w:val="24"/>
          <w:szCs w:val="24"/>
        </w:rPr>
        <w:t>s</w:t>
      </w:r>
      <w:r w:rsidR="00947A4B" w:rsidRPr="00593BCE">
        <w:rPr>
          <w:rFonts w:ascii="Arial" w:hAnsi="Arial" w:cs="Arial"/>
          <w:sz w:val="24"/>
          <w:szCs w:val="24"/>
        </w:rPr>
        <w:t xml:space="preserve">, 522 completed </w:t>
      </w:r>
      <w:r w:rsidR="000C399D" w:rsidRPr="00593BCE">
        <w:rPr>
          <w:rFonts w:ascii="Arial" w:hAnsi="Arial" w:cs="Arial"/>
          <w:sz w:val="24"/>
          <w:szCs w:val="24"/>
        </w:rPr>
        <w:t xml:space="preserve">the </w:t>
      </w:r>
      <w:r w:rsidR="00947A4B" w:rsidRPr="00593BCE">
        <w:rPr>
          <w:rFonts w:ascii="Arial" w:hAnsi="Arial" w:cs="Arial"/>
          <w:sz w:val="24"/>
          <w:szCs w:val="24"/>
        </w:rPr>
        <w:t>4AT</w:t>
      </w:r>
      <w:r w:rsidR="000C399D" w:rsidRPr="00593BCE">
        <w:rPr>
          <w:rFonts w:ascii="Arial" w:hAnsi="Arial" w:cs="Arial"/>
          <w:sz w:val="24"/>
          <w:szCs w:val="24"/>
        </w:rPr>
        <w:t xml:space="preserve">; </w:t>
      </w:r>
      <w:r w:rsidR="00947A4B" w:rsidRPr="00593BCE">
        <w:rPr>
          <w:rFonts w:ascii="Arial" w:hAnsi="Arial" w:cs="Arial"/>
          <w:sz w:val="24"/>
          <w:szCs w:val="24"/>
        </w:rPr>
        <w:t>25% had prolonged LOS (&gt;2</w:t>
      </w:r>
      <w:r w:rsidR="00DE23F3" w:rsidRPr="00593BCE">
        <w:rPr>
          <w:rFonts w:ascii="Arial" w:hAnsi="Arial" w:cs="Arial"/>
          <w:sz w:val="24"/>
          <w:szCs w:val="24"/>
        </w:rPr>
        <w:t xml:space="preserve"> </w:t>
      </w:r>
      <w:r w:rsidR="00947A4B" w:rsidRPr="00593BCE">
        <w:rPr>
          <w:rFonts w:ascii="Arial" w:hAnsi="Arial" w:cs="Arial"/>
          <w:sz w:val="24"/>
          <w:szCs w:val="24"/>
        </w:rPr>
        <w:t xml:space="preserve">wk) and 6.8% died in hospital. </w:t>
      </w:r>
      <w:r w:rsidR="000C399D" w:rsidRPr="00593BCE">
        <w:rPr>
          <w:rFonts w:ascii="Arial" w:hAnsi="Arial" w:cs="Arial"/>
          <w:sz w:val="24"/>
          <w:szCs w:val="24"/>
        </w:rPr>
        <w:t>R</w:t>
      </w:r>
      <w:r w:rsidR="00947A4B" w:rsidRPr="00593BCE">
        <w:rPr>
          <w:rFonts w:ascii="Arial" w:hAnsi="Arial" w:cs="Arial"/>
          <w:sz w:val="24"/>
          <w:szCs w:val="24"/>
        </w:rPr>
        <w:t xml:space="preserve">isk of </w:t>
      </w:r>
      <w:r w:rsidR="00923430" w:rsidRPr="00593BCE">
        <w:rPr>
          <w:rFonts w:ascii="Arial" w:hAnsi="Arial" w:cs="Arial"/>
          <w:sz w:val="24"/>
          <w:szCs w:val="24"/>
        </w:rPr>
        <w:t>failure to mobilis</w:t>
      </w:r>
      <w:r w:rsidR="005356C5" w:rsidRPr="00593BCE">
        <w:rPr>
          <w:rFonts w:ascii="Arial" w:hAnsi="Arial" w:cs="Arial"/>
          <w:sz w:val="24"/>
          <w:szCs w:val="24"/>
        </w:rPr>
        <w:t xml:space="preserve">e </w:t>
      </w:r>
      <w:r w:rsidR="00947A4B" w:rsidRPr="00593BCE">
        <w:rPr>
          <w:rFonts w:ascii="Arial" w:hAnsi="Arial" w:cs="Arial"/>
          <w:sz w:val="24"/>
          <w:szCs w:val="24"/>
        </w:rPr>
        <w:t xml:space="preserve">within 1-day of surgery was increased </w:t>
      </w:r>
      <w:r w:rsidR="00DE23F3" w:rsidRPr="00593BCE">
        <w:rPr>
          <w:rFonts w:ascii="Arial" w:hAnsi="Arial" w:cs="Arial"/>
          <w:sz w:val="24"/>
          <w:szCs w:val="24"/>
        </w:rPr>
        <w:t xml:space="preserve">2.4-fold </w:t>
      </w:r>
      <w:r w:rsidR="00947A4B" w:rsidRPr="00593BCE">
        <w:rPr>
          <w:rFonts w:ascii="Arial" w:hAnsi="Arial" w:cs="Arial"/>
          <w:sz w:val="24"/>
          <w:szCs w:val="24"/>
        </w:rPr>
        <w:t xml:space="preserve">with </w:t>
      </w:r>
      <w:r w:rsidR="00DE23F3" w:rsidRPr="00593BCE">
        <w:rPr>
          <w:rFonts w:ascii="Arial" w:hAnsi="Arial" w:cs="Arial"/>
          <w:sz w:val="24"/>
          <w:szCs w:val="24"/>
        </w:rPr>
        <w:t xml:space="preserve">a </w:t>
      </w:r>
      <w:r w:rsidR="002A04DA" w:rsidRPr="00593BCE">
        <w:rPr>
          <w:rFonts w:ascii="Arial" w:hAnsi="Arial" w:cs="Arial"/>
          <w:sz w:val="24"/>
          <w:szCs w:val="24"/>
        </w:rPr>
        <w:t>4AT</w:t>
      </w:r>
      <w:r w:rsidR="00DE23F3" w:rsidRPr="00593BCE">
        <w:rPr>
          <w:rFonts w:ascii="Arial" w:hAnsi="Arial" w:cs="Arial"/>
          <w:sz w:val="24"/>
          <w:szCs w:val="24"/>
        </w:rPr>
        <w:t xml:space="preserve"> score </w:t>
      </w:r>
      <w:r w:rsidR="002A04DA" w:rsidRPr="00593BCE">
        <w:rPr>
          <w:rFonts w:ascii="Arial" w:hAnsi="Arial" w:cs="Arial"/>
          <w:sz w:val="24"/>
          <w:szCs w:val="24"/>
        </w:rPr>
        <w:t>≥4</w:t>
      </w:r>
      <w:r w:rsidR="000C399D" w:rsidRPr="00593BCE">
        <w:rPr>
          <w:rFonts w:ascii="Arial" w:hAnsi="Arial" w:cs="Arial"/>
          <w:sz w:val="24"/>
          <w:szCs w:val="24"/>
        </w:rPr>
        <w:t>.</w:t>
      </w:r>
      <w:r w:rsidR="00DE23F3" w:rsidRPr="00593BCE">
        <w:rPr>
          <w:rFonts w:ascii="Arial" w:hAnsi="Arial" w:cs="Arial"/>
          <w:sz w:val="24"/>
          <w:szCs w:val="24"/>
        </w:rPr>
        <w:t xml:space="preserve"> P</w:t>
      </w:r>
      <w:r w:rsidR="00947A4B" w:rsidRPr="00593BCE">
        <w:rPr>
          <w:rFonts w:ascii="Arial" w:hAnsi="Arial" w:cs="Arial"/>
          <w:sz w:val="24"/>
          <w:szCs w:val="24"/>
        </w:rPr>
        <w:t xml:space="preserve">rolonged LOS was increased </w:t>
      </w:r>
      <w:r w:rsidR="000C399D" w:rsidRPr="00593BCE">
        <w:rPr>
          <w:rFonts w:ascii="Arial" w:hAnsi="Arial" w:cs="Arial"/>
          <w:sz w:val="24"/>
          <w:szCs w:val="24"/>
        </w:rPr>
        <w:t xml:space="preserve">2.4- and 3.1-fold respectively </w:t>
      </w:r>
      <w:r w:rsidR="00947A4B" w:rsidRPr="00593BCE">
        <w:rPr>
          <w:rFonts w:ascii="Arial" w:hAnsi="Arial" w:cs="Arial"/>
          <w:sz w:val="24"/>
          <w:szCs w:val="24"/>
        </w:rPr>
        <w:t>with</w:t>
      </w:r>
      <w:r w:rsidR="00DE23F3" w:rsidRPr="00593BCE">
        <w:rPr>
          <w:rFonts w:ascii="Arial" w:hAnsi="Arial" w:cs="Arial"/>
          <w:sz w:val="24"/>
          <w:szCs w:val="24"/>
        </w:rPr>
        <w:t xml:space="preserve"> </w:t>
      </w:r>
      <w:r w:rsidR="002A04DA" w:rsidRPr="00593BCE">
        <w:rPr>
          <w:rFonts w:ascii="Arial" w:hAnsi="Arial" w:cs="Arial"/>
          <w:sz w:val="24"/>
          <w:szCs w:val="24"/>
        </w:rPr>
        <w:t>4AT</w:t>
      </w:r>
      <w:r w:rsidR="00DE23F3" w:rsidRPr="00593BCE">
        <w:rPr>
          <w:rFonts w:ascii="Arial" w:hAnsi="Arial" w:cs="Arial"/>
          <w:sz w:val="24"/>
          <w:szCs w:val="24"/>
        </w:rPr>
        <w:t xml:space="preserve"> score</w:t>
      </w:r>
      <w:r w:rsidR="000C399D" w:rsidRPr="00593BCE">
        <w:rPr>
          <w:rFonts w:ascii="Arial" w:hAnsi="Arial" w:cs="Arial"/>
          <w:sz w:val="24"/>
          <w:szCs w:val="24"/>
        </w:rPr>
        <w:t>s</w:t>
      </w:r>
      <w:r w:rsidR="00DE23F3" w:rsidRPr="00593BCE">
        <w:rPr>
          <w:rFonts w:ascii="Arial" w:hAnsi="Arial" w:cs="Arial"/>
          <w:sz w:val="24"/>
          <w:szCs w:val="24"/>
        </w:rPr>
        <w:t xml:space="preserve"> of </w:t>
      </w:r>
      <w:r w:rsidR="002A04DA" w:rsidRPr="00593BCE">
        <w:rPr>
          <w:rFonts w:ascii="Arial" w:hAnsi="Arial" w:cs="Arial"/>
          <w:sz w:val="24"/>
          <w:szCs w:val="24"/>
        </w:rPr>
        <w:t>1-3</w:t>
      </w:r>
      <w:r w:rsidR="00DE23F3" w:rsidRPr="00593BCE">
        <w:rPr>
          <w:rFonts w:ascii="Arial" w:hAnsi="Arial" w:cs="Arial"/>
          <w:sz w:val="24"/>
          <w:szCs w:val="24"/>
        </w:rPr>
        <w:t xml:space="preserve"> </w:t>
      </w:r>
      <w:r w:rsidR="00947A4B" w:rsidRPr="00593BCE">
        <w:rPr>
          <w:rFonts w:ascii="Arial" w:hAnsi="Arial" w:cs="Arial"/>
          <w:sz w:val="24"/>
          <w:szCs w:val="24"/>
        </w:rPr>
        <w:t xml:space="preserve">or </w:t>
      </w:r>
      <w:r w:rsidR="002A04DA" w:rsidRPr="00593BCE">
        <w:rPr>
          <w:rFonts w:ascii="Arial" w:hAnsi="Arial" w:cs="Arial"/>
          <w:sz w:val="24"/>
          <w:szCs w:val="24"/>
        </w:rPr>
        <w:t>≥4</w:t>
      </w:r>
      <w:r w:rsidR="00DE23F3" w:rsidRPr="00593BCE">
        <w:rPr>
          <w:rFonts w:ascii="Arial" w:hAnsi="Arial" w:cs="Arial"/>
          <w:sz w:val="24"/>
          <w:szCs w:val="24"/>
        </w:rPr>
        <w:t>. I</w:t>
      </w:r>
      <w:r w:rsidR="00947A4B" w:rsidRPr="00593BCE">
        <w:rPr>
          <w:rFonts w:ascii="Arial" w:hAnsi="Arial" w:cs="Arial"/>
          <w:sz w:val="24"/>
          <w:szCs w:val="24"/>
        </w:rPr>
        <w:t>n</w:t>
      </w:r>
      <w:r w:rsidR="0054773C" w:rsidRPr="00593BCE">
        <w:rPr>
          <w:rFonts w:ascii="Arial" w:hAnsi="Arial" w:cs="Arial"/>
          <w:sz w:val="24"/>
          <w:szCs w:val="24"/>
        </w:rPr>
        <w:t>-</w:t>
      </w:r>
      <w:r w:rsidR="00947A4B" w:rsidRPr="00593BCE">
        <w:rPr>
          <w:rFonts w:ascii="Arial" w:hAnsi="Arial" w:cs="Arial"/>
          <w:sz w:val="24"/>
          <w:szCs w:val="24"/>
        </w:rPr>
        <w:t xml:space="preserve">patient mortality was increased </w:t>
      </w:r>
      <w:r w:rsidR="00795771" w:rsidRPr="00593BCE">
        <w:rPr>
          <w:rFonts w:ascii="Arial" w:hAnsi="Arial" w:cs="Arial"/>
          <w:sz w:val="24"/>
          <w:szCs w:val="24"/>
        </w:rPr>
        <w:t xml:space="preserve">3.1-fold </w:t>
      </w:r>
      <w:r w:rsidR="00947A4B" w:rsidRPr="00593BCE">
        <w:rPr>
          <w:rFonts w:ascii="Arial" w:hAnsi="Arial" w:cs="Arial"/>
          <w:sz w:val="24"/>
          <w:szCs w:val="24"/>
        </w:rPr>
        <w:t xml:space="preserve">with </w:t>
      </w:r>
      <w:r w:rsidR="00DE23F3" w:rsidRPr="00593BCE">
        <w:rPr>
          <w:rFonts w:ascii="Arial" w:hAnsi="Arial" w:cs="Arial"/>
          <w:sz w:val="24"/>
          <w:szCs w:val="24"/>
        </w:rPr>
        <w:t xml:space="preserve">a </w:t>
      </w:r>
      <w:r w:rsidR="002A04DA" w:rsidRPr="00593BCE">
        <w:rPr>
          <w:rFonts w:ascii="Arial" w:hAnsi="Arial" w:cs="Arial"/>
          <w:sz w:val="24"/>
          <w:szCs w:val="24"/>
        </w:rPr>
        <w:t>4AT</w:t>
      </w:r>
      <w:r w:rsidR="00DE23F3" w:rsidRPr="00593BCE">
        <w:rPr>
          <w:rFonts w:ascii="Arial" w:hAnsi="Arial" w:cs="Arial"/>
          <w:sz w:val="24"/>
          <w:szCs w:val="24"/>
        </w:rPr>
        <w:t xml:space="preserve">score </w:t>
      </w:r>
      <w:r w:rsidR="002A04DA" w:rsidRPr="00593BCE">
        <w:rPr>
          <w:rFonts w:ascii="Arial" w:hAnsi="Arial" w:cs="Arial"/>
          <w:sz w:val="24"/>
          <w:szCs w:val="24"/>
        </w:rPr>
        <w:t>≥4</w:t>
      </w:r>
      <w:r w:rsidR="00DE23F3" w:rsidRPr="00593BCE">
        <w:rPr>
          <w:rFonts w:ascii="Arial" w:hAnsi="Arial" w:cs="Arial"/>
          <w:sz w:val="24"/>
          <w:szCs w:val="24"/>
        </w:rPr>
        <w:t xml:space="preserve">; </w:t>
      </w:r>
      <w:r w:rsidR="00947A4B" w:rsidRPr="00593BCE">
        <w:rPr>
          <w:rFonts w:ascii="Arial" w:hAnsi="Arial" w:cs="Arial"/>
          <w:sz w:val="24"/>
          <w:szCs w:val="24"/>
        </w:rPr>
        <w:t xml:space="preserve">but not with </w:t>
      </w:r>
      <w:r w:rsidR="00795771" w:rsidRPr="00593BCE">
        <w:rPr>
          <w:rFonts w:ascii="Arial" w:hAnsi="Arial" w:cs="Arial"/>
          <w:sz w:val="24"/>
          <w:szCs w:val="24"/>
        </w:rPr>
        <w:t xml:space="preserve">a </w:t>
      </w:r>
      <w:r w:rsidR="002A04DA" w:rsidRPr="00593BCE">
        <w:rPr>
          <w:rFonts w:ascii="Arial" w:hAnsi="Arial" w:cs="Arial"/>
          <w:sz w:val="24"/>
          <w:szCs w:val="24"/>
        </w:rPr>
        <w:t>4AT</w:t>
      </w:r>
      <w:r w:rsidR="00DE23F3" w:rsidRPr="00593BCE">
        <w:rPr>
          <w:rFonts w:ascii="Arial" w:hAnsi="Arial" w:cs="Arial"/>
          <w:sz w:val="24"/>
          <w:szCs w:val="24"/>
        </w:rPr>
        <w:t xml:space="preserve"> score of </w:t>
      </w:r>
      <w:r w:rsidR="002A04DA" w:rsidRPr="00593BCE">
        <w:rPr>
          <w:rFonts w:ascii="Arial" w:hAnsi="Arial" w:cs="Arial"/>
          <w:sz w:val="24"/>
          <w:szCs w:val="24"/>
        </w:rPr>
        <w:t>1-3</w:t>
      </w:r>
      <w:r w:rsidR="00DE23F3" w:rsidRPr="00593BCE">
        <w:rPr>
          <w:rFonts w:ascii="Arial" w:hAnsi="Arial" w:cs="Arial"/>
          <w:sz w:val="24"/>
          <w:szCs w:val="24"/>
        </w:rPr>
        <w:t>. Change</w:t>
      </w:r>
      <w:r w:rsidR="00947A4B" w:rsidRPr="00593BCE">
        <w:rPr>
          <w:rFonts w:ascii="Arial" w:hAnsi="Arial" w:cs="Arial"/>
          <w:sz w:val="24"/>
          <w:szCs w:val="24"/>
        </w:rPr>
        <w:t xml:space="preserve"> </w:t>
      </w:r>
      <w:r w:rsidR="00DE23F3" w:rsidRPr="00593BCE">
        <w:rPr>
          <w:rFonts w:ascii="Arial" w:hAnsi="Arial" w:cs="Arial"/>
          <w:sz w:val="24"/>
          <w:szCs w:val="24"/>
        </w:rPr>
        <w:t xml:space="preserve">of </w:t>
      </w:r>
      <w:r w:rsidR="00947A4B" w:rsidRPr="00593BCE">
        <w:rPr>
          <w:rFonts w:ascii="Arial" w:hAnsi="Arial" w:cs="Arial"/>
          <w:sz w:val="24"/>
          <w:szCs w:val="24"/>
        </w:rPr>
        <w:t xml:space="preserve">residence on discharge was </w:t>
      </w:r>
      <w:r w:rsidR="003C0C36" w:rsidRPr="00593BCE">
        <w:rPr>
          <w:rFonts w:ascii="Arial" w:hAnsi="Arial" w:cs="Arial"/>
          <w:sz w:val="24"/>
          <w:szCs w:val="24"/>
        </w:rPr>
        <w:t xml:space="preserve">increased </w:t>
      </w:r>
      <w:r w:rsidR="00DE23F3" w:rsidRPr="00593BCE">
        <w:rPr>
          <w:rFonts w:ascii="Arial" w:hAnsi="Arial" w:cs="Arial"/>
          <w:sz w:val="24"/>
          <w:szCs w:val="24"/>
        </w:rPr>
        <w:t xml:space="preserve">3.1-fold </w:t>
      </w:r>
      <w:r w:rsidR="003C0C36" w:rsidRPr="00593BCE">
        <w:rPr>
          <w:rFonts w:ascii="Arial" w:hAnsi="Arial" w:cs="Arial"/>
          <w:sz w:val="24"/>
          <w:szCs w:val="24"/>
        </w:rPr>
        <w:t xml:space="preserve">with </w:t>
      </w:r>
      <w:r w:rsidR="00DE23F3" w:rsidRPr="00593BCE">
        <w:rPr>
          <w:rFonts w:ascii="Arial" w:hAnsi="Arial" w:cs="Arial"/>
          <w:sz w:val="24"/>
          <w:szCs w:val="24"/>
        </w:rPr>
        <w:t xml:space="preserve">a </w:t>
      </w:r>
      <w:r w:rsidR="002A04DA" w:rsidRPr="00593BCE">
        <w:rPr>
          <w:rFonts w:ascii="Arial" w:hAnsi="Arial" w:cs="Arial"/>
          <w:sz w:val="24"/>
          <w:szCs w:val="24"/>
        </w:rPr>
        <w:t>4AT</w:t>
      </w:r>
      <w:r w:rsidR="00DE23F3" w:rsidRPr="00593BCE">
        <w:rPr>
          <w:rFonts w:ascii="Arial" w:hAnsi="Arial" w:cs="Arial"/>
          <w:sz w:val="24"/>
          <w:szCs w:val="24"/>
        </w:rPr>
        <w:t xml:space="preserve"> score </w:t>
      </w:r>
      <w:r w:rsidR="002A04DA" w:rsidRPr="00593BCE">
        <w:rPr>
          <w:rFonts w:ascii="Arial" w:hAnsi="Arial" w:cs="Arial"/>
          <w:sz w:val="24"/>
          <w:szCs w:val="24"/>
        </w:rPr>
        <w:t>≥4</w:t>
      </w:r>
      <w:r w:rsidR="00947A4B" w:rsidRPr="00593BCE">
        <w:rPr>
          <w:rFonts w:ascii="Arial" w:hAnsi="Arial" w:cs="Arial"/>
          <w:sz w:val="24"/>
          <w:szCs w:val="24"/>
        </w:rPr>
        <w:t>.</w:t>
      </w:r>
      <w:r w:rsidR="001957AC" w:rsidRPr="00593BCE">
        <w:rPr>
          <w:rFonts w:ascii="Arial" w:hAnsi="Arial" w:cs="Arial"/>
          <w:sz w:val="24"/>
          <w:szCs w:val="24"/>
        </w:rPr>
        <w:t xml:space="preserve"> These associations persist</w:t>
      </w:r>
      <w:r w:rsidR="003C0C36" w:rsidRPr="00593BCE">
        <w:rPr>
          <w:rFonts w:ascii="Arial" w:hAnsi="Arial" w:cs="Arial"/>
          <w:sz w:val="24"/>
          <w:szCs w:val="24"/>
        </w:rPr>
        <w:t>ed</w:t>
      </w:r>
      <w:r w:rsidR="001957AC" w:rsidRPr="00593BCE">
        <w:rPr>
          <w:rFonts w:ascii="Arial" w:hAnsi="Arial" w:cs="Arial"/>
          <w:sz w:val="24"/>
          <w:szCs w:val="24"/>
        </w:rPr>
        <w:t xml:space="preserve"> </w:t>
      </w:r>
      <w:r w:rsidR="003C0C36" w:rsidRPr="00593BCE">
        <w:rPr>
          <w:rFonts w:ascii="Arial" w:hAnsi="Arial" w:cs="Arial"/>
          <w:sz w:val="24"/>
          <w:szCs w:val="24"/>
        </w:rPr>
        <w:t>after</w:t>
      </w:r>
      <w:r w:rsidR="001957AC" w:rsidRPr="00593BCE">
        <w:rPr>
          <w:rFonts w:ascii="Arial" w:hAnsi="Arial" w:cs="Arial"/>
          <w:sz w:val="24"/>
          <w:szCs w:val="24"/>
        </w:rPr>
        <w:t xml:space="preserve"> </w:t>
      </w:r>
      <w:r w:rsidR="00880A9F" w:rsidRPr="00593BCE">
        <w:rPr>
          <w:rFonts w:ascii="Arial" w:hAnsi="Arial" w:cs="Arial"/>
          <w:sz w:val="24"/>
          <w:szCs w:val="24"/>
        </w:rPr>
        <w:t>excluding</w:t>
      </w:r>
      <w:r w:rsidR="003C0C36" w:rsidRPr="00593BCE">
        <w:rPr>
          <w:rFonts w:ascii="Arial" w:hAnsi="Arial" w:cs="Arial"/>
          <w:sz w:val="24"/>
          <w:szCs w:val="24"/>
        </w:rPr>
        <w:t xml:space="preserve"> </w:t>
      </w:r>
      <w:r w:rsidR="002436F9" w:rsidRPr="00593BCE">
        <w:rPr>
          <w:rFonts w:ascii="Arial" w:hAnsi="Arial" w:cs="Arial"/>
          <w:sz w:val="24"/>
          <w:szCs w:val="24"/>
        </w:rPr>
        <w:t xml:space="preserve">patients with </w:t>
      </w:r>
      <w:r w:rsidR="003C0C36" w:rsidRPr="00593BCE">
        <w:rPr>
          <w:rFonts w:ascii="Arial" w:hAnsi="Arial" w:cs="Arial"/>
          <w:sz w:val="24"/>
          <w:szCs w:val="24"/>
        </w:rPr>
        <w:t>dementia</w:t>
      </w:r>
      <w:r w:rsidR="001957AC" w:rsidRPr="00593BCE">
        <w:rPr>
          <w:rFonts w:ascii="Arial" w:hAnsi="Arial" w:cs="Arial"/>
          <w:sz w:val="24"/>
          <w:szCs w:val="24"/>
        </w:rPr>
        <w:t>.</w:t>
      </w:r>
      <w:r w:rsidR="00880A9F" w:rsidRPr="00593BCE">
        <w:rPr>
          <w:rFonts w:ascii="Arial" w:hAnsi="Arial" w:cs="Arial"/>
          <w:sz w:val="24"/>
          <w:szCs w:val="24"/>
        </w:rPr>
        <w:t xml:space="preserve"> </w:t>
      </w:r>
    </w:p>
    <w:p w14:paraId="077176AC" w14:textId="00831705" w:rsidR="00EA6358" w:rsidRPr="00593BCE" w:rsidRDefault="00335408" w:rsidP="00C30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t>Conclusion</w:t>
      </w:r>
      <w:r w:rsidR="00A33AAA" w:rsidRPr="00593BCE">
        <w:rPr>
          <w:rFonts w:ascii="Arial" w:hAnsi="Arial" w:cs="Arial"/>
          <w:b/>
          <w:sz w:val="24"/>
          <w:szCs w:val="24"/>
        </w:rPr>
        <w:t>s</w:t>
      </w:r>
      <w:r w:rsidRPr="00593BCE">
        <w:rPr>
          <w:rFonts w:ascii="Arial" w:hAnsi="Arial" w:cs="Arial"/>
          <w:b/>
          <w:sz w:val="24"/>
          <w:szCs w:val="24"/>
        </w:rPr>
        <w:t>:</w:t>
      </w:r>
      <w:r w:rsidRPr="00593BCE">
        <w:rPr>
          <w:rFonts w:ascii="Arial" w:hAnsi="Arial" w:cs="Arial"/>
          <w:sz w:val="24"/>
          <w:szCs w:val="24"/>
        </w:rPr>
        <w:t xml:space="preserve"> </w:t>
      </w:r>
      <w:r w:rsidR="00986646" w:rsidRPr="00593BCE">
        <w:rPr>
          <w:rFonts w:ascii="Arial" w:hAnsi="Arial" w:cs="Arial"/>
          <w:sz w:val="24"/>
          <w:szCs w:val="24"/>
        </w:rPr>
        <w:t xml:space="preserve">For </w:t>
      </w:r>
      <w:r w:rsidR="0054773C" w:rsidRPr="00593BCE">
        <w:rPr>
          <w:rFonts w:ascii="Arial" w:hAnsi="Arial" w:cs="Arial"/>
          <w:sz w:val="24"/>
          <w:szCs w:val="24"/>
        </w:rPr>
        <w:t xml:space="preserve">older adults with hip fracture </w:t>
      </w:r>
      <w:r w:rsidR="00EA6358" w:rsidRPr="00593BCE">
        <w:rPr>
          <w:rFonts w:ascii="Arial" w:hAnsi="Arial" w:cs="Arial"/>
          <w:sz w:val="24"/>
          <w:szCs w:val="24"/>
        </w:rPr>
        <w:t xml:space="preserve">the </w:t>
      </w:r>
      <w:r w:rsidR="00A7077D" w:rsidRPr="00593BCE">
        <w:rPr>
          <w:rFonts w:ascii="Arial" w:hAnsi="Arial" w:cs="Arial"/>
          <w:sz w:val="24"/>
          <w:szCs w:val="24"/>
        </w:rPr>
        <w:t xml:space="preserve">4AT </w:t>
      </w:r>
      <w:r w:rsidR="0059459E" w:rsidRPr="00593BCE">
        <w:rPr>
          <w:rFonts w:ascii="Arial" w:hAnsi="Arial" w:cs="Arial"/>
          <w:sz w:val="24"/>
          <w:szCs w:val="24"/>
        </w:rPr>
        <w:t>independent</w:t>
      </w:r>
      <w:r w:rsidR="00E97F39" w:rsidRPr="00593BCE">
        <w:rPr>
          <w:rFonts w:ascii="Arial" w:hAnsi="Arial" w:cs="Arial"/>
          <w:sz w:val="24"/>
          <w:szCs w:val="24"/>
        </w:rPr>
        <w:t>ly</w:t>
      </w:r>
      <w:r w:rsidR="0059459E" w:rsidRPr="00593BCE">
        <w:rPr>
          <w:rFonts w:ascii="Arial" w:hAnsi="Arial" w:cs="Arial"/>
          <w:sz w:val="24"/>
          <w:szCs w:val="24"/>
        </w:rPr>
        <w:t xml:space="preserve"> </w:t>
      </w:r>
      <w:r w:rsidR="00FF3497" w:rsidRPr="00593BCE">
        <w:rPr>
          <w:rFonts w:ascii="Arial" w:hAnsi="Arial" w:cs="Arial"/>
          <w:sz w:val="24"/>
          <w:szCs w:val="24"/>
        </w:rPr>
        <w:t>predict</w:t>
      </w:r>
      <w:r w:rsidR="00E97F39" w:rsidRPr="00593BCE">
        <w:rPr>
          <w:rFonts w:ascii="Arial" w:hAnsi="Arial" w:cs="Arial"/>
          <w:sz w:val="24"/>
          <w:szCs w:val="24"/>
        </w:rPr>
        <w:t>s</w:t>
      </w:r>
      <w:r w:rsidR="007502E3" w:rsidRPr="00593BCE">
        <w:rPr>
          <w:rFonts w:ascii="Arial" w:hAnsi="Arial" w:cs="Arial"/>
          <w:sz w:val="24"/>
          <w:szCs w:val="24"/>
        </w:rPr>
        <w:t xml:space="preserve"> </w:t>
      </w:r>
      <w:r w:rsidR="005A087C" w:rsidRPr="00593BCE">
        <w:rPr>
          <w:rFonts w:ascii="Arial" w:hAnsi="Arial" w:cs="Arial"/>
          <w:sz w:val="24"/>
          <w:szCs w:val="24"/>
        </w:rPr>
        <w:t xml:space="preserve">immobility, </w:t>
      </w:r>
      <w:r w:rsidR="00FF3497" w:rsidRPr="00593BCE">
        <w:rPr>
          <w:rFonts w:ascii="Arial" w:hAnsi="Arial" w:cs="Arial"/>
          <w:sz w:val="24"/>
          <w:szCs w:val="24"/>
        </w:rPr>
        <w:t>prolonged LOS</w:t>
      </w:r>
      <w:r w:rsidR="00986646" w:rsidRPr="00593BCE">
        <w:rPr>
          <w:rFonts w:ascii="Arial" w:hAnsi="Arial" w:cs="Arial"/>
          <w:sz w:val="24"/>
          <w:szCs w:val="24"/>
        </w:rPr>
        <w:t xml:space="preserve">, </w:t>
      </w:r>
      <w:r w:rsidR="00FF3497" w:rsidRPr="00593BCE">
        <w:rPr>
          <w:rFonts w:ascii="Arial" w:hAnsi="Arial" w:cs="Arial"/>
          <w:sz w:val="24"/>
          <w:szCs w:val="24"/>
        </w:rPr>
        <w:t>death in hospital</w:t>
      </w:r>
      <w:r w:rsidR="00986646" w:rsidRPr="00593BCE">
        <w:rPr>
          <w:rFonts w:ascii="Arial" w:hAnsi="Arial" w:cs="Arial"/>
          <w:sz w:val="24"/>
          <w:szCs w:val="24"/>
        </w:rPr>
        <w:t>,</w:t>
      </w:r>
      <w:r w:rsidR="00A7077D" w:rsidRPr="00593BCE">
        <w:rPr>
          <w:rFonts w:ascii="Arial" w:hAnsi="Arial" w:cs="Arial"/>
          <w:sz w:val="24"/>
          <w:szCs w:val="24"/>
        </w:rPr>
        <w:t xml:space="preserve"> and </w:t>
      </w:r>
      <w:r w:rsidR="005A087C" w:rsidRPr="00593BCE">
        <w:rPr>
          <w:rFonts w:ascii="Arial" w:hAnsi="Arial" w:cs="Arial"/>
          <w:sz w:val="24"/>
          <w:szCs w:val="24"/>
        </w:rPr>
        <w:t xml:space="preserve">change in residence on </w:t>
      </w:r>
      <w:r w:rsidR="00A7077D" w:rsidRPr="00593BCE">
        <w:rPr>
          <w:rFonts w:ascii="Arial" w:hAnsi="Arial" w:cs="Arial"/>
          <w:sz w:val="24"/>
          <w:szCs w:val="24"/>
        </w:rPr>
        <w:t>discharge</w:t>
      </w:r>
      <w:r w:rsidRPr="00593BCE">
        <w:rPr>
          <w:rFonts w:ascii="Arial" w:hAnsi="Arial" w:cs="Arial"/>
          <w:sz w:val="24"/>
          <w:szCs w:val="24"/>
        </w:rPr>
        <w:t>.</w:t>
      </w:r>
    </w:p>
    <w:p w14:paraId="5712AA7C" w14:textId="77777777" w:rsidR="00EA6358" w:rsidRPr="00593BCE" w:rsidRDefault="00EA6358" w:rsidP="00C30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C2BF59" w14:textId="5AE15C66" w:rsidR="0025206C" w:rsidRPr="00593BCE" w:rsidRDefault="00EA6358" w:rsidP="00C30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>250 words</w:t>
      </w:r>
      <w:r w:rsidR="0025206C" w:rsidRPr="00593BCE">
        <w:rPr>
          <w:rFonts w:ascii="Arial" w:hAnsi="Arial" w:cs="Arial"/>
          <w:sz w:val="24"/>
          <w:szCs w:val="24"/>
        </w:rPr>
        <w:br w:type="page"/>
      </w:r>
    </w:p>
    <w:p w14:paraId="67339BB6" w14:textId="12A2293B" w:rsidR="00C1596A" w:rsidRPr="00593BCE" w:rsidRDefault="003F724F" w:rsidP="00C1596A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lastRenderedPageBreak/>
        <w:t>KEYPOINTS</w:t>
      </w:r>
    </w:p>
    <w:p w14:paraId="41E981EA" w14:textId="2A0BD04B" w:rsidR="009458D0" w:rsidRPr="00593BCE" w:rsidRDefault="00F738B5" w:rsidP="00883D47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>The prevalence of delirium in older patients with an acute condition is approximately 20-25%</w:t>
      </w:r>
      <w:r w:rsidR="0054773C" w:rsidRPr="00593BCE">
        <w:rPr>
          <w:rFonts w:ascii="Arial" w:hAnsi="Arial" w:cs="Arial"/>
          <w:sz w:val="24"/>
          <w:szCs w:val="24"/>
        </w:rPr>
        <w:t>,</w:t>
      </w:r>
      <w:r w:rsidRPr="00593BCE">
        <w:rPr>
          <w:rFonts w:ascii="Arial" w:hAnsi="Arial" w:cs="Arial"/>
          <w:sz w:val="24"/>
          <w:szCs w:val="24"/>
        </w:rPr>
        <w:t xml:space="preserve"> but is often under-detected</w:t>
      </w:r>
      <w:r w:rsidR="00C1596A" w:rsidRPr="00593BCE">
        <w:rPr>
          <w:rFonts w:ascii="Arial" w:hAnsi="Arial" w:cs="Arial"/>
          <w:sz w:val="24"/>
          <w:szCs w:val="24"/>
        </w:rPr>
        <w:t>.</w:t>
      </w:r>
    </w:p>
    <w:p w14:paraId="3629BDF5" w14:textId="60458F61" w:rsidR="00C1596A" w:rsidRPr="00593BCE" w:rsidRDefault="00EA6358" w:rsidP="00883D47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 xml:space="preserve">The </w:t>
      </w:r>
      <w:r w:rsidR="0054773C" w:rsidRPr="00593BCE">
        <w:rPr>
          <w:rFonts w:ascii="Arial" w:hAnsi="Arial" w:cs="Arial"/>
          <w:sz w:val="24"/>
          <w:szCs w:val="24"/>
        </w:rPr>
        <w:t>4AT</w:t>
      </w:r>
      <w:r w:rsidR="003F724F" w:rsidRPr="00593BCE">
        <w:rPr>
          <w:rFonts w:ascii="Arial" w:hAnsi="Arial" w:cs="Arial"/>
          <w:sz w:val="24"/>
          <w:szCs w:val="24"/>
        </w:rPr>
        <w:t xml:space="preserve"> </w:t>
      </w:r>
      <w:r w:rsidR="00F738B5" w:rsidRPr="00593BCE">
        <w:rPr>
          <w:rFonts w:ascii="Arial" w:hAnsi="Arial" w:cs="Arial"/>
          <w:sz w:val="24"/>
          <w:szCs w:val="24"/>
        </w:rPr>
        <w:t xml:space="preserve">has been recommended by </w:t>
      </w:r>
      <w:r w:rsidR="00037985" w:rsidRPr="00593BCE">
        <w:rPr>
          <w:rFonts w:ascii="Arial" w:hAnsi="Arial" w:cs="Arial"/>
          <w:sz w:val="24"/>
          <w:szCs w:val="24"/>
        </w:rPr>
        <w:t xml:space="preserve">SIGN </w:t>
      </w:r>
      <w:r w:rsidR="009458D0" w:rsidRPr="00593BCE">
        <w:rPr>
          <w:rFonts w:ascii="Arial" w:hAnsi="Arial" w:cs="Arial"/>
          <w:sz w:val="24"/>
          <w:szCs w:val="24"/>
        </w:rPr>
        <w:t>but t</w:t>
      </w:r>
      <w:r w:rsidR="00F738B5" w:rsidRPr="00593BCE">
        <w:rPr>
          <w:rFonts w:ascii="Arial" w:hAnsi="Arial" w:cs="Arial"/>
          <w:sz w:val="24"/>
          <w:szCs w:val="24"/>
        </w:rPr>
        <w:t xml:space="preserve">here is a paucity of data on outcomes </w:t>
      </w:r>
      <w:r w:rsidR="009458D0" w:rsidRPr="00593BCE">
        <w:rPr>
          <w:rFonts w:ascii="Arial" w:hAnsi="Arial" w:cs="Arial"/>
          <w:sz w:val="24"/>
          <w:szCs w:val="24"/>
        </w:rPr>
        <w:t>relating to this novel screening tool</w:t>
      </w:r>
      <w:r w:rsidR="00C1596A" w:rsidRPr="00593BCE">
        <w:rPr>
          <w:rFonts w:ascii="Arial" w:hAnsi="Arial" w:cs="Arial"/>
          <w:sz w:val="24"/>
          <w:szCs w:val="24"/>
        </w:rPr>
        <w:t>.</w:t>
      </w:r>
    </w:p>
    <w:p w14:paraId="7A693292" w14:textId="3F8C0311" w:rsidR="009458D0" w:rsidRPr="00593BCE" w:rsidRDefault="007A5631" w:rsidP="00883D47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 xml:space="preserve">A </w:t>
      </w:r>
      <w:r w:rsidR="009458D0" w:rsidRPr="00593BCE">
        <w:rPr>
          <w:rFonts w:ascii="Arial" w:hAnsi="Arial" w:cs="Arial"/>
          <w:sz w:val="24"/>
          <w:szCs w:val="24"/>
        </w:rPr>
        <w:t xml:space="preserve">4AT score ≥4 </w:t>
      </w:r>
      <w:r w:rsidR="003F724F" w:rsidRPr="00593BCE">
        <w:rPr>
          <w:rFonts w:ascii="Arial" w:hAnsi="Arial" w:cs="Arial"/>
          <w:sz w:val="24"/>
          <w:szCs w:val="24"/>
        </w:rPr>
        <w:t>predicts</w:t>
      </w:r>
      <w:r w:rsidR="009458D0" w:rsidRPr="00593BCE">
        <w:rPr>
          <w:rFonts w:ascii="Arial" w:hAnsi="Arial" w:cs="Arial"/>
          <w:sz w:val="24"/>
          <w:szCs w:val="24"/>
        </w:rPr>
        <w:t xml:space="preserve"> </w:t>
      </w:r>
      <w:r w:rsidR="00961E21" w:rsidRPr="00593BCE">
        <w:rPr>
          <w:rFonts w:ascii="Arial" w:hAnsi="Arial" w:cs="Arial"/>
          <w:sz w:val="24"/>
          <w:szCs w:val="24"/>
        </w:rPr>
        <w:t xml:space="preserve">failure to mobilise </w:t>
      </w:r>
      <w:r w:rsidR="001D5475" w:rsidRPr="00593BCE">
        <w:rPr>
          <w:rFonts w:ascii="Arial" w:hAnsi="Arial" w:cs="Arial"/>
          <w:sz w:val="24"/>
          <w:szCs w:val="24"/>
        </w:rPr>
        <w:t xml:space="preserve">after </w:t>
      </w:r>
      <w:r w:rsidR="003F724F" w:rsidRPr="00593BCE">
        <w:rPr>
          <w:rFonts w:ascii="Arial" w:hAnsi="Arial" w:cs="Arial"/>
          <w:sz w:val="24"/>
          <w:szCs w:val="24"/>
        </w:rPr>
        <w:t xml:space="preserve">hip </w:t>
      </w:r>
      <w:r w:rsidR="001D5475" w:rsidRPr="00593BCE">
        <w:rPr>
          <w:rFonts w:ascii="Arial" w:hAnsi="Arial" w:cs="Arial"/>
          <w:sz w:val="24"/>
          <w:szCs w:val="24"/>
        </w:rPr>
        <w:t>surgery</w:t>
      </w:r>
      <w:r w:rsidR="003F724F" w:rsidRPr="00593BCE">
        <w:rPr>
          <w:rFonts w:ascii="Arial" w:hAnsi="Arial" w:cs="Arial"/>
          <w:sz w:val="24"/>
          <w:szCs w:val="24"/>
        </w:rPr>
        <w:t>,</w:t>
      </w:r>
      <w:r w:rsidR="00AD74FD" w:rsidRPr="00593BCE">
        <w:rPr>
          <w:rFonts w:ascii="Arial" w:hAnsi="Arial" w:cs="Arial"/>
          <w:sz w:val="24"/>
          <w:szCs w:val="24"/>
        </w:rPr>
        <w:t xml:space="preserve"> </w:t>
      </w:r>
      <w:r w:rsidR="009458D0" w:rsidRPr="00593BCE">
        <w:rPr>
          <w:rFonts w:ascii="Arial" w:hAnsi="Arial" w:cs="Arial"/>
          <w:sz w:val="24"/>
          <w:szCs w:val="24"/>
        </w:rPr>
        <w:t xml:space="preserve">prolonged </w:t>
      </w:r>
      <w:r w:rsidR="003F724F" w:rsidRPr="00593BCE">
        <w:rPr>
          <w:rFonts w:ascii="Arial" w:hAnsi="Arial" w:cs="Arial"/>
          <w:sz w:val="24"/>
          <w:szCs w:val="24"/>
        </w:rPr>
        <w:t>LOS,</w:t>
      </w:r>
      <w:r w:rsidR="00AD74FD" w:rsidRPr="00593BCE">
        <w:rPr>
          <w:rFonts w:ascii="Arial" w:hAnsi="Arial" w:cs="Arial"/>
          <w:sz w:val="24"/>
          <w:szCs w:val="24"/>
        </w:rPr>
        <w:t xml:space="preserve"> </w:t>
      </w:r>
      <w:r w:rsidR="009458D0" w:rsidRPr="00593BCE">
        <w:rPr>
          <w:rFonts w:ascii="Arial" w:hAnsi="Arial" w:cs="Arial"/>
          <w:sz w:val="24"/>
          <w:szCs w:val="24"/>
        </w:rPr>
        <w:t xml:space="preserve">mortality </w:t>
      </w:r>
      <w:r w:rsidR="003F724F" w:rsidRPr="00593BCE">
        <w:rPr>
          <w:rFonts w:ascii="Arial" w:hAnsi="Arial" w:cs="Arial"/>
          <w:sz w:val="24"/>
          <w:szCs w:val="24"/>
        </w:rPr>
        <w:t>and change in discharge destination</w:t>
      </w:r>
      <w:r w:rsidR="009458D0" w:rsidRPr="00593BCE">
        <w:rPr>
          <w:rFonts w:ascii="Arial" w:hAnsi="Arial" w:cs="Arial"/>
          <w:sz w:val="24"/>
          <w:szCs w:val="24"/>
        </w:rPr>
        <w:t>.</w:t>
      </w:r>
    </w:p>
    <w:p w14:paraId="1594B674" w14:textId="3614B4FA" w:rsidR="00880A9F" w:rsidRPr="00593BCE" w:rsidRDefault="003F724F" w:rsidP="00883D47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>P</w:t>
      </w:r>
      <w:r w:rsidR="00880A9F" w:rsidRPr="00593BCE">
        <w:rPr>
          <w:rFonts w:ascii="Arial" w:hAnsi="Arial" w:cs="Arial"/>
          <w:sz w:val="24"/>
          <w:szCs w:val="24"/>
        </w:rPr>
        <w:t xml:space="preserve">atients with </w:t>
      </w:r>
      <w:r w:rsidR="007A5631" w:rsidRPr="00593BCE">
        <w:rPr>
          <w:rFonts w:ascii="Arial" w:hAnsi="Arial" w:cs="Arial"/>
          <w:sz w:val="24"/>
          <w:szCs w:val="24"/>
        </w:rPr>
        <w:t xml:space="preserve">a </w:t>
      </w:r>
      <w:r w:rsidRPr="00593BCE">
        <w:rPr>
          <w:rFonts w:ascii="Arial" w:hAnsi="Arial" w:cs="Arial"/>
          <w:sz w:val="24"/>
          <w:szCs w:val="24"/>
        </w:rPr>
        <w:t xml:space="preserve">4AT score ≥4 </w:t>
      </w:r>
      <w:r w:rsidR="00880A9F" w:rsidRPr="00593BCE">
        <w:rPr>
          <w:rFonts w:ascii="Arial" w:hAnsi="Arial" w:cs="Arial"/>
          <w:sz w:val="24"/>
          <w:szCs w:val="24"/>
        </w:rPr>
        <w:t xml:space="preserve">stayed </w:t>
      </w:r>
      <w:r w:rsidR="00BE2660" w:rsidRPr="00593BCE">
        <w:rPr>
          <w:rFonts w:ascii="Arial" w:hAnsi="Arial" w:cs="Arial"/>
          <w:sz w:val="24"/>
          <w:szCs w:val="24"/>
        </w:rPr>
        <w:t xml:space="preserve">in hospital </w:t>
      </w:r>
      <w:r w:rsidR="00AD74FD" w:rsidRPr="00593BCE">
        <w:rPr>
          <w:rFonts w:ascii="Arial" w:hAnsi="Arial" w:cs="Arial"/>
          <w:sz w:val="24"/>
          <w:szCs w:val="24"/>
        </w:rPr>
        <w:t xml:space="preserve">an </w:t>
      </w:r>
      <w:r w:rsidR="00880A9F" w:rsidRPr="00593BCE">
        <w:rPr>
          <w:rFonts w:ascii="Arial" w:hAnsi="Arial" w:cs="Arial"/>
          <w:sz w:val="24"/>
          <w:szCs w:val="24"/>
        </w:rPr>
        <w:t xml:space="preserve">additional </w:t>
      </w:r>
      <w:r w:rsidR="00AD74FD" w:rsidRPr="00593BCE">
        <w:rPr>
          <w:rFonts w:ascii="Arial" w:hAnsi="Arial" w:cs="Arial"/>
          <w:sz w:val="24"/>
          <w:szCs w:val="24"/>
        </w:rPr>
        <w:t>six days</w:t>
      </w:r>
      <w:r w:rsidR="00880A9F" w:rsidRPr="00593BCE">
        <w:rPr>
          <w:rFonts w:ascii="Arial" w:hAnsi="Arial" w:cs="Arial"/>
          <w:sz w:val="24"/>
          <w:szCs w:val="24"/>
        </w:rPr>
        <w:t>.</w:t>
      </w:r>
    </w:p>
    <w:p w14:paraId="30C611B0" w14:textId="11FD8229" w:rsidR="00C1596A" w:rsidRPr="00593BCE" w:rsidRDefault="007A5631" w:rsidP="00883D47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 xml:space="preserve">The </w:t>
      </w:r>
      <w:r w:rsidR="009458D0" w:rsidRPr="00593BCE">
        <w:rPr>
          <w:rFonts w:ascii="Arial" w:hAnsi="Arial" w:cs="Arial"/>
          <w:sz w:val="24"/>
          <w:szCs w:val="24"/>
        </w:rPr>
        <w:t>4AT</w:t>
      </w:r>
      <w:r w:rsidR="00AD74FD" w:rsidRPr="00593BCE">
        <w:rPr>
          <w:rFonts w:ascii="Arial" w:hAnsi="Arial" w:cs="Arial"/>
          <w:sz w:val="24"/>
          <w:szCs w:val="24"/>
        </w:rPr>
        <w:t xml:space="preserve"> </w:t>
      </w:r>
      <w:r w:rsidR="009458D0" w:rsidRPr="00593BCE">
        <w:rPr>
          <w:rFonts w:ascii="Arial" w:hAnsi="Arial" w:cs="Arial"/>
          <w:sz w:val="24"/>
          <w:szCs w:val="24"/>
        </w:rPr>
        <w:t xml:space="preserve">is a useful indicator of risk </w:t>
      </w:r>
      <w:r w:rsidR="005644A8" w:rsidRPr="00593BCE">
        <w:rPr>
          <w:rFonts w:ascii="Arial" w:hAnsi="Arial" w:cs="Arial"/>
          <w:sz w:val="24"/>
          <w:szCs w:val="24"/>
        </w:rPr>
        <w:t xml:space="preserve">of adverse outcomes </w:t>
      </w:r>
      <w:r w:rsidR="009458D0" w:rsidRPr="00593BCE">
        <w:rPr>
          <w:rFonts w:ascii="Arial" w:hAnsi="Arial" w:cs="Arial"/>
          <w:sz w:val="24"/>
          <w:szCs w:val="24"/>
        </w:rPr>
        <w:t>among older patie</w:t>
      </w:r>
      <w:r w:rsidR="003F724F" w:rsidRPr="00593BCE">
        <w:rPr>
          <w:rFonts w:ascii="Arial" w:hAnsi="Arial" w:cs="Arial"/>
          <w:sz w:val="24"/>
          <w:szCs w:val="24"/>
        </w:rPr>
        <w:t>nts admitted with hip fracture.</w:t>
      </w:r>
      <w:r w:rsidR="00C1596A" w:rsidRPr="00593BCE">
        <w:rPr>
          <w:rFonts w:ascii="Arial" w:hAnsi="Arial" w:cs="Arial"/>
          <w:b/>
          <w:sz w:val="24"/>
          <w:szCs w:val="24"/>
        </w:rPr>
        <w:br w:type="page"/>
      </w:r>
    </w:p>
    <w:p w14:paraId="39A15026" w14:textId="77777777" w:rsidR="00BF62BC" w:rsidRPr="00593BCE" w:rsidRDefault="00BF62BC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lastRenderedPageBreak/>
        <w:t>INTRODUCTION</w:t>
      </w:r>
    </w:p>
    <w:p w14:paraId="7C8C9905" w14:textId="4016CA52" w:rsidR="00614B08" w:rsidRPr="00593BCE" w:rsidRDefault="00693967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593BCE">
        <w:rPr>
          <w:rFonts w:ascii="Arial" w:hAnsi="Arial" w:cs="Arial"/>
          <w:sz w:val="24"/>
          <w:szCs w:val="24"/>
        </w:rPr>
        <w:t>Delirium</w:t>
      </w:r>
      <w:r w:rsidR="00B266AD" w:rsidRPr="00593BCE">
        <w:rPr>
          <w:rFonts w:ascii="Arial" w:hAnsi="Arial" w:cs="Arial"/>
          <w:sz w:val="24"/>
          <w:szCs w:val="24"/>
        </w:rPr>
        <w:t>,</w:t>
      </w:r>
      <w:r w:rsidRPr="00593BCE">
        <w:rPr>
          <w:rFonts w:ascii="Arial" w:hAnsi="Arial" w:cs="Arial"/>
          <w:sz w:val="24"/>
          <w:szCs w:val="24"/>
        </w:rPr>
        <w:t xml:space="preserve"> defined as an acute change </w:t>
      </w:r>
      <w:r w:rsidR="00104C7E" w:rsidRPr="00593BCE">
        <w:rPr>
          <w:rFonts w:ascii="Arial" w:hAnsi="Arial" w:cs="Arial"/>
          <w:sz w:val="24"/>
          <w:szCs w:val="24"/>
        </w:rPr>
        <w:t xml:space="preserve">of </w:t>
      </w:r>
      <w:r w:rsidRPr="00593BCE">
        <w:rPr>
          <w:rFonts w:ascii="Arial" w:hAnsi="Arial" w:cs="Arial"/>
          <w:sz w:val="24"/>
          <w:szCs w:val="24"/>
        </w:rPr>
        <w:t>mental status</w:t>
      </w:r>
      <w:r w:rsidR="00B266AD" w:rsidRPr="00593BCE">
        <w:rPr>
          <w:rFonts w:ascii="Arial" w:hAnsi="Arial" w:cs="Arial"/>
          <w:sz w:val="24"/>
          <w:szCs w:val="24"/>
        </w:rPr>
        <w:t>,</w:t>
      </w:r>
      <w:r w:rsidRPr="00593BCE">
        <w:rPr>
          <w:rFonts w:ascii="Arial" w:hAnsi="Arial" w:cs="Arial"/>
          <w:sz w:val="24"/>
          <w:szCs w:val="24"/>
        </w:rPr>
        <w:t xml:space="preserve"> </w:t>
      </w:r>
      <w:r w:rsidR="00B266AD" w:rsidRPr="00593BCE">
        <w:rPr>
          <w:rFonts w:ascii="Arial" w:hAnsi="Arial" w:cs="Arial"/>
          <w:sz w:val="24"/>
          <w:szCs w:val="24"/>
        </w:rPr>
        <w:t xml:space="preserve">is </w:t>
      </w:r>
      <w:r w:rsidR="00104C7E" w:rsidRPr="00593BCE">
        <w:rPr>
          <w:rFonts w:ascii="Arial" w:hAnsi="Arial" w:cs="Arial"/>
          <w:sz w:val="24"/>
          <w:szCs w:val="24"/>
        </w:rPr>
        <w:t xml:space="preserve">characterised </w:t>
      </w:r>
      <w:r w:rsidRPr="00593BCE">
        <w:rPr>
          <w:rFonts w:ascii="Arial" w:hAnsi="Arial" w:cs="Arial"/>
          <w:sz w:val="24"/>
          <w:szCs w:val="24"/>
        </w:rPr>
        <w:t>by a reduced awareness of the environment and a disturbance in attention</w:t>
      </w:r>
      <w:r w:rsidR="005D0962" w:rsidRPr="00593BCE">
        <w:rPr>
          <w:rFonts w:ascii="Arial" w:hAnsi="Arial" w:cs="Arial"/>
          <w:sz w:val="24"/>
          <w:szCs w:val="24"/>
        </w:rPr>
        <w:t xml:space="preserve"> [1]</w:t>
      </w:r>
      <w:r w:rsidRPr="00593BCE">
        <w:rPr>
          <w:rFonts w:ascii="Arial" w:hAnsi="Arial" w:cs="Arial"/>
          <w:sz w:val="24"/>
          <w:szCs w:val="24"/>
        </w:rPr>
        <w:t xml:space="preserve">. </w:t>
      </w:r>
      <w:r w:rsidR="00747A2A" w:rsidRPr="00593BCE">
        <w:rPr>
          <w:rFonts w:ascii="Arial" w:hAnsi="Arial" w:cs="Arial"/>
          <w:sz w:val="24"/>
          <w:szCs w:val="24"/>
        </w:rPr>
        <w:t xml:space="preserve">Older individuals admitted </w:t>
      </w:r>
      <w:r w:rsidR="004B6653" w:rsidRPr="00593BCE">
        <w:rPr>
          <w:rFonts w:ascii="Arial" w:hAnsi="Arial" w:cs="Arial"/>
          <w:sz w:val="24"/>
          <w:szCs w:val="24"/>
        </w:rPr>
        <w:t xml:space="preserve">to hospital </w:t>
      </w:r>
      <w:r w:rsidR="00747A2A" w:rsidRPr="00593BCE">
        <w:rPr>
          <w:rFonts w:ascii="Arial" w:hAnsi="Arial" w:cs="Arial"/>
          <w:sz w:val="24"/>
          <w:szCs w:val="24"/>
        </w:rPr>
        <w:t>with an acute condition</w:t>
      </w:r>
      <w:r w:rsidR="00903E84" w:rsidRPr="00593BCE">
        <w:rPr>
          <w:rFonts w:ascii="Arial" w:hAnsi="Arial" w:cs="Arial"/>
          <w:sz w:val="24"/>
          <w:szCs w:val="24"/>
        </w:rPr>
        <w:t>, including those with recent hip fracture,</w:t>
      </w:r>
      <w:r w:rsidR="00747A2A" w:rsidRPr="00593BCE">
        <w:rPr>
          <w:rFonts w:ascii="Arial" w:hAnsi="Arial" w:cs="Arial"/>
          <w:sz w:val="24"/>
          <w:szCs w:val="24"/>
        </w:rPr>
        <w:t xml:space="preserve"> </w:t>
      </w:r>
      <w:r w:rsidR="00034E55" w:rsidRPr="00593BCE">
        <w:rPr>
          <w:rFonts w:ascii="Arial" w:hAnsi="Arial" w:cs="Arial"/>
          <w:sz w:val="24"/>
          <w:szCs w:val="24"/>
        </w:rPr>
        <w:t xml:space="preserve">are </w:t>
      </w:r>
      <w:r w:rsidR="00747A2A" w:rsidRPr="00593BCE">
        <w:rPr>
          <w:rFonts w:ascii="Arial" w:hAnsi="Arial" w:cs="Arial"/>
          <w:sz w:val="24"/>
          <w:szCs w:val="24"/>
        </w:rPr>
        <w:t>vulnerable to delirium</w:t>
      </w:r>
      <w:r w:rsidR="005D0962" w:rsidRPr="00593BCE">
        <w:rPr>
          <w:rFonts w:ascii="Arial" w:hAnsi="Arial" w:cs="Arial"/>
          <w:sz w:val="24"/>
          <w:szCs w:val="24"/>
        </w:rPr>
        <w:t xml:space="preserve"> [2]</w:t>
      </w:r>
      <w:r w:rsidR="00747A2A" w:rsidRPr="00593BCE">
        <w:rPr>
          <w:rFonts w:ascii="Arial" w:hAnsi="Arial" w:cs="Arial"/>
          <w:sz w:val="24"/>
          <w:szCs w:val="24"/>
        </w:rPr>
        <w:t>.</w:t>
      </w:r>
      <w:r w:rsidR="00287F65" w:rsidRPr="00593BCE">
        <w:rPr>
          <w:rFonts w:ascii="Arial" w:hAnsi="Arial" w:cs="Arial"/>
          <w:sz w:val="24"/>
          <w:szCs w:val="24"/>
        </w:rPr>
        <w:t xml:space="preserve"> </w:t>
      </w:r>
      <w:r w:rsidR="00034E55" w:rsidRPr="00593BCE">
        <w:rPr>
          <w:rFonts w:ascii="Arial" w:hAnsi="Arial" w:cs="Arial"/>
          <w:sz w:val="24"/>
          <w:szCs w:val="24"/>
        </w:rPr>
        <w:t>U</w:t>
      </w:r>
      <w:r w:rsidR="00747A2A" w:rsidRPr="00593BCE">
        <w:rPr>
          <w:rFonts w:ascii="Arial" w:hAnsi="Arial" w:cs="Arial"/>
          <w:sz w:val="24"/>
          <w:szCs w:val="24"/>
        </w:rPr>
        <w:t xml:space="preserve">nderlying </w:t>
      </w:r>
      <w:r w:rsidR="00D85E16" w:rsidRPr="00593BCE">
        <w:rPr>
          <w:rFonts w:ascii="Arial" w:hAnsi="Arial" w:cs="Arial"/>
          <w:sz w:val="24"/>
          <w:szCs w:val="24"/>
        </w:rPr>
        <w:t xml:space="preserve">ageing-associated </w:t>
      </w:r>
      <w:r w:rsidR="00747A2A" w:rsidRPr="00593BCE">
        <w:rPr>
          <w:rFonts w:ascii="Arial" w:hAnsi="Arial" w:cs="Arial"/>
          <w:sz w:val="24"/>
          <w:szCs w:val="24"/>
        </w:rPr>
        <w:t xml:space="preserve">neurological </w:t>
      </w:r>
      <w:r w:rsidR="008F4972" w:rsidRPr="00593BCE">
        <w:rPr>
          <w:rFonts w:ascii="Arial" w:hAnsi="Arial" w:cs="Arial"/>
          <w:sz w:val="24"/>
          <w:szCs w:val="24"/>
        </w:rPr>
        <w:t>disorders</w:t>
      </w:r>
      <w:r w:rsidR="00747A2A" w:rsidRPr="00593BCE">
        <w:rPr>
          <w:rFonts w:ascii="Arial" w:hAnsi="Arial" w:cs="Arial"/>
          <w:sz w:val="24"/>
          <w:szCs w:val="24"/>
        </w:rPr>
        <w:t xml:space="preserve"> such as</w:t>
      </w:r>
      <w:r w:rsidR="00C2550A" w:rsidRPr="00593BCE">
        <w:rPr>
          <w:rFonts w:ascii="Arial" w:hAnsi="Arial" w:cs="Arial"/>
          <w:sz w:val="24"/>
          <w:szCs w:val="24"/>
        </w:rPr>
        <w:t xml:space="preserve"> cognitive impairment and</w:t>
      </w:r>
      <w:r w:rsidR="00747A2A" w:rsidRPr="00593BCE">
        <w:rPr>
          <w:rFonts w:ascii="Arial" w:hAnsi="Arial" w:cs="Arial"/>
          <w:sz w:val="24"/>
          <w:szCs w:val="24"/>
        </w:rPr>
        <w:t xml:space="preserve"> </w:t>
      </w:r>
      <w:r w:rsidR="00287F65" w:rsidRPr="00593BCE">
        <w:rPr>
          <w:rFonts w:ascii="Arial" w:hAnsi="Arial" w:cs="Arial"/>
          <w:sz w:val="24"/>
          <w:szCs w:val="24"/>
        </w:rPr>
        <w:t>dementia</w:t>
      </w:r>
      <w:r w:rsidR="005D0962" w:rsidRPr="00593BCE">
        <w:rPr>
          <w:rFonts w:ascii="Arial" w:hAnsi="Arial" w:cs="Arial"/>
          <w:sz w:val="24"/>
          <w:szCs w:val="24"/>
        </w:rPr>
        <w:t xml:space="preserve"> [3]</w:t>
      </w:r>
      <w:r w:rsidR="00287F65" w:rsidRPr="00593BCE">
        <w:rPr>
          <w:rFonts w:ascii="Arial" w:hAnsi="Arial" w:cs="Arial"/>
          <w:sz w:val="24"/>
          <w:szCs w:val="24"/>
        </w:rPr>
        <w:t xml:space="preserve"> </w:t>
      </w:r>
      <w:r w:rsidR="00034E55" w:rsidRPr="00593BCE">
        <w:rPr>
          <w:rFonts w:ascii="Arial" w:hAnsi="Arial" w:cs="Arial"/>
          <w:sz w:val="24"/>
          <w:szCs w:val="24"/>
        </w:rPr>
        <w:t>are risk factors</w:t>
      </w:r>
      <w:r w:rsidR="007A5631" w:rsidRPr="00593BCE">
        <w:rPr>
          <w:rFonts w:ascii="Arial" w:hAnsi="Arial" w:cs="Arial"/>
          <w:sz w:val="24"/>
          <w:szCs w:val="24"/>
        </w:rPr>
        <w:t>,</w:t>
      </w:r>
      <w:r w:rsidR="00747A2A" w:rsidRPr="00593BCE">
        <w:rPr>
          <w:rFonts w:ascii="Arial" w:hAnsi="Arial" w:cs="Arial"/>
          <w:sz w:val="24"/>
          <w:szCs w:val="24"/>
        </w:rPr>
        <w:t xml:space="preserve"> whil</w:t>
      </w:r>
      <w:r w:rsidR="007A5631" w:rsidRPr="00593BCE">
        <w:rPr>
          <w:rFonts w:ascii="Arial" w:hAnsi="Arial" w:cs="Arial"/>
          <w:sz w:val="24"/>
          <w:szCs w:val="24"/>
        </w:rPr>
        <w:t>st</w:t>
      </w:r>
      <w:r w:rsidR="00747A2A" w:rsidRPr="00593BCE">
        <w:rPr>
          <w:rFonts w:ascii="Arial" w:hAnsi="Arial" w:cs="Arial"/>
          <w:sz w:val="24"/>
          <w:szCs w:val="24"/>
        </w:rPr>
        <w:t xml:space="preserve"> infections and drugs, especially anticholinergic agents</w:t>
      </w:r>
      <w:r w:rsidR="004B6653" w:rsidRPr="00593BCE">
        <w:rPr>
          <w:rFonts w:ascii="Arial" w:hAnsi="Arial" w:cs="Arial"/>
          <w:sz w:val="24"/>
          <w:szCs w:val="24"/>
        </w:rPr>
        <w:t>,</w:t>
      </w:r>
      <w:r w:rsidR="00747A2A" w:rsidRPr="00593BCE">
        <w:rPr>
          <w:rFonts w:ascii="Arial" w:hAnsi="Arial" w:cs="Arial"/>
          <w:sz w:val="24"/>
          <w:szCs w:val="24"/>
        </w:rPr>
        <w:t xml:space="preserve"> are </w:t>
      </w:r>
      <w:r w:rsidR="00C43670" w:rsidRPr="00593BCE">
        <w:rPr>
          <w:rFonts w:ascii="Arial" w:hAnsi="Arial" w:cs="Arial"/>
          <w:sz w:val="24"/>
          <w:szCs w:val="24"/>
        </w:rPr>
        <w:t xml:space="preserve">also </w:t>
      </w:r>
      <w:r w:rsidR="00747A2A" w:rsidRPr="00593BCE">
        <w:rPr>
          <w:rFonts w:ascii="Arial" w:hAnsi="Arial" w:cs="Arial"/>
          <w:sz w:val="24"/>
          <w:szCs w:val="24"/>
        </w:rPr>
        <w:t>major causes</w:t>
      </w:r>
      <w:r w:rsidR="00034E55" w:rsidRPr="00593BCE">
        <w:rPr>
          <w:rFonts w:ascii="Arial" w:hAnsi="Arial" w:cs="Arial"/>
          <w:sz w:val="24"/>
          <w:szCs w:val="24"/>
        </w:rPr>
        <w:t xml:space="preserve"> </w:t>
      </w:r>
      <w:r w:rsidR="00C43670" w:rsidRPr="00593BCE">
        <w:rPr>
          <w:rFonts w:ascii="Arial" w:hAnsi="Arial" w:cs="Arial"/>
          <w:sz w:val="24"/>
          <w:szCs w:val="24"/>
        </w:rPr>
        <w:t xml:space="preserve">of </w:t>
      </w:r>
      <w:r w:rsidR="00535A8A" w:rsidRPr="00593BCE">
        <w:rPr>
          <w:rFonts w:ascii="Arial" w:hAnsi="Arial" w:cs="Arial"/>
          <w:sz w:val="24"/>
          <w:szCs w:val="24"/>
        </w:rPr>
        <w:t>delirium</w:t>
      </w:r>
      <w:r w:rsidR="005D0962" w:rsidRPr="00593BCE">
        <w:rPr>
          <w:rFonts w:ascii="Arial" w:hAnsi="Arial" w:cs="Arial"/>
          <w:sz w:val="24"/>
          <w:szCs w:val="24"/>
        </w:rPr>
        <w:t xml:space="preserve"> [4]</w:t>
      </w:r>
      <w:r w:rsidR="008C2882" w:rsidRPr="00593BCE">
        <w:rPr>
          <w:rFonts w:ascii="Arial" w:hAnsi="Arial" w:cs="Arial"/>
          <w:sz w:val="24"/>
          <w:szCs w:val="24"/>
        </w:rPr>
        <w:t>.</w:t>
      </w:r>
      <w:r w:rsidR="00287F65" w:rsidRPr="00593BCE">
        <w:rPr>
          <w:rFonts w:ascii="Arial" w:hAnsi="Arial" w:cs="Arial"/>
          <w:sz w:val="24"/>
          <w:szCs w:val="24"/>
        </w:rPr>
        <w:t xml:space="preserve"> </w:t>
      </w:r>
      <w:r w:rsidR="00B266AD" w:rsidRPr="00593BCE">
        <w:rPr>
          <w:rFonts w:ascii="Arial" w:hAnsi="Arial" w:cs="Arial"/>
          <w:sz w:val="24"/>
          <w:szCs w:val="24"/>
        </w:rPr>
        <w:t>Delirium</w:t>
      </w:r>
      <w:r w:rsidR="004E22F7" w:rsidRPr="00593BCE">
        <w:rPr>
          <w:rFonts w:ascii="Arial" w:hAnsi="Arial" w:cs="Arial"/>
          <w:sz w:val="24"/>
          <w:szCs w:val="24"/>
        </w:rPr>
        <w:t xml:space="preserve"> </w:t>
      </w:r>
      <w:r w:rsidR="000574EC" w:rsidRPr="00593BCE">
        <w:rPr>
          <w:rFonts w:ascii="Arial" w:hAnsi="Arial" w:cs="Arial"/>
          <w:sz w:val="24"/>
          <w:szCs w:val="24"/>
        </w:rPr>
        <w:t xml:space="preserve">is estimated to occur in 20-25% </w:t>
      </w:r>
      <w:r w:rsidR="00F21485" w:rsidRPr="00593BCE">
        <w:rPr>
          <w:rFonts w:ascii="Arial" w:hAnsi="Arial" w:cs="Arial"/>
          <w:sz w:val="24"/>
          <w:szCs w:val="24"/>
        </w:rPr>
        <w:t xml:space="preserve">of </w:t>
      </w:r>
      <w:r w:rsidR="000574EC" w:rsidRPr="00593BCE">
        <w:rPr>
          <w:rFonts w:ascii="Arial" w:hAnsi="Arial" w:cs="Arial"/>
          <w:sz w:val="24"/>
          <w:szCs w:val="24"/>
        </w:rPr>
        <w:t xml:space="preserve">acute </w:t>
      </w:r>
      <w:r w:rsidR="004E22F7" w:rsidRPr="00593BCE">
        <w:rPr>
          <w:rFonts w:ascii="Arial" w:hAnsi="Arial" w:cs="Arial"/>
          <w:sz w:val="24"/>
          <w:szCs w:val="24"/>
        </w:rPr>
        <w:t>admissions</w:t>
      </w:r>
      <w:r w:rsidR="005D0962" w:rsidRPr="00593BCE">
        <w:rPr>
          <w:rFonts w:ascii="Arial" w:hAnsi="Arial" w:cs="Arial"/>
          <w:sz w:val="24"/>
          <w:szCs w:val="24"/>
        </w:rPr>
        <w:t xml:space="preserve"> [4]</w:t>
      </w:r>
      <w:r w:rsidR="004E22F7" w:rsidRPr="00593BCE">
        <w:rPr>
          <w:rFonts w:ascii="Arial" w:hAnsi="Arial" w:cs="Arial"/>
          <w:sz w:val="24"/>
          <w:szCs w:val="24"/>
        </w:rPr>
        <w:t xml:space="preserve"> </w:t>
      </w:r>
      <w:r w:rsidR="000574EC" w:rsidRPr="00593BCE">
        <w:rPr>
          <w:rFonts w:ascii="Arial" w:hAnsi="Arial" w:cs="Arial"/>
          <w:sz w:val="24"/>
          <w:szCs w:val="24"/>
        </w:rPr>
        <w:t>but</w:t>
      </w:r>
      <w:r w:rsidR="008C2882" w:rsidRPr="00593BCE">
        <w:rPr>
          <w:rFonts w:ascii="Arial" w:hAnsi="Arial" w:cs="Arial"/>
          <w:sz w:val="24"/>
          <w:szCs w:val="24"/>
        </w:rPr>
        <w:t xml:space="preserve"> </w:t>
      </w:r>
      <w:r w:rsidR="007A5631" w:rsidRPr="00593BCE">
        <w:rPr>
          <w:rFonts w:ascii="Arial" w:hAnsi="Arial" w:cs="Arial"/>
          <w:sz w:val="24"/>
          <w:szCs w:val="24"/>
        </w:rPr>
        <w:t xml:space="preserve">it </w:t>
      </w:r>
      <w:r w:rsidR="008C2882" w:rsidRPr="00593BCE">
        <w:rPr>
          <w:rFonts w:ascii="Arial" w:hAnsi="Arial" w:cs="Arial"/>
          <w:sz w:val="24"/>
          <w:szCs w:val="24"/>
        </w:rPr>
        <w:t>is often</w:t>
      </w:r>
      <w:r w:rsidR="00040241" w:rsidRPr="00593BCE">
        <w:rPr>
          <w:rFonts w:ascii="Arial" w:hAnsi="Arial" w:cs="Arial"/>
          <w:sz w:val="24"/>
          <w:szCs w:val="24"/>
        </w:rPr>
        <w:t xml:space="preserve"> under-</w:t>
      </w:r>
      <w:r w:rsidR="00287F65" w:rsidRPr="00593BCE">
        <w:rPr>
          <w:rFonts w:ascii="Arial" w:hAnsi="Arial" w:cs="Arial"/>
          <w:sz w:val="24"/>
          <w:szCs w:val="24"/>
        </w:rPr>
        <w:t>detected</w:t>
      </w:r>
      <w:r w:rsidR="005D0962" w:rsidRPr="00593BCE">
        <w:rPr>
          <w:rFonts w:ascii="Arial" w:hAnsi="Arial" w:cs="Arial"/>
          <w:sz w:val="24"/>
          <w:szCs w:val="24"/>
        </w:rPr>
        <w:t xml:space="preserve"> [5]</w:t>
      </w:r>
      <w:r w:rsidR="00287F65" w:rsidRPr="00593BCE">
        <w:rPr>
          <w:rFonts w:ascii="Arial" w:hAnsi="Arial" w:cs="Arial"/>
          <w:sz w:val="24"/>
          <w:szCs w:val="24"/>
        </w:rPr>
        <w:t xml:space="preserve"> </w:t>
      </w:r>
      <w:r w:rsidR="00104C7E" w:rsidRPr="00593BCE">
        <w:rPr>
          <w:rFonts w:ascii="Arial" w:hAnsi="Arial" w:cs="Arial"/>
          <w:sz w:val="24"/>
          <w:szCs w:val="24"/>
        </w:rPr>
        <w:t>with</w:t>
      </w:r>
      <w:r w:rsidR="00E42B1B" w:rsidRPr="00593BCE">
        <w:rPr>
          <w:rFonts w:ascii="Arial" w:hAnsi="Arial" w:cs="Arial"/>
          <w:sz w:val="24"/>
          <w:szCs w:val="24"/>
        </w:rPr>
        <w:t xml:space="preserve"> </w:t>
      </w:r>
      <w:r w:rsidR="008F4972" w:rsidRPr="00593BCE">
        <w:rPr>
          <w:rFonts w:ascii="Arial" w:hAnsi="Arial" w:cs="Arial"/>
          <w:sz w:val="24"/>
          <w:szCs w:val="24"/>
        </w:rPr>
        <w:t>detrimental</w:t>
      </w:r>
      <w:r w:rsidR="00652444" w:rsidRPr="00593BCE">
        <w:rPr>
          <w:rFonts w:ascii="Arial" w:hAnsi="Arial" w:cs="Arial"/>
          <w:sz w:val="24"/>
          <w:szCs w:val="24"/>
        </w:rPr>
        <w:t xml:space="preserve"> consequences.</w:t>
      </w:r>
      <w:r w:rsidR="00066287" w:rsidRPr="00593BCE">
        <w:rPr>
          <w:rFonts w:ascii="Arial" w:hAnsi="Arial" w:cs="Arial"/>
          <w:sz w:val="24"/>
          <w:szCs w:val="24"/>
        </w:rPr>
        <w:t xml:space="preserve"> </w:t>
      </w:r>
      <w:r w:rsidR="00B266AD" w:rsidRPr="00593BCE">
        <w:rPr>
          <w:rFonts w:ascii="Arial" w:hAnsi="Arial" w:cs="Arial"/>
          <w:sz w:val="24"/>
          <w:szCs w:val="24"/>
        </w:rPr>
        <w:t>C</w:t>
      </w:r>
      <w:r w:rsidR="00BD5301" w:rsidRPr="00593BCE">
        <w:rPr>
          <w:rFonts w:ascii="Arial" w:hAnsi="Arial" w:cs="Arial"/>
          <w:sz w:val="24"/>
          <w:szCs w:val="24"/>
        </w:rPr>
        <w:t>ognitive impairment</w:t>
      </w:r>
      <w:r w:rsidR="003619A9" w:rsidRPr="00593BCE">
        <w:rPr>
          <w:rFonts w:ascii="Arial" w:hAnsi="Arial" w:cs="Arial"/>
          <w:sz w:val="24"/>
          <w:szCs w:val="24"/>
        </w:rPr>
        <w:t>,</w:t>
      </w:r>
      <w:r w:rsidR="00587401" w:rsidRPr="00593BCE">
        <w:rPr>
          <w:rFonts w:ascii="Arial" w:hAnsi="Arial" w:cs="Arial"/>
          <w:sz w:val="24"/>
          <w:szCs w:val="24"/>
        </w:rPr>
        <w:t xml:space="preserve"> </w:t>
      </w:r>
      <w:r w:rsidR="003619A9" w:rsidRPr="00593B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global term for, and </w:t>
      </w:r>
      <w:r w:rsidR="007A5631" w:rsidRPr="00593B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</w:t>
      </w:r>
      <w:r w:rsidR="003619A9" w:rsidRPr="00593B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feature of dementia, delirium and cognitive impairment-no dementia </w:t>
      </w:r>
      <w:r w:rsidR="005D0962" w:rsidRPr="00593BCE">
        <w:rPr>
          <w:rFonts w:ascii="Arial" w:hAnsi="Arial" w:cs="Arial"/>
          <w:sz w:val="24"/>
          <w:szCs w:val="24"/>
        </w:rPr>
        <w:t>[6]</w:t>
      </w:r>
      <w:r w:rsidR="003B598B" w:rsidRPr="00593BCE">
        <w:rPr>
          <w:rFonts w:ascii="Arial" w:hAnsi="Arial" w:cs="Arial"/>
          <w:sz w:val="24"/>
          <w:szCs w:val="24"/>
        </w:rPr>
        <w:t>,</w:t>
      </w:r>
      <w:r w:rsidR="00587401" w:rsidRPr="00593BCE">
        <w:rPr>
          <w:rFonts w:ascii="Arial" w:hAnsi="Arial" w:cs="Arial"/>
          <w:sz w:val="24"/>
          <w:szCs w:val="24"/>
        </w:rPr>
        <w:t xml:space="preserve"> </w:t>
      </w:r>
      <w:r w:rsidR="00BD5301" w:rsidRPr="00593BCE">
        <w:rPr>
          <w:rFonts w:ascii="Arial" w:hAnsi="Arial" w:cs="Arial"/>
          <w:sz w:val="24"/>
          <w:szCs w:val="24"/>
        </w:rPr>
        <w:t xml:space="preserve">is </w:t>
      </w:r>
      <w:r w:rsidR="00587401" w:rsidRPr="00593BCE">
        <w:rPr>
          <w:rFonts w:ascii="Arial" w:hAnsi="Arial" w:cs="Arial"/>
          <w:sz w:val="24"/>
          <w:szCs w:val="24"/>
        </w:rPr>
        <w:t xml:space="preserve">itself </w:t>
      </w:r>
      <w:r w:rsidR="00BD5301" w:rsidRPr="00593BCE">
        <w:rPr>
          <w:rFonts w:ascii="Arial" w:hAnsi="Arial" w:cs="Arial"/>
          <w:sz w:val="24"/>
          <w:szCs w:val="24"/>
        </w:rPr>
        <w:t>a</w:t>
      </w:r>
      <w:r w:rsidR="00E24D27" w:rsidRPr="00593BCE">
        <w:rPr>
          <w:rFonts w:ascii="Arial" w:hAnsi="Arial" w:cs="Arial"/>
          <w:sz w:val="24"/>
          <w:szCs w:val="24"/>
        </w:rPr>
        <w:t xml:space="preserve"> </w:t>
      </w:r>
      <w:r w:rsidR="00287F65" w:rsidRPr="00593BCE">
        <w:rPr>
          <w:rFonts w:ascii="Arial" w:hAnsi="Arial" w:cs="Arial"/>
          <w:sz w:val="24"/>
          <w:szCs w:val="24"/>
        </w:rPr>
        <w:t xml:space="preserve">risk factor </w:t>
      </w:r>
      <w:r w:rsidR="002E4037" w:rsidRPr="00593BCE">
        <w:rPr>
          <w:rFonts w:ascii="Arial" w:hAnsi="Arial" w:cs="Arial"/>
          <w:sz w:val="24"/>
          <w:szCs w:val="24"/>
        </w:rPr>
        <w:t>of</w:t>
      </w:r>
      <w:r w:rsidR="00287F65" w:rsidRPr="00593BCE">
        <w:rPr>
          <w:rFonts w:ascii="Arial" w:hAnsi="Arial" w:cs="Arial"/>
          <w:sz w:val="24"/>
          <w:szCs w:val="24"/>
        </w:rPr>
        <w:t xml:space="preserve"> reduced</w:t>
      </w:r>
      <w:r w:rsidR="00BD5301" w:rsidRPr="00593BCE">
        <w:rPr>
          <w:rFonts w:ascii="Arial" w:hAnsi="Arial" w:cs="Arial"/>
          <w:sz w:val="24"/>
          <w:szCs w:val="24"/>
        </w:rPr>
        <w:t xml:space="preserve"> functional ability</w:t>
      </w:r>
      <w:r w:rsidR="005D0962" w:rsidRPr="00593BCE">
        <w:rPr>
          <w:rFonts w:ascii="Arial" w:hAnsi="Arial" w:cs="Arial"/>
          <w:sz w:val="24"/>
          <w:szCs w:val="24"/>
        </w:rPr>
        <w:t xml:space="preserve"> [7]</w:t>
      </w:r>
      <w:r w:rsidR="00BD5301" w:rsidRPr="00593BCE">
        <w:rPr>
          <w:rFonts w:ascii="Arial" w:hAnsi="Arial" w:cs="Arial"/>
          <w:sz w:val="24"/>
          <w:szCs w:val="24"/>
        </w:rPr>
        <w:t>.</w:t>
      </w:r>
      <w:r w:rsidR="0036204C" w:rsidRPr="00593BC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A3902" w:rsidRPr="00593BCE">
        <w:rPr>
          <w:rFonts w:ascii="Arial" w:hAnsi="Arial" w:cs="Arial"/>
          <w:sz w:val="24"/>
          <w:szCs w:val="24"/>
        </w:rPr>
        <w:t>A</w:t>
      </w:r>
      <w:r w:rsidR="0024358B" w:rsidRPr="00593BCE">
        <w:rPr>
          <w:rFonts w:ascii="Arial" w:hAnsi="Arial" w:cs="Arial"/>
          <w:sz w:val="24"/>
          <w:szCs w:val="24"/>
        </w:rPr>
        <w:t>n</w:t>
      </w:r>
      <w:r w:rsidR="008A3902" w:rsidRPr="00593BCE">
        <w:rPr>
          <w:rFonts w:ascii="Arial" w:hAnsi="Arial" w:cs="Arial"/>
          <w:sz w:val="24"/>
          <w:szCs w:val="24"/>
        </w:rPr>
        <w:t xml:space="preserve"> </w:t>
      </w:r>
      <w:r w:rsidR="00420655" w:rsidRPr="00593BCE">
        <w:rPr>
          <w:rFonts w:ascii="Arial" w:hAnsi="Arial" w:cs="Arial"/>
          <w:sz w:val="24"/>
          <w:szCs w:val="24"/>
        </w:rPr>
        <w:t>assessment test (</w:t>
      </w:r>
      <w:r w:rsidR="007A5631" w:rsidRPr="00593BCE">
        <w:rPr>
          <w:rFonts w:ascii="Arial" w:hAnsi="Arial" w:cs="Arial"/>
          <w:sz w:val="24"/>
          <w:szCs w:val="24"/>
        </w:rPr>
        <w:t xml:space="preserve">the </w:t>
      </w:r>
      <w:r w:rsidR="00420655" w:rsidRPr="00593BCE">
        <w:rPr>
          <w:rFonts w:ascii="Arial" w:hAnsi="Arial" w:cs="Arial"/>
          <w:sz w:val="24"/>
          <w:szCs w:val="24"/>
        </w:rPr>
        <w:t xml:space="preserve">4AT) has been designed for rapid </w:t>
      </w:r>
      <w:r w:rsidR="0024358B" w:rsidRPr="00593BCE">
        <w:rPr>
          <w:rFonts w:ascii="Arial" w:hAnsi="Arial" w:cs="Arial"/>
          <w:sz w:val="24"/>
          <w:szCs w:val="24"/>
        </w:rPr>
        <w:t>assessment</w:t>
      </w:r>
      <w:r w:rsidR="00BE3A61" w:rsidRPr="00593BCE">
        <w:rPr>
          <w:rFonts w:ascii="Arial" w:hAnsi="Arial" w:cs="Arial"/>
          <w:sz w:val="24"/>
          <w:szCs w:val="24"/>
        </w:rPr>
        <w:t xml:space="preserve"> </w:t>
      </w:r>
      <w:r w:rsidR="00DA438C" w:rsidRPr="00593BCE">
        <w:rPr>
          <w:rFonts w:ascii="Arial" w:hAnsi="Arial" w:cs="Arial"/>
          <w:sz w:val="24"/>
          <w:szCs w:val="24"/>
        </w:rPr>
        <w:t xml:space="preserve">of </w:t>
      </w:r>
      <w:r w:rsidR="00B3074E" w:rsidRPr="00593BCE">
        <w:rPr>
          <w:rFonts w:ascii="Arial" w:hAnsi="Arial" w:cs="Arial"/>
          <w:sz w:val="24"/>
          <w:szCs w:val="24"/>
        </w:rPr>
        <w:t>cognitive impairment</w:t>
      </w:r>
      <w:r w:rsidR="00F21485" w:rsidRPr="00593BCE">
        <w:rPr>
          <w:rFonts w:ascii="Arial" w:hAnsi="Arial" w:cs="Arial"/>
          <w:sz w:val="24"/>
          <w:szCs w:val="24"/>
        </w:rPr>
        <w:t>,</w:t>
      </w:r>
      <w:r w:rsidR="00B3074E" w:rsidRPr="00593BCE">
        <w:rPr>
          <w:rFonts w:ascii="Arial" w:hAnsi="Arial" w:cs="Arial"/>
          <w:sz w:val="24"/>
          <w:szCs w:val="24"/>
        </w:rPr>
        <w:t xml:space="preserve"> </w:t>
      </w:r>
      <w:r w:rsidR="00F21485" w:rsidRPr="00593BCE">
        <w:rPr>
          <w:rFonts w:ascii="Arial" w:hAnsi="Arial" w:cs="Arial"/>
          <w:sz w:val="24"/>
          <w:szCs w:val="24"/>
        </w:rPr>
        <w:t xml:space="preserve">or </w:t>
      </w:r>
      <w:r w:rsidR="00420655" w:rsidRPr="00593BCE">
        <w:rPr>
          <w:rFonts w:ascii="Arial" w:hAnsi="Arial" w:cs="Arial"/>
          <w:sz w:val="24"/>
          <w:szCs w:val="24"/>
        </w:rPr>
        <w:t>delirium</w:t>
      </w:r>
      <w:r w:rsidR="00284A22" w:rsidRPr="00593BCE">
        <w:rPr>
          <w:rFonts w:ascii="Arial" w:hAnsi="Arial" w:cs="Arial"/>
          <w:sz w:val="24"/>
          <w:szCs w:val="24"/>
        </w:rPr>
        <w:t xml:space="preserve"> </w:t>
      </w:r>
      <w:r w:rsidR="00104C7E" w:rsidRPr="00593BCE">
        <w:rPr>
          <w:rFonts w:ascii="Arial" w:hAnsi="Arial" w:cs="Arial"/>
          <w:sz w:val="24"/>
          <w:szCs w:val="24"/>
        </w:rPr>
        <w:t xml:space="preserve">with or without </w:t>
      </w:r>
      <w:r w:rsidR="00284A22" w:rsidRPr="00593BCE">
        <w:rPr>
          <w:rFonts w:ascii="Arial" w:hAnsi="Arial" w:cs="Arial"/>
          <w:sz w:val="24"/>
          <w:szCs w:val="24"/>
        </w:rPr>
        <w:t>cognitive impairment</w:t>
      </w:r>
      <w:r w:rsidR="00420655" w:rsidRPr="00593BCE">
        <w:rPr>
          <w:rFonts w:ascii="Arial" w:hAnsi="Arial" w:cs="Arial"/>
          <w:sz w:val="24"/>
          <w:szCs w:val="24"/>
        </w:rPr>
        <w:t>.</w:t>
      </w:r>
      <w:r w:rsidR="00034E55" w:rsidRPr="00593BCE">
        <w:rPr>
          <w:rFonts w:ascii="Arial" w:hAnsi="Arial" w:cs="Arial"/>
          <w:sz w:val="24"/>
          <w:szCs w:val="24"/>
        </w:rPr>
        <w:t xml:space="preserve"> </w:t>
      </w:r>
      <w:r w:rsidR="0024358B" w:rsidRPr="00593BCE">
        <w:rPr>
          <w:rFonts w:ascii="Arial" w:hAnsi="Arial" w:cs="Arial"/>
          <w:sz w:val="24"/>
          <w:szCs w:val="24"/>
        </w:rPr>
        <w:t>This screening test</w:t>
      </w:r>
      <w:r w:rsidR="004F5AC5" w:rsidRPr="00593BCE">
        <w:rPr>
          <w:rFonts w:ascii="Arial" w:hAnsi="Arial" w:cs="Arial"/>
          <w:sz w:val="24"/>
          <w:szCs w:val="24"/>
        </w:rPr>
        <w:t xml:space="preserve"> </w:t>
      </w:r>
      <w:r w:rsidR="00DB7773" w:rsidRPr="00593BCE">
        <w:rPr>
          <w:rFonts w:ascii="Arial" w:hAnsi="Arial" w:cs="Arial"/>
          <w:sz w:val="24"/>
          <w:szCs w:val="24"/>
        </w:rPr>
        <w:t>comprises</w:t>
      </w:r>
      <w:r w:rsidR="004F5AC5" w:rsidRPr="00593BCE">
        <w:rPr>
          <w:rFonts w:ascii="Arial" w:hAnsi="Arial" w:cs="Arial"/>
          <w:sz w:val="24"/>
          <w:szCs w:val="24"/>
        </w:rPr>
        <w:t xml:space="preserve"> four </w:t>
      </w:r>
      <w:r w:rsidR="00B87FCC" w:rsidRPr="00593BCE">
        <w:rPr>
          <w:rFonts w:ascii="Arial" w:hAnsi="Arial" w:cs="Arial"/>
          <w:sz w:val="24"/>
          <w:szCs w:val="24"/>
        </w:rPr>
        <w:t xml:space="preserve">components: </w:t>
      </w:r>
      <w:r w:rsidR="00DB7773" w:rsidRPr="00593BCE">
        <w:rPr>
          <w:rFonts w:ascii="Arial" w:hAnsi="Arial" w:cs="Arial"/>
          <w:sz w:val="24"/>
          <w:szCs w:val="24"/>
        </w:rPr>
        <w:t>“Attention”</w:t>
      </w:r>
      <w:r w:rsidR="00B3074E" w:rsidRPr="00593BCE">
        <w:rPr>
          <w:rFonts w:ascii="Arial" w:hAnsi="Arial" w:cs="Arial"/>
          <w:sz w:val="24"/>
          <w:szCs w:val="24"/>
        </w:rPr>
        <w:t>,</w:t>
      </w:r>
      <w:r w:rsidR="000F11A5" w:rsidRPr="00593BCE">
        <w:rPr>
          <w:rFonts w:ascii="Arial" w:hAnsi="Arial" w:cs="Arial"/>
          <w:sz w:val="24"/>
          <w:szCs w:val="24"/>
        </w:rPr>
        <w:t xml:space="preserve"> </w:t>
      </w:r>
      <w:r w:rsidR="00E040E7" w:rsidRPr="00593BCE">
        <w:rPr>
          <w:rFonts w:ascii="Arial" w:hAnsi="Arial" w:cs="Arial"/>
          <w:sz w:val="24"/>
          <w:szCs w:val="24"/>
        </w:rPr>
        <w:t>“</w:t>
      </w:r>
      <w:r w:rsidR="004F5AC5" w:rsidRPr="00593BCE">
        <w:rPr>
          <w:rFonts w:ascii="Arial" w:hAnsi="Arial" w:cs="Arial"/>
          <w:sz w:val="24"/>
          <w:szCs w:val="24"/>
        </w:rPr>
        <w:t>Abbreviated Mental Test</w:t>
      </w:r>
      <w:r w:rsidR="00083B14" w:rsidRPr="00593BCE">
        <w:rPr>
          <w:rFonts w:ascii="Arial" w:hAnsi="Arial" w:cs="Arial"/>
          <w:sz w:val="24"/>
          <w:szCs w:val="24"/>
        </w:rPr>
        <w:t>-</w:t>
      </w:r>
      <w:r w:rsidR="004F5AC5" w:rsidRPr="00593BCE">
        <w:rPr>
          <w:rFonts w:ascii="Arial" w:hAnsi="Arial" w:cs="Arial"/>
          <w:sz w:val="24"/>
          <w:szCs w:val="24"/>
        </w:rPr>
        <w:t>4</w:t>
      </w:r>
      <w:r w:rsidR="00E040E7" w:rsidRPr="00593BCE">
        <w:rPr>
          <w:rFonts w:ascii="Arial" w:hAnsi="Arial" w:cs="Arial"/>
          <w:sz w:val="24"/>
          <w:szCs w:val="24"/>
        </w:rPr>
        <w:t>”</w:t>
      </w:r>
      <w:r w:rsidR="004F5AC5" w:rsidRPr="00593BCE">
        <w:rPr>
          <w:rFonts w:ascii="Arial" w:hAnsi="Arial" w:cs="Arial"/>
          <w:sz w:val="24"/>
          <w:szCs w:val="24"/>
        </w:rPr>
        <w:t xml:space="preserve"> (</w:t>
      </w:r>
      <w:r w:rsidR="00C67EBA" w:rsidRPr="00593BCE">
        <w:rPr>
          <w:rFonts w:ascii="Arial" w:hAnsi="Arial" w:cs="Arial"/>
          <w:sz w:val="24"/>
          <w:szCs w:val="24"/>
        </w:rPr>
        <w:t>“</w:t>
      </w:r>
      <w:r w:rsidR="004F5AC5" w:rsidRPr="00593BCE">
        <w:rPr>
          <w:rFonts w:ascii="Arial" w:hAnsi="Arial" w:cs="Arial"/>
          <w:sz w:val="24"/>
          <w:szCs w:val="24"/>
        </w:rPr>
        <w:t>AMT4</w:t>
      </w:r>
      <w:r w:rsidR="00C67EBA" w:rsidRPr="00593BCE">
        <w:rPr>
          <w:rFonts w:ascii="Arial" w:hAnsi="Arial" w:cs="Arial"/>
          <w:sz w:val="24"/>
          <w:szCs w:val="24"/>
        </w:rPr>
        <w:t>”</w:t>
      </w:r>
      <w:r w:rsidR="004F5AC5" w:rsidRPr="00593BCE">
        <w:rPr>
          <w:rFonts w:ascii="Arial" w:hAnsi="Arial" w:cs="Arial"/>
          <w:sz w:val="24"/>
          <w:szCs w:val="24"/>
        </w:rPr>
        <w:t>)</w:t>
      </w:r>
      <w:r w:rsidR="00B3074E" w:rsidRPr="00593BCE">
        <w:rPr>
          <w:rFonts w:ascii="Arial" w:hAnsi="Arial" w:cs="Arial"/>
          <w:sz w:val="24"/>
          <w:szCs w:val="24"/>
        </w:rPr>
        <w:t>,</w:t>
      </w:r>
      <w:r w:rsidR="00C67EBA" w:rsidRPr="00593BCE">
        <w:rPr>
          <w:rFonts w:ascii="Arial" w:hAnsi="Arial" w:cs="Arial"/>
          <w:sz w:val="24"/>
          <w:szCs w:val="24"/>
        </w:rPr>
        <w:t xml:space="preserve"> “Alertness” and “Acute change or fluctuating course”</w:t>
      </w:r>
      <w:r w:rsidR="002A5620" w:rsidRPr="00593BCE">
        <w:rPr>
          <w:rFonts w:ascii="Arial" w:hAnsi="Arial" w:cs="Arial"/>
          <w:sz w:val="24"/>
          <w:szCs w:val="24"/>
        </w:rPr>
        <w:t xml:space="preserve">. </w:t>
      </w:r>
      <w:r w:rsidR="00914505" w:rsidRPr="00593BCE">
        <w:rPr>
          <w:rFonts w:ascii="Arial" w:hAnsi="Arial" w:cs="Arial"/>
          <w:sz w:val="24"/>
          <w:szCs w:val="24"/>
        </w:rPr>
        <w:t>The ent</w:t>
      </w:r>
      <w:r w:rsidR="00180954" w:rsidRPr="00593BCE">
        <w:rPr>
          <w:rFonts w:ascii="Arial" w:hAnsi="Arial" w:cs="Arial"/>
          <w:sz w:val="24"/>
          <w:szCs w:val="24"/>
        </w:rPr>
        <w:t xml:space="preserve">ire 4AT assessment takes only about </w:t>
      </w:r>
      <w:r w:rsidR="00104C7E" w:rsidRPr="00593BCE">
        <w:rPr>
          <w:rFonts w:ascii="Arial" w:hAnsi="Arial" w:cs="Arial"/>
          <w:sz w:val="24"/>
          <w:szCs w:val="24"/>
        </w:rPr>
        <w:t xml:space="preserve">two </w:t>
      </w:r>
      <w:r w:rsidR="00914505" w:rsidRPr="00593BCE">
        <w:rPr>
          <w:rFonts w:ascii="Arial" w:hAnsi="Arial" w:cs="Arial"/>
          <w:sz w:val="24"/>
          <w:szCs w:val="24"/>
        </w:rPr>
        <w:t xml:space="preserve">minutes to </w:t>
      </w:r>
      <w:r w:rsidR="007C53DF" w:rsidRPr="00593BCE">
        <w:rPr>
          <w:rFonts w:ascii="Arial" w:hAnsi="Arial" w:cs="Arial"/>
          <w:sz w:val="24"/>
          <w:szCs w:val="24"/>
        </w:rPr>
        <w:t>complete</w:t>
      </w:r>
      <w:r w:rsidR="00914505" w:rsidRPr="00593BCE">
        <w:rPr>
          <w:rFonts w:ascii="Arial" w:hAnsi="Arial" w:cs="Arial"/>
          <w:sz w:val="24"/>
          <w:szCs w:val="24"/>
        </w:rPr>
        <w:t xml:space="preserve"> and does not require formal training</w:t>
      </w:r>
      <w:r w:rsidR="005D0962" w:rsidRPr="00593BCE">
        <w:rPr>
          <w:rFonts w:ascii="Arial" w:hAnsi="Arial" w:cs="Arial"/>
          <w:sz w:val="24"/>
          <w:szCs w:val="24"/>
        </w:rPr>
        <w:t xml:space="preserve"> [8]</w:t>
      </w:r>
      <w:r w:rsidR="00614B08" w:rsidRPr="00593BCE">
        <w:rPr>
          <w:rFonts w:ascii="Arial" w:hAnsi="Arial" w:cs="Arial"/>
          <w:sz w:val="24"/>
          <w:szCs w:val="24"/>
        </w:rPr>
        <w:t>.</w:t>
      </w:r>
    </w:p>
    <w:p w14:paraId="38D73F24" w14:textId="77777777" w:rsidR="00614B08" w:rsidRPr="00593BCE" w:rsidRDefault="00614B08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49E1854" w14:textId="1F9B99A5" w:rsidR="00420655" w:rsidRPr="00593BCE" w:rsidRDefault="007A5631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 xml:space="preserve">The </w:t>
      </w:r>
      <w:r w:rsidR="001A45DD" w:rsidRPr="00593BCE">
        <w:rPr>
          <w:rFonts w:ascii="Arial" w:hAnsi="Arial" w:cs="Arial"/>
          <w:sz w:val="24"/>
          <w:szCs w:val="24"/>
        </w:rPr>
        <w:t>4AT</w:t>
      </w:r>
      <w:r w:rsidR="002E4037" w:rsidRPr="00593BCE">
        <w:rPr>
          <w:rFonts w:ascii="Arial" w:hAnsi="Arial" w:cs="Arial"/>
          <w:sz w:val="24"/>
          <w:szCs w:val="24"/>
        </w:rPr>
        <w:t xml:space="preserve"> </w:t>
      </w:r>
      <w:r w:rsidR="00B76524" w:rsidRPr="00593BCE">
        <w:rPr>
          <w:rFonts w:ascii="Arial" w:hAnsi="Arial" w:cs="Arial"/>
          <w:sz w:val="24"/>
          <w:szCs w:val="24"/>
        </w:rPr>
        <w:t xml:space="preserve">has recently been </w:t>
      </w:r>
      <w:r w:rsidR="00BE160D" w:rsidRPr="00593BCE">
        <w:rPr>
          <w:rFonts w:ascii="Arial" w:hAnsi="Arial" w:cs="Arial"/>
          <w:sz w:val="24"/>
          <w:szCs w:val="24"/>
        </w:rPr>
        <w:t xml:space="preserve">recommended by </w:t>
      </w:r>
      <w:r w:rsidR="00F21485" w:rsidRPr="00593BCE">
        <w:rPr>
          <w:rFonts w:ascii="Arial" w:hAnsi="Arial" w:cs="Arial"/>
          <w:sz w:val="24"/>
          <w:szCs w:val="24"/>
        </w:rPr>
        <w:t xml:space="preserve">the </w:t>
      </w:r>
      <w:r w:rsidR="00ED5313" w:rsidRPr="00593BCE">
        <w:rPr>
          <w:rFonts w:ascii="Arial" w:hAnsi="Arial" w:cs="Arial"/>
          <w:sz w:val="24"/>
          <w:szCs w:val="24"/>
        </w:rPr>
        <w:t>Scottish Intercollegiate Guidelines Network</w:t>
      </w:r>
      <w:r w:rsidR="00135655" w:rsidRPr="00593BCE">
        <w:rPr>
          <w:rFonts w:ascii="Arial" w:hAnsi="Arial" w:cs="Arial"/>
          <w:sz w:val="24"/>
          <w:szCs w:val="24"/>
        </w:rPr>
        <w:t xml:space="preserve"> </w:t>
      </w:r>
      <w:r w:rsidR="005D0962" w:rsidRPr="00593BCE">
        <w:rPr>
          <w:rFonts w:ascii="Arial" w:hAnsi="Arial" w:cs="Arial"/>
          <w:sz w:val="24"/>
          <w:szCs w:val="24"/>
        </w:rPr>
        <w:t>[</w:t>
      </w:r>
      <w:r w:rsidR="00ED5313" w:rsidRPr="00593BCE">
        <w:rPr>
          <w:rFonts w:ascii="Arial" w:hAnsi="Arial" w:cs="Arial"/>
          <w:sz w:val="24"/>
          <w:szCs w:val="24"/>
        </w:rPr>
        <w:t>9</w:t>
      </w:r>
      <w:r w:rsidR="005D0962" w:rsidRPr="00593BCE">
        <w:rPr>
          <w:rFonts w:ascii="Arial" w:hAnsi="Arial" w:cs="Arial"/>
          <w:sz w:val="24"/>
          <w:szCs w:val="24"/>
        </w:rPr>
        <w:t>]</w:t>
      </w:r>
      <w:r w:rsidR="002E4037" w:rsidRPr="00593BCE">
        <w:rPr>
          <w:rFonts w:ascii="Arial" w:hAnsi="Arial" w:cs="Arial"/>
          <w:b/>
          <w:sz w:val="24"/>
          <w:szCs w:val="24"/>
        </w:rPr>
        <w:t xml:space="preserve"> </w:t>
      </w:r>
      <w:r w:rsidR="00FF76A3" w:rsidRPr="00593BCE">
        <w:rPr>
          <w:rFonts w:ascii="Arial" w:hAnsi="Arial" w:cs="Arial"/>
          <w:sz w:val="24"/>
          <w:szCs w:val="24"/>
        </w:rPr>
        <w:t xml:space="preserve">for use </w:t>
      </w:r>
      <w:r w:rsidR="005A32D4" w:rsidRPr="00593BCE">
        <w:rPr>
          <w:rFonts w:ascii="Arial" w:hAnsi="Arial" w:cs="Arial"/>
          <w:sz w:val="24"/>
          <w:szCs w:val="24"/>
        </w:rPr>
        <w:t xml:space="preserve">as a screening tool </w:t>
      </w:r>
      <w:r w:rsidR="006E68E1" w:rsidRPr="00593BCE">
        <w:rPr>
          <w:rFonts w:ascii="Arial" w:hAnsi="Arial" w:cs="Arial"/>
          <w:sz w:val="24"/>
          <w:szCs w:val="24"/>
        </w:rPr>
        <w:t>to identify</w:t>
      </w:r>
      <w:r w:rsidR="005A32D4" w:rsidRPr="00593BCE">
        <w:rPr>
          <w:rFonts w:ascii="Arial" w:hAnsi="Arial" w:cs="Arial"/>
          <w:sz w:val="24"/>
          <w:szCs w:val="24"/>
        </w:rPr>
        <w:t xml:space="preserve"> patients with probable delirium </w:t>
      </w:r>
      <w:r w:rsidR="00FF76A3" w:rsidRPr="00593BCE">
        <w:rPr>
          <w:rFonts w:ascii="Arial" w:hAnsi="Arial" w:cs="Arial"/>
          <w:sz w:val="24"/>
          <w:szCs w:val="24"/>
        </w:rPr>
        <w:t xml:space="preserve">in the National Health Service </w:t>
      </w:r>
      <w:r w:rsidR="00135655" w:rsidRPr="00593BCE">
        <w:rPr>
          <w:rFonts w:ascii="Arial" w:hAnsi="Arial" w:cs="Arial"/>
          <w:sz w:val="24"/>
          <w:szCs w:val="24"/>
        </w:rPr>
        <w:t>in Scotland</w:t>
      </w:r>
      <w:r w:rsidR="006E68E1" w:rsidRPr="00593BCE">
        <w:rPr>
          <w:rFonts w:ascii="Arial" w:hAnsi="Arial" w:cs="Arial"/>
          <w:sz w:val="24"/>
          <w:szCs w:val="24"/>
        </w:rPr>
        <w:t>.</w:t>
      </w:r>
      <w:r w:rsidR="00F066DC" w:rsidRPr="00593BCE">
        <w:rPr>
          <w:rFonts w:ascii="Arial" w:hAnsi="Arial" w:cs="Arial"/>
          <w:sz w:val="24"/>
          <w:szCs w:val="24"/>
        </w:rPr>
        <w:t xml:space="preserve"> </w:t>
      </w:r>
      <w:r w:rsidR="006E68E1" w:rsidRPr="00593BCE">
        <w:rPr>
          <w:rFonts w:ascii="Arial" w:hAnsi="Arial" w:cs="Arial"/>
          <w:sz w:val="24"/>
          <w:szCs w:val="24"/>
        </w:rPr>
        <w:t xml:space="preserve">Moreover, </w:t>
      </w:r>
      <w:r w:rsidR="00ED5313" w:rsidRPr="00593BCE">
        <w:rPr>
          <w:rFonts w:ascii="Arial" w:hAnsi="Arial" w:cs="Arial"/>
          <w:sz w:val="24"/>
          <w:szCs w:val="24"/>
        </w:rPr>
        <w:t>the National Institute for Health and Care Excellence</w:t>
      </w:r>
      <w:r w:rsidR="00135655" w:rsidRPr="00593BCE">
        <w:rPr>
          <w:rFonts w:ascii="Arial" w:hAnsi="Arial" w:cs="Arial"/>
          <w:sz w:val="24"/>
          <w:szCs w:val="24"/>
        </w:rPr>
        <w:t xml:space="preserve"> is currently monitoring results from </w:t>
      </w:r>
      <w:r w:rsidR="00FB1966" w:rsidRPr="00593BCE">
        <w:rPr>
          <w:rFonts w:ascii="Arial" w:hAnsi="Arial" w:cs="Arial"/>
          <w:sz w:val="24"/>
          <w:szCs w:val="24"/>
        </w:rPr>
        <w:t xml:space="preserve">a National Institute for Health Research </w:t>
      </w:r>
      <w:r w:rsidR="00135655" w:rsidRPr="00593BCE">
        <w:rPr>
          <w:rFonts w:ascii="Arial" w:hAnsi="Arial" w:cs="Arial"/>
          <w:sz w:val="24"/>
          <w:szCs w:val="24"/>
        </w:rPr>
        <w:t>study before</w:t>
      </w:r>
      <w:r w:rsidR="00ED5313" w:rsidRPr="00593BCE">
        <w:rPr>
          <w:rFonts w:ascii="Arial" w:hAnsi="Arial" w:cs="Arial"/>
          <w:sz w:val="24"/>
          <w:szCs w:val="24"/>
        </w:rPr>
        <w:t xml:space="preserve"> consider</w:t>
      </w:r>
      <w:r w:rsidR="00135655" w:rsidRPr="00593BCE">
        <w:rPr>
          <w:rFonts w:ascii="Arial" w:hAnsi="Arial" w:cs="Arial"/>
          <w:sz w:val="24"/>
          <w:szCs w:val="24"/>
        </w:rPr>
        <w:t xml:space="preserve">ing </w:t>
      </w:r>
      <w:r w:rsidR="00ED5313" w:rsidRPr="00593BCE">
        <w:rPr>
          <w:rFonts w:ascii="Arial" w:hAnsi="Arial" w:cs="Arial"/>
          <w:sz w:val="24"/>
          <w:szCs w:val="24"/>
        </w:rPr>
        <w:t>recommendation [10]</w:t>
      </w:r>
      <w:r w:rsidR="00B76524" w:rsidRPr="00593BCE">
        <w:rPr>
          <w:rFonts w:ascii="Arial" w:hAnsi="Arial" w:cs="Arial"/>
          <w:sz w:val="24"/>
          <w:szCs w:val="24"/>
        </w:rPr>
        <w:t xml:space="preserve">. </w:t>
      </w:r>
      <w:r w:rsidR="00FA68CD" w:rsidRPr="00593BCE">
        <w:rPr>
          <w:rFonts w:ascii="Arial" w:hAnsi="Arial" w:cs="Arial"/>
          <w:sz w:val="24"/>
          <w:szCs w:val="24"/>
        </w:rPr>
        <w:t>However, t</w:t>
      </w:r>
      <w:r w:rsidR="00135CBB" w:rsidRPr="00593BCE">
        <w:rPr>
          <w:rFonts w:ascii="Arial" w:hAnsi="Arial" w:cs="Arial"/>
          <w:sz w:val="24"/>
          <w:szCs w:val="24"/>
        </w:rPr>
        <w:t>he</w:t>
      </w:r>
      <w:r w:rsidR="00DA438C" w:rsidRPr="00593BCE">
        <w:rPr>
          <w:rFonts w:ascii="Arial" w:hAnsi="Arial" w:cs="Arial"/>
          <w:sz w:val="24"/>
          <w:szCs w:val="24"/>
        </w:rPr>
        <w:t>re is a paucity of data on</w:t>
      </w:r>
      <w:r w:rsidR="00135CBB" w:rsidRPr="00593BCE">
        <w:rPr>
          <w:rFonts w:ascii="Arial" w:hAnsi="Arial" w:cs="Arial"/>
          <w:sz w:val="24"/>
          <w:szCs w:val="24"/>
        </w:rPr>
        <w:t xml:space="preserve"> </w:t>
      </w:r>
      <w:r w:rsidR="004F7624" w:rsidRPr="00593BCE">
        <w:rPr>
          <w:rFonts w:ascii="Arial" w:hAnsi="Arial" w:cs="Arial"/>
          <w:sz w:val="24"/>
          <w:szCs w:val="24"/>
        </w:rPr>
        <w:t>health outcomes</w:t>
      </w:r>
      <w:r w:rsidR="00E7131A" w:rsidRPr="00593BCE">
        <w:rPr>
          <w:rFonts w:ascii="Arial" w:hAnsi="Arial" w:cs="Arial"/>
          <w:sz w:val="24"/>
          <w:szCs w:val="24"/>
        </w:rPr>
        <w:t xml:space="preserve"> in relation </w:t>
      </w:r>
      <w:r w:rsidR="00104C7E" w:rsidRPr="00593BCE">
        <w:rPr>
          <w:rFonts w:ascii="Arial" w:hAnsi="Arial" w:cs="Arial"/>
          <w:sz w:val="24"/>
          <w:szCs w:val="24"/>
        </w:rPr>
        <w:t xml:space="preserve">to the </w:t>
      </w:r>
      <w:r w:rsidR="00A84438" w:rsidRPr="00593BCE">
        <w:rPr>
          <w:rFonts w:ascii="Arial" w:hAnsi="Arial" w:cs="Arial"/>
          <w:sz w:val="24"/>
          <w:szCs w:val="24"/>
        </w:rPr>
        <w:t>4AT</w:t>
      </w:r>
      <w:r w:rsidR="00F21485" w:rsidRPr="00593BCE">
        <w:rPr>
          <w:rFonts w:ascii="Arial" w:hAnsi="Arial" w:cs="Arial"/>
          <w:sz w:val="24"/>
          <w:szCs w:val="24"/>
        </w:rPr>
        <w:t xml:space="preserve"> </w:t>
      </w:r>
      <w:r w:rsidR="005A32D4" w:rsidRPr="00593BCE">
        <w:rPr>
          <w:rFonts w:ascii="Arial" w:hAnsi="Arial" w:cs="Arial"/>
          <w:sz w:val="24"/>
          <w:szCs w:val="24"/>
        </w:rPr>
        <w:t xml:space="preserve">tool </w:t>
      </w:r>
      <w:r w:rsidR="00856AC1" w:rsidRPr="00593BCE">
        <w:rPr>
          <w:rFonts w:ascii="Arial" w:hAnsi="Arial" w:cs="Arial"/>
          <w:sz w:val="24"/>
          <w:szCs w:val="24"/>
        </w:rPr>
        <w:t xml:space="preserve">due to its relative novelty and complex relationship with a number </w:t>
      </w:r>
      <w:r w:rsidR="00F21485" w:rsidRPr="00593BCE">
        <w:rPr>
          <w:rFonts w:ascii="Arial" w:hAnsi="Arial" w:cs="Arial"/>
          <w:sz w:val="24"/>
          <w:szCs w:val="24"/>
        </w:rPr>
        <w:t xml:space="preserve">of </w:t>
      </w:r>
      <w:r w:rsidR="00856AC1" w:rsidRPr="00593BCE">
        <w:rPr>
          <w:rFonts w:ascii="Arial" w:hAnsi="Arial" w:cs="Arial"/>
          <w:sz w:val="24"/>
          <w:szCs w:val="24"/>
        </w:rPr>
        <w:t xml:space="preserve">factors </w:t>
      </w:r>
      <w:r w:rsidR="00652444" w:rsidRPr="00593BCE">
        <w:rPr>
          <w:rFonts w:ascii="Arial" w:hAnsi="Arial" w:cs="Arial"/>
          <w:sz w:val="24"/>
          <w:szCs w:val="24"/>
        </w:rPr>
        <w:t xml:space="preserve">leading to </w:t>
      </w:r>
      <w:r w:rsidR="004C3142" w:rsidRPr="00593BCE">
        <w:rPr>
          <w:rFonts w:ascii="Arial" w:hAnsi="Arial" w:cs="Arial"/>
          <w:sz w:val="24"/>
          <w:szCs w:val="24"/>
        </w:rPr>
        <w:t>and</w:t>
      </w:r>
      <w:r w:rsidR="00B32679" w:rsidRPr="00593BCE">
        <w:rPr>
          <w:rFonts w:ascii="Arial" w:hAnsi="Arial" w:cs="Arial"/>
          <w:sz w:val="24"/>
          <w:szCs w:val="24"/>
        </w:rPr>
        <w:t>/or</w:t>
      </w:r>
      <w:r w:rsidR="004C3142" w:rsidRPr="00593BCE">
        <w:rPr>
          <w:rFonts w:ascii="Arial" w:hAnsi="Arial" w:cs="Arial"/>
          <w:sz w:val="24"/>
          <w:szCs w:val="24"/>
        </w:rPr>
        <w:t xml:space="preserve"> co-existing with </w:t>
      </w:r>
      <w:r w:rsidR="00652444" w:rsidRPr="00593BCE">
        <w:rPr>
          <w:rFonts w:ascii="Arial" w:hAnsi="Arial" w:cs="Arial"/>
          <w:sz w:val="24"/>
          <w:szCs w:val="24"/>
        </w:rPr>
        <w:t xml:space="preserve">delirium </w:t>
      </w:r>
      <w:r w:rsidR="00856AC1" w:rsidRPr="00593BCE">
        <w:rPr>
          <w:rFonts w:ascii="Arial" w:hAnsi="Arial" w:cs="Arial"/>
          <w:sz w:val="24"/>
          <w:szCs w:val="24"/>
        </w:rPr>
        <w:t>throughout the course of an illness</w:t>
      </w:r>
      <w:r w:rsidR="004F7624" w:rsidRPr="00593BCE">
        <w:rPr>
          <w:rFonts w:ascii="Arial" w:hAnsi="Arial" w:cs="Arial"/>
          <w:sz w:val="24"/>
          <w:szCs w:val="24"/>
        </w:rPr>
        <w:t xml:space="preserve">. </w:t>
      </w:r>
      <w:r w:rsidR="002D0D98" w:rsidRPr="00593BCE">
        <w:rPr>
          <w:rFonts w:ascii="Arial" w:hAnsi="Arial" w:cs="Arial"/>
          <w:sz w:val="24"/>
          <w:szCs w:val="24"/>
        </w:rPr>
        <w:t>T</w:t>
      </w:r>
      <w:r w:rsidR="001F6C14" w:rsidRPr="00593BCE">
        <w:rPr>
          <w:rFonts w:ascii="Arial" w:hAnsi="Arial" w:cs="Arial"/>
          <w:sz w:val="24"/>
          <w:szCs w:val="24"/>
        </w:rPr>
        <w:t>he</w:t>
      </w:r>
      <w:r w:rsidR="00135CBB" w:rsidRPr="00593BCE">
        <w:rPr>
          <w:rFonts w:ascii="Arial" w:hAnsi="Arial" w:cs="Arial"/>
          <w:sz w:val="24"/>
          <w:szCs w:val="24"/>
        </w:rPr>
        <w:t xml:space="preserve"> present study</w:t>
      </w:r>
      <w:r w:rsidR="002D0D98" w:rsidRPr="00593BCE">
        <w:rPr>
          <w:rFonts w:ascii="Arial" w:hAnsi="Arial" w:cs="Arial"/>
          <w:sz w:val="24"/>
          <w:szCs w:val="24"/>
        </w:rPr>
        <w:t xml:space="preserve"> </w:t>
      </w:r>
      <w:r w:rsidR="00135CBB" w:rsidRPr="00593BCE">
        <w:rPr>
          <w:rFonts w:ascii="Arial" w:hAnsi="Arial" w:cs="Arial"/>
          <w:sz w:val="24"/>
          <w:szCs w:val="24"/>
        </w:rPr>
        <w:t>examined</w:t>
      </w:r>
      <w:r w:rsidR="00420655" w:rsidRPr="00593BCE">
        <w:rPr>
          <w:rFonts w:ascii="Arial" w:hAnsi="Arial" w:cs="Arial"/>
          <w:sz w:val="24"/>
          <w:szCs w:val="24"/>
        </w:rPr>
        <w:t xml:space="preserve"> </w:t>
      </w:r>
      <w:r w:rsidR="000E7E80" w:rsidRPr="00593BCE">
        <w:rPr>
          <w:rFonts w:ascii="Arial" w:hAnsi="Arial" w:cs="Arial"/>
          <w:sz w:val="24"/>
          <w:szCs w:val="24"/>
        </w:rPr>
        <w:t xml:space="preserve">the </w:t>
      </w:r>
      <w:r w:rsidR="00184FF3" w:rsidRPr="00593BCE">
        <w:rPr>
          <w:rFonts w:ascii="Arial" w:hAnsi="Arial" w:cs="Arial"/>
          <w:sz w:val="24"/>
          <w:szCs w:val="24"/>
        </w:rPr>
        <w:t>ability of</w:t>
      </w:r>
      <w:r w:rsidR="002D0D98" w:rsidRPr="00593BCE">
        <w:rPr>
          <w:rFonts w:ascii="Arial" w:hAnsi="Arial" w:cs="Arial"/>
          <w:sz w:val="24"/>
          <w:szCs w:val="24"/>
        </w:rPr>
        <w:t xml:space="preserve"> </w:t>
      </w:r>
      <w:r w:rsidRPr="00593BCE">
        <w:rPr>
          <w:rFonts w:ascii="Arial" w:hAnsi="Arial" w:cs="Arial"/>
          <w:sz w:val="24"/>
          <w:szCs w:val="24"/>
        </w:rPr>
        <w:lastRenderedPageBreak/>
        <w:t xml:space="preserve">the </w:t>
      </w:r>
      <w:r w:rsidR="0050386B" w:rsidRPr="00593BCE">
        <w:rPr>
          <w:rFonts w:ascii="Arial" w:hAnsi="Arial" w:cs="Arial"/>
          <w:sz w:val="24"/>
          <w:szCs w:val="24"/>
        </w:rPr>
        <w:t>4AT</w:t>
      </w:r>
      <w:r w:rsidR="00AC5923" w:rsidRPr="00593BCE">
        <w:rPr>
          <w:rFonts w:ascii="Arial" w:hAnsi="Arial" w:cs="Arial"/>
          <w:sz w:val="24"/>
          <w:szCs w:val="24"/>
        </w:rPr>
        <w:t xml:space="preserve"> to predict</w:t>
      </w:r>
      <w:r w:rsidR="001C435D" w:rsidRPr="00593BCE">
        <w:rPr>
          <w:rFonts w:ascii="Arial" w:hAnsi="Arial" w:cs="Arial"/>
          <w:sz w:val="24"/>
          <w:szCs w:val="24"/>
        </w:rPr>
        <w:t>,</w:t>
      </w:r>
      <w:r w:rsidR="001C435D" w:rsidRPr="00593B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27FA8" w:rsidRPr="00593B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independent of</w:t>
      </w:r>
      <w:r w:rsidR="001C435D" w:rsidRPr="00593B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presence or absence of delirium</w:t>
      </w:r>
      <w:r w:rsidRPr="00593B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r w:rsidR="00184FF3" w:rsidRPr="00593BCE">
        <w:rPr>
          <w:rFonts w:ascii="Arial" w:hAnsi="Arial" w:cs="Arial"/>
          <w:sz w:val="24"/>
          <w:szCs w:val="24"/>
        </w:rPr>
        <w:t xml:space="preserve"> </w:t>
      </w:r>
      <w:r w:rsidR="0097404F" w:rsidRPr="00593BCE">
        <w:rPr>
          <w:rFonts w:ascii="Arial" w:hAnsi="Arial" w:cs="Arial"/>
          <w:sz w:val="24"/>
          <w:szCs w:val="24"/>
        </w:rPr>
        <w:t>mobility</w:t>
      </w:r>
      <w:r w:rsidR="00FA16F9" w:rsidRPr="00593BCE">
        <w:rPr>
          <w:rFonts w:ascii="Arial" w:hAnsi="Arial" w:cs="Arial"/>
          <w:sz w:val="24"/>
          <w:szCs w:val="24"/>
        </w:rPr>
        <w:t xml:space="preserve"> within 1-day after </w:t>
      </w:r>
      <w:r w:rsidR="00492D87" w:rsidRPr="00593BCE">
        <w:rPr>
          <w:rFonts w:ascii="Arial" w:hAnsi="Arial" w:cs="Arial"/>
          <w:sz w:val="24"/>
          <w:szCs w:val="24"/>
        </w:rPr>
        <w:t xml:space="preserve">operation for a </w:t>
      </w:r>
      <w:r w:rsidR="00FA16F9" w:rsidRPr="00593BCE">
        <w:rPr>
          <w:rFonts w:ascii="Arial" w:hAnsi="Arial" w:cs="Arial"/>
          <w:sz w:val="24"/>
          <w:szCs w:val="24"/>
        </w:rPr>
        <w:t>hip</w:t>
      </w:r>
      <w:r w:rsidR="00492D87" w:rsidRPr="00593BCE">
        <w:rPr>
          <w:rFonts w:ascii="Arial" w:hAnsi="Arial" w:cs="Arial"/>
          <w:sz w:val="24"/>
          <w:szCs w:val="24"/>
        </w:rPr>
        <w:t xml:space="preserve"> fracture</w:t>
      </w:r>
      <w:r w:rsidR="002E4037" w:rsidRPr="00593BCE">
        <w:rPr>
          <w:rFonts w:ascii="Arial" w:hAnsi="Arial" w:cs="Arial"/>
          <w:sz w:val="24"/>
          <w:szCs w:val="24"/>
        </w:rPr>
        <w:t xml:space="preserve"> (</w:t>
      </w:r>
      <w:r w:rsidR="00104C7E" w:rsidRPr="00593BCE">
        <w:rPr>
          <w:rFonts w:ascii="Arial" w:hAnsi="Arial" w:cs="Arial"/>
          <w:sz w:val="24"/>
          <w:szCs w:val="24"/>
        </w:rPr>
        <w:t xml:space="preserve">an </w:t>
      </w:r>
      <w:r w:rsidR="00332F3E" w:rsidRPr="00593BCE">
        <w:rPr>
          <w:rFonts w:ascii="Arial" w:hAnsi="Arial" w:cs="Arial"/>
          <w:sz w:val="24"/>
          <w:szCs w:val="24"/>
        </w:rPr>
        <w:t>indicat</w:t>
      </w:r>
      <w:r w:rsidR="00104C7E" w:rsidRPr="00593BCE">
        <w:rPr>
          <w:rFonts w:ascii="Arial" w:hAnsi="Arial" w:cs="Arial"/>
          <w:sz w:val="24"/>
          <w:szCs w:val="24"/>
        </w:rPr>
        <w:t>ion of</w:t>
      </w:r>
      <w:r w:rsidR="00332F3E" w:rsidRPr="00593BCE">
        <w:rPr>
          <w:rFonts w:ascii="Arial" w:hAnsi="Arial" w:cs="Arial"/>
          <w:sz w:val="24"/>
          <w:szCs w:val="24"/>
        </w:rPr>
        <w:t xml:space="preserve"> </w:t>
      </w:r>
      <w:r w:rsidR="002E4037" w:rsidRPr="00593BCE">
        <w:rPr>
          <w:rFonts w:ascii="Arial" w:hAnsi="Arial" w:cs="Arial"/>
          <w:sz w:val="24"/>
          <w:szCs w:val="24"/>
        </w:rPr>
        <w:t>rapid recovery)</w:t>
      </w:r>
      <w:r w:rsidRPr="00593BCE">
        <w:rPr>
          <w:rFonts w:ascii="Arial" w:hAnsi="Arial" w:cs="Arial"/>
          <w:sz w:val="24"/>
          <w:szCs w:val="24"/>
        </w:rPr>
        <w:t>;</w:t>
      </w:r>
      <w:r w:rsidR="000E7E80" w:rsidRPr="00593BCE">
        <w:rPr>
          <w:rFonts w:ascii="Arial" w:hAnsi="Arial" w:cs="Arial"/>
          <w:sz w:val="24"/>
          <w:szCs w:val="24"/>
        </w:rPr>
        <w:t xml:space="preserve"> </w:t>
      </w:r>
      <w:r w:rsidR="00420655" w:rsidRPr="00593BCE">
        <w:rPr>
          <w:rFonts w:ascii="Arial" w:hAnsi="Arial" w:cs="Arial"/>
          <w:sz w:val="24"/>
          <w:szCs w:val="24"/>
        </w:rPr>
        <w:t xml:space="preserve">length of stay (LOS) and </w:t>
      </w:r>
      <w:r w:rsidR="00BE3A61" w:rsidRPr="00593BCE">
        <w:rPr>
          <w:rFonts w:ascii="Arial" w:hAnsi="Arial" w:cs="Arial"/>
          <w:sz w:val="24"/>
          <w:szCs w:val="24"/>
        </w:rPr>
        <w:t>mortality</w:t>
      </w:r>
      <w:r w:rsidR="005E098E" w:rsidRPr="00593BCE">
        <w:rPr>
          <w:rFonts w:ascii="Arial" w:hAnsi="Arial" w:cs="Arial"/>
          <w:sz w:val="24"/>
          <w:szCs w:val="24"/>
        </w:rPr>
        <w:t xml:space="preserve"> in hospital</w:t>
      </w:r>
      <w:r w:rsidRPr="00593BCE">
        <w:rPr>
          <w:rFonts w:ascii="Arial" w:hAnsi="Arial" w:cs="Arial"/>
          <w:sz w:val="24"/>
          <w:szCs w:val="24"/>
        </w:rPr>
        <w:t>;</w:t>
      </w:r>
      <w:r w:rsidR="00F21485" w:rsidRPr="00593BCE">
        <w:rPr>
          <w:rFonts w:ascii="Arial" w:hAnsi="Arial" w:cs="Arial"/>
          <w:sz w:val="24"/>
          <w:szCs w:val="24"/>
        </w:rPr>
        <w:t xml:space="preserve"> as well as</w:t>
      </w:r>
      <w:r w:rsidR="005E098E" w:rsidRPr="00593BCE">
        <w:rPr>
          <w:rFonts w:ascii="Arial" w:hAnsi="Arial" w:cs="Arial"/>
          <w:sz w:val="24"/>
          <w:szCs w:val="24"/>
        </w:rPr>
        <w:t xml:space="preserve"> discharge destination</w:t>
      </w:r>
      <w:r w:rsidR="0097404F" w:rsidRPr="00593BCE">
        <w:rPr>
          <w:rFonts w:ascii="Arial" w:hAnsi="Arial" w:cs="Arial"/>
          <w:sz w:val="24"/>
          <w:szCs w:val="24"/>
        </w:rPr>
        <w:t xml:space="preserve"> </w:t>
      </w:r>
      <w:r w:rsidRPr="00593BCE">
        <w:rPr>
          <w:rFonts w:ascii="Arial" w:hAnsi="Arial" w:cs="Arial"/>
          <w:sz w:val="24"/>
          <w:szCs w:val="24"/>
        </w:rPr>
        <w:t xml:space="preserve">for </w:t>
      </w:r>
      <w:r w:rsidR="0097404F" w:rsidRPr="00593BCE">
        <w:rPr>
          <w:rFonts w:ascii="Arial" w:hAnsi="Arial" w:cs="Arial"/>
          <w:sz w:val="24"/>
          <w:szCs w:val="24"/>
        </w:rPr>
        <w:t>patients admitted with hip fractures</w:t>
      </w:r>
      <w:r w:rsidR="00420655" w:rsidRPr="00593BCE">
        <w:rPr>
          <w:rFonts w:ascii="Arial" w:hAnsi="Arial" w:cs="Arial"/>
          <w:sz w:val="24"/>
          <w:szCs w:val="24"/>
        </w:rPr>
        <w:t>.</w:t>
      </w:r>
    </w:p>
    <w:p w14:paraId="30181699" w14:textId="77777777" w:rsidR="00184CEE" w:rsidRPr="00593BCE" w:rsidRDefault="00184CEE" w:rsidP="004F7E7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2727BB62" w14:textId="77777777" w:rsidR="00BF62BC" w:rsidRPr="00593BCE" w:rsidRDefault="00BF62BC" w:rsidP="004F7E7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t>METHODS</w:t>
      </w:r>
    </w:p>
    <w:p w14:paraId="3A4C633D" w14:textId="77777777" w:rsidR="00B67CD2" w:rsidRPr="00593BCE" w:rsidRDefault="00B67CD2" w:rsidP="004F7E7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t>Study design, patients and setting</w:t>
      </w:r>
    </w:p>
    <w:p w14:paraId="1F87DD53" w14:textId="61760CD7" w:rsidR="00B67CD2" w:rsidRPr="00593BCE" w:rsidRDefault="008B4632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 xml:space="preserve">We conducted </w:t>
      </w:r>
      <w:r w:rsidR="00F21485" w:rsidRPr="00593BCE">
        <w:rPr>
          <w:rFonts w:ascii="Arial" w:hAnsi="Arial" w:cs="Arial"/>
          <w:sz w:val="24"/>
          <w:szCs w:val="24"/>
        </w:rPr>
        <w:t xml:space="preserve">a </w:t>
      </w:r>
      <w:r w:rsidR="00B67CD2" w:rsidRPr="00593BCE">
        <w:rPr>
          <w:rFonts w:ascii="Arial" w:hAnsi="Arial" w:cs="Arial"/>
          <w:sz w:val="24"/>
          <w:szCs w:val="24"/>
        </w:rPr>
        <w:t>cross-sectional</w:t>
      </w:r>
      <w:r w:rsidRPr="00593BCE">
        <w:rPr>
          <w:rFonts w:ascii="Arial" w:hAnsi="Arial" w:cs="Arial"/>
          <w:sz w:val="24"/>
          <w:szCs w:val="24"/>
        </w:rPr>
        <w:t xml:space="preserve"> study of a total of </w:t>
      </w:r>
      <w:r w:rsidR="00CA153A" w:rsidRPr="00593BCE">
        <w:rPr>
          <w:rFonts w:ascii="Arial" w:hAnsi="Arial" w:cs="Arial"/>
          <w:sz w:val="24"/>
          <w:szCs w:val="24"/>
        </w:rPr>
        <w:t xml:space="preserve">537 </w:t>
      </w:r>
      <w:r w:rsidR="00B67CD2" w:rsidRPr="00593BCE">
        <w:rPr>
          <w:rFonts w:ascii="Arial" w:hAnsi="Arial" w:cs="Arial"/>
          <w:sz w:val="24"/>
          <w:szCs w:val="24"/>
        </w:rPr>
        <w:t xml:space="preserve">consecutive older </w:t>
      </w:r>
      <w:r w:rsidR="004346F2" w:rsidRPr="00593BCE">
        <w:rPr>
          <w:rFonts w:ascii="Arial" w:hAnsi="Arial" w:cs="Arial"/>
          <w:sz w:val="24"/>
          <w:szCs w:val="24"/>
        </w:rPr>
        <w:t>patients (60.2-</w:t>
      </w:r>
      <w:r w:rsidR="008C7485" w:rsidRPr="00593BCE">
        <w:rPr>
          <w:rFonts w:ascii="Arial" w:hAnsi="Arial" w:cs="Arial"/>
          <w:sz w:val="24"/>
          <w:szCs w:val="24"/>
        </w:rPr>
        <w:t>101.8</w:t>
      </w:r>
      <w:r w:rsidR="007A5631" w:rsidRPr="00593BCE">
        <w:rPr>
          <w:rFonts w:ascii="Arial" w:hAnsi="Arial" w:cs="Arial"/>
          <w:sz w:val="24"/>
          <w:szCs w:val="24"/>
        </w:rPr>
        <w:t xml:space="preserve"> </w:t>
      </w:r>
      <w:r w:rsidR="008C7485" w:rsidRPr="00593BCE">
        <w:rPr>
          <w:rFonts w:ascii="Arial" w:hAnsi="Arial" w:cs="Arial"/>
          <w:sz w:val="24"/>
          <w:szCs w:val="24"/>
        </w:rPr>
        <w:t>y</w:t>
      </w:r>
      <w:r w:rsidR="00C9188E" w:rsidRPr="00593BCE">
        <w:rPr>
          <w:rFonts w:ascii="Arial" w:hAnsi="Arial" w:cs="Arial"/>
          <w:sz w:val="24"/>
          <w:szCs w:val="24"/>
        </w:rPr>
        <w:t>ear</w:t>
      </w:r>
      <w:r w:rsidR="00E13162" w:rsidRPr="00593BCE">
        <w:rPr>
          <w:rFonts w:ascii="Arial" w:hAnsi="Arial" w:cs="Arial"/>
          <w:sz w:val="24"/>
          <w:szCs w:val="24"/>
        </w:rPr>
        <w:t>s</w:t>
      </w:r>
      <w:r w:rsidR="00B67CD2" w:rsidRPr="00593BCE">
        <w:rPr>
          <w:rFonts w:ascii="Arial" w:hAnsi="Arial" w:cs="Arial"/>
          <w:sz w:val="24"/>
          <w:szCs w:val="24"/>
        </w:rPr>
        <w:t xml:space="preserve">) admitted with hip fractures between Jan-2018 and </w:t>
      </w:r>
      <w:r w:rsidR="0060329D" w:rsidRPr="00593BCE">
        <w:rPr>
          <w:rFonts w:ascii="Arial" w:hAnsi="Arial" w:cs="Arial"/>
          <w:sz w:val="24"/>
          <w:szCs w:val="24"/>
        </w:rPr>
        <w:t>June</w:t>
      </w:r>
      <w:r w:rsidR="00B67CD2" w:rsidRPr="00593BCE">
        <w:rPr>
          <w:rFonts w:ascii="Arial" w:hAnsi="Arial" w:cs="Arial"/>
          <w:sz w:val="24"/>
          <w:szCs w:val="24"/>
        </w:rPr>
        <w:t xml:space="preserve">-2019 to </w:t>
      </w:r>
      <w:r w:rsidR="00E50E44" w:rsidRPr="00593BCE">
        <w:rPr>
          <w:rFonts w:ascii="Arial" w:hAnsi="Arial" w:cs="Arial"/>
          <w:sz w:val="24"/>
          <w:szCs w:val="24"/>
        </w:rPr>
        <w:t>the</w:t>
      </w:r>
      <w:r w:rsidR="006352D4" w:rsidRPr="00593BCE">
        <w:rPr>
          <w:rFonts w:ascii="Arial" w:hAnsi="Arial" w:cs="Arial"/>
          <w:sz w:val="24"/>
          <w:szCs w:val="24"/>
        </w:rPr>
        <w:t xml:space="preserve"> </w:t>
      </w:r>
      <w:r w:rsidR="009478EE" w:rsidRPr="00593BCE">
        <w:rPr>
          <w:rFonts w:ascii="Arial" w:hAnsi="Arial" w:cs="Arial"/>
          <w:sz w:val="24"/>
          <w:szCs w:val="24"/>
        </w:rPr>
        <w:t>ortho</w:t>
      </w:r>
      <w:r w:rsidR="00C6550D" w:rsidRPr="00593BCE">
        <w:rPr>
          <w:rFonts w:ascii="Arial" w:hAnsi="Arial" w:cs="Arial"/>
          <w:sz w:val="24"/>
          <w:szCs w:val="24"/>
        </w:rPr>
        <w:t>geriatri</w:t>
      </w:r>
      <w:r w:rsidR="008A48E3" w:rsidRPr="00593BCE">
        <w:rPr>
          <w:rFonts w:ascii="Arial" w:hAnsi="Arial" w:cs="Arial"/>
          <w:sz w:val="24"/>
          <w:szCs w:val="24"/>
        </w:rPr>
        <w:t>c</w:t>
      </w:r>
      <w:r w:rsidR="009478EE" w:rsidRPr="00593BCE">
        <w:rPr>
          <w:rFonts w:ascii="Arial" w:hAnsi="Arial" w:cs="Arial"/>
          <w:sz w:val="24"/>
          <w:szCs w:val="24"/>
        </w:rPr>
        <w:t xml:space="preserve"> ward </w:t>
      </w:r>
      <w:r w:rsidR="00E50E44" w:rsidRPr="00593BCE">
        <w:rPr>
          <w:rFonts w:ascii="Arial" w:hAnsi="Arial" w:cs="Arial"/>
          <w:sz w:val="24"/>
          <w:szCs w:val="24"/>
        </w:rPr>
        <w:t>in</w:t>
      </w:r>
      <w:r w:rsidR="009478EE" w:rsidRPr="00593BCE">
        <w:rPr>
          <w:rFonts w:ascii="Arial" w:hAnsi="Arial" w:cs="Arial"/>
          <w:sz w:val="24"/>
          <w:szCs w:val="24"/>
        </w:rPr>
        <w:t xml:space="preserve"> </w:t>
      </w:r>
      <w:r w:rsidR="00B67CD2" w:rsidRPr="00593BCE">
        <w:rPr>
          <w:rFonts w:ascii="Arial" w:hAnsi="Arial" w:cs="Arial"/>
          <w:sz w:val="24"/>
          <w:szCs w:val="24"/>
        </w:rPr>
        <w:t xml:space="preserve">a single NHS </w:t>
      </w:r>
      <w:r w:rsidR="009F7EE3" w:rsidRPr="00593BCE">
        <w:rPr>
          <w:rFonts w:ascii="Arial" w:hAnsi="Arial" w:cs="Arial"/>
          <w:sz w:val="24"/>
          <w:szCs w:val="24"/>
        </w:rPr>
        <w:t>hospital</w:t>
      </w:r>
      <w:r w:rsidR="007A5631" w:rsidRPr="00593BCE">
        <w:rPr>
          <w:rFonts w:ascii="Arial" w:hAnsi="Arial" w:cs="Arial"/>
          <w:sz w:val="24"/>
          <w:szCs w:val="24"/>
        </w:rPr>
        <w:t xml:space="preserve"> that</w:t>
      </w:r>
      <w:r w:rsidR="00AB4AF8" w:rsidRPr="00593BCE">
        <w:rPr>
          <w:rFonts w:ascii="Arial" w:hAnsi="Arial" w:cs="Arial"/>
          <w:sz w:val="24"/>
          <w:szCs w:val="24"/>
        </w:rPr>
        <w:t xml:space="preserve"> serv</w:t>
      </w:r>
      <w:r w:rsidR="007A5631" w:rsidRPr="00593BCE">
        <w:rPr>
          <w:rFonts w:ascii="Arial" w:hAnsi="Arial" w:cs="Arial"/>
          <w:sz w:val="24"/>
          <w:szCs w:val="24"/>
        </w:rPr>
        <w:t>ed</w:t>
      </w:r>
      <w:r w:rsidR="00B67CD2" w:rsidRPr="00593BCE">
        <w:rPr>
          <w:rFonts w:ascii="Arial" w:hAnsi="Arial" w:cs="Arial"/>
          <w:sz w:val="24"/>
          <w:szCs w:val="24"/>
        </w:rPr>
        <w:t xml:space="preserve"> a population of over 410,000 people.</w:t>
      </w:r>
    </w:p>
    <w:p w14:paraId="3A427B8A" w14:textId="77777777" w:rsidR="00686B5A" w:rsidRPr="00593BCE" w:rsidRDefault="00686B5A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38A346D" w14:textId="77777777" w:rsidR="00686B5A" w:rsidRPr="00593BCE" w:rsidRDefault="00686B5A" w:rsidP="004F7E7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t>Data collection</w:t>
      </w:r>
    </w:p>
    <w:p w14:paraId="1254D569" w14:textId="0DD5A41E" w:rsidR="00FA16F9" w:rsidRPr="00593BCE" w:rsidRDefault="000061ED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>Through</w:t>
      </w:r>
      <w:r w:rsidR="0023512C" w:rsidRPr="00593BCE">
        <w:rPr>
          <w:rFonts w:ascii="Arial" w:hAnsi="Arial" w:cs="Arial"/>
          <w:sz w:val="24"/>
          <w:szCs w:val="24"/>
        </w:rPr>
        <w:t xml:space="preserve"> </w:t>
      </w:r>
      <w:r w:rsidRPr="00593BCE">
        <w:rPr>
          <w:rFonts w:ascii="Arial" w:hAnsi="Arial" w:cs="Arial"/>
          <w:sz w:val="24"/>
          <w:szCs w:val="24"/>
        </w:rPr>
        <w:t>our participation</w:t>
      </w:r>
      <w:r w:rsidR="0023512C" w:rsidRPr="00593BCE">
        <w:rPr>
          <w:rFonts w:ascii="Arial" w:hAnsi="Arial" w:cs="Arial"/>
          <w:sz w:val="24"/>
          <w:szCs w:val="24"/>
        </w:rPr>
        <w:t xml:space="preserve"> in the National Hip Fracture Database</w:t>
      </w:r>
      <w:r w:rsidR="005D0962" w:rsidRPr="00593BCE">
        <w:rPr>
          <w:rFonts w:ascii="Arial" w:hAnsi="Arial" w:cs="Arial"/>
          <w:sz w:val="24"/>
          <w:szCs w:val="24"/>
        </w:rPr>
        <w:t xml:space="preserve"> [</w:t>
      </w:r>
      <w:r w:rsidR="003343A8" w:rsidRPr="00593BCE">
        <w:rPr>
          <w:rFonts w:ascii="Arial" w:hAnsi="Arial" w:cs="Arial"/>
          <w:sz w:val="24"/>
          <w:szCs w:val="24"/>
        </w:rPr>
        <w:t>11</w:t>
      </w:r>
      <w:r w:rsidR="005D0962" w:rsidRPr="00593BCE">
        <w:rPr>
          <w:rFonts w:ascii="Arial" w:hAnsi="Arial" w:cs="Arial"/>
          <w:sz w:val="24"/>
          <w:szCs w:val="24"/>
        </w:rPr>
        <w:t>]</w:t>
      </w:r>
      <w:r w:rsidRPr="00593BCE">
        <w:rPr>
          <w:rFonts w:ascii="Arial" w:hAnsi="Arial" w:cs="Arial"/>
          <w:sz w:val="24"/>
          <w:szCs w:val="24"/>
        </w:rPr>
        <w:t>,</w:t>
      </w:r>
      <w:r w:rsidR="00432F35" w:rsidRPr="00593BC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535E3" w:rsidRPr="00593BCE">
        <w:rPr>
          <w:rFonts w:ascii="Arial" w:hAnsi="Arial" w:cs="Arial"/>
          <w:sz w:val="24"/>
          <w:szCs w:val="24"/>
        </w:rPr>
        <w:t xml:space="preserve">data on hip fracture </w:t>
      </w:r>
      <w:r w:rsidRPr="00593BCE">
        <w:rPr>
          <w:rFonts w:ascii="Arial" w:hAnsi="Arial" w:cs="Arial"/>
          <w:sz w:val="24"/>
          <w:szCs w:val="24"/>
        </w:rPr>
        <w:t xml:space="preserve">were collected prospectively </w:t>
      </w:r>
      <w:r w:rsidR="003535E3" w:rsidRPr="00593BCE">
        <w:rPr>
          <w:rFonts w:ascii="Arial" w:hAnsi="Arial" w:cs="Arial"/>
          <w:sz w:val="24"/>
          <w:szCs w:val="24"/>
        </w:rPr>
        <w:t>by a Trauma Coordinator for every patient admitted with a hip fracture from the time of admission to discharge</w:t>
      </w:r>
      <w:r w:rsidR="0023512C" w:rsidRPr="00593BCE">
        <w:rPr>
          <w:rFonts w:ascii="Arial" w:hAnsi="Arial" w:cs="Arial"/>
          <w:sz w:val="24"/>
          <w:szCs w:val="24"/>
        </w:rPr>
        <w:t>. The data comprised</w:t>
      </w:r>
      <w:r w:rsidR="003535E3" w:rsidRPr="00593BCE">
        <w:rPr>
          <w:rFonts w:ascii="Arial" w:hAnsi="Arial" w:cs="Arial"/>
          <w:sz w:val="24"/>
          <w:szCs w:val="24"/>
        </w:rPr>
        <w:t xml:space="preserve"> clinical characteristics and care quality</w:t>
      </w:r>
      <w:r w:rsidR="00CA153A" w:rsidRPr="00593BCE">
        <w:rPr>
          <w:rFonts w:ascii="Arial" w:hAnsi="Arial" w:cs="Arial"/>
          <w:sz w:val="24"/>
          <w:szCs w:val="24"/>
        </w:rPr>
        <w:t>,</w:t>
      </w:r>
      <w:r w:rsidR="003535E3" w:rsidRPr="00593BCE">
        <w:rPr>
          <w:rFonts w:ascii="Arial" w:hAnsi="Arial" w:cs="Arial"/>
          <w:sz w:val="24"/>
          <w:szCs w:val="24"/>
        </w:rPr>
        <w:t xml:space="preserve"> LOS during admission</w:t>
      </w:r>
      <w:r w:rsidR="00327494" w:rsidRPr="00593BCE">
        <w:rPr>
          <w:rFonts w:ascii="Arial" w:hAnsi="Arial" w:cs="Arial"/>
          <w:sz w:val="24"/>
          <w:szCs w:val="24"/>
        </w:rPr>
        <w:t>,</w:t>
      </w:r>
      <w:r w:rsidR="003535E3" w:rsidRPr="00593BCE">
        <w:rPr>
          <w:rFonts w:ascii="Arial" w:hAnsi="Arial" w:cs="Arial"/>
          <w:sz w:val="24"/>
          <w:szCs w:val="24"/>
        </w:rPr>
        <w:t xml:space="preserve"> and discharge destination. </w:t>
      </w:r>
      <w:r w:rsidR="00063B0D" w:rsidRPr="00593BCE">
        <w:rPr>
          <w:rFonts w:ascii="Arial" w:hAnsi="Arial" w:cs="Arial"/>
          <w:sz w:val="24"/>
          <w:szCs w:val="24"/>
        </w:rPr>
        <w:t>Pre-existing co-morbidities were</w:t>
      </w:r>
      <w:r w:rsidR="003535E3" w:rsidRPr="00593BCE">
        <w:rPr>
          <w:rFonts w:ascii="Arial" w:hAnsi="Arial" w:cs="Arial"/>
          <w:sz w:val="24"/>
          <w:szCs w:val="24"/>
        </w:rPr>
        <w:t xml:space="preserve"> identified from electronic record database</w:t>
      </w:r>
      <w:r w:rsidR="00104C7E" w:rsidRPr="00593BCE">
        <w:rPr>
          <w:rFonts w:ascii="Arial" w:hAnsi="Arial" w:cs="Arial"/>
          <w:sz w:val="24"/>
          <w:szCs w:val="24"/>
        </w:rPr>
        <w:t>s</w:t>
      </w:r>
      <w:r w:rsidR="003535E3" w:rsidRPr="00593BCE">
        <w:rPr>
          <w:rFonts w:ascii="Arial" w:hAnsi="Arial" w:cs="Arial"/>
          <w:sz w:val="24"/>
          <w:szCs w:val="24"/>
        </w:rPr>
        <w:t xml:space="preserve"> by the disease codes </w:t>
      </w:r>
      <w:r w:rsidR="00104C7E" w:rsidRPr="00593BCE">
        <w:rPr>
          <w:rFonts w:ascii="Arial" w:hAnsi="Arial" w:cs="Arial"/>
          <w:sz w:val="24"/>
          <w:szCs w:val="24"/>
        </w:rPr>
        <w:t xml:space="preserve">categorised </w:t>
      </w:r>
      <w:r w:rsidR="003535E3" w:rsidRPr="00593BCE">
        <w:rPr>
          <w:rFonts w:ascii="Arial" w:hAnsi="Arial" w:cs="Arial"/>
          <w:sz w:val="24"/>
          <w:szCs w:val="24"/>
        </w:rPr>
        <w:t>by the International Classifica</w:t>
      </w:r>
      <w:r w:rsidR="00063B0D" w:rsidRPr="00593BCE">
        <w:rPr>
          <w:rFonts w:ascii="Arial" w:hAnsi="Arial" w:cs="Arial"/>
          <w:sz w:val="24"/>
          <w:szCs w:val="24"/>
        </w:rPr>
        <w:t>tion of Diseases</w:t>
      </w:r>
      <w:r w:rsidR="005D0962" w:rsidRPr="00593BCE">
        <w:rPr>
          <w:rFonts w:ascii="Arial" w:hAnsi="Arial" w:cs="Arial"/>
          <w:sz w:val="24"/>
          <w:szCs w:val="24"/>
        </w:rPr>
        <w:t xml:space="preserve"> [</w:t>
      </w:r>
      <w:r w:rsidR="003343A8" w:rsidRPr="00593BCE">
        <w:rPr>
          <w:rFonts w:ascii="Arial" w:hAnsi="Arial" w:cs="Arial"/>
          <w:sz w:val="24"/>
          <w:szCs w:val="24"/>
        </w:rPr>
        <w:t>12</w:t>
      </w:r>
      <w:r w:rsidR="005D0962" w:rsidRPr="00593BCE">
        <w:rPr>
          <w:rFonts w:ascii="Arial" w:hAnsi="Arial" w:cs="Arial"/>
          <w:sz w:val="24"/>
          <w:szCs w:val="24"/>
        </w:rPr>
        <w:t>]</w:t>
      </w:r>
      <w:r w:rsidR="003535E3" w:rsidRPr="00593BCE">
        <w:rPr>
          <w:rFonts w:ascii="Arial" w:hAnsi="Arial" w:cs="Arial"/>
          <w:sz w:val="24"/>
          <w:szCs w:val="24"/>
        </w:rPr>
        <w:t>.</w:t>
      </w:r>
      <w:r w:rsidR="00432F35" w:rsidRPr="00593BCE">
        <w:rPr>
          <w:rFonts w:ascii="Arial" w:hAnsi="Arial" w:cs="Arial"/>
          <w:sz w:val="24"/>
          <w:szCs w:val="24"/>
        </w:rPr>
        <w:t xml:space="preserve"> </w:t>
      </w:r>
      <w:r w:rsidR="001C431F" w:rsidRPr="00593BCE">
        <w:rPr>
          <w:rFonts w:ascii="Arial" w:hAnsi="Arial" w:cs="Arial"/>
          <w:sz w:val="24"/>
          <w:szCs w:val="24"/>
        </w:rPr>
        <w:t xml:space="preserve"> </w:t>
      </w:r>
      <w:r w:rsidR="00527AF5" w:rsidRPr="00593BCE">
        <w:rPr>
          <w:rFonts w:ascii="Arial" w:hAnsi="Arial" w:cs="Arial"/>
          <w:sz w:val="24"/>
          <w:szCs w:val="24"/>
        </w:rPr>
        <w:t xml:space="preserve">All data were </w:t>
      </w:r>
      <w:r w:rsidR="002F3161" w:rsidRPr="00593BCE">
        <w:rPr>
          <w:rFonts w:ascii="Arial" w:hAnsi="Arial" w:cs="Arial"/>
          <w:sz w:val="24"/>
          <w:szCs w:val="24"/>
        </w:rPr>
        <w:t>updated regularly into a database managed by the lead orthogeriatrician. D</w:t>
      </w:r>
      <w:r w:rsidR="009C0A6C" w:rsidRPr="00593BCE">
        <w:rPr>
          <w:rFonts w:ascii="Arial" w:hAnsi="Arial" w:cs="Arial"/>
          <w:sz w:val="24"/>
          <w:szCs w:val="24"/>
        </w:rPr>
        <w:t xml:space="preserve">emographic </w:t>
      </w:r>
      <w:r w:rsidR="002F3161" w:rsidRPr="00593BCE">
        <w:rPr>
          <w:rFonts w:ascii="Arial" w:hAnsi="Arial" w:cs="Arial"/>
          <w:sz w:val="24"/>
          <w:szCs w:val="24"/>
        </w:rPr>
        <w:t xml:space="preserve">factors </w:t>
      </w:r>
      <w:r w:rsidR="00751143" w:rsidRPr="00593BCE">
        <w:rPr>
          <w:rFonts w:ascii="Arial" w:hAnsi="Arial" w:cs="Arial"/>
          <w:sz w:val="24"/>
          <w:szCs w:val="24"/>
        </w:rPr>
        <w:t xml:space="preserve">were </w:t>
      </w:r>
      <w:r w:rsidR="00685C9C" w:rsidRPr="00593BCE">
        <w:rPr>
          <w:rFonts w:ascii="Arial" w:hAnsi="Arial" w:cs="Arial"/>
          <w:sz w:val="24"/>
          <w:szCs w:val="24"/>
        </w:rPr>
        <w:t>documented</w:t>
      </w:r>
      <w:r w:rsidR="00751143" w:rsidRPr="00593BCE">
        <w:rPr>
          <w:rFonts w:ascii="Arial" w:hAnsi="Arial" w:cs="Arial"/>
          <w:sz w:val="24"/>
          <w:szCs w:val="24"/>
        </w:rPr>
        <w:t xml:space="preserve"> </w:t>
      </w:r>
      <w:r w:rsidR="002F3161" w:rsidRPr="00593BCE">
        <w:rPr>
          <w:rFonts w:ascii="Arial" w:hAnsi="Arial" w:cs="Arial"/>
          <w:sz w:val="24"/>
          <w:szCs w:val="24"/>
        </w:rPr>
        <w:t>includ</w:t>
      </w:r>
      <w:r w:rsidR="00751143" w:rsidRPr="00593BCE">
        <w:rPr>
          <w:rFonts w:ascii="Arial" w:hAnsi="Arial" w:cs="Arial"/>
          <w:sz w:val="24"/>
          <w:szCs w:val="24"/>
        </w:rPr>
        <w:t>ing</w:t>
      </w:r>
      <w:r w:rsidR="001C431F" w:rsidRPr="00593BCE">
        <w:rPr>
          <w:rFonts w:ascii="Arial" w:hAnsi="Arial" w:cs="Arial"/>
          <w:sz w:val="24"/>
          <w:szCs w:val="24"/>
        </w:rPr>
        <w:t>:</w:t>
      </w:r>
      <w:r w:rsidR="00527AF5" w:rsidRPr="00593BCE">
        <w:rPr>
          <w:rFonts w:ascii="Arial" w:hAnsi="Arial" w:cs="Arial"/>
          <w:sz w:val="24"/>
          <w:szCs w:val="24"/>
        </w:rPr>
        <w:t xml:space="preserve"> </w:t>
      </w:r>
      <w:r w:rsidR="00215417" w:rsidRPr="00593BCE">
        <w:rPr>
          <w:rFonts w:ascii="Arial" w:hAnsi="Arial" w:cs="Arial"/>
          <w:sz w:val="24"/>
          <w:szCs w:val="24"/>
        </w:rPr>
        <w:t>residency prior to admission</w:t>
      </w:r>
      <w:r w:rsidR="001C431F" w:rsidRPr="00593BCE">
        <w:rPr>
          <w:rFonts w:ascii="Arial" w:hAnsi="Arial" w:cs="Arial"/>
          <w:sz w:val="24"/>
          <w:szCs w:val="24"/>
        </w:rPr>
        <w:t>;</w:t>
      </w:r>
      <w:r w:rsidR="00215417" w:rsidRPr="00593BCE">
        <w:rPr>
          <w:rFonts w:ascii="Arial" w:hAnsi="Arial" w:cs="Arial"/>
          <w:sz w:val="24"/>
          <w:szCs w:val="24"/>
        </w:rPr>
        <w:t xml:space="preserve"> medications</w:t>
      </w:r>
      <w:r w:rsidR="001C431F" w:rsidRPr="00593BCE">
        <w:rPr>
          <w:rFonts w:ascii="Arial" w:hAnsi="Arial" w:cs="Arial"/>
          <w:sz w:val="24"/>
          <w:szCs w:val="24"/>
        </w:rPr>
        <w:t>;</w:t>
      </w:r>
      <w:r w:rsidR="00527AF5" w:rsidRPr="00593BCE">
        <w:rPr>
          <w:rFonts w:ascii="Arial" w:hAnsi="Arial" w:cs="Arial"/>
          <w:sz w:val="24"/>
          <w:szCs w:val="24"/>
        </w:rPr>
        <w:t xml:space="preserve"> </w:t>
      </w:r>
      <w:r w:rsidR="001C431F" w:rsidRPr="00593BCE">
        <w:rPr>
          <w:rFonts w:ascii="Arial" w:hAnsi="Arial" w:cs="Arial"/>
          <w:sz w:val="24"/>
          <w:szCs w:val="24"/>
        </w:rPr>
        <w:t xml:space="preserve">as well as </w:t>
      </w:r>
      <w:r w:rsidR="000F53A1" w:rsidRPr="00593BCE">
        <w:rPr>
          <w:rFonts w:ascii="Arial" w:hAnsi="Arial" w:cs="Arial"/>
          <w:sz w:val="24"/>
          <w:szCs w:val="24"/>
        </w:rPr>
        <w:t xml:space="preserve">dates of </w:t>
      </w:r>
      <w:r w:rsidR="009C0A6C" w:rsidRPr="00593BCE">
        <w:rPr>
          <w:rFonts w:ascii="Arial" w:hAnsi="Arial" w:cs="Arial"/>
          <w:sz w:val="24"/>
          <w:szCs w:val="24"/>
        </w:rPr>
        <w:t xml:space="preserve">admission, </w:t>
      </w:r>
      <w:r w:rsidR="00536199" w:rsidRPr="00593BCE">
        <w:rPr>
          <w:rFonts w:ascii="Arial" w:hAnsi="Arial" w:cs="Arial"/>
          <w:sz w:val="24"/>
          <w:szCs w:val="24"/>
        </w:rPr>
        <w:t>operation,</w:t>
      </w:r>
      <w:r w:rsidR="001C431F" w:rsidRPr="00593BCE">
        <w:rPr>
          <w:rFonts w:ascii="Arial" w:hAnsi="Arial" w:cs="Arial"/>
          <w:sz w:val="24"/>
          <w:szCs w:val="24"/>
        </w:rPr>
        <w:t xml:space="preserve"> and</w:t>
      </w:r>
      <w:r w:rsidR="00536199" w:rsidRPr="00593BCE">
        <w:rPr>
          <w:rFonts w:ascii="Arial" w:hAnsi="Arial" w:cs="Arial"/>
          <w:sz w:val="24"/>
          <w:szCs w:val="24"/>
        </w:rPr>
        <w:t xml:space="preserve"> death</w:t>
      </w:r>
      <w:r w:rsidR="00CA153A" w:rsidRPr="00593BCE">
        <w:rPr>
          <w:rFonts w:ascii="Arial" w:hAnsi="Arial" w:cs="Arial"/>
          <w:sz w:val="24"/>
          <w:szCs w:val="24"/>
        </w:rPr>
        <w:t xml:space="preserve"> </w:t>
      </w:r>
      <w:r w:rsidR="001C431F" w:rsidRPr="00593BCE">
        <w:rPr>
          <w:rFonts w:ascii="Arial" w:hAnsi="Arial" w:cs="Arial"/>
          <w:sz w:val="24"/>
          <w:szCs w:val="24"/>
        </w:rPr>
        <w:t xml:space="preserve">or </w:t>
      </w:r>
      <w:r w:rsidR="00536199" w:rsidRPr="00593BCE">
        <w:rPr>
          <w:rFonts w:ascii="Arial" w:hAnsi="Arial" w:cs="Arial"/>
          <w:sz w:val="24"/>
          <w:szCs w:val="24"/>
        </w:rPr>
        <w:t>discharge. N</w:t>
      </w:r>
      <w:r w:rsidR="005C6DC2" w:rsidRPr="00593BCE">
        <w:rPr>
          <w:rFonts w:ascii="Arial" w:hAnsi="Arial" w:cs="Arial"/>
          <w:sz w:val="24"/>
          <w:szCs w:val="24"/>
        </w:rPr>
        <w:t xml:space="preserve">utritional status (risk of malnutrition, malnourished or </w:t>
      </w:r>
      <w:r w:rsidR="00CA1A59" w:rsidRPr="00593BCE">
        <w:rPr>
          <w:rFonts w:ascii="Arial" w:hAnsi="Arial" w:cs="Arial"/>
          <w:sz w:val="24"/>
          <w:szCs w:val="24"/>
        </w:rPr>
        <w:t>well-</w:t>
      </w:r>
      <w:r w:rsidR="00DC08AA" w:rsidRPr="00593BCE">
        <w:rPr>
          <w:rFonts w:ascii="Arial" w:hAnsi="Arial" w:cs="Arial"/>
          <w:sz w:val="24"/>
          <w:szCs w:val="24"/>
        </w:rPr>
        <w:t>nourished</w:t>
      </w:r>
      <w:r w:rsidR="005C6DC2" w:rsidRPr="00593BCE">
        <w:rPr>
          <w:rFonts w:ascii="Arial" w:hAnsi="Arial" w:cs="Arial"/>
          <w:sz w:val="24"/>
          <w:szCs w:val="24"/>
        </w:rPr>
        <w:t>)</w:t>
      </w:r>
      <w:r w:rsidR="00536199" w:rsidRPr="00593BCE">
        <w:rPr>
          <w:rFonts w:ascii="Arial" w:hAnsi="Arial" w:cs="Arial"/>
          <w:sz w:val="24"/>
          <w:szCs w:val="24"/>
        </w:rPr>
        <w:t xml:space="preserve"> was assessed </w:t>
      </w:r>
      <w:r w:rsidR="007C1BAC" w:rsidRPr="00593BCE">
        <w:rPr>
          <w:rFonts w:ascii="Arial" w:hAnsi="Arial" w:cs="Arial"/>
          <w:sz w:val="24"/>
          <w:szCs w:val="24"/>
        </w:rPr>
        <w:t xml:space="preserve">using </w:t>
      </w:r>
      <w:r w:rsidR="00F21485" w:rsidRPr="00593BCE">
        <w:rPr>
          <w:rFonts w:ascii="Arial" w:hAnsi="Arial" w:cs="Arial"/>
          <w:sz w:val="24"/>
          <w:szCs w:val="24"/>
        </w:rPr>
        <w:t xml:space="preserve">the </w:t>
      </w:r>
      <w:r w:rsidR="007C1BAC" w:rsidRPr="00593BCE">
        <w:rPr>
          <w:rFonts w:ascii="Arial" w:hAnsi="Arial" w:cs="Arial"/>
          <w:sz w:val="24"/>
          <w:szCs w:val="24"/>
        </w:rPr>
        <w:t>Malnutrition Universal Screening Tool (MUST) protocol</w:t>
      </w:r>
      <w:r w:rsidR="005D0962" w:rsidRPr="00593BCE">
        <w:rPr>
          <w:rFonts w:ascii="Arial" w:hAnsi="Arial" w:cs="Arial"/>
          <w:sz w:val="24"/>
          <w:szCs w:val="24"/>
        </w:rPr>
        <w:t xml:space="preserve"> [</w:t>
      </w:r>
      <w:r w:rsidR="003343A8" w:rsidRPr="00593BCE">
        <w:rPr>
          <w:rFonts w:ascii="Arial" w:hAnsi="Arial" w:cs="Arial"/>
          <w:sz w:val="24"/>
          <w:szCs w:val="24"/>
        </w:rPr>
        <w:t>13</w:t>
      </w:r>
      <w:r w:rsidR="005D0962" w:rsidRPr="00593BCE">
        <w:rPr>
          <w:rFonts w:ascii="Arial" w:hAnsi="Arial" w:cs="Arial"/>
          <w:sz w:val="24"/>
          <w:szCs w:val="24"/>
        </w:rPr>
        <w:t>]</w:t>
      </w:r>
      <w:r w:rsidR="002F3161" w:rsidRPr="00593BCE">
        <w:rPr>
          <w:rFonts w:ascii="Arial" w:hAnsi="Arial" w:cs="Arial"/>
          <w:sz w:val="24"/>
          <w:szCs w:val="24"/>
        </w:rPr>
        <w:t>.</w:t>
      </w:r>
      <w:r w:rsidR="00536199" w:rsidRPr="00593BCE">
        <w:rPr>
          <w:rFonts w:ascii="Arial" w:hAnsi="Arial" w:cs="Arial"/>
          <w:sz w:val="24"/>
          <w:szCs w:val="24"/>
        </w:rPr>
        <w:t xml:space="preserve"> I</w:t>
      </w:r>
      <w:r w:rsidR="00DD1A99" w:rsidRPr="00593BCE">
        <w:rPr>
          <w:rFonts w:ascii="Arial" w:hAnsi="Arial" w:cs="Arial"/>
          <w:sz w:val="24"/>
          <w:szCs w:val="24"/>
        </w:rPr>
        <w:t xml:space="preserve">nformation on </w:t>
      </w:r>
      <w:r w:rsidR="00CF6B18" w:rsidRPr="00593BCE">
        <w:rPr>
          <w:rFonts w:ascii="Arial" w:hAnsi="Arial" w:cs="Arial"/>
          <w:sz w:val="24"/>
          <w:szCs w:val="24"/>
        </w:rPr>
        <w:t>t</w:t>
      </w:r>
      <w:r w:rsidR="00DD1A99" w:rsidRPr="00593BCE">
        <w:rPr>
          <w:rFonts w:ascii="Arial" w:hAnsi="Arial" w:cs="Arial"/>
          <w:sz w:val="24"/>
          <w:szCs w:val="24"/>
        </w:rPr>
        <w:t xml:space="preserve">ype of </w:t>
      </w:r>
      <w:r w:rsidR="0002235C" w:rsidRPr="00593BCE">
        <w:rPr>
          <w:rFonts w:ascii="Arial" w:hAnsi="Arial" w:cs="Arial"/>
          <w:sz w:val="24"/>
          <w:szCs w:val="24"/>
        </w:rPr>
        <w:t xml:space="preserve">fracture and on </w:t>
      </w:r>
      <w:r w:rsidR="00DD1A99" w:rsidRPr="00593BCE">
        <w:rPr>
          <w:rFonts w:ascii="Arial" w:hAnsi="Arial" w:cs="Arial"/>
          <w:sz w:val="24"/>
          <w:szCs w:val="24"/>
        </w:rPr>
        <w:t xml:space="preserve">sedation </w:t>
      </w:r>
      <w:r w:rsidR="00CF6B18" w:rsidRPr="00593BCE">
        <w:rPr>
          <w:rFonts w:ascii="Arial" w:hAnsi="Arial" w:cs="Arial"/>
          <w:sz w:val="24"/>
          <w:szCs w:val="24"/>
        </w:rPr>
        <w:t>was recorded including</w:t>
      </w:r>
      <w:r w:rsidR="00E15B35" w:rsidRPr="00593BCE">
        <w:rPr>
          <w:rFonts w:ascii="Arial" w:hAnsi="Arial" w:cs="Arial"/>
          <w:sz w:val="24"/>
          <w:szCs w:val="24"/>
        </w:rPr>
        <w:t xml:space="preserve"> general </w:t>
      </w:r>
      <w:r w:rsidR="00E15B35" w:rsidRPr="00593BCE">
        <w:rPr>
          <w:rFonts w:ascii="Arial" w:hAnsi="Arial" w:cs="Arial"/>
          <w:sz w:val="24"/>
          <w:szCs w:val="24"/>
        </w:rPr>
        <w:lastRenderedPageBreak/>
        <w:t>anaesthesia</w:t>
      </w:r>
      <w:r w:rsidR="00DD1A99" w:rsidRPr="00593BCE">
        <w:rPr>
          <w:rFonts w:ascii="Arial" w:hAnsi="Arial" w:cs="Arial"/>
          <w:sz w:val="24"/>
          <w:szCs w:val="24"/>
        </w:rPr>
        <w:t xml:space="preserve"> </w:t>
      </w:r>
      <w:r w:rsidR="00E951CD" w:rsidRPr="00593BCE">
        <w:rPr>
          <w:rFonts w:ascii="Arial" w:hAnsi="Arial" w:cs="Arial"/>
          <w:sz w:val="24"/>
          <w:szCs w:val="24"/>
        </w:rPr>
        <w:t>(</w:t>
      </w:r>
      <w:r w:rsidR="00DD1A99" w:rsidRPr="00593BCE">
        <w:rPr>
          <w:rFonts w:ascii="Arial" w:hAnsi="Arial" w:cs="Arial"/>
          <w:sz w:val="24"/>
          <w:szCs w:val="24"/>
        </w:rPr>
        <w:t>GA)</w:t>
      </w:r>
      <w:r w:rsidR="00E45866" w:rsidRPr="00593BCE">
        <w:rPr>
          <w:rFonts w:ascii="Arial" w:hAnsi="Arial" w:cs="Arial"/>
          <w:sz w:val="24"/>
          <w:szCs w:val="24"/>
        </w:rPr>
        <w:t xml:space="preserve"> only</w:t>
      </w:r>
      <w:r w:rsidR="0080317F" w:rsidRPr="00593BCE">
        <w:rPr>
          <w:rFonts w:ascii="Arial" w:hAnsi="Arial" w:cs="Arial"/>
          <w:sz w:val="24"/>
          <w:szCs w:val="24"/>
        </w:rPr>
        <w:t>,</w:t>
      </w:r>
      <w:r w:rsidR="00DD1A99" w:rsidRPr="00593BCE">
        <w:rPr>
          <w:rFonts w:ascii="Arial" w:hAnsi="Arial" w:cs="Arial"/>
          <w:sz w:val="24"/>
          <w:szCs w:val="24"/>
        </w:rPr>
        <w:t xml:space="preserve"> </w:t>
      </w:r>
      <w:r w:rsidR="00FA16F9" w:rsidRPr="00593BCE">
        <w:rPr>
          <w:rFonts w:ascii="Arial" w:hAnsi="Arial" w:cs="Arial"/>
          <w:sz w:val="24"/>
          <w:szCs w:val="24"/>
        </w:rPr>
        <w:t xml:space="preserve">GA with fascia-iliaca block, spinal block, spinal block with fascia-iliaca block and GA </w:t>
      </w:r>
      <w:r w:rsidR="00CA1A59" w:rsidRPr="00593BCE">
        <w:rPr>
          <w:rFonts w:ascii="Arial" w:hAnsi="Arial" w:cs="Arial"/>
          <w:sz w:val="24"/>
          <w:szCs w:val="24"/>
        </w:rPr>
        <w:t xml:space="preserve">with </w:t>
      </w:r>
      <w:r w:rsidR="00FA16F9" w:rsidRPr="00593BCE">
        <w:rPr>
          <w:rFonts w:ascii="Arial" w:hAnsi="Arial" w:cs="Arial"/>
          <w:sz w:val="24"/>
          <w:szCs w:val="24"/>
        </w:rPr>
        <w:t>spinal block.</w:t>
      </w:r>
    </w:p>
    <w:p w14:paraId="334E34F5" w14:textId="77777777" w:rsidR="0080317F" w:rsidRPr="00593BCE" w:rsidRDefault="0080317F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7122A2B" w14:textId="77777777" w:rsidR="00B079E2" w:rsidRPr="00593BCE" w:rsidRDefault="004A3D23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>T</w:t>
      </w:r>
      <w:r w:rsidR="00820CBC" w:rsidRPr="00593BCE">
        <w:rPr>
          <w:rFonts w:ascii="Arial" w:hAnsi="Arial" w:cs="Arial"/>
          <w:sz w:val="24"/>
          <w:szCs w:val="24"/>
        </w:rPr>
        <w:t>he median time from hospital arrival to hip operation was 20.</w:t>
      </w:r>
      <w:r w:rsidR="00C53F50" w:rsidRPr="00593BCE">
        <w:rPr>
          <w:rFonts w:ascii="Arial" w:hAnsi="Arial" w:cs="Arial"/>
          <w:sz w:val="24"/>
          <w:szCs w:val="24"/>
        </w:rPr>
        <w:t>1</w:t>
      </w:r>
      <w:r w:rsidR="00FD3861" w:rsidRPr="00593BCE">
        <w:rPr>
          <w:rFonts w:ascii="Arial" w:hAnsi="Arial" w:cs="Arial"/>
          <w:sz w:val="24"/>
          <w:szCs w:val="24"/>
        </w:rPr>
        <w:t xml:space="preserve"> </w:t>
      </w:r>
      <w:r w:rsidR="00C53F50" w:rsidRPr="00593BCE">
        <w:rPr>
          <w:rFonts w:ascii="Arial" w:hAnsi="Arial" w:cs="Arial"/>
          <w:sz w:val="24"/>
          <w:szCs w:val="24"/>
        </w:rPr>
        <w:t xml:space="preserve">hours </w:t>
      </w:r>
      <w:r w:rsidR="00820CBC" w:rsidRPr="00593BCE">
        <w:rPr>
          <w:rFonts w:ascii="Arial" w:hAnsi="Arial" w:cs="Arial"/>
          <w:sz w:val="24"/>
          <w:szCs w:val="24"/>
        </w:rPr>
        <w:t>(IQR</w:t>
      </w:r>
      <w:r w:rsidR="00B079E2" w:rsidRPr="00593BCE">
        <w:rPr>
          <w:rFonts w:ascii="Arial" w:hAnsi="Arial" w:cs="Arial"/>
          <w:sz w:val="24"/>
          <w:szCs w:val="24"/>
        </w:rPr>
        <w:t xml:space="preserve">, </w:t>
      </w:r>
      <w:r w:rsidR="00820CBC" w:rsidRPr="00593BCE">
        <w:rPr>
          <w:rFonts w:ascii="Arial" w:hAnsi="Arial" w:cs="Arial"/>
          <w:sz w:val="24"/>
          <w:szCs w:val="24"/>
        </w:rPr>
        <w:t>16.</w:t>
      </w:r>
      <w:r w:rsidR="00C53F50" w:rsidRPr="00593BCE">
        <w:rPr>
          <w:rFonts w:ascii="Arial" w:hAnsi="Arial" w:cs="Arial"/>
          <w:sz w:val="24"/>
          <w:szCs w:val="24"/>
        </w:rPr>
        <w:t>8</w:t>
      </w:r>
      <w:r w:rsidR="00820CBC" w:rsidRPr="00593BCE">
        <w:rPr>
          <w:rFonts w:ascii="Arial" w:hAnsi="Arial" w:cs="Arial"/>
          <w:sz w:val="24"/>
          <w:szCs w:val="24"/>
        </w:rPr>
        <w:t>-2</w:t>
      </w:r>
      <w:r w:rsidR="00C53F50" w:rsidRPr="00593BCE">
        <w:rPr>
          <w:rFonts w:ascii="Arial" w:hAnsi="Arial" w:cs="Arial"/>
          <w:sz w:val="24"/>
          <w:szCs w:val="24"/>
        </w:rPr>
        <w:t>8.6</w:t>
      </w:r>
      <w:r w:rsidR="00B079E2" w:rsidRPr="00593BCE">
        <w:rPr>
          <w:rFonts w:ascii="Arial" w:hAnsi="Arial" w:cs="Arial"/>
          <w:sz w:val="24"/>
          <w:szCs w:val="24"/>
        </w:rPr>
        <w:t xml:space="preserve">; </w:t>
      </w:r>
      <w:r w:rsidR="00CD6C97" w:rsidRPr="00593BCE">
        <w:rPr>
          <w:rFonts w:ascii="Arial" w:hAnsi="Arial" w:cs="Arial"/>
          <w:sz w:val="24"/>
          <w:szCs w:val="24"/>
        </w:rPr>
        <w:t>range</w:t>
      </w:r>
      <w:r w:rsidR="00B079E2" w:rsidRPr="00593BCE">
        <w:rPr>
          <w:rFonts w:ascii="Arial" w:hAnsi="Arial" w:cs="Arial"/>
          <w:sz w:val="24"/>
          <w:szCs w:val="24"/>
        </w:rPr>
        <w:t xml:space="preserve">, </w:t>
      </w:r>
      <w:r w:rsidR="00C53F50" w:rsidRPr="00593BCE">
        <w:rPr>
          <w:rFonts w:ascii="Arial" w:hAnsi="Arial" w:cs="Arial"/>
          <w:sz w:val="24"/>
          <w:szCs w:val="24"/>
        </w:rPr>
        <w:t>3.1</w:t>
      </w:r>
      <w:r w:rsidR="001C431F" w:rsidRPr="00593BCE">
        <w:rPr>
          <w:rFonts w:ascii="Arial" w:hAnsi="Arial" w:cs="Arial"/>
          <w:sz w:val="24"/>
          <w:szCs w:val="24"/>
        </w:rPr>
        <w:t xml:space="preserve"> </w:t>
      </w:r>
      <w:r w:rsidR="00C53F50" w:rsidRPr="00593BCE">
        <w:rPr>
          <w:rFonts w:ascii="Arial" w:hAnsi="Arial" w:cs="Arial"/>
          <w:sz w:val="24"/>
          <w:szCs w:val="24"/>
        </w:rPr>
        <w:t>hours-4.6</w:t>
      </w:r>
      <w:r w:rsidR="001C431F" w:rsidRPr="00593BCE">
        <w:rPr>
          <w:rFonts w:ascii="Arial" w:hAnsi="Arial" w:cs="Arial"/>
          <w:sz w:val="24"/>
          <w:szCs w:val="24"/>
        </w:rPr>
        <w:t xml:space="preserve"> </w:t>
      </w:r>
      <w:r w:rsidR="00C53F50" w:rsidRPr="00593BCE">
        <w:rPr>
          <w:rFonts w:ascii="Arial" w:hAnsi="Arial" w:cs="Arial"/>
          <w:sz w:val="24"/>
          <w:szCs w:val="24"/>
        </w:rPr>
        <w:t>days</w:t>
      </w:r>
      <w:r w:rsidR="00820CBC" w:rsidRPr="00593BCE">
        <w:rPr>
          <w:rFonts w:ascii="Arial" w:hAnsi="Arial" w:cs="Arial"/>
          <w:sz w:val="24"/>
          <w:szCs w:val="24"/>
        </w:rPr>
        <w:t xml:space="preserve">). </w:t>
      </w:r>
      <w:r w:rsidR="00820CBC" w:rsidRPr="00593BCE">
        <w:rPr>
          <w:rFonts w:ascii="Arial" w:hAnsi="Arial" w:cs="Arial"/>
          <w:i/>
          <w:sz w:val="24"/>
          <w:szCs w:val="24"/>
        </w:rPr>
        <w:t>T</w:t>
      </w:r>
      <w:r w:rsidRPr="00593BCE">
        <w:rPr>
          <w:rFonts w:ascii="Arial" w:hAnsi="Arial" w:cs="Arial"/>
          <w:i/>
          <w:sz w:val="24"/>
          <w:szCs w:val="24"/>
        </w:rPr>
        <w:t xml:space="preserve">he 4AT </w:t>
      </w:r>
      <w:r w:rsidR="0018128B" w:rsidRPr="00593BCE">
        <w:rPr>
          <w:rFonts w:ascii="Arial" w:hAnsi="Arial" w:cs="Arial"/>
          <w:i/>
          <w:sz w:val="24"/>
          <w:szCs w:val="24"/>
        </w:rPr>
        <w:t>components</w:t>
      </w:r>
      <w:r w:rsidR="0018128B" w:rsidRPr="00593BCE">
        <w:rPr>
          <w:rFonts w:ascii="Arial" w:hAnsi="Arial" w:cs="Arial"/>
          <w:sz w:val="24"/>
          <w:szCs w:val="24"/>
        </w:rPr>
        <w:t xml:space="preserve"> </w:t>
      </w:r>
      <w:r w:rsidRPr="00593BCE">
        <w:rPr>
          <w:rFonts w:ascii="Arial" w:hAnsi="Arial" w:cs="Arial"/>
          <w:sz w:val="24"/>
          <w:szCs w:val="24"/>
        </w:rPr>
        <w:t xml:space="preserve">were measured </w:t>
      </w:r>
      <w:r w:rsidR="00213B6C" w:rsidRPr="00593BCE">
        <w:rPr>
          <w:rFonts w:ascii="Arial" w:hAnsi="Arial" w:cs="Arial"/>
          <w:sz w:val="24"/>
          <w:szCs w:val="24"/>
        </w:rPr>
        <w:t xml:space="preserve">within </w:t>
      </w:r>
      <w:r w:rsidRPr="00593BCE">
        <w:rPr>
          <w:rFonts w:ascii="Arial" w:hAnsi="Arial" w:cs="Arial"/>
          <w:sz w:val="24"/>
          <w:szCs w:val="24"/>
        </w:rPr>
        <w:t>1</w:t>
      </w:r>
      <w:r w:rsidR="00F21485" w:rsidRPr="00593BCE">
        <w:rPr>
          <w:rFonts w:ascii="Arial" w:hAnsi="Arial" w:cs="Arial"/>
          <w:sz w:val="24"/>
          <w:szCs w:val="24"/>
        </w:rPr>
        <w:t>-</w:t>
      </w:r>
      <w:r w:rsidR="00B06260" w:rsidRPr="00593BCE">
        <w:rPr>
          <w:rFonts w:ascii="Arial" w:hAnsi="Arial" w:cs="Arial"/>
          <w:sz w:val="24"/>
          <w:szCs w:val="24"/>
        </w:rPr>
        <w:t>day after hip operation</w:t>
      </w:r>
      <w:r w:rsidR="006E13E4" w:rsidRPr="00593BCE">
        <w:rPr>
          <w:rFonts w:ascii="Arial" w:hAnsi="Arial" w:cs="Arial"/>
          <w:sz w:val="24"/>
          <w:szCs w:val="24"/>
        </w:rPr>
        <w:t xml:space="preserve"> </w:t>
      </w:r>
      <w:r w:rsidR="002021F5" w:rsidRPr="00593BCE">
        <w:rPr>
          <w:rFonts w:ascii="Arial" w:hAnsi="Arial" w:cs="Arial"/>
          <w:sz w:val="24"/>
          <w:szCs w:val="24"/>
        </w:rPr>
        <w:t xml:space="preserve">by </w:t>
      </w:r>
      <w:r w:rsidR="00C6550D" w:rsidRPr="00593BCE">
        <w:rPr>
          <w:rFonts w:ascii="Arial" w:hAnsi="Arial" w:cs="Arial"/>
          <w:sz w:val="24"/>
          <w:szCs w:val="24"/>
          <w:shd w:val="clear" w:color="auto" w:fill="FFFFFF"/>
        </w:rPr>
        <w:t>junior doctors</w:t>
      </w:r>
      <w:r w:rsidR="002021F5" w:rsidRPr="00593B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93BCE">
        <w:rPr>
          <w:rFonts w:ascii="Arial" w:hAnsi="Arial" w:cs="Arial"/>
          <w:sz w:val="24"/>
          <w:szCs w:val="24"/>
        </w:rPr>
        <w:t>and rated</w:t>
      </w:r>
      <w:r w:rsidR="008C7485" w:rsidRPr="00593BCE">
        <w:rPr>
          <w:rFonts w:ascii="Arial" w:hAnsi="Arial" w:cs="Arial"/>
          <w:sz w:val="24"/>
          <w:szCs w:val="24"/>
        </w:rPr>
        <w:t xml:space="preserve"> </w:t>
      </w:r>
      <w:commentRangeStart w:id="0"/>
      <w:r w:rsidR="008C7485" w:rsidRPr="00593BCE">
        <w:rPr>
          <w:rFonts w:ascii="Arial" w:hAnsi="Arial" w:cs="Arial"/>
          <w:sz w:val="24"/>
          <w:szCs w:val="24"/>
        </w:rPr>
        <w:t>as</w:t>
      </w:r>
      <w:commentRangeEnd w:id="0"/>
      <w:r w:rsidR="00F2344F" w:rsidRPr="00593BCE">
        <w:rPr>
          <w:rStyle w:val="CommentReference"/>
        </w:rPr>
        <w:commentReference w:id="0"/>
      </w:r>
      <w:r w:rsidR="008C7485" w:rsidRPr="00593BCE">
        <w:rPr>
          <w:rFonts w:ascii="Arial" w:hAnsi="Arial" w:cs="Arial"/>
          <w:sz w:val="24"/>
          <w:szCs w:val="24"/>
        </w:rPr>
        <w:t>:</w:t>
      </w:r>
      <w:r w:rsidR="00154A1D" w:rsidRPr="00593BCE">
        <w:rPr>
          <w:rFonts w:ascii="Arial" w:hAnsi="Arial" w:cs="Arial"/>
          <w:sz w:val="24"/>
          <w:szCs w:val="24"/>
        </w:rPr>
        <w:t xml:space="preserve"> </w:t>
      </w:r>
    </w:p>
    <w:p w14:paraId="374D5689" w14:textId="30366497" w:rsidR="00B079E2" w:rsidRPr="00593BCE" w:rsidRDefault="00154A1D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>“Alertness” (0</w:t>
      </w:r>
      <w:r w:rsidR="00B079E2" w:rsidRPr="00593BCE">
        <w:rPr>
          <w:rFonts w:ascii="Arial" w:hAnsi="Arial" w:cs="Arial"/>
          <w:sz w:val="24"/>
          <w:szCs w:val="24"/>
        </w:rPr>
        <w:t xml:space="preserve">: </w:t>
      </w:r>
      <w:r w:rsidR="00420655" w:rsidRPr="00593BCE">
        <w:rPr>
          <w:rFonts w:ascii="Arial" w:hAnsi="Arial" w:cs="Arial"/>
          <w:sz w:val="24"/>
          <w:szCs w:val="24"/>
        </w:rPr>
        <w:t>normal</w:t>
      </w:r>
      <w:r w:rsidR="00B079E2" w:rsidRPr="00593BCE">
        <w:rPr>
          <w:rFonts w:ascii="Arial" w:hAnsi="Arial" w:cs="Arial"/>
          <w:sz w:val="24"/>
          <w:szCs w:val="24"/>
        </w:rPr>
        <w:t xml:space="preserve">; </w:t>
      </w:r>
      <w:commentRangeStart w:id="1"/>
      <w:r w:rsidR="00B079E2" w:rsidRPr="00593BCE">
        <w:rPr>
          <w:rFonts w:ascii="Arial" w:hAnsi="Arial" w:cs="Arial"/>
          <w:sz w:val="24"/>
          <w:szCs w:val="24"/>
        </w:rPr>
        <w:t>X</w:t>
      </w:r>
      <w:commentRangeEnd w:id="1"/>
      <w:r w:rsidR="00B079E2" w:rsidRPr="00593BCE">
        <w:rPr>
          <w:rStyle w:val="CommentReference"/>
        </w:rPr>
        <w:commentReference w:id="1"/>
      </w:r>
      <w:r w:rsidR="00B079E2" w:rsidRPr="00593BCE">
        <w:rPr>
          <w:rFonts w:ascii="Arial" w:hAnsi="Arial" w:cs="Arial"/>
          <w:sz w:val="24"/>
          <w:szCs w:val="24"/>
        </w:rPr>
        <w:t xml:space="preserve">: </w:t>
      </w:r>
      <w:r w:rsidR="00810E31" w:rsidRPr="00593BCE">
        <w:rPr>
          <w:rFonts w:ascii="Arial" w:hAnsi="Arial" w:cs="Arial"/>
          <w:sz w:val="24"/>
          <w:szCs w:val="24"/>
        </w:rPr>
        <w:t>mild sleepiness for &lt;10</w:t>
      </w:r>
      <w:r w:rsidR="0056096D" w:rsidRPr="00593BCE">
        <w:rPr>
          <w:rFonts w:ascii="Arial" w:hAnsi="Arial" w:cs="Arial"/>
          <w:sz w:val="24"/>
          <w:szCs w:val="24"/>
        </w:rPr>
        <w:t xml:space="preserve"> </w:t>
      </w:r>
      <w:r w:rsidR="00A42212" w:rsidRPr="00593BCE">
        <w:rPr>
          <w:rFonts w:ascii="Arial" w:hAnsi="Arial" w:cs="Arial"/>
          <w:sz w:val="24"/>
          <w:szCs w:val="24"/>
        </w:rPr>
        <w:t>seconds after waking</w:t>
      </w:r>
      <w:r w:rsidR="00B079E2" w:rsidRPr="00593BCE">
        <w:rPr>
          <w:rFonts w:ascii="Arial" w:hAnsi="Arial" w:cs="Arial"/>
          <w:sz w:val="24"/>
          <w:szCs w:val="24"/>
        </w:rPr>
        <w:t>;</w:t>
      </w:r>
      <w:r w:rsidRPr="00593BCE">
        <w:rPr>
          <w:rFonts w:ascii="Arial" w:hAnsi="Arial" w:cs="Arial"/>
          <w:sz w:val="24"/>
          <w:szCs w:val="24"/>
        </w:rPr>
        <w:t xml:space="preserve"> 4</w:t>
      </w:r>
      <w:r w:rsidR="00B079E2" w:rsidRPr="00593BCE">
        <w:rPr>
          <w:rFonts w:ascii="Arial" w:hAnsi="Arial" w:cs="Arial"/>
          <w:sz w:val="24"/>
          <w:szCs w:val="24"/>
        </w:rPr>
        <w:t xml:space="preserve">: </w:t>
      </w:r>
      <w:r w:rsidR="00420655" w:rsidRPr="00593BCE">
        <w:rPr>
          <w:rFonts w:ascii="Arial" w:hAnsi="Arial" w:cs="Arial"/>
          <w:sz w:val="24"/>
          <w:szCs w:val="24"/>
        </w:rPr>
        <w:t>abnormal)</w:t>
      </w:r>
      <w:r w:rsidR="00F2344F" w:rsidRPr="00593BCE">
        <w:rPr>
          <w:rFonts w:ascii="Arial" w:hAnsi="Arial" w:cs="Arial"/>
          <w:sz w:val="24"/>
          <w:szCs w:val="24"/>
        </w:rPr>
        <w:t>.</w:t>
      </w:r>
      <w:r w:rsidR="00420655" w:rsidRPr="00593BCE">
        <w:rPr>
          <w:rFonts w:ascii="Arial" w:hAnsi="Arial" w:cs="Arial"/>
          <w:sz w:val="24"/>
          <w:szCs w:val="24"/>
        </w:rPr>
        <w:t xml:space="preserve"> </w:t>
      </w:r>
    </w:p>
    <w:p w14:paraId="205CA96E" w14:textId="753244D1" w:rsidR="00F2344F" w:rsidRPr="00593BCE" w:rsidRDefault="00420655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>“AMT4”</w:t>
      </w:r>
      <w:r w:rsidR="00A42212" w:rsidRPr="00593BCE">
        <w:rPr>
          <w:rFonts w:ascii="Arial" w:hAnsi="Arial" w:cs="Arial"/>
          <w:sz w:val="24"/>
          <w:szCs w:val="24"/>
        </w:rPr>
        <w:t xml:space="preserve"> </w:t>
      </w:r>
      <w:r w:rsidR="00B079E2" w:rsidRPr="00593BCE">
        <w:rPr>
          <w:rFonts w:ascii="Arial" w:hAnsi="Arial" w:cs="Arial"/>
          <w:sz w:val="24"/>
          <w:szCs w:val="24"/>
        </w:rPr>
        <w:t>test</w:t>
      </w:r>
      <w:r w:rsidR="00F2344F" w:rsidRPr="00593BCE">
        <w:rPr>
          <w:rFonts w:ascii="Arial" w:hAnsi="Arial" w:cs="Arial"/>
          <w:sz w:val="24"/>
          <w:szCs w:val="24"/>
        </w:rPr>
        <w:t>s</w:t>
      </w:r>
      <w:r w:rsidR="00A42212" w:rsidRPr="00593BCE">
        <w:rPr>
          <w:rFonts w:ascii="Arial" w:hAnsi="Arial" w:cs="Arial"/>
          <w:sz w:val="24"/>
          <w:szCs w:val="24"/>
        </w:rPr>
        <w:t xml:space="preserve"> for recall of age, date of birth, place (name of hospital </w:t>
      </w:r>
      <w:r w:rsidR="00663E5C" w:rsidRPr="00593BCE">
        <w:rPr>
          <w:rFonts w:ascii="Arial" w:hAnsi="Arial" w:cs="Arial"/>
          <w:sz w:val="24"/>
          <w:szCs w:val="24"/>
        </w:rPr>
        <w:t>or</w:t>
      </w:r>
      <w:r w:rsidR="00A42212" w:rsidRPr="00593BCE">
        <w:rPr>
          <w:rFonts w:ascii="Arial" w:hAnsi="Arial" w:cs="Arial"/>
          <w:sz w:val="24"/>
          <w:szCs w:val="24"/>
        </w:rPr>
        <w:t xml:space="preserve"> building), current year</w:t>
      </w:r>
      <w:r w:rsidR="00154A1D" w:rsidRPr="00593BCE">
        <w:rPr>
          <w:rFonts w:ascii="Arial" w:hAnsi="Arial" w:cs="Arial"/>
          <w:sz w:val="24"/>
          <w:szCs w:val="24"/>
        </w:rPr>
        <w:t xml:space="preserve"> (0</w:t>
      </w:r>
      <w:r w:rsidR="00B079E2" w:rsidRPr="00593BCE">
        <w:rPr>
          <w:rFonts w:ascii="Arial" w:hAnsi="Arial" w:cs="Arial"/>
          <w:sz w:val="24"/>
          <w:szCs w:val="24"/>
        </w:rPr>
        <w:t xml:space="preserve">: </w:t>
      </w:r>
      <w:r w:rsidR="00154A1D" w:rsidRPr="00593BCE">
        <w:rPr>
          <w:rFonts w:ascii="Arial" w:hAnsi="Arial" w:cs="Arial"/>
          <w:sz w:val="24"/>
          <w:szCs w:val="24"/>
        </w:rPr>
        <w:t>no mistakes</w:t>
      </w:r>
      <w:r w:rsidR="00B079E2" w:rsidRPr="00593BCE">
        <w:rPr>
          <w:rFonts w:ascii="Arial" w:hAnsi="Arial" w:cs="Arial"/>
          <w:sz w:val="24"/>
          <w:szCs w:val="24"/>
        </w:rPr>
        <w:t>;</w:t>
      </w:r>
      <w:r w:rsidR="00154A1D" w:rsidRPr="00593BCE">
        <w:rPr>
          <w:rFonts w:ascii="Arial" w:hAnsi="Arial" w:cs="Arial"/>
          <w:sz w:val="24"/>
          <w:szCs w:val="24"/>
        </w:rPr>
        <w:t xml:space="preserve"> 1</w:t>
      </w:r>
      <w:r w:rsidR="00B079E2" w:rsidRPr="00593BCE">
        <w:rPr>
          <w:rFonts w:ascii="Arial" w:hAnsi="Arial" w:cs="Arial"/>
          <w:sz w:val="24"/>
          <w:szCs w:val="24"/>
        </w:rPr>
        <w:t xml:space="preserve">: </w:t>
      </w:r>
      <w:r w:rsidR="00154A1D" w:rsidRPr="00593BCE">
        <w:rPr>
          <w:rFonts w:ascii="Arial" w:hAnsi="Arial" w:cs="Arial"/>
          <w:sz w:val="24"/>
          <w:szCs w:val="24"/>
        </w:rPr>
        <w:t>one mistake</w:t>
      </w:r>
      <w:r w:rsidR="00B079E2" w:rsidRPr="00593BCE">
        <w:rPr>
          <w:rFonts w:ascii="Arial" w:hAnsi="Arial" w:cs="Arial"/>
          <w:sz w:val="24"/>
          <w:szCs w:val="24"/>
        </w:rPr>
        <w:t xml:space="preserve">; </w:t>
      </w:r>
      <w:r w:rsidR="00154A1D" w:rsidRPr="00593BCE">
        <w:rPr>
          <w:rFonts w:ascii="Arial" w:hAnsi="Arial" w:cs="Arial"/>
          <w:sz w:val="24"/>
          <w:szCs w:val="24"/>
        </w:rPr>
        <w:t>2</w:t>
      </w:r>
      <w:r w:rsidR="00B079E2" w:rsidRPr="00593BCE">
        <w:rPr>
          <w:rFonts w:ascii="Arial" w:hAnsi="Arial" w:cs="Arial"/>
          <w:sz w:val="24"/>
          <w:szCs w:val="24"/>
        </w:rPr>
        <w:t xml:space="preserve">: </w:t>
      </w:r>
      <w:r w:rsidRPr="00593BCE">
        <w:rPr>
          <w:rFonts w:ascii="Arial" w:hAnsi="Arial" w:cs="Arial"/>
          <w:sz w:val="24"/>
          <w:szCs w:val="24"/>
        </w:rPr>
        <w:t>two or more mistakes or untestable)</w:t>
      </w:r>
      <w:r w:rsidR="00F2344F" w:rsidRPr="00593BCE">
        <w:rPr>
          <w:rFonts w:ascii="Arial" w:hAnsi="Arial" w:cs="Arial"/>
          <w:sz w:val="24"/>
          <w:szCs w:val="24"/>
        </w:rPr>
        <w:t xml:space="preserve">. </w:t>
      </w:r>
    </w:p>
    <w:p w14:paraId="3403637F" w14:textId="12B0B82D" w:rsidR="00F2344F" w:rsidRPr="00593BCE" w:rsidRDefault="00420655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 xml:space="preserve">“Attention” </w:t>
      </w:r>
      <w:r w:rsidR="00A42212" w:rsidRPr="00593BCE">
        <w:rPr>
          <w:rFonts w:ascii="Arial" w:hAnsi="Arial" w:cs="Arial"/>
          <w:sz w:val="24"/>
          <w:szCs w:val="24"/>
        </w:rPr>
        <w:t xml:space="preserve">tested by instructing </w:t>
      </w:r>
      <w:r w:rsidR="00CA1A59" w:rsidRPr="00593BCE">
        <w:rPr>
          <w:rFonts w:ascii="Arial" w:hAnsi="Arial" w:cs="Arial"/>
          <w:sz w:val="24"/>
          <w:szCs w:val="24"/>
        </w:rPr>
        <w:t xml:space="preserve">the </w:t>
      </w:r>
      <w:r w:rsidR="00A42212" w:rsidRPr="00593BCE">
        <w:rPr>
          <w:rFonts w:ascii="Arial" w:hAnsi="Arial" w:cs="Arial"/>
          <w:sz w:val="24"/>
          <w:szCs w:val="24"/>
        </w:rPr>
        <w:t xml:space="preserve">patient to list months in reverse order, starting </w:t>
      </w:r>
      <w:r w:rsidR="00F2344F" w:rsidRPr="00593BCE">
        <w:rPr>
          <w:rFonts w:ascii="Arial" w:hAnsi="Arial" w:cs="Arial"/>
          <w:sz w:val="24"/>
          <w:szCs w:val="24"/>
        </w:rPr>
        <w:t xml:space="preserve">from </w:t>
      </w:r>
      <w:r w:rsidR="00A42212" w:rsidRPr="00593BCE">
        <w:rPr>
          <w:rFonts w:ascii="Arial" w:hAnsi="Arial" w:cs="Arial"/>
          <w:sz w:val="24"/>
          <w:szCs w:val="24"/>
        </w:rPr>
        <w:t xml:space="preserve">December </w:t>
      </w:r>
      <w:r w:rsidR="00154A1D" w:rsidRPr="00593BCE">
        <w:rPr>
          <w:rFonts w:ascii="Arial" w:hAnsi="Arial" w:cs="Arial"/>
          <w:sz w:val="24"/>
          <w:szCs w:val="24"/>
        </w:rPr>
        <w:t>(0</w:t>
      </w:r>
      <w:r w:rsidR="00F2344F" w:rsidRPr="00593BCE">
        <w:rPr>
          <w:rFonts w:ascii="Arial" w:hAnsi="Arial" w:cs="Arial"/>
          <w:sz w:val="24"/>
          <w:szCs w:val="24"/>
        </w:rPr>
        <w:t xml:space="preserve">: </w:t>
      </w:r>
      <w:r w:rsidRPr="00593BCE">
        <w:rPr>
          <w:rFonts w:ascii="Arial" w:hAnsi="Arial" w:cs="Arial"/>
          <w:sz w:val="24"/>
          <w:szCs w:val="24"/>
        </w:rPr>
        <w:t xml:space="preserve">reciting </w:t>
      </w:r>
      <w:r w:rsidR="00154A1D" w:rsidRPr="00593BCE">
        <w:rPr>
          <w:rFonts w:ascii="Arial" w:hAnsi="Arial" w:cs="Arial"/>
          <w:sz w:val="24"/>
          <w:szCs w:val="24"/>
        </w:rPr>
        <w:t>≥7months backwards correctly</w:t>
      </w:r>
      <w:r w:rsidR="00F2344F" w:rsidRPr="00593BCE">
        <w:rPr>
          <w:rFonts w:ascii="Arial" w:hAnsi="Arial" w:cs="Arial"/>
          <w:sz w:val="24"/>
          <w:szCs w:val="24"/>
        </w:rPr>
        <w:t>;</w:t>
      </w:r>
      <w:r w:rsidR="00154A1D" w:rsidRPr="00593BCE">
        <w:rPr>
          <w:rFonts w:ascii="Arial" w:hAnsi="Arial" w:cs="Arial"/>
          <w:sz w:val="24"/>
          <w:szCs w:val="24"/>
        </w:rPr>
        <w:t xml:space="preserve"> 1</w:t>
      </w:r>
      <w:r w:rsidR="00F2344F" w:rsidRPr="00593BCE">
        <w:rPr>
          <w:rFonts w:ascii="Arial" w:hAnsi="Arial" w:cs="Arial"/>
          <w:sz w:val="24"/>
          <w:szCs w:val="24"/>
        </w:rPr>
        <w:t xml:space="preserve">: </w:t>
      </w:r>
      <w:r w:rsidRPr="00593BCE">
        <w:rPr>
          <w:rFonts w:ascii="Arial" w:hAnsi="Arial" w:cs="Arial"/>
          <w:sz w:val="24"/>
          <w:szCs w:val="24"/>
        </w:rPr>
        <w:t xml:space="preserve">starts but </w:t>
      </w:r>
      <w:r w:rsidR="00CA1A59" w:rsidRPr="00593BCE">
        <w:rPr>
          <w:rFonts w:ascii="Arial" w:hAnsi="Arial" w:cs="Arial"/>
          <w:sz w:val="24"/>
          <w:szCs w:val="24"/>
        </w:rPr>
        <w:t xml:space="preserve">lists </w:t>
      </w:r>
      <w:r w:rsidR="00154A1D" w:rsidRPr="00593BCE">
        <w:rPr>
          <w:rFonts w:ascii="Arial" w:hAnsi="Arial" w:cs="Arial"/>
          <w:sz w:val="24"/>
          <w:szCs w:val="24"/>
        </w:rPr>
        <w:t>&lt;7months or refuses to start</w:t>
      </w:r>
      <w:r w:rsidR="00F2344F" w:rsidRPr="00593BCE">
        <w:rPr>
          <w:rFonts w:ascii="Arial" w:hAnsi="Arial" w:cs="Arial"/>
          <w:sz w:val="24"/>
          <w:szCs w:val="24"/>
        </w:rPr>
        <w:t xml:space="preserve">; </w:t>
      </w:r>
      <w:r w:rsidR="00154A1D" w:rsidRPr="00593BCE">
        <w:rPr>
          <w:rFonts w:ascii="Arial" w:hAnsi="Arial" w:cs="Arial"/>
          <w:sz w:val="24"/>
          <w:szCs w:val="24"/>
        </w:rPr>
        <w:t>2</w:t>
      </w:r>
      <w:r w:rsidR="00F2344F" w:rsidRPr="00593BCE">
        <w:rPr>
          <w:rFonts w:ascii="Arial" w:hAnsi="Arial" w:cs="Arial"/>
          <w:sz w:val="24"/>
          <w:szCs w:val="24"/>
        </w:rPr>
        <w:t xml:space="preserve">: </w:t>
      </w:r>
      <w:r w:rsidRPr="00593BCE">
        <w:rPr>
          <w:rFonts w:ascii="Arial" w:hAnsi="Arial" w:cs="Arial"/>
          <w:sz w:val="24"/>
          <w:szCs w:val="24"/>
        </w:rPr>
        <w:t>untestable)</w:t>
      </w:r>
      <w:r w:rsidR="00F2344F" w:rsidRPr="00593BCE">
        <w:rPr>
          <w:rFonts w:ascii="Arial" w:hAnsi="Arial" w:cs="Arial"/>
          <w:sz w:val="24"/>
          <w:szCs w:val="24"/>
        </w:rPr>
        <w:t>.</w:t>
      </w:r>
    </w:p>
    <w:p w14:paraId="0E614C91" w14:textId="39E86C4F" w:rsidR="00FD0962" w:rsidRPr="00593BCE" w:rsidRDefault="00420655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>“Acute change or fluctuating course”</w:t>
      </w:r>
      <w:r w:rsidR="002A6357" w:rsidRPr="00593BCE">
        <w:rPr>
          <w:rFonts w:ascii="Arial" w:hAnsi="Arial" w:cs="Arial"/>
          <w:sz w:val="24"/>
          <w:szCs w:val="24"/>
        </w:rPr>
        <w:t xml:space="preserve"> </w:t>
      </w:r>
      <w:r w:rsidR="00F2344F" w:rsidRPr="00593BCE">
        <w:rPr>
          <w:rFonts w:ascii="Arial" w:hAnsi="Arial" w:cs="Arial"/>
          <w:sz w:val="24"/>
          <w:szCs w:val="24"/>
        </w:rPr>
        <w:t xml:space="preserve">is </w:t>
      </w:r>
      <w:r w:rsidR="00A42212" w:rsidRPr="00593BCE">
        <w:rPr>
          <w:rFonts w:ascii="Arial" w:hAnsi="Arial" w:cs="Arial"/>
          <w:sz w:val="24"/>
          <w:szCs w:val="24"/>
        </w:rPr>
        <w:t>e</w:t>
      </w:r>
      <w:r w:rsidR="002A6357" w:rsidRPr="00593BCE">
        <w:rPr>
          <w:rFonts w:ascii="Arial" w:hAnsi="Arial" w:cs="Arial"/>
          <w:sz w:val="24"/>
          <w:szCs w:val="24"/>
        </w:rPr>
        <w:t>vidence of significant change or fluctuation in mental status within the last 2</w:t>
      </w:r>
      <w:r w:rsidR="0056096D" w:rsidRPr="00593BCE">
        <w:rPr>
          <w:rFonts w:ascii="Arial" w:hAnsi="Arial" w:cs="Arial"/>
          <w:sz w:val="24"/>
          <w:szCs w:val="24"/>
        </w:rPr>
        <w:t xml:space="preserve"> </w:t>
      </w:r>
      <w:r w:rsidR="002A6357" w:rsidRPr="00593BCE">
        <w:rPr>
          <w:rFonts w:ascii="Arial" w:hAnsi="Arial" w:cs="Arial"/>
          <w:sz w:val="24"/>
          <w:szCs w:val="24"/>
        </w:rPr>
        <w:t xml:space="preserve">weeks and </w:t>
      </w:r>
      <w:r w:rsidR="00894955" w:rsidRPr="00593BCE">
        <w:rPr>
          <w:rFonts w:ascii="Arial" w:hAnsi="Arial" w:cs="Arial"/>
          <w:sz w:val="24"/>
          <w:szCs w:val="24"/>
        </w:rPr>
        <w:t>persisting in the last 24</w:t>
      </w:r>
      <w:r w:rsidR="0056096D" w:rsidRPr="00593BCE">
        <w:rPr>
          <w:rFonts w:ascii="Arial" w:hAnsi="Arial" w:cs="Arial"/>
          <w:sz w:val="24"/>
          <w:szCs w:val="24"/>
        </w:rPr>
        <w:t xml:space="preserve"> </w:t>
      </w:r>
      <w:r w:rsidR="002A6357" w:rsidRPr="00593BCE">
        <w:rPr>
          <w:rFonts w:ascii="Arial" w:hAnsi="Arial" w:cs="Arial"/>
          <w:sz w:val="24"/>
          <w:szCs w:val="24"/>
        </w:rPr>
        <w:t xml:space="preserve">hours </w:t>
      </w:r>
      <w:r w:rsidR="00154A1D" w:rsidRPr="00593BCE">
        <w:rPr>
          <w:rFonts w:ascii="Arial" w:hAnsi="Arial" w:cs="Arial"/>
          <w:sz w:val="24"/>
          <w:szCs w:val="24"/>
        </w:rPr>
        <w:t>(0</w:t>
      </w:r>
      <w:r w:rsidR="00F2344F" w:rsidRPr="00593BCE">
        <w:rPr>
          <w:rFonts w:ascii="Arial" w:hAnsi="Arial" w:cs="Arial"/>
          <w:sz w:val="24"/>
          <w:szCs w:val="24"/>
        </w:rPr>
        <w:t xml:space="preserve">: </w:t>
      </w:r>
      <w:r w:rsidR="00154A1D" w:rsidRPr="00593BCE">
        <w:rPr>
          <w:rFonts w:ascii="Arial" w:hAnsi="Arial" w:cs="Arial"/>
          <w:sz w:val="24"/>
          <w:szCs w:val="24"/>
        </w:rPr>
        <w:t>no</w:t>
      </w:r>
      <w:r w:rsidR="00F2344F" w:rsidRPr="00593BCE">
        <w:rPr>
          <w:rFonts w:ascii="Arial" w:hAnsi="Arial" w:cs="Arial"/>
          <w:sz w:val="24"/>
          <w:szCs w:val="24"/>
        </w:rPr>
        <w:t>;</w:t>
      </w:r>
      <w:r w:rsidR="00154A1D" w:rsidRPr="00593BCE">
        <w:rPr>
          <w:rFonts w:ascii="Arial" w:hAnsi="Arial" w:cs="Arial"/>
          <w:sz w:val="24"/>
          <w:szCs w:val="24"/>
        </w:rPr>
        <w:t xml:space="preserve"> 4</w:t>
      </w:r>
      <w:r w:rsidR="00F2344F" w:rsidRPr="00593BCE">
        <w:rPr>
          <w:rFonts w:ascii="Arial" w:hAnsi="Arial" w:cs="Arial"/>
          <w:sz w:val="24"/>
          <w:szCs w:val="24"/>
        </w:rPr>
        <w:t xml:space="preserve">: </w:t>
      </w:r>
      <w:r w:rsidRPr="00593BCE">
        <w:rPr>
          <w:rFonts w:ascii="Arial" w:hAnsi="Arial" w:cs="Arial"/>
          <w:sz w:val="24"/>
          <w:szCs w:val="24"/>
        </w:rPr>
        <w:t xml:space="preserve">yes). </w:t>
      </w:r>
    </w:p>
    <w:p w14:paraId="26C57CBF" w14:textId="77777777" w:rsidR="00FD0962" w:rsidRPr="00593BCE" w:rsidRDefault="00FD0962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454DCEE" w14:textId="77777777" w:rsidR="00FD0962" w:rsidRPr="00593BCE" w:rsidRDefault="00FD0962" w:rsidP="004F7E7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t>Categorisation of variables</w:t>
      </w:r>
    </w:p>
    <w:p w14:paraId="0DEB2F93" w14:textId="65353D34" w:rsidR="003B146B" w:rsidRPr="00593BCE" w:rsidRDefault="00FD0962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>The</w:t>
      </w:r>
      <w:r w:rsidR="00420655" w:rsidRPr="00593BCE">
        <w:rPr>
          <w:rFonts w:ascii="Arial" w:hAnsi="Arial" w:cs="Arial"/>
          <w:sz w:val="24"/>
          <w:szCs w:val="24"/>
        </w:rPr>
        <w:t xml:space="preserve"> scores</w:t>
      </w:r>
      <w:r w:rsidRPr="00593BCE">
        <w:rPr>
          <w:rFonts w:ascii="Arial" w:hAnsi="Arial" w:cs="Arial"/>
          <w:sz w:val="24"/>
          <w:szCs w:val="24"/>
        </w:rPr>
        <w:t xml:space="preserve"> obtained from the 4AT components described above</w:t>
      </w:r>
      <w:r w:rsidR="00420655" w:rsidRPr="00593BCE">
        <w:rPr>
          <w:rFonts w:ascii="Arial" w:hAnsi="Arial" w:cs="Arial"/>
          <w:sz w:val="24"/>
          <w:szCs w:val="24"/>
        </w:rPr>
        <w:t xml:space="preserve"> </w:t>
      </w:r>
      <w:r w:rsidR="006B6715" w:rsidRPr="00593BCE">
        <w:rPr>
          <w:rFonts w:ascii="Arial" w:hAnsi="Arial" w:cs="Arial"/>
          <w:sz w:val="24"/>
          <w:szCs w:val="24"/>
        </w:rPr>
        <w:t>were</w:t>
      </w:r>
      <w:r w:rsidR="00420655" w:rsidRPr="00593BCE">
        <w:rPr>
          <w:rFonts w:ascii="Arial" w:hAnsi="Arial" w:cs="Arial"/>
          <w:sz w:val="24"/>
          <w:szCs w:val="24"/>
        </w:rPr>
        <w:t xml:space="preserve"> summated to </w:t>
      </w:r>
      <w:r w:rsidR="006B6715" w:rsidRPr="00593BCE">
        <w:rPr>
          <w:rFonts w:ascii="Arial" w:hAnsi="Arial" w:cs="Arial"/>
          <w:sz w:val="24"/>
          <w:szCs w:val="24"/>
        </w:rPr>
        <w:t>produce</w:t>
      </w:r>
      <w:r w:rsidR="00420655" w:rsidRPr="00593BCE">
        <w:rPr>
          <w:rFonts w:ascii="Arial" w:hAnsi="Arial" w:cs="Arial"/>
          <w:sz w:val="24"/>
          <w:szCs w:val="24"/>
        </w:rPr>
        <w:t xml:space="preserve"> </w:t>
      </w:r>
      <w:r w:rsidR="00AD239D" w:rsidRPr="00593BCE">
        <w:rPr>
          <w:rFonts w:ascii="Arial" w:hAnsi="Arial" w:cs="Arial"/>
          <w:sz w:val="24"/>
          <w:szCs w:val="24"/>
        </w:rPr>
        <w:t xml:space="preserve">composite scores for </w:t>
      </w:r>
      <w:r w:rsidR="00420655" w:rsidRPr="00593BCE">
        <w:rPr>
          <w:rFonts w:ascii="Arial" w:hAnsi="Arial" w:cs="Arial"/>
          <w:sz w:val="24"/>
          <w:szCs w:val="24"/>
        </w:rPr>
        <w:t>4</w:t>
      </w:r>
      <w:r w:rsidR="00A147A9" w:rsidRPr="00593BCE">
        <w:rPr>
          <w:rFonts w:ascii="Arial" w:hAnsi="Arial" w:cs="Arial"/>
          <w:sz w:val="24"/>
          <w:szCs w:val="24"/>
        </w:rPr>
        <w:t xml:space="preserve"> the </w:t>
      </w:r>
      <w:r w:rsidR="00420655" w:rsidRPr="00593BCE">
        <w:rPr>
          <w:rFonts w:ascii="Arial" w:hAnsi="Arial" w:cs="Arial"/>
          <w:sz w:val="24"/>
          <w:szCs w:val="24"/>
        </w:rPr>
        <w:t>AT (0</w:t>
      </w:r>
      <w:r w:rsidR="00B079E2" w:rsidRPr="00593BCE">
        <w:rPr>
          <w:rFonts w:ascii="Arial" w:hAnsi="Arial" w:cs="Arial"/>
          <w:sz w:val="24"/>
          <w:szCs w:val="24"/>
        </w:rPr>
        <w:t xml:space="preserve">: </w:t>
      </w:r>
      <w:r w:rsidR="00F21485" w:rsidRPr="00593BCE">
        <w:rPr>
          <w:rFonts w:ascii="Arial" w:hAnsi="Arial" w:cs="Arial"/>
          <w:sz w:val="24"/>
          <w:szCs w:val="24"/>
        </w:rPr>
        <w:t xml:space="preserve">unlikely to have </w:t>
      </w:r>
      <w:r w:rsidR="00420655" w:rsidRPr="00593BCE">
        <w:rPr>
          <w:rFonts w:ascii="Arial" w:hAnsi="Arial" w:cs="Arial"/>
          <w:sz w:val="24"/>
          <w:szCs w:val="24"/>
        </w:rPr>
        <w:t>delirium or severe cognitive impairment</w:t>
      </w:r>
      <w:r w:rsidR="00B079E2" w:rsidRPr="00593BCE">
        <w:rPr>
          <w:rFonts w:ascii="Arial" w:hAnsi="Arial" w:cs="Arial"/>
          <w:sz w:val="24"/>
          <w:szCs w:val="24"/>
        </w:rPr>
        <w:t xml:space="preserve">; </w:t>
      </w:r>
      <w:r w:rsidR="00420655" w:rsidRPr="00593BCE">
        <w:rPr>
          <w:rFonts w:ascii="Arial" w:hAnsi="Arial" w:cs="Arial"/>
          <w:sz w:val="24"/>
          <w:szCs w:val="24"/>
        </w:rPr>
        <w:t>1-3</w:t>
      </w:r>
      <w:r w:rsidR="00B079E2" w:rsidRPr="00593BCE">
        <w:rPr>
          <w:rFonts w:ascii="Arial" w:hAnsi="Arial" w:cs="Arial"/>
          <w:sz w:val="24"/>
          <w:szCs w:val="24"/>
        </w:rPr>
        <w:t xml:space="preserve">: </w:t>
      </w:r>
      <w:r w:rsidR="00420655" w:rsidRPr="00593BCE">
        <w:rPr>
          <w:rFonts w:ascii="Arial" w:hAnsi="Arial" w:cs="Arial"/>
          <w:sz w:val="24"/>
          <w:szCs w:val="24"/>
        </w:rPr>
        <w:t>possible cognitive impairment</w:t>
      </w:r>
      <w:r w:rsidR="003A3428" w:rsidRPr="00593BCE">
        <w:rPr>
          <w:rFonts w:ascii="Arial" w:hAnsi="Arial" w:cs="Arial"/>
          <w:sz w:val="24"/>
          <w:szCs w:val="24"/>
        </w:rPr>
        <w:t xml:space="preserve"> </w:t>
      </w:r>
      <w:r w:rsidR="003A3428" w:rsidRPr="00593BCE">
        <w:rPr>
          <w:rFonts w:ascii="Arial" w:hAnsi="Arial" w:cs="Arial"/>
          <w:sz w:val="24"/>
          <w:szCs w:val="24"/>
          <w:shd w:val="clear" w:color="auto" w:fill="FFFFFF"/>
        </w:rPr>
        <w:t>and does not exclude the possibility of delirium</w:t>
      </w:r>
      <w:r w:rsidR="00B079E2" w:rsidRPr="00593BCE">
        <w:rPr>
          <w:rFonts w:ascii="Arial" w:hAnsi="Arial" w:cs="Arial"/>
          <w:sz w:val="24"/>
          <w:szCs w:val="24"/>
        </w:rPr>
        <w:t xml:space="preserve">; </w:t>
      </w:r>
      <w:r w:rsidR="00420655" w:rsidRPr="00593BCE">
        <w:rPr>
          <w:rFonts w:ascii="Arial" w:hAnsi="Arial" w:cs="Arial"/>
          <w:sz w:val="24"/>
          <w:szCs w:val="24"/>
        </w:rPr>
        <w:t>≥4</w:t>
      </w:r>
      <w:r w:rsidR="00B079E2" w:rsidRPr="00593BCE">
        <w:rPr>
          <w:rFonts w:ascii="Arial" w:hAnsi="Arial" w:cs="Arial"/>
          <w:sz w:val="24"/>
          <w:szCs w:val="24"/>
        </w:rPr>
        <w:t xml:space="preserve">: </w:t>
      </w:r>
      <w:r w:rsidR="00154A1D" w:rsidRPr="00593BCE">
        <w:rPr>
          <w:rFonts w:ascii="Arial" w:hAnsi="Arial" w:cs="Arial"/>
          <w:sz w:val="24"/>
          <w:szCs w:val="24"/>
        </w:rPr>
        <w:t>p</w:t>
      </w:r>
      <w:r w:rsidR="00332F3E" w:rsidRPr="00593BCE">
        <w:rPr>
          <w:rFonts w:ascii="Arial" w:hAnsi="Arial" w:cs="Arial"/>
          <w:sz w:val="24"/>
          <w:szCs w:val="24"/>
        </w:rPr>
        <w:t>ossible delirium</w:t>
      </w:r>
      <w:r w:rsidR="0079193D" w:rsidRPr="00593BCE">
        <w:rPr>
          <w:rFonts w:ascii="Arial" w:hAnsi="Arial" w:cs="Arial"/>
          <w:sz w:val="24"/>
          <w:szCs w:val="24"/>
        </w:rPr>
        <w:t xml:space="preserve"> </w:t>
      </w:r>
      <w:r w:rsidR="00420655" w:rsidRPr="00593BCE">
        <w:rPr>
          <w:rFonts w:ascii="Arial" w:hAnsi="Arial" w:cs="Arial"/>
          <w:sz w:val="24"/>
          <w:szCs w:val="24"/>
        </w:rPr>
        <w:t>±cognitive impairment)</w:t>
      </w:r>
      <w:r w:rsidR="00B21630" w:rsidRPr="00593BCE">
        <w:rPr>
          <w:rFonts w:ascii="Arial" w:hAnsi="Arial" w:cs="Arial"/>
          <w:sz w:val="24"/>
          <w:szCs w:val="24"/>
        </w:rPr>
        <w:t xml:space="preserve"> [8]</w:t>
      </w:r>
      <w:r w:rsidR="00420655" w:rsidRPr="00593BCE">
        <w:rPr>
          <w:rFonts w:ascii="Arial" w:hAnsi="Arial" w:cs="Arial"/>
          <w:sz w:val="24"/>
          <w:szCs w:val="24"/>
        </w:rPr>
        <w:t>.</w:t>
      </w:r>
      <w:r w:rsidR="00B21630" w:rsidRPr="00593BCE">
        <w:rPr>
          <w:rFonts w:ascii="Arial" w:hAnsi="Arial" w:cs="Arial"/>
          <w:sz w:val="24"/>
          <w:szCs w:val="24"/>
        </w:rPr>
        <w:t xml:space="preserve"> </w:t>
      </w:r>
      <w:r w:rsidR="00B21630" w:rsidRPr="00593B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term ‘cognitive impairment’ refers to chronic cognitive impairment such as dementia.</w:t>
      </w:r>
      <w:r w:rsidR="00693D89" w:rsidRPr="00593BCE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07AA64A9" w14:textId="77777777" w:rsidR="005974AF" w:rsidRPr="00593BCE" w:rsidRDefault="005974AF" w:rsidP="004F7E7F">
      <w:pPr>
        <w:tabs>
          <w:tab w:val="left" w:pos="511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7469A55" w14:textId="7FDD0D9C" w:rsidR="005974AF" w:rsidRPr="00593BCE" w:rsidRDefault="005974AF" w:rsidP="004F7E7F">
      <w:pPr>
        <w:tabs>
          <w:tab w:val="left" w:pos="511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i/>
          <w:sz w:val="24"/>
          <w:szCs w:val="24"/>
        </w:rPr>
        <w:t>Polypharmacy</w:t>
      </w:r>
      <w:r w:rsidRPr="00593BCE">
        <w:rPr>
          <w:rFonts w:ascii="Arial" w:hAnsi="Arial" w:cs="Arial"/>
          <w:sz w:val="24"/>
          <w:szCs w:val="24"/>
        </w:rPr>
        <w:t xml:space="preserve"> was defined as four or more different type</w:t>
      </w:r>
      <w:r w:rsidR="00CA153A" w:rsidRPr="00593BCE">
        <w:rPr>
          <w:rFonts w:ascii="Arial" w:hAnsi="Arial" w:cs="Arial"/>
          <w:sz w:val="24"/>
          <w:szCs w:val="24"/>
        </w:rPr>
        <w:t>s</w:t>
      </w:r>
      <w:r w:rsidRPr="00593BCE">
        <w:rPr>
          <w:rFonts w:ascii="Arial" w:hAnsi="Arial" w:cs="Arial"/>
          <w:sz w:val="24"/>
          <w:szCs w:val="24"/>
        </w:rPr>
        <w:t xml:space="preserve"> of medications taken daily. </w:t>
      </w:r>
      <w:r w:rsidR="00CA153A" w:rsidRPr="00593BCE">
        <w:rPr>
          <w:rFonts w:ascii="Arial" w:hAnsi="Arial" w:cs="Arial"/>
          <w:sz w:val="24"/>
          <w:szCs w:val="24"/>
        </w:rPr>
        <w:t xml:space="preserve">The </w:t>
      </w:r>
      <w:r w:rsidR="00CA153A" w:rsidRPr="00593BCE">
        <w:rPr>
          <w:rFonts w:ascii="Arial" w:hAnsi="Arial" w:cs="Arial"/>
          <w:i/>
          <w:sz w:val="24"/>
          <w:szCs w:val="24"/>
        </w:rPr>
        <w:t xml:space="preserve">anticholinergic </w:t>
      </w:r>
      <w:r w:rsidRPr="00593BCE">
        <w:rPr>
          <w:rFonts w:ascii="Arial" w:hAnsi="Arial" w:cs="Arial"/>
          <w:i/>
          <w:sz w:val="24"/>
          <w:szCs w:val="24"/>
        </w:rPr>
        <w:t>burden</w:t>
      </w:r>
      <w:r w:rsidR="00152526" w:rsidRPr="00593BCE">
        <w:rPr>
          <w:rFonts w:ascii="Arial" w:hAnsi="Arial" w:cs="Arial"/>
          <w:i/>
          <w:sz w:val="24"/>
          <w:szCs w:val="24"/>
        </w:rPr>
        <w:t xml:space="preserve"> (ACB)</w:t>
      </w:r>
      <w:r w:rsidRPr="00593BCE">
        <w:rPr>
          <w:rFonts w:ascii="Arial" w:hAnsi="Arial" w:cs="Arial"/>
          <w:i/>
          <w:sz w:val="24"/>
          <w:szCs w:val="24"/>
        </w:rPr>
        <w:t xml:space="preserve"> </w:t>
      </w:r>
      <w:r w:rsidR="00EF7ADD" w:rsidRPr="00593BCE">
        <w:rPr>
          <w:rFonts w:ascii="Arial" w:hAnsi="Arial" w:cs="Arial"/>
          <w:i/>
          <w:sz w:val="24"/>
          <w:szCs w:val="24"/>
        </w:rPr>
        <w:t>scale</w:t>
      </w:r>
      <w:r w:rsidRPr="00593BCE">
        <w:rPr>
          <w:rFonts w:ascii="Arial" w:hAnsi="Arial" w:cs="Arial"/>
          <w:sz w:val="24"/>
          <w:szCs w:val="24"/>
        </w:rPr>
        <w:t xml:space="preserve"> was </w:t>
      </w:r>
      <w:r w:rsidR="00EF7ADD" w:rsidRPr="00593BCE">
        <w:rPr>
          <w:rFonts w:ascii="Arial" w:hAnsi="Arial" w:cs="Arial"/>
          <w:sz w:val="24"/>
          <w:szCs w:val="24"/>
        </w:rPr>
        <w:t>calculated from scores based on the list of medications developed by the Aging Brain Program</w:t>
      </w:r>
      <w:r w:rsidR="005D0962" w:rsidRPr="00593BCE">
        <w:rPr>
          <w:rFonts w:ascii="Arial" w:hAnsi="Arial" w:cs="Arial"/>
          <w:sz w:val="24"/>
          <w:szCs w:val="24"/>
        </w:rPr>
        <w:t xml:space="preserve"> [</w:t>
      </w:r>
      <w:r w:rsidR="003343A8" w:rsidRPr="00593BCE">
        <w:rPr>
          <w:rFonts w:ascii="Arial" w:hAnsi="Arial" w:cs="Arial"/>
          <w:sz w:val="24"/>
          <w:szCs w:val="24"/>
        </w:rPr>
        <w:t>14</w:t>
      </w:r>
      <w:r w:rsidR="005D0962" w:rsidRPr="00593BCE">
        <w:rPr>
          <w:rFonts w:ascii="Arial" w:hAnsi="Arial" w:cs="Arial"/>
          <w:sz w:val="24"/>
          <w:szCs w:val="24"/>
        </w:rPr>
        <w:t>]</w:t>
      </w:r>
      <w:r w:rsidR="00EF7ADD" w:rsidRPr="00593BCE">
        <w:rPr>
          <w:rFonts w:ascii="Arial" w:hAnsi="Arial" w:cs="Arial"/>
          <w:sz w:val="24"/>
          <w:szCs w:val="24"/>
        </w:rPr>
        <w:t>.</w:t>
      </w:r>
    </w:p>
    <w:p w14:paraId="128CC471" w14:textId="0E44C281" w:rsidR="003B146B" w:rsidRPr="00593BCE" w:rsidRDefault="007414F6" w:rsidP="004F7E7F">
      <w:pPr>
        <w:tabs>
          <w:tab w:val="left" w:pos="511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lastRenderedPageBreak/>
        <w:tab/>
      </w:r>
    </w:p>
    <w:p w14:paraId="0B6CC97C" w14:textId="46819415" w:rsidR="00DC08AA" w:rsidRPr="00593BCE" w:rsidRDefault="00343EA8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i/>
          <w:sz w:val="24"/>
          <w:szCs w:val="24"/>
        </w:rPr>
        <w:t>Type of s</w:t>
      </w:r>
      <w:r w:rsidR="00EB1C8E" w:rsidRPr="00593BCE">
        <w:rPr>
          <w:rFonts w:ascii="Arial" w:hAnsi="Arial" w:cs="Arial"/>
          <w:i/>
          <w:sz w:val="24"/>
          <w:szCs w:val="24"/>
        </w:rPr>
        <w:t xml:space="preserve">edation </w:t>
      </w:r>
      <w:r w:rsidRPr="00593BCE">
        <w:rPr>
          <w:rFonts w:ascii="Arial" w:hAnsi="Arial" w:cs="Arial"/>
          <w:sz w:val="24"/>
          <w:szCs w:val="24"/>
        </w:rPr>
        <w:t>was</w:t>
      </w:r>
      <w:r w:rsidR="00EB1C8E" w:rsidRPr="00593BCE">
        <w:rPr>
          <w:rFonts w:ascii="Arial" w:hAnsi="Arial" w:cs="Arial"/>
          <w:sz w:val="24"/>
          <w:szCs w:val="24"/>
        </w:rPr>
        <w:t xml:space="preserve"> categorised into</w:t>
      </w:r>
      <w:r w:rsidR="006C10F4" w:rsidRPr="00593BCE">
        <w:rPr>
          <w:rFonts w:ascii="Arial" w:hAnsi="Arial" w:cs="Arial"/>
          <w:sz w:val="24"/>
          <w:szCs w:val="24"/>
        </w:rPr>
        <w:t>: 1)</w:t>
      </w:r>
      <w:r w:rsidR="00EB1C8E" w:rsidRPr="00593BCE">
        <w:rPr>
          <w:rFonts w:ascii="Arial" w:hAnsi="Arial" w:cs="Arial"/>
          <w:sz w:val="24"/>
          <w:szCs w:val="24"/>
        </w:rPr>
        <w:t xml:space="preserve"> GA with any other type of sedation or</w:t>
      </w:r>
      <w:r w:rsidR="00140371" w:rsidRPr="00593BCE">
        <w:rPr>
          <w:rFonts w:ascii="Arial" w:hAnsi="Arial" w:cs="Arial"/>
          <w:sz w:val="24"/>
          <w:szCs w:val="24"/>
        </w:rPr>
        <w:t>,</w:t>
      </w:r>
      <w:r w:rsidR="00EB1C8E" w:rsidRPr="00593BCE">
        <w:rPr>
          <w:rFonts w:ascii="Arial" w:hAnsi="Arial" w:cs="Arial"/>
          <w:sz w:val="24"/>
          <w:szCs w:val="24"/>
        </w:rPr>
        <w:t xml:space="preserve"> </w:t>
      </w:r>
      <w:r w:rsidR="006C10F4" w:rsidRPr="00593BCE">
        <w:rPr>
          <w:rFonts w:ascii="Arial" w:hAnsi="Arial" w:cs="Arial"/>
          <w:sz w:val="24"/>
          <w:szCs w:val="24"/>
        </w:rPr>
        <w:t xml:space="preserve">2) </w:t>
      </w:r>
      <w:r w:rsidR="00EB1C8E" w:rsidRPr="00593BCE">
        <w:rPr>
          <w:rFonts w:ascii="Arial" w:hAnsi="Arial" w:cs="Arial"/>
          <w:sz w:val="24"/>
          <w:szCs w:val="24"/>
        </w:rPr>
        <w:t xml:space="preserve">spinal nerve block with any other type of sedation except GA. </w:t>
      </w:r>
      <w:r w:rsidR="00076A16" w:rsidRPr="00593BCE">
        <w:rPr>
          <w:rFonts w:ascii="Arial" w:hAnsi="Arial" w:cs="Arial"/>
          <w:i/>
          <w:sz w:val="24"/>
          <w:szCs w:val="24"/>
        </w:rPr>
        <w:t xml:space="preserve">Mobilisation </w:t>
      </w:r>
      <w:r w:rsidR="00BA0524" w:rsidRPr="00593BCE">
        <w:rPr>
          <w:rFonts w:ascii="Arial" w:hAnsi="Arial" w:cs="Arial"/>
          <w:i/>
          <w:sz w:val="24"/>
          <w:szCs w:val="24"/>
        </w:rPr>
        <w:t xml:space="preserve">within 1-day </w:t>
      </w:r>
      <w:r w:rsidR="00076A16" w:rsidRPr="00593BCE">
        <w:rPr>
          <w:rFonts w:ascii="Arial" w:hAnsi="Arial" w:cs="Arial"/>
          <w:i/>
          <w:sz w:val="24"/>
          <w:szCs w:val="24"/>
        </w:rPr>
        <w:t xml:space="preserve">after surgery </w:t>
      </w:r>
      <w:r w:rsidR="004E5D47" w:rsidRPr="00593BCE">
        <w:rPr>
          <w:rFonts w:ascii="Arial" w:hAnsi="Arial" w:cs="Arial"/>
          <w:sz w:val="24"/>
          <w:szCs w:val="24"/>
        </w:rPr>
        <w:t>was defined as patients with hip fracture who were able to start rehabilitation no later than the day after surgery</w:t>
      </w:r>
      <w:r w:rsidR="005D0962" w:rsidRPr="00593BCE">
        <w:rPr>
          <w:rFonts w:ascii="Arial" w:hAnsi="Arial" w:cs="Arial"/>
          <w:sz w:val="24"/>
          <w:szCs w:val="24"/>
        </w:rPr>
        <w:t xml:space="preserve"> [</w:t>
      </w:r>
      <w:r w:rsidR="003343A8" w:rsidRPr="00593BCE">
        <w:rPr>
          <w:rFonts w:ascii="Arial" w:hAnsi="Arial" w:cs="Arial"/>
          <w:sz w:val="24"/>
          <w:szCs w:val="24"/>
        </w:rPr>
        <w:t>15</w:t>
      </w:r>
      <w:r w:rsidR="005D0962" w:rsidRPr="00593BCE">
        <w:rPr>
          <w:rFonts w:ascii="Arial" w:hAnsi="Arial" w:cs="Arial"/>
          <w:sz w:val="24"/>
          <w:szCs w:val="24"/>
        </w:rPr>
        <w:t>]</w:t>
      </w:r>
      <w:r w:rsidR="004E5D47" w:rsidRPr="00593BCE">
        <w:rPr>
          <w:rFonts w:ascii="Arial" w:hAnsi="Arial" w:cs="Arial"/>
          <w:sz w:val="24"/>
          <w:szCs w:val="24"/>
        </w:rPr>
        <w:t>.</w:t>
      </w:r>
      <w:r w:rsidR="007208A4" w:rsidRPr="00593BCE">
        <w:rPr>
          <w:rFonts w:ascii="Arial" w:hAnsi="Arial" w:cs="Arial"/>
          <w:sz w:val="24"/>
          <w:szCs w:val="24"/>
        </w:rPr>
        <w:t xml:space="preserve"> </w:t>
      </w:r>
      <w:r w:rsidR="00076A16" w:rsidRPr="00593BCE">
        <w:rPr>
          <w:rFonts w:ascii="Arial" w:hAnsi="Arial" w:cs="Arial"/>
          <w:i/>
          <w:sz w:val="24"/>
          <w:szCs w:val="24"/>
        </w:rPr>
        <w:t xml:space="preserve">Prolonged LOS </w:t>
      </w:r>
      <w:r w:rsidR="00154A1D" w:rsidRPr="00593BCE">
        <w:rPr>
          <w:rFonts w:ascii="Arial" w:hAnsi="Arial" w:cs="Arial"/>
          <w:sz w:val="24"/>
          <w:szCs w:val="24"/>
        </w:rPr>
        <w:t xml:space="preserve">was defined as </w:t>
      </w:r>
      <w:r w:rsidR="00CA153A" w:rsidRPr="00593BCE">
        <w:rPr>
          <w:rFonts w:ascii="Arial" w:hAnsi="Arial" w:cs="Arial"/>
          <w:sz w:val="24"/>
          <w:szCs w:val="24"/>
        </w:rPr>
        <w:t xml:space="preserve">a </w:t>
      </w:r>
      <w:r w:rsidR="00154A1D" w:rsidRPr="00593BCE">
        <w:rPr>
          <w:rFonts w:ascii="Arial" w:hAnsi="Arial" w:cs="Arial"/>
          <w:sz w:val="24"/>
          <w:szCs w:val="24"/>
        </w:rPr>
        <w:t>LOS</w:t>
      </w:r>
      <w:r w:rsidR="00076A16" w:rsidRPr="00593BCE">
        <w:rPr>
          <w:rFonts w:ascii="Arial" w:hAnsi="Arial" w:cs="Arial"/>
          <w:sz w:val="24"/>
          <w:szCs w:val="24"/>
        </w:rPr>
        <w:t>&gt;14.</w:t>
      </w:r>
      <w:r w:rsidR="009D447E" w:rsidRPr="00593BCE">
        <w:rPr>
          <w:rFonts w:ascii="Arial" w:hAnsi="Arial" w:cs="Arial"/>
          <w:sz w:val="24"/>
          <w:szCs w:val="24"/>
        </w:rPr>
        <w:t>4</w:t>
      </w:r>
      <w:r w:rsidR="00140371" w:rsidRPr="00593BCE">
        <w:rPr>
          <w:rFonts w:ascii="Arial" w:hAnsi="Arial" w:cs="Arial"/>
          <w:sz w:val="24"/>
          <w:szCs w:val="24"/>
        </w:rPr>
        <w:t xml:space="preserve"> </w:t>
      </w:r>
      <w:r w:rsidR="00076A16" w:rsidRPr="00593BCE">
        <w:rPr>
          <w:rFonts w:ascii="Arial" w:hAnsi="Arial" w:cs="Arial"/>
          <w:sz w:val="24"/>
          <w:szCs w:val="24"/>
        </w:rPr>
        <w:t xml:space="preserve">days in hospital, </w:t>
      </w:r>
      <w:r w:rsidR="00076A16" w:rsidRPr="00593BCE">
        <w:rPr>
          <w:rFonts w:ascii="Arial" w:hAnsi="Arial" w:cs="Arial"/>
          <w:i/>
          <w:sz w:val="24"/>
          <w:szCs w:val="24"/>
        </w:rPr>
        <w:t>i.e.</w:t>
      </w:r>
      <w:r w:rsidR="00076A16" w:rsidRPr="00593BCE">
        <w:rPr>
          <w:rFonts w:ascii="Arial" w:hAnsi="Arial" w:cs="Arial"/>
          <w:sz w:val="24"/>
          <w:szCs w:val="24"/>
        </w:rPr>
        <w:t xml:space="preserve"> in the upper quartile of LOS.</w:t>
      </w:r>
      <w:r w:rsidR="00E50D54" w:rsidRPr="00593BCE">
        <w:rPr>
          <w:rFonts w:ascii="Arial" w:hAnsi="Arial" w:cs="Arial"/>
          <w:sz w:val="24"/>
          <w:szCs w:val="24"/>
        </w:rPr>
        <w:t xml:space="preserve"> </w:t>
      </w:r>
      <w:r w:rsidR="00E50D54" w:rsidRPr="00593BCE">
        <w:rPr>
          <w:rFonts w:ascii="Arial" w:hAnsi="Arial" w:cs="Arial"/>
          <w:i/>
          <w:sz w:val="24"/>
          <w:szCs w:val="24"/>
        </w:rPr>
        <w:t>Change in</w:t>
      </w:r>
      <w:r w:rsidR="00DC08AA" w:rsidRPr="00593BCE">
        <w:rPr>
          <w:rFonts w:ascii="Arial" w:hAnsi="Arial" w:cs="Arial"/>
          <w:i/>
          <w:sz w:val="24"/>
          <w:szCs w:val="24"/>
        </w:rPr>
        <w:t xml:space="preserve"> discharge destination</w:t>
      </w:r>
      <w:r w:rsidR="00D277B2" w:rsidRPr="00593BCE">
        <w:rPr>
          <w:rFonts w:ascii="Arial" w:hAnsi="Arial" w:cs="Arial"/>
          <w:i/>
          <w:sz w:val="24"/>
          <w:szCs w:val="24"/>
        </w:rPr>
        <w:t xml:space="preserve"> </w:t>
      </w:r>
      <w:r w:rsidR="00D277B2" w:rsidRPr="00593BCE">
        <w:rPr>
          <w:rFonts w:ascii="Arial" w:hAnsi="Arial" w:cs="Arial"/>
          <w:sz w:val="24"/>
          <w:szCs w:val="24"/>
        </w:rPr>
        <w:t xml:space="preserve">was defined as </w:t>
      </w:r>
      <w:r w:rsidR="00DC08AA" w:rsidRPr="00593BCE">
        <w:rPr>
          <w:rFonts w:ascii="Arial" w:hAnsi="Arial" w:cs="Arial"/>
          <w:sz w:val="24"/>
          <w:szCs w:val="24"/>
        </w:rPr>
        <w:t xml:space="preserve">those who </w:t>
      </w:r>
      <w:r w:rsidR="003030EF" w:rsidRPr="00593BCE">
        <w:rPr>
          <w:rFonts w:ascii="Arial" w:hAnsi="Arial" w:cs="Arial"/>
          <w:sz w:val="24"/>
          <w:szCs w:val="24"/>
        </w:rPr>
        <w:t>came</w:t>
      </w:r>
      <w:r w:rsidR="00DC08AA" w:rsidRPr="00593BCE">
        <w:rPr>
          <w:rFonts w:ascii="Arial" w:hAnsi="Arial" w:cs="Arial"/>
          <w:sz w:val="24"/>
          <w:szCs w:val="24"/>
        </w:rPr>
        <w:t xml:space="preserve"> from their own home before hospital admission</w:t>
      </w:r>
      <w:r w:rsidR="00CA1A59" w:rsidRPr="00593BCE">
        <w:rPr>
          <w:rFonts w:ascii="Arial" w:hAnsi="Arial" w:cs="Arial"/>
          <w:sz w:val="24"/>
          <w:szCs w:val="24"/>
        </w:rPr>
        <w:t>,</w:t>
      </w:r>
      <w:r w:rsidR="00DC08AA" w:rsidRPr="00593BCE">
        <w:rPr>
          <w:rFonts w:ascii="Arial" w:hAnsi="Arial" w:cs="Arial"/>
          <w:sz w:val="24"/>
          <w:szCs w:val="24"/>
        </w:rPr>
        <w:t xml:space="preserve"> </w:t>
      </w:r>
      <w:r w:rsidR="00CA1A59" w:rsidRPr="00593BCE">
        <w:rPr>
          <w:rFonts w:ascii="Arial" w:hAnsi="Arial" w:cs="Arial"/>
          <w:sz w:val="24"/>
          <w:szCs w:val="24"/>
        </w:rPr>
        <w:t>but</w:t>
      </w:r>
      <w:r w:rsidR="00D277B2" w:rsidRPr="00593BCE">
        <w:rPr>
          <w:rFonts w:ascii="Arial" w:hAnsi="Arial" w:cs="Arial"/>
          <w:sz w:val="24"/>
          <w:szCs w:val="24"/>
        </w:rPr>
        <w:t xml:space="preserve"> did not return home directly after discharge and transferred to </w:t>
      </w:r>
      <w:r w:rsidR="00DC08AA" w:rsidRPr="00593BCE">
        <w:rPr>
          <w:rFonts w:ascii="Arial" w:hAnsi="Arial" w:cs="Arial"/>
          <w:sz w:val="24"/>
          <w:szCs w:val="24"/>
        </w:rPr>
        <w:t xml:space="preserve">places where increased care </w:t>
      </w:r>
      <w:r w:rsidR="00CA153A" w:rsidRPr="00593BCE">
        <w:rPr>
          <w:rFonts w:ascii="Arial" w:hAnsi="Arial" w:cs="Arial"/>
          <w:sz w:val="24"/>
          <w:szCs w:val="24"/>
        </w:rPr>
        <w:t xml:space="preserve">was </w:t>
      </w:r>
      <w:r w:rsidR="00DC08AA" w:rsidRPr="00593BCE">
        <w:rPr>
          <w:rFonts w:ascii="Arial" w:hAnsi="Arial" w:cs="Arial"/>
          <w:sz w:val="24"/>
          <w:szCs w:val="24"/>
        </w:rPr>
        <w:t>provided</w:t>
      </w:r>
      <w:r w:rsidR="00CA153A" w:rsidRPr="00593BCE">
        <w:rPr>
          <w:rFonts w:ascii="Arial" w:hAnsi="Arial" w:cs="Arial"/>
          <w:sz w:val="24"/>
          <w:szCs w:val="24"/>
        </w:rPr>
        <w:t>,</w:t>
      </w:r>
      <w:r w:rsidR="00DC08AA" w:rsidRPr="00593BCE">
        <w:rPr>
          <w:rFonts w:ascii="Arial" w:hAnsi="Arial" w:cs="Arial"/>
          <w:sz w:val="24"/>
          <w:szCs w:val="24"/>
        </w:rPr>
        <w:t xml:space="preserve"> including rehabilitation</w:t>
      </w:r>
      <w:r w:rsidR="00B332D1" w:rsidRPr="00593BCE">
        <w:rPr>
          <w:rFonts w:ascii="Arial" w:hAnsi="Arial" w:cs="Arial"/>
          <w:sz w:val="24"/>
          <w:szCs w:val="24"/>
        </w:rPr>
        <w:t xml:space="preserve"> units</w:t>
      </w:r>
      <w:r w:rsidR="00DC08AA" w:rsidRPr="00593BCE">
        <w:rPr>
          <w:rFonts w:ascii="Arial" w:hAnsi="Arial" w:cs="Arial"/>
          <w:sz w:val="24"/>
          <w:szCs w:val="24"/>
        </w:rPr>
        <w:t xml:space="preserve">, residential home or nursing care. Those who died in hospital were </w:t>
      </w:r>
      <w:r w:rsidR="007F2CC8" w:rsidRPr="00593BCE">
        <w:rPr>
          <w:rFonts w:ascii="Arial" w:hAnsi="Arial" w:cs="Arial"/>
          <w:sz w:val="24"/>
          <w:szCs w:val="24"/>
        </w:rPr>
        <w:t>excluded</w:t>
      </w:r>
      <w:r w:rsidR="00DC08AA" w:rsidRPr="00593BCE">
        <w:rPr>
          <w:rFonts w:ascii="Arial" w:hAnsi="Arial" w:cs="Arial"/>
          <w:sz w:val="24"/>
          <w:szCs w:val="24"/>
        </w:rPr>
        <w:t xml:space="preserve"> </w:t>
      </w:r>
      <w:r w:rsidR="00CA1A59" w:rsidRPr="00593BCE">
        <w:rPr>
          <w:rFonts w:ascii="Arial" w:hAnsi="Arial" w:cs="Arial"/>
          <w:sz w:val="24"/>
          <w:szCs w:val="24"/>
        </w:rPr>
        <w:t xml:space="preserve">from </w:t>
      </w:r>
      <w:r w:rsidR="00DC08AA" w:rsidRPr="00593BCE">
        <w:rPr>
          <w:rFonts w:ascii="Arial" w:hAnsi="Arial" w:cs="Arial"/>
          <w:sz w:val="24"/>
          <w:szCs w:val="24"/>
        </w:rPr>
        <w:t>this particular analysis.</w:t>
      </w:r>
    </w:p>
    <w:p w14:paraId="677A5D68" w14:textId="77777777" w:rsidR="00DC08AA" w:rsidRPr="00593BCE" w:rsidRDefault="00DC08AA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D58D2B5" w14:textId="77777777" w:rsidR="003B146B" w:rsidRPr="00593BCE" w:rsidRDefault="003B146B" w:rsidP="004F7E7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t>Statistical analysis</w:t>
      </w:r>
    </w:p>
    <w:p w14:paraId="13983150" w14:textId="7ECBB41D" w:rsidR="00615810" w:rsidRPr="00593BCE" w:rsidRDefault="00815CAF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>Continuous d</w:t>
      </w:r>
      <w:commentRangeStart w:id="2"/>
      <w:r w:rsidR="008F2815" w:rsidRPr="00593BCE">
        <w:rPr>
          <w:rFonts w:ascii="Arial" w:hAnsi="Arial" w:cs="Arial"/>
          <w:sz w:val="24"/>
          <w:szCs w:val="24"/>
        </w:rPr>
        <w:t>ata</w:t>
      </w:r>
      <w:commentRangeEnd w:id="2"/>
      <w:r w:rsidR="008F2815" w:rsidRPr="00593BCE">
        <w:rPr>
          <w:rStyle w:val="CommentReference"/>
        </w:rPr>
        <w:commentReference w:id="2"/>
      </w:r>
      <w:r w:rsidR="008F2815" w:rsidRPr="00593BCE">
        <w:rPr>
          <w:rFonts w:ascii="Arial" w:hAnsi="Arial" w:cs="Arial"/>
          <w:sz w:val="24"/>
          <w:szCs w:val="24"/>
        </w:rPr>
        <w:t xml:space="preserve"> are expressed as mean values (±SD), except where data were not normally distributed as medians (25,75% interquartiles).  </w:t>
      </w:r>
      <w:r w:rsidR="00A237ED" w:rsidRPr="00593BCE">
        <w:rPr>
          <w:rFonts w:ascii="Arial" w:hAnsi="Arial" w:cs="Arial"/>
          <w:sz w:val="24"/>
          <w:szCs w:val="24"/>
        </w:rPr>
        <w:t>D</w:t>
      </w:r>
      <w:r w:rsidR="003F1DD6" w:rsidRPr="00593BCE">
        <w:rPr>
          <w:rFonts w:ascii="Arial" w:hAnsi="Arial" w:cs="Arial"/>
          <w:sz w:val="24"/>
          <w:szCs w:val="24"/>
        </w:rPr>
        <w:t xml:space="preserve">ifferences </w:t>
      </w:r>
      <w:r w:rsidR="00F21485" w:rsidRPr="00593BCE">
        <w:rPr>
          <w:rFonts w:ascii="Arial" w:hAnsi="Arial" w:cs="Arial"/>
          <w:sz w:val="24"/>
          <w:szCs w:val="24"/>
        </w:rPr>
        <w:t xml:space="preserve">of </w:t>
      </w:r>
      <w:r w:rsidR="00F51BD6" w:rsidRPr="00593BCE">
        <w:rPr>
          <w:rFonts w:ascii="Arial" w:hAnsi="Arial" w:cs="Arial"/>
          <w:sz w:val="24"/>
          <w:szCs w:val="24"/>
        </w:rPr>
        <w:t xml:space="preserve">LOS </w:t>
      </w:r>
      <w:r w:rsidR="003F1DD6" w:rsidRPr="00593BCE">
        <w:rPr>
          <w:rFonts w:ascii="Arial" w:hAnsi="Arial" w:cs="Arial"/>
          <w:sz w:val="24"/>
          <w:szCs w:val="24"/>
        </w:rPr>
        <w:t xml:space="preserve">between </w:t>
      </w:r>
      <w:r w:rsidR="001C431F" w:rsidRPr="00593BCE">
        <w:rPr>
          <w:rFonts w:ascii="Arial" w:hAnsi="Arial" w:cs="Arial"/>
          <w:sz w:val="24"/>
          <w:szCs w:val="24"/>
        </w:rPr>
        <w:t xml:space="preserve">the </w:t>
      </w:r>
      <w:r w:rsidR="00FE2B75" w:rsidRPr="00593BCE">
        <w:rPr>
          <w:rFonts w:ascii="Arial" w:hAnsi="Arial" w:cs="Arial"/>
          <w:sz w:val="24"/>
          <w:szCs w:val="24"/>
        </w:rPr>
        <w:t>4AT</w:t>
      </w:r>
      <w:r w:rsidR="00A237ED" w:rsidRPr="00593BCE">
        <w:rPr>
          <w:rFonts w:ascii="Arial" w:hAnsi="Arial" w:cs="Arial"/>
          <w:sz w:val="24"/>
          <w:szCs w:val="24"/>
        </w:rPr>
        <w:t xml:space="preserve"> </w:t>
      </w:r>
      <w:r w:rsidRPr="00593BCE">
        <w:rPr>
          <w:rFonts w:ascii="Arial" w:hAnsi="Arial" w:cs="Arial"/>
          <w:sz w:val="24"/>
          <w:szCs w:val="24"/>
        </w:rPr>
        <w:t xml:space="preserve">groups </w:t>
      </w:r>
      <w:r w:rsidR="00A237ED" w:rsidRPr="00593BCE">
        <w:rPr>
          <w:rFonts w:ascii="Arial" w:hAnsi="Arial" w:cs="Arial"/>
          <w:sz w:val="24"/>
          <w:szCs w:val="24"/>
        </w:rPr>
        <w:t>were tested by ANOVA</w:t>
      </w:r>
      <w:r w:rsidR="001C431F" w:rsidRPr="00593BCE">
        <w:rPr>
          <w:rFonts w:ascii="Arial" w:hAnsi="Arial" w:cs="Arial"/>
          <w:sz w:val="24"/>
          <w:szCs w:val="24"/>
        </w:rPr>
        <w:t>,</w:t>
      </w:r>
      <w:r w:rsidR="00140371" w:rsidRPr="00593BCE">
        <w:rPr>
          <w:rFonts w:ascii="Arial" w:hAnsi="Arial" w:cs="Arial"/>
          <w:sz w:val="24"/>
          <w:szCs w:val="24"/>
        </w:rPr>
        <w:t xml:space="preserve"> </w:t>
      </w:r>
      <w:r w:rsidR="008F2815" w:rsidRPr="00593BCE">
        <w:rPr>
          <w:rFonts w:ascii="Arial" w:hAnsi="Arial" w:cs="Arial"/>
          <w:sz w:val="24"/>
          <w:szCs w:val="24"/>
        </w:rPr>
        <w:t xml:space="preserve">with </w:t>
      </w:r>
      <w:r w:rsidR="008F2815" w:rsidRPr="00593BCE">
        <w:rPr>
          <w:rFonts w:ascii="Arial" w:hAnsi="Arial" w:cs="Arial"/>
          <w:i/>
          <w:sz w:val="24"/>
          <w:szCs w:val="24"/>
        </w:rPr>
        <w:t>post-hoc</w:t>
      </w:r>
      <w:r w:rsidR="008F2815" w:rsidRPr="00593BCE">
        <w:rPr>
          <w:rFonts w:ascii="Arial" w:hAnsi="Arial" w:cs="Arial"/>
          <w:sz w:val="24"/>
          <w:szCs w:val="24"/>
        </w:rPr>
        <w:t xml:space="preserve"> analysis using a least significant difference (LSD) test.</w:t>
      </w:r>
      <w:r w:rsidR="008F2815" w:rsidRPr="00593BCE" w:rsidDel="00140371">
        <w:rPr>
          <w:rFonts w:ascii="Arial" w:hAnsi="Arial" w:cs="Arial"/>
          <w:sz w:val="24"/>
          <w:szCs w:val="24"/>
        </w:rPr>
        <w:t xml:space="preserve"> </w:t>
      </w:r>
      <w:r w:rsidR="008F2815" w:rsidRPr="00593BCE">
        <w:rPr>
          <w:rFonts w:ascii="Arial" w:hAnsi="Arial" w:cs="Arial"/>
          <w:sz w:val="24"/>
          <w:szCs w:val="24"/>
        </w:rPr>
        <w:t xml:space="preserve"> D</w:t>
      </w:r>
      <w:r w:rsidR="003F1DD6" w:rsidRPr="00593BCE">
        <w:rPr>
          <w:rFonts w:ascii="Arial" w:hAnsi="Arial" w:cs="Arial"/>
          <w:sz w:val="24"/>
          <w:szCs w:val="24"/>
        </w:rPr>
        <w:t xml:space="preserve">ifferences between categorical </w:t>
      </w:r>
      <w:r w:rsidR="002E3EE0" w:rsidRPr="00593BCE">
        <w:rPr>
          <w:rFonts w:ascii="Arial" w:hAnsi="Arial" w:cs="Arial"/>
          <w:sz w:val="24"/>
          <w:szCs w:val="24"/>
        </w:rPr>
        <w:t xml:space="preserve">outcome </w:t>
      </w:r>
      <w:r w:rsidR="003F1DD6" w:rsidRPr="00593BCE">
        <w:rPr>
          <w:rFonts w:ascii="Arial" w:hAnsi="Arial" w:cs="Arial"/>
          <w:sz w:val="24"/>
          <w:szCs w:val="24"/>
        </w:rPr>
        <w:t xml:space="preserve">variables </w:t>
      </w:r>
      <w:r w:rsidRPr="00593BCE">
        <w:rPr>
          <w:rFonts w:ascii="Arial" w:hAnsi="Arial" w:cs="Arial"/>
          <w:sz w:val="24"/>
          <w:szCs w:val="24"/>
        </w:rPr>
        <w:t xml:space="preserve">were tested with </w:t>
      </w:r>
      <w:r w:rsidR="003F1DD6" w:rsidRPr="00593BCE">
        <w:rPr>
          <w:rFonts w:ascii="Arial" w:hAnsi="Arial" w:cs="Arial"/>
          <w:sz w:val="24"/>
          <w:szCs w:val="24"/>
        </w:rPr>
        <w:t>chi-squared test</w:t>
      </w:r>
      <w:r w:rsidR="00F21485" w:rsidRPr="00593BCE">
        <w:rPr>
          <w:rFonts w:ascii="Arial" w:hAnsi="Arial" w:cs="Arial"/>
          <w:sz w:val="24"/>
          <w:szCs w:val="24"/>
        </w:rPr>
        <w:t>s</w:t>
      </w:r>
      <w:r w:rsidR="003F1DD6" w:rsidRPr="00593BCE">
        <w:rPr>
          <w:rFonts w:ascii="Arial" w:hAnsi="Arial" w:cs="Arial"/>
          <w:sz w:val="24"/>
          <w:szCs w:val="24"/>
        </w:rPr>
        <w:t xml:space="preserve">. </w:t>
      </w:r>
      <w:r w:rsidR="00420655" w:rsidRPr="00593BCE">
        <w:rPr>
          <w:rFonts w:ascii="Arial" w:hAnsi="Arial" w:cs="Arial"/>
          <w:sz w:val="24"/>
          <w:szCs w:val="24"/>
        </w:rPr>
        <w:t xml:space="preserve">Logistic regression was conducted to assess the </w:t>
      </w:r>
      <w:r w:rsidR="00B118A8" w:rsidRPr="00593BCE">
        <w:rPr>
          <w:rFonts w:ascii="Arial" w:hAnsi="Arial" w:cs="Arial"/>
          <w:sz w:val="24"/>
          <w:szCs w:val="24"/>
        </w:rPr>
        <w:t>association of</w:t>
      </w:r>
      <w:r w:rsidR="00184FF3" w:rsidRPr="00593BCE">
        <w:rPr>
          <w:rFonts w:ascii="Arial" w:hAnsi="Arial" w:cs="Arial"/>
          <w:sz w:val="24"/>
          <w:szCs w:val="24"/>
        </w:rPr>
        <w:t xml:space="preserve"> 4AT </w:t>
      </w:r>
      <w:r w:rsidR="00B118A8" w:rsidRPr="00593BCE">
        <w:rPr>
          <w:rFonts w:ascii="Arial" w:hAnsi="Arial" w:cs="Arial"/>
          <w:sz w:val="24"/>
          <w:szCs w:val="24"/>
        </w:rPr>
        <w:t>scores with outcome measures including</w:t>
      </w:r>
      <w:r w:rsidR="009062C8" w:rsidRPr="00593BCE">
        <w:rPr>
          <w:rFonts w:ascii="Arial" w:hAnsi="Arial" w:cs="Arial"/>
          <w:sz w:val="24"/>
          <w:szCs w:val="24"/>
        </w:rPr>
        <w:t xml:space="preserve"> </w:t>
      </w:r>
      <w:r w:rsidR="00632422" w:rsidRPr="00593BCE">
        <w:rPr>
          <w:rFonts w:ascii="Arial" w:hAnsi="Arial" w:cs="Arial"/>
          <w:sz w:val="24"/>
          <w:szCs w:val="24"/>
        </w:rPr>
        <w:t xml:space="preserve">failure to mobilise </w:t>
      </w:r>
      <w:r w:rsidR="005155FC" w:rsidRPr="00593BCE">
        <w:rPr>
          <w:rFonts w:ascii="Arial" w:hAnsi="Arial" w:cs="Arial"/>
          <w:sz w:val="24"/>
          <w:szCs w:val="24"/>
        </w:rPr>
        <w:t xml:space="preserve">within 1-day </w:t>
      </w:r>
      <w:r w:rsidR="00BD211E" w:rsidRPr="00593BCE">
        <w:rPr>
          <w:rFonts w:ascii="Arial" w:hAnsi="Arial" w:cs="Arial"/>
          <w:sz w:val="24"/>
          <w:szCs w:val="24"/>
        </w:rPr>
        <w:t>after</w:t>
      </w:r>
      <w:r w:rsidR="005155FC" w:rsidRPr="00593BCE">
        <w:rPr>
          <w:rFonts w:ascii="Arial" w:hAnsi="Arial" w:cs="Arial"/>
          <w:sz w:val="24"/>
          <w:szCs w:val="24"/>
        </w:rPr>
        <w:t xml:space="preserve"> </w:t>
      </w:r>
      <w:r w:rsidR="00E50D54" w:rsidRPr="00593BCE">
        <w:rPr>
          <w:rFonts w:ascii="Arial" w:hAnsi="Arial" w:cs="Arial"/>
          <w:sz w:val="24"/>
          <w:szCs w:val="24"/>
        </w:rPr>
        <w:t xml:space="preserve">hip surgery, </w:t>
      </w:r>
      <w:r w:rsidR="00420655" w:rsidRPr="00593BCE">
        <w:rPr>
          <w:rFonts w:ascii="Arial" w:hAnsi="Arial" w:cs="Arial"/>
          <w:sz w:val="24"/>
          <w:szCs w:val="24"/>
        </w:rPr>
        <w:t>prolonged LOS</w:t>
      </w:r>
      <w:r w:rsidR="00F21485" w:rsidRPr="00593BCE">
        <w:rPr>
          <w:rFonts w:ascii="Arial" w:hAnsi="Arial" w:cs="Arial"/>
          <w:sz w:val="24"/>
          <w:szCs w:val="24"/>
        </w:rPr>
        <w:t xml:space="preserve">, </w:t>
      </w:r>
      <w:r w:rsidR="00420655" w:rsidRPr="00593BCE">
        <w:rPr>
          <w:rFonts w:ascii="Arial" w:hAnsi="Arial" w:cs="Arial"/>
          <w:sz w:val="24"/>
          <w:szCs w:val="24"/>
        </w:rPr>
        <w:t>death in hospital</w:t>
      </w:r>
      <w:r w:rsidR="00140371" w:rsidRPr="00593BCE">
        <w:rPr>
          <w:rFonts w:ascii="Arial" w:hAnsi="Arial" w:cs="Arial"/>
          <w:sz w:val="24"/>
          <w:szCs w:val="24"/>
        </w:rPr>
        <w:t>,</w:t>
      </w:r>
      <w:r w:rsidR="00420655" w:rsidRPr="00593BCE">
        <w:rPr>
          <w:rFonts w:ascii="Arial" w:hAnsi="Arial" w:cs="Arial"/>
          <w:sz w:val="24"/>
          <w:szCs w:val="24"/>
        </w:rPr>
        <w:t xml:space="preserve"> </w:t>
      </w:r>
      <w:r w:rsidR="009062C8" w:rsidRPr="00593BCE">
        <w:rPr>
          <w:rFonts w:ascii="Arial" w:hAnsi="Arial" w:cs="Arial"/>
          <w:sz w:val="24"/>
          <w:szCs w:val="24"/>
        </w:rPr>
        <w:t xml:space="preserve">and </w:t>
      </w:r>
      <w:r w:rsidR="00E50D54" w:rsidRPr="00593BCE">
        <w:rPr>
          <w:rFonts w:ascii="Arial" w:hAnsi="Arial" w:cs="Arial"/>
          <w:sz w:val="24"/>
          <w:szCs w:val="24"/>
        </w:rPr>
        <w:t>change</w:t>
      </w:r>
      <w:r w:rsidR="00213B6C" w:rsidRPr="00593BCE">
        <w:rPr>
          <w:rFonts w:ascii="Arial" w:hAnsi="Arial" w:cs="Arial"/>
          <w:sz w:val="24"/>
          <w:szCs w:val="24"/>
        </w:rPr>
        <w:t xml:space="preserve"> in residence on</w:t>
      </w:r>
      <w:r w:rsidR="00DC08AA" w:rsidRPr="00593BCE">
        <w:rPr>
          <w:rFonts w:ascii="Arial" w:hAnsi="Arial" w:cs="Arial"/>
          <w:sz w:val="24"/>
          <w:szCs w:val="24"/>
        </w:rPr>
        <w:t xml:space="preserve"> </w:t>
      </w:r>
      <w:r w:rsidR="009062C8" w:rsidRPr="00593BCE">
        <w:rPr>
          <w:rFonts w:ascii="Arial" w:hAnsi="Arial" w:cs="Arial"/>
          <w:sz w:val="24"/>
          <w:szCs w:val="24"/>
        </w:rPr>
        <w:t>discharge</w:t>
      </w:r>
      <w:r w:rsidR="00184FF3" w:rsidRPr="00593BCE">
        <w:rPr>
          <w:rFonts w:ascii="Arial" w:hAnsi="Arial" w:cs="Arial"/>
          <w:sz w:val="24"/>
          <w:szCs w:val="24"/>
        </w:rPr>
        <w:t xml:space="preserve">. </w:t>
      </w:r>
      <w:r w:rsidR="00140371" w:rsidRPr="00593BCE">
        <w:rPr>
          <w:rFonts w:ascii="Arial" w:hAnsi="Arial" w:cs="Arial"/>
          <w:sz w:val="24"/>
          <w:szCs w:val="24"/>
        </w:rPr>
        <w:t>R</w:t>
      </w:r>
      <w:r w:rsidR="00615810" w:rsidRPr="00593BCE">
        <w:rPr>
          <w:rFonts w:ascii="Arial" w:hAnsi="Arial" w:cs="Arial"/>
          <w:sz w:val="24"/>
          <w:szCs w:val="24"/>
        </w:rPr>
        <w:t xml:space="preserve">esults </w:t>
      </w:r>
      <w:r w:rsidRPr="00593BCE">
        <w:rPr>
          <w:rFonts w:ascii="Arial" w:hAnsi="Arial" w:cs="Arial"/>
          <w:sz w:val="24"/>
          <w:szCs w:val="24"/>
        </w:rPr>
        <w:t xml:space="preserve">are </w:t>
      </w:r>
      <w:r w:rsidR="00615810" w:rsidRPr="00593BCE">
        <w:rPr>
          <w:rFonts w:ascii="Arial" w:hAnsi="Arial" w:cs="Arial"/>
          <w:sz w:val="24"/>
          <w:szCs w:val="24"/>
        </w:rPr>
        <w:t xml:space="preserve">presented </w:t>
      </w:r>
      <w:r w:rsidRPr="00593BCE">
        <w:rPr>
          <w:rFonts w:ascii="Arial" w:hAnsi="Arial" w:cs="Arial"/>
          <w:sz w:val="24"/>
          <w:szCs w:val="24"/>
        </w:rPr>
        <w:t xml:space="preserve">as </w:t>
      </w:r>
      <w:r w:rsidR="00615810" w:rsidRPr="00593BCE">
        <w:rPr>
          <w:rFonts w:ascii="Arial" w:hAnsi="Arial" w:cs="Arial"/>
          <w:sz w:val="24"/>
          <w:szCs w:val="24"/>
        </w:rPr>
        <w:t>four models</w:t>
      </w:r>
      <w:r w:rsidR="00140371" w:rsidRPr="00593BCE">
        <w:rPr>
          <w:rFonts w:ascii="Arial" w:hAnsi="Arial" w:cs="Arial"/>
          <w:sz w:val="24"/>
          <w:szCs w:val="24"/>
        </w:rPr>
        <w:t>:</w:t>
      </w:r>
      <w:r w:rsidR="00615810" w:rsidRPr="00593BCE">
        <w:rPr>
          <w:rFonts w:ascii="Arial" w:hAnsi="Arial" w:cs="Arial"/>
          <w:sz w:val="24"/>
          <w:szCs w:val="24"/>
        </w:rPr>
        <w:t xml:space="preserve"> </w:t>
      </w:r>
      <w:r w:rsidR="00615810" w:rsidRPr="00593BCE">
        <w:rPr>
          <w:rFonts w:ascii="Arial" w:hAnsi="Arial" w:cs="Arial"/>
          <w:i/>
          <w:sz w:val="24"/>
          <w:szCs w:val="24"/>
        </w:rPr>
        <w:t>model 1</w:t>
      </w:r>
      <w:r w:rsidR="00140371" w:rsidRPr="00593BCE">
        <w:rPr>
          <w:rFonts w:ascii="Arial" w:hAnsi="Arial" w:cs="Arial"/>
          <w:sz w:val="24"/>
          <w:szCs w:val="24"/>
        </w:rPr>
        <w:t>,</w:t>
      </w:r>
      <w:r w:rsidR="00615810" w:rsidRPr="00593BCE">
        <w:rPr>
          <w:rFonts w:ascii="Arial" w:hAnsi="Arial" w:cs="Arial"/>
          <w:sz w:val="24"/>
          <w:szCs w:val="24"/>
        </w:rPr>
        <w:t xml:space="preserve"> unadjusted</w:t>
      </w:r>
      <w:r w:rsidR="00140371" w:rsidRPr="00593BCE">
        <w:rPr>
          <w:rFonts w:ascii="Arial" w:hAnsi="Arial" w:cs="Arial"/>
          <w:sz w:val="24"/>
          <w:szCs w:val="24"/>
        </w:rPr>
        <w:t>;</w:t>
      </w:r>
      <w:r w:rsidR="00615810" w:rsidRPr="00593BCE">
        <w:rPr>
          <w:rFonts w:ascii="Arial" w:hAnsi="Arial" w:cs="Arial"/>
          <w:sz w:val="24"/>
          <w:szCs w:val="24"/>
        </w:rPr>
        <w:t xml:space="preserve"> </w:t>
      </w:r>
      <w:r w:rsidR="00615810" w:rsidRPr="00593BCE">
        <w:rPr>
          <w:rFonts w:ascii="Arial" w:hAnsi="Arial" w:cs="Arial"/>
          <w:i/>
          <w:sz w:val="24"/>
          <w:szCs w:val="24"/>
        </w:rPr>
        <w:t>model 2</w:t>
      </w:r>
      <w:r w:rsidR="00140371" w:rsidRPr="00593BCE">
        <w:rPr>
          <w:rFonts w:ascii="Arial" w:hAnsi="Arial" w:cs="Arial"/>
          <w:sz w:val="24"/>
          <w:szCs w:val="24"/>
        </w:rPr>
        <w:t>,</w:t>
      </w:r>
      <w:r w:rsidR="00615810" w:rsidRPr="00593BCE">
        <w:rPr>
          <w:rFonts w:ascii="Arial" w:hAnsi="Arial" w:cs="Arial"/>
          <w:sz w:val="24"/>
          <w:szCs w:val="24"/>
        </w:rPr>
        <w:t xml:space="preserve"> adjusted for age and sex</w:t>
      </w:r>
      <w:r w:rsidR="00140371" w:rsidRPr="00593BCE">
        <w:rPr>
          <w:rFonts w:ascii="Arial" w:hAnsi="Arial" w:cs="Arial"/>
          <w:sz w:val="24"/>
          <w:szCs w:val="24"/>
        </w:rPr>
        <w:t>;</w:t>
      </w:r>
      <w:r w:rsidR="00615810" w:rsidRPr="00593BCE">
        <w:rPr>
          <w:rFonts w:ascii="Arial" w:hAnsi="Arial" w:cs="Arial"/>
          <w:sz w:val="24"/>
          <w:szCs w:val="24"/>
        </w:rPr>
        <w:t xml:space="preserve"> </w:t>
      </w:r>
      <w:r w:rsidR="00615810" w:rsidRPr="00593BCE">
        <w:rPr>
          <w:rFonts w:ascii="Arial" w:hAnsi="Arial" w:cs="Arial"/>
          <w:i/>
          <w:sz w:val="24"/>
          <w:szCs w:val="24"/>
        </w:rPr>
        <w:t>model 3</w:t>
      </w:r>
      <w:r w:rsidR="00140371" w:rsidRPr="00593BCE">
        <w:rPr>
          <w:rFonts w:ascii="Arial" w:hAnsi="Arial" w:cs="Arial"/>
          <w:sz w:val="24"/>
          <w:szCs w:val="24"/>
        </w:rPr>
        <w:t>,</w:t>
      </w:r>
      <w:r w:rsidR="00615810" w:rsidRPr="00593BCE">
        <w:rPr>
          <w:rFonts w:ascii="Arial" w:hAnsi="Arial" w:cs="Arial"/>
          <w:sz w:val="24"/>
          <w:szCs w:val="24"/>
        </w:rPr>
        <w:t xml:space="preserve"> additional adjustment to model 2 for </w:t>
      </w:r>
      <w:r w:rsidR="00454080" w:rsidRPr="00593BCE">
        <w:rPr>
          <w:rFonts w:ascii="Arial" w:hAnsi="Arial" w:cs="Arial"/>
          <w:sz w:val="24"/>
          <w:szCs w:val="24"/>
        </w:rPr>
        <w:t>nutritional status</w:t>
      </w:r>
      <w:r w:rsidR="00F80101" w:rsidRPr="00593BCE">
        <w:rPr>
          <w:rFonts w:ascii="Arial" w:hAnsi="Arial" w:cs="Arial"/>
          <w:sz w:val="24"/>
          <w:szCs w:val="24"/>
        </w:rPr>
        <w:t>,</w:t>
      </w:r>
      <w:r w:rsidR="00152526" w:rsidRPr="00593BCE">
        <w:rPr>
          <w:rFonts w:ascii="Arial" w:hAnsi="Arial" w:cs="Arial"/>
          <w:sz w:val="24"/>
          <w:szCs w:val="24"/>
        </w:rPr>
        <w:t xml:space="preserve"> co-morbidities (dementia, Parkinson’s disease and stroke)</w:t>
      </w:r>
      <w:r w:rsidR="00F80101" w:rsidRPr="00593BCE">
        <w:rPr>
          <w:rFonts w:ascii="Arial" w:hAnsi="Arial" w:cs="Arial"/>
          <w:sz w:val="24"/>
          <w:szCs w:val="24"/>
        </w:rPr>
        <w:t xml:space="preserve"> and</w:t>
      </w:r>
      <w:r w:rsidR="00152526" w:rsidRPr="00593BCE">
        <w:rPr>
          <w:rFonts w:ascii="Arial" w:hAnsi="Arial" w:cs="Arial"/>
          <w:sz w:val="24"/>
          <w:szCs w:val="24"/>
        </w:rPr>
        <w:t xml:space="preserve"> medications (polypharmacy and ACB)</w:t>
      </w:r>
      <w:r w:rsidR="00140371" w:rsidRPr="00593BCE">
        <w:rPr>
          <w:rFonts w:ascii="Arial" w:hAnsi="Arial" w:cs="Arial"/>
          <w:sz w:val="24"/>
          <w:szCs w:val="24"/>
        </w:rPr>
        <w:t>;</w:t>
      </w:r>
      <w:r w:rsidR="00F80101" w:rsidRPr="00593BCE">
        <w:rPr>
          <w:rFonts w:ascii="Arial" w:hAnsi="Arial" w:cs="Arial"/>
          <w:sz w:val="24"/>
          <w:szCs w:val="24"/>
        </w:rPr>
        <w:t xml:space="preserve"> </w:t>
      </w:r>
      <w:r w:rsidR="00F80101" w:rsidRPr="00593BCE">
        <w:rPr>
          <w:rFonts w:ascii="Arial" w:hAnsi="Arial" w:cs="Arial"/>
          <w:i/>
          <w:sz w:val="24"/>
          <w:szCs w:val="24"/>
        </w:rPr>
        <w:t>model 4</w:t>
      </w:r>
      <w:r w:rsidR="00140371" w:rsidRPr="00593BCE">
        <w:rPr>
          <w:rFonts w:ascii="Arial" w:hAnsi="Arial" w:cs="Arial"/>
          <w:sz w:val="24"/>
          <w:szCs w:val="24"/>
        </w:rPr>
        <w:t>,</w:t>
      </w:r>
      <w:r w:rsidR="00F80101" w:rsidRPr="00593BCE">
        <w:rPr>
          <w:rFonts w:ascii="Arial" w:hAnsi="Arial" w:cs="Arial"/>
          <w:sz w:val="24"/>
          <w:szCs w:val="24"/>
        </w:rPr>
        <w:t xml:space="preserve"> </w:t>
      </w:r>
      <w:r w:rsidR="005155FC" w:rsidRPr="00593BCE">
        <w:rPr>
          <w:rFonts w:ascii="Arial" w:hAnsi="Arial" w:cs="Arial"/>
          <w:sz w:val="24"/>
          <w:szCs w:val="24"/>
        </w:rPr>
        <w:t>r</w:t>
      </w:r>
      <w:r w:rsidR="009F1A15" w:rsidRPr="00593BCE">
        <w:rPr>
          <w:rFonts w:ascii="Arial" w:hAnsi="Arial" w:cs="Arial"/>
          <w:sz w:val="24"/>
          <w:szCs w:val="24"/>
        </w:rPr>
        <w:t>epeat of model 3 in patients without</w:t>
      </w:r>
      <w:r w:rsidR="00681074" w:rsidRPr="00593BCE">
        <w:rPr>
          <w:rFonts w:ascii="Arial" w:hAnsi="Arial" w:cs="Arial"/>
          <w:sz w:val="24"/>
          <w:szCs w:val="24"/>
        </w:rPr>
        <w:t xml:space="preserve"> a history of</w:t>
      </w:r>
      <w:r w:rsidR="009F1A15" w:rsidRPr="00593BCE">
        <w:rPr>
          <w:rFonts w:ascii="Arial" w:hAnsi="Arial" w:cs="Arial"/>
          <w:sz w:val="24"/>
          <w:szCs w:val="24"/>
        </w:rPr>
        <w:t xml:space="preserve"> dementia</w:t>
      </w:r>
      <w:r w:rsidR="00F80101" w:rsidRPr="00593BCE">
        <w:rPr>
          <w:rFonts w:ascii="Arial" w:hAnsi="Arial" w:cs="Arial"/>
          <w:sz w:val="24"/>
          <w:szCs w:val="24"/>
        </w:rPr>
        <w:t xml:space="preserve">. </w:t>
      </w:r>
      <w:r w:rsidRPr="00593BCE">
        <w:rPr>
          <w:rFonts w:ascii="Arial" w:hAnsi="Arial" w:cs="Arial"/>
          <w:sz w:val="24"/>
          <w:szCs w:val="24"/>
        </w:rPr>
        <w:t>O</w:t>
      </w:r>
      <w:r w:rsidR="00F80101" w:rsidRPr="00593BCE">
        <w:rPr>
          <w:rFonts w:ascii="Arial" w:hAnsi="Arial" w:cs="Arial"/>
          <w:sz w:val="24"/>
          <w:szCs w:val="24"/>
        </w:rPr>
        <w:t xml:space="preserve">dds ratios (OR) </w:t>
      </w:r>
      <w:r w:rsidRPr="00593BCE">
        <w:rPr>
          <w:rFonts w:ascii="Arial" w:hAnsi="Arial" w:cs="Arial"/>
          <w:sz w:val="24"/>
          <w:szCs w:val="24"/>
        </w:rPr>
        <w:t xml:space="preserve">are given </w:t>
      </w:r>
      <w:r w:rsidR="00140371" w:rsidRPr="00593BCE">
        <w:rPr>
          <w:rFonts w:ascii="Arial" w:hAnsi="Arial" w:cs="Arial"/>
          <w:sz w:val="24"/>
          <w:szCs w:val="24"/>
        </w:rPr>
        <w:t xml:space="preserve">with </w:t>
      </w:r>
      <w:r w:rsidR="00F80101" w:rsidRPr="00593BCE">
        <w:rPr>
          <w:rFonts w:ascii="Arial" w:hAnsi="Arial" w:cs="Arial"/>
          <w:sz w:val="24"/>
          <w:szCs w:val="24"/>
        </w:rPr>
        <w:t>95% confidence intervals (CI).</w:t>
      </w:r>
      <w:r w:rsidR="00C40EED" w:rsidRPr="00593BCE">
        <w:rPr>
          <w:rFonts w:ascii="Arial" w:hAnsi="Arial" w:cs="Arial"/>
          <w:sz w:val="24"/>
          <w:szCs w:val="24"/>
        </w:rPr>
        <w:t xml:space="preserve"> Analyses were performed using IBM SPSS Statistics, v23.0 (IBM Corp., Armonk, NY).</w:t>
      </w:r>
    </w:p>
    <w:p w14:paraId="50A88F72" w14:textId="77777777" w:rsidR="00BF62BC" w:rsidRPr="00593BCE" w:rsidRDefault="00BF62BC" w:rsidP="004F7E7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D93E9E5" w14:textId="4679DB84" w:rsidR="00BF62BC" w:rsidRPr="00593BCE" w:rsidRDefault="00BF62BC" w:rsidP="004F7E7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t>RESULTS</w:t>
      </w:r>
    </w:p>
    <w:p w14:paraId="3627495A" w14:textId="57824F1A" w:rsidR="007F45C7" w:rsidRPr="00593BCE" w:rsidRDefault="00270C9C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>A</w:t>
      </w:r>
      <w:r w:rsidR="00B27148" w:rsidRPr="00593BCE">
        <w:rPr>
          <w:rFonts w:ascii="Arial" w:hAnsi="Arial" w:cs="Arial"/>
          <w:sz w:val="24"/>
          <w:szCs w:val="24"/>
        </w:rPr>
        <w:t xml:space="preserve"> </w:t>
      </w:r>
      <w:r w:rsidR="007F45C7" w:rsidRPr="00593BCE">
        <w:rPr>
          <w:rFonts w:ascii="Arial" w:hAnsi="Arial" w:cs="Arial"/>
          <w:sz w:val="24"/>
          <w:szCs w:val="24"/>
        </w:rPr>
        <w:t xml:space="preserve">total of </w:t>
      </w:r>
      <w:r w:rsidR="008F4282" w:rsidRPr="00593BCE">
        <w:rPr>
          <w:rFonts w:ascii="Arial" w:hAnsi="Arial" w:cs="Arial"/>
          <w:sz w:val="24"/>
          <w:szCs w:val="24"/>
        </w:rPr>
        <w:t>537</w:t>
      </w:r>
      <w:r w:rsidR="007F45C7" w:rsidRPr="00593BCE">
        <w:rPr>
          <w:rFonts w:ascii="Arial" w:hAnsi="Arial" w:cs="Arial"/>
          <w:sz w:val="24"/>
          <w:szCs w:val="24"/>
        </w:rPr>
        <w:t xml:space="preserve"> patients</w:t>
      </w:r>
      <w:r w:rsidR="00B27148" w:rsidRPr="00593BCE">
        <w:rPr>
          <w:rFonts w:ascii="Arial" w:hAnsi="Arial" w:cs="Arial"/>
          <w:sz w:val="24"/>
          <w:szCs w:val="24"/>
        </w:rPr>
        <w:t xml:space="preserve"> (3</w:t>
      </w:r>
      <w:r w:rsidR="00332F3E" w:rsidRPr="00593BCE">
        <w:rPr>
          <w:rFonts w:ascii="Arial" w:hAnsi="Arial" w:cs="Arial"/>
          <w:sz w:val="24"/>
          <w:szCs w:val="24"/>
        </w:rPr>
        <w:t xml:space="preserve">92 women, </w:t>
      </w:r>
      <w:r w:rsidR="008F4282" w:rsidRPr="00593BCE">
        <w:rPr>
          <w:rFonts w:ascii="Arial" w:hAnsi="Arial" w:cs="Arial"/>
          <w:sz w:val="24"/>
          <w:szCs w:val="24"/>
        </w:rPr>
        <w:t>145</w:t>
      </w:r>
      <w:r w:rsidR="00B27148" w:rsidRPr="00593BCE">
        <w:rPr>
          <w:rFonts w:ascii="Arial" w:hAnsi="Arial" w:cs="Arial"/>
          <w:sz w:val="24"/>
          <w:szCs w:val="24"/>
        </w:rPr>
        <w:t xml:space="preserve"> men) </w:t>
      </w:r>
      <w:r w:rsidRPr="00593BCE">
        <w:rPr>
          <w:rFonts w:ascii="Arial" w:hAnsi="Arial" w:cs="Arial"/>
          <w:sz w:val="24"/>
          <w:szCs w:val="24"/>
        </w:rPr>
        <w:t xml:space="preserve">were admitted </w:t>
      </w:r>
      <w:r w:rsidR="00B27148" w:rsidRPr="00593BCE">
        <w:rPr>
          <w:rFonts w:ascii="Arial" w:hAnsi="Arial" w:cs="Arial"/>
          <w:sz w:val="24"/>
          <w:szCs w:val="24"/>
        </w:rPr>
        <w:t xml:space="preserve">with </w:t>
      </w:r>
      <w:r w:rsidR="00CA153A" w:rsidRPr="00593BCE">
        <w:rPr>
          <w:rFonts w:ascii="Arial" w:hAnsi="Arial" w:cs="Arial"/>
          <w:sz w:val="24"/>
          <w:szCs w:val="24"/>
        </w:rPr>
        <w:t xml:space="preserve">a </w:t>
      </w:r>
      <w:r w:rsidR="00B27148" w:rsidRPr="00593BCE">
        <w:rPr>
          <w:rFonts w:ascii="Arial" w:hAnsi="Arial" w:cs="Arial"/>
          <w:sz w:val="24"/>
          <w:szCs w:val="24"/>
        </w:rPr>
        <w:t>mean age of 83.</w:t>
      </w:r>
      <w:r w:rsidR="008F4282" w:rsidRPr="00593BCE">
        <w:rPr>
          <w:rFonts w:ascii="Arial" w:hAnsi="Arial" w:cs="Arial"/>
          <w:sz w:val="24"/>
          <w:szCs w:val="24"/>
        </w:rPr>
        <w:t>7</w:t>
      </w:r>
      <w:r w:rsidR="00815CAF" w:rsidRPr="00593BCE">
        <w:rPr>
          <w:rFonts w:ascii="Arial" w:hAnsi="Arial" w:cs="Arial"/>
          <w:sz w:val="24"/>
          <w:szCs w:val="24"/>
        </w:rPr>
        <w:t>±8.8</w:t>
      </w:r>
      <w:r w:rsidR="00CA1A59" w:rsidRPr="00593BCE">
        <w:rPr>
          <w:rFonts w:ascii="Arial" w:hAnsi="Arial" w:cs="Arial"/>
          <w:sz w:val="24"/>
          <w:szCs w:val="24"/>
        </w:rPr>
        <w:t xml:space="preserve"> </w:t>
      </w:r>
      <w:r w:rsidR="00B27148" w:rsidRPr="00593BCE">
        <w:rPr>
          <w:rFonts w:ascii="Arial" w:hAnsi="Arial" w:cs="Arial"/>
          <w:sz w:val="24"/>
          <w:szCs w:val="24"/>
        </w:rPr>
        <w:t>year</w:t>
      </w:r>
      <w:r w:rsidR="00815CAF" w:rsidRPr="00593BCE">
        <w:rPr>
          <w:rFonts w:ascii="Arial" w:hAnsi="Arial" w:cs="Arial"/>
          <w:sz w:val="24"/>
          <w:szCs w:val="24"/>
        </w:rPr>
        <w:t>s</w:t>
      </w:r>
      <w:r w:rsidRPr="00593BCE">
        <w:rPr>
          <w:rFonts w:ascii="Arial" w:hAnsi="Arial" w:cs="Arial"/>
          <w:sz w:val="24"/>
          <w:szCs w:val="24"/>
        </w:rPr>
        <w:t xml:space="preserve">. </w:t>
      </w:r>
      <w:r w:rsidR="001F1E25" w:rsidRPr="00593BCE">
        <w:rPr>
          <w:rFonts w:ascii="Arial" w:hAnsi="Arial" w:cs="Arial"/>
          <w:sz w:val="24"/>
          <w:szCs w:val="24"/>
        </w:rPr>
        <w:t>In</w:t>
      </w:r>
      <w:r w:rsidR="00CA153A" w:rsidRPr="00593BCE">
        <w:rPr>
          <w:rFonts w:ascii="Arial" w:hAnsi="Arial" w:cs="Arial"/>
          <w:sz w:val="24"/>
          <w:szCs w:val="24"/>
        </w:rPr>
        <w:t>-</w:t>
      </w:r>
      <w:r w:rsidR="001F1E25" w:rsidRPr="00593BCE">
        <w:rPr>
          <w:rFonts w:ascii="Arial" w:hAnsi="Arial" w:cs="Arial"/>
          <w:sz w:val="24"/>
          <w:szCs w:val="24"/>
        </w:rPr>
        <w:t xml:space="preserve">patient mean LOS was </w:t>
      </w:r>
      <w:r w:rsidR="00023D6A" w:rsidRPr="00593BCE">
        <w:rPr>
          <w:rFonts w:ascii="Arial" w:hAnsi="Arial" w:cs="Arial"/>
          <w:sz w:val="24"/>
          <w:szCs w:val="24"/>
        </w:rPr>
        <w:t>11.</w:t>
      </w:r>
      <w:r w:rsidR="008F4282" w:rsidRPr="00593BCE">
        <w:rPr>
          <w:rFonts w:ascii="Arial" w:hAnsi="Arial" w:cs="Arial"/>
          <w:sz w:val="24"/>
          <w:szCs w:val="24"/>
        </w:rPr>
        <w:t>6</w:t>
      </w:r>
      <w:r w:rsidR="00815CAF" w:rsidRPr="00593BCE">
        <w:rPr>
          <w:rFonts w:ascii="Arial" w:hAnsi="Arial" w:cs="Arial"/>
          <w:sz w:val="24"/>
          <w:szCs w:val="24"/>
        </w:rPr>
        <w:t>±8.0</w:t>
      </w:r>
      <w:r w:rsidR="00CA1A59" w:rsidRPr="00593BCE">
        <w:rPr>
          <w:rFonts w:ascii="Arial" w:hAnsi="Arial" w:cs="Arial"/>
          <w:sz w:val="24"/>
          <w:szCs w:val="24"/>
        </w:rPr>
        <w:t xml:space="preserve"> </w:t>
      </w:r>
      <w:r w:rsidR="00023D6A" w:rsidRPr="00593BCE">
        <w:rPr>
          <w:rFonts w:ascii="Arial" w:hAnsi="Arial" w:cs="Arial"/>
          <w:sz w:val="24"/>
          <w:szCs w:val="24"/>
        </w:rPr>
        <w:t>days</w:t>
      </w:r>
      <w:r w:rsidR="00815CAF" w:rsidRPr="00593BCE">
        <w:rPr>
          <w:rFonts w:ascii="Arial" w:hAnsi="Arial" w:cs="Arial"/>
          <w:sz w:val="24"/>
          <w:szCs w:val="24"/>
        </w:rPr>
        <w:t>.  T</w:t>
      </w:r>
      <w:r w:rsidR="00CA153A" w:rsidRPr="00593BCE">
        <w:rPr>
          <w:rFonts w:ascii="Arial" w:hAnsi="Arial" w:cs="Arial"/>
          <w:sz w:val="24"/>
          <w:szCs w:val="24"/>
        </w:rPr>
        <w:t xml:space="preserve">he </w:t>
      </w:r>
      <w:r w:rsidR="001F1E25" w:rsidRPr="00593BCE">
        <w:rPr>
          <w:rFonts w:ascii="Arial" w:hAnsi="Arial" w:cs="Arial"/>
          <w:sz w:val="24"/>
          <w:szCs w:val="24"/>
        </w:rPr>
        <w:t>number of deaths was 3</w:t>
      </w:r>
      <w:r w:rsidR="008F4282" w:rsidRPr="00593BCE">
        <w:rPr>
          <w:rFonts w:ascii="Arial" w:hAnsi="Arial" w:cs="Arial"/>
          <w:sz w:val="24"/>
          <w:szCs w:val="24"/>
        </w:rPr>
        <w:t>6</w:t>
      </w:r>
      <w:r w:rsidR="001F1E25" w:rsidRPr="00593BCE">
        <w:rPr>
          <w:rFonts w:ascii="Arial" w:hAnsi="Arial" w:cs="Arial"/>
          <w:sz w:val="24"/>
          <w:szCs w:val="24"/>
        </w:rPr>
        <w:t xml:space="preserve"> (</w:t>
      </w:r>
      <w:r w:rsidR="008F4282" w:rsidRPr="00593BCE">
        <w:rPr>
          <w:rFonts w:ascii="Arial" w:hAnsi="Arial" w:cs="Arial"/>
          <w:sz w:val="24"/>
          <w:szCs w:val="24"/>
        </w:rPr>
        <w:t>6.8</w:t>
      </w:r>
      <w:r w:rsidR="001F1E25" w:rsidRPr="00593BCE">
        <w:rPr>
          <w:rFonts w:ascii="Arial" w:hAnsi="Arial" w:cs="Arial"/>
          <w:sz w:val="24"/>
          <w:szCs w:val="24"/>
        </w:rPr>
        <w:t xml:space="preserve">%). </w:t>
      </w:r>
      <w:r w:rsidRPr="00593BCE">
        <w:rPr>
          <w:rFonts w:ascii="Arial" w:hAnsi="Arial" w:cs="Arial"/>
          <w:sz w:val="24"/>
          <w:szCs w:val="24"/>
        </w:rPr>
        <w:t>There were</w:t>
      </w:r>
      <w:r w:rsidR="007F45C7" w:rsidRPr="00593BCE">
        <w:rPr>
          <w:rFonts w:ascii="Arial" w:hAnsi="Arial" w:cs="Arial"/>
          <w:sz w:val="24"/>
          <w:szCs w:val="24"/>
        </w:rPr>
        <w:t xml:space="preserve"> </w:t>
      </w:r>
      <w:r w:rsidR="00185554" w:rsidRPr="00593BCE">
        <w:rPr>
          <w:rFonts w:ascii="Arial" w:hAnsi="Arial" w:cs="Arial"/>
          <w:sz w:val="24"/>
          <w:szCs w:val="24"/>
        </w:rPr>
        <w:t>441</w:t>
      </w:r>
      <w:r w:rsidR="007F45C7" w:rsidRPr="00593BCE">
        <w:rPr>
          <w:rFonts w:ascii="Arial" w:hAnsi="Arial" w:cs="Arial"/>
          <w:sz w:val="24"/>
          <w:szCs w:val="24"/>
        </w:rPr>
        <w:t xml:space="preserve"> (8</w:t>
      </w:r>
      <w:r w:rsidR="00185554" w:rsidRPr="00593BCE">
        <w:rPr>
          <w:rFonts w:ascii="Arial" w:hAnsi="Arial" w:cs="Arial"/>
          <w:sz w:val="24"/>
          <w:szCs w:val="24"/>
        </w:rPr>
        <w:t>2</w:t>
      </w:r>
      <w:r w:rsidR="007F45C7" w:rsidRPr="00593BCE">
        <w:rPr>
          <w:rFonts w:ascii="Arial" w:hAnsi="Arial" w:cs="Arial"/>
          <w:sz w:val="24"/>
          <w:szCs w:val="24"/>
        </w:rPr>
        <w:t xml:space="preserve">.1%) patients </w:t>
      </w:r>
      <w:r w:rsidR="0070695F" w:rsidRPr="00593BCE">
        <w:rPr>
          <w:rFonts w:ascii="Arial" w:hAnsi="Arial" w:cs="Arial"/>
          <w:sz w:val="24"/>
          <w:szCs w:val="24"/>
        </w:rPr>
        <w:t>admitted</w:t>
      </w:r>
      <w:r w:rsidR="007F45C7" w:rsidRPr="00593BCE">
        <w:rPr>
          <w:rFonts w:ascii="Arial" w:hAnsi="Arial" w:cs="Arial"/>
          <w:sz w:val="24"/>
          <w:szCs w:val="24"/>
        </w:rPr>
        <w:t xml:space="preserve"> from their own home, 6</w:t>
      </w:r>
      <w:r w:rsidR="00185554" w:rsidRPr="00593BCE">
        <w:rPr>
          <w:rFonts w:ascii="Arial" w:hAnsi="Arial" w:cs="Arial"/>
          <w:sz w:val="24"/>
          <w:szCs w:val="24"/>
        </w:rPr>
        <w:t>7</w:t>
      </w:r>
      <w:r w:rsidR="007F45C7" w:rsidRPr="00593BCE">
        <w:rPr>
          <w:rFonts w:ascii="Arial" w:hAnsi="Arial" w:cs="Arial"/>
          <w:sz w:val="24"/>
          <w:szCs w:val="24"/>
        </w:rPr>
        <w:t xml:space="preserve"> (1</w:t>
      </w:r>
      <w:r w:rsidR="00185554" w:rsidRPr="00593BCE">
        <w:rPr>
          <w:rFonts w:ascii="Arial" w:hAnsi="Arial" w:cs="Arial"/>
          <w:sz w:val="24"/>
          <w:szCs w:val="24"/>
        </w:rPr>
        <w:t>2</w:t>
      </w:r>
      <w:r w:rsidR="007F45C7" w:rsidRPr="00593BCE">
        <w:rPr>
          <w:rFonts w:ascii="Arial" w:hAnsi="Arial" w:cs="Arial"/>
          <w:sz w:val="24"/>
          <w:szCs w:val="24"/>
        </w:rPr>
        <w:t>.5%) from residential care and 2</w:t>
      </w:r>
      <w:r w:rsidR="00185554" w:rsidRPr="00593BCE">
        <w:rPr>
          <w:rFonts w:ascii="Arial" w:hAnsi="Arial" w:cs="Arial"/>
          <w:sz w:val="24"/>
          <w:szCs w:val="24"/>
        </w:rPr>
        <w:t>9</w:t>
      </w:r>
      <w:r w:rsidR="007F45C7" w:rsidRPr="00593BCE">
        <w:rPr>
          <w:rFonts w:ascii="Arial" w:hAnsi="Arial" w:cs="Arial"/>
          <w:sz w:val="24"/>
          <w:szCs w:val="24"/>
        </w:rPr>
        <w:t xml:space="preserve"> (5.4%) from nursing care. Among patients who came from their own home, </w:t>
      </w:r>
      <w:r w:rsidR="000F5AC7" w:rsidRPr="00593BCE">
        <w:rPr>
          <w:rFonts w:ascii="Arial" w:hAnsi="Arial" w:cs="Arial"/>
          <w:sz w:val="24"/>
          <w:szCs w:val="24"/>
        </w:rPr>
        <w:t>229</w:t>
      </w:r>
      <w:r w:rsidR="007F45C7" w:rsidRPr="00593BCE">
        <w:rPr>
          <w:rFonts w:ascii="Arial" w:hAnsi="Arial" w:cs="Arial"/>
          <w:sz w:val="24"/>
          <w:szCs w:val="24"/>
        </w:rPr>
        <w:t xml:space="preserve"> (5</w:t>
      </w:r>
      <w:r w:rsidR="000F5AC7" w:rsidRPr="00593BCE">
        <w:rPr>
          <w:rFonts w:ascii="Arial" w:hAnsi="Arial" w:cs="Arial"/>
          <w:sz w:val="24"/>
          <w:szCs w:val="24"/>
        </w:rPr>
        <w:t>1</w:t>
      </w:r>
      <w:r w:rsidR="007F45C7" w:rsidRPr="00593BCE">
        <w:rPr>
          <w:rFonts w:ascii="Arial" w:hAnsi="Arial" w:cs="Arial"/>
          <w:sz w:val="24"/>
          <w:szCs w:val="24"/>
        </w:rPr>
        <w:t>.</w:t>
      </w:r>
      <w:r w:rsidR="000F5AC7" w:rsidRPr="00593BCE">
        <w:rPr>
          <w:rFonts w:ascii="Arial" w:hAnsi="Arial" w:cs="Arial"/>
          <w:sz w:val="24"/>
          <w:szCs w:val="24"/>
        </w:rPr>
        <w:t>9</w:t>
      </w:r>
      <w:r w:rsidR="007F45C7" w:rsidRPr="00593BCE">
        <w:rPr>
          <w:rFonts w:ascii="Arial" w:hAnsi="Arial" w:cs="Arial"/>
          <w:sz w:val="24"/>
          <w:szCs w:val="24"/>
        </w:rPr>
        <w:t xml:space="preserve">%) were discharged back to their </w:t>
      </w:r>
      <w:r w:rsidR="00B666AB" w:rsidRPr="00593BCE">
        <w:rPr>
          <w:rFonts w:ascii="Arial" w:hAnsi="Arial" w:cs="Arial"/>
          <w:sz w:val="24"/>
          <w:szCs w:val="24"/>
        </w:rPr>
        <w:t>original</w:t>
      </w:r>
      <w:r w:rsidR="006C7679" w:rsidRPr="00593BCE">
        <w:rPr>
          <w:rFonts w:ascii="Arial" w:hAnsi="Arial" w:cs="Arial"/>
          <w:sz w:val="24"/>
          <w:szCs w:val="24"/>
        </w:rPr>
        <w:t xml:space="preserve"> residence</w:t>
      </w:r>
      <w:r w:rsidR="007F45C7" w:rsidRPr="00593BCE">
        <w:rPr>
          <w:rFonts w:ascii="Arial" w:hAnsi="Arial" w:cs="Arial"/>
          <w:sz w:val="24"/>
          <w:szCs w:val="24"/>
        </w:rPr>
        <w:t>, 1</w:t>
      </w:r>
      <w:r w:rsidR="000F5AC7" w:rsidRPr="00593BCE">
        <w:rPr>
          <w:rFonts w:ascii="Arial" w:hAnsi="Arial" w:cs="Arial"/>
          <w:sz w:val="24"/>
          <w:szCs w:val="24"/>
        </w:rPr>
        <w:t>56</w:t>
      </w:r>
      <w:r w:rsidR="007F45C7" w:rsidRPr="00593BCE">
        <w:rPr>
          <w:rFonts w:ascii="Arial" w:hAnsi="Arial" w:cs="Arial"/>
          <w:sz w:val="24"/>
          <w:szCs w:val="24"/>
        </w:rPr>
        <w:t xml:space="preserve"> (</w:t>
      </w:r>
      <w:r w:rsidR="000F5AC7" w:rsidRPr="00593BCE">
        <w:rPr>
          <w:rFonts w:ascii="Arial" w:hAnsi="Arial" w:cs="Arial"/>
          <w:sz w:val="24"/>
          <w:szCs w:val="24"/>
        </w:rPr>
        <w:t>35.4</w:t>
      </w:r>
      <w:r w:rsidR="007F45C7" w:rsidRPr="00593BCE">
        <w:rPr>
          <w:rFonts w:ascii="Arial" w:hAnsi="Arial" w:cs="Arial"/>
          <w:sz w:val="24"/>
          <w:szCs w:val="24"/>
        </w:rPr>
        <w:t xml:space="preserve">%) transferred for rehabilitation, </w:t>
      </w:r>
      <w:r w:rsidR="000F5AC7" w:rsidRPr="00593BCE">
        <w:rPr>
          <w:rFonts w:ascii="Arial" w:hAnsi="Arial" w:cs="Arial"/>
          <w:sz w:val="24"/>
          <w:szCs w:val="24"/>
        </w:rPr>
        <w:t xml:space="preserve">11 (2.5%) </w:t>
      </w:r>
      <w:r w:rsidR="007F45C7" w:rsidRPr="00593BCE">
        <w:rPr>
          <w:rFonts w:ascii="Arial" w:hAnsi="Arial" w:cs="Arial"/>
          <w:sz w:val="24"/>
          <w:szCs w:val="24"/>
        </w:rPr>
        <w:t>to residential</w:t>
      </w:r>
      <w:r w:rsidR="006C7679" w:rsidRPr="00593BCE">
        <w:rPr>
          <w:rFonts w:ascii="Arial" w:hAnsi="Arial" w:cs="Arial"/>
          <w:sz w:val="24"/>
          <w:szCs w:val="24"/>
        </w:rPr>
        <w:t xml:space="preserve"> </w:t>
      </w:r>
      <w:r w:rsidR="00544D09" w:rsidRPr="00593BCE">
        <w:rPr>
          <w:rFonts w:ascii="Arial" w:hAnsi="Arial" w:cs="Arial"/>
          <w:sz w:val="24"/>
          <w:szCs w:val="24"/>
        </w:rPr>
        <w:t>or nursing care</w:t>
      </w:r>
      <w:r w:rsidR="006C7679" w:rsidRPr="00593BCE">
        <w:rPr>
          <w:rFonts w:ascii="Arial" w:hAnsi="Arial" w:cs="Arial"/>
          <w:sz w:val="24"/>
          <w:szCs w:val="24"/>
        </w:rPr>
        <w:t xml:space="preserve"> and</w:t>
      </w:r>
      <w:r w:rsidR="007F45C7" w:rsidRPr="00593BCE">
        <w:rPr>
          <w:rFonts w:ascii="Arial" w:hAnsi="Arial" w:cs="Arial"/>
          <w:sz w:val="24"/>
          <w:szCs w:val="24"/>
        </w:rPr>
        <w:t xml:space="preserve"> </w:t>
      </w:r>
      <w:r w:rsidR="00544D09" w:rsidRPr="00593BCE">
        <w:rPr>
          <w:rFonts w:ascii="Arial" w:hAnsi="Arial" w:cs="Arial"/>
          <w:sz w:val="24"/>
          <w:szCs w:val="24"/>
        </w:rPr>
        <w:t>25</w:t>
      </w:r>
      <w:r w:rsidR="007F45C7" w:rsidRPr="00593BCE">
        <w:rPr>
          <w:rFonts w:ascii="Arial" w:hAnsi="Arial" w:cs="Arial"/>
          <w:sz w:val="24"/>
          <w:szCs w:val="24"/>
        </w:rPr>
        <w:t xml:space="preserve"> </w:t>
      </w:r>
      <w:r w:rsidR="006C7679" w:rsidRPr="00593BCE">
        <w:rPr>
          <w:rFonts w:ascii="Arial" w:hAnsi="Arial" w:cs="Arial"/>
          <w:sz w:val="24"/>
          <w:szCs w:val="24"/>
        </w:rPr>
        <w:t>(</w:t>
      </w:r>
      <w:r w:rsidR="00544D09" w:rsidRPr="00593BCE">
        <w:rPr>
          <w:rFonts w:ascii="Arial" w:hAnsi="Arial" w:cs="Arial"/>
          <w:sz w:val="24"/>
          <w:szCs w:val="24"/>
        </w:rPr>
        <w:t>5.8</w:t>
      </w:r>
      <w:r w:rsidR="006C7679" w:rsidRPr="00593BCE">
        <w:rPr>
          <w:rFonts w:ascii="Arial" w:hAnsi="Arial" w:cs="Arial"/>
          <w:sz w:val="24"/>
          <w:szCs w:val="24"/>
        </w:rPr>
        <w:t xml:space="preserve">%) </w:t>
      </w:r>
      <w:r w:rsidR="007F45C7" w:rsidRPr="00593BCE">
        <w:rPr>
          <w:rFonts w:ascii="Arial" w:hAnsi="Arial" w:cs="Arial"/>
          <w:sz w:val="24"/>
          <w:szCs w:val="24"/>
        </w:rPr>
        <w:t>died in hospital</w:t>
      </w:r>
      <w:r w:rsidR="00085D76" w:rsidRPr="00593BCE">
        <w:rPr>
          <w:rFonts w:ascii="Arial" w:hAnsi="Arial" w:cs="Arial"/>
          <w:sz w:val="24"/>
          <w:szCs w:val="24"/>
        </w:rPr>
        <w:t xml:space="preserve"> (</w:t>
      </w:r>
      <w:r w:rsidR="00A54C28" w:rsidRPr="00593BCE">
        <w:rPr>
          <w:rFonts w:ascii="Arial" w:hAnsi="Arial" w:cs="Arial"/>
          <w:sz w:val="24"/>
          <w:szCs w:val="24"/>
        </w:rPr>
        <w:t xml:space="preserve">the 11 remaining deaths in hospital were of </w:t>
      </w:r>
      <w:r w:rsidR="00600A51" w:rsidRPr="00593BCE">
        <w:rPr>
          <w:rFonts w:ascii="Arial" w:hAnsi="Arial" w:cs="Arial"/>
          <w:sz w:val="24"/>
          <w:szCs w:val="24"/>
        </w:rPr>
        <w:t>patients from residential/nursing care</w:t>
      </w:r>
      <w:r w:rsidR="00085D76" w:rsidRPr="00593BCE">
        <w:rPr>
          <w:rFonts w:ascii="Arial" w:hAnsi="Arial" w:cs="Arial"/>
          <w:sz w:val="24"/>
          <w:szCs w:val="24"/>
        </w:rPr>
        <w:t>)</w:t>
      </w:r>
      <w:r w:rsidR="007F45C7" w:rsidRPr="00593BCE">
        <w:rPr>
          <w:rFonts w:ascii="Arial" w:hAnsi="Arial" w:cs="Arial"/>
          <w:sz w:val="24"/>
          <w:szCs w:val="24"/>
        </w:rPr>
        <w:t xml:space="preserve">. </w:t>
      </w:r>
      <w:r w:rsidR="0011135B" w:rsidRPr="00593BCE">
        <w:rPr>
          <w:rFonts w:ascii="Arial" w:hAnsi="Arial" w:cs="Arial"/>
          <w:sz w:val="24"/>
          <w:szCs w:val="24"/>
        </w:rPr>
        <w:t xml:space="preserve">For the </w:t>
      </w:r>
      <w:r w:rsidR="007F45C7" w:rsidRPr="00593BCE">
        <w:rPr>
          <w:rFonts w:ascii="Arial" w:hAnsi="Arial" w:cs="Arial"/>
          <w:sz w:val="24"/>
          <w:szCs w:val="24"/>
        </w:rPr>
        <w:t xml:space="preserve">remaining </w:t>
      </w:r>
      <w:r w:rsidR="00A54C28" w:rsidRPr="00593BCE">
        <w:rPr>
          <w:rFonts w:ascii="Arial" w:hAnsi="Arial" w:cs="Arial"/>
          <w:sz w:val="24"/>
          <w:szCs w:val="24"/>
        </w:rPr>
        <w:t xml:space="preserve">20 </w:t>
      </w:r>
      <w:r w:rsidR="007F45C7" w:rsidRPr="00593BCE">
        <w:rPr>
          <w:rFonts w:ascii="Arial" w:hAnsi="Arial" w:cs="Arial"/>
          <w:sz w:val="24"/>
          <w:szCs w:val="24"/>
        </w:rPr>
        <w:t>(</w:t>
      </w:r>
      <w:r w:rsidR="00A54C28" w:rsidRPr="00593BCE">
        <w:rPr>
          <w:rFonts w:ascii="Arial" w:hAnsi="Arial" w:cs="Arial"/>
          <w:sz w:val="24"/>
          <w:szCs w:val="24"/>
        </w:rPr>
        <w:t>4.5</w:t>
      </w:r>
      <w:r w:rsidR="007F45C7" w:rsidRPr="00593BCE">
        <w:rPr>
          <w:rFonts w:ascii="Arial" w:hAnsi="Arial" w:cs="Arial"/>
          <w:sz w:val="24"/>
          <w:szCs w:val="24"/>
        </w:rPr>
        <w:t xml:space="preserve">%) patients </w:t>
      </w:r>
      <w:r w:rsidR="00A54C28" w:rsidRPr="00593BCE">
        <w:rPr>
          <w:rFonts w:ascii="Arial" w:hAnsi="Arial" w:cs="Arial"/>
          <w:sz w:val="24"/>
          <w:szCs w:val="24"/>
        </w:rPr>
        <w:t xml:space="preserve">admitted from home </w:t>
      </w:r>
      <w:r w:rsidR="0011135B" w:rsidRPr="00593BCE">
        <w:rPr>
          <w:rFonts w:ascii="Arial" w:hAnsi="Arial" w:cs="Arial"/>
          <w:sz w:val="24"/>
          <w:szCs w:val="24"/>
        </w:rPr>
        <w:t xml:space="preserve">13 (2.9%) </w:t>
      </w:r>
      <w:r w:rsidR="007F45C7" w:rsidRPr="00593BCE">
        <w:rPr>
          <w:rFonts w:ascii="Arial" w:hAnsi="Arial" w:cs="Arial"/>
          <w:sz w:val="24"/>
          <w:szCs w:val="24"/>
        </w:rPr>
        <w:t xml:space="preserve">were transferred elsewhere and </w:t>
      </w:r>
      <w:r w:rsidR="00CA153A" w:rsidRPr="00593BCE">
        <w:rPr>
          <w:rFonts w:ascii="Arial" w:hAnsi="Arial" w:cs="Arial"/>
          <w:sz w:val="24"/>
          <w:szCs w:val="24"/>
        </w:rPr>
        <w:t xml:space="preserve">seven </w:t>
      </w:r>
      <w:r w:rsidR="007F45C7" w:rsidRPr="00593BCE">
        <w:rPr>
          <w:rFonts w:ascii="Arial" w:hAnsi="Arial" w:cs="Arial"/>
          <w:sz w:val="24"/>
          <w:szCs w:val="24"/>
        </w:rPr>
        <w:t>(</w:t>
      </w:r>
      <w:r w:rsidR="00AC2D31" w:rsidRPr="00593BCE">
        <w:rPr>
          <w:rFonts w:ascii="Arial" w:hAnsi="Arial" w:cs="Arial"/>
          <w:sz w:val="24"/>
          <w:szCs w:val="24"/>
        </w:rPr>
        <w:t>1.6</w:t>
      </w:r>
      <w:r w:rsidR="007F45C7" w:rsidRPr="00593BCE">
        <w:rPr>
          <w:rFonts w:ascii="Arial" w:hAnsi="Arial" w:cs="Arial"/>
          <w:sz w:val="24"/>
          <w:szCs w:val="24"/>
        </w:rPr>
        <w:t>%) were missing cases</w:t>
      </w:r>
      <w:r w:rsidR="001F1E25" w:rsidRPr="00593BCE">
        <w:rPr>
          <w:rFonts w:ascii="Arial" w:hAnsi="Arial" w:cs="Arial"/>
          <w:sz w:val="24"/>
          <w:szCs w:val="24"/>
        </w:rPr>
        <w:t xml:space="preserve">. </w:t>
      </w:r>
      <w:r w:rsidR="00E92DC7" w:rsidRPr="00593BCE">
        <w:rPr>
          <w:rFonts w:ascii="Arial" w:hAnsi="Arial" w:cs="Arial"/>
          <w:sz w:val="24"/>
          <w:szCs w:val="24"/>
        </w:rPr>
        <w:t xml:space="preserve">A total of </w:t>
      </w:r>
      <w:r w:rsidR="00B86C72" w:rsidRPr="00593BCE">
        <w:rPr>
          <w:rFonts w:ascii="Arial" w:hAnsi="Arial" w:cs="Arial"/>
          <w:sz w:val="24"/>
          <w:szCs w:val="24"/>
        </w:rPr>
        <w:t>522</w:t>
      </w:r>
      <w:r w:rsidR="001F1E25" w:rsidRPr="00593BCE">
        <w:rPr>
          <w:rFonts w:ascii="Arial" w:hAnsi="Arial" w:cs="Arial"/>
          <w:sz w:val="24"/>
          <w:szCs w:val="24"/>
        </w:rPr>
        <w:t xml:space="preserve"> </w:t>
      </w:r>
      <w:r w:rsidR="00E92DC7" w:rsidRPr="00593BCE">
        <w:rPr>
          <w:rFonts w:ascii="Arial" w:hAnsi="Arial" w:cs="Arial"/>
          <w:sz w:val="24"/>
          <w:szCs w:val="24"/>
        </w:rPr>
        <w:t xml:space="preserve">patients </w:t>
      </w:r>
      <w:r w:rsidR="001F1E25" w:rsidRPr="00593BCE">
        <w:rPr>
          <w:rFonts w:ascii="Arial" w:hAnsi="Arial" w:cs="Arial"/>
          <w:sz w:val="24"/>
          <w:szCs w:val="24"/>
        </w:rPr>
        <w:t>(9</w:t>
      </w:r>
      <w:r w:rsidR="00B86C72" w:rsidRPr="00593BCE">
        <w:rPr>
          <w:rFonts w:ascii="Arial" w:hAnsi="Arial" w:cs="Arial"/>
          <w:sz w:val="24"/>
          <w:szCs w:val="24"/>
        </w:rPr>
        <w:t>7.2</w:t>
      </w:r>
      <w:r w:rsidR="001F1E25" w:rsidRPr="00593BCE">
        <w:rPr>
          <w:rFonts w:ascii="Arial" w:hAnsi="Arial" w:cs="Arial"/>
          <w:sz w:val="24"/>
          <w:szCs w:val="24"/>
        </w:rPr>
        <w:t>%)</w:t>
      </w:r>
      <w:r w:rsidR="00E92DC7" w:rsidRPr="00593BCE">
        <w:rPr>
          <w:rFonts w:ascii="Arial" w:hAnsi="Arial" w:cs="Arial"/>
          <w:sz w:val="24"/>
          <w:szCs w:val="24"/>
        </w:rPr>
        <w:t xml:space="preserve"> </w:t>
      </w:r>
      <w:r w:rsidR="001F1E25" w:rsidRPr="00593BCE">
        <w:rPr>
          <w:rFonts w:ascii="Arial" w:hAnsi="Arial" w:cs="Arial"/>
          <w:sz w:val="24"/>
          <w:szCs w:val="24"/>
        </w:rPr>
        <w:t xml:space="preserve">completed </w:t>
      </w:r>
      <w:r w:rsidR="001F1947" w:rsidRPr="00593BCE">
        <w:rPr>
          <w:rFonts w:ascii="Arial" w:hAnsi="Arial" w:cs="Arial"/>
          <w:sz w:val="24"/>
          <w:szCs w:val="24"/>
        </w:rPr>
        <w:t xml:space="preserve">the </w:t>
      </w:r>
      <w:r w:rsidR="001F1E25" w:rsidRPr="00593BCE">
        <w:rPr>
          <w:rFonts w:ascii="Arial" w:hAnsi="Arial" w:cs="Arial"/>
          <w:sz w:val="24"/>
          <w:szCs w:val="24"/>
        </w:rPr>
        <w:t>4AT</w:t>
      </w:r>
      <w:r w:rsidR="007F45C7" w:rsidRPr="00593BCE">
        <w:rPr>
          <w:rFonts w:ascii="Arial" w:hAnsi="Arial" w:cs="Arial"/>
          <w:sz w:val="24"/>
          <w:szCs w:val="24"/>
        </w:rPr>
        <w:t xml:space="preserve"> (</w:t>
      </w:r>
      <w:r w:rsidR="00353668" w:rsidRPr="00593BCE">
        <w:rPr>
          <w:rFonts w:ascii="Arial" w:hAnsi="Arial" w:cs="Arial"/>
          <w:b/>
          <w:sz w:val="24"/>
          <w:szCs w:val="24"/>
        </w:rPr>
        <w:t>Supplementary</w:t>
      </w:r>
      <w:r w:rsidR="00353668" w:rsidRPr="00593BCE">
        <w:rPr>
          <w:rFonts w:ascii="Arial" w:hAnsi="Arial" w:cs="Arial"/>
          <w:sz w:val="24"/>
          <w:szCs w:val="24"/>
        </w:rPr>
        <w:t xml:space="preserve"> </w:t>
      </w:r>
      <w:r w:rsidR="007F45C7" w:rsidRPr="00593BCE">
        <w:rPr>
          <w:rFonts w:ascii="Arial" w:hAnsi="Arial" w:cs="Arial"/>
          <w:b/>
          <w:sz w:val="24"/>
          <w:szCs w:val="24"/>
        </w:rPr>
        <w:t>Figure 1</w:t>
      </w:r>
      <w:r w:rsidR="007F45C7" w:rsidRPr="00593BCE">
        <w:rPr>
          <w:rFonts w:ascii="Arial" w:hAnsi="Arial" w:cs="Arial"/>
          <w:sz w:val="24"/>
          <w:szCs w:val="24"/>
        </w:rPr>
        <w:t>).</w:t>
      </w:r>
    </w:p>
    <w:p w14:paraId="1C35DE76" w14:textId="77777777" w:rsidR="007F45C7" w:rsidRPr="00593BCE" w:rsidRDefault="007F45C7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E80DC18" w14:textId="3F9C9C67" w:rsidR="000A2A82" w:rsidRPr="00593BCE" w:rsidRDefault="0011135B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t>Table 1</w:t>
      </w:r>
      <w:r w:rsidRPr="00593BCE">
        <w:rPr>
          <w:rFonts w:ascii="Arial" w:hAnsi="Arial" w:cs="Arial"/>
          <w:sz w:val="24"/>
          <w:szCs w:val="24"/>
        </w:rPr>
        <w:t xml:space="preserve"> shows 26%</w:t>
      </w:r>
      <w:r w:rsidR="00833FFB" w:rsidRPr="00593BCE">
        <w:rPr>
          <w:rFonts w:ascii="Arial" w:hAnsi="Arial" w:cs="Arial"/>
          <w:sz w:val="24"/>
          <w:szCs w:val="24"/>
        </w:rPr>
        <w:t xml:space="preserve"> </w:t>
      </w:r>
      <w:r w:rsidR="00D04AE9" w:rsidRPr="00593BCE">
        <w:rPr>
          <w:rFonts w:ascii="Arial" w:hAnsi="Arial" w:cs="Arial"/>
          <w:sz w:val="24"/>
          <w:szCs w:val="24"/>
        </w:rPr>
        <w:t>of patients with a history of dementia</w:t>
      </w:r>
      <w:r w:rsidRPr="00593BCE">
        <w:rPr>
          <w:rFonts w:ascii="Arial" w:hAnsi="Arial" w:cs="Arial"/>
          <w:sz w:val="24"/>
          <w:szCs w:val="24"/>
        </w:rPr>
        <w:t>;</w:t>
      </w:r>
      <w:r w:rsidR="00833FFB" w:rsidRPr="00593BCE">
        <w:rPr>
          <w:rFonts w:ascii="Arial" w:hAnsi="Arial" w:cs="Arial"/>
          <w:sz w:val="24"/>
          <w:szCs w:val="24"/>
        </w:rPr>
        <w:t xml:space="preserve"> 3.9% </w:t>
      </w:r>
      <w:r w:rsidR="00D04AE9" w:rsidRPr="00593BCE">
        <w:rPr>
          <w:rFonts w:ascii="Arial" w:hAnsi="Arial" w:cs="Arial"/>
          <w:sz w:val="24"/>
          <w:szCs w:val="24"/>
        </w:rPr>
        <w:t xml:space="preserve">with </w:t>
      </w:r>
      <w:r w:rsidR="00833FFB" w:rsidRPr="00593BCE">
        <w:rPr>
          <w:rFonts w:ascii="Arial" w:hAnsi="Arial" w:cs="Arial"/>
          <w:sz w:val="24"/>
          <w:szCs w:val="24"/>
        </w:rPr>
        <w:t>Parkinson’s disease</w:t>
      </w:r>
      <w:r w:rsidRPr="00593BCE">
        <w:rPr>
          <w:rFonts w:ascii="Arial" w:hAnsi="Arial" w:cs="Arial"/>
          <w:sz w:val="24"/>
          <w:szCs w:val="24"/>
        </w:rPr>
        <w:t>;</w:t>
      </w:r>
      <w:r w:rsidR="00833FFB" w:rsidRPr="00593BCE">
        <w:rPr>
          <w:rFonts w:ascii="Arial" w:hAnsi="Arial" w:cs="Arial"/>
          <w:sz w:val="24"/>
          <w:szCs w:val="24"/>
        </w:rPr>
        <w:t xml:space="preserve"> 14.8% </w:t>
      </w:r>
      <w:r w:rsidR="00D04AE9" w:rsidRPr="00593BCE">
        <w:rPr>
          <w:rFonts w:ascii="Arial" w:hAnsi="Arial" w:cs="Arial"/>
          <w:sz w:val="24"/>
          <w:szCs w:val="24"/>
        </w:rPr>
        <w:t xml:space="preserve">had suffered a </w:t>
      </w:r>
      <w:r w:rsidR="00833FFB" w:rsidRPr="00593BCE">
        <w:rPr>
          <w:rFonts w:ascii="Arial" w:hAnsi="Arial" w:cs="Arial"/>
          <w:sz w:val="24"/>
          <w:szCs w:val="24"/>
        </w:rPr>
        <w:t>stroke</w:t>
      </w:r>
      <w:r w:rsidRPr="00593BCE">
        <w:rPr>
          <w:rFonts w:ascii="Arial" w:hAnsi="Arial" w:cs="Arial"/>
          <w:sz w:val="24"/>
          <w:szCs w:val="24"/>
        </w:rPr>
        <w:t>;</w:t>
      </w:r>
      <w:r w:rsidR="00833FFB" w:rsidRPr="00593BCE">
        <w:rPr>
          <w:rFonts w:ascii="Arial" w:hAnsi="Arial" w:cs="Arial"/>
          <w:sz w:val="24"/>
          <w:szCs w:val="24"/>
        </w:rPr>
        <w:t xml:space="preserve"> 7.5%</w:t>
      </w:r>
      <w:r w:rsidR="00D04AE9" w:rsidRPr="00593BCE">
        <w:rPr>
          <w:rFonts w:ascii="Arial" w:hAnsi="Arial" w:cs="Arial"/>
          <w:sz w:val="24"/>
          <w:szCs w:val="24"/>
        </w:rPr>
        <w:t xml:space="preserve">with </w:t>
      </w:r>
      <w:r w:rsidR="00833FFB" w:rsidRPr="00593BCE">
        <w:rPr>
          <w:rFonts w:ascii="Arial" w:hAnsi="Arial" w:cs="Arial"/>
          <w:sz w:val="24"/>
          <w:szCs w:val="24"/>
        </w:rPr>
        <w:t>ischaemic heart disease</w:t>
      </w:r>
      <w:r w:rsidRPr="00593BCE">
        <w:rPr>
          <w:rFonts w:ascii="Arial" w:hAnsi="Arial" w:cs="Arial"/>
          <w:sz w:val="24"/>
          <w:szCs w:val="24"/>
        </w:rPr>
        <w:t xml:space="preserve"> and</w:t>
      </w:r>
      <w:r w:rsidR="00833FFB" w:rsidRPr="00593BCE">
        <w:rPr>
          <w:rFonts w:ascii="Arial" w:hAnsi="Arial" w:cs="Arial"/>
          <w:sz w:val="24"/>
          <w:szCs w:val="24"/>
        </w:rPr>
        <w:t xml:space="preserve"> 10.3% </w:t>
      </w:r>
      <w:r w:rsidR="00D04AE9" w:rsidRPr="00593BCE">
        <w:rPr>
          <w:rFonts w:ascii="Arial" w:hAnsi="Arial" w:cs="Arial"/>
          <w:sz w:val="24"/>
          <w:szCs w:val="24"/>
        </w:rPr>
        <w:t xml:space="preserve">with </w:t>
      </w:r>
      <w:r w:rsidR="00833FFB" w:rsidRPr="00593BCE">
        <w:rPr>
          <w:rFonts w:ascii="Arial" w:hAnsi="Arial" w:cs="Arial"/>
          <w:sz w:val="24"/>
          <w:szCs w:val="24"/>
        </w:rPr>
        <w:t>diabetes</w:t>
      </w:r>
      <w:r w:rsidRPr="00593BCE">
        <w:rPr>
          <w:rFonts w:ascii="Arial" w:hAnsi="Arial" w:cs="Arial"/>
          <w:sz w:val="24"/>
          <w:szCs w:val="24"/>
        </w:rPr>
        <w:t>. Alcohol consumption of &gt;14</w:t>
      </w:r>
      <w:r w:rsidR="00815CAF" w:rsidRPr="00593BCE">
        <w:rPr>
          <w:rFonts w:ascii="Arial" w:hAnsi="Arial" w:cs="Arial"/>
          <w:sz w:val="24"/>
          <w:szCs w:val="24"/>
        </w:rPr>
        <w:t xml:space="preserve"> </w:t>
      </w:r>
      <w:r w:rsidRPr="00593BCE">
        <w:rPr>
          <w:rFonts w:ascii="Arial" w:hAnsi="Arial" w:cs="Arial"/>
          <w:sz w:val="24"/>
          <w:szCs w:val="24"/>
        </w:rPr>
        <w:t xml:space="preserve">units of alcohol/week </w:t>
      </w:r>
      <w:r w:rsidR="00D04AE9" w:rsidRPr="00593BCE">
        <w:rPr>
          <w:rFonts w:ascii="Arial" w:hAnsi="Arial" w:cs="Arial"/>
          <w:sz w:val="24"/>
          <w:szCs w:val="24"/>
        </w:rPr>
        <w:t>occurred</w:t>
      </w:r>
      <w:r w:rsidRPr="00593BCE">
        <w:rPr>
          <w:rFonts w:ascii="Arial" w:hAnsi="Arial" w:cs="Arial"/>
          <w:sz w:val="24"/>
          <w:szCs w:val="24"/>
        </w:rPr>
        <w:t xml:space="preserve"> in 7.7</w:t>
      </w:r>
      <w:r w:rsidR="00D04AE9" w:rsidRPr="00593BCE">
        <w:rPr>
          <w:rFonts w:ascii="Arial" w:hAnsi="Arial" w:cs="Arial"/>
          <w:sz w:val="24"/>
          <w:szCs w:val="24"/>
        </w:rPr>
        <w:t xml:space="preserve">%; </w:t>
      </w:r>
      <w:r w:rsidR="00C75C11" w:rsidRPr="00593BCE">
        <w:rPr>
          <w:rFonts w:ascii="Arial" w:hAnsi="Arial" w:cs="Arial"/>
          <w:sz w:val="24"/>
          <w:szCs w:val="24"/>
        </w:rPr>
        <w:t>polypharmacy</w:t>
      </w:r>
      <w:r w:rsidR="00D04AE9" w:rsidRPr="00593BCE">
        <w:rPr>
          <w:rFonts w:ascii="Arial" w:hAnsi="Arial" w:cs="Arial"/>
          <w:sz w:val="24"/>
          <w:szCs w:val="24"/>
        </w:rPr>
        <w:t xml:space="preserve"> in 7.2%,</w:t>
      </w:r>
      <w:r w:rsidR="004A50AE" w:rsidRPr="00593BCE">
        <w:rPr>
          <w:rFonts w:ascii="Arial" w:hAnsi="Arial" w:cs="Arial"/>
          <w:sz w:val="24"/>
          <w:szCs w:val="24"/>
        </w:rPr>
        <w:t xml:space="preserve"> </w:t>
      </w:r>
      <w:r w:rsidR="00D04AE9" w:rsidRPr="00593BCE">
        <w:rPr>
          <w:rFonts w:ascii="Arial" w:hAnsi="Arial" w:cs="Arial"/>
          <w:sz w:val="24"/>
          <w:szCs w:val="24"/>
        </w:rPr>
        <w:t xml:space="preserve">whilst </w:t>
      </w:r>
      <w:r w:rsidR="00484DBA" w:rsidRPr="00593BCE">
        <w:rPr>
          <w:rFonts w:ascii="Arial" w:hAnsi="Arial" w:cs="Arial"/>
          <w:sz w:val="24"/>
          <w:szCs w:val="24"/>
        </w:rPr>
        <w:t>10.8</w:t>
      </w:r>
      <w:r w:rsidR="004A50AE" w:rsidRPr="00593BCE">
        <w:rPr>
          <w:rFonts w:ascii="Arial" w:hAnsi="Arial" w:cs="Arial"/>
          <w:sz w:val="24"/>
          <w:szCs w:val="24"/>
        </w:rPr>
        <w:t xml:space="preserve">% had </w:t>
      </w:r>
      <w:r w:rsidR="00A65B05" w:rsidRPr="00593BCE">
        <w:rPr>
          <w:rFonts w:ascii="Arial" w:hAnsi="Arial" w:cs="Arial"/>
          <w:sz w:val="24"/>
          <w:szCs w:val="24"/>
        </w:rPr>
        <w:t xml:space="preserve">an </w:t>
      </w:r>
      <w:r w:rsidR="00C75C11" w:rsidRPr="00593BCE">
        <w:rPr>
          <w:rFonts w:ascii="Arial" w:hAnsi="Arial" w:cs="Arial"/>
          <w:sz w:val="24"/>
          <w:szCs w:val="24"/>
        </w:rPr>
        <w:t xml:space="preserve">ACB </w:t>
      </w:r>
      <w:r w:rsidR="004A50AE" w:rsidRPr="00593BCE">
        <w:rPr>
          <w:rFonts w:ascii="Arial" w:hAnsi="Arial" w:cs="Arial"/>
          <w:sz w:val="24"/>
          <w:szCs w:val="24"/>
        </w:rPr>
        <w:t>score ≥</w:t>
      </w:r>
      <w:r w:rsidR="00AF1801" w:rsidRPr="00593BCE">
        <w:rPr>
          <w:rFonts w:ascii="Arial" w:hAnsi="Arial" w:cs="Arial"/>
          <w:sz w:val="24"/>
          <w:szCs w:val="24"/>
        </w:rPr>
        <w:t>3</w:t>
      </w:r>
      <w:r w:rsidR="004A50AE" w:rsidRPr="00593BCE">
        <w:rPr>
          <w:rFonts w:ascii="Arial" w:hAnsi="Arial" w:cs="Arial"/>
          <w:sz w:val="24"/>
          <w:szCs w:val="24"/>
        </w:rPr>
        <w:t>.</w:t>
      </w:r>
      <w:r w:rsidR="00833FFB" w:rsidRPr="00593BCE">
        <w:rPr>
          <w:rFonts w:ascii="Arial" w:hAnsi="Arial" w:cs="Arial"/>
          <w:sz w:val="24"/>
          <w:szCs w:val="24"/>
        </w:rPr>
        <w:t xml:space="preserve"> </w:t>
      </w:r>
      <w:r w:rsidR="00CB35CF" w:rsidRPr="00593BCE">
        <w:rPr>
          <w:rFonts w:ascii="Arial" w:hAnsi="Arial" w:cs="Arial"/>
          <w:sz w:val="24"/>
          <w:szCs w:val="24"/>
        </w:rPr>
        <w:t xml:space="preserve">There were 30% of patients at risk of malnutrition or were malnourished on admission. </w:t>
      </w:r>
      <w:r w:rsidR="001D2731" w:rsidRPr="00593BCE">
        <w:rPr>
          <w:rFonts w:ascii="Arial" w:hAnsi="Arial" w:cs="Arial"/>
          <w:sz w:val="24"/>
          <w:szCs w:val="24"/>
        </w:rPr>
        <w:t xml:space="preserve">Only </w:t>
      </w:r>
      <w:r w:rsidR="00A65B05" w:rsidRPr="00593BCE">
        <w:rPr>
          <w:rFonts w:ascii="Arial" w:hAnsi="Arial" w:cs="Arial"/>
          <w:sz w:val="24"/>
          <w:szCs w:val="24"/>
        </w:rPr>
        <w:t xml:space="preserve">four </w:t>
      </w:r>
      <w:r w:rsidR="001D2731" w:rsidRPr="00593BCE">
        <w:rPr>
          <w:rFonts w:ascii="Arial" w:hAnsi="Arial" w:cs="Arial"/>
          <w:sz w:val="24"/>
          <w:szCs w:val="24"/>
        </w:rPr>
        <w:t>patients (0.</w:t>
      </w:r>
      <w:r w:rsidR="00396D87" w:rsidRPr="00593BCE">
        <w:rPr>
          <w:rFonts w:ascii="Arial" w:hAnsi="Arial" w:cs="Arial"/>
          <w:sz w:val="24"/>
          <w:szCs w:val="24"/>
        </w:rPr>
        <w:t>7</w:t>
      </w:r>
      <w:r w:rsidR="001D2731" w:rsidRPr="00593BCE">
        <w:rPr>
          <w:rFonts w:ascii="Arial" w:hAnsi="Arial" w:cs="Arial"/>
          <w:sz w:val="24"/>
          <w:szCs w:val="24"/>
        </w:rPr>
        <w:t xml:space="preserve">%) had malignancy-related hip fractures and </w:t>
      </w:r>
      <w:r w:rsidR="00A65B05" w:rsidRPr="00593BCE">
        <w:rPr>
          <w:rFonts w:ascii="Arial" w:hAnsi="Arial" w:cs="Arial"/>
          <w:sz w:val="24"/>
          <w:szCs w:val="24"/>
        </w:rPr>
        <w:t xml:space="preserve">five </w:t>
      </w:r>
      <w:r w:rsidR="001D2731" w:rsidRPr="00593BCE">
        <w:rPr>
          <w:rFonts w:ascii="Arial" w:hAnsi="Arial" w:cs="Arial"/>
          <w:sz w:val="24"/>
          <w:szCs w:val="24"/>
        </w:rPr>
        <w:t>(</w:t>
      </w:r>
      <w:r w:rsidR="00396D87" w:rsidRPr="00593BCE">
        <w:rPr>
          <w:rFonts w:ascii="Arial" w:hAnsi="Arial" w:cs="Arial"/>
          <w:sz w:val="24"/>
          <w:szCs w:val="24"/>
        </w:rPr>
        <w:t>0.9</w:t>
      </w:r>
      <w:r w:rsidR="001D2731" w:rsidRPr="00593BCE">
        <w:rPr>
          <w:rFonts w:ascii="Arial" w:hAnsi="Arial" w:cs="Arial"/>
          <w:sz w:val="24"/>
          <w:szCs w:val="24"/>
        </w:rPr>
        <w:t xml:space="preserve">%) </w:t>
      </w:r>
      <w:r w:rsidRPr="00593BCE">
        <w:rPr>
          <w:rFonts w:ascii="Arial" w:hAnsi="Arial" w:cs="Arial"/>
          <w:sz w:val="24"/>
          <w:szCs w:val="24"/>
        </w:rPr>
        <w:t xml:space="preserve">had </w:t>
      </w:r>
      <w:r w:rsidR="001D2731" w:rsidRPr="00593BCE">
        <w:rPr>
          <w:rFonts w:ascii="Arial" w:hAnsi="Arial" w:cs="Arial"/>
          <w:sz w:val="24"/>
          <w:szCs w:val="24"/>
        </w:rPr>
        <w:t>pressure ulcers. There were approximately equal proportions of left and right hip fractures</w:t>
      </w:r>
      <w:r w:rsidR="00F21485" w:rsidRPr="00593BCE">
        <w:rPr>
          <w:rFonts w:ascii="Arial" w:hAnsi="Arial" w:cs="Arial"/>
          <w:sz w:val="24"/>
          <w:szCs w:val="24"/>
        </w:rPr>
        <w:t xml:space="preserve">: </w:t>
      </w:r>
      <w:r w:rsidR="00396D87" w:rsidRPr="00593BCE">
        <w:rPr>
          <w:rFonts w:ascii="Arial" w:hAnsi="Arial" w:cs="Arial"/>
          <w:sz w:val="24"/>
          <w:szCs w:val="24"/>
        </w:rPr>
        <w:t>35.4%</w:t>
      </w:r>
      <w:r w:rsidR="001D2731" w:rsidRPr="00593BCE">
        <w:rPr>
          <w:rFonts w:ascii="Arial" w:hAnsi="Arial" w:cs="Arial"/>
          <w:sz w:val="24"/>
          <w:szCs w:val="24"/>
        </w:rPr>
        <w:t xml:space="preserve"> </w:t>
      </w:r>
      <w:r w:rsidR="00F21485" w:rsidRPr="00593BCE">
        <w:rPr>
          <w:rFonts w:ascii="Arial" w:hAnsi="Arial" w:cs="Arial"/>
          <w:sz w:val="24"/>
          <w:szCs w:val="24"/>
        </w:rPr>
        <w:t xml:space="preserve">had </w:t>
      </w:r>
      <w:r w:rsidR="001D2731" w:rsidRPr="00593BCE">
        <w:rPr>
          <w:rFonts w:ascii="Arial" w:hAnsi="Arial" w:cs="Arial"/>
          <w:sz w:val="24"/>
          <w:szCs w:val="24"/>
        </w:rPr>
        <w:t xml:space="preserve">intertrochanteric and </w:t>
      </w:r>
      <w:r w:rsidR="00396D87" w:rsidRPr="00593BCE">
        <w:rPr>
          <w:rFonts w:ascii="Arial" w:hAnsi="Arial" w:cs="Arial"/>
          <w:sz w:val="24"/>
          <w:szCs w:val="24"/>
        </w:rPr>
        <w:t>64.6%</w:t>
      </w:r>
      <w:r w:rsidR="001D2731" w:rsidRPr="00593BCE">
        <w:rPr>
          <w:rFonts w:ascii="Arial" w:hAnsi="Arial" w:cs="Arial"/>
          <w:sz w:val="24"/>
          <w:szCs w:val="24"/>
        </w:rPr>
        <w:t xml:space="preserve"> intracapsular fractures</w:t>
      </w:r>
      <w:r w:rsidR="00083FDE" w:rsidRPr="00593BCE">
        <w:rPr>
          <w:rFonts w:ascii="Arial" w:hAnsi="Arial" w:cs="Arial"/>
          <w:sz w:val="24"/>
          <w:szCs w:val="24"/>
        </w:rPr>
        <w:t>.</w:t>
      </w:r>
      <w:r w:rsidR="00C24475" w:rsidRPr="00593BCE">
        <w:rPr>
          <w:rFonts w:ascii="Arial" w:hAnsi="Arial" w:cs="Arial"/>
          <w:sz w:val="24"/>
          <w:szCs w:val="24"/>
        </w:rPr>
        <w:t xml:space="preserve"> Almost all patients received specialist falls and physiotherapist assessment. </w:t>
      </w:r>
      <w:r w:rsidR="00396D87" w:rsidRPr="00593BCE">
        <w:rPr>
          <w:rFonts w:ascii="Arial" w:hAnsi="Arial" w:cs="Arial"/>
          <w:sz w:val="24"/>
          <w:szCs w:val="24"/>
        </w:rPr>
        <w:t>T</w:t>
      </w:r>
      <w:r w:rsidR="00F21485" w:rsidRPr="00593BCE">
        <w:rPr>
          <w:rFonts w:ascii="Arial" w:hAnsi="Arial" w:cs="Arial"/>
          <w:sz w:val="24"/>
          <w:szCs w:val="24"/>
        </w:rPr>
        <w:t xml:space="preserve">he </w:t>
      </w:r>
      <w:r w:rsidR="00C24475" w:rsidRPr="00593BCE">
        <w:rPr>
          <w:rFonts w:ascii="Arial" w:hAnsi="Arial" w:cs="Arial"/>
          <w:sz w:val="24"/>
          <w:szCs w:val="24"/>
        </w:rPr>
        <w:t>majority of patients (8</w:t>
      </w:r>
      <w:r w:rsidR="00396D87" w:rsidRPr="00593BCE">
        <w:rPr>
          <w:rFonts w:ascii="Arial" w:hAnsi="Arial" w:cs="Arial"/>
          <w:sz w:val="24"/>
          <w:szCs w:val="24"/>
        </w:rPr>
        <w:t>8.</w:t>
      </w:r>
      <w:r w:rsidR="00C24475" w:rsidRPr="00593BCE">
        <w:rPr>
          <w:rFonts w:ascii="Arial" w:hAnsi="Arial" w:cs="Arial"/>
          <w:sz w:val="24"/>
          <w:szCs w:val="24"/>
        </w:rPr>
        <w:t xml:space="preserve">9%) received GA for sedation during </w:t>
      </w:r>
      <w:r w:rsidRPr="00593BCE">
        <w:rPr>
          <w:rFonts w:ascii="Arial" w:hAnsi="Arial" w:cs="Arial"/>
          <w:sz w:val="24"/>
          <w:szCs w:val="24"/>
        </w:rPr>
        <w:t xml:space="preserve">their </w:t>
      </w:r>
      <w:r w:rsidR="00C24475" w:rsidRPr="00593BCE">
        <w:rPr>
          <w:rFonts w:ascii="Arial" w:hAnsi="Arial" w:cs="Arial"/>
          <w:sz w:val="24"/>
          <w:szCs w:val="24"/>
        </w:rPr>
        <w:t xml:space="preserve">hip operation and the </w:t>
      </w:r>
      <w:r w:rsidR="00A65B05" w:rsidRPr="00593BCE">
        <w:rPr>
          <w:rFonts w:ascii="Arial" w:hAnsi="Arial" w:cs="Arial"/>
          <w:sz w:val="24"/>
          <w:szCs w:val="24"/>
        </w:rPr>
        <w:t xml:space="preserve">remaining </w:t>
      </w:r>
      <w:r w:rsidR="00C24475" w:rsidRPr="00593BCE">
        <w:rPr>
          <w:rFonts w:ascii="Arial" w:hAnsi="Arial" w:cs="Arial"/>
          <w:sz w:val="24"/>
          <w:szCs w:val="24"/>
        </w:rPr>
        <w:t xml:space="preserve">11.1% had </w:t>
      </w:r>
      <w:r w:rsidR="00E70519" w:rsidRPr="00593BCE">
        <w:rPr>
          <w:rFonts w:ascii="Arial" w:hAnsi="Arial" w:cs="Arial"/>
          <w:sz w:val="24"/>
          <w:szCs w:val="24"/>
        </w:rPr>
        <w:t>nerve</w:t>
      </w:r>
      <w:r w:rsidR="00C24475" w:rsidRPr="00593BCE">
        <w:rPr>
          <w:rFonts w:ascii="Arial" w:hAnsi="Arial" w:cs="Arial"/>
          <w:sz w:val="24"/>
          <w:szCs w:val="24"/>
        </w:rPr>
        <w:t xml:space="preserve"> block without GA. </w:t>
      </w:r>
      <w:r w:rsidR="004E5D47" w:rsidRPr="00593BCE">
        <w:rPr>
          <w:rFonts w:ascii="Arial" w:hAnsi="Arial" w:cs="Arial"/>
          <w:sz w:val="24"/>
          <w:szCs w:val="24"/>
        </w:rPr>
        <w:t xml:space="preserve">There were </w:t>
      </w:r>
      <w:r w:rsidR="000A0441" w:rsidRPr="00593BCE">
        <w:rPr>
          <w:rFonts w:ascii="Arial" w:hAnsi="Arial" w:cs="Arial"/>
          <w:sz w:val="24"/>
          <w:szCs w:val="24"/>
        </w:rPr>
        <w:t>117</w:t>
      </w:r>
      <w:r w:rsidR="004E5D47" w:rsidRPr="00593BCE">
        <w:rPr>
          <w:rFonts w:ascii="Arial" w:hAnsi="Arial" w:cs="Arial"/>
          <w:sz w:val="24"/>
          <w:szCs w:val="24"/>
        </w:rPr>
        <w:t xml:space="preserve"> (</w:t>
      </w:r>
      <w:r w:rsidR="007579F4" w:rsidRPr="00593BCE">
        <w:rPr>
          <w:rFonts w:ascii="Arial" w:hAnsi="Arial" w:cs="Arial"/>
          <w:sz w:val="24"/>
          <w:szCs w:val="24"/>
        </w:rPr>
        <w:t>2</w:t>
      </w:r>
      <w:r w:rsidR="000A0441" w:rsidRPr="00593BCE">
        <w:rPr>
          <w:rFonts w:ascii="Arial" w:hAnsi="Arial" w:cs="Arial"/>
          <w:sz w:val="24"/>
          <w:szCs w:val="24"/>
        </w:rPr>
        <w:t>2</w:t>
      </w:r>
      <w:r w:rsidR="007579F4" w:rsidRPr="00593BCE">
        <w:rPr>
          <w:rFonts w:ascii="Arial" w:hAnsi="Arial" w:cs="Arial"/>
          <w:sz w:val="24"/>
          <w:szCs w:val="24"/>
        </w:rPr>
        <w:t>.</w:t>
      </w:r>
      <w:r w:rsidR="000A0441" w:rsidRPr="00593BCE">
        <w:rPr>
          <w:rFonts w:ascii="Arial" w:hAnsi="Arial" w:cs="Arial"/>
          <w:sz w:val="24"/>
          <w:szCs w:val="24"/>
        </w:rPr>
        <w:t>1</w:t>
      </w:r>
      <w:r w:rsidR="004E5D47" w:rsidRPr="00593BCE">
        <w:rPr>
          <w:rFonts w:ascii="Arial" w:hAnsi="Arial" w:cs="Arial"/>
          <w:sz w:val="24"/>
          <w:szCs w:val="24"/>
        </w:rPr>
        <w:t xml:space="preserve">%) patients unable to mobilise </w:t>
      </w:r>
      <w:r w:rsidR="00C75C11" w:rsidRPr="00593BCE">
        <w:rPr>
          <w:rFonts w:ascii="Arial" w:hAnsi="Arial" w:cs="Arial"/>
          <w:sz w:val="24"/>
          <w:szCs w:val="24"/>
        </w:rPr>
        <w:t>within</w:t>
      </w:r>
      <w:r w:rsidR="004E5D47" w:rsidRPr="00593BCE">
        <w:rPr>
          <w:rFonts w:ascii="Arial" w:hAnsi="Arial" w:cs="Arial"/>
          <w:sz w:val="24"/>
          <w:szCs w:val="24"/>
        </w:rPr>
        <w:t xml:space="preserve"> </w:t>
      </w:r>
      <w:r w:rsidR="00C75C11" w:rsidRPr="00593BCE">
        <w:rPr>
          <w:rFonts w:ascii="Arial" w:hAnsi="Arial" w:cs="Arial"/>
          <w:sz w:val="24"/>
          <w:szCs w:val="24"/>
        </w:rPr>
        <w:t>1-</w:t>
      </w:r>
      <w:r w:rsidR="004E5D47" w:rsidRPr="00593BCE">
        <w:rPr>
          <w:rFonts w:ascii="Arial" w:hAnsi="Arial" w:cs="Arial"/>
          <w:sz w:val="24"/>
          <w:szCs w:val="24"/>
        </w:rPr>
        <w:t xml:space="preserve">day after surgery and </w:t>
      </w:r>
      <w:r w:rsidR="00FA3C68" w:rsidRPr="00593BCE">
        <w:rPr>
          <w:rFonts w:ascii="Arial" w:hAnsi="Arial" w:cs="Arial"/>
          <w:sz w:val="24"/>
          <w:szCs w:val="24"/>
        </w:rPr>
        <w:t>132</w:t>
      </w:r>
      <w:r w:rsidR="004E5D47" w:rsidRPr="00593BCE">
        <w:rPr>
          <w:rFonts w:ascii="Arial" w:hAnsi="Arial" w:cs="Arial"/>
          <w:sz w:val="24"/>
          <w:szCs w:val="24"/>
        </w:rPr>
        <w:t xml:space="preserve"> (2</w:t>
      </w:r>
      <w:r w:rsidR="00FA3C68" w:rsidRPr="00593BCE">
        <w:rPr>
          <w:rFonts w:ascii="Arial" w:hAnsi="Arial" w:cs="Arial"/>
          <w:sz w:val="24"/>
          <w:szCs w:val="24"/>
        </w:rPr>
        <w:t>5</w:t>
      </w:r>
      <w:r w:rsidR="004E5D47" w:rsidRPr="00593BCE">
        <w:rPr>
          <w:rFonts w:ascii="Arial" w:hAnsi="Arial" w:cs="Arial"/>
          <w:sz w:val="24"/>
          <w:szCs w:val="24"/>
        </w:rPr>
        <w:t>.</w:t>
      </w:r>
      <w:r w:rsidR="00FA3C68" w:rsidRPr="00593BCE">
        <w:rPr>
          <w:rFonts w:ascii="Arial" w:hAnsi="Arial" w:cs="Arial"/>
          <w:sz w:val="24"/>
          <w:szCs w:val="24"/>
        </w:rPr>
        <w:t>0</w:t>
      </w:r>
      <w:r w:rsidR="004E5D47" w:rsidRPr="00593BCE">
        <w:rPr>
          <w:rFonts w:ascii="Arial" w:hAnsi="Arial" w:cs="Arial"/>
          <w:sz w:val="24"/>
          <w:szCs w:val="24"/>
        </w:rPr>
        <w:t xml:space="preserve">%) patients had prolonged LOS in hospital. </w:t>
      </w:r>
      <w:r w:rsidR="00FA3C68" w:rsidRPr="00593BCE">
        <w:rPr>
          <w:rFonts w:ascii="Arial" w:hAnsi="Arial" w:cs="Arial"/>
          <w:sz w:val="24"/>
          <w:szCs w:val="24"/>
        </w:rPr>
        <w:t xml:space="preserve">Of the </w:t>
      </w:r>
      <w:r w:rsidR="00F53E8D" w:rsidRPr="00593BCE">
        <w:rPr>
          <w:rFonts w:ascii="Arial" w:hAnsi="Arial" w:cs="Arial"/>
          <w:sz w:val="24"/>
          <w:szCs w:val="24"/>
        </w:rPr>
        <w:t>522</w:t>
      </w:r>
      <w:r w:rsidR="00FA3C68" w:rsidRPr="00593BCE">
        <w:rPr>
          <w:rFonts w:ascii="Arial" w:hAnsi="Arial" w:cs="Arial"/>
          <w:sz w:val="24"/>
          <w:szCs w:val="24"/>
        </w:rPr>
        <w:t xml:space="preserve"> </w:t>
      </w:r>
      <w:r w:rsidR="00FA3C68" w:rsidRPr="00593BCE">
        <w:rPr>
          <w:rFonts w:ascii="Arial" w:hAnsi="Arial" w:cs="Arial"/>
          <w:sz w:val="24"/>
          <w:szCs w:val="24"/>
        </w:rPr>
        <w:lastRenderedPageBreak/>
        <w:t xml:space="preserve">patients who completed </w:t>
      </w:r>
      <w:r w:rsidRPr="00593BCE">
        <w:rPr>
          <w:rFonts w:ascii="Arial" w:hAnsi="Arial" w:cs="Arial"/>
          <w:sz w:val="24"/>
          <w:szCs w:val="24"/>
        </w:rPr>
        <w:t xml:space="preserve">the </w:t>
      </w:r>
      <w:r w:rsidR="00FA3C68" w:rsidRPr="00593BCE">
        <w:rPr>
          <w:rFonts w:ascii="Arial" w:hAnsi="Arial" w:cs="Arial"/>
          <w:sz w:val="24"/>
          <w:szCs w:val="24"/>
        </w:rPr>
        <w:t>4AT assessment, 156 (</w:t>
      </w:r>
      <w:r w:rsidR="00C73E59" w:rsidRPr="00593BCE">
        <w:rPr>
          <w:rFonts w:ascii="Arial" w:hAnsi="Arial" w:cs="Arial"/>
          <w:sz w:val="24"/>
          <w:szCs w:val="24"/>
        </w:rPr>
        <w:t>2</w:t>
      </w:r>
      <w:r w:rsidR="00FA3C68" w:rsidRPr="00593BCE">
        <w:rPr>
          <w:rFonts w:ascii="Arial" w:hAnsi="Arial" w:cs="Arial"/>
          <w:sz w:val="24"/>
          <w:szCs w:val="24"/>
        </w:rPr>
        <w:t>9.9</w:t>
      </w:r>
      <w:r w:rsidR="00C73E59" w:rsidRPr="00593BCE">
        <w:rPr>
          <w:rFonts w:ascii="Arial" w:hAnsi="Arial" w:cs="Arial"/>
          <w:sz w:val="24"/>
          <w:szCs w:val="24"/>
        </w:rPr>
        <w:t>%</w:t>
      </w:r>
      <w:r w:rsidR="00FA3C68" w:rsidRPr="00593BCE">
        <w:rPr>
          <w:rFonts w:ascii="Arial" w:hAnsi="Arial" w:cs="Arial"/>
          <w:sz w:val="24"/>
          <w:szCs w:val="24"/>
        </w:rPr>
        <w:t>)</w:t>
      </w:r>
      <w:r w:rsidR="00C73E59" w:rsidRPr="00593BCE">
        <w:rPr>
          <w:rFonts w:ascii="Arial" w:hAnsi="Arial" w:cs="Arial"/>
          <w:sz w:val="24"/>
          <w:szCs w:val="24"/>
        </w:rPr>
        <w:t xml:space="preserve"> patients </w:t>
      </w:r>
      <w:r w:rsidR="00FA3C68" w:rsidRPr="00593BCE">
        <w:rPr>
          <w:rFonts w:ascii="Arial" w:hAnsi="Arial" w:cs="Arial"/>
          <w:sz w:val="24"/>
          <w:szCs w:val="24"/>
        </w:rPr>
        <w:t>had</w:t>
      </w:r>
      <w:r w:rsidR="00C73E59" w:rsidRPr="00593BCE">
        <w:rPr>
          <w:rFonts w:ascii="Arial" w:hAnsi="Arial" w:cs="Arial"/>
          <w:sz w:val="24"/>
          <w:szCs w:val="24"/>
        </w:rPr>
        <w:t xml:space="preserve"> </w:t>
      </w:r>
      <w:r w:rsidR="00A75865" w:rsidRPr="00593BCE">
        <w:rPr>
          <w:rFonts w:ascii="Arial" w:hAnsi="Arial" w:cs="Arial"/>
          <w:sz w:val="24"/>
          <w:szCs w:val="24"/>
        </w:rPr>
        <w:t>4AT</w:t>
      </w:r>
      <w:r w:rsidRPr="00593BCE">
        <w:rPr>
          <w:rFonts w:ascii="Arial" w:hAnsi="Arial" w:cs="Arial"/>
          <w:sz w:val="24"/>
          <w:szCs w:val="24"/>
        </w:rPr>
        <w:t xml:space="preserve"> scores of </w:t>
      </w:r>
      <w:r w:rsidR="00A75865" w:rsidRPr="00593BCE">
        <w:rPr>
          <w:rFonts w:ascii="Arial" w:hAnsi="Arial" w:cs="Arial"/>
          <w:sz w:val="24"/>
          <w:szCs w:val="24"/>
        </w:rPr>
        <w:t>1-3</w:t>
      </w:r>
      <w:r w:rsidRPr="00593BCE">
        <w:rPr>
          <w:rFonts w:ascii="Arial" w:hAnsi="Arial" w:cs="Arial"/>
          <w:sz w:val="24"/>
          <w:szCs w:val="24"/>
        </w:rPr>
        <w:t>,</w:t>
      </w:r>
      <w:r w:rsidR="00A67FE8" w:rsidRPr="00593BCE">
        <w:rPr>
          <w:rFonts w:ascii="Arial" w:hAnsi="Arial" w:cs="Arial"/>
          <w:sz w:val="24"/>
          <w:szCs w:val="24"/>
        </w:rPr>
        <w:t xml:space="preserve"> </w:t>
      </w:r>
      <w:r w:rsidR="00C73E59" w:rsidRPr="00593BCE">
        <w:rPr>
          <w:rFonts w:ascii="Arial" w:hAnsi="Arial" w:cs="Arial"/>
          <w:sz w:val="24"/>
          <w:szCs w:val="24"/>
        </w:rPr>
        <w:t xml:space="preserve">and </w:t>
      </w:r>
      <w:r w:rsidR="00FA3C68" w:rsidRPr="00593BCE">
        <w:rPr>
          <w:rFonts w:ascii="Arial" w:hAnsi="Arial" w:cs="Arial"/>
          <w:sz w:val="24"/>
          <w:szCs w:val="24"/>
        </w:rPr>
        <w:t>105 (20.1</w:t>
      </w:r>
      <w:r w:rsidR="00C73E59" w:rsidRPr="00593BCE">
        <w:rPr>
          <w:rFonts w:ascii="Arial" w:hAnsi="Arial" w:cs="Arial"/>
          <w:sz w:val="24"/>
          <w:szCs w:val="24"/>
        </w:rPr>
        <w:t>%</w:t>
      </w:r>
      <w:r w:rsidR="00FA3C68" w:rsidRPr="00593BCE">
        <w:rPr>
          <w:rFonts w:ascii="Arial" w:hAnsi="Arial" w:cs="Arial"/>
          <w:sz w:val="24"/>
          <w:szCs w:val="24"/>
        </w:rPr>
        <w:t xml:space="preserve">) had </w:t>
      </w:r>
      <w:r w:rsidRPr="00593BCE">
        <w:rPr>
          <w:rFonts w:ascii="Arial" w:hAnsi="Arial" w:cs="Arial"/>
          <w:sz w:val="24"/>
          <w:szCs w:val="24"/>
        </w:rPr>
        <w:t xml:space="preserve">a </w:t>
      </w:r>
      <w:r w:rsidR="00A75865" w:rsidRPr="00593BCE">
        <w:rPr>
          <w:rFonts w:ascii="Arial" w:hAnsi="Arial" w:cs="Arial"/>
          <w:sz w:val="24"/>
          <w:szCs w:val="24"/>
        </w:rPr>
        <w:t>4AT</w:t>
      </w:r>
      <w:r w:rsidRPr="00593BCE">
        <w:rPr>
          <w:rFonts w:ascii="Arial" w:hAnsi="Arial" w:cs="Arial"/>
          <w:sz w:val="24"/>
          <w:szCs w:val="24"/>
        </w:rPr>
        <w:t xml:space="preserve"> score </w:t>
      </w:r>
      <w:r w:rsidR="00A75865" w:rsidRPr="00593BCE">
        <w:rPr>
          <w:rFonts w:ascii="Arial" w:hAnsi="Arial" w:cs="Arial"/>
          <w:sz w:val="24"/>
          <w:szCs w:val="24"/>
        </w:rPr>
        <w:t>≥4</w:t>
      </w:r>
      <w:r w:rsidR="00C73E59" w:rsidRPr="00593BCE">
        <w:rPr>
          <w:rFonts w:ascii="Arial" w:hAnsi="Arial" w:cs="Arial"/>
          <w:sz w:val="24"/>
          <w:szCs w:val="24"/>
        </w:rPr>
        <w:t xml:space="preserve"> </w:t>
      </w:r>
      <w:r w:rsidR="000A2A82" w:rsidRPr="00593BCE">
        <w:rPr>
          <w:rFonts w:ascii="Arial" w:hAnsi="Arial" w:cs="Arial"/>
          <w:sz w:val="24"/>
          <w:szCs w:val="24"/>
        </w:rPr>
        <w:t>(</w:t>
      </w:r>
      <w:r w:rsidR="004C1C2D" w:rsidRPr="00593BCE">
        <w:rPr>
          <w:rFonts w:ascii="Arial" w:hAnsi="Arial" w:cs="Arial"/>
          <w:b/>
          <w:sz w:val="24"/>
          <w:szCs w:val="24"/>
        </w:rPr>
        <w:t>Table</w:t>
      </w:r>
      <w:r w:rsidR="00E73B1B" w:rsidRPr="00593BCE">
        <w:rPr>
          <w:rFonts w:ascii="Arial" w:hAnsi="Arial" w:cs="Arial"/>
          <w:b/>
          <w:sz w:val="24"/>
          <w:szCs w:val="24"/>
        </w:rPr>
        <w:t xml:space="preserve"> </w:t>
      </w:r>
      <w:r w:rsidR="000A2A82" w:rsidRPr="00593BCE">
        <w:rPr>
          <w:rFonts w:ascii="Arial" w:hAnsi="Arial" w:cs="Arial"/>
          <w:b/>
          <w:sz w:val="24"/>
          <w:szCs w:val="24"/>
        </w:rPr>
        <w:t>1</w:t>
      </w:r>
      <w:r w:rsidR="000A2A82" w:rsidRPr="00593BCE">
        <w:rPr>
          <w:rFonts w:ascii="Arial" w:hAnsi="Arial" w:cs="Arial"/>
          <w:sz w:val="24"/>
          <w:szCs w:val="24"/>
        </w:rPr>
        <w:t>).</w:t>
      </w:r>
      <w:r w:rsidR="007F6EBC" w:rsidRPr="00593BCE">
        <w:rPr>
          <w:rFonts w:ascii="Arial" w:hAnsi="Arial" w:cs="Arial"/>
          <w:sz w:val="24"/>
          <w:szCs w:val="24"/>
        </w:rPr>
        <w:t xml:space="preserve"> </w:t>
      </w:r>
    </w:p>
    <w:p w14:paraId="10885FC3" w14:textId="77777777" w:rsidR="000A2A82" w:rsidRPr="00593BCE" w:rsidRDefault="000A2A82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2A08F3F" w14:textId="50452761" w:rsidR="00994FC3" w:rsidRPr="00593BCE" w:rsidRDefault="00E72463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 xml:space="preserve">ANOVA showed significant differences in LOS between </w:t>
      </w:r>
      <w:r w:rsidR="00F21485" w:rsidRPr="00593BCE">
        <w:rPr>
          <w:rFonts w:ascii="Arial" w:hAnsi="Arial" w:cs="Arial"/>
          <w:sz w:val="24"/>
          <w:szCs w:val="24"/>
        </w:rPr>
        <w:t xml:space="preserve">the three </w:t>
      </w:r>
      <w:r w:rsidR="00154A1D" w:rsidRPr="00593BCE">
        <w:rPr>
          <w:rFonts w:ascii="Arial" w:hAnsi="Arial" w:cs="Arial"/>
          <w:sz w:val="24"/>
          <w:szCs w:val="24"/>
        </w:rPr>
        <w:t>4AT groups (F=</w:t>
      </w:r>
      <w:r w:rsidR="000448A7" w:rsidRPr="00593BCE">
        <w:rPr>
          <w:rFonts w:ascii="Arial" w:hAnsi="Arial" w:cs="Arial"/>
          <w:sz w:val="24"/>
          <w:szCs w:val="24"/>
        </w:rPr>
        <w:t>21</w:t>
      </w:r>
      <w:r w:rsidR="00154A1D" w:rsidRPr="00593BCE">
        <w:rPr>
          <w:rFonts w:ascii="Arial" w:hAnsi="Arial" w:cs="Arial"/>
          <w:sz w:val="24"/>
          <w:szCs w:val="24"/>
        </w:rPr>
        <w:t>.</w:t>
      </w:r>
      <w:r w:rsidR="000448A7" w:rsidRPr="00593BCE">
        <w:rPr>
          <w:rFonts w:ascii="Arial" w:hAnsi="Arial" w:cs="Arial"/>
          <w:sz w:val="24"/>
          <w:szCs w:val="24"/>
        </w:rPr>
        <w:t>8</w:t>
      </w:r>
      <w:r w:rsidR="00154A1D" w:rsidRPr="00593BCE">
        <w:rPr>
          <w:rFonts w:ascii="Arial" w:hAnsi="Arial" w:cs="Arial"/>
          <w:sz w:val="24"/>
          <w:szCs w:val="24"/>
        </w:rPr>
        <w:t xml:space="preserve">, </w:t>
      </w:r>
      <w:r w:rsidR="00154A1D" w:rsidRPr="00593BCE">
        <w:rPr>
          <w:rFonts w:ascii="Arial" w:hAnsi="Arial" w:cs="Arial"/>
          <w:i/>
          <w:sz w:val="24"/>
          <w:szCs w:val="24"/>
        </w:rPr>
        <w:t>p</w:t>
      </w:r>
      <w:r w:rsidRPr="00593BCE">
        <w:rPr>
          <w:rFonts w:ascii="Arial" w:hAnsi="Arial" w:cs="Arial"/>
          <w:sz w:val="24"/>
          <w:szCs w:val="24"/>
        </w:rPr>
        <w:t>&lt;0.001)</w:t>
      </w:r>
      <w:r w:rsidR="008F2815" w:rsidRPr="00593BCE">
        <w:rPr>
          <w:rFonts w:ascii="Arial" w:hAnsi="Arial" w:cs="Arial"/>
          <w:sz w:val="24"/>
          <w:szCs w:val="24"/>
        </w:rPr>
        <w:t>.</w:t>
      </w:r>
      <w:r w:rsidRPr="00593BCE">
        <w:rPr>
          <w:rFonts w:ascii="Arial" w:hAnsi="Arial" w:cs="Arial"/>
          <w:sz w:val="24"/>
          <w:szCs w:val="24"/>
        </w:rPr>
        <w:t xml:space="preserve"> </w:t>
      </w:r>
      <w:r w:rsidR="00F21485" w:rsidRPr="00593BCE">
        <w:rPr>
          <w:rFonts w:ascii="Arial" w:hAnsi="Arial" w:cs="Arial"/>
          <w:sz w:val="24"/>
          <w:szCs w:val="24"/>
        </w:rPr>
        <w:t>The</w:t>
      </w:r>
      <w:r w:rsidR="00576B65" w:rsidRPr="00593BCE">
        <w:rPr>
          <w:rFonts w:ascii="Arial" w:hAnsi="Arial" w:cs="Arial"/>
          <w:sz w:val="24"/>
          <w:szCs w:val="24"/>
        </w:rPr>
        <w:t xml:space="preserve"> LOS </w:t>
      </w:r>
      <w:r w:rsidR="00A65B05" w:rsidRPr="00593BCE">
        <w:rPr>
          <w:rFonts w:ascii="Arial" w:hAnsi="Arial" w:cs="Arial"/>
          <w:sz w:val="24"/>
          <w:szCs w:val="24"/>
        </w:rPr>
        <w:t xml:space="preserve">for </w:t>
      </w:r>
      <w:r w:rsidR="00576B65" w:rsidRPr="00593BCE">
        <w:rPr>
          <w:rFonts w:ascii="Arial" w:hAnsi="Arial" w:cs="Arial"/>
          <w:sz w:val="24"/>
          <w:szCs w:val="24"/>
        </w:rPr>
        <w:t xml:space="preserve">patients </w:t>
      </w:r>
      <w:r w:rsidR="00627FA8" w:rsidRPr="00593BCE">
        <w:rPr>
          <w:rFonts w:ascii="Arial" w:hAnsi="Arial" w:cs="Arial"/>
          <w:sz w:val="24"/>
          <w:szCs w:val="24"/>
        </w:rPr>
        <w:t xml:space="preserve">with </w:t>
      </w:r>
      <w:r w:rsidR="00D60D8E" w:rsidRPr="00593BCE">
        <w:rPr>
          <w:rFonts w:ascii="Arial" w:hAnsi="Arial" w:cs="Arial"/>
          <w:sz w:val="24"/>
          <w:szCs w:val="24"/>
        </w:rPr>
        <w:t xml:space="preserve">4AT=0 </w:t>
      </w:r>
      <w:r w:rsidR="00627FA8" w:rsidRPr="00593BCE">
        <w:rPr>
          <w:rFonts w:ascii="Arial" w:hAnsi="Arial" w:cs="Arial"/>
          <w:sz w:val="24"/>
          <w:szCs w:val="24"/>
        </w:rPr>
        <w:t>(</w:t>
      </w:r>
      <w:r w:rsidR="00F21485" w:rsidRPr="00593BCE">
        <w:rPr>
          <w:rFonts w:ascii="Arial" w:hAnsi="Arial" w:cs="Arial"/>
          <w:sz w:val="24"/>
          <w:szCs w:val="24"/>
        </w:rPr>
        <w:t xml:space="preserve">reference </w:t>
      </w:r>
      <w:r w:rsidR="00576B65" w:rsidRPr="00593BCE">
        <w:rPr>
          <w:rFonts w:ascii="Arial" w:hAnsi="Arial" w:cs="Arial"/>
          <w:sz w:val="24"/>
          <w:szCs w:val="24"/>
        </w:rPr>
        <w:t>group</w:t>
      </w:r>
      <w:r w:rsidR="00F21485" w:rsidRPr="00593BCE">
        <w:rPr>
          <w:rFonts w:ascii="Arial" w:hAnsi="Arial" w:cs="Arial"/>
          <w:sz w:val="24"/>
          <w:szCs w:val="24"/>
        </w:rPr>
        <w:t>)</w:t>
      </w:r>
      <w:r w:rsidR="00A65B05" w:rsidRPr="00593BCE">
        <w:rPr>
          <w:rFonts w:ascii="Arial" w:hAnsi="Arial" w:cs="Arial"/>
          <w:sz w:val="24"/>
          <w:szCs w:val="24"/>
        </w:rPr>
        <w:t xml:space="preserve"> was 9.5</w:t>
      </w:r>
      <w:r w:rsidR="00815CAF" w:rsidRPr="00593BCE">
        <w:rPr>
          <w:rFonts w:ascii="Arial" w:hAnsi="Arial" w:cs="Arial"/>
          <w:sz w:val="24"/>
          <w:szCs w:val="24"/>
        </w:rPr>
        <w:t>±6.9</w:t>
      </w:r>
      <w:r w:rsidR="0056096D" w:rsidRPr="00593BCE">
        <w:rPr>
          <w:rFonts w:ascii="Arial" w:hAnsi="Arial" w:cs="Arial"/>
          <w:sz w:val="24"/>
          <w:szCs w:val="24"/>
        </w:rPr>
        <w:t xml:space="preserve"> </w:t>
      </w:r>
      <w:r w:rsidR="00A65B05" w:rsidRPr="00593BCE">
        <w:rPr>
          <w:rFonts w:ascii="Arial" w:hAnsi="Arial" w:cs="Arial"/>
          <w:sz w:val="24"/>
          <w:szCs w:val="24"/>
        </w:rPr>
        <w:t>days</w:t>
      </w:r>
      <w:r w:rsidR="00F21485" w:rsidRPr="00593BCE">
        <w:rPr>
          <w:rFonts w:ascii="Arial" w:hAnsi="Arial" w:cs="Arial"/>
          <w:sz w:val="24"/>
          <w:szCs w:val="24"/>
        </w:rPr>
        <w:t>.</w:t>
      </w:r>
      <w:r w:rsidR="000165EA" w:rsidRPr="00593BCE">
        <w:rPr>
          <w:rFonts w:ascii="Arial" w:hAnsi="Arial" w:cs="Arial"/>
          <w:sz w:val="24"/>
          <w:szCs w:val="24"/>
        </w:rPr>
        <w:t xml:space="preserve"> </w:t>
      </w:r>
      <w:r w:rsidR="00994FC3" w:rsidRPr="00593BCE">
        <w:rPr>
          <w:rFonts w:ascii="Arial" w:hAnsi="Arial" w:cs="Arial"/>
          <w:sz w:val="24"/>
          <w:szCs w:val="24"/>
        </w:rPr>
        <w:t>LOS was progressively and significantly longer as 4AT scores increased from the reference group to 4AT=1-3 (12.5</w:t>
      </w:r>
      <w:r w:rsidR="005D1C23" w:rsidRPr="00593BCE">
        <w:rPr>
          <w:rFonts w:ascii="Arial" w:hAnsi="Arial" w:cs="Arial"/>
          <w:sz w:val="24"/>
          <w:szCs w:val="24"/>
        </w:rPr>
        <w:t xml:space="preserve"> </w:t>
      </w:r>
      <w:r w:rsidR="00994FC3" w:rsidRPr="00593BCE">
        <w:rPr>
          <w:rFonts w:ascii="Arial" w:hAnsi="Arial" w:cs="Arial"/>
          <w:sz w:val="24"/>
          <w:szCs w:val="24"/>
        </w:rPr>
        <w:t>days</w:t>
      </w:r>
      <w:commentRangeStart w:id="3"/>
      <w:r w:rsidR="00994FC3" w:rsidRPr="00593BCE">
        <w:rPr>
          <w:rFonts w:ascii="Arial" w:hAnsi="Arial" w:cs="Arial"/>
          <w:sz w:val="24"/>
          <w:szCs w:val="24"/>
        </w:rPr>
        <w:t>, 95%CI=1.5-4.5days</w:t>
      </w:r>
      <w:commentRangeEnd w:id="3"/>
      <w:r w:rsidR="005D1C23" w:rsidRPr="00593BCE">
        <w:rPr>
          <w:rStyle w:val="CommentReference"/>
        </w:rPr>
        <w:commentReference w:id="3"/>
      </w:r>
      <w:r w:rsidR="00994FC3" w:rsidRPr="00593BCE">
        <w:rPr>
          <w:rFonts w:ascii="Arial" w:hAnsi="Arial" w:cs="Arial"/>
          <w:sz w:val="24"/>
          <w:szCs w:val="24"/>
        </w:rPr>
        <w:t xml:space="preserve">, </w:t>
      </w:r>
      <w:r w:rsidR="00994FC3" w:rsidRPr="00593BCE">
        <w:rPr>
          <w:rFonts w:ascii="Arial" w:hAnsi="Arial" w:cs="Arial"/>
          <w:i/>
          <w:sz w:val="24"/>
          <w:szCs w:val="24"/>
        </w:rPr>
        <w:t>p</w:t>
      </w:r>
      <w:r w:rsidR="00994FC3" w:rsidRPr="00593BCE">
        <w:rPr>
          <w:rFonts w:ascii="Arial" w:hAnsi="Arial" w:cs="Arial"/>
          <w:sz w:val="24"/>
          <w:szCs w:val="24"/>
        </w:rPr>
        <w:t>&lt;0.001) and 4AT≥4 (15.4</w:t>
      </w:r>
      <w:r w:rsidR="005D1C23" w:rsidRPr="00593BCE">
        <w:rPr>
          <w:rFonts w:ascii="Arial" w:hAnsi="Arial" w:cs="Arial"/>
          <w:sz w:val="24"/>
          <w:szCs w:val="24"/>
        </w:rPr>
        <w:t xml:space="preserve"> </w:t>
      </w:r>
      <w:r w:rsidR="00994FC3" w:rsidRPr="00593BCE">
        <w:rPr>
          <w:rFonts w:ascii="Arial" w:hAnsi="Arial" w:cs="Arial"/>
          <w:sz w:val="24"/>
          <w:szCs w:val="24"/>
        </w:rPr>
        <w:t xml:space="preserve">days, </w:t>
      </w:r>
      <w:commentRangeStart w:id="4"/>
      <w:r w:rsidR="00994FC3" w:rsidRPr="00593BCE">
        <w:rPr>
          <w:rFonts w:ascii="Arial" w:hAnsi="Arial" w:cs="Arial"/>
          <w:sz w:val="24"/>
          <w:szCs w:val="24"/>
        </w:rPr>
        <w:t>95%CI=4.0-7.7days</w:t>
      </w:r>
      <w:commentRangeEnd w:id="4"/>
      <w:r w:rsidR="005D1C23" w:rsidRPr="00593BCE">
        <w:rPr>
          <w:rStyle w:val="CommentReference"/>
        </w:rPr>
        <w:commentReference w:id="4"/>
      </w:r>
      <w:r w:rsidR="00994FC3" w:rsidRPr="00593BCE">
        <w:rPr>
          <w:rFonts w:ascii="Arial" w:hAnsi="Arial" w:cs="Arial"/>
          <w:sz w:val="24"/>
          <w:szCs w:val="24"/>
        </w:rPr>
        <w:t xml:space="preserve">, </w:t>
      </w:r>
      <w:r w:rsidR="00994FC3" w:rsidRPr="00593BCE">
        <w:rPr>
          <w:rFonts w:ascii="Arial" w:hAnsi="Arial" w:cs="Arial"/>
          <w:i/>
          <w:sz w:val="24"/>
          <w:szCs w:val="24"/>
        </w:rPr>
        <w:t>p</w:t>
      </w:r>
      <w:r w:rsidR="00994FC3" w:rsidRPr="00593BCE">
        <w:rPr>
          <w:rFonts w:ascii="Arial" w:hAnsi="Arial" w:cs="Arial"/>
          <w:sz w:val="24"/>
          <w:szCs w:val="24"/>
        </w:rPr>
        <w:t>&lt;0.001).</w:t>
      </w:r>
      <w:r w:rsidR="00F066DC" w:rsidRPr="00593BCE">
        <w:rPr>
          <w:rFonts w:ascii="Arial" w:hAnsi="Arial" w:cs="Arial"/>
          <w:sz w:val="24"/>
          <w:szCs w:val="24"/>
        </w:rPr>
        <w:t xml:space="preserve"> </w:t>
      </w:r>
      <w:r w:rsidR="00994FC3" w:rsidRPr="00593BCE">
        <w:rPr>
          <w:rFonts w:ascii="Arial" w:hAnsi="Arial" w:cs="Arial"/>
          <w:sz w:val="24"/>
          <w:szCs w:val="24"/>
        </w:rPr>
        <w:t>The increase of LOS between the 4AT=1-3 and 4AT≥4 groups was also significantly significant (</w:t>
      </w:r>
      <w:r w:rsidR="00994FC3" w:rsidRPr="00593BCE">
        <w:rPr>
          <w:rFonts w:ascii="Arial" w:hAnsi="Arial" w:cs="Arial"/>
          <w:i/>
          <w:sz w:val="24"/>
          <w:szCs w:val="24"/>
        </w:rPr>
        <w:t>p</w:t>
      </w:r>
      <w:r w:rsidR="00994FC3" w:rsidRPr="00593BCE">
        <w:rPr>
          <w:rFonts w:ascii="Arial" w:hAnsi="Arial" w:cs="Arial"/>
          <w:sz w:val="24"/>
          <w:szCs w:val="24"/>
        </w:rPr>
        <w:t>=0.005)</w:t>
      </w:r>
      <w:r w:rsidR="00627FA8" w:rsidRPr="00593BCE">
        <w:rPr>
          <w:rFonts w:ascii="Arial" w:hAnsi="Arial" w:cs="Arial"/>
          <w:sz w:val="24"/>
          <w:szCs w:val="24"/>
        </w:rPr>
        <w:t xml:space="preserve"> (</w:t>
      </w:r>
      <w:r w:rsidR="00627FA8" w:rsidRPr="00593BCE">
        <w:rPr>
          <w:rFonts w:ascii="Arial" w:hAnsi="Arial" w:cs="Arial"/>
          <w:b/>
          <w:sz w:val="24"/>
          <w:szCs w:val="24"/>
        </w:rPr>
        <w:t>Figure 1</w:t>
      </w:r>
      <w:r w:rsidR="00627FA8" w:rsidRPr="00593BCE">
        <w:rPr>
          <w:rFonts w:ascii="Arial" w:hAnsi="Arial" w:cs="Arial"/>
          <w:sz w:val="24"/>
          <w:szCs w:val="24"/>
        </w:rPr>
        <w:t>).</w:t>
      </w:r>
    </w:p>
    <w:p w14:paraId="0B58CFA4" w14:textId="77777777" w:rsidR="00F21485" w:rsidRPr="00593BCE" w:rsidRDefault="00F21485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9228058" w14:textId="39C01BC5" w:rsidR="008C5DD5" w:rsidRPr="00593BCE" w:rsidRDefault="005D1C23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>P</w:t>
      </w:r>
      <w:r w:rsidR="00F27C51" w:rsidRPr="00593BCE">
        <w:rPr>
          <w:rFonts w:ascii="Arial" w:hAnsi="Arial" w:cs="Arial"/>
          <w:sz w:val="24"/>
          <w:szCs w:val="24"/>
        </w:rPr>
        <w:t>atients in the 4AT</w:t>
      </w:r>
      <w:r w:rsidR="00D465C3" w:rsidRPr="00593BCE">
        <w:rPr>
          <w:rFonts w:ascii="Arial" w:hAnsi="Arial" w:cs="Arial"/>
          <w:sz w:val="24"/>
          <w:szCs w:val="24"/>
        </w:rPr>
        <w:t>=1-3 an</w:t>
      </w:r>
      <w:r w:rsidR="00FD3861" w:rsidRPr="00593BCE">
        <w:rPr>
          <w:rFonts w:ascii="Arial" w:hAnsi="Arial" w:cs="Arial"/>
          <w:sz w:val="24"/>
          <w:szCs w:val="24"/>
        </w:rPr>
        <w:t>d</w:t>
      </w:r>
      <w:r w:rsidR="00D465C3" w:rsidRPr="00593BCE">
        <w:rPr>
          <w:rFonts w:ascii="Arial" w:hAnsi="Arial" w:cs="Arial"/>
          <w:sz w:val="24"/>
          <w:szCs w:val="24"/>
        </w:rPr>
        <w:t xml:space="preserve"> 4AT≥4</w:t>
      </w:r>
      <w:r w:rsidR="00F27C51" w:rsidRPr="00593BCE">
        <w:rPr>
          <w:rFonts w:ascii="Arial" w:hAnsi="Arial" w:cs="Arial"/>
          <w:sz w:val="24"/>
          <w:szCs w:val="24"/>
        </w:rPr>
        <w:t xml:space="preserve"> categories were significantly (</w:t>
      </w:r>
      <w:r w:rsidR="00F27C51" w:rsidRPr="00593BCE">
        <w:rPr>
          <w:rFonts w:ascii="Arial" w:hAnsi="Arial" w:cs="Arial"/>
          <w:i/>
          <w:sz w:val="24"/>
          <w:szCs w:val="24"/>
        </w:rPr>
        <w:t>p</w:t>
      </w:r>
      <w:r w:rsidR="00F27C51" w:rsidRPr="00593BCE">
        <w:rPr>
          <w:rFonts w:ascii="Arial" w:hAnsi="Arial" w:cs="Arial"/>
          <w:sz w:val="24"/>
          <w:szCs w:val="24"/>
        </w:rPr>
        <w:t xml:space="preserve">&lt;0.001) older than those in the </w:t>
      </w:r>
      <w:r w:rsidR="00D465C3" w:rsidRPr="00593BCE">
        <w:rPr>
          <w:rFonts w:ascii="Arial" w:hAnsi="Arial" w:cs="Arial"/>
          <w:sz w:val="24"/>
          <w:szCs w:val="24"/>
        </w:rPr>
        <w:t>reference group</w:t>
      </w:r>
      <w:r w:rsidR="00F27C51" w:rsidRPr="00593BCE">
        <w:rPr>
          <w:rFonts w:ascii="Arial" w:hAnsi="Arial" w:cs="Arial"/>
          <w:sz w:val="24"/>
          <w:szCs w:val="24"/>
        </w:rPr>
        <w:t xml:space="preserve"> (</w:t>
      </w:r>
      <w:r w:rsidR="00F27C51" w:rsidRPr="00593BCE">
        <w:rPr>
          <w:rFonts w:ascii="Arial" w:hAnsi="Arial" w:cs="Arial"/>
          <w:b/>
          <w:sz w:val="24"/>
          <w:szCs w:val="24"/>
        </w:rPr>
        <w:t>Table 2</w:t>
      </w:r>
      <w:r w:rsidR="00F27C51" w:rsidRPr="00593BCE">
        <w:rPr>
          <w:rFonts w:ascii="Arial" w:hAnsi="Arial" w:cs="Arial"/>
          <w:sz w:val="24"/>
          <w:szCs w:val="24"/>
        </w:rPr>
        <w:t xml:space="preserve">). </w:t>
      </w:r>
      <w:r w:rsidR="00627C2D" w:rsidRPr="00593BCE">
        <w:rPr>
          <w:rFonts w:ascii="Arial" w:hAnsi="Arial" w:cs="Arial"/>
          <w:sz w:val="24"/>
          <w:szCs w:val="24"/>
        </w:rPr>
        <w:t>P</w:t>
      </w:r>
      <w:r w:rsidR="00F3689E" w:rsidRPr="00593BCE">
        <w:rPr>
          <w:rFonts w:ascii="Arial" w:hAnsi="Arial" w:cs="Arial"/>
          <w:sz w:val="24"/>
          <w:szCs w:val="24"/>
        </w:rPr>
        <w:t xml:space="preserve">atients with </w:t>
      </w:r>
      <w:r w:rsidRPr="00593BCE">
        <w:rPr>
          <w:rFonts w:ascii="Arial" w:hAnsi="Arial" w:cs="Arial"/>
          <w:sz w:val="24"/>
          <w:szCs w:val="24"/>
        </w:rPr>
        <w:t xml:space="preserve">a </w:t>
      </w:r>
      <w:r w:rsidR="00F3689E" w:rsidRPr="00593BCE">
        <w:rPr>
          <w:rFonts w:ascii="Arial" w:hAnsi="Arial" w:cs="Arial"/>
          <w:sz w:val="24"/>
          <w:szCs w:val="24"/>
        </w:rPr>
        <w:t>4AT</w:t>
      </w:r>
      <w:r w:rsidRPr="00593BCE">
        <w:rPr>
          <w:rFonts w:ascii="Arial" w:hAnsi="Arial" w:cs="Arial"/>
          <w:sz w:val="24"/>
          <w:szCs w:val="24"/>
        </w:rPr>
        <w:t xml:space="preserve"> score</w:t>
      </w:r>
      <w:r w:rsidR="000B1BC2" w:rsidRPr="00593BCE">
        <w:rPr>
          <w:rFonts w:ascii="Arial" w:hAnsi="Arial" w:cs="Arial"/>
          <w:sz w:val="24"/>
          <w:szCs w:val="24"/>
        </w:rPr>
        <w:t xml:space="preserve">=0 </w:t>
      </w:r>
      <w:r w:rsidR="00627C2D" w:rsidRPr="00593BCE">
        <w:rPr>
          <w:rFonts w:ascii="Arial" w:hAnsi="Arial" w:cs="Arial"/>
          <w:sz w:val="24"/>
          <w:szCs w:val="24"/>
        </w:rPr>
        <w:t xml:space="preserve">were </w:t>
      </w:r>
      <w:r w:rsidR="000B1BC2" w:rsidRPr="00593BCE">
        <w:rPr>
          <w:rFonts w:ascii="Arial" w:hAnsi="Arial" w:cs="Arial"/>
          <w:sz w:val="24"/>
          <w:szCs w:val="24"/>
        </w:rPr>
        <w:t>81.0±8.7</w:t>
      </w:r>
      <w:r w:rsidR="003C4885" w:rsidRPr="00593BCE">
        <w:rPr>
          <w:rFonts w:ascii="Arial" w:hAnsi="Arial" w:cs="Arial"/>
          <w:sz w:val="24"/>
          <w:szCs w:val="24"/>
        </w:rPr>
        <w:t xml:space="preserve"> years,</w:t>
      </w:r>
      <w:r w:rsidR="00AB2990" w:rsidRPr="00593BCE">
        <w:rPr>
          <w:rFonts w:ascii="Arial" w:hAnsi="Arial" w:cs="Arial"/>
          <w:sz w:val="24"/>
          <w:szCs w:val="24"/>
        </w:rPr>
        <w:t xml:space="preserve"> whil</w:t>
      </w:r>
      <w:r w:rsidR="003C4885" w:rsidRPr="00593BCE">
        <w:rPr>
          <w:rFonts w:ascii="Arial" w:hAnsi="Arial" w:cs="Arial"/>
          <w:sz w:val="24"/>
          <w:szCs w:val="24"/>
        </w:rPr>
        <w:t>st those</w:t>
      </w:r>
      <w:r w:rsidR="00AB2990" w:rsidRPr="00593BCE">
        <w:rPr>
          <w:rFonts w:ascii="Arial" w:hAnsi="Arial" w:cs="Arial"/>
          <w:sz w:val="24"/>
          <w:szCs w:val="24"/>
        </w:rPr>
        <w:t xml:space="preserve"> with </w:t>
      </w:r>
      <w:r w:rsidR="00627C2D" w:rsidRPr="00593BCE">
        <w:rPr>
          <w:rFonts w:ascii="Arial" w:hAnsi="Arial" w:cs="Arial"/>
          <w:sz w:val="24"/>
          <w:szCs w:val="24"/>
        </w:rPr>
        <w:t xml:space="preserve">a </w:t>
      </w:r>
      <w:r w:rsidR="00AB2990" w:rsidRPr="00593BCE">
        <w:rPr>
          <w:rFonts w:ascii="Arial" w:hAnsi="Arial" w:cs="Arial"/>
          <w:sz w:val="24"/>
          <w:szCs w:val="24"/>
        </w:rPr>
        <w:t>4AT</w:t>
      </w:r>
      <w:r w:rsidR="003C4885" w:rsidRPr="00593BCE">
        <w:rPr>
          <w:rFonts w:ascii="Arial" w:hAnsi="Arial" w:cs="Arial"/>
          <w:sz w:val="24"/>
          <w:szCs w:val="24"/>
        </w:rPr>
        <w:t xml:space="preserve"> score</w:t>
      </w:r>
      <w:r w:rsidR="00A34242" w:rsidRPr="00593BCE">
        <w:rPr>
          <w:rFonts w:ascii="Arial" w:hAnsi="Arial" w:cs="Arial"/>
          <w:sz w:val="24"/>
          <w:szCs w:val="24"/>
        </w:rPr>
        <w:t xml:space="preserve">=1-3 </w:t>
      </w:r>
      <w:r w:rsidR="003C4885" w:rsidRPr="00593BCE">
        <w:rPr>
          <w:rFonts w:ascii="Arial" w:hAnsi="Arial" w:cs="Arial"/>
          <w:sz w:val="24"/>
          <w:szCs w:val="24"/>
        </w:rPr>
        <w:t xml:space="preserve">were </w:t>
      </w:r>
      <w:r w:rsidR="00A34242" w:rsidRPr="00593BCE">
        <w:rPr>
          <w:rFonts w:ascii="Arial" w:hAnsi="Arial" w:cs="Arial"/>
          <w:sz w:val="24"/>
          <w:szCs w:val="24"/>
        </w:rPr>
        <w:t>4.9</w:t>
      </w:r>
      <w:r w:rsidR="00D465C3" w:rsidRPr="00593BCE">
        <w:rPr>
          <w:rFonts w:ascii="Arial" w:hAnsi="Arial" w:cs="Arial"/>
          <w:sz w:val="24"/>
          <w:szCs w:val="24"/>
        </w:rPr>
        <w:t xml:space="preserve"> </w:t>
      </w:r>
      <w:r w:rsidR="00A34242" w:rsidRPr="00593BCE">
        <w:rPr>
          <w:rFonts w:ascii="Arial" w:hAnsi="Arial" w:cs="Arial"/>
          <w:sz w:val="24"/>
          <w:szCs w:val="24"/>
        </w:rPr>
        <w:t>years (</w:t>
      </w:r>
      <w:commentRangeStart w:id="5"/>
      <w:r w:rsidR="00A34242" w:rsidRPr="00593BCE">
        <w:rPr>
          <w:rFonts w:ascii="Arial" w:hAnsi="Arial" w:cs="Arial"/>
          <w:sz w:val="24"/>
          <w:szCs w:val="24"/>
        </w:rPr>
        <w:t>95%CI=3.3-6.6</w:t>
      </w:r>
      <w:commentRangeEnd w:id="5"/>
      <w:r w:rsidR="00627C2D" w:rsidRPr="00593BCE">
        <w:rPr>
          <w:rStyle w:val="CommentReference"/>
        </w:rPr>
        <w:commentReference w:id="5"/>
      </w:r>
      <w:r w:rsidR="00A34242" w:rsidRPr="00593BCE">
        <w:rPr>
          <w:rFonts w:ascii="Arial" w:hAnsi="Arial" w:cs="Arial"/>
          <w:sz w:val="24"/>
          <w:szCs w:val="24"/>
        </w:rPr>
        <w:t xml:space="preserve">) older, and those with </w:t>
      </w:r>
      <w:r w:rsidR="00627C2D" w:rsidRPr="00593BCE">
        <w:rPr>
          <w:rFonts w:ascii="Arial" w:hAnsi="Arial" w:cs="Arial"/>
          <w:sz w:val="24"/>
          <w:szCs w:val="24"/>
        </w:rPr>
        <w:t xml:space="preserve">a </w:t>
      </w:r>
      <w:r w:rsidR="00A34242" w:rsidRPr="00593BCE">
        <w:rPr>
          <w:rFonts w:ascii="Arial" w:hAnsi="Arial" w:cs="Arial"/>
          <w:sz w:val="24"/>
          <w:szCs w:val="24"/>
        </w:rPr>
        <w:t>4AT</w:t>
      </w:r>
      <w:r w:rsidR="00627C2D" w:rsidRPr="00593BCE">
        <w:rPr>
          <w:rFonts w:ascii="Arial" w:hAnsi="Arial" w:cs="Arial"/>
          <w:sz w:val="24"/>
          <w:szCs w:val="24"/>
        </w:rPr>
        <w:t xml:space="preserve"> score</w:t>
      </w:r>
      <w:r w:rsidR="001F1947" w:rsidRPr="00593BCE">
        <w:rPr>
          <w:rFonts w:ascii="Arial" w:hAnsi="Arial" w:cs="Arial"/>
          <w:sz w:val="24"/>
          <w:szCs w:val="24"/>
        </w:rPr>
        <w:t xml:space="preserve"> </w:t>
      </w:r>
      <w:r w:rsidR="00A34242" w:rsidRPr="00593BCE">
        <w:rPr>
          <w:rFonts w:ascii="Arial" w:hAnsi="Arial" w:cs="Arial"/>
          <w:sz w:val="24"/>
          <w:szCs w:val="24"/>
        </w:rPr>
        <w:t xml:space="preserve">≥4 </w:t>
      </w:r>
      <w:r w:rsidR="00627C2D" w:rsidRPr="00593BCE">
        <w:rPr>
          <w:rFonts w:ascii="Arial" w:hAnsi="Arial" w:cs="Arial"/>
          <w:sz w:val="24"/>
          <w:szCs w:val="24"/>
        </w:rPr>
        <w:t xml:space="preserve">were </w:t>
      </w:r>
      <w:r w:rsidR="00A34242" w:rsidRPr="00593BCE">
        <w:rPr>
          <w:rFonts w:ascii="Arial" w:hAnsi="Arial" w:cs="Arial"/>
          <w:sz w:val="24"/>
          <w:szCs w:val="24"/>
        </w:rPr>
        <w:t>5.7</w:t>
      </w:r>
      <w:r w:rsidR="0056096D" w:rsidRPr="00593BCE">
        <w:rPr>
          <w:rFonts w:ascii="Arial" w:hAnsi="Arial" w:cs="Arial"/>
          <w:sz w:val="24"/>
          <w:szCs w:val="24"/>
        </w:rPr>
        <w:t xml:space="preserve"> </w:t>
      </w:r>
      <w:r w:rsidR="00A34242" w:rsidRPr="00593BCE">
        <w:rPr>
          <w:rFonts w:ascii="Arial" w:hAnsi="Arial" w:cs="Arial"/>
          <w:sz w:val="24"/>
          <w:szCs w:val="24"/>
        </w:rPr>
        <w:t>years (</w:t>
      </w:r>
      <w:commentRangeStart w:id="6"/>
      <w:r w:rsidR="00A34242" w:rsidRPr="00593BCE">
        <w:rPr>
          <w:rFonts w:ascii="Arial" w:hAnsi="Arial" w:cs="Arial"/>
          <w:sz w:val="24"/>
          <w:szCs w:val="24"/>
        </w:rPr>
        <w:t>95%CI=3.8-7.6</w:t>
      </w:r>
      <w:commentRangeEnd w:id="6"/>
      <w:r w:rsidR="00627C2D" w:rsidRPr="00593BCE">
        <w:rPr>
          <w:rStyle w:val="CommentReference"/>
        </w:rPr>
        <w:commentReference w:id="6"/>
      </w:r>
      <w:r w:rsidR="00A34242" w:rsidRPr="00593BCE">
        <w:rPr>
          <w:rFonts w:ascii="Arial" w:hAnsi="Arial" w:cs="Arial"/>
          <w:sz w:val="24"/>
          <w:szCs w:val="24"/>
        </w:rPr>
        <w:t>) older.</w:t>
      </w:r>
      <w:r w:rsidR="00072D1F" w:rsidRPr="00593BCE">
        <w:rPr>
          <w:rFonts w:ascii="Arial" w:hAnsi="Arial" w:cs="Arial"/>
          <w:sz w:val="24"/>
          <w:szCs w:val="24"/>
        </w:rPr>
        <w:t xml:space="preserve"> The proportions of men and women within each 4AT c</w:t>
      </w:r>
      <w:r w:rsidR="006F5F01" w:rsidRPr="00593BCE">
        <w:rPr>
          <w:rFonts w:ascii="Arial" w:hAnsi="Arial" w:cs="Arial"/>
          <w:sz w:val="24"/>
          <w:szCs w:val="24"/>
        </w:rPr>
        <w:t>ategory were virtually the same</w:t>
      </w:r>
      <w:r w:rsidR="005E6915" w:rsidRPr="00593BCE">
        <w:rPr>
          <w:rFonts w:ascii="Arial" w:hAnsi="Arial" w:cs="Arial"/>
          <w:sz w:val="24"/>
          <w:szCs w:val="24"/>
        </w:rPr>
        <w:t>,</w:t>
      </w:r>
      <w:r w:rsidR="006F5F01" w:rsidRPr="00593BCE">
        <w:rPr>
          <w:rFonts w:ascii="Arial" w:hAnsi="Arial" w:cs="Arial"/>
          <w:sz w:val="24"/>
          <w:szCs w:val="24"/>
        </w:rPr>
        <w:t xml:space="preserve"> whil</w:t>
      </w:r>
      <w:r w:rsidR="005E6915" w:rsidRPr="00593BCE">
        <w:rPr>
          <w:rFonts w:ascii="Arial" w:hAnsi="Arial" w:cs="Arial"/>
          <w:sz w:val="24"/>
          <w:szCs w:val="24"/>
        </w:rPr>
        <w:t>st</w:t>
      </w:r>
      <w:r w:rsidR="006F5F01" w:rsidRPr="00593BCE">
        <w:rPr>
          <w:rFonts w:ascii="Arial" w:hAnsi="Arial" w:cs="Arial"/>
          <w:sz w:val="24"/>
          <w:szCs w:val="24"/>
        </w:rPr>
        <w:t xml:space="preserve"> t</w:t>
      </w:r>
      <w:r w:rsidR="00DD4B33" w:rsidRPr="00593BCE">
        <w:rPr>
          <w:rFonts w:ascii="Arial" w:hAnsi="Arial" w:cs="Arial"/>
          <w:sz w:val="24"/>
          <w:szCs w:val="24"/>
        </w:rPr>
        <w:t xml:space="preserve">he proportions of </w:t>
      </w:r>
      <w:r w:rsidR="005B7C25" w:rsidRPr="00593BCE">
        <w:rPr>
          <w:rFonts w:ascii="Arial" w:hAnsi="Arial" w:cs="Arial"/>
          <w:sz w:val="24"/>
          <w:szCs w:val="24"/>
        </w:rPr>
        <w:t>patients</w:t>
      </w:r>
      <w:r w:rsidR="00DD4B33" w:rsidRPr="00593BCE">
        <w:rPr>
          <w:rFonts w:ascii="Arial" w:hAnsi="Arial" w:cs="Arial"/>
          <w:sz w:val="24"/>
          <w:szCs w:val="24"/>
        </w:rPr>
        <w:t xml:space="preserve"> with underlying dementia, Parkinson’s disease, stroke, malnutrition risk/malnourished, polypharmacy and </w:t>
      </w:r>
      <w:r w:rsidR="0078535D" w:rsidRPr="00593BCE">
        <w:rPr>
          <w:rFonts w:ascii="Arial" w:hAnsi="Arial" w:cs="Arial"/>
          <w:sz w:val="24"/>
          <w:szCs w:val="24"/>
        </w:rPr>
        <w:t xml:space="preserve">ACB </w:t>
      </w:r>
      <w:r w:rsidR="005974AF" w:rsidRPr="00593BCE">
        <w:rPr>
          <w:rFonts w:ascii="Arial" w:hAnsi="Arial" w:cs="Arial"/>
          <w:sz w:val="24"/>
          <w:szCs w:val="24"/>
        </w:rPr>
        <w:t xml:space="preserve">score </w:t>
      </w:r>
      <w:r w:rsidR="00DD4B33" w:rsidRPr="00593BCE">
        <w:rPr>
          <w:rFonts w:ascii="Arial" w:hAnsi="Arial" w:cs="Arial"/>
          <w:sz w:val="24"/>
          <w:szCs w:val="24"/>
        </w:rPr>
        <w:t>of ≥</w:t>
      </w:r>
      <w:r w:rsidR="00AF1801" w:rsidRPr="00593BCE">
        <w:rPr>
          <w:rFonts w:ascii="Arial" w:hAnsi="Arial" w:cs="Arial"/>
          <w:sz w:val="24"/>
          <w:szCs w:val="24"/>
        </w:rPr>
        <w:t>3</w:t>
      </w:r>
      <w:r w:rsidR="00DD4B33" w:rsidRPr="00593BCE">
        <w:rPr>
          <w:rFonts w:ascii="Arial" w:hAnsi="Arial" w:cs="Arial"/>
          <w:sz w:val="24"/>
          <w:szCs w:val="24"/>
        </w:rPr>
        <w:t xml:space="preserve"> </w:t>
      </w:r>
      <w:r w:rsidR="005E6915" w:rsidRPr="00593BCE">
        <w:rPr>
          <w:rFonts w:ascii="Arial" w:hAnsi="Arial" w:cs="Arial"/>
          <w:sz w:val="24"/>
          <w:szCs w:val="24"/>
        </w:rPr>
        <w:t xml:space="preserve">increased </w:t>
      </w:r>
      <w:r w:rsidR="00DD4B33" w:rsidRPr="00593BCE">
        <w:rPr>
          <w:rFonts w:ascii="Arial" w:hAnsi="Arial" w:cs="Arial"/>
          <w:sz w:val="24"/>
          <w:szCs w:val="24"/>
        </w:rPr>
        <w:t xml:space="preserve">significantly with </w:t>
      </w:r>
      <w:r w:rsidR="006F5F01" w:rsidRPr="00593BCE">
        <w:rPr>
          <w:rFonts w:ascii="Arial" w:hAnsi="Arial" w:cs="Arial"/>
          <w:sz w:val="24"/>
          <w:szCs w:val="24"/>
        </w:rPr>
        <w:t>higher 4AT categories</w:t>
      </w:r>
      <w:r w:rsidR="00DD4B33" w:rsidRPr="00593BCE">
        <w:rPr>
          <w:rFonts w:ascii="Arial" w:hAnsi="Arial" w:cs="Arial"/>
          <w:sz w:val="24"/>
          <w:szCs w:val="24"/>
        </w:rPr>
        <w:t xml:space="preserve">. </w:t>
      </w:r>
      <w:commentRangeStart w:id="7"/>
      <w:r w:rsidR="008C5DD5" w:rsidRPr="00593BCE">
        <w:rPr>
          <w:rFonts w:ascii="Arial" w:hAnsi="Arial" w:cs="Arial"/>
          <w:sz w:val="24"/>
          <w:szCs w:val="24"/>
        </w:rPr>
        <w:t xml:space="preserve">There were higher proportions of </w:t>
      </w:r>
      <w:r w:rsidR="005E6915" w:rsidRPr="00593BCE">
        <w:rPr>
          <w:rFonts w:ascii="Arial" w:hAnsi="Arial" w:cs="Arial"/>
          <w:sz w:val="24"/>
          <w:szCs w:val="24"/>
        </w:rPr>
        <w:t xml:space="preserve">patients </w:t>
      </w:r>
      <w:r w:rsidR="008C5DD5" w:rsidRPr="00593BCE">
        <w:rPr>
          <w:rFonts w:ascii="Arial" w:hAnsi="Arial" w:cs="Arial"/>
          <w:sz w:val="24"/>
          <w:szCs w:val="24"/>
        </w:rPr>
        <w:t xml:space="preserve">with </w:t>
      </w:r>
      <w:r w:rsidR="00437F20" w:rsidRPr="00593BCE">
        <w:rPr>
          <w:rFonts w:ascii="Arial" w:hAnsi="Arial" w:cs="Arial"/>
          <w:sz w:val="24"/>
          <w:szCs w:val="24"/>
        </w:rPr>
        <w:t xml:space="preserve">a </w:t>
      </w:r>
      <w:r w:rsidR="006F5F01" w:rsidRPr="00593BCE">
        <w:rPr>
          <w:rFonts w:ascii="Arial" w:hAnsi="Arial" w:cs="Arial"/>
          <w:sz w:val="24"/>
          <w:szCs w:val="24"/>
        </w:rPr>
        <w:t>4</w:t>
      </w:r>
      <w:r w:rsidR="00C34ECE" w:rsidRPr="00593BCE">
        <w:rPr>
          <w:rFonts w:ascii="Arial" w:hAnsi="Arial" w:cs="Arial"/>
          <w:sz w:val="24"/>
          <w:szCs w:val="24"/>
        </w:rPr>
        <w:t>AT</w:t>
      </w:r>
      <w:r w:rsidR="005E6915" w:rsidRPr="00593BCE">
        <w:rPr>
          <w:rFonts w:ascii="Arial" w:hAnsi="Arial" w:cs="Arial"/>
          <w:sz w:val="24"/>
          <w:szCs w:val="24"/>
        </w:rPr>
        <w:t xml:space="preserve"> score of </w:t>
      </w:r>
      <w:r w:rsidR="00C34ECE" w:rsidRPr="00593BCE">
        <w:rPr>
          <w:rFonts w:ascii="Arial" w:hAnsi="Arial" w:cs="Arial"/>
          <w:sz w:val="24"/>
          <w:szCs w:val="24"/>
        </w:rPr>
        <w:t>1-3 or</w:t>
      </w:r>
      <w:r w:rsidR="005E6915" w:rsidRPr="00593BCE">
        <w:rPr>
          <w:rFonts w:ascii="Arial" w:hAnsi="Arial" w:cs="Arial"/>
          <w:sz w:val="24"/>
          <w:szCs w:val="24"/>
        </w:rPr>
        <w:t xml:space="preserve"> </w:t>
      </w:r>
      <w:r w:rsidR="00C34ECE" w:rsidRPr="00593BCE">
        <w:rPr>
          <w:rFonts w:ascii="Arial" w:hAnsi="Arial" w:cs="Arial"/>
          <w:sz w:val="24"/>
          <w:szCs w:val="24"/>
        </w:rPr>
        <w:t xml:space="preserve">≥4 </w:t>
      </w:r>
      <w:r w:rsidR="008C5DD5" w:rsidRPr="00593BCE">
        <w:rPr>
          <w:rFonts w:ascii="Arial" w:hAnsi="Arial" w:cs="Arial"/>
          <w:sz w:val="24"/>
          <w:szCs w:val="24"/>
        </w:rPr>
        <w:t xml:space="preserve">who </w:t>
      </w:r>
      <w:r w:rsidR="002C1731" w:rsidRPr="00593BCE">
        <w:rPr>
          <w:rFonts w:ascii="Arial" w:hAnsi="Arial" w:cs="Arial"/>
          <w:sz w:val="24"/>
          <w:szCs w:val="24"/>
        </w:rPr>
        <w:t>failed to</w:t>
      </w:r>
      <w:r w:rsidR="00C32267" w:rsidRPr="00593BCE">
        <w:rPr>
          <w:rFonts w:ascii="Arial" w:hAnsi="Arial" w:cs="Arial"/>
          <w:sz w:val="24"/>
          <w:szCs w:val="24"/>
        </w:rPr>
        <w:t xml:space="preserve"> mobilise </w:t>
      </w:r>
      <w:r w:rsidR="001A04D5" w:rsidRPr="00593BCE">
        <w:rPr>
          <w:rFonts w:ascii="Arial" w:hAnsi="Arial" w:cs="Arial"/>
          <w:sz w:val="24"/>
          <w:szCs w:val="24"/>
        </w:rPr>
        <w:t xml:space="preserve">within </w:t>
      </w:r>
      <w:r w:rsidR="00DD4B33" w:rsidRPr="00593BCE">
        <w:rPr>
          <w:rFonts w:ascii="Arial" w:hAnsi="Arial" w:cs="Arial"/>
          <w:sz w:val="24"/>
          <w:szCs w:val="24"/>
        </w:rPr>
        <w:t>1-</w:t>
      </w:r>
      <w:r w:rsidR="00C32267" w:rsidRPr="00593BCE">
        <w:rPr>
          <w:rFonts w:ascii="Arial" w:hAnsi="Arial" w:cs="Arial"/>
          <w:sz w:val="24"/>
          <w:szCs w:val="24"/>
        </w:rPr>
        <w:t xml:space="preserve">day after surgery, </w:t>
      </w:r>
      <w:r w:rsidR="005E6915" w:rsidRPr="00593BCE">
        <w:rPr>
          <w:rFonts w:ascii="Arial" w:hAnsi="Arial" w:cs="Arial"/>
          <w:sz w:val="24"/>
          <w:szCs w:val="24"/>
        </w:rPr>
        <w:t xml:space="preserve">or </w:t>
      </w:r>
      <w:r w:rsidR="008C5DD5" w:rsidRPr="00593BCE">
        <w:rPr>
          <w:rFonts w:ascii="Arial" w:hAnsi="Arial" w:cs="Arial"/>
          <w:sz w:val="24"/>
          <w:szCs w:val="24"/>
        </w:rPr>
        <w:t>had prolonged LOS</w:t>
      </w:r>
      <w:r w:rsidR="005E6915" w:rsidRPr="00593BCE">
        <w:rPr>
          <w:rFonts w:ascii="Arial" w:hAnsi="Arial" w:cs="Arial"/>
          <w:sz w:val="24"/>
          <w:szCs w:val="24"/>
        </w:rPr>
        <w:t xml:space="preserve">.  There was a higher proportion of patients who </w:t>
      </w:r>
      <w:r w:rsidR="008C5DD5" w:rsidRPr="00593BCE">
        <w:rPr>
          <w:rFonts w:ascii="Arial" w:hAnsi="Arial" w:cs="Arial"/>
          <w:sz w:val="24"/>
          <w:szCs w:val="24"/>
        </w:rPr>
        <w:t>died</w:t>
      </w:r>
      <w:r w:rsidR="00126E5D" w:rsidRPr="00593BCE">
        <w:rPr>
          <w:rFonts w:ascii="Arial" w:hAnsi="Arial" w:cs="Arial"/>
          <w:sz w:val="24"/>
          <w:szCs w:val="24"/>
        </w:rPr>
        <w:t xml:space="preserve"> </w:t>
      </w:r>
      <w:r w:rsidR="00D465C3" w:rsidRPr="00593BCE">
        <w:rPr>
          <w:rFonts w:ascii="Arial" w:hAnsi="Arial" w:cs="Arial"/>
          <w:sz w:val="24"/>
          <w:szCs w:val="24"/>
        </w:rPr>
        <w:t>in hospital</w:t>
      </w:r>
      <w:r w:rsidR="005E6915" w:rsidRPr="00593BCE">
        <w:rPr>
          <w:rFonts w:ascii="Arial" w:hAnsi="Arial" w:cs="Arial"/>
          <w:sz w:val="24"/>
          <w:szCs w:val="24"/>
        </w:rPr>
        <w:t>,</w:t>
      </w:r>
      <w:r w:rsidR="008C5DD5" w:rsidRPr="00593BCE">
        <w:rPr>
          <w:rFonts w:ascii="Arial" w:hAnsi="Arial" w:cs="Arial"/>
          <w:sz w:val="24"/>
          <w:szCs w:val="24"/>
        </w:rPr>
        <w:t xml:space="preserve"> or wer</w:t>
      </w:r>
      <w:r w:rsidR="00323C76" w:rsidRPr="00593BCE">
        <w:rPr>
          <w:rFonts w:ascii="Arial" w:hAnsi="Arial" w:cs="Arial"/>
          <w:sz w:val="24"/>
          <w:szCs w:val="24"/>
        </w:rPr>
        <w:t xml:space="preserve">e discharged to </w:t>
      </w:r>
      <w:r w:rsidR="00DD4B33" w:rsidRPr="00593BCE">
        <w:rPr>
          <w:rFonts w:ascii="Arial" w:hAnsi="Arial" w:cs="Arial"/>
          <w:sz w:val="24"/>
          <w:szCs w:val="24"/>
        </w:rPr>
        <w:t xml:space="preserve">rehabilitation or </w:t>
      </w:r>
      <w:r w:rsidR="00323C76" w:rsidRPr="00593BCE">
        <w:rPr>
          <w:rFonts w:ascii="Arial" w:hAnsi="Arial" w:cs="Arial"/>
          <w:sz w:val="24"/>
          <w:szCs w:val="24"/>
        </w:rPr>
        <w:t>residential/nursing care</w:t>
      </w:r>
      <w:r w:rsidR="005E6915" w:rsidRPr="00593BCE">
        <w:rPr>
          <w:rFonts w:ascii="Arial" w:hAnsi="Arial" w:cs="Arial"/>
          <w:sz w:val="24"/>
          <w:szCs w:val="24"/>
        </w:rPr>
        <w:t xml:space="preserve"> only if the 4AT score was ≥4</w:t>
      </w:r>
      <w:r w:rsidR="008C5DD5" w:rsidRPr="00593BCE">
        <w:rPr>
          <w:rFonts w:ascii="Arial" w:hAnsi="Arial" w:cs="Arial"/>
          <w:sz w:val="24"/>
          <w:szCs w:val="24"/>
        </w:rPr>
        <w:t xml:space="preserve"> (</w:t>
      </w:r>
      <w:r w:rsidR="004C1C2D" w:rsidRPr="00593BCE">
        <w:rPr>
          <w:rFonts w:ascii="Arial" w:hAnsi="Arial" w:cs="Arial"/>
          <w:b/>
          <w:sz w:val="24"/>
          <w:szCs w:val="24"/>
        </w:rPr>
        <w:t xml:space="preserve">Table </w:t>
      </w:r>
      <w:r w:rsidR="008C5DD5" w:rsidRPr="00593BCE">
        <w:rPr>
          <w:rFonts w:ascii="Arial" w:hAnsi="Arial" w:cs="Arial"/>
          <w:b/>
          <w:sz w:val="24"/>
          <w:szCs w:val="24"/>
        </w:rPr>
        <w:t>2</w:t>
      </w:r>
      <w:r w:rsidR="008C5DD5" w:rsidRPr="00593BCE">
        <w:rPr>
          <w:rFonts w:ascii="Arial" w:hAnsi="Arial" w:cs="Arial"/>
          <w:sz w:val="24"/>
          <w:szCs w:val="24"/>
        </w:rPr>
        <w:t>).</w:t>
      </w:r>
      <w:commentRangeEnd w:id="7"/>
      <w:r w:rsidR="005E6915" w:rsidRPr="00593BCE">
        <w:rPr>
          <w:rStyle w:val="CommentReference"/>
        </w:rPr>
        <w:commentReference w:id="7"/>
      </w:r>
    </w:p>
    <w:p w14:paraId="29C8DEFC" w14:textId="1839E089" w:rsidR="00F00C7D" w:rsidRPr="00593BCE" w:rsidRDefault="00353668" w:rsidP="00353668">
      <w:pPr>
        <w:tabs>
          <w:tab w:val="left" w:pos="5129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ab/>
      </w:r>
    </w:p>
    <w:p w14:paraId="1A1F20FF" w14:textId="4E7D2C10" w:rsidR="00E879BA" w:rsidRPr="00593BCE" w:rsidRDefault="00B36843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>Logistic regression analysis without adjustments</w:t>
      </w:r>
      <w:r w:rsidR="00B645EA" w:rsidRPr="00593BCE">
        <w:rPr>
          <w:rFonts w:ascii="Arial" w:hAnsi="Arial" w:cs="Arial"/>
          <w:sz w:val="24"/>
          <w:szCs w:val="24"/>
        </w:rPr>
        <w:t xml:space="preserve"> (model 1, </w:t>
      </w:r>
      <w:r w:rsidR="00B645EA" w:rsidRPr="00593BCE">
        <w:rPr>
          <w:rFonts w:ascii="Arial" w:hAnsi="Arial" w:cs="Arial"/>
          <w:b/>
          <w:sz w:val="24"/>
          <w:szCs w:val="24"/>
        </w:rPr>
        <w:t>Table 3</w:t>
      </w:r>
      <w:r w:rsidR="00B645EA" w:rsidRPr="00593BCE">
        <w:rPr>
          <w:rFonts w:ascii="Arial" w:hAnsi="Arial" w:cs="Arial"/>
          <w:sz w:val="24"/>
          <w:szCs w:val="24"/>
        </w:rPr>
        <w:t>)</w:t>
      </w:r>
      <w:r w:rsidRPr="00593BCE">
        <w:rPr>
          <w:rFonts w:ascii="Arial" w:hAnsi="Arial" w:cs="Arial"/>
          <w:sz w:val="24"/>
          <w:szCs w:val="24"/>
        </w:rPr>
        <w:t xml:space="preserve"> showed </w:t>
      </w:r>
      <w:r w:rsidR="0040589D" w:rsidRPr="00593BCE">
        <w:rPr>
          <w:rFonts w:ascii="Arial" w:hAnsi="Arial" w:cs="Arial"/>
          <w:sz w:val="24"/>
          <w:szCs w:val="24"/>
        </w:rPr>
        <w:t xml:space="preserve">that, compared to the reference group (4AT score of 0), </w:t>
      </w:r>
      <w:r w:rsidR="00E025E3" w:rsidRPr="00593BCE">
        <w:rPr>
          <w:rFonts w:ascii="Arial" w:hAnsi="Arial" w:cs="Arial"/>
          <w:sz w:val="24"/>
          <w:szCs w:val="24"/>
        </w:rPr>
        <w:t xml:space="preserve">patients with </w:t>
      </w:r>
      <w:r w:rsidR="005E6915" w:rsidRPr="00593BCE">
        <w:rPr>
          <w:rFonts w:ascii="Arial" w:hAnsi="Arial" w:cs="Arial"/>
          <w:sz w:val="24"/>
          <w:szCs w:val="24"/>
        </w:rPr>
        <w:t xml:space="preserve">a </w:t>
      </w:r>
      <w:r w:rsidR="00E025E3" w:rsidRPr="00593BCE">
        <w:rPr>
          <w:rFonts w:ascii="Arial" w:hAnsi="Arial" w:cs="Arial"/>
          <w:sz w:val="24"/>
          <w:szCs w:val="24"/>
        </w:rPr>
        <w:t>4AT</w:t>
      </w:r>
      <w:r w:rsidR="005E6915" w:rsidRPr="00593BCE">
        <w:rPr>
          <w:rFonts w:ascii="Arial" w:hAnsi="Arial" w:cs="Arial"/>
          <w:sz w:val="24"/>
          <w:szCs w:val="24"/>
        </w:rPr>
        <w:t xml:space="preserve"> score of </w:t>
      </w:r>
      <w:r w:rsidR="00E025E3" w:rsidRPr="00593BCE">
        <w:rPr>
          <w:rFonts w:ascii="Arial" w:hAnsi="Arial" w:cs="Arial"/>
          <w:sz w:val="24"/>
          <w:szCs w:val="24"/>
        </w:rPr>
        <w:t xml:space="preserve">1-3 </w:t>
      </w:r>
      <w:r w:rsidR="005E6915" w:rsidRPr="00593BCE">
        <w:rPr>
          <w:rFonts w:ascii="Arial" w:hAnsi="Arial" w:cs="Arial"/>
          <w:sz w:val="24"/>
          <w:szCs w:val="24"/>
        </w:rPr>
        <w:t xml:space="preserve">or </w:t>
      </w:r>
      <w:r w:rsidR="00E025E3" w:rsidRPr="00593BCE">
        <w:rPr>
          <w:rFonts w:ascii="Arial" w:hAnsi="Arial" w:cs="Arial"/>
          <w:sz w:val="24"/>
          <w:szCs w:val="24"/>
        </w:rPr>
        <w:lastRenderedPageBreak/>
        <w:t xml:space="preserve">≥4 </w:t>
      </w:r>
      <w:r w:rsidR="007322C6" w:rsidRPr="00593BCE">
        <w:rPr>
          <w:rFonts w:ascii="Arial" w:hAnsi="Arial" w:cs="Arial"/>
          <w:sz w:val="24"/>
          <w:szCs w:val="24"/>
        </w:rPr>
        <w:t xml:space="preserve">were </w:t>
      </w:r>
      <w:r w:rsidRPr="00593BCE">
        <w:rPr>
          <w:rFonts w:ascii="Arial" w:hAnsi="Arial" w:cs="Arial"/>
          <w:sz w:val="24"/>
          <w:szCs w:val="24"/>
        </w:rPr>
        <w:t>significant</w:t>
      </w:r>
      <w:r w:rsidR="00280A71" w:rsidRPr="00593BCE">
        <w:rPr>
          <w:rFonts w:ascii="Arial" w:hAnsi="Arial" w:cs="Arial"/>
          <w:sz w:val="24"/>
          <w:szCs w:val="24"/>
        </w:rPr>
        <w:t>ly associated with</w:t>
      </w:r>
      <w:r w:rsidR="007322C6" w:rsidRPr="00593BCE">
        <w:rPr>
          <w:rFonts w:ascii="Arial" w:hAnsi="Arial" w:cs="Arial"/>
          <w:sz w:val="24"/>
          <w:szCs w:val="24"/>
        </w:rPr>
        <w:t>:</w:t>
      </w:r>
      <w:r w:rsidR="00280A71" w:rsidRPr="00593BCE">
        <w:rPr>
          <w:rFonts w:ascii="Arial" w:hAnsi="Arial" w:cs="Arial"/>
          <w:sz w:val="24"/>
          <w:szCs w:val="24"/>
        </w:rPr>
        <w:t xml:space="preserve"> </w:t>
      </w:r>
      <w:r w:rsidR="00632422" w:rsidRPr="00593BCE">
        <w:rPr>
          <w:rFonts w:ascii="Arial" w:hAnsi="Arial" w:cs="Arial"/>
          <w:sz w:val="24"/>
          <w:szCs w:val="24"/>
        </w:rPr>
        <w:t xml:space="preserve">failure to mobilise </w:t>
      </w:r>
      <w:r w:rsidR="00280A71" w:rsidRPr="00593BCE">
        <w:rPr>
          <w:rFonts w:ascii="Arial" w:hAnsi="Arial" w:cs="Arial"/>
          <w:sz w:val="24"/>
          <w:szCs w:val="24"/>
        </w:rPr>
        <w:t xml:space="preserve">within 1-day </w:t>
      </w:r>
      <w:r w:rsidR="00BD211E" w:rsidRPr="00593BCE">
        <w:rPr>
          <w:rFonts w:ascii="Arial" w:hAnsi="Arial" w:cs="Arial"/>
          <w:sz w:val="24"/>
          <w:szCs w:val="24"/>
        </w:rPr>
        <w:t>after</w:t>
      </w:r>
      <w:r w:rsidR="00280A71" w:rsidRPr="00593BCE">
        <w:rPr>
          <w:rFonts w:ascii="Arial" w:hAnsi="Arial" w:cs="Arial"/>
          <w:sz w:val="24"/>
          <w:szCs w:val="24"/>
        </w:rPr>
        <w:t xml:space="preserve"> hip surgery</w:t>
      </w:r>
      <w:r w:rsidR="007322C6" w:rsidRPr="00593BCE">
        <w:rPr>
          <w:rFonts w:ascii="Arial" w:hAnsi="Arial" w:cs="Arial"/>
          <w:sz w:val="24"/>
          <w:szCs w:val="24"/>
        </w:rPr>
        <w:t xml:space="preserve">; </w:t>
      </w:r>
      <w:r w:rsidR="00280A71" w:rsidRPr="00593BCE">
        <w:rPr>
          <w:rFonts w:ascii="Arial" w:hAnsi="Arial" w:cs="Arial"/>
          <w:sz w:val="24"/>
          <w:szCs w:val="24"/>
        </w:rPr>
        <w:t>prolonged LOS</w:t>
      </w:r>
      <w:r w:rsidR="007322C6" w:rsidRPr="00593BCE">
        <w:rPr>
          <w:rFonts w:ascii="Arial" w:hAnsi="Arial" w:cs="Arial"/>
          <w:sz w:val="24"/>
          <w:szCs w:val="24"/>
        </w:rPr>
        <w:t xml:space="preserve">; </w:t>
      </w:r>
      <w:r w:rsidR="00280A71" w:rsidRPr="00593BCE">
        <w:rPr>
          <w:rFonts w:ascii="Arial" w:hAnsi="Arial" w:cs="Arial"/>
          <w:sz w:val="24"/>
          <w:szCs w:val="24"/>
        </w:rPr>
        <w:t>death (</w:t>
      </w:r>
      <w:commentRangeStart w:id="8"/>
      <w:r w:rsidR="00280A71" w:rsidRPr="00593BCE">
        <w:rPr>
          <w:rFonts w:ascii="Arial" w:hAnsi="Arial" w:cs="Arial"/>
          <w:sz w:val="24"/>
          <w:szCs w:val="24"/>
        </w:rPr>
        <w:t xml:space="preserve">only </w:t>
      </w:r>
      <w:r w:rsidR="00437F20" w:rsidRPr="00593BCE">
        <w:rPr>
          <w:rFonts w:ascii="Arial" w:hAnsi="Arial" w:cs="Arial"/>
          <w:sz w:val="24"/>
          <w:szCs w:val="24"/>
        </w:rPr>
        <w:t xml:space="preserve">with </w:t>
      </w:r>
      <w:r w:rsidR="00280A71" w:rsidRPr="00593BCE">
        <w:rPr>
          <w:rFonts w:ascii="Arial" w:hAnsi="Arial" w:cs="Arial"/>
          <w:sz w:val="24"/>
          <w:szCs w:val="24"/>
        </w:rPr>
        <w:t>delirium</w:t>
      </w:r>
      <w:commentRangeEnd w:id="8"/>
      <w:r w:rsidR="00437F20" w:rsidRPr="00593BCE">
        <w:rPr>
          <w:rStyle w:val="CommentReference"/>
        </w:rPr>
        <w:commentReference w:id="8"/>
      </w:r>
      <w:r w:rsidR="00280A71" w:rsidRPr="00593BCE">
        <w:rPr>
          <w:rFonts w:ascii="Arial" w:hAnsi="Arial" w:cs="Arial"/>
          <w:sz w:val="24"/>
          <w:szCs w:val="24"/>
        </w:rPr>
        <w:t>) and change in residence on discharge.</w:t>
      </w:r>
      <w:r w:rsidR="004B6237" w:rsidRPr="00593BCE">
        <w:rPr>
          <w:rFonts w:ascii="Arial" w:hAnsi="Arial" w:cs="Arial"/>
          <w:sz w:val="24"/>
          <w:szCs w:val="24"/>
        </w:rPr>
        <w:t xml:space="preserve"> </w:t>
      </w:r>
      <w:commentRangeStart w:id="9"/>
      <w:r w:rsidR="00280A71" w:rsidRPr="00593BCE">
        <w:rPr>
          <w:rFonts w:ascii="Arial" w:hAnsi="Arial" w:cs="Arial"/>
          <w:sz w:val="24"/>
          <w:szCs w:val="24"/>
        </w:rPr>
        <w:t>After</w:t>
      </w:r>
      <w:commentRangeEnd w:id="9"/>
      <w:r w:rsidR="00B645EA" w:rsidRPr="00593BCE">
        <w:rPr>
          <w:rStyle w:val="CommentReference"/>
        </w:rPr>
        <w:commentReference w:id="9"/>
      </w:r>
      <w:r w:rsidR="00280A71" w:rsidRPr="00593BCE">
        <w:rPr>
          <w:rFonts w:ascii="Arial" w:hAnsi="Arial" w:cs="Arial"/>
          <w:sz w:val="24"/>
          <w:szCs w:val="24"/>
        </w:rPr>
        <w:t xml:space="preserve"> </w:t>
      </w:r>
      <w:r w:rsidR="004B6237" w:rsidRPr="00593BCE">
        <w:rPr>
          <w:rFonts w:ascii="Arial" w:hAnsi="Arial" w:cs="Arial"/>
          <w:sz w:val="24"/>
          <w:szCs w:val="24"/>
        </w:rPr>
        <w:t>adjus</w:t>
      </w:r>
      <w:r w:rsidR="00280A71" w:rsidRPr="00593BCE">
        <w:rPr>
          <w:rFonts w:ascii="Arial" w:hAnsi="Arial" w:cs="Arial"/>
          <w:sz w:val="24"/>
          <w:szCs w:val="24"/>
        </w:rPr>
        <w:t>tment</w:t>
      </w:r>
      <w:r w:rsidR="004B6237" w:rsidRPr="00593BCE">
        <w:rPr>
          <w:rFonts w:ascii="Arial" w:hAnsi="Arial" w:cs="Arial"/>
          <w:sz w:val="24"/>
          <w:szCs w:val="24"/>
        </w:rPr>
        <w:t xml:space="preserve"> for age, sex, </w:t>
      </w:r>
      <w:r w:rsidR="00E879BA" w:rsidRPr="00593BCE">
        <w:rPr>
          <w:rFonts w:ascii="Arial" w:hAnsi="Arial" w:cs="Arial"/>
          <w:sz w:val="24"/>
          <w:szCs w:val="24"/>
        </w:rPr>
        <w:t>nutritional status</w:t>
      </w:r>
      <w:r w:rsidR="001A04D5" w:rsidRPr="00593BCE">
        <w:rPr>
          <w:rFonts w:ascii="Arial" w:hAnsi="Arial" w:cs="Arial"/>
          <w:sz w:val="24"/>
          <w:szCs w:val="24"/>
        </w:rPr>
        <w:t>,</w:t>
      </w:r>
      <w:r w:rsidR="00EC6054" w:rsidRPr="00593BCE">
        <w:rPr>
          <w:rFonts w:ascii="Arial" w:hAnsi="Arial" w:cs="Arial"/>
          <w:sz w:val="24"/>
          <w:szCs w:val="24"/>
        </w:rPr>
        <w:t xml:space="preserve"> </w:t>
      </w:r>
      <w:r w:rsidR="001A04D5" w:rsidRPr="00593BCE">
        <w:rPr>
          <w:rFonts w:ascii="Arial" w:hAnsi="Arial" w:cs="Arial"/>
          <w:sz w:val="24"/>
          <w:szCs w:val="24"/>
        </w:rPr>
        <w:t>co-morbidities</w:t>
      </w:r>
      <w:r w:rsidR="00EC6054" w:rsidRPr="00593BCE">
        <w:rPr>
          <w:rFonts w:ascii="Arial" w:hAnsi="Arial" w:cs="Arial"/>
          <w:sz w:val="24"/>
          <w:szCs w:val="24"/>
        </w:rPr>
        <w:t xml:space="preserve"> </w:t>
      </w:r>
      <w:r w:rsidR="001A04D5" w:rsidRPr="00593BCE">
        <w:rPr>
          <w:rFonts w:ascii="Arial" w:hAnsi="Arial" w:cs="Arial"/>
          <w:sz w:val="24"/>
          <w:szCs w:val="24"/>
        </w:rPr>
        <w:t>and medications</w:t>
      </w:r>
      <w:r w:rsidR="00B645EA" w:rsidRPr="00593BCE">
        <w:rPr>
          <w:rFonts w:ascii="Arial" w:hAnsi="Arial" w:cs="Arial"/>
          <w:sz w:val="24"/>
          <w:szCs w:val="24"/>
        </w:rPr>
        <w:t xml:space="preserve"> (model 4, </w:t>
      </w:r>
      <w:r w:rsidR="00B645EA" w:rsidRPr="00593BCE">
        <w:rPr>
          <w:rFonts w:ascii="Arial" w:hAnsi="Arial" w:cs="Arial"/>
          <w:b/>
          <w:sz w:val="24"/>
          <w:szCs w:val="24"/>
        </w:rPr>
        <w:t>Table 1</w:t>
      </w:r>
      <w:r w:rsidR="00B645EA" w:rsidRPr="00593BCE">
        <w:rPr>
          <w:rFonts w:ascii="Arial" w:hAnsi="Arial" w:cs="Arial"/>
          <w:sz w:val="24"/>
          <w:szCs w:val="24"/>
        </w:rPr>
        <w:t>)</w:t>
      </w:r>
      <w:r w:rsidR="007322C6" w:rsidRPr="00593BCE">
        <w:rPr>
          <w:rFonts w:ascii="Arial" w:hAnsi="Arial" w:cs="Arial"/>
          <w:sz w:val="24"/>
          <w:szCs w:val="24"/>
        </w:rPr>
        <w:t xml:space="preserve">, </w:t>
      </w:r>
      <w:r w:rsidR="00BF670C" w:rsidRPr="00593BCE">
        <w:rPr>
          <w:rFonts w:ascii="Arial" w:hAnsi="Arial" w:cs="Arial"/>
          <w:sz w:val="24"/>
          <w:szCs w:val="24"/>
        </w:rPr>
        <w:t xml:space="preserve">compared </w:t>
      </w:r>
      <w:r w:rsidR="007322C6" w:rsidRPr="00593BCE">
        <w:rPr>
          <w:rFonts w:ascii="Arial" w:hAnsi="Arial" w:cs="Arial"/>
          <w:sz w:val="24"/>
          <w:szCs w:val="24"/>
        </w:rPr>
        <w:t xml:space="preserve">to the </w:t>
      </w:r>
      <w:r w:rsidR="001A04D5" w:rsidRPr="00593BCE">
        <w:rPr>
          <w:rFonts w:ascii="Arial" w:hAnsi="Arial" w:cs="Arial"/>
          <w:sz w:val="24"/>
          <w:szCs w:val="24"/>
        </w:rPr>
        <w:t>reference</w:t>
      </w:r>
      <w:r w:rsidR="0040589D" w:rsidRPr="00593BCE">
        <w:rPr>
          <w:rFonts w:ascii="Arial" w:hAnsi="Arial" w:cs="Arial"/>
          <w:sz w:val="24"/>
          <w:szCs w:val="24"/>
        </w:rPr>
        <w:t xml:space="preserve"> group</w:t>
      </w:r>
      <w:r w:rsidR="00BF670C" w:rsidRPr="00593BCE">
        <w:rPr>
          <w:rFonts w:ascii="Arial" w:hAnsi="Arial" w:cs="Arial"/>
          <w:sz w:val="24"/>
          <w:szCs w:val="24"/>
        </w:rPr>
        <w:t>,</w:t>
      </w:r>
      <w:r w:rsidR="004B6237" w:rsidRPr="00593BCE">
        <w:rPr>
          <w:rFonts w:ascii="Arial" w:hAnsi="Arial" w:cs="Arial"/>
          <w:sz w:val="24"/>
          <w:szCs w:val="24"/>
        </w:rPr>
        <w:t xml:space="preserve"> </w:t>
      </w:r>
      <w:r w:rsidR="00632422" w:rsidRPr="00593BCE">
        <w:rPr>
          <w:rFonts w:ascii="Arial" w:hAnsi="Arial" w:cs="Arial"/>
          <w:sz w:val="24"/>
          <w:szCs w:val="24"/>
        </w:rPr>
        <w:t xml:space="preserve">failure to mobilise </w:t>
      </w:r>
      <w:r w:rsidR="00780F36" w:rsidRPr="00593BCE">
        <w:rPr>
          <w:rFonts w:ascii="Arial" w:hAnsi="Arial" w:cs="Arial"/>
          <w:sz w:val="24"/>
          <w:szCs w:val="24"/>
        </w:rPr>
        <w:t>within 1-</w:t>
      </w:r>
      <w:r w:rsidR="001557BE" w:rsidRPr="00593BCE">
        <w:rPr>
          <w:rFonts w:ascii="Arial" w:hAnsi="Arial" w:cs="Arial"/>
          <w:sz w:val="24"/>
          <w:szCs w:val="24"/>
        </w:rPr>
        <w:t xml:space="preserve">day of surgery was increased with </w:t>
      </w:r>
      <w:r w:rsidR="0040589D" w:rsidRPr="00593BCE">
        <w:rPr>
          <w:rFonts w:ascii="Arial" w:hAnsi="Arial" w:cs="Arial"/>
          <w:sz w:val="24"/>
          <w:szCs w:val="24"/>
        </w:rPr>
        <w:t xml:space="preserve">a </w:t>
      </w:r>
      <w:r w:rsidR="006F1E6B" w:rsidRPr="00593BCE">
        <w:rPr>
          <w:rFonts w:ascii="Arial" w:hAnsi="Arial" w:cs="Arial"/>
          <w:sz w:val="24"/>
          <w:szCs w:val="24"/>
        </w:rPr>
        <w:t>4AT</w:t>
      </w:r>
      <w:r w:rsidR="0040589D" w:rsidRPr="00593BCE">
        <w:rPr>
          <w:rFonts w:ascii="Arial" w:hAnsi="Arial" w:cs="Arial"/>
          <w:sz w:val="24"/>
          <w:szCs w:val="24"/>
        </w:rPr>
        <w:t xml:space="preserve"> score</w:t>
      </w:r>
      <w:r w:rsidR="00B645EA" w:rsidRPr="00593BCE">
        <w:rPr>
          <w:rFonts w:ascii="Arial" w:hAnsi="Arial" w:cs="Arial"/>
          <w:sz w:val="24"/>
          <w:szCs w:val="24"/>
        </w:rPr>
        <w:t xml:space="preserve"> </w:t>
      </w:r>
      <w:r w:rsidR="006F1E6B" w:rsidRPr="00593BCE">
        <w:rPr>
          <w:rFonts w:ascii="Arial" w:hAnsi="Arial" w:cs="Arial"/>
          <w:sz w:val="24"/>
          <w:szCs w:val="24"/>
        </w:rPr>
        <w:t xml:space="preserve">≥4 </w:t>
      </w:r>
      <w:r w:rsidR="007322C6" w:rsidRPr="00593BCE">
        <w:rPr>
          <w:rFonts w:ascii="Arial" w:hAnsi="Arial" w:cs="Arial"/>
          <w:sz w:val="24"/>
          <w:szCs w:val="24"/>
        </w:rPr>
        <w:t>(</w:t>
      </w:r>
      <w:commentRangeStart w:id="10"/>
      <w:r w:rsidR="007322C6" w:rsidRPr="00593BCE">
        <w:rPr>
          <w:rFonts w:ascii="Arial" w:hAnsi="Arial" w:cs="Arial"/>
          <w:sz w:val="24"/>
          <w:szCs w:val="24"/>
        </w:rPr>
        <w:t>e</w:t>
      </w:r>
      <w:r w:rsidR="00BE1AE0" w:rsidRPr="00593BCE">
        <w:rPr>
          <w:rFonts w:ascii="Arial" w:hAnsi="Arial" w:cs="Arial"/>
          <w:sz w:val="24"/>
          <w:szCs w:val="24"/>
        </w:rPr>
        <w:t>vent rate</w:t>
      </w:r>
      <w:commentRangeEnd w:id="10"/>
      <w:r w:rsidR="0040589D" w:rsidRPr="00593BCE">
        <w:rPr>
          <w:rStyle w:val="CommentReference"/>
        </w:rPr>
        <w:commentReference w:id="10"/>
      </w:r>
      <w:r w:rsidR="00281519" w:rsidRPr="00593BCE">
        <w:rPr>
          <w:rFonts w:ascii="Arial" w:hAnsi="Arial" w:cs="Arial"/>
          <w:sz w:val="24"/>
          <w:szCs w:val="24"/>
        </w:rPr>
        <w:t>=</w:t>
      </w:r>
      <w:r w:rsidR="00AC64F1" w:rsidRPr="00593BCE">
        <w:rPr>
          <w:rFonts w:ascii="Arial" w:hAnsi="Arial" w:cs="Arial"/>
          <w:sz w:val="24"/>
          <w:szCs w:val="24"/>
        </w:rPr>
        <w:t>3</w:t>
      </w:r>
      <w:r w:rsidR="006F1820" w:rsidRPr="00593BCE">
        <w:rPr>
          <w:rFonts w:ascii="Arial" w:hAnsi="Arial" w:cs="Arial"/>
          <w:sz w:val="24"/>
          <w:szCs w:val="24"/>
        </w:rPr>
        <w:t>4</w:t>
      </w:r>
      <w:r w:rsidR="00AC64F1" w:rsidRPr="00593BCE">
        <w:rPr>
          <w:rFonts w:ascii="Arial" w:hAnsi="Arial" w:cs="Arial"/>
          <w:sz w:val="24"/>
          <w:szCs w:val="24"/>
        </w:rPr>
        <w:t>.3</w:t>
      </w:r>
      <w:r w:rsidR="00C55F14" w:rsidRPr="00593BCE">
        <w:rPr>
          <w:rFonts w:ascii="Arial" w:hAnsi="Arial" w:cs="Arial"/>
          <w:sz w:val="24"/>
          <w:szCs w:val="24"/>
        </w:rPr>
        <w:t>%,</w:t>
      </w:r>
      <w:r w:rsidR="001557BE" w:rsidRPr="00593BCE">
        <w:rPr>
          <w:rFonts w:ascii="Arial" w:hAnsi="Arial" w:cs="Arial"/>
          <w:sz w:val="24"/>
          <w:szCs w:val="24"/>
        </w:rPr>
        <w:t xml:space="preserve"> OR=</w:t>
      </w:r>
      <w:r w:rsidR="006F1820" w:rsidRPr="00593BCE">
        <w:rPr>
          <w:rFonts w:ascii="Arial" w:hAnsi="Arial" w:cs="Arial"/>
          <w:sz w:val="24"/>
          <w:szCs w:val="24"/>
        </w:rPr>
        <w:t>2.</w:t>
      </w:r>
      <w:r w:rsidR="00384008" w:rsidRPr="00593BCE">
        <w:rPr>
          <w:rFonts w:ascii="Arial" w:hAnsi="Arial" w:cs="Arial"/>
          <w:sz w:val="24"/>
          <w:szCs w:val="24"/>
        </w:rPr>
        <w:t>4</w:t>
      </w:r>
      <w:r w:rsidR="007322C6" w:rsidRPr="00593BCE">
        <w:rPr>
          <w:rFonts w:ascii="Arial" w:hAnsi="Arial" w:cs="Arial"/>
          <w:sz w:val="24"/>
          <w:szCs w:val="24"/>
        </w:rPr>
        <w:t xml:space="preserve">; </w:t>
      </w:r>
      <w:r w:rsidR="001557BE" w:rsidRPr="00593BCE">
        <w:rPr>
          <w:rFonts w:ascii="Arial" w:hAnsi="Arial" w:cs="Arial"/>
          <w:sz w:val="24"/>
          <w:szCs w:val="24"/>
        </w:rPr>
        <w:t>95%CI=1.</w:t>
      </w:r>
      <w:r w:rsidR="00384008" w:rsidRPr="00593BCE">
        <w:rPr>
          <w:rFonts w:ascii="Arial" w:hAnsi="Arial" w:cs="Arial"/>
          <w:sz w:val="24"/>
          <w:szCs w:val="24"/>
        </w:rPr>
        <w:t>3</w:t>
      </w:r>
      <w:r w:rsidR="001557BE" w:rsidRPr="00593BCE">
        <w:rPr>
          <w:rFonts w:ascii="Arial" w:hAnsi="Arial" w:cs="Arial"/>
          <w:sz w:val="24"/>
          <w:szCs w:val="24"/>
        </w:rPr>
        <w:t>-</w:t>
      </w:r>
      <w:r w:rsidR="006F1820" w:rsidRPr="00593BCE">
        <w:rPr>
          <w:rFonts w:ascii="Arial" w:hAnsi="Arial" w:cs="Arial"/>
          <w:sz w:val="24"/>
          <w:szCs w:val="24"/>
        </w:rPr>
        <w:t>4.</w:t>
      </w:r>
      <w:r w:rsidR="00384008" w:rsidRPr="00593BCE">
        <w:rPr>
          <w:rFonts w:ascii="Arial" w:hAnsi="Arial" w:cs="Arial"/>
          <w:sz w:val="24"/>
          <w:szCs w:val="24"/>
        </w:rPr>
        <w:t>3</w:t>
      </w:r>
      <w:r w:rsidR="001557BE" w:rsidRPr="00593BCE">
        <w:rPr>
          <w:rFonts w:ascii="Arial" w:hAnsi="Arial" w:cs="Arial"/>
          <w:sz w:val="24"/>
          <w:szCs w:val="24"/>
        </w:rPr>
        <w:t>)</w:t>
      </w:r>
      <w:r w:rsidR="007322C6" w:rsidRPr="00593BCE">
        <w:rPr>
          <w:rFonts w:ascii="Arial" w:hAnsi="Arial" w:cs="Arial"/>
          <w:sz w:val="24"/>
          <w:szCs w:val="24"/>
        </w:rPr>
        <w:t>.</w:t>
      </w:r>
      <w:r w:rsidR="00D723B0" w:rsidRPr="00593BCE">
        <w:rPr>
          <w:rFonts w:ascii="Arial" w:hAnsi="Arial" w:cs="Arial"/>
          <w:sz w:val="24"/>
          <w:szCs w:val="24"/>
        </w:rPr>
        <w:t xml:space="preserve"> </w:t>
      </w:r>
      <w:r w:rsidR="007322C6" w:rsidRPr="00593BCE">
        <w:rPr>
          <w:rFonts w:ascii="Arial" w:hAnsi="Arial" w:cs="Arial"/>
          <w:sz w:val="24"/>
          <w:szCs w:val="24"/>
        </w:rPr>
        <w:t>P</w:t>
      </w:r>
      <w:r w:rsidR="00914F83" w:rsidRPr="00593BCE">
        <w:rPr>
          <w:rFonts w:ascii="Arial" w:hAnsi="Arial" w:cs="Arial"/>
          <w:sz w:val="24"/>
          <w:szCs w:val="24"/>
        </w:rPr>
        <w:t>rolonged LOS was</w:t>
      </w:r>
      <w:r w:rsidR="007322C6" w:rsidRPr="00593BCE">
        <w:rPr>
          <w:rFonts w:ascii="Arial" w:hAnsi="Arial" w:cs="Arial"/>
          <w:sz w:val="24"/>
          <w:szCs w:val="24"/>
        </w:rPr>
        <w:t xml:space="preserve"> also</w:t>
      </w:r>
      <w:r w:rsidR="00914F83" w:rsidRPr="00593BCE">
        <w:rPr>
          <w:rFonts w:ascii="Arial" w:hAnsi="Arial" w:cs="Arial"/>
          <w:sz w:val="24"/>
          <w:szCs w:val="24"/>
        </w:rPr>
        <w:t xml:space="preserve"> increased among patients </w:t>
      </w:r>
      <w:commentRangeStart w:id="11"/>
      <w:r w:rsidR="00914F83" w:rsidRPr="00593BCE">
        <w:rPr>
          <w:rFonts w:ascii="Arial" w:hAnsi="Arial" w:cs="Arial"/>
          <w:sz w:val="24"/>
          <w:szCs w:val="24"/>
        </w:rPr>
        <w:t xml:space="preserve">with </w:t>
      </w:r>
      <w:r w:rsidR="00E025E3" w:rsidRPr="00593BCE">
        <w:rPr>
          <w:rFonts w:ascii="Arial" w:hAnsi="Arial" w:cs="Arial"/>
          <w:sz w:val="24"/>
          <w:szCs w:val="24"/>
        </w:rPr>
        <w:t>4AT=1-3</w:t>
      </w:r>
      <w:r w:rsidR="007322C6" w:rsidRPr="00593BCE">
        <w:rPr>
          <w:rFonts w:ascii="Arial" w:hAnsi="Arial" w:cs="Arial"/>
          <w:sz w:val="24"/>
          <w:szCs w:val="24"/>
        </w:rPr>
        <w:t xml:space="preserve"> </w:t>
      </w:r>
      <w:commentRangeEnd w:id="11"/>
      <w:r w:rsidR="00B645EA" w:rsidRPr="00593BCE">
        <w:rPr>
          <w:rStyle w:val="CommentReference"/>
        </w:rPr>
        <w:commentReference w:id="11"/>
      </w:r>
      <w:r w:rsidR="007322C6" w:rsidRPr="00593BCE">
        <w:rPr>
          <w:rFonts w:ascii="Arial" w:hAnsi="Arial" w:cs="Arial"/>
          <w:sz w:val="24"/>
          <w:szCs w:val="24"/>
        </w:rPr>
        <w:t>(</w:t>
      </w:r>
      <w:commentRangeStart w:id="12"/>
      <w:r w:rsidR="00BE1AE0" w:rsidRPr="00593BCE">
        <w:rPr>
          <w:rFonts w:ascii="Arial" w:hAnsi="Arial" w:cs="Arial"/>
          <w:sz w:val="24"/>
          <w:szCs w:val="24"/>
        </w:rPr>
        <w:t>event rate</w:t>
      </w:r>
      <w:commentRangeEnd w:id="12"/>
      <w:r w:rsidR="00B645EA" w:rsidRPr="00593BCE">
        <w:rPr>
          <w:rStyle w:val="CommentReference"/>
        </w:rPr>
        <w:commentReference w:id="12"/>
      </w:r>
      <w:r w:rsidR="00281519" w:rsidRPr="00593BCE">
        <w:rPr>
          <w:rFonts w:ascii="Arial" w:hAnsi="Arial" w:cs="Arial"/>
          <w:sz w:val="24"/>
          <w:szCs w:val="24"/>
        </w:rPr>
        <w:t>=</w:t>
      </w:r>
      <w:r w:rsidR="00AF289E" w:rsidRPr="00593BCE">
        <w:rPr>
          <w:rFonts w:ascii="Arial" w:hAnsi="Arial" w:cs="Arial"/>
          <w:sz w:val="24"/>
          <w:szCs w:val="24"/>
        </w:rPr>
        <w:t>3</w:t>
      </w:r>
      <w:r w:rsidR="002E11F9" w:rsidRPr="00593BCE">
        <w:rPr>
          <w:rFonts w:ascii="Arial" w:hAnsi="Arial" w:cs="Arial"/>
          <w:sz w:val="24"/>
          <w:szCs w:val="24"/>
        </w:rPr>
        <w:t>1</w:t>
      </w:r>
      <w:r w:rsidR="00AF289E" w:rsidRPr="00593BCE">
        <w:rPr>
          <w:rFonts w:ascii="Arial" w:hAnsi="Arial" w:cs="Arial"/>
          <w:sz w:val="24"/>
          <w:szCs w:val="24"/>
        </w:rPr>
        <w:t>.</w:t>
      </w:r>
      <w:r w:rsidR="002E11F9" w:rsidRPr="00593BCE">
        <w:rPr>
          <w:rFonts w:ascii="Arial" w:hAnsi="Arial" w:cs="Arial"/>
          <w:sz w:val="24"/>
          <w:szCs w:val="24"/>
        </w:rPr>
        <w:t>2</w:t>
      </w:r>
      <w:r w:rsidR="00AF289E" w:rsidRPr="00593BCE">
        <w:rPr>
          <w:rFonts w:ascii="Arial" w:hAnsi="Arial" w:cs="Arial"/>
          <w:sz w:val="24"/>
          <w:szCs w:val="24"/>
        </w:rPr>
        <w:t xml:space="preserve">%, </w:t>
      </w:r>
      <w:r w:rsidR="002E11F9" w:rsidRPr="00593BCE">
        <w:rPr>
          <w:rFonts w:ascii="Arial" w:hAnsi="Arial" w:cs="Arial"/>
          <w:sz w:val="24"/>
          <w:szCs w:val="24"/>
        </w:rPr>
        <w:t>OR=2.</w:t>
      </w:r>
      <w:r w:rsidR="00384008" w:rsidRPr="00593BCE">
        <w:rPr>
          <w:rFonts w:ascii="Arial" w:hAnsi="Arial" w:cs="Arial"/>
          <w:sz w:val="24"/>
          <w:szCs w:val="24"/>
        </w:rPr>
        <w:t>4</w:t>
      </w:r>
      <w:r w:rsidR="007322C6" w:rsidRPr="00593BCE">
        <w:rPr>
          <w:rFonts w:ascii="Arial" w:hAnsi="Arial" w:cs="Arial"/>
          <w:sz w:val="24"/>
          <w:szCs w:val="24"/>
        </w:rPr>
        <w:t xml:space="preserve">; </w:t>
      </w:r>
      <w:r w:rsidR="00914F83" w:rsidRPr="00593BCE">
        <w:rPr>
          <w:rFonts w:ascii="Arial" w:hAnsi="Arial" w:cs="Arial"/>
          <w:sz w:val="24"/>
          <w:szCs w:val="24"/>
        </w:rPr>
        <w:t>95%CI=1.</w:t>
      </w:r>
      <w:r w:rsidR="00384008" w:rsidRPr="00593BCE">
        <w:rPr>
          <w:rFonts w:ascii="Arial" w:hAnsi="Arial" w:cs="Arial"/>
          <w:sz w:val="24"/>
          <w:szCs w:val="24"/>
        </w:rPr>
        <w:t>4</w:t>
      </w:r>
      <w:r w:rsidR="00914F83" w:rsidRPr="00593BCE">
        <w:rPr>
          <w:rFonts w:ascii="Arial" w:hAnsi="Arial" w:cs="Arial"/>
          <w:sz w:val="24"/>
          <w:szCs w:val="24"/>
        </w:rPr>
        <w:t>-4.</w:t>
      </w:r>
      <w:r w:rsidR="00384008" w:rsidRPr="00593BCE">
        <w:rPr>
          <w:rFonts w:ascii="Arial" w:hAnsi="Arial" w:cs="Arial"/>
          <w:sz w:val="24"/>
          <w:szCs w:val="24"/>
        </w:rPr>
        <w:t>1</w:t>
      </w:r>
      <w:r w:rsidR="00914F83" w:rsidRPr="00593BCE">
        <w:rPr>
          <w:rFonts w:ascii="Arial" w:hAnsi="Arial" w:cs="Arial"/>
          <w:sz w:val="24"/>
          <w:szCs w:val="24"/>
        </w:rPr>
        <w:t xml:space="preserve">) or with </w:t>
      </w:r>
      <w:r w:rsidR="00E025E3" w:rsidRPr="00593BCE">
        <w:rPr>
          <w:rFonts w:ascii="Arial" w:hAnsi="Arial" w:cs="Arial"/>
          <w:sz w:val="24"/>
          <w:szCs w:val="24"/>
        </w:rPr>
        <w:t xml:space="preserve">4AT≥4 </w:t>
      </w:r>
      <w:r w:rsidR="007322C6" w:rsidRPr="00593BCE">
        <w:rPr>
          <w:rFonts w:ascii="Arial" w:hAnsi="Arial" w:cs="Arial"/>
          <w:sz w:val="24"/>
          <w:szCs w:val="24"/>
        </w:rPr>
        <w:t>(</w:t>
      </w:r>
      <w:commentRangeStart w:id="13"/>
      <w:r w:rsidR="00BE1AE0" w:rsidRPr="00593BCE">
        <w:rPr>
          <w:rFonts w:ascii="Arial" w:hAnsi="Arial" w:cs="Arial"/>
          <w:sz w:val="24"/>
          <w:szCs w:val="24"/>
        </w:rPr>
        <w:t>event rate</w:t>
      </w:r>
      <w:commentRangeEnd w:id="13"/>
      <w:r w:rsidR="00B645EA" w:rsidRPr="00593BCE">
        <w:rPr>
          <w:rStyle w:val="CommentReference"/>
        </w:rPr>
        <w:commentReference w:id="13"/>
      </w:r>
      <w:r w:rsidR="00281519" w:rsidRPr="00593BCE">
        <w:rPr>
          <w:rFonts w:ascii="Arial" w:hAnsi="Arial" w:cs="Arial"/>
          <w:sz w:val="24"/>
          <w:szCs w:val="24"/>
        </w:rPr>
        <w:t>=</w:t>
      </w:r>
      <w:r w:rsidR="00196433" w:rsidRPr="00593BCE">
        <w:rPr>
          <w:rFonts w:ascii="Arial" w:hAnsi="Arial" w:cs="Arial"/>
          <w:sz w:val="24"/>
          <w:szCs w:val="24"/>
        </w:rPr>
        <w:t>40.2</w:t>
      </w:r>
      <w:r w:rsidR="00AF289E" w:rsidRPr="00593BCE">
        <w:rPr>
          <w:rFonts w:ascii="Arial" w:hAnsi="Arial" w:cs="Arial"/>
          <w:sz w:val="24"/>
          <w:szCs w:val="24"/>
        </w:rPr>
        <w:t xml:space="preserve">%, </w:t>
      </w:r>
      <w:r w:rsidR="00914F83" w:rsidRPr="00593BCE">
        <w:rPr>
          <w:rFonts w:ascii="Arial" w:hAnsi="Arial" w:cs="Arial"/>
          <w:sz w:val="24"/>
          <w:szCs w:val="24"/>
        </w:rPr>
        <w:t>OR=</w:t>
      </w:r>
      <w:r w:rsidR="00196433" w:rsidRPr="00593BCE">
        <w:rPr>
          <w:rFonts w:ascii="Arial" w:hAnsi="Arial" w:cs="Arial"/>
          <w:sz w:val="24"/>
          <w:szCs w:val="24"/>
        </w:rPr>
        <w:t>3.</w:t>
      </w:r>
      <w:r w:rsidR="00384008" w:rsidRPr="00593BCE">
        <w:rPr>
          <w:rFonts w:ascii="Arial" w:hAnsi="Arial" w:cs="Arial"/>
          <w:sz w:val="24"/>
          <w:szCs w:val="24"/>
        </w:rPr>
        <w:t>5</w:t>
      </w:r>
      <w:r w:rsidR="007322C6" w:rsidRPr="00593BCE">
        <w:rPr>
          <w:rFonts w:ascii="Arial" w:hAnsi="Arial" w:cs="Arial"/>
          <w:sz w:val="24"/>
          <w:szCs w:val="24"/>
        </w:rPr>
        <w:t xml:space="preserve">; </w:t>
      </w:r>
      <w:r w:rsidR="00914F83" w:rsidRPr="00593BCE">
        <w:rPr>
          <w:rFonts w:ascii="Arial" w:hAnsi="Arial" w:cs="Arial"/>
          <w:sz w:val="24"/>
          <w:szCs w:val="24"/>
        </w:rPr>
        <w:t>95%CI=1.</w:t>
      </w:r>
      <w:r w:rsidR="00384008" w:rsidRPr="00593BCE">
        <w:rPr>
          <w:rFonts w:ascii="Arial" w:hAnsi="Arial" w:cs="Arial"/>
          <w:sz w:val="24"/>
          <w:szCs w:val="24"/>
        </w:rPr>
        <w:t>9</w:t>
      </w:r>
      <w:r w:rsidR="00914F83" w:rsidRPr="00593BCE">
        <w:rPr>
          <w:rFonts w:ascii="Arial" w:hAnsi="Arial" w:cs="Arial"/>
          <w:sz w:val="24"/>
          <w:szCs w:val="24"/>
        </w:rPr>
        <w:t>-</w:t>
      </w:r>
      <w:r w:rsidR="00196433" w:rsidRPr="00593BCE">
        <w:rPr>
          <w:rFonts w:ascii="Arial" w:hAnsi="Arial" w:cs="Arial"/>
          <w:sz w:val="24"/>
          <w:szCs w:val="24"/>
        </w:rPr>
        <w:t>6.</w:t>
      </w:r>
      <w:r w:rsidR="00384008" w:rsidRPr="00593BCE">
        <w:rPr>
          <w:rFonts w:ascii="Arial" w:hAnsi="Arial" w:cs="Arial"/>
          <w:sz w:val="24"/>
          <w:szCs w:val="24"/>
        </w:rPr>
        <w:t>7</w:t>
      </w:r>
      <w:r w:rsidR="00914F83" w:rsidRPr="00593BCE">
        <w:rPr>
          <w:rFonts w:ascii="Arial" w:hAnsi="Arial" w:cs="Arial"/>
          <w:sz w:val="24"/>
          <w:szCs w:val="24"/>
        </w:rPr>
        <w:t>)</w:t>
      </w:r>
      <w:r w:rsidR="007322C6" w:rsidRPr="00593BCE">
        <w:rPr>
          <w:rFonts w:ascii="Arial" w:hAnsi="Arial" w:cs="Arial"/>
          <w:sz w:val="24"/>
          <w:szCs w:val="24"/>
        </w:rPr>
        <w:t>.</w:t>
      </w:r>
      <w:r w:rsidR="00D723B0" w:rsidRPr="00593BCE">
        <w:rPr>
          <w:rFonts w:ascii="Arial" w:hAnsi="Arial" w:cs="Arial"/>
          <w:sz w:val="24"/>
          <w:szCs w:val="24"/>
        </w:rPr>
        <w:t xml:space="preserve"> </w:t>
      </w:r>
      <w:r w:rsidR="007322C6" w:rsidRPr="00593BCE">
        <w:rPr>
          <w:rFonts w:ascii="Arial" w:hAnsi="Arial" w:cs="Arial"/>
          <w:sz w:val="24"/>
          <w:szCs w:val="24"/>
        </w:rPr>
        <w:t>I</w:t>
      </w:r>
      <w:r w:rsidR="00914F83" w:rsidRPr="00593BCE">
        <w:rPr>
          <w:rFonts w:ascii="Arial" w:hAnsi="Arial" w:cs="Arial"/>
          <w:sz w:val="24"/>
          <w:szCs w:val="24"/>
        </w:rPr>
        <w:t>n</w:t>
      </w:r>
      <w:r w:rsidR="007322C6" w:rsidRPr="00593BCE">
        <w:rPr>
          <w:rFonts w:ascii="Arial" w:hAnsi="Arial" w:cs="Arial"/>
          <w:sz w:val="24"/>
          <w:szCs w:val="24"/>
        </w:rPr>
        <w:t>-</w:t>
      </w:r>
      <w:r w:rsidR="00914F83" w:rsidRPr="00593BCE">
        <w:rPr>
          <w:rFonts w:ascii="Arial" w:hAnsi="Arial" w:cs="Arial"/>
          <w:sz w:val="24"/>
          <w:szCs w:val="24"/>
        </w:rPr>
        <w:t xml:space="preserve">patient mortality was increased among patients with </w:t>
      </w:r>
      <w:r w:rsidR="00B645EA" w:rsidRPr="00593BCE">
        <w:rPr>
          <w:rFonts w:ascii="Arial" w:hAnsi="Arial" w:cs="Arial"/>
          <w:sz w:val="24"/>
          <w:szCs w:val="24"/>
        </w:rPr>
        <w:t xml:space="preserve">a </w:t>
      </w:r>
      <w:r w:rsidR="00E025E3" w:rsidRPr="00593BCE">
        <w:rPr>
          <w:rFonts w:ascii="Arial" w:hAnsi="Arial" w:cs="Arial"/>
          <w:sz w:val="24"/>
          <w:szCs w:val="24"/>
        </w:rPr>
        <w:t>4AT</w:t>
      </w:r>
      <w:r w:rsidR="00B645EA" w:rsidRPr="00593BCE">
        <w:rPr>
          <w:rFonts w:ascii="Arial" w:hAnsi="Arial" w:cs="Arial"/>
          <w:sz w:val="24"/>
          <w:szCs w:val="24"/>
        </w:rPr>
        <w:t xml:space="preserve"> score </w:t>
      </w:r>
      <w:r w:rsidR="00E025E3" w:rsidRPr="00593BCE">
        <w:rPr>
          <w:rFonts w:ascii="Arial" w:hAnsi="Arial" w:cs="Arial"/>
          <w:sz w:val="24"/>
          <w:szCs w:val="24"/>
        </w:rPr>
        <w:t xml:space="preserve">≥4 </w:t>
      </w:r>
      <w:r w:rsidR="007322C6" w:rsidRPr="00593BCE">
        <w:rPr>
          <w:rFonts w:ascii="Arial" w:hAnsi="Arial" w:cs="Arial"/>
          <w:sz w:val="24"/>
          <w:szCs w:val="24"/>
        </w:rPr>
        <w:t>(</w:t>
      </w:r>
      <w:commentRangeStart w:id="14"/>
      <w:r w:rsidR="00BE1AE0" w:rsidRPr="00593BCE">
        <w:rPr>
          <w:rFonts w:ascii="Arial" w:hAnsi="Arial" w:cs="Arial"/>
          <w:sz w:val="24"/>
          <w:szCs w:val="24"/>
        </w:rPr>
        <w:t>event rate</w:t>
      </w:r>
      <w:commentRangeEnd w:id="14"/>
      <w:r w:rsidR="00B645EA" w:rsidRPr="00593BCE">
        <w:rPr>
          <w:rStyle w:val="CommentReference"/>
        </w:rPr>
        <w:commentReference w:id="14"/>
      </w:r>
      <w:r w:rsidR="001557BE" w:rsidRPr="00593BCE">
        <w:rPr>
          <w:rFonts w:ascii="Arial" w:hAnsi="Arial" w:cs="Arial"/>
          <w:sz w:val="24"/>
          <w:szCs w:val="24"/>
        </w:rPr>
        <w:t>=</w:t>
      </w:r>
      <w:r w:rsidR="00196433" w:rsidRPr="00593BCE">
        <w:rPr>
          <w:rFonts w:ascii="Arial" w:hAnsi="Arial" w:cs="Arial"/>
          <w:sz w:val="24"/>
          <w:szCs w:val="24"/>
        </w:rPr>
        <w:t>13.7</w:t>
      </w:r>
      <w:r w:rsidR="00AF289E" w:rsidRPr="00593BCE">
        <w:rPr>
          <w:rFonts w:ascii="Arial" w:hAnsi="Arial" w:cs="Arial"/>
          <w:sz w:val="24"/>
          <w:szCs w:val="24"/>
        </w:rPr>
        <w:t xml:space="preserve">%, </w:t>
      </w:r>
      <w:r w:rsidR="00914F83" w:rsidRPr="00593BCE">
        <w:rPr>
          <w:rFonts w:ascii="Arial" w:hAnsi="Arial" w:cs="Arial"/>
          <w:sz w:val="24"/>
          <w:szCs w:val="24"/>
        </w:rPr>
        <w:t>OR=</w:t>
      </w:r>
      <w:r w:rsidR="00196433" w:rsidRPr="00593BCE">
        <w:rPr>
          <w:rFonts w:ascii="Arial" w:hAnsi="Arial" w:cs="Arial"/>
          <w:sz w:val="24"/>
          <w:szCs w:val="24"/>
        </w:rPr>
        <w:t>3.</w:t>
      </w:r>
      <w:r w:rsidR="00384008" w:rsidRPr="00593BCE">
        <w:rPr>
          <w:rFonts w:ascii="Arial" w:hAnsi="Arial" w:cs="Arial"/>
          <w:sz w:val="24"/>
          <w:szCs w:val="24"/>
        </w:rPr>
        <w:t>1</w:t>
      </w:r>
      <w:r w:rsidR="007322C6" w:rsidRPr="00593BCE">
        <w:rPr>
          <w:rFonts w:ascii="Arial" w:hAnsi="Arial" w:cs="Arial"/>
          <w:sz w:val="24"/>
          <w:szCs w:val="24"/>
        </w:rPr>
        <w:t xml:space="preserve">; </w:t>
      </w:r>
      <w:r w:rsidR="00914F83" w:rsidRPr="00593BCE">
        <w:rPr>
          <w:rFonts w:ascii="Arial" w:hAnsi="Arial" w:cs="Arial"/>
          <w:sz w:val="24"/>
          <w:szCs w:val="24"/>
        </w:rPr>
        <w:t>95%CI=1.</w:t>
      </w:r>
      <w:r w:rsidR="00384008" w:rsidRPr="00593BCE">
        <w:rPr>
          <w:rFonts w:ascii="Arial" w:hAnsi="Arial" w:cs="Arial"/>
          <w:sz w:val="24"/>
          <w:szCs w:val="24"/>
        </w:rPr>
        <w:t>2</w:t>
      </w:r>
      <w:r w:rsidR="00914F83" w:rsidRPr="00593BCE">
        <w:rPr>
          <w:rFonts w:ascii="Arial" w:hAnsi="Arial" w:cs="Arial"/>
          <w:sz w:val="24"/>
          <w:szCs w:val="24"/>
        </w:rPr>
        <w:t>-</w:t>
      </w:r>
      <w:r w:rsidR="00384008" w:rsidRPr="00593BCE">
        <w:rPr>
          <w:rFonts w:ascii="Arial" w:hAnsi="Arial" w:cs="Arial"/>
          <w:sz w:val="24"/>
          <w:szCs w:val="24"/>
        </w:rPr>
        <w:t>8.</w:t>
      </w:r>
      <w:r w:rsidR="00196433" w:rsidRPr="00593BCE">
        <w:rPr>
          <w:rFonts w:ascii="Arial" w:hAnsi="Arial" w:cs="Arial"/>
          <w:sz w:val="24"/>
          <w:szCs w:val="24"/>
        </w:rPr>
        <w:t>2</w:t>
      </w:r>
      <w:r w:rsidR="00914F83" w:rsidRPr="00593BCE">
        <w:rPr>
          <w:rFonts w:ascii="Arial" w:hAnsi="Arial" w:cs="Arial"/>
          <w:sz w:val="24"/>
          <w:szCs w:val="24"/>
        </w:rPr>
        <w:t xml:space="preserve">) but not with </w:t>
      </w:r>
      <w:r w:rsidR="00B645EA" w:rsidRPr="00593BCE">
        <w:rPr>
          <w:rFonts w:ascii="Arial" w:hAnsi="Arial" w:cs="Arial"/>
          <w:sz w:val="24"/>
          <w:szCs w:val="24"/>
        </w:rPr>
        <w:t xml:space="preserve">a </w:t>
      </w:r>
      <w:r w:rsidR="00E025E3" w:rsidRPr="00593BCE">
        <w:rPr>
          <w:rFonts w:ascii="Arial" w:hAnsi="Arial" w:cs="Arial"/>
          <w:sz w:val="24"/>
          <w:szCs w:val="24"/>
        </w:rPr>
        <w:t>4AT</w:t>
      </w:r>
      <w:r w:rsidR="00B645EA" w:rsidRPr="00593BCE">
        <w:rPr>
          <w:rFonts w:ascii="Arial" w:hAnsi="Arial" w:cs="Arial"/>
          <w:sz w:val="24"/>
          <w:szCs w:val="24"/>
        </w:rPr>
        <w:t xml:space="preserve"> score of </w:t>
      </w:r>
      <w:r w:rsidR="00E025E3" w:rsidRPr="00593BCE">
        <w:rPr>
          <w:rFonts w:ascii="Arial" w:hAnsi="Arial" w:cs="Arial"/>
          <w:sz w:val="24"/>
          <w:szCs w:val="24"/>
        </w:rPr>
        <w:t>1-3</w:t>
      </w:r>
      <w:r w:rsidR="007322C6" w:rsidRPr="00593BCE">
        <w:rPr>
          <w:rFonts w:ascii="Arial" w:hAnsi="Arial" w:cs="Arial"/>
          <w:sz w:val="24"/>
          <w:szCs w:val="24"/>
        </w:rPr>
        <w:t xml:space="preserve">. Finally, </w:t>
      </w:r>
      <w:r w:rsidR="006D0E1A" w:rsidRPr="00593BCE">
        <w:rPr>
          <w:rFonts w:ascii="Arial" w:hAnsi="Arial" w:cs="Arial"/>
          <w:sz w:val="24"/>
          <w:szCs w:val="24"/>
        </w:rPr>
        <w:t xml:space="preserve">change in </w:t>
      </w:r>
      <w:r w:rsidR="00335EF1" w:rsidRPr="00593BCE">
        <w:rPr>
          <w:rFonts w:ascii="Arial" w:hAnsi="Arial" w:cs="Arial"/>
          <w:sz w:val="24"/>
          <w:szCs w:val="24"/>
        </w:rPr>
        <w:t xml:space="preserve">residence on </w:t>
      </w:r>
      <w:r w:rsidR="006D0E1A" w:rsidRPr="00593BCE">
        <w:rPr>
          <w:rFonts w:ascii="Arial" w:hAnsi="Arial" w:cs="Arial"/>
          <w:sz w:val="24"/>
          <w:szCs w:val="24"/>
        </w:rPr>
        <w:t>d</w:t>
      </w:r>
      <w:r w:rsidR="00914F83" w:rsidRPr="00593BCE">
        <w:rPr>
          <w:rFonts w:ascii="Arial" w:hAnsi="Arial" w:cs="Arial"/>
          <w:sz w:val="24"/>
          <w:szCs w:val="24"/>
        </w:rPr>
        <w:t xml:space="preserve">ischarge was more likely in those </w:t>
      </w:r>
      <w:r w:rsidR="007322C6" w:rsidRPr="00593BCE">
        <w:rPr>
          <w:rFonts w:ascii="Arial" w:hAnsi="Arial" w:cs="Arial"/>
          <w:sz w:val="24"/>
          <w:szCs w:val="24"/>
        </w:rPr>
        <w:t xml:space="preserve">with </w:t>
      </w:r>
      <w:r w:rsidR="00B645EA" w:rsidRPr="00593BCE">
        <w:rPr>
          <w:rFonts w:ascii="Arial" w:hAnsi="Arial" w:cs="Arial"/>
          <w:sz w:val="24"/>
          <w:szCs w:val="24"/>
        </w:rPr>
        <w:t xml:space="preserve">a score </w:t>
      </w:r>
      <w:r w:rsidR="00E025E3" w:rsidRPr="00593BCE">
        <w:rPr>
          <w:rFonts w:ascii="Arial" w:hAnsi="Arial" w:cs="Arial"/>
          <w:sz w:val="24"/>
          <w:szCs w:val="24"/>
        </w:rPr>
        <w:t>4AT</w:t>
      </w:r>
      <w:r w:rsidR="00B645EA" w:rsidRPr="00593BCE">
        <w:rPr>
          <w:rFonts w:ascii="Arial" w:hAnsi="Arial" w:cs="Arial"/>
          <w:sz w:val="24"/>
          <w:szCs w:val="24"/>
        </w:rPr>
        <w:t xml:space="preserve"> </w:t>
      </w:r>
      <w:r w:rsidR="00E025E3" w:rsidRPr="00593BCE">
        <w:rPr>
          <w:rFonts w:ascii="Arial" w:hAnsi="Arial" w:cs="Arial"/>
          <w:sz w:val="24"/>
          <w:szCs w:val="24"/>
        </w:rPr>
        <w:t xml:space="preserve">≥4 </w:t>
      </w:r>
      <w:r w:rsidR="007322C6" w:rsidRPr="00593BCE">
        <w:rPr>
          <w:rFonts w:ascii="Arial" w:hAnsi="Arial" w:cs="Arial"/>
          <w:sz w:val="24"/>
          <w:szCs w:val="24"/>
        </w:rPr>
        <w:t>(</w:t>
      </w:r>
      <w:r w:rsidR="00BE1AE0" w:rsidRPr="00593BCE">
        <w:rPr>
          <w:rFonts w:ascii="Arial" w:hAnsi="Arial" w:cs="Arial"/>
          <w:sz w:val="24"/>
          <w:szCs w:val="24"/>
        </w:rPr>
        <w:t>eve</w:t>
      </w:r>
      <w:commentRangeStart w:id="15"/>
      <w:r w:rsidR="00BE1AE0" w:rsidRPr="00593BCE">
        <w:rPr>
          <w:rFonts w:ascii="Arial" w:hAnsi="Arial" w:cs="Arial"/>
          <w:sz w:val="24"/>
          <w:szCs w:val="24"/>
        </w:rPr>
        <w:t>nt rate</w:t>
      </w:r>
      <w:commentRangeEnd w:id="15"/>
      <w:r w:rsidR="00B645EA" w:rsidRPr="00593BCE">
        <w:rPr>
          <w:rStyle w:val="CommentReference"/>
        </w:rPr>
        <w:commentReference w:id="15"/>
      </w:r>
      <w:r w:rsidR="00154A1D" w:rsidRPr="00593BCE">
        <w:rPr>
          <w:rFonts w:ascii="Arial" w:hAnsi="Arial" w:cs="Arial"/>
          <w:sz w:val="24"/>
          <w:szCs w:val="24"/>
        </w:rPr>
        <w:t>=</w:t>
      </w:r>
      <w:r w:rsidR="00196433" w:rsidRPr="00593BCE">
        <w:rPr>
          <w:rFonts w:ascii="Arial" w:hAnsi="Arial" w:cs="Arial"/>
          <w:sz w:val="24"/>
          <w:szCs w:val="24"/>
        </w:rPr>
        <w:t>70.3</w:t>
      </w:r>
      <w:r w:rsidR="00AF289E" w:rsidRPr="00593BCE">
        <w:rPr>
          <w:rFonts w:ascii="Arial" w:hAnsi="Arial" w:cs="Arial"/>
          <w:sz w:val="24"/>
          <w:szCs w:val="24"/>
        </w:rPr>
        <w:t xml:space="preserve">%, </w:t>
      </w:r>
      <w:r w:rsidR="00727E26" w:rsidRPr="00593BCE">
        <w:rPr>
          <w:rFonts w:ascii="Arial" w:hAnsi="Arial" w:cs="Arial"/>
          <w:sz w:val="24"/>
          <w:szCs w:val="24"/>
        </w:rPr>
        <w:t>OR=</w:t>
      </w:r>
      <w:r w:rsidR="00196433" w:rsidRPr="00593BCE">
        <w:rPr>
          <w:rFonts w:ascii="Arial" w:hAnsi="Arial" w:cs="Arial"/>
          <w:sz w:val="24"/>
          <w:szCs w:val="24"/>
        </w:rPr>
        <w:t>3.</w:t>
      </w:r>
      <w:r w:rsidR="00384008" w:rsidRPr="00593BCE">
        <w:rPr>
          <w:rFonts w:ascii="Arial" w:hAnsi="Arial" w:cs="Arial"/>
          <w:sz w:val="24"/>
          <w:szCs w:val="24"/>
        </w:rPr>
        <w:t>1</w:t>
      </w:r>
      <w:r w:rsidR="007322C6" w:rsidRPr="00593BCE">
        <w:rPr>
          <w:rFonts w:ascii="Arial" w:hAnsi="Arial" w:cs="Arial"/>
          <w:sz w:val="24"/>
          <w:szCs w:val="24"/>
        </w:rPr>
        <w:t xml:space="preserve">; </w:t>
      </w:r>
      <w:r w:rsidR="00727E26" w:rsidRPr="00593BCE">
        <w:rPr>
          <w:rFonts w:ascii="Arial" w:hAnsi="Arial" w:cs="Arial"/>
          <w:sz w:val="24"/>
          <w:szCs w:val="24"/>
        </w:rPr>
        <w:t>95%CI=1.</w:t>
      </w:r>
      <w:r w:rsidR="00384008" w:rsidRPr="00593BCE">
        <w:rPr>
          <w:rFonts w:ascii="Arial" w:hAnsi="Arial" w:cs="Arial"/>
          <w:sz w:val="24"/>
          <w:szCs w:val="24"/>
        </w:rPr>
        <w:t>4</w:t>
      </w:r>
      <w:r w:rsidR="00727E26" w:rsidRPr="00593BCE">
        <w:rPr>
          <w:rFonts w:ascii="Arial" w:hAnsi="Arial" w:cs="Arial"/>
          <w:sz w:val="24"/>
          <w:szCs w:val="24"/>
        </w:rPr>
        <w:t>-</w:t>
      </w:r>
      <w:r w:rsidR="00196433" w:rsidRPr="00593BCE">
        <w:rPr>
          <w:rFonts w:ascii="Arial" w:hAnsi="Arial" w:cs="Arial"/>
          <w:sz w:val="24"/>
          <w:szCs w:val="24"/>
        </w:rPr>
        <w:t>6.</w:t>
      </w:r>
      <w:r w:rsidR="00384008" w:rsidRPr="00593BCE">
        <w:rPr>
          <w:rFonts w:ascii="Arial" w:hAnsi="Arial" w:cs="Arial"/>
          <w:sz w:val="24"/>
          <w:szCs w:val="24"/>
        </w:rPr>
        <w:t>8</w:t>
      </w:r>
      <w:r w:rsidR="007322C6" w:rsidRPr="00593BCE">
        <w:rPr>
          <w:rFonts w:ascii="Arial" w:hAnsi="Arial" w:cs="Arial"/>
          <w:sz w:val="24"/>
          <w:szCs w:val="24"/>
        </w:rPr>
        <w:t xml:space="preserve"> - </w:t>
      </w:r>
      <w:commentRangeStart w:id="16"/>
      <w:r w:rsidR="00633CB2" w:rsidRPr="00593BCE">
        <w:rPr>
          <w:rFonts w:ascii="Arial" w:hAnsi="Arial" w:cs="Arial"/>
          <w:b/>
          <w:sz w:val="24"/>
          <w:szCs w:val="24"/>
        </w:rPr>
        <w:t xml:space="preserve">Table </w:t>
      </w:r>
      <w:r w:rsidR="00353668" w:rsidRPr="00593BCE">
        <w:rPr>
          <w:rFonts w:ascii="Arial" w:hAnsi="Arial" w:cs="Arial"/>
          <w:b/>
          <w:sz w:val="24"/>
          <w:szCs w:val="24"/>
        </w:rPr>
        <w:t>3</w:t>
      </w:r>
      <w:commentRangeEnd w:id="16"/>
      <w:r w:rsidR="00B645EA" w:rsidRPr="00593BCE">
        <w:rPr>
          <w:rStyle w:val="CommentReference"/>
        </w:rPr>
        <w:commentReference w:id="16"/>
      </w:r>
      <w:r w:rsidR="00633CB2" w:rsidRPr="00593BCE">
        <w:rPr>
          <w:rFonts w:ascii="Arial" w:hAnsi="Arial" w:cs="Arial"/>
          <w:sz w:val="24"/>
          <w:szCs w:val="24"/>
        </w:rPr>
        <w:t>)</w:t>
      </w:r>
      <w:r w:rsidR="00E879BA" w:rsidRPr="00593BCE">
        <w:rPr>
          <w:rFonts w:ascii="Arial" w:hAnsi="Arial" w:cs="Arial"/>
          <w:sz w:val="24"/>
          <w:szCs w:val="24"/>
        </w:rPr>
        <w:t>.</w:t>
      </w:r>
      <w:r w:rsidR="00196433" w:rsidRPr="00593BCE">
        <w:rPr>
          <w:rFonts w:ascii="Arial" w:hAnsi="Arial" w:cs="Arial"/>
          <w:sz w:val="24"/>
          <w:szCs w:val="24"/>
        </w:rPr>
        <w:t xml:space="preserve"> Subgroup analysis of 398</w:t>
      </w:r>
      <w:r w:rsidR="001D5410" w:rsidRPr="00593BCE">
        <w:rPr>
          <w:rFonts w:ascii="Arial" w:hAnsi="Arial" w:cs="Arial"/>
          <w:sz w:val="24"/>
          <w:szCs w:val="24"/>
        </w:rPr>
        <w:t xml:space="preserve"> patients </w:t>
      </w:r>
      <w:r w:rsidR="00C72BB3" w:rsidRPr="00593BCE">
        <w:rPr>
          <w:rFonts w:ascii="Arial" w:hAnsi="Arial" w:cs="Arial"/>
          <w:sz w:val="24"/>
          <w:szCs w:val="24"/>
        </w:rPr>
        <w:t xml:space="preserve">without </w:t>
      </w:r>
      <w:r w:rsidR="007322C6" w:rsidRPr="00593BCE">
        <w:rPr>
          <w:rFonts w:ascii="Arial" w:hAnsi="Arial" w:cs="Arial"/>
          <w:sz w:val="24"/>
          <w:szCs w:val="24"/>
        </w:rPr>
        <w:t xml:space="preserve">a </w:t>
      </w:r>
      <w:r w:rsidR="00C72BB3" w:rsidRPr="00593BCE">
        <w:rPr>
          <w:rFonts w:ascii="Arial" w:hAnsi="Arial" w:cs="Arial"/>
          <w:sz w:val="24"/>
          <w:szCs w:val="24"/>
        </w:rPr>
        <w:t>history of dementia</w:t>
      </w:r>
      <w:r w:rsidR="001D5410" w:rsidRPr="00593BCE">
        <w:rPr>
          <w:rFonts w:ascii="Arial" w:hAnsi="Arial" w:cs="Arial"/>
          <w:sz w:val="24"/>
          <w:szCs w:val="24"/>
        </w:rPr>
        <w:t xml:space="preserve"> showed </w:t>
      </w:r>
      <w:r w:rsidR="00C72BB3" w:rsidRPr="00593BCE">
        <w:rPr>
          <w:rFonts w:ascii="Arial" w:hAnsi="Arial" w:cs="Arial"/>
          <w:sz w:val="24"/>
          <w:szCs w:val="24"/>
        </w:rPr>
        <w:t>significant</w:t>
      </w:r>
      <w:r w:rsidR="001D5410" w:rsidRPr="00593BCE">
        <w:rPr>
          <w:rFonts w:ascii="Arial" w:hAnsi="Arial" w:cs="Arial"/>
          <w:sz w:val="24"/>
          <w:szCs w:val="24"/>
        </w:rPr>
        <w:t xml:space="preserve"> association</w:t>
      </w:r>
      <w:r w:rsidR="007322C6" w:rsidRPr="00593BCE">
        <w:rPr>
          <w:rFonts w:ascii="Arial" w:hAnsi="Arial" w:cs="Arial"/>
          <w:sz w:val="24"/>
          <w:szCs w:val="24"/>
        </w:rPr>
        <w:t>s</w:t>
      </w:r>
      <w:r w:rsidR="001D5410" w:rsidRPr="00593BCE">
        <w:rPr>
          <w:rFonts w:ascii="Arial" w:hAnsi="Arial" w:cs="Arial"/>
          <w:sz w:val="24"/>
          <w:szCs w:val="24"/>
        </w:rPr>
        <w:t xml:space="preserve"> between</w:t>
      </w:r>
      <w:r w:rsidR="007322C6" w:rsidRPr="00593BCE">
        <w:rPr>
          <w:rFonts w:ascii="Arial" w:hAnsi="Arial" w:cs="Arial"/>
          <w:sz w:val="24"/>
          <w:szCs w:val="24"/>
        </w:rPr>
        <w:t>:</w:t>
      </w:r>
      <w:r w:rsidR="001D5410" w:rsidRPr="00593BCE">
        <w:rPr>
          <w:rFonts w:ascii="Arial" w:hAnsi="Arial" w:cs="Arial"/>
          <w:sz w:val="24"/>
          <w:szCs w:val="24"/>
        </w:rPr>
        <w:t xml:space="preserve"> </w:t>
      </w:r>
      <w:r w:rsidR="00E025E3" w:rsidRPr="00593BCE">
        <w:rPr>
          <w:rFonts w:ascii="Arial" w:hAnsi="Arial" w:cs="Arial"/>
          <w:sz w:val="24"/>
          <w:szCs w:val="24"/>
        </w:rPr>
        <w:t xml:space="preserve">patients with </w:t>
      </w:r>
      <w:r w:rsidR="00B645EA" w:rsidRPr="00593BCE">
        <w:rPr>
          <w:rFonts w:ascii="Arial" w:hAnsi="Arial" w:cs="Arial"/>
          <w:sz w:val="24"/>
          <w:szCs w:val="24"/>
        </w:rPr>
        <w:t xml:space="preserve">a </w:t>
      </w:r>
      <w:r w:rsidR="00E025E3" w:rsidRPr="00593BCE">
        <w:rPr>
          <w:rFonts w:ascii="Arial" w:hAnsi="Arial" w:cs="Arial"/>
          <w:sz w:val="24"/>
          <w:szCs w:val="24"/>
        </w:rPr>
        <w:t>4AT</w:t>
      </w:r>
      <w:r w:rsidR="00B645EA" w:rsidRPr="00593BCE">
        <w:rPr>
          <w:rFonts w:ascii="Arial" w:hAnsi="Arial" w:cs="Arial"/>
          <w:sz w:val="24"/>
          <w:szCs w:val="24"/>
        </w:rPr>
        <w:t>score of</w:t>
      </w:r>
      <w:r w:rsidR="00E025E3" w:rsidRPr="00593BCE">
        <w:rPr>
          <w:rFonts w:ascii="Arial" w:hAnsi="Arial" w:cs="Arial"/>
          <w:sz w:val="24"/>
          <w:szCs w:val="24"/>
        </w:rPr>
        <w:t xml:space="preserve">1-3 </w:t>
      </w:r>
      <w:r w:rsidR="005A59D2" w:rsidRPr="00593BCE">
        <w:rPr>
          <w:rFonts w:ascii="Arial" w:hAnsi="Arial" w:cs="Arial"/>
          <w:sz w:val="24"/>
          <w:szCs w:val="24"/>
        </w:rPr>
        <w:t>and prolonged LOS</w:t>
      </w:r>
      <w:r w:rsidR="007322C6" w:rsidRPr="00593BCE">
        <w:rPr>
          <w:rFonts w:ascii="Arial" w:hAnsi="Arial" w:cs="Arial"/>
          <w:sz w:val="24"/>
          <w:szCs w:val="24"/>
        </w:rPr>
        <w:t>, as well as</w:t>
      </w:r>
      <w:r w:rsidR="00E025E3" w:rsidRPr="00593BCE">
        <w:rPr>
          <w:rFonts w:ascii="Arial" w:hAnsi="Arial" w:cs="Arial"/>
          <w:sz w:val="24"/>
          <w:szCs w:val="24"/>
        </w:rPr>
        <w:t xml:space="preserve"> those with</w:t>
      </w:r>
      <w:r w:rsidR="007322C6" w:rsidRPr="00593BCE">
        <w:rPr>
          <w:rFonts w:ascii="Arial" w:hAnsi="Arial" w:cs="Arial"/>
          <w:sz w:val="24"/>
          <w:szCs w:val="24"/>
        </w:rPr>
        <w:t xml:space="preserve"> </w:t>
      </w:r>
      <w:r w:rsidR="00B645EA" w:rsidRPr="00593BCE">
        <w:rPr>
          <w:rFonts w:ascii="Arial" w:hAnsi="Arial" w:cs="Arial"/>
          <w:sz w:val="24"/>
          <w:szCs w:val="24"/>
        </w:rPr>
        <w:t xml:space="preserve">a </w:t>
      </w:r>
      <w:r w:rsidR="00E025E3" w:rsidRPr="00593BCE">
        <w:rPr>
          <w:rFonts w:ascii="Arial" w:hAnsi="Arial" w:cs="Arial"/>
          <w:sz w:val="24"/>
          <w:szCs w:val="24"/>
        </w:rPr>
        <w:t>4AT</w:t>
      </w:r>
      <w:r w:rsidR="00B645EA" w:rsidRPr="00593BCE">
        <w:rPr>
          <w:rFonts w:ascii="Arial" w:hAnsi="Arial" w:cs="Arial"/>
          <w:sz w:val="24"/>
          <w:szCs w:val="24"/>
        </w:rPr>
        <w:t xml:space="preserve"> score </w:t>
      </w:r>
      <w:r w:rsidR="00E025E3" w:rsidRPr="00593BCE">
        <w:rPr>
          <w:rFonts w:ascii="Arial" w:hAnsi="Arial" w:cs="Arial"/>
          <w:sz w:val="24"/>
          <w:szCs w:val="24"/>
        </w:rPr>
        <w:t xml:space="preserve">≥4 </w:t>
      </w:r>
      <w:r w:rsidR="001D5410" w:rsidRPr="00593BCE">
        <w:rPr>
          <w:rFonts w:ascii="Arial" w:hAnsi="Arial" w:cs="Arial"/>
          <w:sz w:val="24"/>
          <w:szCs w:val="24"/>
        </w:rPr>
        <w:t xml:space="preserve">and </w:t>
      </w:r>
      <w:r w:rsidR="005A59D2" w:rsidRPr="00593BCE">
        <w:rPr>
          <w:rFonts w:ascii="Arial" w:hAnsi="Arial" w:cs="Arial"/>
          <w:sz w:val="24"/>
          <w:szCs w:val="24"/>
        </w:rPr>
        <w:t>immobility</w:t>
      </w:r>
      <w:r w:rsidR="005B7C25" w:rsidRPr="00593BCE">
        <w:rPr>
          <w:rFonts w:ascii="Arial" w:hAnsi="Arial" w:cs="Arial"/>
          <w:sz w:val="24"/>
          <w:szCs w:val="24"/>
        </w:rPr>
        <w:t>,</w:t>
      </w:r>
      <w:r w:rsidR="007322C6" w:rsidRPr="00593BCE">
        <w:rPr>
          <w:rFonts w:ascii="Arial" w:hAnsi="Arial" w:cs="Arial"/>
          <w:sz w:val="24"/>
          <w:szCs w:val="24"/>
        </w:rPr>
        <w:t xml:space="preserve"> </w:t>
      </w:r>
      <w:r w:rsidR="005A59D2" w:rsidRPr="00593BCE">
        <w:rPr>
          <w:rFonts w:ascii="Arial" w:hAnsi="Arial" w:cs="Arial"/>
          <w:sz w:val="24"/>
          <w:szCs w:val="24"/>
        </w:rPr>
        <w:t xml:space="preserve">mortality and change in residence </w:t>
      </w:r>
      <w:r w:rsidR="00C72BB3" w:rsidRPr="00593BCE">
        <w:rPr>
          <w:rFonts w:ascii="Arial" w:hAnsi="Arial" w:cs="Arial"/>
          <w:sz w:val="24"/>
          <w:szCs w:val="24"/>
        </w:rPr>
        <w:t>(</w:t>
      </w:r>
      <w:r w:rsidR="00C72BB3" w:rsidRPr="00593BCE">
        <w:rPr>
          <w:rFonts w:ascii="Arial" w:hAnsi="Arial" w:cs="Arial"/>
          <w:b/>
          <w:sz w:val="24"/>
          <w:szCs w:val="24"/>
        </w:rPr>
        <w:t xml:space="preserve">Table </w:t>
      </w:r>
      <w:r w:rsidR="00353668" w:rsidRPr="00593BCE">
        <w:rPr>
          <w:rFonts w:ascii="Arial" w:hAnsi="Arial" w:cs="Arial"/>
          <w:b/>
          <w:sz w:val="24"/>
          <w:szCs w:val="24"/>
        </w:rPr>
        <w:t>3</w:t>
      </w:r>
      <w:r w:rsidR="00C72BB3" w:rsidRPr="00593BCE">
        <w:rPr>
          <w:rFonts w:ascii="Arial" w:hAnsi="Arial" w:cs="Arial"/>
          <w:sz w:val="24"/>
          <w:szCs w:val="24"/>
        </w:rPr>
        <w:t>)</w:t>
      </w:r>
      <w:r w:rsidR="001D5410" w:rsidRPr="00593BCE">
        <w:rPr>
          <w:rFonts w:ascii="Arial" w:hAnsi="Arial" w:cs="Arial"/>
          <w:sz w:val="24"/>
          <w:szCs w:val="24"/>
        </w:rPr>
        <w:t>.</w:t>
      </w:r>
    </w:p>
    <w:p w14:paraId="37419A00" w14:textId="77777777" w:rsidR="009960AF" w:rsidRPr="00593BCE" w:rsidRDefault="009960AF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ABDB0CA" w14:textId="77777777" w:rsidR="00BF62BC" w:rsidRPr="00593BCE" w:rsidRDefault="00BF62BC" w:rsidP="004F7E7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t>DISCUSSION</w:t>
      </w:r>
    </w:p>
    <w:p w14:paraId="0A341778" w14:textId="29B10CBE" w:rsidR="00E93FBA" w:rsidRPr="00593BCE" w:rsidRDefault="00C6156C" w:rsidP="004F7E7F">
      <w:pPr>
        <w:spacing w:after="0" w:line="480" w:lineRule="auto"/>
        <w:jc w:val="both"/>
        <w:rPr>
          <w:rFonts w:ascii="Arial" w:hAnsi="Arial" w:cs="Arial"/>
          <w:i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>The present study</w:t>
      </w:r>
      <w:r w:rsidR="00250DB2" w:rsidRPr="00593BCE">
        <w:rPr>
          <w:rFonts w:ascii="Arial" w:hAnsi="Arial" w:cs="Arial"/>
          <w:sz w:val="24"/>
          <w:szCs w:val="24"/>
        </w:rPr>
        <w:t xml:space="preserve">, </w:t>
      </w:r>
      <w:r w:rsidR="00F278D7" w:rsidRPr="00593BCE">
        <w:rPr>
          <w:rFonts w:ascii="Arial" w:hAnsi="Arial" w:cs="Arial"/>
          <w:sz w:val="24"/>
          <w:szCs w:val="24"/>
        </w:rPr>
        <w:t>w</w:t>
      </w:r>
      <w:r w:rsidR="00250DB2" w:rsidRPr="00593BCE">
        <w:rPr>
          <w:rFonts w:ascii="Arial" w:hAnsi="Arial" w:cs="Arial"/>
          <w:sz w:val="24"/>
          <w:szCs w:val="24"/>
        </w:rPr>
        <w:t>ith the novel 4AT tool</w:t>
      </w:r>
      <w:r w:rsidR="00F278D7" w:rsidRPr="00593BCE">
        <w:rPr>
          <w:rFonts w:ascii="Arial" w:hAnsi="Arial" w:cs="Arial"/>
          <w:sz w:val="24"/>
          <w:szCs w:val="24"/>
        </w:rPr>
        <w:t>,</w:t>
      </w:r>
      <w:r w:rsidRPr="00593BCE">
        <w:rPr>
          <w:rFonts w:ascii="Arial" w:hAnsi="Arial" w:cs="Arial"/>
          <w:sz w:val="24"/>
          <w:szCs w:val="24"/>
        </w:rPr>
        <w:t xml:space="preserve"> </w:t>
      </w:r>
      <w:r w:rsidR="00CF32EB" w:rsidRPr="00593BCE">
        <w:rPr>
          <w:rFonts w:ascii="Arial" w:hAnsi="Arial" w:cs="Arial"/>
          <w:sz w:val="24"/>
          <w:szCs w:val="24"/>
        </w:rPr>
        <w:t>has identified a number of</w:t>
      </w:r>
      <w:r w:rsidR="00BD0D83" w:rsidRPr="00593BCE">
        <w:rPr>
          <w:rFonts w:ascii="Arial" w:hAnsi="Arial" w:cs="Arial"/>
          <w:sz w:val="24"/>
          <w:szCs w:val="24"/>
        </w:rPr>
        <w:t xml:space="preserve"> </w:t>
      </w:r>
      <w:r w:rsidR="00CF32EB" w:rsidRPr="00593BCE">
        <w:rPr>
          <w:rFonts w:ascii="Arial" w:hAnsi="Arial" w:cs="Arial"/>
          <w:sz w:val="24"/>
          <w:szCs w:val="24"/>
        </w:rPr>
        <w:t xml:space="preserve">unfavourable </w:t>
      </w:r>
      <w:r w:rsidR="00BD0D83" w:rsidRPr="00593BCE">
        <w:rPr>
          <w:rFonts w:ascii="Arial" w:hAnsi="Arial" w:cs="Arial"/>
          <w:sz w:val="24"/>
          <w:szCs w:val="24"/>
        </w:rPr>
        <w:t xml:space="preserve">outcome </w:t>
      </w:r>
      <w:r w:rsidR="00D06DF8" w:rsidRPr="00593BCE">
        <w:rPr>
          <w:rFonts w:ascii="Arial" w:hAnsi="Arial" w:cs="Arial"/>
          <w:sz w:val="24"/>
          <w:szCs w:val="24"/>
        </w:rPr>
        <w:t xml:space="preserve">measures </w:t>
      </w:r>
      <w:r w:rsidR="00BD0D83" w:rsidRPr="00593BCE">
        <w:rPr>
          <w:rFonts w:ascii="Arial" w:hAnsi="Arial" w:cs="Arial"/>
          <w:sz w:val="24"/>
          <w:szCs w:val="24"/>
        </w:rPr>
        <w:t xml:space="preserve">after </w:t>
      </w:r>
      <w:r w:rsidR="00A1566F" w:rsidRPr="00593BCE">
        <w:rPr>
          <w:rFonts w:ascii="Arial" w:hAnsi="Arial" w:cs="Arial"/>
          <w:sz w:val="24"/>
          <w:szCs w:val="24"/>
        </w:rPr>
        <w:t xml:space="preserve">an </w:t>
      </w:r>
      <w:r w:rsidR="00BD0D83" w:rsidRPr="00593BCE">
        <w:rPr>
          <w:rFonts w:ascii="Arial" w:hAnsi="Arial" w:cs="Arial"/>
          <w:sz w:val="24"/>
          <w:szCs w:val="24"/>
        </w:rPr>
        <w:t>operation</w:t>
      </w:r>
      <w:r w:rsidR="00A1566F" w:rsidRPr="00593BCE">
        <w:rPr>
          <w:rFonts w:ascii="Arial" w:hAnsi="Arial" w:cs="Arial"/>
          <w:sz w:val="24"/>
          <w:szCs w:val="24"/>
        </w:rPr>
        <w:t xml:space="preserve"> for a fractured hip</w:t>
      </w:r>
      <w:r w:rsidR="00BD0D83" w:rsidRPr="00593BCE">
        <w:rPr>
          <w:rFonts w:ascii="Arial" w:hAnsi="Arial" w:cs="Arial"/>
          <w:sz w:val="24"/>
          <w:szCs w:val="24"/>
        </w:rPr>
        <w:t>. P</w:t>
      </w:r>
      <w:r w:rsidR="00623AA1" w:rsidRPr="00593BCE">
        <w:rPr>
          <w:rFonts w:ascii="Arial" w:hAnsi="Arial" w:cs="Arial"/>
          <w:sz w:val="24"/>
          <w:szCs w:val="24"/>
        </w:rPr>
        <w:t xml:space="preserve">atients with </w:t>
      </w:r>
      <w:r w:rsidR="00F21485" w:rsidRPr="00593BCE">
        <w:rPr>
          <w:rFonts w:ascii="Arial" w:hAnsi="Arial" w:cs="Arial"/>
          <w:sz w:val="24"/>
          <w:szCs w:val="24"/>
        </w:rPr>
        <w:t xml:space="preserve">a </w:t>
      </w:r>
      <w:r w:rsidR="00D00933" w:rsidRPr="00593BCE">
        <w:rPr>
          <w:rFonts w:ascii="Arial" w:hAnsi="Arial" w:cs="Arial"/>
          <w:sz w:val="24"/>
          <w:szCs w:val="24"/>
        </w:rPr>
        <w:t>4AT</w:t>
      </w:r>
      <w:r w:rsidR="00D052C2" w:rsidRPr="00593BCE">
        <w:rPr>
          <w:rFonts w:ascii="Arial" w:hAnsi="Arial" w:cs="Arial"/>
          <w:sz w:val="24"/>
          <w:szCs w:val="24"/>
        </w:rPr>
        <w:t xml:space="preserve"> score of </w:t>
      </w:r>
      <w:r w:rsidRPr="00593BCE">
        <w:rPr>
          <w:rFonts w:ascii="Arial" w:hAnsi="Arial" w:cs="Arial"/>
          <w:sz w:val="24"/>
          <w:szCs w:val="24"/>
        </w:rPr>
        <w:t xml:space="preserve">1-3 </w:t>
      </w:r>
      <w:r w:rsidR="00623AA1" w:rsidRPr="00593BCE">
        <w:rPr>
          <w:rFonts w:ascii="Arial" w:hAnsi="Arial" w:cs="Arial"/>
          <w:sz w:val="24"/>
          <w:szCs w:val="24"/>
        </w:rPr>
        <w:t xml:space="preserve">had </w:t>
      </w:r>
      <w:r w:rsidR="00F278D7" w:rsidRPr="00593BCE">
        <w:rPr>
          <w:rFonts w:ascii="Arial" w:hAnsi="Arial" w:cs="Arial"/>
          <w:sz w:val="24"/>
          <w:szCs w:val="24"/>
        </w:rPr>
        <w:t xml:space="preserve">a </w:t>
      </w:r>
      <w:r w:rsidR="00880A9F" w:rsidRPr="00593BCE">
        <w:rPr>
          <w:rFonts w:ascii="Arial" w:hAnsi="Arial" w:cs="Arial"/>
          <w:sz w:val="24"/>
          <w:szCs w:val="24"/>
        </w:rPr>
        <w:t>2.5-fold increase</w:t>
      </w:r>
      <w:r w:rsidR="00D052C2" w:rsidRPr="00593BCE">
        <w:rPr>
          <w:rFonts w:ascii="Arial" w:hAnsi="Arial" w:cs="Arial"/>
          <w:sz w:val="24"/>
          <w:szCs w:val="24"/>
        </w:rPr>
        <w:t>d</w:t>
      </w:r>
      <w:r w:rsidR="00623AA1" w:rsidRPr="00593BCE">
        <w:rPr>
          <w:rFonts w:ascii="Arial" w:hAnsi="Arial" w:cs="Arial"/>
          <w:sz w:val="24"/>
          <w:szCs w:val="24"/>
        </w:rPr>
        <w:t xml:space="preserve"> risk of</w:t>
      </w:r>
      <w:r w:rsidR="008340DE" w:rsidRPr="00593BCE">
        <w:rPr>
          <w:rFonts w:ascii="Arial" w:hAnsi="Arial" w:cs="Arial"/>
          <w:sz w:val="24"/>
          <w:szCs w:val="24"/>
        </w:rPr>
        <w:t xml:space="preserve"> </w:t>
      </w:r>
      <w:r w:rsidR="00880A9F" w:rsidRPr="00593BCE">
        <w:rPr>
          <w:rFonts w:ascii="Arial" w:hAnsi="Arial" w:cs="Arial"/>
          <w:sz w:val="24"/>
          <w:szCs w:val="24"/>
        </w:rPr>
        <w:t>prolonged LOS</w:t>
      </w:r>
      <w:r w:rsidR="00F278D7" w:rsidRPr="00593BCE">
        <w:rPr>
          <w:rFonts w:ascii="Arial" w:hAnsi="Arial" w:cs="Arial"/>
          <w:sz w:val="24"/>
          <w:szCs w:val="24"/>
        </w:rPr>
        <w:t>.</w:t>
      </w:r>
      <w:r w:rsidR="00066287" w:rsidRPr="00593BCE">
        <w:rPr>
          <w:rFonts w:ascii="Arial" w:hAnsi="Arial" w:cs="Arial"/>
          <w:sz w:val="24"/>
          <w:szCs w:val="24"/>
        </w:rPr>
        <w:t xml:space="preserve"> </w:t>
      </w:r>
      <w:r w:rsidR="00F278D7" w:rsidRPr="00593BCE">
        <w:rPr>
          <w:rFonts w:ascii="Arial" w:hAnsi="Arial" w:cs="Arial"/>
          <w:sz w:val="24"/>
          <w:szCs w:val="24"/>
        </w:rPr>
        <w:t>P</w:t>
      </w:r>
      <w:r w:rsidR="00880A9F" w:rsidRPr="00593BCE">
        <w:rPr>
          <w:rFonts w:ascii="Arial" w:hAnsi="Arial" w:cs="Arial"/>
          <w:sz w:val="24"/>
          <w:szCs w:val="24"/>
        </w:rPr>
        <w:t>atients</w:t>
      </w:r>
      <w:r w:rsidR="006771B0" w:rsidRPr="00593BCE">
        <w:rPr>
          <w:rFonts w:ascii="Arial" w:hAnsi="Arial" w:cs="Arial"/>
          <w:sz w:val="24"/>
          <w:szCs w:val="24"/>
        </w:rPr>
        <w:t xml:space="preserve"> with </w:t>
      </w:r>
      <w:r w:rsidR="00D052C2" w:rsidRPr="00593BCE">
        <w:rPr>
          <w:rFonts w:ascii="Arial" w:hAnsi="Arial" w:cs="Arial"/>
          <w:sz w:val="24"/>
          <w:szCs w:val="24"/>
        </w:rPr>
        <w:t xml:space="preserve">a </w:t>
      </w:r>
      <w:r w:rsidR="00D25BAA" w:rsidRPr="00593BCE">
        <w:rPr>
          <w:rFonts w:ascii="Arial" w:hAnsi="Arial" w:cs="Arial"/>
          <w:sz w:val="24"/>
          <w:szCs w:val="24"/>
        </w:rPr>
        <w:t>4AT</w:t>
      </w:r>
      <w:r w:rsidR="00D052C2" w:rsidRPr="00593BCE">
        <w:rPr>
          <w:rFonts w:ascii="Arial" w:hAnsi="Arial" w:cs="Arial"/>
          <w:sz w:val="24"/>
          <w:szCs w:val="24"/>
        </w:rPr>
        <w:t xml:space="preserve"> score </w:t>
      </w:r>
      <w:r w:rsidRPr="00593BCE">
        <w:rPr>
          <w:rFonts w:ascii="Arial" w:hAnsi="Arial" w:cs="Arial"/>
          <w:sz w:val="24"/>
          <w:szCs w:val="24"/>
        </w:rPr>
        <w:t xml:space="preserve">≥4 </w:t>
      </w:r>
      <w:r w:rsidR="00623AA1" w:rsidRPr="00593BCE">
        <w:rPr>
          <w:rFonts w:ascii="Arial" w:hAnsi="Arial" w:cs="Arial"/>
          <w:sz w:val="24"/>
          <w:szCs w:val="24"/>
        </w:rPr>
        <w:t xml:space="preserve">had </w:t>
      </w:r>
      <w:r w:rsidR="00880A9F" w:rsidRPr="00593BCE">
        <w:rPr>
          <w:rFonts w:ascii="Arial" w:hAnsi="Arial" w:cs="Arial"/>
          <w:sz w:val="24"/>
          <w:szCs w:val="24"/>
        </w:rPr>
        <w:t>2.5</w:t>
      </w:r>
      <w:r w:rsidR="00F278D7" w:rsidRPr="00593BCE">
        <w:rPr>
          <w:rFonts w:ascii="Arial" w:hAnsi="Arial" w:cs="Arial"/>
          <w:sz w:val="24"/>
          <w:szCs w:val="24"/>
        </w:rPr>
        <w:t>-</w:t>
      </w:r>
      <w:r w:rsidR="00880A9F" w:rsidRPr="00593BCE">
        <w:rPr>
          <w:rFonts w:ascii="Arial" w:hAnsi="Arial" w:cs="Arial"/>
          <w:sz w:val="24"/>
          <w:szCs w:val="24"/>
        </w:rPr>
        <w:t xml:space="preserve"> to 3.</w:t>
      </w:r>
      <w:r w:rsidR="00F278D7" w:rsidRPr="00593BCE">
        <w:rPr>
          <w:rFonts w:ascii="Arial" w:hAnsi="Arial" w:cs="Arial"/>
          <w:sz w:val="24"/>
          <w:szCs w:val="24"/>
        </w:rPr>
        <w:t>5-</w:t>
      </w:r>
      <w:r w:rsidR="00880A9F" w:rsidRPr="00593BCE">
        <w:rPr>
          <w:rFonts w:ascii="Arial" w:hAnsi="Arial" w:cs="Arial"/>
          <w:sz w:val="24"/>
          <w:szCs w:val="24"/>
        </w:rPr>
        <w:t>fold increase</w:t>
      </w:r>
      <w:r w:rsidR="00F278D7" w:rsidRPr="00593BCE">
        <w:rPr>
          <w:rFonts w:ascii="Arial" w:hAnsi="Arial" w:cs="Arial"/>
          <w:sz w:val="24"/>
          <w:szCs w:val="24"/>
        </w:rPr>
        <w:t>s</w:t>
      </w:r>
      <w:r w:rsidR="00880A9F" w:rsidRPr="00593BCE">
        <w:rPr>
          <w:rFonts w:ascii="Arial" w:hAnsi="Arial" w:cs="Arial"/>
          <w:sz w:val="24"/>
          <w:szCs w:val="24"/>
        </w:rPr>
        <w:t xml:space="preserve"> in</w:t>
      </w:r>
      <w:r w:rsidR="00623AA1" w:rsidRPr="00593BCE">
        <w:rPr>
          <w:rFonts w:ascii="Arial" w:hAnsi="Arial" w:cs="Arial"/>
          <w:sz w:val="24"/>
          <w:szCs w:val="24"/>
        </w:rPr>
        <w:t xml:space="preserve"> risk</w:t>
      </w:r>
      <w:r w:rsidR="00D052C2" w:rsidRPr="00593BCE">
        <w:rPr>
          <w:rFonts w:ascii="Arial" w:hAnsi="Arial" w:cs="Arial"/>
          <w:sz w:val="24"/>
          <w:szCs w:val="24"/>
        </w:rPr>
        <w:t>s</w:t>
      </w:r>
      <w:r w:rsidR="00623AA1" w:rsidRPr="00593BCE">
        <w:rPr>
          <w:rFonts w:ascii="Arial" w:hAnsi="Arial" w:cs="Arial"/>
          <w:sz w:val="24"/>
          <w:szCs w:val="24"/>
        </w:rPr>
        <w:t xml:space="preserve"> of</w:t>
      </w:r>
      <w:r w:rsidR="00E57A3B" w:rsidRPr="00593BCE">
        <w:rPr>
          <w:rFonts w:ascii="Arial" w:hAnsi="Arial" w:cs="Arial"/>
          <w:sz w:val="24"/>
          <w:szCs w:val="24"/>
        </w:rPr>
        <w:t xml:space="preserve"> </w:t>
      </w:r>
      <w:r w:rsidR="00683B23" w:rsidRPr="00593BCE">
        <w:rPr>
          <w:rFonts w:ascii="Arial" w:hAnsi="Arial" w:cs="Arial"/>
          <w:sz w:val="24"/>
          <w:szCs w:val="24"/>
        </w:rPr>
        <w:t xml:space="preserve">immobility, </w:t>
      </w:r>
      <w:r w:rsidRPr="00593BCE">
        <w:rPr>
          <w:rFonts w:ascii="Arial" w:hAnsi="Arial" w:cs="Arial"/>
          <w:sz w:val="24"/>
          <w:szCs w:val="24"/>
        </w:rPr>
        <w:t xml:space="preserve">prolonged </w:t>
      </w:r>
      <w:r w:rsidR="00E93FBA" w:rsidRPr="00593BCE">
        <w:rPr>
          <w:rFonts w:ascii="Arial" w:hAnsi="Arial" w:cs="Arial"/>
          <w:sz w:val="24"/>
          <w:szCs w:val="24"/>
        </w:rPr>
        <w:t>LOS</w:t>
      </w:r>
      <w:r w:rsidR="006771B0" w:rsidRPr="00593BCE">
        <w:rPr>
          <w:rFonts w:ascii="Arial" w:hAnsi="Arial" w:cs="Arial"/>
          <w:sz w:val="24"/>
          <w:szCs w:val="24"/>
        </w:rPr>
        <w:t xml:space="preserve"> and </w:t>
      </w:r>
      <w:r w:rsidR="00E93FBA" w:rsidRPr="00593BCE">
        <w:rPr>
          <w:rFonts w:ascii="Arial" w:hAnsi="Arial" w:cs="Arial"/>
          <w:sz w:val="24"/>
          <w:szCs w:val="24"/>
        </w:rPr>
        <w:t>mortality in hospital</w:t>
      </w:r>
      <w:r w:rsidR="006771B0" w:rsidRPr="00593BCE">
        <w:rPr>
          <w:rFonts w:ascii="Arial" w:hAnsi="Arial" w:cs="Arial"/>
          <w:sz w:val="24"/>
          <w:szCs w:val="24"/>
        </w:rPr>
        <w:t xml:space="preserve"> </w:t>
      </w:r>
      <w:r w:rsidR="00D052C2" w:rsidRPr="00593BCE">
        <w:rPr>
          <w:rFonts w:ascii="Arial" w:hAnsi="Arial" w:cs="Arial"/>
          <w:sz w:val="24"/>
          <w:szCs w:val="24"/>
        </w:rPr>
        <w:t xml:space="preserve">after their hip operation, </w:t>
      </w:r>
      <w:r w:rsidR="006771B0" w:rsidRPr="00593BCE">
        <w:rPr>
          <w:rFonts w:ascii="Arial" w:hAnsi="Arial" w:cs="Arial"/>
          <w:sz w:val="24"/>
          <w:szCs w:val="24"/>
        </w:rPr>
        <w:t xml:space="preserve">as well as being discharged </w:t>
      </w:r>
      <w:r w:rsidR="000F27F9" w:rsidRPr="00593BCE">
        <w:rPr>
          <w:rFonts w:ascii="Arial" w:hAnsi="Arial" w:cs="Arial"/>
          <w:sz w:val="24"/>
          <w:szCs w:val="24"/>
        </w:rPr>
        <w:t xml:space="preserve">to </w:t>
      </w:r>
      <w:r w:rsidR="006329A1" w:rsidRPr="00593BCE">
        <w:rPr>
          <w:rFonts w:ascii="Arial" w:hAnsi="Arial" w:cs="Arial"/>
          <w:sz w:val="24"/>
          <w:szCs w:val="24"/>
        </w:rPr>
        <w:t xml:space="preserve">places where </w:t>
      </w:r>
      <w:r w:rsidR="00A17742" w:rsidRPr="00593BCE">
        <w:rPr>
          <w:rFonts w:ascii="Arial" w:hAnsi="Arial" w:cs="Arial"/>
          <w:sz w:val="24"/>
          <w:szCs w:val="24"/>
        </w:rPr>
        <w:t>more</w:t>
      </w:r>
      <w:r w:rsidR="006329A1" w:rsidRPr="00593BCE">
        <w:rPr>
          <w:rFonts w:ascii="Arial" w:hAnsi="Arial" w:cs="Arial"/>
          <w:sz w:val="24"/>
          <w:szCs w:val="24"/>
        </w:rPr>
        <w:t xml:space="preserve"> care support is provided</w:t>
      </w:r>
      <w:r w:rsidR="00F278D7" w:rsidRPr="00593BCE">
        <w:rPr>
          <w:rFonts w:ascii="Arial" w:hAnsi="Arial" w:cs="Arial"/>
          <w:sz w:val="24"/>
          <w:szCs w:val="24"/>
        </w:rPr>
        <w:t>.</w:t>
      </w:r>
      <w:r w:rsidR="00D723B0" w:rsidRPr="00593BCE">
        <w:rPr>
          <w:rFonts w:ascii="Arial" w:hAnsi="Arial" w:cs="Arial"/>
          <w:sz w:val="24"/>
          <w:szCs w:val="24"/>
        </w:rPr>
        <w:t xml:space="preserve"> </w:t>
      </w:r>
      <w:r w:rsidR="00F278D7" w:rsidRPr="00593BCE">
        <w:rPr>
          <w:rFonts w:ascii="Arial" w:hAnsi="Arial" w:cs="Arial"/>
          <w:sz w:val="24"/>
          <w:szCs w:val="24"/>
        </w:rPr>
        <w:t xml:space="preserve">These increased risks were </w:t>
      </w:r>
      <w:r w:rsidR="007F4988" w:rsidRPr="00593BCE">
        <w:rPr>
          <w:rFonts w:ascii="Arial" w:hAnsi="Arial" w:cs="Arial"/>
          <w:sz w:val="24"/>
          <w:szCs w:val="24"/>
        </w:rPr>
        <w:t>independent of age, sex</w:t>
      </w:r>
      <w:r w:rsidR="00E951CD" w:rsidRPr="00593BCE">
        <w:rPr>
          <w:rFonts w:ascii="Arial" w:hAnsi="Arial" w:cs="Arial"/>
          <w:sz w:val="24"/>
          <w:szCs w:val="24"/>
        </w:rPr>
        <w:t xml:space="preserve">, </w:t>
      </w:r>
      <w:r w:rsidR="006771B0" w:rsidRPr="00593BCE">
        <w:rPr>
          <w:rFonts w:ascii="Arial" w:hAnsi="Arial" w:cs="Arial"/>
          <w:sz w:val="24"/>
          <w:szCs w:val="24"/>
        </w:rPr>
        <w:t xml:space="preserve">nutritional status, </w:t>
      </w:r>
      <w:r w:rsidR="009D7B65" w:rsidRPr="00593BCE">
        <w:rPr>
          <w:rFonts w:ascii="Arial" w:hAnsi="Arial" w:cs="Arial"/>
          <w:sz w:val="24"/>
          <w:szCs w:val="24"/>
        </w:rPr>
        <w:t xml:space="preserve">co-morbidities including dementia and medications including </w:t>
      </w:r>
      <w:r w:rsidR="00F278D7" w:rsidRPr="00593BCE">
        <w:rPr>
          <w:rFonts w:ascii="Arial" w:hAnsi="Arial" w:cs="Arial"/>
          <w:sz w:val="24"/>
          <w:szCs w:val="24"/>
        </w:rPr>
        <w:t xml:space="preserve">a raised </w:t>
      </w:r>
      <w:r w:rsidR="00132F47" w:rsidRPr="00593BCE">
        <w:rPr>
          <w:rFonts w:ascii="Arial" w:hAnsi="Arial" w:cs="Arial"/>
          <w:sz w:val="24"/>
          <w:szCs w:val="24"/>
        </w:rPr>
        <w:t>ACB</w:t>
      </w:r>
      <w:r w:rsidR="009D7B65" w:rsidRPr="00593BCE">
        <w:rPr>
          <w:rFonts w:ascii="Arial" w:hAnsi="Arial" w:cs="Arial"/>
          <w:sz w:val="24"/>
          <w:szCs w:val="24"/>
        </w:rPr>
        <w:t>.</w:t>
      </w:r>
      <w:r w:rsidR="00382C74" w:rsidRPr="00593BCE">
        <w:rPr>
          <w:rFonts w:ascii="Arial" w:hAnsi="Arial" w:cs="Arial"/>
          <w:sz w:val="24"/>
          <w:szCs w:val="24"/>
        </w:rPr>
        <w:t xml:space="preserve"> LOS</w:t>
      </w:r>
      <w:r w:rsidR="00D052C2" w:rsidRPr="00593BCE">
        <w:rPr>
          <w:rFonts w:ascii="Arial" w:hAnsi="Arial" w:cs="Arial"/>
          <w:sz w:val="24"/>
          <w:szCs w:val="24"/>
        </w:rPr>
        <w:t xml:space="preserve"> increased</w:t>
      </w:r>
      <w:r w:rsidR="00382C74" w:rsidRPr="00593BCE">
        <w:rPr>
          <w:rFonts w:ascii="Arial" w:hAnsi="Arial" w:cs="Arial"/>
          <w:sz w:val="24"/>
          <w:szCs w:val="24"/>
        </w:rPr>
        <w:t xml:space="preserve"> by </w:t>
      </w:r>
      <w:r w:rsidR="00F278D7" w:rsidRPr="00593BCE">
        <w:rPr>
          <w:rFonts w:ascii="Arial" w:hAnsi="Arial" w:cs="Arial"/>
          <w:sz w:val="24"/>
          <w:szCs w:val="24"/>
        </w:rPr>
        <w:t xml:space="preserve">three </w:t>
      </w:r>
      <w:r w:rsidR="00382C74" w:rsidRPr="00593BCE">
        <w:rPr>
          <w:rFonts w:ascii="Arial" w:hAnsi="Arial" w:cs="Arial"/>
          <w:sz w:val="24"/>
          <w:szCs w:val="24"/>
        </w:rPr>
        <w:t xml:space="preserve">and </w:t>
      </w:r>
      <w:r w:rsidR="00F278D7" w:rsidRPr="00593BCE">
        <w:rPr>
          <w:rFonts w:ascii="Arial" w:hAnsi="Arial" w:cs="Arial"/>
          <w:sz w:val="24"/>
          <w:szCs w:val="24"/>
        </w:rPr>
        <w:t>six days</w:t>
      </w:r>
      <w:r w:rsidR="005731DE" w:rsidRPr="00593BCE">
        <w:rPr>
          <w:rFonts w:ascii="Arial" w:hAnsi="Arial" w:cs="Arial"/>
          <w:sz w:val="24"/>
          <w:szCs w:val="24"/>
        </w:rPr>
        <w:t xml:space="preserve">, for patients </w:t>
      </w:r>
      <w:r w:rsidR="00D052C2" w:rsidRPr="00593BCE">
        <w:rPr>
          <w:rFonts w:ascii="Arial" w:hAnsi="Arial" w:cs="Arial"/>
          <w:sz w:val="24"/>
          <w:szCs w:val="24"/>
        </w:rPr>
        <w:t>with 4AT scores of 1-3 or ≥4</w:t>
      </w:r>
      <w:r w:rsidR="005731DE" w:rsidRPr="00593BCE">
        <w:rPr>
          <w:rFonts w:ascii="Arial" w:hAnsi="Arial" w:cs="Arial"/>
          <w:sz w:val="24"/>
          <w:szCs w:val="24"/>
        </w:rPr>
        <w:t>,</w:t>
      </w:r>
      <w:r w:rsidR="001F1947" w:rsidRPr="00593BCE">
        <w:rPr>
          <w:rFonts w:ascii="Arial" w:hAnsi="Arial" w:cs="Arial"/>
          <w:sz w:val="24"/>
          <w:szCs w:val="24"/>
        </w:rPr>
        <w:t xml:space="preserve"> </w:t>
      </w:r>
      <w:r w:rsidR="005731DE" w:rsidRPr="00593BCE">
        <w:rPr>
          <w:rFonts w:ascii="Arial" w:hAnsi="Arial" w:cs="Arial"/>
          <w:sz w:val="24"/>
          <w:szCs w:val="24"/>
        </w:rPr>
        <w:t>respectively</w:t>
      </w:r>
    </w:p>
    <w:p w14:paraId="0B750128" w14:textId="77777777" w:rsidR="00C6156C" w:rsidRPr="00593BCE" w:rsidRDefault="00C6156C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8D94A2E" w14:textId="453A2BB9" w:rsidR="00AC0DC7" w:rsidRPr="00593BCE" w:rsidRDefault="00380E87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 xml:space="preserve">The proportion of patients with </w:t>
      </w:r>
      <w:r w:rsidR="005731DE" w:rsidRPr="00593BCE">
        <w:rPr>
          <w:rFonts w:ascii="Arial" w:hAnsi="Arial" w:cs="Arial"/>
          <w:sz w:val="24"/>
          <w:szCs w:val="24"/>
        </w:rPr>
        <w:t xml:space="preserve">a </w:t>
      </w:r>
      <w:r w:rsidR="000E4037" w:rsidRPr="00593BCE">
        <w:rPr>
          <w:rFonts w:ascii="Arial" w:hAnsi="Arial" w:cs="Arial"/>
          <w:sz w:val="24"/>
          <w:szCs w:val="24"/>
        </w:rPr>
        <w:t>4AT</w:t>
      </w:r>
      <w:r w:rsidR="005731DE" w:rsidRPr="00593BCE">
        <w:rPr>
          <w:rFonts w:ascii="Arial" w:hAnsi="Arial" w:cs="Arial"/>
          <w:sz w:val="24"/>
          <w:szCs w:val="24"/>
        </w:rPr>
        <w:t xml:space="preserve"> score </w:t>
      </w:r>
      <w:r w:rsidR="000E4037" w:rsidRPr="00593BCE">
        <w:rPr>
          <w:rFonts w:ascii="Arial" w:hAnsi="Arial" w:cs="Arial"/>
          <w:sz w:val="24"/>
          <w:szCs w:val="24"/>
        </w:rPr>
        <w:t xml:space="preserve">≥4 </w:t>
      </w:r>
      <w:r w:rsidR="008340DE" w:rsidRPr="00593BCE">
        <w:rPr>
          <w:rFonts w:ascii="Arial" w:hAnsi="Arial" w:cs="Arial"/>
          <w:sz w:val="24"/>
          <w:szCs w:val="24"/>
        </w:rPr>
        <w:t xml:space="preserve">of </w:t>
      </w:r>
      <w:r w:rsidRPr="00593BCE">
        <w:rPr>
          <w:rFonts w:ascii="Arial" w:hAnsi="Arial" w:cs="Arial"/>
          <w:sz w:val="24"/>
          <w:szCs w:val="24"/>
        </w:rPr>
        <w:t>20.</w:t>
      </w:r>
      <w:r w:rsidR="00B36843" w:rsidRPr="00593BCE">
        <w:rPr>
          <w:rFonts w:ascii="Arial" w:hAnsi="Arial" w:cs="Arial"/>
          <w:sz w:val="24"/>
          <w:szCs w:val="24"/>
        </w:rPr>
        <w:t>1</w:t>
      </w:r>
      <w:r w:rsidRPr="00593BCE">
        <w:rPr>
          <w:rFonts w:ascii="Arial" w:hAnsi="Arial" w:cs="Arial"/>
          <w:sz w:val="24"/>
          <w:szCs w:val="24"/>
        </w:rPr>
        <w:t xml:space="preserve">% in our study is similar to figures reported by Bellelli </w:t>
      </w:r>
      <w:r w:rsidRPr="00593BCE">
        <w:rPr>
          <w:rFonts w:ascii="Arial" w:hAnsi="Arial" w:cs="Arial"/>
          <w:i/>
          <w:sz w:val="24"/>
          <w:szCs w:val="24"/>
        </w:rPr>
        <w:t xml:space="preserve">et </w:t>
      </w:r>
      <w:r w:rsidR="005238F6" w:rsidRPr="00593BCE">
        <w:rPr>
          <w:rFonts w:ascii="Arial" w:hAnsi="Arial" w:cs="Arial"/>
          <w:i/>
          <w:sz w:val="24"/>
          <w:szCs w:val="24"/>
        </w:rPr>
        <w:t>al</w:t>
      </w:r>
      <w:r w:rsidR="005D0962" w:rsidRPr="00593BCE">
        <w:rPr>
          <w:rFonts w:ascii="Arial" w:hAnsi="Arial" w:cs="Arial"/>
          <w:sz w:val="24"/>
          <w:szCs w:val="24"/>
        </w:rPr>
        <w:t xml:space="preserve"> [4]</w:t>
      </w:r>
      <w:r w:rsidR="005731DE" w:rsidRPr="00593BCE">
        <w:rPr>
          <w:rFonts w:ascii="Arial" w:hAnsi="Arial" w:cs="Arial"/>
          <w:sz w:val="24"/>
          <w:szCs w:val="24"/>
        </w:rPr>
        <w:t xml:space="preserve">.  They </w:t>
      </w:r>
      <w:r w:rsidR="001F1947" w:rsidRPr="00593BCE">
        <w:rPr>
          <w:rFonts w:ascii="Arial" w:hAnsi="Arial" w:cs="Arial"/>
          <w:sz w:val="24"/>
          <w:szCs w:val="24"/>
        </w:rPr>
        <w:t>reported</w:t>
      </w:r>
      <w:r w:rsidRPr="00593BCE">
        <w:rPr>
          <w:rFonts w:ascii="Arial" w:hAnsi="Arial" w:cs="Arial"/>
          <w:sz w:val="24"/>
          <w:szCs w:val="24"/>
        </w:rPr>
        <w:t xml:space="preserve"> </w:t>
      </w:r>
      <w:r w:rsidR="008340DE" w:rsidRPr="00593BCE">
        <w:rPr>
          <w:rFonts w:ascii="Arial" w:hAnsi="Arial" w:cs="Arial"/>
          <w:sz w:val="24"/>
          <w:szCs w:val="24"/>
        </w:rPr>
        <w:t>in</w:t>
      </w:r>
      <w:r w:rsidR="00D465C3" w:rsidRPr="00593BCE">
        <w:rPr>
          <w:rFonts w:ascii="Arial" w:hAnsi="Arial" w:cs="Arial"/>
          <w:sz w:val="24"/>
          <w:szCs w:val="24"/>
        </w:rPr>
        <w:t>-</w:t>
      </w:r>
      <w:r w:rsidR="008340DE" w:rsidRPr="00593BCE">
        <w:rPr>
          <w:rFonts w:ascii="Arial" w:hAnsi="Arial" w:cs="Arial"/>
          <w:sz w:val="24"/>
          <w:szCs w:val="24"/>
        </w:rPr>
        <w:t xml:space="preserve">patient </w:t>
      </w:r>
      <w:r w:rsidR="001170EF" w:rsidRPr="00593BCE">
        <w:rPr>
          <w:rFonts w:ascii="Arial" w:hAnsi="Arial" w:cs="Arial"/>
          <w:sz w:val="24"/>
          <w:szCs w:val="24"/>
        </w:rPr>
        <w:t>prevalence</w:t>
      </w:r>
      <w:r w:rsidR="00D465C3" w:rsidRPr="00593BCE">
        <w:rPr>
          <w:rFonts w:ascii="Arial" w:hAnsi="Arial" w:cs="Arial"/>
          <w:sz w:val="24"/>
          <w:szCs w:val="24"/>
        </w:rPr>
        <w:t>s</w:t>
      </w:r>
      <w:r w:rsidR="001170EF" w:rsidRPr="00593BCE">
        <w:rPr>
          <w:rFonts w:ascii="Arial" w:hAnsi="Arial" w:cs="Arial"/>
          <w:sz w:val="24"/>
          <w:szCs w:val="24"/>
        </w:rPr>
        <w:t xml:space="preserve"> </w:t>
      </w:r>
      <w:r w:rsidR="005D13A0" w:rsidRPr="00593BCE">
        <w:rPr>
          <w:rFonts w:ascii="Arial" w:hAnsi="Arial" w:cs="Arial"/>
          <w:sz w:val="24"/>
          <w:szCs w:val="24"/>
        </w:rPr>
        <w:t>for</w:t>
      </w:r>
      <w:r w:rsidR="000E4037" w:rsidRPr="00593BCE">
        <w:rPr>
          <w:rFonts w:ascii="Arial" w:hAnsi="Arial" w:cs="Arial"/>
          <w:sz w:val="24"/>
          <w:szCs w:val="24"/>
        </w:rPr>
        <w:t xml:space="preserve"> evidence of </w:t>
      </w:r>
      <w:r w:rsidR="001170EF" w:rsidRPr="00593BCE">
        <w:rPr>
          <w:rFonts w:ascii="Arial" w:hAnsi="Arial" w:cs="Arial"/>
          <w:sz w:val="24"/>
          <w:szCs w:val="24"/>
        </w:rPr>
        <w:t xml:space="preserve">delirium </w:t>
      </w:r>
      <w:r w:rsidR="00D465C3" w:rsidRPr="00593BCE">
        <w:rPr>
          <w:rFonts w:ascii="Arial" w:hAnsi="Arial" w:cs="Arial"/>
          <w:sz w:val="24"/>
          <w:szCs w:val="24"/>
        </w:rPr>
        <w:t xml:space="preserve">were </w:t>
      </w:r>
      <w:r w:rsidR="001170EF" w:rsidRPr="00593BCE">
        <w:rPr>
          <w:rFonts w:ascii="Arial" w:hAnsi="Arial" w:cs="Arial"/>
          <w:sz w:val="24"/>
          <w:szCs w:val="24"/>
        </w:rPr>
        <w:t xml:space="preserve">20.6% </w:t>
      </w:r>
      <w:r w:rsidRPr="00593BCE">
        <w:rPr>
          <w:rFonts w:ascii="Arial" w:hAnsi="Arial" w:cs="Arial"/>
          <w:sz w:val="24"/>
          <w:szCs w:val="24"/>
        </w:rPr>
        <w:t>in</w:t>
      </w:r>
      <w:r w:rsidR="001170EF" w:rsidRPr="00593BCE">
        <w:rPr>
          <w:rFonts w:ascii="Arial" w:hAnsi="Arial" w:cs="Arial"/>
          <w:sz w:val="24"/>
          <w:szCs w:val="24"/>
        </w:rPr>
        <w:t xml:space="preserve"> orthopaedic</w:t>
      </w:r>
      <w:r w:rsidRPr="00593BCE">
        <w:rPr>
          <w:rFonts w:ascii="Arial" w:hAnsi="Arial" w:cs="Arial"/>
          <w:sz w:val="24"/>
          <w:szCs w:val="24"/>
        </w:rPr>
        <w:t>s</w:t>
      </w:r>
      <w:r w:rsidR="00F21485" w:rsidRPr="00593BCE">
        <w:rPr>
          <w:rFonts w:ascii="Arial" w:hAnsi="Arial" w:cs="Arial"/>
          <w:sz w:val="24"/>
          <w:szCs w:val="24"/>
        </w:rPr>
        <w:t xml:space="preserve"> units</w:t>
      </w:r>
      <w:r w:rsidR="001170EF" w:rsidRPr="00593BCE">
        <w:rPr>
          <w:rFonts w:ascii="Arial" w:hAnsi="Arial" w:cs="Arial"/>
          <w:sz w:val="24"/>
          <w:szCs w:val="24"/>
        </w:rPr>
        <w:t>,</w:t>
      </w:r>
      <w:r w:rsidRPr="00593BCE">
        <w:rPr>
          <w:rFonts w:ascii="Arial" w:hAnsi="Arial" w:cs="Arial"/>
          <w:sz w:val="24"/>
          <w:szCs w:val="24"/>
        </w:rPr>
        <w:t xml:space="preserve"> 21.2% in general internal medicine</w:t>
      </w:r>
      <w:r w:rsidR="00F21485" w:rsidRPr="00593BCE">
        <w:rPr>
          <w:rFonts w:ascii="Arial" w:hAnsi="Arial" w:cs="Arial"/>
          <w:sz w:val="24"/>
          <w:szCs w:val="24"/>
        </w:rPr>
        <w:t xml:space="preserve"> units</w:t>
      </w:r>
      <w:r w:rsidRPr="00593BCE">
        <w:rPr>
          <w:rFonts w:ascii="Arial" w:hAnsi="Arial" w:cs="Arial"/>
          <w:sz w:val="24"/>
          <w:szCs w:val="24"/>
        </w:rPr>
        <w:t>,</w:t>
      </w:r>
      <w:r w:rsidR="001170EF" w:rsidRPr="00593BCE">
        <w:rPr>
          <w:rFonts w:ascii="Arial" w:hAnsi="Arial" w:cs="Arial"/>
          <w:sz w:val="24"/>
          <w:szCs w:val="24"/>
        </w:rPr>
        <w:t xml:space="preserve"> 24.7% </w:t>
      </w:r>
      <w:r w:rsidR="00F21485" w:rsidRPr="00593BCE">
        <w:rPr>
          <w:rFonts w:ascii="Arial" w:hAnsi="Arial" w:cs="Arial"/>
          <w:sz w:val="24"/>
          <w:szCs w:val="24"/>
        </w:rPr>
        <w:t xml:space="preserve">in </w:t>
      </w:r>
      <w:r w:rsidR="001170EF" w:rsidRPr="00593BCE">
        <w:rPr>
          <w:rFonts w:ascii="Arial" w:hAnsi="Arial" w:cs="Arial"/>
          <w:sz w:val="24"/>
          <w:szCs w:val="24"/>
        </w:rPr>
        <w:t>geriatric</w:t>
      </w:r>
      <w:r w:rsidRPr="00593BCE">
        <w:rPr>
          <w:rFonts w:ascii="Arial" w:hAnsi="Arial" w:cs="Arial"/>
          <w:sz w:val="24"/>
          <w:szCs w:val="24"/>
        </w:rPr>
        <w:t>s</w:t>
      </w:r>
      <w:r w:rsidR="00F21485" w:rsidRPr="00593BCE">
        <w:rPr>
          <w:rFonts w:ascii="Arial" w:hAnsi="Arial" w:cs="Arial"/>
          <w:sz w:val="24"/>
          <w:szCs w:val="24"/>
        </w:rPr>
        <w:t xml:space="preserve"> units</w:t>
      </w:r>
      <w:r w:rsidRPr="00593BCE">
        <w:rPr>
          <w:rFonts w:ascii="Arial" w:hAnsi="Arial" w:cs="Arial"/>
          <w:sz w:val="24"/>
          <w:szCs w:val="24"/>
        </w:rPr>
        <w:t xml:space="preserve"> and 28.5% in neurology</w:t>
      </w:r>
      <w:r w:rsidR="00F21485" w:rsidRPr="00593BCE">
        <w:rPr>
          <w:rFonts w:ascii="Arial" w:hAnsi="Arial" w:cs="Arial"/>
          <w:sz w:val="24"/>
          <w:szCs w:val="24"/>
        </w:rPr>
        <w:t xml:space="preserve"> units</w:t>
      </w:r>
      <w:r w:rsidRPr="00593BCE">
        <w:rPr>
          <w:rFonts w:ascii="Arial" w:hAnsi="Arial" w:cs="Arial"/>
          <w:sz w:val="24"/>
          <w:szCs w:val="24"/>
        </w:rPr>
        <w:t>.</w:t>
      </w:r>
      <w:r w:rsidR="001170EF" w:rsidRPr="00593BCE">
        <w:rPr>
          <w:rFonts w:ascii="Arial" w:hAnsi="Arial" w:cs="Arial"/>
          <w:sz w:val="24"/>
          <w:szCs w:val="24"/>
        </w:rPr>
        <w:t xml:space="preserve"> </w:t>
      </w:r>
      <w:r w:rsidR="004A4AB9" w:rsidRPr="00593BCE">
        <w:rPr>
          <w:rFonts w:ascii="Arial" w:hAnsi="Arial" w:cs="Arial"/>
          <w:sz w:val="24"/>
          <w:szCs w:val="24"/>
        </w:rPr>
        <w:t>Prolonged LOS and mortality</w:t>
      </w:r>
      <w:r w:rsidR="00D465C3" w:rsidRPr="00593BCE">
        <w:rPr>
          <w:rFonts w:ascii="Arial" w:hAnsi="Arial" w:cs="Arial"/>
          <w:sz w:val="24"/>
          <w:szCs w:val="24"/>
        </w:rPr>
        <w:t>,</w:t>
      </w:r>
      <w:r w:rsidR="004A4AB9" w:rsidRPr="00593BCE">
        <w:rPr>
          <w:rFonts w:ascii="Arial" w:hAnsi="Arial" w:cs="Arial"/>
          <w:sz w:val="24"/>
          <w:szCs w:val="24"/>
        </w:rPr>
        <w:t xml:space="preserve"> </w:t>
      </w:r>
      <w:r w:rsidR="007C1BAC" w:rsidRPr="00593BCE">
        <w:rPr>
          <w:rFonts w:ascii="Arial" w:hAnsi="Arial" w:cs="Arial"/>
          <w:sz w:val="24"/>
          <w:szCs w:val="24"/>
        </w:rPr>
        <w:t>as well as residential/nursing care</w:t>
      </w:r>
      <w:r w:rsidR="00D465C3" w:rsidRPr="00593BCE">
        <w:rPr>
          <w:rFonts w:ascii="Arial" w:hAnsi="Arial" w:cs="Arial"/>
          <w:sz w:val="24"/>
          <w:szCs w:val="24"/>
        </w:rPr>
        <w:t>,</w:t>
      </w:r>
      <w:r w:rsidR="000F27F9" w:rsidRPr="00593BCE">
        <w:rPr>
          <w:rFonts w:ascii="Arial" w:hAnsi="Arial" w:cs="Arial"/>
          <w:sz w:val="24"/>
          <w:szCs w:val="24"/>
        </w:rPr>
        <w:t xml:space="preserve"> are high among older patients</w:t>
      </w:r>
      <w:r w:rsidR="00D465C3" w:rsidRPr="00593BCE">
        <w:rPr>
          <w:rFonts w:ascii="Arial" w:hAnsi="Arial" w:cs="Arial"/>
          <w:sz w:val="24"/>
          <w:szCs w:val="24"/>
        </w:rPr>
        <w:t xml:space="preserve">; </w:t>
      </w:r>
      <w:r w:rsidR="000F27F9" w:rsidRPr="00593BCE">
        <w:rPr>
          <w:rFonts w:ascii="Arial" w:hAnsi="Arial" w:cs="Arial"/>
          <w:sz w:val="24"/>
          <w:szCs w:val="24"/>
        </w:rPr>
        <w:t>especially those admitted with hip fractures</w:t>
      </w:r>
      <w:r w:rsidR="005D0962" w:rsidRPr="00593BCE">
        <w:rPr>
          <w:rFonts w:ascii="Arial" w:hAnsi="Arial" w:cs="Arial"/>
          <w:sz w:val="24"/>
          <w:szCs w:val="24"/>
        </w:rPr>
        <w:t xml:space="preserve"> [</w:t>
      </w:r>
      <w:r w:rsidR="003343A8" w:rsidRPr="00593BCE">
        <w:rPr>
          <w:rFonts w:ascii="Arial" w:hAnsi="Arial" w:cs="Arial"/>
          <w:sz w:val="24"/>
          <w:szCs w:val="24"/>
        </w:rPr>
        <w:t>16</w:t>
      </w:r>
      <w:r w:rsidR="005D0962" w:rsidRPr="00593BCE">
        <w:rPr>
          <w:rFonts w:ascii="Arial" w:hAnsi="Arial" w:cs="Arial"/>
          <w:sz w:val="24"/>
          <w:szCs w:val="24"/>
        </w:rPr>
        <w:t>]</w:t>
      </w:r>
      <w:r w:rsidR="00D465C3" w:rsidRPr="00593BCE">
        <w:rPr>
          <w:rFonts w:ascii="Arial" w:hAnsi="Arial" w:cs="Arial"/>
          <w:sz w:val="24"/>
          <w:szCs w:val="24"/>
        </w:rPr>
        <w:t xml:space="preserve"> with </w:t>
      </w:r>
      <w:r w:rsidR="007041B8" w:rsidRPr="00593BCE">
        <w:rPr>
          <w:rFonts w:ascii="Arial" w:hAnsi="Arial" w:cs="Arial"/>
          <w:sz w:val="24"/>
          <w:szCs w:val="24"/>
        </w:rPr>
        <w:t>enormous</w:t>
      </w:r>
      <w:r w:rsidR="004A4AB9" w:rsidRPr="00593BCE">
        <w:rPr>
          <w:rFonts w:ascii="Arial" w:hAnsi="Arial" w:cs="Arial"/>
          <w:sz w:val="24"/>
          <w:szCs w:val="24"/>
        </w:rPr>
        <w:t xml:space="preserve"> </w:t>
      </w:r>
      <w:r w:rsidR="007C1BAC" w:rsidRPr="00593BCE">
        <w:rPr>
          <w:rFonts w:ascii="Arial" w:hAnsi="Arial" w:cs="Arial"/>
          <w:sz w:val="24"/>
          <w:szCs w:val="24"/>
        </w:rPr>
        <w:t>burdens</w:t>
      </w:r>
      <w:r w:rsidR="007041B8" w:rsidRPr="00593BCE">
        <w:rPr>
          <w:rFonts w:ascii="Arial" w:hAnsi="Arial" w:cs="Arial"/>
          <w:sz w:val="24"/>
          <w:szCs w:val="24"/>
        </w:rPr>
        <w:t xml:space="preserve"> </w:t>
      </w:r>
      <w:r w:rsidR="007C1BAC" w:rsidRPr="00593BCE">
        <w:rPr>
          <w:rFonts w:ascii="Arial" w:hAnsi="Arial" w:cs="Arial"/>
          <w:sz w:val="24"/>
          <w:szCs w:val="24"/>
        </w:rPr>
        <w:t xml:space="preserve">to </w:t>
      </w:r>
      <w:r w:rsidR="004A4AB9" w:rsidRPr="00593BCE">
        <w:rPr>
          <w:rFonts w:ascii="Arial" w:hAnsi="Arial" w:cs="Arial"/>
          <w:sz w:val="24"/>
          <w:szCs w:val="24"/>
        </w:rPr>
        <w:t xml:space="preserve">both </w:t>
      </w:r>
      <w:r w:rsidR="007041B8" w:rsidRPr="00593BCE">
        <w:rPr>
          <w:rFonts w:ascii="Arial" w:hAnsi="Arial" w:cs="Arial"/>
          <w:sz w:val="24"/>
          <w:szCs w:val="24"/>
        </w:rPr>
        <w:t>patients and healthcare systems</w:t>
      </w:r>
      <w:r w:rsidR="005D0962" w:rsidRPr="00593BCE">
        <w:rPr>
          <w:rFonts w:ascii="Arial" w:hAnsi="Arial" w:cs="Arial"/>
          <w:sz w:val="24"/>
          <w:szCs w:val="24"/>
        </w:rPr>
        <w:t xml:space="preserve"> [</w:t>
      </w:r>
      <w:r w:rsidR="003343A8" w:rsidRPr="00593BCE">
        <w:rPr>
          <w:rFonts w:ascii="Arial" w:hAnsi="Arial" w:cs="Arial"/>
          <w:sz w:val="24"/>
          <w:szCs w:val="24"/>
        </w:rPr>
        <w:t>17</w:t>
      </w:r>
      <w:r w:rsidR="005D0962" w:rsidRPr="00593BCE">
        <w:rPr>
          <w:rFonts w:ascii="Arial" w:hAnsi="Arial" w:cs="Arial"/>
          <w:sz w:val="24"/>
          <w:szCs w:val="24"/>
        </w:rPr>
        <w:t>,</w:t>
      </w:r>
      <w:r w:rsidR="00146B84" w:rsidRPr="00593BCE">
        <w:rPr>
          <w:rFonts w:ascii="Arial" w:hAnsi="Arial" w:cs="Arial"/>
          <w:sz w:val="24"/>
          <w:szCs w:val="24"/>
        </w:rPr>
        <w:t xml:space="preserve"> </w:t>
      </w:r>
      <w:r w:rsidR="003343A8" w:rsidRPr="00593BCE">
        <w:rPr>
          <w:rFonts w:ascii="Arial" w:hAnsi="Arial" w:cs="Arial"/>
          <w:sz w:val="24"/>
          <w:szCs w:val="24"/>
        </w:rPr>
        <w:t>18</w:t>
      </w:r>
      <w:r w:rsidR="005D0962" w:rsidRPr="00593BCE">
        <w:rPr>
          <w:rFonts w:ascii="Arial" w:hAnsi="Arial" w:cs="Arial"/>
          <w:sz w:val="24"/>
          <w:szCs w:val="24"/>
        </w:rPr>
        <w:t>]</w:t>
      </w:r>
      <w:r w:rsidR="007041B8" w:rsidRPr="00593BCE">
        <w:rPr>
          <w:rFonts w:ascii="Arial" w:hAnsi="Arial" w:cs="Arial"/>
          <w:sz w:val="24"/>
          <w:szCs w:val="24"/>
        </w:rPr>
        <w:t>.</w:t>
      </w:r>
      <w:r w:rsidR="005238F6" w:rsidRPr="00593BCE">
        <w:rPr>
          <w:rFonts w:ascii="Arial" w:hAnsi="Arial" w:cs="Arial"/>
          <w:sz w:val="24"/>
          <w:szCs w:val="24"/>
        </w:rPr>
        <w:t xml:space="preserve"> </w:t>
      </w:r>
      <w:r w:rsidR="00B1729E" w:rsidRPr="00593BCE">
        <w:rPr>
          <w:rFonts w:ascii="Arial" w:hAnsi="Arial" w:cs="Arial"/>
          <w:sz w:val="24"/>
          <w:szCs w:val="24"/>
        </w:rPr>
        <w:t>Our study observed that j</w:t>
      </w:r>
      <w:r w:rsidR="00AC0DC7" w:rsidRPr="00593BCE">
        <w:rPr>
          <w:rFonts w:ascii="Arial" w:hAnsi="Arial" w:cs="Arial"/>
          <w:sz w:val="24"/>
          <w:szCs w:val="24"/>
        </w:rPr>
        <w:t xml:space="preserve">ust </w:t>
      </w:r>
      <w:r w:rsidR="00013FEB" w:rsidRPr="00593BCE">
        <w:rPr>
          <w:rFonts w:ascii="Arial" w:hAnsi="Arial" w:cs="Arial"/>
          <w:sz w:val="24"/>
          <w:szCs w:val="24"/>
        </w:rPr>
        <w:t>over</w:t>
      </w:r>
      <w:r w:rsidR="00AC0DC7" w:rsidRPr="00593BCE">
        <w:rPr>
          <w:rFonts w:ascii="Arial" w:hAnsi="Arial" w:cs="Arial"/>
          <w:sz w:val="24"/>
          <w:szCs w:val="24"/>
        </w:rPr>
        <w:t xml:space="preserve"> </w:t>
      </w:r>
      <w:r w:rsidR="00D465C3" w:rsidRPr="00593BCE">
        <w:rPr>
          <w:rFonts w:ascii="Arial" w:hAnsi="Arial" w:cs="Arial"/>
          <w:sz w:val="24"/>
          <w:szCs w:val="24"/>
        </w:rPr>
        <w:t>one-</w:t>
      </w:r>
      <w:r w:rsidR="007861D8" w:rsidRPr="00593BCE">
        <w:rPr>
          <w:rFonts w:ascii="Arial" w:hAnsi="Arial" w:cs="Arial"/>
          <w:sz w:val="24"/>
          <w:szCs w:val="24"/>
        </w:rPr>
        <w:t>half</w:t>
      </w:r>
      <w:r w:rsidR="00AC0DC7" w:rsidRPr="00593BCE">
        <w:rPr>
          <w:rFonts w:ascii="Arial" w:hAnsi="Arial" w:cs="Arial"/>
          <w:sz w:val="24"/>
          <w:szCs w:val="24"/>
        </w:rPr>
        <w:t xml:space="preserve"> of patients returned to their own home directly </w:t>
      </w:r>
      <w:r w:rsidR="00D465C3" w:rsidRPr="00593BCE">
        <w:rPr>
          <w:rFonts w:ascii="Arial" w:hAnsi="Arial" w:cs="Arial"/>
          <w:sz w:val="24"/>
          <w:szCs w:val="24"/>
        </w:rPr>
        <w:t xml:space="preserve">after </w:t>
      </w:r>
      <w:r w:rsidR="00AC0DC7" w:rsidRPr="00593BCE">
        <w:rPr>
          <w:rFonts w:ascii="Arial" w:hAnsi="Arial" w:cs="Arial"/>
          <w:sz w:val="24"/>
          <w:szCs w:val="24"/>
        </w:rPr>
        <w:t xml:space="preserve">discharge while </w:t>
      </w:r>
      <w:r w:rsidR="00B1729E" w:rsidRPr="00593BCE">
        <w:rPr>
          <w:rFonts w:ascii="Arial" w:hAnsi="Arial" w:cs="Arial"/>
          <w:sz w:val="24"/>
          <w:szCs w:val="24"/>
        </w:rPr>
        <w:t>more than a third</w:t>
      </w:r>
      <w:r w:rsidR="00AC0DC7" w:rsidRPr="00593BCE">
        <w:rPr>
          <w:rFonts w:ascii="Arial" w:hAnsi="Arial" w:cs="Arial"/>
          <w:sz w:val="24"/>
          <w:szCs w:val="24"/>
        </w:rPr>
        <w:t xml:space="preserve"> of patients were transferred to rehabilitation</w:t>
      </w:r>
      <w:r w:rsidR="00B332D1" w:rsidRPr="00593BCE">
        <w:rPr>
          <w:rFonts w:ascii="Arial" w:hAnsi="Arial" w:cs="Arial"/>
          <w:sz w:val="24"/>
          <w:szCs w:val="24"/>
        </w:rPr>
        <w:t xml:space="preserve"> units</w:t>
      </w:r>
      <w:r w:rsidR="00B13714" w:rsidRPr="00593BCE">
        <w:rPr>
          <w:rFonts w:ascii="Arial" w:hAnsi="Arial" w:cs="Arial"/>
          <w:sz w:val="24"/>
          <w:szCs w:val="24"/>
        </w:rPr>
        <w:t xml:space="preserve">. Those with evidence of delirium were </w:t>
      </w:r>
      <w:r w:rsidR="00063EE3" w:rsidRPr="00593BCE">
        <w:rPr>
          <w:rFonts w:ascii="Arial" w:hAnsi="Arial" w:cs="Arial"/>
          <w:sz w:val="24"/>
          <w:szCs w:val="24"/>
        </w:rPr>
        <w:t xml:space="preserve">three </w:t>
      </w:r>
      <w:r w:rsidR="00B13714" w:rsidRPr="00593BCE">
        <w:rPr>
          <w:rFonts w:ascii="Arial" w:hAnsi="Arial" w:cs="Arial"/>
          <w:sz w:val="24"/>
          <w:szCs w:val="24"/>
        </w:rPr>
        <w:t xml:space="preserve">times more likely to require rehabilitation </w:t>
      </w:r>
      <w:r w:rsidR="003F267A" w:rsidRPr="00593BCE">
        <w:rPr>
          <w:rFonts w:ascii="Arial" w:hAnsi="Arial" w:cs="Arial"/>
          <w:sz w:val="24"/>
          <w:szCs w:val="24"/>
        </w:rPr>
        <w:t xml:space="preserve">or residential/nursing care </w:t>
      </w:r>
      <w:r w:rsidR="007861D8" w:rsidRPr="00593BCE">
        <w:rPr>
          <w:rFonts w:ascii="Arial" w:hAnsi="Arial" w:cs="Arial"/>
          <w:sz w:val="24"/>
          <w:szCs w:val="24"/>
        </w:rPr>
        <w:t xml:space="preserve">and </w:t>
      </w:r>
      <w:r w:rsidR="00EE15AB" w:rsidRPr="00593BCE">
        <w:rPr>
          <w:rFonts w:ascii="Arial" w:hAnsi="Arial" w:cs="Arial"/>
          <w:sz w:val="24"/>
          <w:szCs w:val="24"/>
        </w:rPr>
        <w:t>3.</w:t>
      </w:r>
      <w:r w:rsidR="00D465C3" w:rsidRPr="00593BCE">
        <w:rPr>
          <w:rFonts w:ascii="Arial" w:hAnsi="Arial" w:cs="Arial"/>
          <w:sz w:val="24"/>
          <w:szCs w:val="24"/>
        </w:rPr>
        <w:t>5-</w:t>
      </w:r>
      <w:r w:rsidR="00EE15AB" w:rsidRPr="00593BCE">
        <w:rPr>
          <w:rFonts w:ascii="Arial" w:hAnsi="Arial" w:cs="Arial"/>
          <w:sz w:val="24"/>
          <w:szCs w:val="24"/>
        </w:rPr>
        <w:t>times</w:t>
      </w:r>
      <w:r w:rsidR="007861D8" w:rsidRPr="00593BCE">
        <w:rPr>
          <w:rFonts w:ascii="Arial" w:hAnsi="Arial" w:cs="Arial"/>
          <w:sz w:val="24"/>
          <w:szCs w:val="24"/>
        </w:rPr>
        <w:t xml:space="preserve"> more likely to stay in hospital for </w:t>
      </w:r>
      <w:r w:rsidR="00F36112" w:rsidRPr="00593BCE">
        <w:rPr>
          <w:rFonts w:ascii="Arial" w:hAnsi="Arial" w:cs="Arial"/>
          <w:sz w:val="24"/>
          <w:szCs w:val="24"/>
        </w:rPr>
        <w:t>longer</w:t>
      </w:r>
      <w:r w:rsidR="00154A1D" w:rsidRPr="00593BCE">
        <w:rPr>
          <w:rFonts w:ascii="Arial" w:hAnsi="Arial" w:cs="Arial"/>
          <w:sz w:val="24"/>
          <w:szCs w:val="24"/>
        </w:rPr>
        <w:t xml:space="preserve"> than </w:t>
      </w:r>
      <w:r w:rsidR="00D465C3" w:rsidRPr="00593BCE">
        <w:rPr>
          <w:rFonts w:ascii="Arial" w:hAnsi="Arial" w:cs="Arial"/>
          <w:sz w:val="24"/>
          <w:szCs w:val="24"/>
        </w:rPr>
        <w:t xml:space="preserve">two </w:t>
      </w:r>
      <w:r w:rsidR="007861D8" w:rsidRPr="00593BCE">
        <w:rPr>
          <w:rFonts w:ascii="Arial" w:hAnsi="Arial" w:cs="Arial"/>
          <w:sz w:val="24"/>
          <w:szCs w:val="24"/>
        </w:rPr>
        <w:t>weeks</w:t>
      </w:r>
      <w:r w:rsidR="00D465C3" w:rsidRPr="00593BCE">
        <w:rPr>
          <w:rFonts w:ascii="Arial" w:hAnsi="Arial" w:cs="Arial"/>
          <w:sz w:val="24"/>
          <w:szCs w:val="24"/>
        </w:rPr>
        <w:t>,</w:t>
      </w:r>
      <w:r w:rsidR="007861D8" w:rsidRPr="00593BCE">
        <w:rPr>
          <w:rFonts w:ascii="Arial" w:hAnsi="Arial" w:cs="Arial"/>
          <w:sz w:val="24"/>
          <w:szCs w:val="24"/>
        </w:rPr>
        <w:t xml:space="preserve"> </w:t>
      </w:r>
      <w:r w:rsidR="00B13714" w:rsidRPr="00593BCE">
        <w:rPr>
          <w:rFonts w:ascii="Arial" w:hAnsi="Arial" w:cs="Arial"/>
          <w:sz w:val="24"/>
          <w:szCs w:val="24"/>
        </w:rPr>
        <w:t xml:space="preserve">compared with </w:t>
      </w:r>
      <w:r w:rsidR="007861D8" w:rsidRPr="00593BCE">
        <w:rPr>
          <w:rFonts w:ascii="Arial" w:hAnsi="Arial" w:cs="Arial"/>
          <w:sz w:val="24"/>
          <w:szCs w:val="24"/>
        </w:rPr>
        <w:t xml:space="preserve">patients who did not have features of cognitive </w:t>
      </w:r>
      <w:r w:rsidR="00C55F14" w:rsidRPr="00593BCE">
        <w:rPr>
          <w:rFonts w:ascii="Arial" w:hAnsi="Arial" w:cs="Arial"/>
          <w:sz w:val="24"/>
          <w:szCs w:val="24"/>
        </w:rPr>
        <w:t xml:space="preserve">impairment </w:t>
      </w:r>
      <w:r w:rsidR="007861D8" w:rsidRPr="00593BCE">
        <w:rPr>
          <w:rFonts w:ascii="Arial" w:hAnsi="Arial" w:cs="Arial"/>
          <w:sz w:val="24"/>
          <w:szCs w:val="24"/>
        </w:rPr>
        <w:t>and delirium</w:t>
      </w:r>
      <w:r w:rsidR="00AC0DC7" w:rsidRPr="00593BCE">
        <w:rPr>
          <w:rFonts w:ascii="Arial" w:hAnsi="Arial" w:cs="Arial"/>
          <w:sz w:val="24"/>
          <w:szCs w:val="24"/>
        </w:rPr>
        <w:t xml:space="preserve">. </w:t>
      </w:r>
      <w:r w:rsidR="004C31A6" w:rsidRPr="00593BCE">
        <w:rPr>
          <w:rFonts w:ascii="Arial" w:hAnsi="Arial" w:cs="Arial"/>
          <w:sz w:val="24"/>
          <w:szCs w:val="24"/>
        </w:rPr>
        <w:t xml:space="preserve">Mortality rates for patients admitted to hospital with a hip fracture have improved over </w:t>
      </w:r>
      <w:r w:rsidR="00206477" w:rsidRPr="00593BCE">
        <w:rPr>
          <w:rFonts w:ascii="Arial" w:hAnsi="Arial" w:cs="Arial"/>
          <w:sz w:val="24"/>
          <w:szCs w:val="24"/>
        </w:rPr>
        <w:t>the</w:t>
      </w:r>
      <w:r w:rsidR="004C31A6" w:rsidRPr="00593BCE">
        <w:rPr>
          <w:rFonts w:ascii="Arial" w:hAnsi="Arial" w:cs="Arial"/>
          <w:sz w:val="24"/>
          <w:szCs w:val="24"/>
        </w:rPr>
        <w:t xml:space="preserve"> recent decade, dropping from 10.9% in 2007 to </w:t>
      </w:r>
      <w:r w:rsidR="001529B8" w:rsidRPr="00593BCE">
        <w:rPr>
          <w:rFonts w:ascii="Arial" w:hAnsi="Arial" w:cs="Arial"/>
          <w:sz w:val="24"/>
          <w:szCs w:val="24"/>
        </w:rPr>
        <w:t xml:space="preserve">7.1% </w:t>
      </w:r>
      <w:r w:rsidR="003035C3" w:rsidRPr="00593BCE">
        <w:rPr>
          <w:rFonts w:ascii="Arial" w:hAnsi="Arial" w:cs="Arial"/>
          <w:sz w:val="24"/>
          <w:szCs w:val="24"/>
        </w:rPr>
        <w:t xml:space="preserve">in </w:t>
      </w:r>
      <w:r w:rsidR="001529B8" w:rsidRPr="00593BCE">
        <w:rPr>
          <w:rFonts w:ascii="Arial" w:hAnsi="Arial" w:cs="Arial"/>
          <w:sz w:val="24"/>
          <w:szCs w:val="24"/>
        </w:rPr>
        <w:t>2015 and</w:t>
      </w:r>
      <w:r w:rsidR="004C31A6" w:rsidRPr="00593BCE">
        <w:rPr>
          <w:rFonts w:ascii="Arial" w:hAnsi="Arial" w:cs="Arial"/>
          <w:sz w:val="24"/>
          <w:szCs w:val="24"/>
        </w:rPr>
        <w:t xml:space="preserve"> </w:t>
      </w:r>
      <w:r w:rsidR="003035C3" w:rsidRPr="00593BCE">
        <w:rPr>
          <w:rFonts w:ascii="Arial" w:hAnsi="Arial" w:cs="Arial"/>
          <w:sz w:val="24"/>
          <w:szCs w:val="24"/>
        </w:rPr>
        <w:t xml:space="preserve">6.7% in </w:t>
      </w:r>
      <w:r w:rsidR="004C31A6" w:rsidRPr="00593BCE">
        <w:rPr>
          <w:rFonts w:ascii="Arial" w:hAnsi="Arial" w:cs="Arial"/>
          <w:sz w:val="24"/>
          <w:szCs w:val="24"/>
        </w:rPr>
        <w:t>2016</w:t>
      </w:r>
      <w:r w:rsidR="00B66725" w:rsidRPr="00593BCE">
        <w:rPr>
          <w:rFonts w:ascii="Arial" w:hAnsi="Arial" w:cs="Arial"/>
          <w:sz w:val="24"/>
          <w:szCs w:val="24"/>
        </w:rPr>
        <w:t xml:space="preserve"> </w:t>
      </w:r>
      <w:r w:rsidR="00BF68CB" w:rsidRPr="00593BCE">
        <w:rPr>
          <w:rFonts w:ascii="Arial" w:hAnsi="Arial" w:cs="Arial"/>
          <w:sz w:val="24"/>
          <w:szCs w:val="24"/>
        </w:rPr>
        <w:t>[</w:t>
      </w:r>
      <w:r w:rsidR="003343A8" w:rsidRPr="00593BCE">
        <w:rPr>
          <w:rFonts w:ascii="Arial" w:hAnsi="Arial" w:cs="Arial"/>
          <w:sz w:val="24"/>
          <w:szCs w:val="24"/>
        </w:rPr>
        <w:t>11</w:t>
      </w:r>
      <w:r w:rsidR="00BF68CB" w:rsidRPr="00593BCE">
        <w:rPr>
          <w:rFonts w:ascii="Arial" w:hAnsi="Arial" w:cs="Arial"/>
          <w:sz w:val="24"/>
          <w:szCs w:val="24"/>
        </w:rPr>
        <w:t>]</w:t>
      </w:r>
      <w:r w:rsidR="00B66725" w:rsidRPr="00593BCE">
        <w:rPr>
          <w:rFonts w:ascii="Arial" w:hAnsi="Arial" w:cs="Arial"/>
          <w:sz w:val="24"/>
          <w:szCs w:val="24"/>
        </w:rPr>
        <w:t>. The death rate of 6.8% in our study is comparable to the most recently reported national figure.</w:t>
      </w:r>
    </w:p>
    <w:p w14:paraId="644F2693" w14:textId="77777777" w:rsidR="00AC0DC7" w:rsidRPr="00593BCE" w:rsidRDefault="00AC0DC7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49A0A6D" w14:textId="1DFDC2EF" w:rsidR="00FC3992" w:rsidRPr="00593BCE" w:rsidRDefault="00AF1801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>Our study</w:t>
      </w:r>
      <w:r w:rsidR="009E0BF0" w:rsidRPr="00593BCE">
        <w:rPr>
          <w:rFonts w:ascii="Arial" w:hAnsi="Arial" w:cs="Arial"/>
          <w:sz w:val="24"/>
          <w:szCs w:val="24"/>
        </w:rPr>
        <w:t xml:space="preserve"> also</w:t>
      </w:r>
      <w:r w:rsidRPr="00593BCE">
        <w:rPr>
          <w:rFonts w:ascii="Arial" w:hAnsi="Arial" w:cs="Arial"/>
          <w:sz w:val="24"/>
          <w:szCs w:val="24"/>
        </w:rPr>
        <w:t xml:space="preserve"> </w:t>
      </w:r>
      <w:r w:rsidR="00165733" w:rsidRPr="00593B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demonstrated that 4AT has predictive validity for a number of adverse outcomes</w:t>
      </w:r>
      <w:r w:rsidRPr="00593BCE">
        <w:rPr>
          <w:rFonts w:ascii="Arial" w:hAnsi="Arial" w:cs="Arial"/>
          <w:sz w:val="24"/>
          <w:szCs w:val="24"/>
          <w:shd w:val="clear" w:color="auto" w:fill="FFFFFF"/>
        </w:rPr>
        <w:t>, which should prompt assessment for a definitive delirium diagnosis (including for prior dementia) and a search for underlying causes</w:t>
      </w:r>
      <w:r w:rsidR="001E677A" w:rsidRPr="00593BCE">
        <w:rPr>
          <w:rFonts w:ascii="Arial" w:hAnsi="Arial" w:cs="Arial"/>
          <w:sz w:val="24"/>
          <w:szCs w:val="24"/>
        </w:rPr>
        <w:t xml:space="preserve">. </w:t>
      </w:r>
      <w:r w:rsidR="00C25D2D" w:rsidRPr="00593BCE">
        <w:rPr>
          <w:rFonts w:ascii="Arial" w:hAnsi="Arial" w:cs="Arial"/>
          <w:sz w:val="24"/>
          <w:szCs w:val="24"/>
        </w:rPr>
        <w:t>Our findings showed</w:t>
      </w:r>
      <w:r w:rsidR="007041B8" w:rsidRPr="00593BCE">
        <w:rPr>
          <w:rFonts w:ascii="Arial" w:hAnsi="Arial" w:cs="Arial"/>
          <w:sz w:val="24"/>
          <w:szCs w:val="24"/>
        </w:rPr>
        <w:t xml:space="preserve"> clear stepwise </w:t>
      </w:r>
      <w:r w:rsidR="00C25D2D" w:rsidRPr="00593BCE">
        <w:rPr>
          <w:rFonts w:ascii="Arial" w:hAnsi="Arial" w:cs="Arial"/>
          <w:sz w:val="24"/>
          <w:szCs w:val="24"/>
        </w:rPr>
        <w:t>increments</w:t>
      </w:r>
      <w:r w:rsidR="007041B8" w:rsidRPr="00593BCE">
        <w:rPr>
          <w:rFonts w:ascii="Arial" w:hAnsi="Arial" w:cs="Arial"/>
          <w:sz w:val="24"/>
          <w:szCs w:val="24"/>
        </w:rPr>
        <w:t xml:space="preserve"> in LOS and mortality</w:t>
      </w:r>
      <w:r w:rsidR="00C25D2D" w:rsidRPr="00593BCE">
        <w:rPr>
          <w:rFonts w:ascii="Arial" w:hAnsi="Arial" w:cs="Arial"/>
          <w:sz w:val="24"/>
          <w:szCs w:val="24"/>
        </w:rPr>
        <w:t xml:space="preserve"> in hospital</w:t>
      </w:r>
      <w:r w:rsidR="009E0BF0" w:rsidRPr="00593BCE">
        <w:rPr>
          <w:rFonts w:ascii="Arial" w:hAnsi="Arial" w:cs="Arial"/>
          <w:sz w:val="24"/>
          <w:szCs w:val="24"/>
        </w:rPr>
        <w:t>, as well as</w:t>
      </w:r>
      <w:r w:rsidR="00C25D2D" w:rsidRPr="00593BCE">
        <w:rPr>
          <w:rFonts w:ascii="Arial" w:hAnsi="Arial" w:cs="Arial"/>
          <w:sz w:val="24"/>
          <w:szCs w:val="24"/>
        </w:rPr>
        <w:t xml:space="preserve"> discharge to </w:t>
      </w:r>
      <w:r w:rsidR="000138EB" w:rsidRPr="00593BCE">
        <w:rPr>
          <w:rFonts w:ascii="Arial" w:hAnsi="Arial" w:cs="Arial"/>
          <w:sz w:val="24"/>
          <w:szCs w:val="24"/>
        </w:rPr>
        <w:t>rehabilitation</w:t>
      </w:r>
      <w:r w:rsidR="00B332D1" w:rsidRPr="00593BCE">
        <w:rPr>
          <w:rFonts w:ascii="Arial" w:hAnsi="Arial" w:cs="Arial"/>
          <w:sz w:val="24"/>
          <w:szCs w:val="24"/>
        </w:rPr>
        <w:t xml:space="preserve"> units</w:t>
      </w:r>
      <w:r w:rsidR="000138EB" w:rsidRPr="00593BCE">
        <w:rPr>
          <w:rFonts w:ascii="Arial" w:hAnsi="Arial" w:cs="Arial"/>
          <w:sz w:val="24"/>
          <w:szCs w:val="24"/>
        </w:rPr>
        <w:t xml:space="preserve"> or </w:t>
      </w:r>
      <w:r w:rsidR="00C25D2D" w:rsidRPr="00593BCE">
        <w:rPr>
          <w:rFonts w:ascii="Arial" w:hAnsi="Arial" w:cs="Arial"/>
          <w:sz w:val="24"/>
          <w:szCs w:val="24"/>
        </w:rPr>
        <w:t>residential/nursing care</w:t>
      </w:r>
      <w:r w:rsidR="007041B8" w:rsidRPr="00593BCE">
        <w:rPr>
          <w:rFonts w:ascii="Arial" w:hAnsi="Arial" w:cs="Arial"/>
          <w:sz w:val="24"/>
          <w:szCs w:val="24"/>
        </w:rPr>
        <w:t xml:space="preserve"> with </w:t>
      </w:r>
      <w:r w:rsidR="00C25D2D" w:rsidRPr="00593BCE">
        <w:rPr>
          <w:rFonts w:ascii="Arial" w:hAnsi="Arial" w:cs="Arial"/>
          <w:sz w:val="24"/>
          <w:szCs w:val="24"/>
        </w:rPr>
        <w:t xml:space="preserve">increasing </w:t>
      </w:r>
      <w:r w:rsidR="009D4B10" w:rsidRPr="00593BCE">
        <w:rPr>
          <w:rFonts w:ascii="Arial" w:hAnsi="Arial" w:cs="Arial"/>
          <w:sz w:val="24"/>
          <w:szCs w:val="24"/>
        </w:rPr>
        <w:t>4AT scores</w:t>
      </w:r>
      <w:r w:rsidR="007041B8" w:rsidRPr="00593BCE">
        <w:rPr>
          <w:rFonts w:ascii="Arial" w:hAnsi="Arial" w:cs="Arial"/>
          <w:sz w:val="24"/>
          <w:szCs w:val="24"/>
        </w:rPr>
        <w:t xml:space="preserve">. </w:t>
      </w:r>
      <w:r w:rsidR="00393CD1" w:rsidRPr="00593BCE">
        <w:rPr>
          <w:rFonts w:ascii="Arial" w:hAnsi="Arial" w:cs="Arial"/>
          <w:sz w:val="24"/>
          <w:szCs w:val="24"/>
        </w:rPr>
        <w:t xml:space="preserve">These findings support </w:t>
      </w:r>
      <w:r w:rsidR="00397D92" w:rsidRPr="00593BCE">
        <w:rPr>
          <w:rFonts w:ascii="Arial" w:hAnsi="Arial" w:cs="Arial"/>
          <w:sz w:val="24"/>
          <w:szCs w:val="24"/>
        </w:rPr>
        <w:t>preventative</w:t>
      </w:r>
      <w:r w:rsidR="00283AF6" w:rsidRPr="00593BCE">
        <w:rPr>
          <w:rFonts w:ascii="Arial" w:hAnsi="Arial" w:cs="Arial"/>
          <w:sz w:val="24"/>
          <w:szCs w:val="24"/>
        </w:rPr>
        <w:t xml:space="preserve"> and early interventional</w:t>
      </w:r>
      <w:r w:rsidR="00397D92" w:rsidRPr="00593BCE">
        <w:rPr>
          <w:rFonts w:ascii="Arial" w:hAnsi="Arial" w:cs="Arial"/>
          <w:sz w:val="24"/>
          <w:szCs w:val="24"/>
        </w:rPr>
        <w:t xml:space="preserve"> measures such as dementia-friendly </w:t>
      </w:r>
      <w:r w:rsidR="003224AF" w:rsidRPr="00593BCE">
        <w:rPr>
          <w:rFonts w:ascii="Arial" w:hAnsi="Arial" w:cs="Arial"/>
          <w:sz w:val="24"/>
          <w:szCs w:val="24"/>
        </w:rPr>
        <w:t>en</w:t>
      </w:r>
      <w:r w:rsidR="00397D92" w:rsidRPr="00593BCE">
        <w:rPr>
          <w:rFonts w:ascii="Arial" w:hAnsi="Arial" w:cs="Arial"/>
          <w:sz w:val="24"/>
          <w:szCs w:val="24"/>
        </w:rPr>
        <w:t>vironments for patients as w</w:t>
      </w:r>
      <w:r w:rsidR="00283AF6" w:rsidRPr="00593BCE">
        <w:rPr>
          <w:rFonts w:ascii="Arial" w:hAnsi="Arial" w:cs="Arial"/>
          <w:sz w:val="24"/>
          <w:szCs w:val="24"/>
        </w:rPr>
        <w:t>ell as their family members</w:t>
      </w:r>
      <w:r w:rsidR="00864B80" w:rsidRPr="00593BCE">
        <w:rPr>
          <w:rFonts w:ascii="Arial" w:hAnsi="Arial" w:cs="Arial"/>
          <w:sz w:val="24"/>
          <w:szCs w:val="24"/>
        </w:rPr>
        <w:t xml:space="preserve">. At our own hospital a concept of </w:t>
      </w:r>
      <w:r w:rsidR="003224AF" w:rsidRPr="00593BCE">
        <w:rPr>
          <w:rFonts w:ascii="Arial" w:hAnsi="Arial" w:cs="Arial"/>
          <w:sz w:val="24"/>
          <w:szCs w:val="24"/>
        </w:rPr>
        <w:t xml:space="preserve">“Special Bays for Patients with Dementia” </w:t>
      </w:r>
      <w:r w:rsidR="00864B80" w:rsidRPr="00593BCE">
        <w:rPr>
          <w:rFonts w:ascii="Arial" w:hAnsi="Arial" w:cs="Arial"/>
          <w:sz w:val="24"/>
          <w:szCs w:val="24"/>
        </w:rPr>
        <w:t>has recently been instigated</w:t>
      </w:r>
      <w:r w:rsidR="003224AF" w:rsidRPr="00593BCE">
        <w:rPr>
          <w:rFonts w:ascii="Arial" w:hAnsi="Arial" w:cs="Arial"/>
          <w:sz w:val="24"/>
          <w:szCs w:val="24"/>
        </w:rPr>
        <w:t>.</w:t>
      </w:r>
      <w:r w:rsidR="00D723B0" w:rsidRPr="00593BCE">
        <w:rPr>
          <w:rFonts w:ascii="Arial" w:hAnsi="Arial" w:cs="Arial"/>
          <w:sz w:val="24"/>
          <w:szCs w:val="24"/>
        </w:rPr>
        <w:t xml:space="preserve"> </w:t>
      </w:r>
      <w:r w:rsidR="004A2BED" w:rsidRPr="00593BCE">
        <w:rPr>
          <w:rFonts w:ascii="Arial" w:hAnsi="Arial" w:cs="Arial"/>
          <w:sz w:val="24"/>
          <w:szCs w:val="24"/>
        </w:rPr>
        <w:lastRenderedPageBreak/>
        <w:t>The</w:t>
      </w:r>
      <w:r w:rsidR="003804A6" w:rsidRPr="00593BCE">
        <w:rPr>
          <w:rFonts w:ascii="Arial" w:hAnsi="Arial" w:cs="Arial"/>
          <w:sz w:val="24"/>
          <w:szCs w:val="24"/>
        </w:rPr>
        <w:t xml:space="preserve"> use </w:t>
      </w:r>
      <w:r w:rsidR="004A2BED" w:rsidRPr="00593BCE">
        <w:rPr>
          <w:rFonts w:ascii="Arial" w:hAnsi="Arial" w:cs="Arial"/>
          <w:sz w:val="24"/>
          <w:szCs w:val="24"/>
        </w:rPr>
        <w:t xml:space="preserve">of a checklist for </w:t>
      </w:r>
      <w:r w:rsidR="00FC3992" w:rsidRPr="00593BCE">
        <w:rPr>
          <w:rFonts w:ascii="Arial" w:hAnsi="Arial" w:cs="Arial"/>
          <w:sz w:val="24"/>
          <w:szCs w:val="24"/>
        </w:rPr>
        <w:t>anticholinergic</w:t>
      </w:r>
      <w:r w:rsidR="002A1CF4" w:rsidRPr="00593BCE">
        <w:rPr>
          <w:rFonts w:ascii="Arial" w:hAnsi="Arial" w:cs="Arial"/>
          <w:sz w:val="24"/>
          <w:szCs w:val="24"/>
        </w:rPr>
        <w:t>s</w:t>
      </w:r>
      <w:r w:rsidR="003804A6" w:rsidRPr="00593BCE">
        <w:rPr>
          <w:rFonts w:ascii="Arial" w:hAnsi="Arial" w:cs="Arial"/>
          <w:sz w:val="24"/>
          <w:szCs w:val="24"/>
        </w:rPr>
        <w:t xml:space="preserve">, </w:t>
      </w:r>
      <w:r w:rsidR="00FC3992" w:rsidRPr="00593BCE">
        <w:rPr>
          <w:rFonts w:ascii="Arial" w:hAnsi="Arial" w:cs="Arial"/>
          <w:sz w:val="24"/>
          <w:szCs w:val="24"/>
        </w:rPr>
        <w:t xml:space="preserve">such as </w:t>
      </w:r>
      <w:r w:rsidR="002A1CF4" w:rsidRPr="00593BCE">
        <w:rPr>
          <w:rFonts w:ascii="Arial" w:hAnsi="Arial" w:cs="Arial"/>
          <w:sz w:val="24"/>
          <w:szCs w:val="24"/>
        </w:rPr>
        <w:t xml:space="preserve">the </w:t>
      </w:r>
      <w:r w:rsidR="002841F3" w:rsidRPr="00593BCE">
        <w:rPr>
          <w:rFonts w:ascii="Arial" w:hAnsi="Arial" w:cs="Arial"/>
          <w:sz w:val="24"/>
          <w:szCs w:val="24"/>
        </w:rPr>
        <w:t>ACB</w:t>
      </w:r>
      <w:r w:rsidR="00FC3992" w:rsidRPr="00593BCE">
        <w:rPr>
          <w:rFonts w:ascii="Arial" w:hAnsi="Arial" w:cs="Arial"/>
          <w:sz w:val="24"/>
          <w:szCs w:val="24"/>
        </w:rPr>
        <w:t xml:space="preserve"> Scale </w:t>
      </w:r>
      <w:r w:rsidR="002A1CF4" w:rsidRPr="00593BCE">
        <w:rPr>
          <w:rFonts w:ascii="Arial" w:hAnsi="Arial" w:cs="Arial"/>
          <w:sz w:val="24"/>
          <w:szCs w:val="24"/>
        </w:rPr>
        <w:t xml:space="preserve">developed </w:t>
      </w:r>
      <w:r w:rsidR="00FC3992" w:rsidRPr="00593BCE">
        <w:rPr>
          <w:rFonts w:ascii="Arial" w:hAnsi="Arial" w:cs="Arial"/>
          <w:sz w:val="24"/>
          <w:szCs w:val="24"/>
        </w:rPr>
        <w:t xml:space="preserve">by the Aging Brain Program </w:t>
      </w:r>
      <w:r w:rsidR="00062C8A" w:rsidRPr="00593BCE">
        <w:rPr>
          <w:rFonts w:ascii="Arial" w:hAnsi="Arial" w:cs="Arial"/>
          <w:sz w:val="24"/>
          <w:szCs w:val="24"/>
        </w:rPr>
        <w:t>(</w:t>
      </w:r>
      <w:r w:rsidR="00FC3992" w:rsidRPr="00593BCE">
        <w:rPr>
          <w:rFonts w:ascii="Arial" w:hAnsi="Arial" w:cs="Arial"/>
          <w:sz w:val="24"/>
          <w:szCs w:val="24"/>
        </w:rPr>
        <w:t xml:space="preserve">Indiana University Center for Aging </w:t>
      </w:r>
      <w:r w:rsidR="007D719B" w:rsidRPr="00593BCE">
        <w:rPr>
          <w:rFonts w:ascii="Arial" w:hAnsi="Arial" w:cs="Arial"/>
          <w:sz w:val="24"/>
          <w:szCs w:val="24"/>
        </w:rPr>
        <w:t>Research</w:t>
      </w:r>
      <w:r w:rsidR="00062C8A" w:rsidRPr="00593BCE">
        <w:rPr>
          <w:rFonts w:ascii="Arial" w:hAnsi="Arial" w:cs="Arial"/>
          <w:sz w:val="24"/>
          <w:szCs w:val="24"/>
        </w:rPr>
        <w:t>)</w:t>
      </w:r>
      <w:r w:rsidR="005D0962" w:rsidRPr="00593BCE">
        <w:rPr>
          <w:rFonts w:ascii="Arial" w:hAnsi="Arial" w:cs="Arial"/>
          <w:sz w:val="24"/>
          <w:szCs w:val="24"/>
        </w:rPr>
        <w:t xml:space="preserve"> [</w:t>
      </w:r>
      <w:r w:rsidR="00E967F9" w:rsidRPr="00593BCE">
        <w:rPr>
          <w:rFonts w:ascii="Arial" w:hAnsi="Arial" w:cs="Arial"/>
          <w:sz w:val="24"/>
          <w:szCs w:val="24"/>
        </w:rPr>
        <w:t>1</w:t>
      </w:r>
      <w:r w:rsidR="003343A8" w:rsidRPr="00593BCE">
        <w:rPr>
          <w:rFonts w:ascii="Arial" w:hAnsi="Arial" w:cs="Arial"/>
          <w:sz w:val="24"/>
          <w:szCs w:val="24"/>
        </w:rPr>
        <w:t>4</w:t>
      </w:r>
      <w:r w:rsidR="005D0962" w:rsidRPr="00593BCE">
        <w:rPr>
          <w:rFonts w:ascii="Arial" w:hAnsi="Arial" w:cs="Arial"/>
          <w:sz w:val="24"/>
          <w:szCs w:val="24"/>
        </w:rPr>
        <w:t>]</w:t>
      </w:r>
      <w:r w:rsidR="007D719B" w:rsidRPr="00593BCE">
        <w:rPr>
          <w:rFonts w:ascii="Arial" w:hAnsi="Arial" w:cs="Arial"/>
          <w:sz w:val="24"/>
          <w:szCs w:val="24"/>
        </w:rPr>
        <w:t xml:space="preserve"> </w:t>
      </w:r>
      <w:r w:rsidR="004A2BED" w:rsidRPr="00593BCE">
        <w:rPr>
          <w:rFonts w:ascii="Arial" w:hAnsi="Arial" w:cs="Arial"/>
          <w:sz w:val="24"/>
          <w:szCs w:val="24"/>
        </w:rPr>
        <w:t xml:space="preserve">would be helpful </w:t>
      </w:r>
      <w:r w:rsidR="003804A6" w:rsidRPr="00593BCE">
        <w:rPr>
          <w:rFonts w:ascii="Arial" w:hAnsi="Arial" w:cs="Arial"/>
          <w:sz w:val="24"/>
          <w:szCs w:val="24"/>
        </w:rPr>
        <w:t xml:space="preserve">to ensure </w:t>
      </w:r>
      <w:r w:rsidR="00864B80" w:rsidRPr="00593BCE">
        <w:rPr>
          <w:rFonts w:ascii="Arial" w:hAnsi="Arial" w:cs="Arial"/>
          <w:sz w:val="24"/>
          <w:szCs w:val="24"/>
        </w:rPr>
        <w:t xml:space="preserve">that </w:t>
      </w:r>
      <w:r w:rsidR="003804A6" w:rsidRPr="00593BCE">
        <w:rPr>
          <w:rFonts w:ascii="Arial" w:hAnsi="Arial" w:cs="Arial"/>
          <w:sz w:val="24"/>
          <w:szCs w:val="24"/>
        </w:rPr>
        <w:t xml:space="preserve">appropriate omission </w:t>
      </w:r>
      <w:r w:rsidR="002A1CF4" w:rsidRPr="00593BCE">
        <w:rPr>
          <w:rFonts w:ascii="Arial" w:hAnsi="Arial" w:cs="Arial"/>
          <w:sz w:val="24"/>
          <w:szCs w:val="24"/>
        </w:rPr>
        <w:t xml:space="preserve">of these agents </w:t>
      </w:r>
      <w:r w:rsidR="003804A6" w:rsidRPr="00593BCE">
        <w:rPr>
          <w:rFonts w:ascii="Arial" w:hAnsi="Arial" w:cs="Arial"/>
          <w:sz w:val="24"/>
          <w:szCs w:val="24"/>
        </w:rPr>
        <w:t>is applied.</w:t>
      </w:r>
      <w:r w:rsidR="00FC3992" w:rsidRPr="00593BCE">
        <w:rPr>
          <w:rFonts w:ascii="Arial" w:hAnsi="Arial" w:cs="Arial"/>
          <w:sz w:val="24"/>
          <w:szCs w:val="24"/>
        </w:rPr>
        <w:t xml:space="preserve"> </w:t>
      </w:r>
    </w:p>
    <w:p w14:paraId="21959692" w14:textId="77777777" w:rsidR="00EF58D9" w:rsidRPr="00593BCE" w:rsidRDefault="00EF58D9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9C3F762" w14:textId="63AC399D" w:rsidR="00A53E5F" w:rsidRPr="00593BCE" w:rsidRDefault="00EF58D9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 xml:space="preserve">It is </w:t>
      </w:r>
      <w:r w:rsidR="009E0BF0" w:rsidRPr="00593BCE">
        <w:rPr>
          <w:rFonts w:ascii="Arial" w:hAnsi="Arial" w:cs="Arial"/>
          <w:sz w:val="24"/>
          <w:szCs w:val="24"/>
        </w:rPr>
        <w:t>well-</w:t>
      </w:r>
      <w:r w:rsidRPr="00593BCE">
        <w:rPr>
          <w:rFonts w:ascii="Arial" w:hAnsi="Arial" w:cs="Arial"/>
          <w:sz w:val="24"/>
          <w:szCs w:val="24"/>
        </w:rPr>
        <w:t xml:space="preserve">recognised that </w:t>
      </w:r>
      <w:r w:rsidR="00C17619" w:rsidRPr="00593BCE">
        <w:rPr>
          <w:rFonts w:ascii="Arial" w:hAnsi="Arial" w:cs="Arial"/>
          <w:sz w:val="24"/>
          <w:szCs w:val="24"/>
        </w:rPr>
        <w:t xml:space="preserve">neuropsychiatric disorders are </w:t>
      </w:r>
      <w:r w:rsidR="004478AE" w:rsidRPr="00593BCE">
        <w:rPr>
          <w:rFonts w:ascii="Arial" w:hAnsi="Arial" w:cs="Arial"/>
          <w:sz w:val="24"/>
          <w:szCs w:val="24"/>
        </w:rPr>
        <w:t xml:space="preserve">often </w:t>
      </w:r>
      <w:r w:rsidR="00C17619" w:rsidRPr="00593BCE">
        <w:rPr>
          <w:rFonts w:ascii="Arial" w:hAnsi="Arial" w:cs="Arial"/>
          <w:sz w:val="24"/>
          <w:szCs w:val="24"/>
        </w:rPr>
        <w:t>under-detected. A multicentre study of over 2500 older adults admitted to Italian hospitals with acute conditions found delirium</w:t>
      </w:r>
      <w:r w:rsidR="002841F3" w:rsidRPr="00593BCE">
        <w:rPr>
          <w:rFonts w:ascii="Arial" w:hAnsi="Arial" w:cs="Arial"/>
          <w:sz w:val="24"/>
          <w:szCs w:val="24"/>
        </w:rPr>
        <w:t xml:space="preserve"> </w:t>
      </w:r>
      <w:r w:rsidR="00C17619" w:rsidRPr="00593BCE">
        <w:rPr>
          <w:rFonts w:ascii="Arial" w:hAnsi="Arial" w:cs="Arial"/>
          <w:sz w:val="24"/>
          <w:szCs w:val="24"/>
        </w:rPr>
        <w:t>was recorded in only 2.9% of all admitted patients</w:t>
      </w:r>
      <w:r w:rsidR="005D0962" w:rsidRPr="00593BCE">
        <w:rPr>
          <w:rFonts w:ascii="Arial" w:hAnsi="Arial" w:cs="Arial"/>
          <w:sz w:val="24"/>
          <w:szCs w:val="24"/>
        </w:rPr>
        <w:t xml:space="preserve"> [5]</w:t>
      </w:r>
      <w:r w:rsidR="00C17619" w:rsidRPr="00593BCE">
        <w:rPr>
          <w:rFonts w:ascii="Arial" w:hAnsi="Arial" w:cs="Arial"/>
          <w:sz w:val="24"/>
          <w:szCs w:val="24"/>
        </w:rPr>
        <w:t xml:space="preserve">. </w:t>
      </w:r>
      <w:r w:rsidR="00F53B8D" w:rsidRPr="00593BCE">
        <w:rPr>
          <w:rFonts w:ascii="Arial" w:hAnsi="Arial" w:cs="Arial"/>
          <w:sz w:val="24"/>
          <w:szCs w:val="24"/>
        </w:rPr>
        <w:t>In order to improve delirium awareness</w:t>
      </w:r>
      <w:r w:rsidR="002021F5" w:rsidRPr="00593BCE">
        <w:rPr>
          <w:rFonts w:ascii="Arial" w:hAnsi="Arial" w:cs="Arial"/>
          <w:sz w:val="24"/>
          <w:szCs w:val="24"/>
        </w:rPr>
        <w:t xml:space="preserve"> and prevention</w:t>
      </w:r>
      <w:r w:rsidR="00F53B8D" w:rsidRPr="00593BCE">
        <w:rPr>
          <w:rFonts w:ascii="Arial" w:hAnsi="Arial" w:cs="Arial"/>
          <w:sz w:val="24"/>
          <w:szCs w:val="24"/>
        </w:rPr>
        <w:t>,</w:t>
      </w:r>
      <w:r w:rsidR="00841523" w:rsidRPr="00593BCE">
        <w:rPr>
          <w:rFonts w:ascii="Arial" w:hAnsi="Arial" w:cs="Arial"/>
          <w:sz w:val="24"/>
          <w:szCs w:val="24"/>
        </w:rPr>
        <w:t xml:space="preserve"> our </w:t>
      </w:r>
      <w:r w:rsidR="009F7EE3" w:rsidRPr="00593BCE">
        <w:rPr>
          <w:rFonts w:ascii="Arial" w:hAnsi="Arial" w:cs="Arial"/>
          <w:sz w:val="24"/>
          <w:szCs w:val="24"/>
        </w:rPr>
        <w:t>hospital</w:t>
      </w:r>
      <w:r w:rsidR="00841523" w:rsidRPr="00593BCE">
        <w:rPr>
          <w:rFonts w:ascii="Arial" w:hAnsi="Arial" w:cs="Arial"/>
          <w:sz w:val="24"/>
          <w:szCs w:val="24"/>
        </w:rPr>
        <w:t xml:space="preserve"> is </w:t>
      </w:r>
      <w:r w:rsidR="00F53B8D" w:rsidRPr="00593BCE">
        <w:rPr>
          <w:rFonts w:ascii="Arial" w:hAnsi="Arial" w:cs="Arial"/>
          <w:sz w:val="24"/>
          <w:szCs w:val="24"/>
        </w:rPr>
        <w:t xml:space="preserve">extending the use of the 4AT </w:t>
      </w:r>
      <w:r w:rsidR="009E0BF0" w:rsidRPr="00593BCE">
        <w:rPr>
          <w:rFonts w:ascii="Arial" w:hAnsi="Arial" w:cs="Arial"/>
          <w:sz w:val="24"/>
          <w:szCs w:val="24"/>
        </w:rPr>
        <w:t xml:space="preserve">over </w:t>
      </w:r>
      <w:r w:rsidR="00F53B8D" w:rsidRPr="00593BCE">
        <w:rPr>
          <w:rFonts w:ascii="Arial" w:hAnsi="Arial" w:cs="Arial"/>
          <w:sz w:val="24"/>
          <w:szCs w:val="24"/>
        </w:rPr>
        <w:t>a larger scale</w:t>
      </w:r>
      <w:r w:rsidR="009E0BF0" w:rsidRPr="00593BCE">
        <w:rPr>
          <w:rFonts w:ascii="Arial" w:hAnsi="Arial" w:cs="Arial"/>
          <w:sz w:val="24"/>
          <w:szCs w:val="24"/>
        </w:rPr>
        <w:t xml:space="preserve"> through</w:t>
      </w:r>
      <w:r w:rsidR="00F53B8D" w:rsidRPr="00593BCE">
        <w:rPr>
          <w:rFonts w:ascii="Arial" w:hAnsi="Arial" w:cs="Arial"/>
          <w:sz w:val="24"/>
          <w:szCs w:val="24"/>
        </w:rPr>
        <w:t xml:space="preserve"> </w:t>
      </w:r>
      <w:r w:rsidR="009E0BF0" w:rsidRPr="00593BCE">
        <w:rPr>
          <w:rFonts w:ascii="Arial" w:hAnsi="Arial" w:cs="Arial"/>
          <w:sz w:val="24"/>
          <w:szCs w:val="24"/>
        </w:rPr>
        <w:t xml:space="preserve">educational </w:t>
      </w:r>
      <w:r w:rsidR="00F53B8D" w:rsidRPr="00593BCE">
        <w:rPr>
          <w:rFonts w:ascii="Arial" w:hAnsi="Arial" w:cs="Arial"/>
          <w:sz w:val="24"/>
          <w:szCs w:val="24"/>
        </w:rPr>
        <w:t xml:space="preserve">lectures, knowledge cards, patient leaflets, incorporation into the acute medical clerking proforma, </w:t>
      </w:r>
      <w:r w:rsidR="005D13A0" w:rsidRPr="00593BCE">
        <w:rPr>
          <w:rFonts w:ascii="Arial" w:hAnsi="Arial" w:cs="Arial"/>
          <w:sz w:val="24"/>
          <w:szCs w:val="24"/>
        </w:rPr>
        <w:t xml:space="preserve">and the </w:t>
      </w:r>
      <w:r w:rsidR="00166328" w:rsidRPr="00593BCE">
        <w:rPr>
          <w:rFonts w:ascii="Arial" w:hAnsi="Arial" w:cs="Arial"/>
          <w:sz w:val="24"/>
          <w:szCs w:val="24"/>
        </w:rPr>
        <w:t xml:space="preserve">Emergency </w:t>
      </w:r>
      <w:r w:rsidR="00051245" w:rsidRPr="00593BCE">
        <w:rPr>
          <w:rFonts w:ascii="Arial" w:hAnsi="Arial" w:cs="Arial"/>
          <w:sz w:val="24"/>
          <w:szCs w:val="24"/>
        </w:rPr>
        <w:t xml:space="preserve">Casualty Cards </w:t>
      </w:r>
      <w:r w:rsidR="00166328" w:rsidRPr="00593BCE">
        <w:rPr>
          <w:rFonts w:ascii="Arial" w:hAnsi="Arial" w:cs="Arial"/>
          <w:sz w:val="24"/>
          <w:szCs w:val="24"/>
        </w:rPr>
        <w:t xml:space="preserve">and </w:t>
      </w:r>
      <w:r w:rsidR="00E127B5" w:rsidRPr="00593BCE">
        <w:rPr>
          <w:rFonts w:ascii="Arial" w:hAnsi="Arial" w:cs="Arial"/>
          <w:sz w:val="24"/>
          <w:szCs w:val="24"/>
        </w:rPr>
        <w:t xml:space="preserve">Discharge to Assess Scheme </w:t>
      </w:r>
      <w:r w:rsidR="00FF2844" w:rsidRPr="00593BCE">
        <w:rPr>
          <w:rFonts w:ascii="Arial" w:hAnsi="Arial" w:cs="Arial"/>
          <w:sz w:val="24"/>
          <w:szCs w:val="24"/>
        </w:rPr>
        <w:t>and</w:t>
      </w:r>
      <w:r w:rsidR="00F53B8D" w:rsidRPr="00593BCE">
        <w:rPr>
          <w:rFonts w:ascii="Arial" w:hAnsi="Arial" w:cs="Arial"/>
          <w:sz w:val="24"/>
          <w:szCs w:val="24"/>
        </w:rPr>
        <w:t xml:space="preserve"> Accidents</w:t>
      </w:r>
      <w:r w:rsidR="005D0962" w:rsidRPr="00593BCE">
        <w:rPr>
          <w:rFonts w:ascii="Arial" w:hAnsi="Arial" w:cs="Arial"/>
          <w:sz w:val="24"/>
          <w:szCs w:val="24"/>
        </w:rPr>
        <w:t xml:space="preserve"> [</w:t>
      </w:r>
      <w:r w:rsidR="003343A8" w:rsidRPr="00593BCE">
        <w:rPr>
          <w:rFonts w:ascii="Arial" w:hAnsi="Arial" w:cs="Arial"/>
          <w:sz w:val="24"/>
          <w:szCs w:val="24"/>
        </w:rPr>
        <w:t>19</w:t>
      </w:r>
      <w:r w:rsidR="005D0962" w:rsidRPr="00593BCE">
        <w:rPr>
          <w:rFonts w:ascii="Arial" w:hAnsi="Arial" w:cs="Arial"/>
          <w:sz w:val="24"/>
          <w:szCs w:val="24"/>
        </w:rPr>
        <w:t>]</w:t>
      </w:r>
      <w:r w:rsidR="00F53B8D" w:rsidRPr="00593BCE">
        <w:rPr>
          <w:rFonts w:ascii="Arial" w:hAnsi="Arial" w:cs="Arial"/>
          <w:sz w:val="24"/>
          <w:szCs w:val="24"/>
        </w:rPr>
        <w:t>.</w:t>
      </w:r>
      <w:r w:rsidR="007D719B" w:rsidRPr="00593BCE">
        <w:rPr>
          <w:rFonts w:ascii="Arial" w:hAnsi="Arial" w:cs="Arial"/>
          <w:sz w:val="24"/>
          <w:szCs w:val="24"/>
        </w:rPr>
        <w:t xml:space="preserve"> </w:t>
      </w:r>
      <w:r w:rsidR="00E8544C" w:rsidRPr="00593BCE">
        <w:rPr>
          <w:rFonts w:ascii="Arial" w:hAnsi="Arial" w:cs="Arial"/>
          <w:sz w:val="24"/>
          <w:szCs w:val="24"/>
        </w:rPr>
        <w:t xml:space="preserve">We also promote awareness by participating in “World Delirium Day”, </w:t>
      </w:r>
      <w:r w:rsidR="002B111A" w:rsidRPr="00593BCE">
        <w:rPr>
          <w:rFonts w:ascii="Arial" w:hAnsi="Arial" w:cs="Arial"/>
          <w:sz w:val="24"/>
          <w:szCs w:val="24"/>
        </w:rPr>
        <w:t>regular training update</w:t>
      </w:r>
      <w:r w:rsidR="005D13A0" w:rsidRPr="00593BCE">
        <w:rPr>
          <w:rFonts w:ascii="Arial" w:hAnsi="Arial" w:cs="Arial"/>
          <w:sz w:val="24"/>
          <w:szCs w:val="24"/>
        </w:rPr>
        <w:t>s</w:t>
      </w:r>
      <w:r w:rsidR="002B111A" w:rsidRPr="00593BCE">
        <w:rPr>
          <w:rFonts w:ascii="Arial" w:hAnsi="Arial" w:cs="Arial"/>
          <w:sz w:val="24"/>
          <w:szCs w:val="24"/>
        </w:rPr>
        <w:t xml:space="preserve"> </w:t>
      </w:r>
      <w:r w:rsidR="00E8544C" w:rsidRPr="00593BCE">
        <w:rPr>
          <w:rFonts w:ascii="Arial" w:hAnsi="Arial" w:cs="Arial"/>
          <w:sz w:val="24"/>
          <w:szCs w:val="24"/>
        </w:rPr>
        <w:t>for staff</w:t>
      </w:r>
      <w:r w:rsidR="005D13A0" w:rsidRPr="00593BCE">
        <w:rPr>
          <w:rFonts w:ascii="Arial" w:hAnsi="Arial" w:cs="Arial"/>
          <w:sz w:val="24"/>
          <w:szCs w:val="24"/>
        </w:rPr>
        <w:t>, as well as</w:t>
      </w:r>
      <w:r w:rsidR="00E8544C" w:rsidRPr="00593BCE">
        <w:rPr>
          <w:rFonts w:ascii="Arial" w:hAnsi="Arial" w:cs="Arial"/>
          <w:sz w:val="24"/>
          <w:szCs w:val="24"/>
        </w:rPr>
        <w:t xml:space="preserve"> </w:t>
      </w:r>
      <w:r w:rsidR="002B111A" w:rsidRPr="00593BCE">
        <w:rPr>
          <w:rFonts w:ascii="Arial" w:hAnsi="Arial" w:cs="Arial"/>
          <w:sz w:val="24"/>
          <w:szCs w:val="24"/>
        </w:rPr>
        <w:t xml:space="preserve">conducting </w:t>
      </w:r>
      <w:r w:rsidR="00942192" w:rsidRPr="00593BCE">
        <w:rPr>
          <w:rFonts w:ascii="Arial" w:hAnsi="Arial" w:cs="Arial"/>
          <w:sz w:val="24"/>
          <w:szCs w:val="24"/>
        </w:rPr>
        <w:t xml:space="preserve">research and </w:t>
      </w:r>
      <w:r w:rsidR="00E8544C" w:rsidRPr="00593BCE">
        <w:rPr>
          <w:rFonts w:ascii="Arial" w:hAnsi="Arial" w:cs="Arial"/>
          <w:sz w:val="24"/>
          <w:szCs w:val="24"/>
        </w:rPr>
        <w:t>audits</w:t>
      </w:r>
      <w:r w:rsidR="005D0962" w:rsidRPr="00593BCE">
        <w:rPr>
          <w:rFonts w:ascii="Arial" w:hAnsi="Arial" w:cs="Arial"/>
          <w:sz w:val="24"/>
          <w:szCs w:val="24"/>
        </w:rPr>
        <w:t xml:space="preserve"> [</w:t>
      </w:r>
      <w:r w:rsidR="003343A8" w:rsidRPr="00593BCE">
        <w:rPr>
          <w:rFonts w:ascii="Arial" w:hAnsi="Arial" w:cs="Arial"/>
          <w:sz w:val="24"/>
          <w:szCs w:val="24"/>
        </w:rPr>
        <w:t>20</w:t>
      </w:r>
      <w:r w:rsidR="005D0962" w:rsidRPr="00593BCE">
        <w:rPr>
          <w:rFonts w:ascii="Arial" w:hAnsi="Arial" w:cs="Arial"/>
          <w:sz w:val="24"/>
          <w:szCs w:val="24"/>
        </w:rPr>
        <w:t>]</w:t>
      </w:r>
      <w:r w:rsidR="00E8544C" w:rsidRPr="00593BCE">
        <w:rPr>
          <w:rFonts w:ascii="Arial" w:hAnsi="Arial" w:cs="Arial"/>
          <w:sz w:val="24"/>
          <w:szCs w:val="24"/>
        </w:rPr>
        <w:t>.</w:t>
      </w:r>
      <w:r w:rsidR="006440A6" w:rsidRPr="00593BCE">
        <w:rPr>
          <w:rFonts w:ascii="Arial" w:hAnsi="Arial" w:cs="Arial"/>
          <w:sz w:val="24"/>
          <w:szCs w:val="24"/>
        </w:rPr>
        <w:t xml:space="preserve"> </w:t>
      </w:r>
      <w:r w:rsidR="009E0BF0" w:rsidRPr="00593BCE">
        <w:rPr>
          <w:rFonts w:ascii="Arial" w:hAnsi="Arial" w:cs="Arial"/>
          <w:sz w:val="24"/>
          <w:szCs w:val="24"/>
        </w:rPr>
        <w:t xml:space="preserve">Finally, we </w:t>
      </w:r>
      <w:r w:rsidR="006440A6" w:rsidRPr="00593BCE">
        <w:rPr>
          <w:rFonts w:ascii="Arial" w:hAnsi="Arial" w:cs="Arial"/>
          <w:sz w:val="24"/>
          <w:szCs w:val="24"/>
        </w:rPr>
        <w:t>provide consultant geriatrician</w:t>
      </w:r>
      <w:r w:rsidR="0056096D" w:rsidRPr="00593BCE">
        <w:rPr>
          <w:rFonts w:ascii="Arial" w:hAnsi="Arial" w:cs="Arial"/>
          <w:sz w:val="24"/>
          <w:szCs w:val="24"/>
        </w:rPr>
        <w:t>-</w:t>
      </w:r>
      <w:r w:rsidR="006440A6" w:rsidRPr="00593BCE">
        <w:rPr>
          <w:rFonts w:ascii="Arial" w:hAnsi="Arial" w:cs="Arial"/>
          <w:sz w:val="24"/>
          <w:szCs w:val="24"/>
        </w:rPr>
        <w:t xml:space="preserve">led ward rounds daily, with </w:t>
      </w:r>
      <w:r w:rsidR="009E0BF0" w:rsidRPr="00593BCE">
        <w:rPr>
          <w:rFonts w:ascii="Arial" w:hAnsi="Arial" w:cs="Arial"/>
          <w:sz w:val="24"/>
          <w:szCs w:val="24"/>
        </w:rPr>
        <w:t xml:space="preserve">a </w:t>
      </w:r>
      <w:r w:rsidR="006440A6" w:rsidRPr="00593BCE">
        <w:rPr>
          <w:rFonts w:ascii="Arial" w:hAnsi="Arial" w:cs="Arial"/>
          <w:sz w:val="24"/>
          <w:szCs w:val="24"/>
        </w:rPr>
        <w:t xml:space="preserve">focus on pain management, constipation, drugs and </w:t>
      </w:r>
      <w:r w:rsidR="0056096D" w:rsidRPr="00593BCE">
        <w:rPr>
          <w:rFonts w:ascii="Arial" w:hAnsi="Arial" w:cs="Arial"/>
          <w:sz w:val="24"/>
          <w:szCs w:val="24"/>
        </w:rPr>
        <w:t>urinary retention</w:t>
      </w:r>
      <w:r w:rsidR="006440A6" w:rsidRPr="00593BCE">
        <w:rPr>
          <w:rFonts w:ascii="Arial" w:hAnsi="Arial" w:cs="Arial"/>
          <w:sz w:val="24"/>
          <w:szCs w:val="24"/>
        </w:rPr>
        <w:t>.</w:t>
      </w:r>
    </w:p>
    <w:p w14:paraId="0DF6354F" w14:textId="77777777" w:rsidR="00A53E5F" w:rsidRPr="00593BCE" w:rsidRDefault="00A53E5F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ECE65CE" w14:textId="463C42C8" w:rsidR="004D4CE1" w:rsidRPr="00593BCE" w:rsidRDefault="001F1947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 xml:space="preserve">A </w:t>
      </w:r>
      <w:r w:rsidR="006A0033" w:rsidRPr="00593BCE">
        <w:rPr>
          <w:rFonts w:ascii="Arial" w:hAnsi="Arial" w:cs="Arial"/>
          <w:sz w:val="24"/>
          <w:szCs w:val="24"/>
        </w:rPr>
        <w:t xml:space="preserve">4AT measurement </w:t>
      </w:r>
      <w:r w:rsidR="004B71A0" w:rsidRPr="00593BCE">
        <w:rPr>
          <w:rFonts w:ascii="Arial" w:hAnsi="Arial" w:cs="Arial"/>
          <w:sz w:val="24"/>
          <w:szCs w:val="24"/>
        </w:rPr>
        <w:t xml:space="preserve">within </w:t>
      </w:r>
      <w:r w:rsidR="00A25C6B" w:rsidRPr="00593BCE">
        <w:rPr>
          <w:rFonts w:ascii="Arial" w:hAnsi="Arial" w:cs="Arial"/>
          <w:sz w:val="24"/>
          <w:szCs w:val="24"/>
        </w:rPr>
        <w:t>1</w:t>
      </w:r>
      <w:r w:rsidR="00F21485" w:rsidRPr="00593BCE">
        <w:rPr>
          <w:rFonts w:ascii="Arial" w:hAnsi="Arial" w:cs="Arial"/>
          <w:sz w:val="24"/>
          <w:szCs w:val="24"/>
        </w:rPr>
        <w:t>-</w:t>
      </w:r>
      <w:r w:rsidR="00A25C6B" w:rsidRPr="00593BCE">
        <w:rPr>
          <w:rFonts w:ascii="Arial" w:hAnsi="Arial" w:cs="Arial"/>
          <w:sz w:val="24"/>
          <w:szCs w:val="24"/>
        </w:rPr>
        <w:t>d</w:t>
      </w:r>
      <w:r w:rsidR="00BE28D0" w:rsidRPr="00593BCE">
        <w:rPr>
          <w:rFonts w:ascii="Arial" w:hAnsi="Arial" w:cs="Arial"/>
          <w:sz w:val="24"/>
          <w:szCs w:val="24"/>
        </w:rPr>
        <w:t>ay</w:t>
      </w:r>
      <w:r w:rsidR="00A25C6B" w:rsidRPr="00593BCE">
        <w:rPr>
          <w:rFonts w:ascii="Arial" w:hAnsi="Arial" w:cs="Arial"/>
          <w:sz w:val="24"/>
          <w:szCs w:val="24"/>
        </w:rPr>
        <w:t xml:space="preserve"> after hip surgery</w:t>
      </w:r>
      <w:r w:rsidR="006A0033" w:rsidRPr="00593BCE">
        <w:rPr>
          <w:rFonts w:ascii="Arial" w:hAnsi="Arial" w:cs="Arial"/>
          <w:sz w:val="24"/>
          <w:szCs w:val="24"/>
        </w:rPr>
        <w:t xml:space="preserve"> provides consistency of assessment for all patients</w:t>
      </w:r>
      <w:r w:rsidR="009B178C" w:rsidRPr="00593BCE">
        <w:rPr>
          <w:rFonts w:ascii="Arial" w:hAnsi="Arial" w:cs="Arial"/>
          <w:sz w:val="24"/>
          <w:szCs w:val="24"/>
        </w:rPr>
        <w:t>.</w:t>
      </w:r>
      <w:r w:rsidR="006A0033" w:rsidRPr="00593BCE">
        <w:rPr>
          <w:rFonts w:ascii="Arial" w:hAnsi="Arial" w:cs="Arial"/>
          <w:sz w:val="24"/>
          <w:szCs w:val="24"/>
        </w:rPr>
        <w:t xml:space="preserve"> </w:t>
      </w:r>
      <w:r w:rsidR="009B178C" w:rsidRPr="00593BCE">
        <w:rPr>
          <w:rFonts w:ascii="Arial" w:hAnsi="Arial" w:cs="Arial"/>
          <w:sz w:val="24"/>
          <w:szCs w:val="24"/>
        </w:rPr>
        <w:t>W</w:t>
      </w:r>
      <w:r w:rsidR="00A3365B" w:rsidRPr="00593BCE">
        <w:rPr>
          <w:rFonts w:ascii="Arial" w:hAnsi="Arial" w:cs="Arial"/>
          <w:sz w:val="24"/>
          <w:szCs w:val="24"/>
        </w:rPr>
        <w:t>e recognise that t</w:t>
      </w:r>
      <w:r w:rsidR="00F52217" w:rsidRPr="00593BCE">
        <w:rPr>
          <w:rFonts w:ascii="Arial" w:hAnsi="Arial" w:cs="Arial"/>
          <w:sz w:val="24"/>
          <w:szCs w:val="24"/>
        </w:rPr>
        <w:t xml:space="preserve">he relationship between delirium and </w:t>
      </w:r>
      <w:r w:rsidR="00A3365B" w:rsidRPr="00593BCE">
        <w:rPr>
          <w:rFonts w:ascii="Arial" w:hAnsi="Arial" w:cs="Arial"/>
          <w:sz w:val="24"/>
          <w:szCs w:val="24"/>
        </w:rPr>
        <w:t xml:space="preserve">these health </w:t>
      </w:r>
      <w:r w:rsidR="00F52217" w:rsidRPr="00593BCE">
        <w:rPr>
          <w:rFonts w:ascii="Arial" w:hAnsi="Arial" w:cs="Arial"/>
          <w:sz w:val="24"/>
          <w:szCs w:val="24"/>
        </w:rPr>
        <w:t>outcome</w:t>
      </w:r>
      <w:r w:rsidR="00A3365B" w:rsidRPr="00593BCE">
        <w:rPr>
          <w:rFonts w:ascii="Arial" w:hAnsi="Arial" w:cs="Arial"/>
          <w:sz w:val="24"/>
          <w:szCs w:val="24"/>
        </w:rPr>
        <w:t xml:space="preserve"> measures </w:t>
      </w:r>
      <w:r w:rsidR="00BF1FE5" w:rsidRPr="00593BCE">
        <w:rPr>
          <w:rFonts w:ascii="Arial" w:hAnsi="Arial" w:cs="Arial"/>
          <w:sz w:val="24"/>
          <w:szCs w:val="24"/>
        </w:rPr>
        <w:t xml:space="preserve">is likely to be complex and multifactorial. </w:t>
      </w:r>
      <w:r w:rsidR="004D4CE1" w:rsidRPr="00593BCE">
        <w:rPr>
          <w:rFonts w:ascii="Arial" w:hAnsi="Arial" w:cs="Arial"/>
          <w:sz w:val="24"/>
          <w:szCs w:val="24"/>
        </w:rPr>
        <w:t>The present study observed a number of underlying factors associated with cognitive impairment and delirium prior to 4AT assessment</w:t>
      </w:r>
      <w:r w:rsidR="001528ED" w:rsidRPr="00593BCE">
        <w:rPr>
          <w:rFonts w:ascii="Arial" w:hAnsi="Arial" w:cs="Arial"/>
          <w:sz w:val="24"/>
          <w:szCs w:val="24"/>
        </w:rPr>
        <w:t xml:space="preserve"> including nutritional status</w:t>
      </w:r>
      <w:r w:rsidR="00292F26" w:rsidRPr="00593BCE">
        <w:rPr>
          <w:rFonts w:ascii="Arial" w:hAnsi="Arial" w:cs="Arial"/>
          <w:sz w:val="24"/>
          <w:szCs w:val="24"/>
        </w:rPr>
        <w:t>, pre-existing co-morbidities, polypharmacy and ACB</w:t>
      </w:r>
      <w:r w:rsidR="00BF1FE5" w:rsidRPr="00593BCE">
        <w:rPr>
          <w:rFonts w:ascii="Arial" w:hAnsi="Arial" w:cs="Arial"/>
          <w:sz w:val="24"/>
          <w:szCs w:val="24"/>
        </w:rPr>
        <w:t xml:space="preserve">. </w:t>
      </w:r>
      <w:r w:rsidR="001528ED" w:rsidRPr="00593BCE">
        <w:rPr>
          <w:rFonts w:ascii="Arial" w:hAnsi="Arial" w:cs="Arial"/>
          <w:sz w:val="24"/>
          <w:szCs w:val="24"/>
        </w:rPr>
        <w:t>Since these</w:t>
      </w:r>
      <w:r w:rsidR="00BF1FE5" w:rsidRPr="00593BCE">
        <w:rPr>
          <w:rFonts w:ascii="Arial" w:hAnsi="Arial" w:cs="Arial"/>
          <w:sz w:val="24"/>
          <w:szCs w:val="24"/>
        </w:rPr>
        <w:t xml:space="preserve"> factors also associate with adverse outcomes</w:t>
      </w:r>
      <w:r w:rsidR="00F21485" w:rsidRPr="00593BCE">
        <w:rPr>
          <w:rFonts w:ascii="Arial" w:hAnsi="Arial" w:cs="Arial"/>
          <w:sz w:val="24"/>
          <w:szCs w:val="24"/>
        </w:rPr>
        <w:t>,</w:t>
      </w:r>
      <w:r w:rsidR="004D4CE1" w:rsidRPr="00593BCE">
        <w:rPr>
          <w:rFonts w:ascii="Arial" w:hAnsi="Arial" w:cs="Arial"/>
          <w:sz w:val="24"/>
          <w:szCs w:val="24"/>
        </w:rPr>
        <w:t xml:space="preserve"> </w:t>
      </w:r>
      <w:r w:rsidR="001528ED" w:rsidRPr="00593BCE">
        <w:rPr>
          <w:rFonts w:ascii="Arial" w:hAnsi="Arial" w:cs="Arial"/>
          <w:sz w:val="24"/>
          <w:szCs w:val="24"/>
        </w:rPr>
        <w:t xml:space="preserve">they were </w:t>
      </w:r>
      <w:r w:rsidR="00F21485" w:rsidRPr="00593BCE">
        <w:rPr>
          <w:rFonts w:ascii="Arial" w:hAnsi="Arial" w:cs="Arial"/>
          <w:sz w:val="24"/>
          <w:szCs w:val="24"/>
        </w:rPr>
        <w:t xml:space="preserve">therefore </w:t>
      </w:r>
      <w:r w:rsidR="001528ED" w:rsidRPr="00593BCE">
        <w:rPr>
          <w:rFonts w:ascii="Arial" w:hAnsi="Arial" w:cs="Arial"/>
          <w:sz w:val="24"/>
          <w:szCs w:val="24"/>
        </w:rPr>
        <w:t>included</w:t>
      </w:r>
      <w:r w:rsidR="004D4CE1" w:rsidRPr="00593BCE">
        <w:rPr>
          <w:rFonts w:ascii="Arial" w:hAnsi="Arial" w:cs="Arial"/>
          <w:sz w:val="24"/>
          <w:szCs w:val="24"/>
        </w:rPr>
        <w:t xml:space="preserve"> in </w:t>
      </w:r>
      <w:r w:rsidR="000F27F9" w:rsidRPr="00593BCE">
        <w:rPr>
          <w:rFonts w:ascii="Arial" w:hAnsi="Arial" w:cs="Arial"/>
          <w:sz w:val="24"/>
          <w:szCs w:val="24"/>
        </w:rPr>
        <w:t xml:space="preserve">multivariable </w:t>
      </w:r>
      <w:r w:rsidR="004D4CE1" w:rsidRPr="00593BCE">
        <w:rPr>
          <w:rFonts w:ascii="Arial" w:hAnsi="Arial" w:cs="Arial"/>
          <w:sz w:val="24"/>
          <w:szCs w:val="24"/>
        </w:rPr>
        <w:t xml:space="preserve">logistic regression models. </w:t>
      </w:r>
      <w:r w:rsidR="009E0BF0" w:rsidRPr="00593BCE">
        <w:rPr>
          <w:rFonts w:ascii="Arial" w:hAnsi="Arial" w:cs="Arial"/>
          <w:sz w:val="24"/>
          <w:szCs w:val="24"/>
        </w:rPr>
        <w:t xml:space="preserve">However, </w:t>
      </w:r>
      <w:r w:rsidR="00D27CB6" w:rsidRPr="00593BCE">
        <w:rPr>
          <w:rFonts w:ascii="Arial" w:hAnsi="Arial" w:cs="Arial"/>
          <w:sz w:val="24"/>
          <w:szCs w:val="24"/>
        </w:rPr>
        <w:t>high 4AT</w:t>
      </w:r>
      <w:r w:rsidR="009E0BF0" w:rsidRPr="00593BCE">
        <w:rPr>
          <w:rFonts w:ascii="Arial" w:hAnsi="Arial" w:cs="Arial"/>
          <w:sz w:val="24"/>
          <w:szCs w:val="24"/>
        </w:rPr>
        <w:t xml:space="preserve"> </w:t>
      </w:r>
      <w:r w:rsidR="00D27CB6" w:rsidRPr="00593BCE">
        <w:rPr>
          <w:rFonts w:ascii="Arial" w:hAnsi="Arial" w:cs="Arial"/>
          <w:sz w:val="24"/>
          <w:szCs w:val="24"/>
        </w:rPr>
        <w:t xml:space="preserve">scores </w:t>
      </w:r>
      <w:r w:rsidR="009E0BF0" w:rsidRPr="00593BCE">
        <w:rPr>
          <w:rFonts w:ascii="Arial" w:hAnsi="Arial" w:cs="Arial"/>
          <w:sz w:val="24"/>
          <w:szCs w:val="24"/>
        </w:rPr>
        <w:t>remain an independent risk factor for adverse outcomes, even a</w:t>
      </w:r>
      <w:r w:rsidR="00BF1FE5" w:rsidRPr="00593BCE">
        <w:rPr>
          <w:rFonts w:ascii="Arial" w:hAnsi="Arial" w:cs="Arial"/>
          <w:sz w:val="24"/>
          <w:szCs w:val="24"/>
        </w:rPr>
        <w:t>fter extensive adjustment</w:t>
      </w:r>
      <w:r w:rsidR="001528ED" w:rsidRPr="00593BCE">
        <w:rPr>
          <w:rFonts w:ascii="Arial" w:hAnsi="Arial" w:cs="Arial"/>
          <w:sz w:val="24"/>
          <w:szCs w:val="24"/>
        </w:rPr>
        <w:t>s</w:t>
      </w:r>
      <w:r w:rsidR="00BF1FE5" w:rsidRPr="00593BCE">
        <w:rPr>
          <w:rFonts w:ascii="Arial" w:hAnsi="Arial" w:cs="Arial"/>
          <w:sz w:val="24"/>
          <w:szCs w:val="24"/>
        </w:rPr>
        <w:t xml:space="preserve"> for major confounding factors</w:t>
      </w:r>
      <w:r w:rsidR="00F54FC5" w:rsidRPr="00593BCE">
        <w:rPr>
          <w:rFonts w:ascii="Arial" w:hAnsi="Arial" w:cs="Arial"/>
          <w:sz w:val="24"/>
          <w:szCs w:val="24"/>
        </w:rPr>
        <w:t xml:space="preserve"> or </w:t>
      </w:r>
      <w:r w:rsidR="009E0BF0" w:rsidRPr="00593BCE">
        <w:rPr>
          <w:rFonts w:ascii="Arial" w:hAnsi="Arial" w:cs="Arial"/>
          <w:sz w:val="24"/>
          <w:szCs w:val="24"/>
        </w:rPr>
        <w:t xml:space="preserve">exclusion of </w:t>
      </w:r>
      <w:r w:rsidR="00F54FC5" w:rsidRPr="00593BCE">
        <w:rPr>
          <w:rFonts w:ascii="Arial" w:hAnsi="Arial" w:cs="Arial"/>
          <w:sz w:val="24"/>
          <w:szCs w:val="24"/>
        </w:rPr>
        <w:t xml:space="preserve">patients </w:t>
      </w:r>
      <w:r w:rsidR="00F54FC5" w:rsidRPr="00593BCE">
        <w:rPr>
          <w:rFonts w:ascii="Arial" w:hAnsi="Arial" w:cs="Arial"/>
          <w:sz w:val="24"/>
          <w:szCs w:val="24"/>
        </w:rPr>
        <w:lastRenderedPageBreak/>
        <w:t>with dementia</w:t>
      </w:r>
      <w:r w:rsidR="009E0BF0" w:rsidRPr="00593BCE">
        <w:rPr>
          <w:rFonts w:ascii="Arial" w:hAnsi="Arial" w:cs="Arial"/>
          <w:sz w:val="24"/>
          <w:szCs w:val="24"/>
        </w:rPr>
        <w:t xml:space="preserve">. </w:t>
      </w:r>
      <w:r w:rsidR="00A3365B" w:rsidRPr="00593BCE">
        <w:rPr>
          <w:rFonts w:ascii="Arial" w:hAnsi="Arial" w:cs="Arial"/>
          <w:sz w:val="24"/>
          <w:szCs w:val="24"/>
        </w:rPr>
        <w:t>Ou</w:t>
      </w:r>
      <w:r w:rsidR="000144FF" w:rsidRPr="00593BCE">
        <w:rPr>
          <w:rFonts w:ascii="Arial" w:hAnsi="Arial" w:cs="Arial"/>
          <w:sz w:val="24"/>
          <w:szCs w:val="24"/>
        </w:rPr>
        <w:t>r findings are consistent with previous studies showing delirium was associated with increased LOS between 3 days [</w:t>
      </w:r>
      <w:r w:rsidR="003343A8" w:rsidRPr="00593BCE">
        <w:rPr>
          <w:rFonts w:ascii="Arial" w:hAnsi="Arial" w:cs="Arial"/>
          <w:sz w:val="24"/>
          <w:szCs w:val="24"/>
        </w:rPr>
        <w:t>21</w:t>
      </w:r>
      <w:r w:rsidR="000144FF" w:rsidRPr="00593BCE">
        <w:rPr>
          <w:rFonts w:ascii="Arial" w:hAnsi="Arial" w:cs="Arial"/>
          <w:sz w:val="24"/>
          <w:szCs w:val="24"/>
        </w:rPr>
        <w:t xml:space="preserve">] to </w:t>
      </w:r>
      <w:r w:rsidR="009478EE" w:rsidRPr="00593BCE">
        <w:rPr>
          <w:rFonts w:ascii="Arial" w:hAnsi="Arial" w:cs="Arial"/>
          <w:sz w:val="24"/>
          <w:szCs w:val="24"/>
        </w:rPr>
        <w:t xml:space="preserve">more than a week </w:t>
      </w:r>
      <w:r w:rsidR="000144FF" w:rsidRPr="00593BCE">
        <w:rPr>
          <w:rFonts w:ascii="Arial" w:hAnsi="Arial" w:cs="Arial"/>
          <w:sz w:val="24"/>
          <w:szCs w:val="24"/>
        </w:rPr>
        <w:t>[</w:t>
      </w:r>
      <w:r w:rsidR="003343A8" w:rsidRPr="00593BCE">
        <w:rPr>
          <w:rFonts w:ascii="Arial" w:hAnsi="Arial" w:cs="Arial"/>
          <w:sz w:val="24"/>
          <w:szCs w:val="24"/>
        </w:rPr>
        <w:t>22</w:t>
      </w:r>
      <w:r w:rsidR="000144FF" w:rsidRPr="00593BCE">
        <w:rPr>
          <w:rFonts w:ascii="Arial" w:hAnsi="Arial" w:cs="Arial"/>
          <w:sz w:val="24"/>
          <w:szCs w:val="24"/>
        </w:rPr>
        <w:t xml:space="preserve">], </w:t>
      </w:r>
      <w:r w:rsidR="006A4AF7" w:rsidRPr="00593BCE">
        <w:rPr>
          <w:rFonts w:ascii="Arial" w:hAnsi="Arial" w:cs="Arial"/>
          <w:sz w:val="24"/>
          <w:szCs w:val="24"/>
        </w:rPr>
        <w:t>mortality</w:t>
      </w:r>
      <w:r w:rsidR="005F2FE7" w:rsidRPr="00593BCE">
        <w:rPr>
          <w:rFonts w:ascii="Arial" w:hAnsi="Arial" w:cs="Arial"/>
          <w:sz w:val="24"/>
          <w:szCs w:val="24"/>
        </w:rPr>
        <w:t xml:space="preserve"> </w:t>
      </w:r>
      <w:r w:rsidR="000144FF" w:rsidRPr="00593BCE">
        <w:rPr>
          <w:rFonts w:ascii="Arial" w:hAnsi="Arial" w:cs="Arial"/>
          <w:sz w:val="24"/>
          <w:szCs w:val="24"/>
        </w:rPr>
        <w:t>[</w:t>
      </w:r>
      <w:r w:rsidR="005F2FE7" w:rsidRPr="00593BCE">
        <w:rPr>
          <w:rFonts w:ascii="Arial" w:hAnsi="Arial" w:cs="Arial"/>
          <w:sz w:val="24"/>
          <w:szCs w:val="24"/>
        </w:rPr>
        <w:t>2</w:t>
      </w:r>
      <w:r w:rsidR="003343A8" w:rsidRPr="00593BCE">
        <w:rPr>
          <w:rFonts w:ascii="Arial" w:hAnsi="Arial" w:cs="Arial"/>
          <w:sz w:val="24"/>
          <w:szCs w:val="24"/>
        </w:rPr>
        <w:t>1</w:t>
      </w:r>
      <w:r w:rsidR="000144FF" w:rsidRPr="00593BCE">
        <w:rPr>
          <w:rFonts w:ascii="Arial" w:hAnsi="Arial" w:cs="Arial"/>
          <w:sz w:val="24"/>
          <w:szCs w:val="24"/>
        </w:rPr>
        <w:t xml:space="preserve">, </w:t>
      </w:r>
      <w:r w:rsidR="003343A8" w:rsidRPr="00593BCE">
        <w:rPr>
          <w:rFonts w:ascii="Arial" w:hAnsi="Arial" w:cs="Arial"/>
          <w:sz w:val="24"/>
          <w:szCs w:val="24"/>
        </w:rPr>
        <w:t>23</w:t>
      </w:r>
      <w:r w:rsidR="00922102" w:rsidRPr="00593BCE">
        <w:rPr>
          <w:rFonts w:ascii="Arial" w:hAnsi="Arial" w:cs="Arial"/>
          <w:sz w:val="24"/>
          <w:szCs w:val="24"/>
        </w:rPr>
        <w:t>, 2</w:t>
      </w:r>
      <w:r w:rsidR="003343A8" w:rsidRPr="00593BCE">
        <w:rPr>
          <w:rFonts w:ascii="Arial" w:hAnsi="Arial" w:cs="Arial"/>
          <w:sz w:val="24"/>
          <w:szCs w:val="24"/>
        </w:rPr>
        <w:t>4</w:t>
      </w:r>
      <w:r w:rsidR="005F2FE7" w:rsidRPr="00593BCE">
        <w:rPr>
          <w:rFonts w:ascii="Arial" w:hAnsi="Arial" w:cs="Arial"/>
          <w:sz w:val="24"/>
          <w:szCs w:val="24"/>
        </w:rPr>
        <w:t>]</w:t>
      </w:r>
      <w:r w:rsidR="006A4AF7" w:rsidRPr="00593BCE">
        <w:rPr>
          <w:rFonts w:ascii="Arial" w:hAnsi="Arial" w:cs="Arial"/>
          <w:sz w:val="24"/>
          <w:szCs w:val="24"/>
        </w:rPr>
        <w:t xml:space="preserve"> and new nursing home placement [</w:t>
      </w:r>
      <w:r w:rsidR="003343A8" w:rsidRPr="00593BCE">
        <w:rPr>
          <w:rFonts w:ascii="Arial" w:hAnsi="Arial" w:cs="Arial"/>
          <w:sz w:val="24"/>
          <w:szCs w:val="24"/>
        </w:rPr>
        <w:t>23</w:t>
      </w:r>
      <w:r w:rsidR="006A4AF7" w:rsidRPr="00593BCE">
        <w:rPr>
          <w:rFonts w:ascii="Arial" w:hAnsi="Arial" w:cs="Arial"/>
          <w:sz w:val="24"/>
          <w:szCs w:val="24"/>
        </w:rPr>
        <w:t>]</w:t>
      </w:r>
      <w:r w:rsidR="009478EE" w:rsidRPr="00593BCE">
        <w:rPr>
          <w:rFonts w:ascii="Arial" w:hAnsi="Arial" w:cs="Arial"/>
          <w:sz w:val="24"/>
          <w:szCs w:val="24"/>
        </w:rPr>
        <w:t xml:space="preserve">. </w:t>
      </w:r>
    </w:p>
    <w:p w14:paraId="3F2451B3" w14:textId="77777777" w:rsidR="00A25C6B" w:rsidRPr="00593BCE" w:rsidRDefault="00A25C6B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F5F0CE7" w14:textId="3684C30F" w:rsidR="009543B2" w:rsidRPr="00593BCE" w:rsidRDefault="00900576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 xml:space="preserve">The </w:t>
      </w:r>
      <w:r w:rsidR="004306AD" w:rsidRPr="00593BCE">
        <w:rPr>
          <w:rFonts w:ascii="Arial" w:hAnsi="Arial" w:cs="Arial"/>
          <w:sz w:val="24"/>
          <w:szCs w:val="24"/>
        </w:rPr>
        <w:t>strength</w:t>
      </w:r>
      <w:r w:rsidRPr="00593BCE">
        <w:rPr>
          <w:rFonts w:ascii="Arial" w:hAnsi="Arial" w:cs="Arial"/>
          <w:sz w:val="24"/>
          <w:szCs w:val="24"/>
        </w:rPr>
        <w:t>s</w:t>
      </w:r>
      <w:r w:rsidR="004306AD" w:rsidRPr="00593BCE">
        <w:rPr>
          <w:rFonts w:ascii="Arial" w:hAnsi="Arial" w:cs="Arial"/>
          <w:sz w:val="24"/>
          <w:szCs w:val="24"/>
        </w:rPr>
        <w:t xml:space="preserve"> of </w:t>
      </w:r>
      <w:r w:rsidRPr="00593BCE">
        <w:rPr>
          <w:rFonts w:ascii="Arial" w:hAnsi="Arial" w:cs="Arial"/>
          <w:sz w:val="24"/>
          <w:szCs w:val="24"/>
        </w:rPr>
        <w:t xml:space="preserve">this </w:t>
      </w:r>
      <w:r w:rsidR="004306AD" w:rsidRPr="00593BCE">
        <w:rPr>
          <w:rFonts w:ascii="Arial" w:hAnsi="Arial" w:cs="Arial"/>
          <w:sz w:val="24"/>
          <w:szCs w:val="24"/>
        </w:rPr>
        <w:t xml:space="preserve">study </w:t>
      </w:r>
      <w:r w:rsidRPr="00593BCE">
        <w:rPr>
          <w:rFonts w:ascii="Arial" w:hAnsi="Arial" w:cs="Arial"/>
          <w:sz w:val="24"/>
          <w:szCs w:val="24"/>
        </w:rPr>
        <w:t xml:space="preserve">include data form a </w:t>
      </w:r>
      <w:r w:rsidR="004306AD" w:rsidRPr="00593BCE">
        <w:rPr>
          <w:rFonts w:ascii="Arial" w:hAnsi="Arial" w:cs="Arial"/>
          <w:sz w:val="24"/>
          <w:szCs w:val="24"/>
        </w:rPr>
        <w:t xml:space="preserve">large number of participants collected consecutively over a </w:t>
      </w:r>
      <w:r w:rsidR="0016777E" w:rsidRPr="00593BCE">
        <w:rPr>
          <w:rFonts w:ascii="Arial" w:hAnsi="Arial" w:cs="Arial"/>
          <w:sz w:val="24"/>
          <w:szCs w:val="24"/>
        </w:rPr>
        <w:t xml:space="preserve">relatively long </w:t>
      </w:r>
      <w:r w:rsidR="002841F3" w:rsidRPr="00593BCE">
        <w:rPr>
          <w:rFonts w:ascii="Arial" w:hAnsi="Arial" w:cs="Arial"/>
          <w:sz w:val="24"/>
          <w:szCs w:val="24"/>
        </w:rPr>
        <w:t>period of 18</w:t>
      </w:r>
      <w:r w:rsidR="00975ACA" w:rsidRPr="00593BCE">
        <w:rPr>
          <w:rFonts w:ascii="Arial" w:hAnsi="Arial" w:cs="Arial"/>
          <w:sz w:val="24"/>
          <w:szCs w:val="24"/>
        </w:rPr>
        <w:t xml:space="preserve"> </w:t>
      </w:r>
      <w:r w:rsidR="004306AD" w:rsidRPr="00593BCE">
        <w:rPr>
          <w:rFonts w:ascii="Arial" w:hAnsi="Arial" w:cs="Arial"/>
          <w:sz w:val="24"/>
          <w:szCs w:val="24"/>
        </w:rPr>
        <w:t>months</w:t>
      </w:r>
      <w:r w:rsidRPr="00593BCE">
        <w:rPr>
          <w:rFonts w:ascii="Arial" w:hAnsi="Arial" w:cs="Arial"/>
          <w:sz w:val="24"/>
          <w:szCs w:val="24"/>
        </w:rPr>
        <w:t xml:space="preserve">, as well as records of patients’ </w:t>
      </w:r>
      <w:r w:rsidR="007E3D78" w:rsidRPr="00593BCE">
        <w:rPr>
          <w:rFonts w:ascii="Arial" w:hAnsi="Arial" w:cs="Arial"/>
          <w:sz w:val="24"/>
          <w:szCs w:val="24"/>
        </w:rPr>
        <w:t>nutritional</w:t>
      </w:r>
      <w:r w:rsidR="005D13A0" w:rsidRPr="00593BCE">
        <w:rPr>
          <w:rFonts w:ascii="Arial" w:hAnsi="Arial" w:cs="Arial"/>
          <w:sz w:val="24"/>
          <w:szCs w:val="24"/>
        </w:rPr>
        <w:t xml:space="preserve"> status</w:t>
      </w:r>
      <w:r w:rsidR="007E3D78" w:rsidRPr="00593BCE">
        <w:rPr>
          <w:rFonts w:ascii="Arial" w:hAnsi="Arial" w:cs="Arial"/>
          <w:sz w:val="24"/>
          <w:szCs w:val="24"/>
        </w:rPr>
        <w:t xml:space="preserve">, </w:t>
      </w:r>
      <w:r w:rsidRPr="00593BCE">
        <w:rPr>
          <w:rFonts w:ascii="Arial" w:hAnsi="Arial" w:cs="Arial"/>
          <w:sz w:val="24"/>
          <w:szCs w:val="24"/>
        </w:rPr>
        <w:t xml:space="preserve">co-morbidities and medications, </w:t>
      </w:r>
      <w:r w:rsidR="00975ACA" w:rsidRPr="00593BCE">
        <w:rPr>
          <w:rFonts w:ascii="Arial" w:hAnsi="Arial" w:cs="Arial"/>
          <w:sz w:val="24"/>
          <w:szCs w:val="24"/>
        </w:rPr>
        <w:t>and</w:t>
      </w:r>
      <w:r w:rsidR="00D723B0" w:rsidRPr="00593BCE">
        <w:rPr>
          <w:rFonts w:ascii="Arial" w:hAnsi="Arial" w:cs="Arial"/>
          <w:sz w:val="24"/>
          <w:szCs w:val="24"/>
        </w:rPr>
        <w:t xml:space="preserve"> </w:t>
      </w:r>
      <w:r w:rsidR="007E3D78" w:rsidRPr="00593BCE">
        <w:rPr>
          <w:rFonts w:ascii="Arial" w:hAnsi="Arial" w:cs="Arial"/>
          <w:sz w:val="24"/>
          <w:szCs w:val="24"/>
        </w:rPr>
        <w:t xml:space="preserve">neuropsychiatric function </w:t>
      </w:r>
      <w:r w:rsidR="005D13A0" w:rsidRPr="00593BCE">
        <w:rPr>
          <w:rFonts w:ascii="Arial" w:hAnsi="Arial" w:cs="Arial"/>
          <w:sz w:val="24"/>
          <w:szCs w:val="24"/>
        </w:rPr>
        <w:t xml:space="preserve">as </w:t>
      </w:r>
      <w:r w:rsidR="007E3D78" w:rsidRPr="00593BCE">
        <w:rPr>
          <w:rFonts w:ascii="Arial" w:hAnsi="Arial" w:cs="Arial"/>
          <w:sz w:val="24"/>
          <w:szCs w:val="24"/>
        </w:rPr>
        <w:t xml:space="preserve">measured by standardised protocols. </w:t>
      </w:r>
      <w:r w:rsidR="009543B2" w:rsidRPr="00593BCE">
        <w:rPr>
          <w:rFonts w:ascii="Arial" w:hAnsi="Arial" w:cs="Arial"/>
          <w:sz w:val="24"/>
          <w:szCs w:val="24"/>
        </w:rPr>
        <w:t xml:space="preserve">The </w:t>
      </w:r>
      <w:r w:rsidRPr="00593BCE">
        <w:rPr>
          <w:rFonts w:ascii="Arial" w:hAnsi="Arial" w:cs="Arial"/>
          <w:sz w:val="24"/>
          <w:szCs w:val="24"/>
        </w:rPr>
        <w:t xml:space="preserve">study </w:t>
      </w:r>
      <w:r w:rsidR="009543B2" w:rsidRPr="00593BCE">
        <w:rPr>
          <w:rFonts w:ascii="Arial" w:hAnsi="Arial" w:cs="Arial"/>
          <w:sz w:val="24"/>
          <w:szCs w:val="24"/>
        </w:rPr>
        <w:t xml:space="preserve">population </w:t>
      </w:r>
      <w:r w:rsidRPr="00593BCE">
        <w:rPr>
          <w:rFonts w:ascii="Arial" w:hAnsi="Arial" w:cs="Arial"/>
          <w:sz w:val="24"/>
          <w:szCs w:val="24"/>
        </w:rPr>
        <w:t xml:space="preserve">was </w:t>
      </w:r>
      <w:r w:rsidR="00F21485" w:rsidRPr="00593BCE">
        <w:rPr>
          <w:rFonts w:ascii="Arial" w:hAnsi="Arial" w:cs="Arial"/>
          <w:sz w:val="24"/>
          <w:szCs w:val="24"/>
        </w:rPr>
        <w:t xml:space="preserve">an </w:t>
      </w:r>
      <w:r w:rsidR="009543B2" w:rsidRPr="00593BCE">
        <w:rPr>
          <w:rFonts w:ascii="Arial" w:hAnsi="Arial" w:cs="Arial"/>
          <w:sz w:val="24"/>
          <w:szCs w:val="24"/>
        </w:rPr>
        <w:t xml:space="preserve">homogenous group of older adults who were admitted with the same condition, </w:t>
      </w:r>
      <w:r w:rsidR="005D13A0" w:rsidRPr="00593BCE">
        <w:rPr>
          <w:rFonts w:ascii="Arial" w:hAnsi="Arial" w:cs="Arial"/>
          <w:sz w:val="24"/>
          <w:szCs w:val="24"/>
        </w:rPr>
        <w:t xml:space="preserve">permitting </w:t>
      </w:r>
      <w:r w:rsidR="009543B2" w:rsidRPr="00593BCE">
        <w:rPr>
          <w:rFonts w:ascii="Arial" w:hAnsi="Arial" w:cs="Arial"/>
          <w:sz w:val="24"/>
          <w:szCs w:val="24"/>
        </w:rPr>
        <w:t xml:space="preserve">a number of </w:t>
      </w:r>
      <w:r w:rsidR="00AE3535" w:rsidRPr="00593BCE">
        <w:rPr>
          <w:rFonts w:ascii="Arial" w:hAnsi="Arial" w:cs="Arial"/>
          <w:sz w:val="24"/>
          <w:szCs w:val="24"/>
        </w:rPr>
        <w:t xml:space="preserve">potential </w:t>
      </w:r>
      <w:r w:rsidR="009543B2" w:rsidRPr="00593BCE">
        <w:rPr>
          <w:rFonts w:ascii="Arial" w:hAnsi="Arial" w:cs="Arial"/>
          <w:sz w:val="24"/>
          <w:szCs w:val="24"/>
        </w:rPr>
        <w:t xml:space="preserve">confounding factors </w:t>
      </w:r>
      <w:r w:rsidR="005D13A0" w:rsidRPr="00593BCE">
        <w:rPr>
          <w:rFonts w:ascii="Arial" w:hAnsi="Arial" w:cs="Arial"/>
          <w:sz w:val="24"/>
          <w:szCs w:val="24"/>
        </w:rPr>
        <w:t xml:space="preserve">to </w:t>
      </w:r>
      <w:r w:rsidR="00AE3535" w:rsidRPr="00593BCE">
        <w:rPr>
          <w:rFonts w:ascii="Arial" w:hAnsi="Arial" w:cs="Arial"/>
          <w:sz w:val="24"/>
          <w:szCs w:val="24"/>
        </w:rPr>
        <w:t>be</w:t>
      </w:r>
      <w:r w:rsidR="009543B2" w:rsidRPr="00593BCE">
        <w:rPr>
          <w:rFonts w:ascii="Arial" w:hAnsi="Arial" w:cs="Arial"/>
          <w:sz w:val="24"/>
          <w:szCs w:val="24"/>
        </w:rPr>
        <w:t xml:space="preserve"> eliminated</w:t>
      </w:r>
      <w:r w:rsidR="00F21485" w:rsidRPr="00593BCE">
        <w:rPr>
          <w:rFonts w:ascii="Arial" w:hAnsi="Arial" w:cs="Arial"/>
          <w:sz w:val="24"/>
          <w:szCs w:val="24"/>
        </w:rPr>
        <w:t>.</w:t>
      </w:r>
      <w:r w:rsidR="00426D2B" w:rsidRPr="00593BCE">
        <w:rPr>
          <w:rFonts w:ascii="Arial" w:hAnsi="Arial" w:cs="Arial"/>
          <w:sz w:val="24"/>
          <w:szCs w:val="24"/>
        </w:rPr>
        <w:t xml:space="preserve"> Because of the nature of our study design, we could not address the cause-effect relationships between variables. It would be useful to conduct prospective interventional studies to minimise potential risk factors and assess changes in delirium and outcome measures.</w:t>
      </w:r>
    </w:p>
    <w:p w14:paraId="2C7EE1B2" w14:textId="77777777" w:rsidR="007041B8" w:rsidRPr="00593BCE" w:rsidRDefault="007041B8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8DB5E52" w14:textId="1E3BD9BD" w:rsidR="00314732" w:rsidRPr="00593BCE" w:rsidRDefault="00314732" w:rsidP="0031473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 xml:space="preserve">The 4AT has been validated </w:t>
      </w:r>
      <w:r w:rsidR="0081085D" w:rsidRPr="00593BCE">
        <w:rPr>
          <w:rFonts w:ascii="Arial" w:hAnsi="Arial" w:cs="Arial"/>
          <w:sz w:val="24"/>
          <w:szCs w:val="24"/>
        </w:rPr>
        <w:t xml:space="preserve">among older populations </w:t>
      </w:r>
      <w:r w:rsidRPr="00593BCE">
        <w:rPr>
          <w:rFonts w:ascii="Arial" w:hAnsi="Arial" w:cs="Arial"/>
          <w:sz w:val="24"/>
          <w:szCs w:val="24"/>
        </w:rPr>
        <w:t xml:space="preserve">in many languages </w:t>
      </w:r>
      <w:r w:rsidR="006E68E1" w:rsidRPr="00593BCE">
        <w:rPr>
          <w:rFonts w:ascii="Arial" w:hAnsi="Arial" w:cs="Arial"/>
          <w:sz w:val="24"/>
          <w:szCs w:val="24"/>
        </w:rPr>
        <w:t>and</w:t>
      </w:r>
      <w:r w:rsidRPr="00593BCE">
        <w:rPr>
          <w:rFonts w:ascii="Arial" w:hAnsi="Arial" w:cs="Arial"/>
          <w:sz w:val="24"/>
          <w:szCs w:val="24"/>
        </w:rPr>
        <w:t xml:space="preserve"> in various clinical settings</w:t>
      </w:r>
      <w:r w:rsidR="006E38A3" w:rsidRPr="00593BCE">
        <w:rPr>
          <w:rFonts w:ascii="Arial" w:hAnsi="Arial" w:cs="Arial"/>
          <w:sz w:val="24"/>
          <w:szCs w:val="24"/>
        </w:rPr>
        <w:t xml:space="preserve">: furthermore it </w:t>
      </w:r>
      <w:r w:rsidR="006E68E1" w:rsidRPr="00593BCE">
        <w:rPr>
          <w:rFonts w:ascii="Arial" w:hAnsi="Arial" w:cs="Arial"/>
          <w:sz w:val="24"/>
          <w:szCs w:val="24"/>
        </w:rPr>
        <w:t xml:space="preserve">has been </w:t>
      </w:r>
      <w:r w:rsidRPr="00593BCE">
        <w:rPr>
          <w:rFonts w:ascii="Arial" w:hAnsi="Arial" w:cs="Arial"/>
          <w:sz w:val="24"/>
          <w:szCs w:val="24"/>
        </w:rPr>
        <w:t>implemented across a number of medical specialties [</w:t>
      </w:r>
      <w:r w:rsidR="003343A8" w:rsidRPr="00593BCE">
        <w:rPr>
          <w:rFonts w:ascii="Arial" w:hAnsi="Arial" w:cs="Arial"/>
          <w:sz w:val="24"/>
          <w:szCs w:val="24"/>
        </w:rPr>
        <w:t>25</w:t>
      </w:r>
      <w:r w:rsidRPr="00593BCE">
        <w:rPr>
          <w:rFonts w:ascii="Arial" w:hAnsi="Arial" w:cs="Arial"/>
          <w:sz w:val="24"/>
          <w:szCs w:val="24"/>
        </w:rPr>
        <w:t>-</w:t>
      </w:r>
      <w:r w:rsidR="003343A8" w:rsidRPr="00593BCE">
        <w:rPr>
          <w:rFonts w:ascii="Arial" w:hAnsi="Arial" w:cs="Arial"/>
          <w:sz w:val="24"/>
          <w:szCs w:val="24"/>
        </w:rPr>
        <w:t>29</w:t>
      </w:r>
      <w:r w:rsidRPr="00593BCE">
        <w:rPr>
          <w:rFonts w:ascii="Arial" w:hAnsi="Arial" w:cs="Arial"/>
          <w:sz w:val="24"/>
          <w:szCs w:val="24"/>
        </w:rPr>
        <w:t xml:space="preserve">]. </w:t>
      </w:r>
      <w:r w:rsidR="005D13A0" w:rsidRPr="00593BCE">
        <w:rPr>
          <w:rFonts w:ascii="Arial" w:hAnsi="Arial" w:cs="Arial"/>
          <w:sz w:val="24"/>
          <w:szCs w:val="24"/>
        </w:rPr>
        <w:t xml:space="preserve"> </w:t>
      </w:r>
      <w:r w:rsidRPr="00593BCE">
        <w:rPr>
          <w:rFonts w:ascii="Arial" w:hAnsi="Arial" w:cs="Arial"/>
          <w:sz w:val="24"/>
          <w:szCs w:val="24"/>
        </w:rPr>
        <w:t xml:space="preserve">Bellelli et al </w:t>
      </w:r>
      <w:r w:rsidR="005D13A0" w:rsidRPr="00593BCE">
        <w:rPr>
          <w:rFonts w:ascii="Arial" w:hAnsi="Arial" w:cs="Arial"/>
          <w:sz w:val="24"/>
          <w:szCs w:val="24"/>
        </w:rPr>
        <w:t xml:space="preserve">[25] </w:t>
      </w:r>
      <w:r w:rsidRPr="00593BCE">
        <w:rPr>
          <w:rFonts w:ascii="Arial" w:hAnsi="Arial" w:cs="Arial"/>
          <w:sz w:val="24"/>
          <w:szCs w:val="24"/>
        </w:rPr>
        <w:t xml:space="preserve">found </w:t>
      </w:r>
      <w:r w:rsidR="00B47DAD" w:rsidRPr="00593BCE">
        <w:rPr>
          <w:rFonts w:ascii="Arial" w:hAnsi="Arial" w:cs="Arial"/>
          <w:sz w:val="24"/>
          <w:szCs w:val="24"/>
        </w:rPr>
        <w:t xml:space="preserve">the Italian version </w:t>
      </w:r>
      <w:r w:rsidRPr="00593BCE">
        <w:rPr>
          <w:rFonts w:ascii="Arial" w:hAnsi="Arial" w:cs="Arial"/>
          <w:sz w:val="24"/>
          <w:szCs w:val="24"/>
        </w:rPr>
        <w:t>had a sensitivity of 89.7% and specificity 84.1% for screening delirium</w:t>
      </w:r>
      <w:r w:rsidR="00B47DAD" w:rsidRPr="00593BCE">
        <w:rPr>
          <w:rFonts w:ascii="Arial" w:hAnsi="Arial" w:cs="Arial"/>
          <w:sz w:val="24"/>
          <w:szCs w:val="24"/>
        </w:rPr>
        <w:t>,</w:t>
      </w:r>
      <w:r w:rsidR="00F066DC" w:rsidRPr="00593BCE">
        <w:rPr>
          <w:rFonts w:ascii="Arial" w:hAnsi="Arial" w:cs="Arial"/>
          <w:sz w:val="24"/>
          <w:szCs w:val="24"/>
        </w:rPr>
        <w:t xml:space="preserve"> </w:t>
      </w:r>
      <w:r w:rsidRPr="00593BCE">
        <w:rPr>
          <w:rFonts w:ascii="Arial" w:hAnsi="Arial" w:cs="Arial"/>
          <w:sz w:val="24"/>
          <w:szCs w:val="24"/>
        </w:rPr>
        <w:t>while Hendry et al</w:t>
      </w:r>
      <w:r w:rsidR="00B47DAD" w:rsidRPr="00593BCE">
        <w:rPr>
          <w:rFonts w:ascii="Arial" w:hAnsi="Arial" w:cs="Arial"/>
          <w:sz w:val="24"/>
          <w:szCs w:val="24"/>
        </w:rPr>
        <w:t xml:space="preserve"> </w:t>
      </w:r>
      <w:r w:rsidR="005D13A0" w:rsidRPr="00593BCE">
        <w:rPr>
          <w:rFonts w:ascii="Arial" w:hAnsi="Arial" w:cs="Arial"/>
          <w:sz w:val="24"/>
          <w:szCs w:val="24"/>
        </w:rPr>
        <w:t xml:space="preserve">[26], </w:t>
      </w:r>
      <w:r w:rsidR="00B47DAD" w:rsidRPr="00593BCE">
        <w:rPr>
          <w:rFonts w:ascii="Arial" w:hAnsi="Arial" w:cs="Arial"/>
          <w:sz w:val="24"/>
          <w:szCs w:val="24"/>
        </w:rPr>
        <w:t xml:space="preserve">in </w:t>
      </w:r>
      <w:r w:rsidR="00033DFE" w:rsidRPr="00593BCE">
        <w:rPr>
          <w:rFonts w:ascii="Arial" w:hAnsi="Arial" w:cs="Arial"/>
          <w:sz w:val="24"/>
          <w:szCs w:val="24"/>
        </w:rPr>
        <w:t>a</w:t>
      </w:r>
      <w:r w:rsidR="00B47DAD" w:rsidRPr="00593BCE">
        <w:rPr>
          <w:rFonts w:ascii="Arial" w:hAnsi="Arial" w:cs="Arial"/>
          <w:sz w:val="24"/>
          <w:szCs w:val="24"/>
        </w:rPr>
        <w:t xml:space="preserve"> UK</w:t>
      </w:r>
      <w:r w:rsidRPr="00593BCE">
        <w:rPr>
          <w:rFonts w:ascii="Arial" w:hAnsi="Arial" w:cs="Arial"/>
          <w:sz w:val="24"/>
          <w:szCs w:val="24"/>
        </w:rPr>
        <w:t xml:space="preserve"> </w:t>
      </w:r>
      <w:r w:rsidR="00033DFE" w:rsidRPr="00593BCE">
        <w:rPr>
          <w:rFonts w:ascii="Arial" w:hAnsi="Arial" w:cs="Arial"/>
          <w:sz w:val="24"/>
          <w:szCs w:val="24"/>
        </w:rPr>
        <w:t>study</w:t>
      </w:r>
      <w:r w:rsidR="005D13A0" w:rsidRPr="00593BCE">
        <w:rPr>
          <w:rFonts w:ascii="Arial" w:hAnsi="Arial" w:cs="Arial"/>
          <w:sz w:val="24"/>
          <w:szCs w:val="24"/>
        </w:rPr>
        <w:t>,</w:t>
      </w:r>
      <w:r w:rsidR="00033DFE" w:rsidRPr="00593BCE">
        <w:rPr>
          <w:rFonts w:ascii="Arial" w:hAnsi="Arial" w:cs="Arial"/>
          <w:sz w:val="24"/>
          <w:szCs w:val="24"/>
        </w:rPr>
        <w:t xml:space="preserve"> showed</w:t>
      </w:r>
      <w:r w:rsidRPr="00593BCE">
        <w:rPr>
          <w:rFonts w:ascii="Arial" w:hAnsi="Arial" w:cs="Arial"/>
          <w:sz w:val="24"/>
          <w:szCs w:val="24"/>
        </w:rPr>
        <w:t xml:space="preserve"> that </w:t>
      </w:r>
      <w:r w:rsidR="005D13A0" w:rsidRPr="00593BCE">
        <w:rPr>
          <w:rFonts w:ascii="Arial" w:hAnsi="Arial" w:cs="Arial"/>
          <w:sz w:val="24"/>
          <w:szCs w:val="24"/>
        </w:rPr>
        <w:t xml:space="preserve">the </w:t>
      </w:r>
      <w:r w:rsidRPr="00593BCE">
        <w:rPr>
          <w:rFonts w:ascii="Arial" w:hAnsi="Arial" w:cs="Arial"/>
          <w:sz w:val="24"/>
          <w:szCs w:val="24"/>
        </w:rPr>
        <w:t xml:space="preserve">4AT diagnosed delirium with </w:t>
      </w:r>
      <w:r w:rsidR="00B47DAD" w:rsidRPr="00593BCE">
        <w:rPr>
          <w:rFonts w:ascii="Arial" w:hAnsi="Arial" w:cs="Arial"/>
          <w:sz w:val="24"/>
          <w:szCs w:val="24"/>
        </w:rPr>
        <w:t xml:space="preserve">a </w:t>
      </w:r>
      <w:r w:rsidRPr="00593BCE">
        <w:rPr>
          <w:rFonts w:ascii="Arial" w:hAnsi="Arial" w:cs="Arial"/>
          <w:sz w:val="24"/>
          <w:szCs w:val="24"/>
        </w:rPr>
        <w:t xml:space="preserve">sensitivity and specificity of 86.7% and 69.5% respectively. O’Sullivan </w:t>
      </w:r>
      <w:r w:rsidR="00B47DAD" w:rsidRPr="00593BCE">
        <w:rPr>
          <w:rFonts w:ascii="Arial" w:hAnsi="Arial" w:cs="Arial"/>
          <w:sz w:val="24"/>
          <w:szCs w:val="24"/>
        </w:rPr>
        <w:t xml:space="preserve">et al, in Eire, </w:t>
      </w:r>
      <w:r w:rsidRPr="00593BCE">
        <w:rPr>
          <w:rFonts w:ascii="Arial" w:hAnsi="Arial" w:cs="Arial"/>
          <w:sz w:val="24"/>
          <w:szCs w:val="24"/>
        </w:rPr>
        <w:t xml:space="preserve">reported </w:t>
      </w:r>
      <w:r w:rsidR="00B47DAD" w:rsidRPr="00593BCE">
        <w:rPr>
          <w:rFonts w:ascii="Arial" w:hAnsi="Arial" w:cs="Arial"/>
          <w:sz w:val="24"/>
          <w:szCs w:val="24"/>
        </w:rPr>
        <w:t>a</w:t>
      </w:r>
      <w:r w:rsidRPr="00593BCE">
        <w:rPr>
          <w:rFonts w:ascii="Arial" w:hAnsi="Arial" w:cs="Arial"/>
          <w:sz w:val="24"/>
          <w:szCs w:val="24"/>
        </w:rPr>
        <w:t xml:space="preserve"> positive predictive value of </w:t>
      </w:r>
      <w:r w:rsidR="005D13A0" w:rsidRPr="00593BCE">
        <w:rPr>
          <w:rFonts w:ascii="Arial" w:hAnsi="Arial" w:cs="Arial"/>
          <w:sz w:val="24"/>
          <w:szCs w:val="24"/>
        </w:rPr>
        <w:t>68%</w:t>
      </w:r>
      <w:r w:rsidRPr="00593BCE">
        <w:rPr>
          <w:rFonts w:ascii="Arial" w:hAnsi="Arial" w:cs="Arial"/>
          <w:sz w:val="24"/>
          <w:szCs w:val="24"/>
        </w:rPr>
        <w:t xml:space="preserve"> and </w:t>
      </w:r>
      <w:r w:rsidR="00B47DAD" w:rsidRPr="00593BCE">
        <w:rPr>
          <w:rFonts w:ascii="Arial" w:hAnsi="Arial" w:cs="Arial"/>
          <w:sz w:val="24"/>
          <w:szCs w:val="24"/>
        </w:rPr>
        <w:t xml:space="preserve">a </w:t>
      </w:r>
      <w:r w:rsidRPr="00593BCE">
        <w:rPr>
          <w:rFonts w:ascii="Arial" w:hAnsi="Arial" w:cs="Arial"/>
          <w:sz w:val="24"/>
          <w:szCs w:val="24"/>
        </w:rPr>
        <w:t xml:space="preserve">negative predictive value of </w:t>
      </w:r>
      <w:r w:rsidR="005D13A0" w:rsidRPr="00593BCE">
        <w:rPr>
          <w:rFonts w:ascii="Arial" w:hAnsi="Arial" w:cs="Arial"/>
          <w:sz w:val="24"/>
          <w:szCs w:val="24"/>
        </w:rPr>
        <w:t>99%</w:t>
      </w:r>
      <w:r w:rsidRPr="00593BCE">
        <w:rPr>
          <w:rFonts w:ascii="Arial" w:hAnsi="Arial" w:cs="Arial"/>
          <w:sz w:val="24"/>
          <w:szCs w:val="24"/>
        </w:rPr>
        <w:t xml:space="preserve"> [</w:t>
      </w:r>
      <w:r w:rsidR="003343A8" w:rsidRPr="00593BCE">
        <w:rPr>
          <w:rFonts w:ascii="Arial" w:hAnsi="Arial" w:cs="Arial"/>
          <w:sz w:val="24"/>
          <w:szCs w:val="24"/>
        </w:rPr>
        <w:t>27</w:t>
      </w:r>
      <w:r w:rsidRPr="00593BCE">
        <w:rPr>
          <w:rFonts w:ascii="Arial" w:hAnsi="Arial" w:cs="Arial"/>
          <w:sz w:val="24"/>
          <w:szCs w:val="24"/>
        </w:rPr>
        <w:t>].</w:t>
      </w:r>
      <w:r w:rsidR="00F066DC" w:rsidRPr="00593BCE">
        <w:rPr>
          <w:rFonts w:ascii="Arial" w:hAnsi="Arial" w:cs="Arial"/>
          <w:sz w:val="24"/>
          <w:szCs w:val="24"/>
        </w:rPr>
        <w:t xml:space="preserve"> </w:t>
      </w:r>
      <w:r w:rsidRPr="00593BCE">
        <w:rPr>
          <w:rFonts w:ascii="Arial" w:hAnsi="Arial" w:cs="Arial"/>
          <w:sz w:val="24"/>
          <w:szCs w:val="24"/>
        </w:rPr>
        <w:t xml:space="preserve">A </w:t>
      </w:r>
      <w:r w:rsidRPr="00593BCE">
        <w:rPr>
          <w:rFonts w:ascii="Arial" w:hAnsi="Arial" w:cs="Arial"/>
          <w:sz w:val="24"/>
          <w:szCs w:val="24"/>
          <w:shd w:val="clear" w:color="auto" w:fill="FFFFFF"/>
        </w:rPr>
        <w:t xml:space="preserve">study by </w:t>
      </w:r>
      <w:r w:rsidRPr="00593BCE">
        <w:rPr>
          <w:rFonts w:ascii="Arial" w:hAnsi="Arial" w:cs="Arial"/>
          <w:sz w:val="24"/>
          <w:szCs w:val="24"/>
        </w:rPr>
        <w:t xml:space="preserve">De et al </w:t>
      </w:r>
      <w:r w:rsidR="00B47DAD" w:rsidRPr="00593BCE">
        <w:rPr>
          <w:rFonts w:ascii="Arial" w:hAnsi="Arial" w:cs="Arial"/>
          <w:sz w:val="24"/>
          <w:szCs w:val="24"/>
        </w:rPr>
        <w:t>in Australia</w:t>
      </w:r>
      <w:r w:rsidR="005D13A0" w:rsidRPr="00593BCE">
        <w:rPr>
          <w:rFonts w:ascii="Arial" w:hAnsi="Arial" w:cs="Arial"/>
          <w:sz w:val="24"/>
          <w:szCs w:val="24"/>
        </w:rPr>
        <w:t xml:space="preserve">[28], </w:t>
      </w:r>
      <w:r w:rsidR="00B47DAD" w:rsidRPr="00593BCE">
        <w:rPr>
          <w:rFonts w:ascii="Arial" w:hAnsi="Arial" w:cs="Arial"/>
          <w:sz w:val="24"/>
          <w:szCs w:val="24"/>
        </w:rPr>
        <w:t xml:space="preserve">with about </w:t>
      </w:r>
      <w:r w:rsidR="00033DFE" w:rsidRPr="00593BCE">
        <w:rPr>
          <w:rFonts w:ascii="Arial" w:hAnsi="Arial" w:cs="Arial"/>
          <w:sz w:val="24"/>
          <w:szCs w:val="24"/>
        </w:rPr>
        <w:t>40% of</w:t>
      </w:r>
      <w:r w:rsidR="00B47DAD" w:rsidRPr="00593BCE">
        <w:rPr>
          <w:rFonts w:ascii="Arial" w:hAnsi="Arial" w:cs="Arial"/>
          <w:sz w:val="24"/>
          <w:szCs w:val="24"/>
        </w:rPr>
        <w:t xml:space="preserve"> patients </w:t>
      </w:r>
      <w:r w:rsidR="00033DFE" w:rsidRPr="00593BCE">
        <w:rPr>
          <w:rFonts w:ascii="Arial" w:hAnsi="Arial" w:cs="Arial"/>
          <w:sz w:val="24"/>
          <w:szCs w:val="24"/>
        </w:rPr>
        <w:t>from</w:t>
      </w:r>
      <w:r w:rsidR="00B47DAD" w:rsidRPr="00593BCE">
        <w:rPr>
          <w:rFonts w:ascii="Arial" w:hAnsi="Arial" w:cs="Arial"/>
          <w:sz w:val="24"/>
          <w:szCs w:val="24"/>
        </w:rPr>
        <w:t xml:space="preserve"> a non-English speaking background</w:t>
      </w:r>
      <w:r w:rsidR="00104C7E" w:rsidRPr="00593BCE">
        <w:rPr>
          <w:rFonts w:ascii="Arial" w:hAnsi="Arial" w:cs="Arial"/>
          <w:sz w:val="24"/>
          <w:szCs w:val="24"/>
        </w:rPr>
        <w:t xml:space="preserve"> (NESB)</w:t>
      </w:r>
      <w:r w:rsidR="00B47DAD" w:rsidRPr="00593BCE">
        <w:rPr>
          <w:rFonts w:ascii="Arial" w:hAnsi="Arial" w:cs="Arial"/>
          <w:sz w:val="24"/>
          <w:szCs w:val="24"/>
        </w:rPr>
        <w:t xml:space="preserve">, </w:t>
      </w:r>
      <w:r w:rsidRPr="00593BCE">
        <w:rPr>
          <w:rFonts w:ascii="Arial" w:hAnsi="Arial" w:cs="Arial"/>
          <w:sz w:val="24"/>
          <w:szCs w:val="24"/>
        </w:rPr>
        <w:t>showed</w:t>
      </w:r>
      <w:r w:rsidRPr="00593B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04C7E" w:rsidRPr="00593BCE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Pr="00593BCE">
        <w:rPr>
          <w:rFonts w:ascii="Arial" w:hAnsi="Arial" w:cs="Arial"/>
          <w:sz w:val="24"/>
          <w:szCs w:val="24"/>
          <w:shd w:val="clear" w:color="auto" w:fill="FFFFFF"/>
        </w:rPr>
        <w:t>sensitivity of 87</w:t>
      </w:r>
      <w:r w:rsidR="00104C7E" w:rsidRPr="00593BCE">
        <w:rPr>
          <w:rFonts w:ascii="Arial" w:hAnsi="Arial" w:cs="Arial"/>
          <w:sz w:val="24"/>
          <w:szCs w:val="24"/>
          <w:shd w:val="clear" w:color="auto" w:fill="FFFFFF"/>
        </w:rPr>
        <w:t>-91</w:t>
      </w:r>
      <w:r w:rsidRPr="00593BCE">
        <w:rPr>
          <w:rFonts w:ascii="Arial" w:hAnsi="Arial" w:cs="Arial"/>
          <w:sz w:val="24"/>
          <w:szCs w:val="24"/>
          <w:shd w:val="clear" w:color="auto" w:fill="FFFFFF"/>
        </w:rPr>
        <w:t>%</w:t>
      </w:r>
      <w:r w:rsidR="00104C7E" w:rsidRPr="00593BCE">
        <w:rPr>
          <w:rFonts w:ascii="Arial" w:hAnsi="Arial" w:cs="Arial"/>
          <w:sz w:val="24"/>
          <w:szCs w:val="24"/>
          <w:shd w:val="clear" w:color="auto" w:fill="FFFFFF"/>
        </w:rPr>
        <w:t xml:space="preserve"> regardless of probable dementia or NESB, and an overall </w:t>
      </w:r>
      <w:r w:rsidRPr="00593BCE">
        <w:rPr>
          <w:rFonts w:ascii="Arial" w:hAnsi="Arial" w:cs="Arial"/>
          <w:sz w:val="24"/>
          <w:szCs w:val="24"/>
          <w:shd w:val="clear" w:color="auto" w:fill="FFFFFF"/>
        </w:rPr>
        <w:t>specificity of 80%</w:t>
      </w:r>
      <w:r w:rsidR="00104C7E" w:rsidRPr="00593BCE">
        <w:rPr>
          <w:rFonts w:ascii="Arial" w:hAnsi="Arial" w:cs="Arial"/>
          <w:sz w:val="24"/>
          <w:szCs w:val="24"/>
          <w:shd w:val="clear" w:color="auto" w:fill="FFFFFF"/>
        </w:rPr>
        <w:t xml:space="preserve"> that was somewhat worse (71%) for probable dementia and NESB patients</w:t>
      </w:r>
      <w:r w:rsidRPr="00593BCE">
        <w:rPr>
          <w:rFonts w:ascii="Arial" w:hAnsi="Arial" w:cs="Arial"/>
          <w:sz w:val="24"/>
          <w:szCs w:val="24"/>
          <w:shd w:val="clear" w:color="auto" w:fill="FFFFFF"/>
        </w:rPr>
        <w:t xml:space="preserve"> [</w:t>
      </w:r>
      <w:r w:rsidR="003343A8" w:rsidRPr="00593BCE">
        <w:rPr>
          <w:rFonts w:ascii="Arial" w:hAnsi="Arial" w:cs="Arial"/>
          <w:sz w:val="24"/>
          <w:szCs w:val="24"/>
          <w:shd w:val="clear" w:color="auto" w:fill="FFFFFF"/>
        </w:rPr>
        <w:t>28</w:t>
      </w:r>
      <w:r w:rsidRPr="00593BCE">
        <w:rPr>
          <w:rFonts w:ascii="Arial" w:hAnsi="Arial" w:cs="Arial"/>
          <w:sz w:val="24"/>
          <w:szCs w:val="24"/>
          <w:shd w:val="clear" w:color="auto" w:fill="FFFFFF"/>
        </w:rPr>
        <w:t xml:space="preserve">]. </w:t>
      </w:r>
      <w:r w:rsidR="00104C7E" w:rsidRPr="00593BCE">
        <w:rPr>
          <w:rFonts w:ascii="Arial" w:hAnsi="Arial" w:cs="Arial"/>
          <w:sz w:val="24"/>
          <w:szCs w:val="24"/>
          <w:shd w:val="clear" w:color="auto" w:fill="FFFFFF"/>
        </w:rPr>
        <w:t xml:space="preserve">Finally, </w:t>
      </w:r>
      <w:r w:rsidRPr="00593BCE">
        <w:rPr>
          <w:rFonts w:ascii="Arial" w:hAnsi="Arial" w:cs="Arial"/>
          <w:sz w:val="24"/>
          <w:szCs w:val="24"/>
        </w:rPr>
        <w:t xml:space="preserve">Gagné </w:t>
      </w:r>
      <w:r w:rsidR="00104C7E" w:rsidRPr="00593BCE">
        <w:rPr>
          <w:rFonts w:ascii="Arial" w:hAnsi="Arial" w:cs="Arial"/>
          <w:sz w:val="24"/>
          <w:szCs w:val="24"/>
        </w:rPr>
        <w:t>at al</w:t>
      </w:r>
      <w:r w:rsidR="00DE23F3" w:rsidRPr="00593BCE">
        <w:rPr>
          <w:rFonts w:ascii="Arial" w:hAnsi="Arial" w:cs="Arial"/>
          <w:sz w:val="24"/>
          <w:szCs w:val="24"/>
        </w:rPr>
        <w:t xml:space="preserve"> [29]</w:t>
      </w:r>
      <w:r w:rsidR="00104C7E" w:rsidRPr="00593BCE">
        <w:rPr>
          <w:rFonts w:ascii="Arial" w:hAnsi="Arial" w:cs="Arial"/>
          <w:sz w:val="24"/>
          <w:szCs w:val="24"/>
        </w:rPr>
        <w:t xml:space="preserve"> </w:t>
      </w:r>
      <w:r w:rsidRPr="00593BCE">
        <w:rPr>
          <w:rFonts w:ascii="Arial" w:hAnsi="Arial" w:cs="Arial"/>
          <w:sz w:val="24"/>
          <w:szCs w:val="24"/>
        </w:rPr>
        <w:t xml:space="preserve">evaluated </w:t>
      </w:r>
      <w:r w:rsidR="00104C7E" w:rsidRPr="00593BCE">
        <w:rPr>
          <w:rFonts w:ascii="Arial" w:hAnsi="Arial" w:cs="Arial"/>
          <w:sz w:val="24"/>
          <w:szCs w:val="24"/>
        </w:rPr>
        <w:t>a</w:t>
      </w:r>
      <w:r w:rsidRPr="00593BCE">
        <w:rPr>
          <w:rFonts w:ascii="Arial" w:hAnsi="Arial" w:cs="Arial"/>
          <w:sz w:val="24"/>
          <w:szCs w:val="24"/>
        </w:rPr>
        <w:t xml:space="preserve"> French version </w:t>
      </w:r>
      <w:r w:rsidR="006E68E1" w:rsidRPr="00593BCE">
        <w:rPr>
          <w:rFonts w:ascii="Arial" w:hAnsi="Arial" w:cs="Arial"/>
          <w:sz w:val="24"/>
          <w:szCs w:val="24"/>
        </w:rPr>
        <w:lastRenderedPageBreak/>
        <w:t xml:space="preserve">of </w:t>
      </w:r>
      <w:r w:rsidRPr="00593BCE">
        <w:rPr>
          <w:rFonts w:ascii="Arial" w:hAnsi="Arial" w:cs="Arial"/>
          <w:sz w:val="24"/>
          <w:szCs w:val="24"/>
        </w:rPr>
        <w:t xml:space="preserve">4AT in four Canadian emergency departments </w:t>
      </w:r>
      <w:r w:rsidR="00104C7E" w:rsidRPr="00593BCE">
        <w:rPr>
          <w:rFonts w:ascii="Arial" w:hAnsi="Arial" w:cs="Arial"/>
          <w:sz w:val="24"/>
          <w:szCs w:val="24"/>
        </w:rPr>
        <w:t>with</w:t>
      </w:r>
      <w:r w:rsidRPr="00593BCE">
        <w:rPr>
          <w:rFonts w:ascii="Arial" w:hAnsi="Arial" w:cs="Arial"/>
          <w:sz w:val="24"/>
          <w:szCs w:val="24"/>
        </w:rPr>
        <w:t xml:space="preserve"> 84% </w:t>
      </w:r>
      <w:r w:rsidR="00104C7E" w:rsidRPr="00593BCE">
        <w:rPr>
          <w:rFonts w:ascii="Arial" w:hAnsi="Arial" w:cs="Arial"/>
          <w:sz w:val="24"/>
          <w:szCs w:val="24"/>
        </w:rPr>
        <w:t xml:space="preserve">sensitivity </w:t>
      </w:r>
      <w:r w:rsidRPr="00593BCE">
        <w:rPr>
          <w:rFonts w:ascii="Arial" w:hAnsi="Arial" w:cs="Arial"/>
          <w:sz w:val="24"/>
          <w:szCs w:val="24"/>
        </w:rPr>
        <w:t xml:space="preserve">and 74% </w:t>
      </w:r>
      <w:r w:rsidR="00104C7E" w:rsidRPr="00593BCE">
        <w:rPr>
          <w:rFonts w:ascii="Arial" w:hAnsi="Arial" w:cs="Arial"/>
          <w:sz w:val="24"/>
          <w:szCs w:val="24"/>
        </w:rPr>
        <w:t xml:space="preserve">specificity </w:t>
      </w:r>
      <w:r w:rsidRPr="00593BCE">
        <w:rPr>
          <w:rFonts w:ascii="Arial" w:hAnsi="Arial" w:cs="Arial"/>
          <w:sz w:val="24"/>
          <w:szCs w:val="24"/>
        </w:rPr>
        <w:t>for delirium.</w:t>
      </w:r>
    </w:p>
    <w:p w14:paraId="62BE2297" w14:textId="77777777" w:rsidR="00314732" w:rsidRPr="00593BCE" w:rsidRDefault="00314732" w:rsidP="0031473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C855F17" w14:textId="75027A36" w:rsidR="008C0576" w:rsidRPr="00593BCE" w:rsidRDefault="008D273D" w:rsidP="004F7E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 xml:space="preserve">In conclusion, </w:t>
      </w:r>
      <w:r w:rsidR="00F073CA" w:rsidRPr="00593BCE">
        <w:rPr>
          <w:rFonts w:ascii="Arial" w:hAnsi="Arial" w:cs="Arial"/>
          <w:sz w:val="24"/>
          <w:szCs w:val="24"/>
        </w:rPr>
        <w:t xml:space="preserve">patients with </w:t>
      </w:r>
      <w:r w:rsidR="00A040B5" w:rsidRPr="00593BCE">
        <w:rPr>
          <w:rFonts w:ascii="Arial" w:hAnsi="Arial" w:cs="Arial"/>
          <w:sz w:val="24"/>
          <w:szCs w:val="24"/>
        </w:rPr>
        <w:t>high</w:t>
      </w:r>
      <w:r w:rsidR="00F073CA" w:rsidRPr="00593BCE">
        <w:rPr>
          <w:rFonts w:ascii="Arial" w:hAnsi="Arial" w:cs="Arial"/>
          <w:sz w:val="24"/>
          <w:szCs w:val="24"/>
        </w:rPr>
        <w:t xml:space="preserve"> </w:t>
      </w:r>
      <w:r w:rsidRPr="00593BCE">
        <w:rPr>
          <w:rFonts w:ascii="Arial" w:hAnsi="Arial" w:cs="Arial"/>
          <w:sz w:val="24"/>
          <w:szCs w:val="24"/>
        </w:rPr>
        <w:t>4AT</w:t>
      </w:r>
      <w:r w:rsidR="00A040B5" w:rsidRPr="00593BCE">
        <w:rPr>
          <w:rFonts w:ascii="Arial" w:hAnsi="Arial" w:cs="Arial"/>
          <w:sz w:val="24"/>
          <w:szCs w:val="24"/>
        </w:rPr>
        <w:t xml:space="preserve"> scores</w:t>
      </w:r>
      <w:r w:rsidRPr="00593BCE">
        <w:rPr>
          <w:rFonts w:ascii="Arial" w:hAnsi="Arial" w:cs="Arial"/>
          <w:sz w:val="24"/>
          <w:szCs w:val="24"/>
        </w:rPr>
        <w:t xml:space="preserve"> </w:t>
      </w:r>
      <w:r w:rsidR="00F073CA" w:rsidRPr="00593BCE">
        <w:rPr>
          <w:rFonts w:ascii="Arial" w:hAnsi="Arial" w:cs="Arial"/>
          <w:sz w:val="24"/>
          <w:szCs w:val="24"/>
        </w:rPr>
        <w:t xml:space="preserve">have increased risk of </w:t>
      </w:r>
      <w:r w:rsidR="00A040B5" w:rsidRPr="00593BCE">
        <w:rPr>
          <w:rFonts w:ascii="Arial" w:hAnsi="Arial" w:cs="Arial"/>
          <w:sz w:val="24"/>
          <w:szCs w:val="24"/>
        </w:rPr>
        <w:t xml:space="preserve">failure to mobilise </w:t>
      </w:r>
      <w:r w:rsidR="00D5554D" w:rsidRPr="00593BCE">
        <w:rPr>
          <w:rFonts w:ascii="Arial" w:hAnsi="Arial" w:cs="Arial"/>
          <w:sz w:val="24"/>
          <w:szCs w:val="24"/>
        </w:rPr>
        <w:t xml:space="preserve">after hip surgery, </w:t>
      </w:r>
      <w:r w:rsidRPr="00593BCE">
        <w:rPr>
          <w:rFonts w:ascii="Arial" w:hAnsi="Arial" w:cs="Arial"/>
          <w:sz w:val="24"/>
          <w:szCs w:val="24"/>
        </w:rPr>
        <w:t xml:space="preserve">prolonged LOS and death in hospital </w:t>
      </w:r>
      <w:r w:rsidR="00F073CA" w:rsidRPr="00593BCE">
        <w:rPr>
          <w:rFonts w:ascii="Arial" w:hAnsi="Arial" w:cs="Arial"/>
          <w:sz w:val="24"/>
          <w:szCs w:val="24"/>
        </w:rPr>
        <w:t xml:space="preserve">and discharge to </w:t>
      </w:r>
      <w:r w:rsidR="00D5554D" w:rsidRPr="00593BCE">
        <w:rPr>
          <w:rFonts w:ascii="Arial" w:hAnsi="Arial" w:cs="Arial"/>
          <w:sz w:val="24"/>
          <w:szCs w:val="24"/>
        </w:rPr>
        <w:t>rehabilitation</w:t>
      </w:r>
      <w:r w:rsidR="00B332D1" w:rsidRPr="00593BCE">
        <w:rPr>
          <w:rFonts w:ascii="Arial" w:hAnsi="Arial" w:cs="Arial"/>
          <w:sz w:val="24"/>
          <w:szCs w:val="24"/>
        </w:rPr>
        <w:t xml:space="preserve"> units</w:t>
      </w:r>
      <w:r w:rsidR="00D5554D" w:rsidRPr="00593BCE">
        <w:rPr>
          <w:rFonts w:ascii="Arial" w:hAnsi="Arial" w:cs="Arial"/>
          <w:sz w:val="24"/>
          <w:szCs w:val="24"/>
        </w:rPr>
        <w:t xml:space="preserve"> or </w:t>
      </w:r>
      <w:r w:rsidR="00F073CA" w:rsidRPr="00593BCE">
        <w:rPr>
          <w:rFonts w:ascii="Arial" w:hAnsi="Arial" w:cs="Arial"/>
          <w:sz w:val="24"/>
          <w:szCs w:val="24"/>
        </w:rPr>
        <w:t xml:space="preserve">residential/nursing care among older patients admitted with hip fractures. </w:t>
      </w:r>
      <w:r w:rsidR="00A040B5" w:rsidRPr="00593B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Specialist assessment of the patient with delirium is required to identify and treat the cause and may involve</w:t>
      </w:r>
      <w:r w:rsidR="006E68E1" w:rsidRPr="00593B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r w:rsidR="00A040B5" w:rsidRPr="00593B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geriatric medicine or frailty services</w:t>
      </w:r>
      <w:r w:rsidR="006E68E1" w:rsidRPr="00593B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an </w:t>
      </w:r>
      <w:r w:rsidR="00A040B5" w:rsidRPr="00593B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="00D83435" w:rsidRPr="00593BCE">
        <w:rPr>
          <w:rFonts w:ascii="Arial" w:hAnsi="Arial" w:cs="Arial"/>
          <w:sz w:val="24"/>
          <w:szCs w:val="24"/>
        </w:rPr>
        <w:t xml:space="preserve">ntegrated </w:t>
      </w:r>
      <w:r w:rsidR="006E68E1" w:rsidRPr="00593BCE">
        <w:rPr>
          <w:rFonts w:ascii="Arial" w:hAnsi="Arial" w:cs="Arial"/>
          <w:sz w:val="24"/>
          <w:szCs w:val="24"/>
        </w:rPr>
        <w:t>rapid-</w:t>
      </w:r>
      <w:r w:rsidR="00D83435" w:rsidRPr="00593BCE">
        <w:rPr>
          <w:rFonts w:ascii="Arial" w:hAnsi="Arial" w:cs="Arial"/>
          <w:sz w:val="24"/>
          <w:szCs w:val="24"/>
        </w:rPr>
        <w:t xml:space="preserve">response psychiatric liaison team with dementia services </w:t>
      </w:r>
      <w:r w:rsidR="00A040B5" w:rsidRPr="00593BCE">
        <w:rPr>
          <w:rFonts w:ascii="Arial" w:hAnsi="Arial" w:cs="Arial"/>
          <w:sz w:val="24"/>
          <w:szCs w:val="24"/>
        </w:rPr>
        <w:t>in order to</w:t>
      </w:r>
      <w:r w:rsidR="00F073CA" w:rsidRPr="00593BCE">
        <w:rPr>
          <w:rFonts w:ascii="Arial" w:hAnsi="Arial" w:cs="Arial"/>
          <w:sz w:val="24"/>
          <w:szCs w:val="24"/>
        </w:rPr>
        <w:t xml:space="preserve"> prevent</w:t>
      </w:r>
      <w:r w:rsidR="00A040B5" w:rsidRPr="00593BCE">
        <w:rPr>
          <w:rFonts w:ascii="Arial" w:hAnsi="Arial" w:cs="Arial"/>
          <w:sz w:val="24"/>
          <w:szCs w:val="24"/>
        </w:rPr>
        <w:t xml:space="preserve"> or minimise</w:t>
      </w:r>
      <w:r w:rsidR="00F073CA" w:rsidRPr="00593BCE">
        <w:rPr>
          <w:rFonts w:ascii="Arial" w:hAnsi="Arial" w:cs="Arial"/>
          <w:sz w:val="24"/>
          <w:szCs w:val="24"/>
        </w:rPr>
        <w:t xml:space="preserve"> adverse outcomes</w:t>
      </w:r>
      <w:r w:rsidR="00002E91" w:rsidRPr="00593B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7FF328E5" w14:textId="77777777" w:rsidR="008C0576" w:rsidRPr="00593BCE" w:rsidRDefault="008C0576">
      <w:pPr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br w:type="page"/>
      </w:r>
    </w:p>
    <w:p w14:paraId="00EA7AF3" w14:textId="77777777" w:rsidR="008C0576" w:rsidRPr="00593BCE" w:rsidRDefault="008C0576" w:rsidP="008C057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lastRenderedPageBreak/>
        <w:t>LEGENDS</w:t>
      </w:r>
    </w:p>
    <w:p w14:paraId="5361AB1D" w14:textId="791CDF7B" w:rsidR="008C0576" w:rsidRPr="00593BCE" w:rsidRDefault="008C0576" w:rsidP="008C057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t xml:space="preserve">Figure 1. </w:t>
      </w:r>
      <w:r w:rsidRPr="00593BCE">
        <w:rPr>
          <w:rFonts w:ascii="Arial" w:hAnsi="Arial" w:cs="Arial"/>
          <w:sz w:val="24"/>
          <w:szCs w:val="24"/>
        </w:rPr>
        <w:t xml:space="preserve">LOS in hospital for patients assessed by different categories of </w:t>
      </w:r>
      <w:r w:rsidR="001F1947" w:rsidRPr="00593BCE">
        <w:rPr>
          <w:rFonts w:ascii="Arial" w:hAnsi="Arial" w:cs="Arial"/>
          <w:sz w:val="24"/>
          <w:szCs w:val="24"/>
        </w:rPr>
        <w:t xml:space="preserve">the </w:t>
      </w:r>
      <w:r w:rsidRPr="00593BCE">
        <w:rPr>
          <w:rFonts w:ascii="Arial" w:hAnsi="Arial" w:cs="Arial"/>
          <w:sz w:val="24"/>
          <w:szCs w:val="24"/>
        </w:rPr>
        <w:t xml:space="preserve">4AT. Reference group refers to patients </w:t>
      </w:r>
      <w:r w:rsidR="00733EBC" w:rsidRPr="00593BCE">
        <w:rPr>
          <w:rFonts w:ascii="Arial" w:hAnsi="Arial" w:cs="Arial"/>
          <w:sz w:val="24"/>
          <w:szCs w:val="24"/>
        </w:rPr>
        <w:t xml:space="preserve">with </w:t>
      </w:r>
      <w:r w:rsidR="001F1947" w:rsidRPr="00593BCE">
        <w:rPr>
          <w:rFonts w:ascii="Arial" w:hAnsi="Arial" w:cs="Arial"/>
          <w:sz w:val="24"/>
          <w:szCs w:val="24"/>
        </w:rPr>
        <w:t xml:space="preserve">a </w:t>
      </w:r>
      <w:r w:rsidR="00F1755A" w:rsidRPr="00593BCE">
        <w:rPr>
          <w:rFonts w:ascii="Arial" w:hAnsi="Arial" w:cs="Arial"/>
          <w:sz w:val="24"/>
          <w:szCs w:val="24"/>
        </w:rPr>
        <w:t>4AT</w:t>
      </w:r>
      <w:r w:rsidR="001F1947" w:rsidRPr="00593BCE">
        <w:rPr>
          <w:rFonts w:ascii="Arial" w:hAnsi="Arial" w:cs="Arial"/>
          <w:sz w:val="24"/>
          <w:szCs w:val="24"/>
        </w:rPr>
        <w:t xml:space="preserve">score of </w:t>
      </w:r>
      <w:r w:rsidRPr="00593BCE">
        <w:rPr>
          <w:rFonts w:ascii="Arial" w:hAnsi="Arial" w:cs="Arial"/>
          <w:sz w:val="24"/>
          <w:szCs w:val="24"/>
        </w:rPr>
        <w:t>0.</w:t>
      </w:r>
    </w:p>
    <w:p w14:paraId="0B0B2F05" w14:textId="77777777" w:rsidR="00AB2536" w:rsidRPr="00593BCE" w:rsidRDefault="00AB2536" w:rsidP="008C057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71781A6" w14:textId="57775ABA" w:rsidR="00AB2536" w:rsidRPr="00593BCE" w:rsidRDefault="00AB2536" w:rsidP="008C057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t>Supplementary figure 1.</w:t>
      </w:r>
      <w:r w:rsidRPr="00593BCE">
        <w:rPr>
          <w:rFonts w:ascii="Arial" w:hAnsi="Arial" w:cs="Arial"/>
          <w:sz w:val="24"/>
          <w:szCs w:val="24"/>
        </w:rPr>
        <w:t xml:space="preserve"> Flowchart showing patient distribution before and during hospital admission and on discharge. Grey circle indicates predictor and black boxes indicate outcome measures.</w:t>
      </w:r>
    </w:p>
    <w:p w14:paraId="1AA5332C" w14:textId="239E0359" w:rsidR="004376E4" w:rsidRPr="00593BCE" w:rsidRDefault="004376E4" w:rsidP="004F7E7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br w:type="page"/>
      </w:r>
    </w:p>
    <w:p w14:paraId="2341565A" w14:textId="77777777" w:rsidR="00420655" w:rsidRPr="00593BCE" w:rsidRDefault="005E18DB" w:rsidP="002C091E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lastRenderedPageBreak/>
        <w:t>REFERENCES</w:t>
      </w:r>
    </w:p>
    <w:p w14:paraId="5BEF66BA" w14:textId="41D42E1D" w:rsidR="00693967" w:rsidRPr="00593BCE" w:rsidRDefault="00693967" w:rsidP="005068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567" w:hanging="567"/>
        <w:jc w:val="both"/>
        <w:rPr>
          <w:rFonts w:ascii="Arial" w:hAnsi="Arial" w:cs="Arial"/>
        </w:rPr>
      </w:pPr>
      <w:r w:rsidRPr="00593BCE">
        <w:rPr>
          <w:rFonts w:ascii="Arial" w:hAnsi="Arial" w:cs="Arial"/>
        </w:rPr>
        <w:t>www.dsmivtr.org/</w:t>
      </w:r>
    </w:p>
    <w:p w14:paraId="50CB64AC" w14:textId="76E2B258" w:rsidR="002C091E" w:rsidRPr="00593BCE" w:rsidRDefault="002C091E" w:rsidP="005068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567" w:hanging="567"/>
        <w:jc w:val="both"/>
        <w:rPr>
          <w:rFonts w:ascii="Arial" w:hAnsi="Arial" w:cs="Arial"/>
        </w:rPr>
      </w:pPr>
      <w:r w:rsidRPr="00593BCE">
        <w:rPr>
          <w:rFonts w:ascii="Arial" w:hAnsi="Arial" w:cs="Arial"/>
        </w:rPr>
        <w:t xml:space="preserve">Deschodt M, Braes T, Flamaing J, Detroyer E, Broos P, Haentjens P </w:t>
      </w:r>
      <w:r w:rsidR="000D3295" w:rsidRPr="00593BCE">
        <w:rPr>
          <w:rFonts w:ascii="Arial" w:hAnsi="Arial" w:cs="Arial"/>
          <w:i/>
        </w:rPr>
        <w:t>et al</w:t>
      </w:r>
      <w:r w:rsidRPr="00593BCE">
        <w:rPr>
          <w:rFonts w:ascii="Arial" w:hAnsi="Arial" w:cs="Arial"/>
        </w:rPr>
        <w:t xml:space="preserve">. Preventing delirium in older adults with recent hip fracture through multidisciplinary geriatric consultation. </w:t>
      </w:r>
      <w:r w:rsidR="000D3295" w:rsidRPr="00593BCE">
        <w:rPr>
          <w:rFonts w:ascii="Arial" w:hAnsi="Arial" w:cs="Arial"/>
        </w:rPr>
        <w:t xml:space="preserve">J Am Geriatr Soc </w:t>
      </w:r>
      <w:r w:rsidRPr="00593BCE">
        <w:rPr>
          <w:rFonts w:ascii="Arial" w:hAnsi="Arial" w:cs="Arial"/>
        </w:rPr>
        <w:t>2012;</w:t>
      </w:r>
      <w:r w:rsidR="000D3295" w:rsidRPr="00593BCE">
        <w:rPr>
          <w:rFonts w:ascii="Arial" w:hAnsi="Arial" w:cs="Arial"/>
        </w:rPr>
        <w:t xml:space="preserve"> </w:t>
      </w:r>
      <w:r w:rsidRPr="00593BCE">
        <w:rPr>
          <w:rFonts w:ascii="Arial" w:hAnsi="Arial" w:cs="Arial"/>
        </w:rPr>
        <w:t>60</w:t>
      </w:r>
      <w:r w:rsidR="000D3295" w:rsidRPr="00593BCE">
        <w:rPr>
          <w:rFonts w:ascii="Arial" w:hAnsi="Arial" w:cs="Arial"/>
        </w:rPr>
        <w:t xml:space="preserve">: </w:t>
      </w:r>
      <w:r w:rsidRPr="00593BCE">
        <w:rPr>
          <w:rFonts w:ascii="Arial" w:hAnsi="Arial" w:cs="Arial"/>
        </w:rPr>
        <w:t>733-9.</w:t>
      </w:r>
    </w:p>
    <w:p w14:paraId="1049BD90" w14:textId="2177981E" w:rsidR="004575FB" w:rsidRPr="00593BCE" w:rsidRDefault="004575FB" w:rsidP="005068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567" w:hanging="567"/>
        <w:jc w:val="both"/>
        <w:rPr>
          <w:rFonts w:ascii="Arial" w:hAnsi="Arial" w:cs="Arial"/>
        </w:rPr>
      </w:pPr>
      <w:r w:rsidRPr="00593BCE">
        <w:rPr>
          <w:rFonts w:ascii="Arial" w:hAnsi="Arial" w:cs="Arial"/>
        </w:rPr>
        <w:t>Feast AR, White N, Lord K, Kupeli N, Vickerstaff V, Sampson EL. Pain and delirium in people with dementia in the acute general hospital setting. Age Ageing 2018;</w:t>
      </w:r>
      <w:r w:rsidR="000D3295" w:rsidRPr="00593BCE">
        <w:rPr>
          <w:rFonts w:ascii="Arial" w:hAnsi="Arial" w:cs="Arial"/>
        </w:rPr>
        <w:t xml:space="preserve"> </w:t>
      </w:r>
      <w:r w:rsidRPr="00593BCE">
        <w:rPr>
          <w:rFonts w:ascii="Arial" w:hAnsi="Arial" w:cs="Arial"/>
        </w:rPr>
        <w:t>47:</w:t>
      </w:r>
      <w:r w:rsidR="000D3295" w:rsidRPr="00593BCE">
        <w:rPr>
          <w:rFonts w:ascii="Arial" w:hAnsi="Arial" w:cs="Arial"/>
        </w:rPr>
        <w:t xml:space="preserve"> </w:t>
      </w:r>
      <w:r w:rsidRPr="00593BCE">
        <w:rPr>
          <w:rFonts w:ascii="Arial" w:hAnsi="Arial" w:cs="Arial"/>
        </w:rPr>
        <w:t>841-6.</w:t>
      </w:r>
    </w:p>
    <w:p w14:paraId="5EF807C7" w14:textId="78D62BAE" w:rsidR="002C091E" w:rsidRPr="00593BCE" w:rsidRDefault="002C091E" w:rsidP="00506852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>Bellelli G, Morandi A, Di Santo SG, Mazzone A, Cherubini A, Mossello E</w:t>
      </w:r>
      <w:r w:rsidR="000D3295" w:rsidRPr="00593BCE">
        <w:rPr>
          <w:rFonts w:ascii="Arial" w:hAnsi="Arial" w:cs="Arial"/>
          <w:sz w:val="24"/>
          <w:szCs w:val="24"/>
        </w:rPr>
        <w:t xml:space="preserve"> </w:t>
      </w:r>
      <w:r w:rsidR="000D3295" w:rsidRPr="00593BCE">
        <w:rPr>
          <w:rFonts w:ascii="Arial" w:hAnsi="Arial" w:cs="Arial"/>
          <w:i/>
          <w:sz w:val="24"/>
          <w:szCs w:val="24"/>
        </w:rPr>
        <w:t>et al</w:t>
      </w:r>
      <w:r w:rsidRPr="00593BCE">
        <w:rPr>
          <w:rFonts w:ascii="Arial" w:hAnsi="Arial" w:cs="Arial"/>
          <w:sz w:val="24"/>
          <w:szCs w:val="24"/>
        </w:rPr>
        <w:t>; Italian Study Group on Delirium (ISGoD). "Delirium Day": a nationwide point prevalence study of delirium in older hospitalized patients using an easy standardized diagnostic tool. BMC Med 2016; 14:</w:t>
      </w:r>
      <w:r w:rsidR="000D3295" w:rsidRPr="00593BCE">
        <w:rPr>
          <w:rFonts w:ascii="Arial" w:hAnsi="Arial" w:cs="Arial"/>
          <w:sz w:val="24"/>
          <w:szCs w:val="24"/>
        </w:rPr>
        <w:t xml:space="preserve"> </w:t>
      </w:r>
      <w:r w:rsidRPr="00593BCE">
        <w:rPr>
          <w:rFonts w:ascii="Arial" w:hAnsi="Arial" w:cs="Arial"/>
          <w:sz w:val="24"/>
          <w:szCs w:val="24"/>
        </w:rPr>
        <w:t>106</w:t>
      </w:r>
      <w:r w:rsidR="000D3295" w:rsidRPr="00593BCE">
        <w:rPr>
          <w:rFonts w:ascii="Arial" w:hAnsi="Arial" w:cs="Arial"/>
          <w:sz w:val="24"/>
          <w:szCs w:val="24"/>
        </w:rPr>
        <w:t>.</w:t>
      </w:r>
    </w:p>
    <w:p w14:paraId="6C4F582C" w14:textId="61A9DE35" w:rsidR="002C091E" w:rsidRPr="00593BCE" w:rsidRDefault="002C091E" w:rsidP="00506852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>Bellelli G, Nobili A, Annoni G, Morandi A, Djade CD, Meagher DJ</w:t>
      </w:r>
      <w:r w:rsidR="000D3295" w:rsidRPr="00593BCE">
        <w:rPr>
          <w:rFonts w:ascii="Arial" w:hAnsi="Arial" w:cs="Arial"/>
          <w:sz w:val="24"/>
          <w:szCs w:val="24"/>
        </w:rPr>
        <w:t xml:space="preserve"> </w:t>
      </w:r>
      <w:r w:rsidR="000D3295" w:rsidRPr="00593BCE">
        <w:rPr>
          <w:rFonts w:ascii="Arial" w:hAnsi="Arial" w:cs="Arial"/>
          <w:i/>
          <w:sz w:val="24"/>
          <w:szCs w:val="24"/>
        </w:rPr>
        <w:t>et al</w:t>
      </w:r>
      <w:r w:rsidRPr="00593BCE">
        <w:rPr>
          <w:rFonts w:ascii="Arial" w:hAnsi="Arial" w:cs="Arial"/>
          <w:sz w:val="24"/>
          <w:szCs w:val="24"/>
        </w:rPr>
        <w:t xml:space="preserve">. Under-detection of delirium and impact of neurocognitive deficits on in-hospital mortality among acute geriatric and medical wards. </w:t>
      </w:r>
      <w:r w:rsidR="000D3295" w:rsidRPr="00593BCE">
        <w:rPr>
          <w:rFonts w:ascii="Arial" w:hAnsi="Arial" w:cs="Arial"/>
          <w:sz w:val="24"/>
          <w:szCs w:val="24"/>
        </w:rPr>
        <w:t xml:space="preserve">Eur J Intern Med </w:t>
      </w:r>
      <w:r w:rsidRPr="00593BCE">
        <w:rPr>
          <w:rFonts w:ascii="Arial" w:hAnsi="Arial" w:cs="Arial"/>
          <w:sz w:val="24"/>
          <w:szCs w:val="24"/>
        </w:rPr>
        <w:t>2015;</w:t>
      </w:r>
      <w:r w:rsidR="000D3295" w:rsidRPr="00593BCE">
        <w:rPr>
          <w:rFonts w:ascii="Arial" w:hAnsi="Arial" w:cs="Arial"/>
          <w:sz w:val="24"/>
          <w:szCs w:val="24"/>
        </w:rPr>
        <w:t xml:space="preserve"> </w:t>
      </w:r>
      <w:r w:rsidRPr="00593BCE">
        <w:rPr>
          <w:rFonts w:ascii="Arial" w:hAnsi="Arial" w:cs="Arial"/>
          <w:sz w:val="24"/>
          <w:szCs w:val="24"/>
        </w:rPr>
        <w:t>269:</w:t>
      </w:r>
      <w:r w:rsidR="000D3295" w:rsidRPr="00593BCE">
        <w:rPr>
          <w:rFonts w:ascii="Arial" w:hAnsi="Arial" w:cs="Arial"/>
          <w:sz w:val="24"/>
          <w:szCs w:val="24"/>
        </w:rPr>
        <w:t xml:space="preserve"> </w:t>
      </w:r>
      <w:r w:rsidRPr="00593BCE">
        <w:rPr>
          <w:rFonts w:ascii="Arial" w:hAnsi="Arial" w:cs="Arial"/>
          <w:sz w:val="24"/>
          <w:szCs w:val="24"/>
        </w:rPr>
        <w:t>696-704.</w:t>
      </w:r>
    </w:p>
    <w:p w14:paraId="73BB55DC" w14:textId="2FCF3091" w:rsidR="00E24D27" w:rsidRPr="00593BCE" w:rsidRDefault="003619A9" w:rsidP="00506852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Arial" w:hAnsi="Arial" w:cs="Arial"/>
        </w:rPr>
      </w:pPr>
      <w:r w:rsidRPr="00593BCE">
        <w:rPr>
          <w:rFonts w:ascii="Arial" w:hAnsi="Arial" w:cs="Arial"/>
          <w:color w:val="222222"/>
          <w:sz w:val="24"/>
          <w:szCs w:val="24"/>
          <w:shd w:val="clear" w:color="auto" w:fill="FFFFFF"/>
        </w:rPr>
        <w:t>Golomb J, Kluger A, Ferris SH. Mild cognitive impairment: historical development and summary of research. Dialogues Clin Neurosci 2004; 6: 351-67</w:t>
      </w:r>
      <w:r w:rsidR="00E24D27" w:rsidRPr="00593BCE">
        <w:rPr>
          <w:rFonts w:ascii="Arial" w:hAnsi="Arial" w:cs="Arial"/>
          <w:sz w:val="24"/>
          <w:szCs w:val="24"/>
        </w:rPr>
        <w:t>.</w:t>
      </w:r>
    </w:p>
    <w:p w14:paraId="259045B5" w14:textId="743B494A" w:rsidR="00F65FF4" w:rsidRPr="00593BCE" w:rsidRDefault="00F65FF4" w:rsidP="005068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567" w:hanging="567"/>
        <w:jc w:val="both"/>
        <w:rPr>
          <w:rFonts w:ascii="Arial" w:hAnsi="Arial" w:cs="Arial"/>
        </w:rPr>
      </w:pPr>
      <w:r w:rsidRPr="00593BCE">
        <w:rPr>
          <w:rFonts w:ascii="Arial" w:hAnsi="Arial" w:cs="Arial"/>
        </w:rPr>
        <w:t>Petersen RC, Caracciolo B, Brayne C, Gauthier S, Jelic V, Fratiglioni L. Mild cognitive impairment: a concept in evolution. J Intern Med 2014;</w:t>
      </w:r>
      <w:r w:rsidR="000D3295" w:rsidRPr="00593BCE">
        <w:rPr>
          <w:rFonts w:ascii="Arial" w:hAnsi="Arial" w:cs="Arial"/>
        </w:rPr>
        <w:t xml:space="preserve"> </w:t>
      </w:r>
      <w:r w:rsidRPr="00593BCE">
        <w:rPr>
          <w:rFonts w:ascii="Arial" w:hAnsi="Arial" w:cs="Arial"/>
        </w:rPr>
        <w:t>275</w:t>
      </w:r>
      <w:r w:rsidR="000D3295" w:rsidRPr="00593BCE">
        <w:rPr>
          <w:rFonts w:ascii="Arial" w:hAnsi="Arial" w:cs="Arial"/>
        </w:rPr>
        <w:t xml:space="preserve">: </w:t>
      </w:r>
      <w:r w:rsidRPr="00593BCE">
        <w:rPr>
          <w:rFonts w:ascii="Arial" w:hAnsi="Arial" w:cs="Arial"/>
        </w:rPr>
        <w:t>214</w:t>
      </w:r>
      <w:r w:rsidR="000D3295" w:rsidRPr="00593BCE">
        <w:rPr>
          <w:rFonts w:ascii="Arial" w:hAnsi="Arial" w:cs="Arial"/>
        </w:rPr>
        <w:t>-28.</w:t>
      </w:r>
    </w:p>
    <w:p w14:paraId="4796B396" w14:textId="0221C8E0" w:rsidR="002C091E" w:rsidRPr="00593BCE" w:rsidRDefault="002C091E" w:rsidP="005068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567" w:hanging="567"/>
        <w:jc w:val="both"/>
        <w:rPr>
          <w:rFonts w:ascii="Arial" w:hAnsi="Arial" w:cs="Arial"/>
        </w:rPr>
      </w:pPr>
      <w:r w:rsidRPr="00593BCE">
        <w:rPr>
          <w:rFonts w:ascii="Arial" w:hAnsi="Arial" w:cs="Arial"/>
        </w:rPr>
        <w:t>www.the4at.com</w:t>
      </w:r>
    </w:p>
    <w:p w14:paraId="26F4ECF8" w14:textId="6C9952E2" w:rsidR="00676B21" w:rsidRPr="00593BCE" w:rsidRDefault="00676B21" w:rsidP="00676B2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567" w:hanging="567"/>
        <w:jc w:val="both"/>
        <w:rPr>
          <w:rFonts w:ascii="Arial" w:hAnsi="Arial" w:cs="Arial"/>
        </w:rPr>
      </w:pPr>
      <w:r w:rsidRPr="00593BCE">
        <w:rPr>
          <w:rFonts w:ascii="Arial" w:hAnsi="Arial" w:cs="Arial"/>
        </w:rPr>
        <w:t xml:space="preserve">Scottish Intercollegiate Guidelines Network. Risk reduction and management of delirium. A national clinical guideline, March 2019 (SIGN 157). </w:t>
      </w:r>
      <w:hyperlink r:id="rId10" w:history="1">
        <w:r w:rsidRPr="00593BCE">
          <w:rPr>
            <w:rStyle w:val="Hyperlink"/>
            <w:rFonts w:ascii="Arial" w:hAnsi="Arial" w:cs="Arial"/>
            <w:color w:val="auto"/>
            <w:u w:val="none"/>
          </w:rPr>
          <w:t>https://www.sign.ac.uk/assets/sign157.pdf</w:t>
        </w:r>
      </w:hyperlink>
      <w:r w:rsidRPr="00593BCE">
        <w:rPr>
          <w:rFonts w:ascii="Arial" w:hAnsi="Arial" w:cs="Arial"/>
        </w:rPr>
        <w:t xml:space="preserve"> </w:t>
      </w:r>
      <w:r w:rsidR="003D5491" w:rsidRPr="00593BCE">
        <w:rPr>
          <w:rFonts w:ascii="Arial" w:hAnsi="Arial" w:cs="Arial"/>
        </w:rPr>
        <w:t>[Accessed August 2019]</w:t>
      </w:r>
    </w:p>
    <w:p w14:paraId="21B59E11" w14:textId="7834C5AF" w:rsidR="00926E10" w:rsidRPr="00593BCE" w:rsidRDefault="00926E1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567" w:hanging="567"/>
        <w:jc w:val="both"/>
        <w:rPr>
          <w:rFonts w:ascii="Arial" w:hAnsi="Arial" w:cs="Arial"/>
        </w:rPr>
      </w:pPr>
      <w:r w:rsidRPr="00593BCE">
        <w:rPr>
          <w:rFonts w:ascii="Arial" w:hAnsi="Arial" w:cs="Arial"/>
        </w:rPr>
        <w:t>National Institute for Health and Care Excellence</w:t>
      </w:r>
      <w:r w:rsidR="00EB704A" w:rsidRPr="00593BCE">
        <w:rPr>
          <w:rFonts w:ascii="Arial" w:hAnsi="Arial" w:cs="Arial"/>
        </w:rPr>
        <w:t xml:space="preserve">. 2018 surveillance of delirium: prevention, diagnosis and management (NICE guideline CG103). </w:t>
      </w:r>
      <w:hyperlink r:id="rId11" w:history="1">
        <w:r w:rsidR="00FC4B4A" w:rsidRPr="00593BCE">
          <w:rPr>
            <w:rStyle w:val="Hyperlink"/>
            <w:rFonts w:ascii="Arial" w:hAnsi="Arial" w:cs="Arial"/>
            <w:color w:val="auto"/>
            <w:u w:val="none"/>
          </w:rPr>
          <w:t>www.nice.org.uk/guidance/cg103/resources/2018-surveillance-of-delirium-prevention-diagnosis-and-management-nice-guideline-cg103-pdf-8546233843141</w:t>
        </w:r>
      </w:hyperlink>
      <w:r w:rsidR="00FC4B4A" w:rsidRPr="00593BCE">
        <w:rPr>
          <w:rFonts w:ascii="Arial" w:hAnsi="Arial" w:cs="Arial"/>
        </w:rPr>
        <w:t>.</w:t>
      </w:r>
      <w:r w:rsidR="00AF0A66" w:rsidRPr="00593BCE">
        <w:rPr>
          <w:rFonts w:ascii="Arial" w:hAnsi="Arial" w:cs="Arial"/>
        </w:rPr>
        <w:t xml:space="preserve"> [Accessed April 2019]</w:t>
      </w:r>
    </w:p>
    <w:p w14:paraId="1273FF6E" w14:textId="7842AA1D" w:rsidR="001F4C40" w:rsidRPr="00593BCE" w:rsidRDefault="001F4C40" w:rsidP="005068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567" w:hanging="567"/>
        <w:jc w:val="both"/>
        <w:rPr>
          <w:rFonts w:ascii="Arial" w:hAnsi="Arial" w:cs="Arial"/>
        </w:rPr>
      </w:pPr>
      <w:r w:rsidRPr="00593BCE">
        <w:rPr>
          <w:rFonts w:ascii="Arial" w:hAnsi="Arial" w:cs="Arial"/>
        </w:rPr>
        <w:t>Royal College of Physicians. National Hip Fracture Database annual report 2017. RCP, London (2016) http://www.nhfd.co.uk/. Accessed 1 February 2019</w:t>
      </w:r>
    </w:p>
    <w:p w14:paraId="7DC1B7C3" w14:textId="1AE8D4EE" w:rsidR="001F4C40" w:rsidRPr="00593BCE" w:rsidRDefault="001F4C40" w:rsidP="005068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567" w:hanging="567"/>
        <w:jc w:val="both"/>
        <w:rPr>
          <w:rFonts w:ascii="Arial" w:hAnsi="Arial" w:cs="Arial"/>
        </w:rPr>
      </w:pPr>
      <w:r w:rsidRPr="00593BCE">
        <w:rPr>
          <w:rFonts w:ascii="Arial" w:hAnsi="Arial" w:cs="Arial"/>
        </w:rPr>
        <w:t>World Health Organization (2004) ICD-10: international statistical classification of diseases and related health problems: tenth revision. WHO, Geneva</w:t>
      </w:r>
    </w:p>
    <w:p w14:paraId="4511CA30" w14:textId="63877ED4" w:rsidR="004575FB" w:rsidRPr="00593BCE" w:rsidRDefault="004575FB" w:rsidP="005068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567" w:hanging="567"/>
        <w:jc w:val="both"/>
        <w:rPr>
          <w:rFonts w:ascii="Arial" w:hAnsi="Arial" w:cs="Arial"/>
        </w:rPr>
      </w:pPr>
      <w:r w:rsidRPr="00593BCE">
        <w:rPr>
          <w:rFonts w:ascii="Arial" w:hAnsi="Arial" w:cs="Arial"/>
        </w:rPr>
        <w:t>Kondrup JE, Allison SP, Elia M, Vellas B, Plauth M. ESPEN guidelines for nutrition screening 2002. Clinical nutrition. 2003;</w:t>
      </w:r>
      <w:r w:rsidR="005A110B" w:rsidRPr="00593BCE">
        <w:rPr>
          <w:rFonts w:ascii="Arial" w:hAnsi="Arial" w:cs="Arial"/>
        </w:rPr>
        <w:t xml:space="preserve"> </w:t>
      </w:r>
      <w:r w:rsidRPr="00593BCE">
        <w:rPr>
          <w:rFonts w:ascii="Arial" w:hAnsi="Arial" w:cs="Arial"/>
        </w:rPr>
        <w:t>22:</w:t>
      </w:r>
      <w:r w:rsidR="005A110B" w:rsidRPr="00593BCE">
        <w:rPr>
          <w:rFonts w:ascii="Arial" w:hAnsi="Arial" w:cs="Arial"/>
        </w:rPr>
        <w:t xml:space="preserve"> </w:t>
      </w:r>
      <w:r w:rsidRPr="00593BCE">
        <w:rPr>
          <w:rFonts w:ascii="Arial" w:hAnsi="Arial" w:cs="Arial"/>
        </w:rPr>
        <w:t>415-21.</w:t>
      </w:r>
    </w:p>
    <w:p w14:paraId="18427170" w14:textId="601975F0" w:rsidR="00A420AB" w:rsidRPr="00593BCE" w:rsidRDefault="00A420AB" w:rsidP="005068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567" w:hanging="567"/>
        <w:jc w:val="both"/>
        <w:rPr>
          <w:rFonts w:ascii="Arial" w:hAnsi="Arial" w:cs="Arial"/>
        </w:rPr>
      </w:pPr>
      <w:r w:rsidRPr="00593BCE">
        <w:rPr>
          <w:rFonts w:ascii="Arial" w:hAnsi="Arial" w:cs="Arial"/>
        </w:rPr>
        <w:t>www.agingbraincare.org/tools/abcanticholinergic- cognitive-burden-scale.</w:t>
      </w:r>
    </w:p>
    <w:p w14:paraId="2B96010C" w14:textId="4BCE59BE" w:rsidR="00164C48" w:rsidRPr="00593BCE" w:rsidRDefault="00164C48" w:rsidP="005068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567" w:hanging="567"/>
        <w:jc w:val="both"/>
        <w:rPr>
          <w:rFonts w:ascii="Arial" w:hAnsi="Arial" w:cs="Arial"/>
        </w:rPr>
      </w:pPr>
      <w:r w:rsidRPr="00593BCE">
        <w:rPr>
          <w:rFonts w:ascii="Arial" w:hAnsi="Arial" w:cs="Arial"/>
        </w:rPr>
        <w:t>NICE quality standard QS16 (updated in 2016).</w:t>
      </w:r>
    </w:p>
    <w:p w14:paraId="607C5F0F" w14:textId="2AED8246" w:rsidR="004575FB" w:rsidRPr="00593BCE" w:rsidRDefault="004575FB" w:rsidP="005068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567" w:hanging="567"/>
        <w:jc w:val="both"/>
        <w:rPr>
          <w:rFonts w:ascii="Arial" w:hAnsi="Arial" w:cs="Arial"/>
        </w:rPr>
      </w:pPr>
      <w:r w:rsidRPr="00593BCE">
        <w:rPr>
          <w:rFonts w:ascii="Arial" w:hAnsi="Arial" w:cs="Arial"/>
        </w:rPr>
        <w:t>Lisk R, Uddin M, Parbhoo A, Yeong K, Fluck D, Sharma P, Lean ME</w:t>
      </w:r>
      <w:r w:rsidR="005A110B" w:rsidRPr="00593BCE">
        <w:rPr>
          <w:rFonts w:ascii="Arial" w:hAnsi="Arial" w:cs="Arial"/>
        </w:rPr>
        <w:t xml:space="preserve"> </w:t>
      </w:r>
      <w:r w:rsidR="005A110B" w:rsidRPr="00593BCE">
        <w:rPr>
          <w:rFonts w:ascii="Arial" w:hAnsi="Arial" w:cs="Arial"/>
          <w:i/>
        </w:rPr>
        <w:t>et al</w:t>
      </w:r>
      <w:r w:rsidRPr="00593BCE">
        <w:rPr>
          <w:rFonts w:ascii="Arial" w:hAnsi="Arial" w:cs="Arial"/>
        </w:rPr>
        <w:t xml:space="preserve">. Predictive model of length of stay in hospital among older patients. </w:t>
      </w:r>
      <w:r w:rsidR="005A110B" w:rsidRPr="00593BCE">
        <w:rPr>
          <w:rFonts w:ascii="Arial" w:hAnsi="Arial" w:cs="Arial"/>
        </w:rPr>
        <w:t>Aging Clin Exp Res 2019; 31:</w:t>
      </w:r>
      <w:r w:rsidR="009F756C" w:rsidRPr="00593BCE">
        <w:rPr>
          <w:rFonts w:ascii="Arial" w:hAnsi="Arial" w:cs="Arial"/>
        </w:rPr>
        <w:t xml:space="preserve"> </w:t>
      </w:r>
      <w:r w:rsidR="005A110B" w:rsidRPr="00593BCE">
        <w:rPr>
          <w:rFonts w:ascii="Arial" w:hAnsi="Arial" w:cs="Arial"/>
        </w:rPr>
        <w:t>993-9.</w:t>
      </w:r>
    </w:p>
    <w:p w14:paraId="3CF7E303" w14:textId="55B8BB12" w:rsidR="004575FB" w:rsidRPr="00593BCE" w:rsidRDefault="004575FB" w:rsidP="00506852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>Carey K. Measuring the Hospital Length of Stay/Readmission Cost Trade</w:t>
      </w:r>
      <w:r w:rsidRPr="00593BCE">
        <w:rPr>
          <w:rFonts w:ascii="Cambria Math" w:hAnsi="Cambria Math" w:cs="Cambria Math"/>
          <w:sz w:val="24"/>
          <w:szCs w:val="24"/>
        </w:rPr>
        <w:t>‐</w:t>
      </w:r>
      <w:r w:rsidRPr="00593BCE">
        <w:rPr>
          <w:rFonts w:ascii="Arial" w:hAnsi="Arial" w:cs="Arial"/>
          <w:sz w:val="24"/>
          <w:szCs w:val="24"/>
        </w:rPr>
        <w:t xml:space="preserve">Off Under a Bundled Payment Mechanism. Health </w:t>
      </w:r>
      <w:r w:rsidR="009F756C" w:rsidRPr="00593BCE">
        <w:rPr>
          <w:rFonts w:ascii="Arial" w:hAnsi="Arial" w:cs="Arial"/>
          <w:sz w:val="24"/>
          <w:szCs w:val="24"/>
        </w:rPr>
        <w:t>Econ</w:t>
      </w:r>
      <w:r w:rsidRPr="00593BCE">
        <w:rPr>
          <w:rFonts w:ascii="Arial" w:hAnsi="Arial" w:cs="Arial"/>
          <w:sz w:val="24"/>
          <w:szCs w:val="24"/>
        </w:rPr>
        <w:t xml:space="preserve"> 2015;</w:t>
      </w:r>
      <w:r w:rsidR="009F756C" w:rsidRPr="00593BCE">
        <w:rPr>
          <w:rFonts w:ascii="Arial" w:hAnsi="Arial" w:cs="Arial"/>
          <w:sz w:val="24"/>
          <w:szCs w:val="24"/>
        </w:rPr>
        <w:t xml:space="preserve"> </w:t>
      </w:r>
      <w:r w:rsidRPr="00593BCE">
        <w:rPr>
          <w:rFonts w:ascii="Arial" w:hAnsi="Arial" w:cs="Arial"/>
          <w:sz w:val="24"/>
          <w:szCs w:val="24"/>
        </w:rPr>
        <w:t>24:</w:t>
      </w:r>
      <w:r w:rsidR="009F756C" w:rsidRPr="00593BCE">
        <w:rPr>
          <w:rFonts w:ascii="Arial" w:hAnsi="Arial" w:cs="Arial"/>
          <w:sz w:val="24"/>
          <w:szCs w:val="24"/>
        </w:rPr>
        <w:t xml:space="preserve"> </w:t>
      </w:r>
      <w:r w:rsidRPr="00593BCE">
        <w:rPr>
          <w:rFonts w:ascii="Arial" w:hAnsi="Arial" w:cs="Arial"/>
          <w:sz w:val="24"/>
          <w:szCs w:val="24"/>
        </w:rPr>
        <w:t>790-802.</w:t>
      </w:r>
    </w:p>
    <w:p w14:paraId="60830650" w14:textId="7578D04A" w:rsidR="004575FB" w:rsidRPr="00593BCE" w:rsidRDefault="004575FB" w:rsidP="005068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567" w:hanging="567"/>
        <w:jc w:val="both"/>
        <w:rPr>
          <w:rFonts w:ascii="Arial" w:hAnsi="Arial" w:cs="Arial"/>
        </w:rPr>
      </w:pPr>
      <w:r w:rsidRPr="00593BCE">
        <w:rPr>
          <w:rFonts w:ascii="Arial" w:hAnsi="Arial" w:cs="Arial"/>
        </w:rPr>
        <w:t xml:space="preserve">Greenberg SE, VanHouten JP, Lakomkin N, Ehrenfeld J, Jahangir AA, Boyce RH, </w:t>
      </w:r>
      <w:r w:rsidR="00934F49" w:rsidRPr="00593BCE">
        <w:rPr>
          <w:rFonts w:ascii="Arial" w:hAnsi="Arial" w:cs="Arial"/>
        </w:rPr>
        <w:t>et al</w:t>
      </w:r>
      <w:r w:rsidRPr="00593BCE">
        <w:rPr>
          <w:rFonts w:ascii="Arial" w:hAnsi="Arial" w:cs="Arial"/>
        </w:rPr>
        <w:t xml:space="preserve">. Does admission to medicine or orthopaedics impact a geriatric hip patient’s hospital length of stay?. </w:t>
      </w:r>
      <w:r w:rsidR="00934F49" w:rsidRPr="00593BCE">
        <w:rPr>
          <w:rFonts w:ascii="Arial" w:hAnsi="Arial" w:cs="Arial"/>
        </w:rPr>
        <w:t xml:space="preserve">J Orthop Trauma </w:t>
      </w:r>
      <w:r w:rsidRPr="00593BCE">
        <w:rPr>
          <w:rFonts w:ascii="Arial" w:hAnsi="Arial" w:cs="Arial"/>
        </w:rPr>
        <w:t>2016;</w:t>
      </w:r>
      <w:r w:rsidR="00934F49" w:rsidRPr="00593BCE">
        <w:rPr>
          <w:rFonts w:ascii="Arial" w:hAnsi="Arial" w:cs="Arial"/>
        </w:rPr>
        <w:t xml:space="preserve"> </w:t>
      </w:r>
      <w:r w:rsidRPr="00593BCE">
        <w:rPr>
          <w:rFonts w:ascii="Arial" w:hAnsi="Arial" w:cs="Arial"/>
        </w:rPr>
        <w:t>30:</w:t>
      </w:r>
      <w:r w:rsidR="00934F49" w:rsidRPr="00593BCE">
        <w:rPr>
          <w:rFonts w:ascii="Arial" w:hAnsi="Arial" w:cs="Arial"/>
        </w:rPr>
        <w:t xml:space="preserve"> </w:t>
      </w:r>
      <w:r w:rsidRPr="00593BCE">
        <w:rPr>
          <w:rFonts w:ascii="Arial" w:hAnsi="Arial" w:cs="Arial"/>
        </w:rPr>
        <w:t>95</w:t>
      </w:r>
      <w:r w:rsidR="00934F49" w:rsidRPr="00593BCE">
        <w:rPr>
          <w:rFonts w:ascii="Arial" w:hAnsi="Arial" w:cs="Arial"/>
        </w:rPr>
        <w:t>-9</w:t>
      </w:r>
      <w:r w:rsidRPr="00593BCE">
        <w:rPr>
          <w:rFonts w:ascii="Arial" w:hAnsi="Arial" w:cs="Arial"/>
        </w:rPr>
        <w:t>.</w:t>
      </w:r>
    </w:p>
    <w:p w14:paraId="0C3D2C1A" w14:textId="288A5EF4" w:rsidR="004575FB" w:rsidRPr="00593BCE" w:rsidRDefault="004575FB" w:rsidP="005068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567" w:hanging="567"/>
        <w:jc w:val="both"/>
        <w:rPr>
          <w:rFonts w:ascii="Arial" w:hAnsi="Arial" w:cs="Arial"/>
        </w:rPr>
      </w:pPr>
      <w:r w:rsidRPr="00593BCE">
        <w:rPr>
          <w:rFonts w:ascii="Arial" w:hAnsi="Arial" w:cs="Arial"/>
        </w:rPr>
        <w:t>England NHS. High Quality Care for All, Now and for Future Generations: Transforming Urgent and Emergency Care Services in England: Urgent and Emergency Care Review: End of Phase 1 Report. NHS England; 2013.</w:t>
      </w:r>
    </w:p>
    <w:p w14:paraId="49C82BAA" w14:textId="5664B11A" w:rsidR="004575FB" w:rsidRPr="00593BCE" w:rsidRDefault="004575FB" w:rsidP="00506852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593BCE">
        <w:rPr>
          <w:rFonts w:ascii="Arial" w:hAnsi="Arial" w:cs="Arial"/>
          <w:sz w:val="24"/>
          <w:szCs w:val="24"/>
        </w:rPr>
        <w:t xml:space="preserve">Enwere P, Jenkinson J, Mahmood R, Sills </w:t>
      </w:r>
      <w:r w:rsidR="00214DB2" w:rsidRPr="00593BCE">
        <w:rPr>
          <w:rFonts w:ascii="Arial" w:hAnsi="Arial" w:cs="Arial"/>
          <w:sz w:val="24"/>
          <w:szCs w:val="24"/>
        </w:rPr>
        <w:t>D, Aranda-Martinez A, Manzoor A</w:t>
      </w:r>
      <w:r w:rsidRPr="00593BCE">
        <w:rPr>
          <w:rFonts w:ascii="Arial" w:hAnsi="Arial" w:cs="Arial"/>
          <w:sz w:val="24"/>
          <w:szCs w:val="24"/>
        </w:rPr>
        <w:t xml:space="preserve"> </w:t>
      </w:r>
      <w:r w:rsidR="00893B8D" w:rsidRPr="00593BCE">
        <w:rPr>
          <w:rFonts w:ascii="Arial" w:hAnsi="Arial" w:cs="Arial"/>
          <w:i/>
          <w:sz w:val="24"/>
          <w:szCs w:val="24"/>
        </w:rPr>
        <w:t>et al</w:t>
      </w:r>
      <w:r w:rsidRPr="00593BCE">
        <w:rPr>
          <w:rFonts w:ascii="Arial" w:hAnsi="Arial" w:cs="Arial"/>
          <w:sz w:val="24"/>
          <w:szCs w:val="24"/>
        </w:rPr>
        <w:t xml:space="preserve">. Delirium awareness and assessment in a district general hospital. GM Journal </w:t>
      </w:r>
      <w:r w:rsidRPr="00593BCE">
        <w:rPr>
          <w:rFonts w:ascii="Arial" w:hAnsi="Arial" w:cs="Arial"/>
          <w:sz w:val="24"/>
          <w:szCs w:val="24"/>
        </w:rPr>
        <w:lastRenderedPageBreak/>
        <w:t>2019</w:t>
      </w:r>
      <w:r w:rsidR="00893B8D" w:rsidRPr="00593BCE">
        <w:rPr>
          <w:rFonts w:ascii="Arial" w:hAnsi="Arial" w:cs="Arial"/>
          <w:sz w:val="24"/>
          <w:szCs w:val="24"/>
        </w:rPr>
        <w:t xml:space="preserve"> [</w:t>
      </w:r>
      <w:hyperlink r:id="rId12" w:history="1">
        <w:r w:rsidRPr="00593BC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www.gmjournal.co.uk/audit-of-delirium-awareness-and-assessment-in-a-district-general-hospital</w:t>
        </w:r>
      </w:hyperlink>
      <w:r w:rsidR="00893B8D" w:rsidRPr="00593B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]</w:t>
      </w:r>
    </w:p>
    <w:p w14:paraId="2563F874" w14:textId="77777777" w:rsidR="000144FF" w:rsidRPr="00593BCE" w:rsidRDefault="000144FF" w:rsidP="000144FF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>Pauley E, Lishmanov A, Schumann S, Gala GJ, van Diepen S, Katz JN. Delirium is a robust predictor of morbidity and mortality among critically ill patients treated in the cardiac intensive care unit. Am Heart J 2015; 170: 79-86.</w:t>
      </w:r>
    </w:p>
    <w:p w14:paraId="1BC08383" w14:textId="243343B8" w:rsidR="009A4F8A" w:rsidRPr="00593BCE" w:rsidRDefault="009A4F8A" w:rsidP="00CD6E2F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 xml:space="preserve">Émond M, Grenier D, Morin J, Mercier É, Voyer P, Lee JS. Emergency </w:t>
      </w:r>
      <w:r w:rsidR="009F22A7" w:rsidRPr="00593BCE">
        <w:rPr>
          <w:rFonts w:ascii="Arial" w:hAnsi="Arial" w:cs="Arial"/>
          <w:sz w:val="24"/>
          <w:szCs w:val="24"/>
        </w:rPr>
        <w:t>department stay associated delirium in older patients</w:t>
      </w:r>
      <w:r w:rsidRPr="00593BCE">
        <w:rPr>
          <w:rFonts w:ascii="Arial" w:hAnsi="Arial" w:cs="Arial"/>
          <w:sz w:val="24"/>
          <w:szCs w:val="24"/>
        </w:rPr>
        <w:t>. Can Geriatr J 2017; 20: 10-14.</w:t>
      </w:r>
    </w:p>
    <w:p w14:paraId="2FB77113" w14:textId="43FBA72A" w:rsidR="006A4AF7" w:rsidRPr="00593BCE" w:rsidRDefault="006A4AF7" w:rsidP="006A4AF7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>Inouye SK, Rushing JT, Foreman MD, Palmer RM, Pompei P. Does delirium contribute to poor hospital outcomes?. J Gen Intern Med 1998; 13: 34-42.</w:t>
      </w:r>
    </w:p>
    <w:p w14:paraId="7E527DE1" w14:textId="4737D79F" w:rsidR="00922102" w:rsidRPr="00593BCE" w:rsidRDefault="00922102" w:rsidP="006A4AF7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>Han JH, Shintani A, Eden S, Morandi A, Solberg LM, Schnelle J, Dittus RS, Storrow AB, Ely EW. Delirium in the emergency department: an independent predictor of death within 6 months. Ann Emerg Med 2010; 56: 244-52.</w:t>
      </w:r>
    </w:p>
    <w:p w14:paraId="6380EEE2" w14:textId="77777777" w:rsidR="00676B21" w:rsidRPr="00593BCE" w:rsidRDefault="00676B21" w:rsidP="00676B21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 xml:space="preserve">Bellelli G, Morandi A, Davis DH, Mazzola P, Turco R, Gentile S </w:t>
      </w:r>
      <w:r w:rsidRPr="00593BCE">
        <w:rPr>
          <w:rFonts w:ascii="Arial" w:hAnsi="Arial" w:cs="Arial"/>
          <w:i/>
          <w:sz w:val="24"/>
          <w:szCs w:val="24"/>
        </w:rPr>
        <w:t>et al</w:t>
      </w:r>
      <w:r w:rsidRPr="00593BCE">
        <w:rPr>
          <w:rFonts w:ascii="Arial" w:hAnsi="Arial" w:cs="Arial"/>
          <w:sz w:val="24"/>
          <w:szCs w:val="24"/>
        </w:rPr>
        <w:t xml:space="preserve">. </w:t>
      </w:r>
      <w:hyperlink r:id="rId13" w:tgtFrame="_blank" w:history="1">
        <w:r w:rsidRPr="00593BCE">
          <w:rPr>
            <w:rStyle w:val="Strong"/>
            <w:rFonts w:ascii="Arial" w:hAnsi="Arial" w:cs="Arial"/>
            <w:b w:val="0"/>
            <w:sz w:val="24"/>
            <w:szCs w:val="24"/>
          </w:rPr>
          <w:t>Validation of the 4AT, a new instrument for rapid delirium screening: a study in 234 hospitalised older people.</w:t>
        </w:r>
      </w:hyperlink>
      <w:r w:rsidRPr="00593BCE">
        <w:rPr>
          <w:rFonts w:ascii="Arial" w:hAnsi="Arial" w:cs="Arial"/>
          <w:sz w:val="24"/>
          <w:szCs w:val="24"/>
        </w:rPr>
        <w:t xml:space="preserve"> Age Ageing 2014; 43: 496-502.</w:t>
      </w:r>
    </w:p>
    <w:p w14:paraId="64594DA2" w14:textId="77777777" w:rsidR="00676B21" w:rsidRPr="00593BCE" w:rsidRDefault="00676B21" w:rsidP="00676B2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567" w:hanging="567"/>
        <w:jc w:val="both"/>
        <w:rPr>
          <w:rFonts w:ascii="Arial" w:hAnsi="Arial" w:cs="Arial"/>
        </w:rPr>
      </w:pPr>
      <w:r w:rsidRPr="00593BCE">
        <w:rPr>
          <w:rFonts w:ascii="Arial" w:hAnsi="Arial" w:cs="Arial"/>
        </w:rPr>
        <w:t xml:space="preserve">Hendry K, Quinn TJ, Evans J, Scortichini V, Miller H, Burns J </w:t>
      </w:r>
      <w:r w:rsidRPr="00593BCE">
        <w:rPr>
          <w:rFonts w:ascii="Arial" w:hAnsi="Arial" w:cs="Arial"/>
          <w:i/>
        </w:rPr>
        <w:t>et al</w:t>
      </w:r>
      <w:r w:rsidRPr="00593BCE">
        <w:rPr>
          <w:rFonts w:ascii="Arial" w:hAnsi="Arial" w:cs="Arial"/>
        </w:rPr>
        <w:t xml:space="preserve">. </w:t>
      </w:r>
      <w:hyperlink r:id="rId14" w:tgtFrame="_blank" w:history="1">
        <w:r w:rsidRPr="00593BCE">
          <w:rPr>
            <w:rStyle w:val="Strong"/>
            <w:rFonts w:ascii="Arial" w:hAnsi="Arial" w:cs="Arial"/>
            <w:b w:val="0"/>
          </w:rPr>
          <w:t>Evaluation of delirium screening tools in geriatric medical inpatients: a diagnostic test accuracy study.</w:t>
        </w:r>
      </w:hyperlink>
      <w:r w:rsidRPr="00593BCE">
        <w:rPr>
          <w:rFonts w:ascii="Arial" w:hAnsi="Arial" w:cs="Arial"/>
        </w:rPr>
        <w:t xml:space="preserve"> Age Ageing 2016; 45: 832-7 </w:t>
      </w:r>
    </w:p>
    <w:p w14:paraId="51043184" w14:textId="77777777" w:rsidR="00676B21" w:rsidRPr="00593BCE" w:rsidRDefault="00676B21" w:rsidP="00676B2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567" w:hanging="567"/>
        <w:jc w:val="both"/>
        <w:rPr>
          <w:rFonts w:ascii="Arial" w:hAnsi="Arial" w:cs="Arial"/>
        </w:rPr>
      </w:pPr>
      <w:r w:rsidRPr="00593BCE">
        <w:rPr>
          <w:rFonts w:ascii="Arial" w:hAnsi="Arial" w:cs="Arial"/>
        </w:rPr>
        <w:t xml:space="preserve">O'Sullivan D, Brady N, Manning E, O'Shea E, O'Grady S, O 'Regan N, Timmons S. </w:t>
      </w:r>
      <w:hyperlink r:id="rId15" w:tgtFrame="_blank" w:history="1">
        <w:r w:rsidRPr="00593BCE">
          <w:rPr>
            <w:rStyle w:val="Strong"/>
            <w:rFonts w:ascii="Arial" w:hAnsi="Arial" w:cs="Arial"/>
            <w:b w:val="0"/>
          </w:rPr>
          <w:t xml:space="preserve">Validation of the 6-Item Cognitive Impairment Test and the 4AT test for combined delirium and dementia screening in older Emergency Department attendees. </w:t>
        </w:r>
      </w:hyperlink>
      <w:r w:rsidRPr="00593BCE">
        <w:rPr>
          <w:rFonts w:ascii="Arial" w:hAnsi="Arial" w:cs="Arial"/>
        </w:rPr>
        <w:t>Age Ageing 2018; 47: 61-8.</w:t>
      </w:r>
    </w:p>
    <w:p w14:paraId="28EC83D9" w14:textId="77777777" w:rsidR="00676B21" w:rsidRPr="00593BCE" w:rsidRDefault="00676B21" w:rsidP="00676B2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567" w:hanging="567"/>
        <w:jc w:val="both"/>
        <w:rPr>
          <w:rFonts w:ascii="Arial" w:hAnsi="Arial" w:cs="Arial"/>
        </w:rPr>
      </w:pPr>
      <w:r w:rsidRPr="00593BCE">
        <w:rPr>
          <w:rFonts w:ascii="Arial" w:hAnsi="Arial" w:cs="Arial"/>
        </w:rPr>
        <w:lastRenderedPageBreak/>
        <w:t>De J, Wand AP, Smerdely PI, Hunt GE.</w:t>
      </w:r>
      <w:r w:rsidRPr="00593BCE">
        <w:rPr>
          <w:rStyle w:val="Strong"/>
          <w:rFonts w:ascii="Arial" w:hAnsi="Arial" w:cs="Arial"/>
          <w:b w:val="0"/>
        </w:rPr>
        <w:t xml:space="preserve"> </w:t>
      </w:r>
      <w:hyperlink r:id="rId16" w:tgtFrame="_blank" w:history="1">
        <w:r w:rsidRPr="00593BCE">
          <w:rPr>
            <w:rStyle w:val="Strong"/>
            <w:rFonts w:ascii="Arial" w:hAnsi="Arial" w:cs="Arial"/>
            <w:b w:val="0"/>
          </w:rPr>
          <w:t>Validating the 4A's test in screening for delirium in a culturally diverse geriatric inpatient population.</w:t>
        </w:r>
      </w:hyperlink>
      <w:r w:rsidRPr="00593BCE">
        <w:rPr>
          <w:rFonts w:ascii="Arial" w:hAnsi="Arial" w:cs="Arial"/>
        </w:rPr>
        <w:t xml:space="preserve"> Int J Geriatr Psychiatry 2017; 32: 1322-9.</w:t>
      </w:r>
    </w:p>
    <w:p w14:paraId="30165328" w14:textId="148AEF15" w:rsidR="00676B21" w:rsidRPr="00593BCE" w:rsidRDefault="00676B21" w:rsidP="00676B21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</w:rPr>
        <w:t xml:space="preserve">Gagné AJ, Voyer P, Boucher V, Nadeau A, Carmichael PH, Pelletier M </w:t>
      </w:r>
      <w:r w:rsidRPr="00593BCE">
        <w:rPr>
          <w:rFonts w:ascii="Arial" w:hAnsi="Arial" w:cs="Arial"/>
          <w:i/>
        </w:rPr>
        <w:t>et al</w:t>
      </w:r>
      <w:r w:rsidRPr="00593BCE">
        <w:rPr>
          <w:rFonts w:ascii="Arial" w:hAnsi="Arial" w:cs="Arial"/>
        </w:rPr>
        <w:t>. Performance of the French version of the 4AT for screening the elderly for delirium in the emergency department. CJEM 2018; 20: 903-10.</w:t>
      </w:r>
    </w:p>
    <w:p w14:paraId="2CA1DB92" w14:textId="532DBECD" w:rsidR="00E637B6" w:rsidRPr="00593BCE" w:rsidRDefault="00E637B6">
      <w:pPr>
        <w:rPr>
          <w:rFonts w:ascii="Arial" w:hAnsi="Arial" w:cs="Arial"/>
          <w:b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br w:type="page"/>
      </w:r>
    </w:p>
    <w:p w14:paraId="483361F3" w14:textId="77777777" w:rsidR="00E637B6" w:rsidRPr="00593BCE" w:rsidRDefault="00E637B6" w:rsidP="00E637B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lastRenderedPageBreak/>
        <w:t>Table 1.</w:t>
      </w:r>
      <w:r w:rsidRPr="00593BCE">
        <w:rPr>
          <w:rFonts w:ascii="Arial" w:hAnsi="Arial" w:cs="Arial"/>
          <w:sz w:val="24"/>
          <w:szCs w:val="24"/>
        </w:rPr>
        <w:t xml:space="preserve"> Characteristics of 537 patients admitted with hip fractures.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7089"/>
        <w:gridCol w:w="2835"/>
      </w:tblGrid>
      <w:tr w:rsidR="00E637B6" w:rsidRPr="00593BCE" w14:paraId="7AE4F8BC" w14:textId="77777777" w:rsidTr="00443AED">
        <w:tc>
          <w:tcPr>
            <w:tcW w:w="7089" w:type="dxa"/>
          </w:tcPr>
          <w:p w14:paraId="764181A3" w14:textId="77777777" w:rsidR="00E637B6" w:rsidRPr="00593BCE" w:rsidRDefault="00E637B6" w:rsidP="00443A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A174CAA" w14:textId="77777777" w:rsidR="00E637B6" w:rsidRPr="00593BCE" w:rsidRDefault="00E637B6" w:rsidP="00443AED">
            <w:pPr>
              <w:ind w:left="5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Proportion (%)</w:t>
            </w:r>
          </w:p>
        </w:tc>
      </w:tr>
      <w:tr w:rsidR="00E637B6" w:rsidRPr="00593BCE" w14:paraId="514EAA53" w14:textId="77777777" w:rsidTr="00443AED">
        <w:tc>
          <w:tcPr>
            <w:tcW w:w="7089" w:type="dxa"/>
          </w:tcPr>
          <w:p w14:paraId="3D27427A" w14:textId="77777777" w:rsidR="00E637B6" w:rsidRPr="00593BCE" w:rsidRDefault="00E637B6" w:rsidP="00443AED">
            <w:pPr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Sex distribution (women: men)</w:t>
            </w:r>
          </w:p>
        </w:tc>
        <w:tc>
          <w:tcPr>
            <w:tcW w:w="2835" w:type="dxa"/>
          </w:tcPr>
          <w:p w14:paraId="262E17AA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73.0: 27.0</w:t>
            </w:r>
          </w:p>
        </w:tc>
      </w:tr>
      <w:tr w:rsidR="00E637B6" w:rsidRPr="00593BCE" w14:paraId="3D3B5108" w14:textId="77777777" w:rsidTr="00443AED">
        <w:tc>
          <w:tcPr>
            <w:tcW w:w="7089" w:type="dxa"/>
          </w:tcPr>
          <w:p w14:paraId="51E91CA0" w14:textId="77777777" w:rsidR="00E637B6" w:rsidRPr="00593BCE" w:rsidRDefault="00E637B6" w:rsidP="00443AED">
            <w:pPr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Residence before admission</w:t>
            </w:r>
          </w:p>
        </w:tc>
        <w:tc>
          <w:tcPr>
            <w:tcW w:w="2835" w:type="dxa"/>
          </w:tcPr>
          <w:p w14:paraId="76FC043B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</w:p>
        </w:tc>
      </w:tr>
      <w:tr w:rsidR="00E637B6" w:rsidRPr="00593BCE" w14:paraId="32830646" w14:textId="77777777" w:rsidTr="00443AED">
        <w:tc>
          <w:tcPr>
            <w:tcW w:w="7089" w:type="dxa"/>
          </w:tcPr>
          <w:p w14:paraId="27A074A7" w14:textId="77777777" w:rsidR="00E637B6" w:rsidRPr="00593BCE" w:rsidRDefault="00E637B6" w:rsidP="00443AED">
            <w:pPr>
              <w:ind w:left="175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Own home: Residential care: Nursing care</w:t>
            </w:r>
          </w:p>
        </w:tc>
        <w:tc>
          <w:tcPr>
            <w:tcW w:w="2835" w:type="dxa"/>
          </w:tcPr>
          <w:p w14:paraId="51A7EEDA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82.1: 12.5: 5.4</w:t>
            </w:r>
          </w:p>
        </w:tc>
      </w:tr>
      <w:tr w:rsidR="00E637B6" w:rsidRPr="00593BCE" w14:paraId="69FD2930" w14:textId="77777777" w:rsidTr="00443AED">
        <w:tc>
          <w:tcPr>
            <w:tcW w:w="7089" w:type="dxa"/>
          </w:tcPr>
          <w:p w14:paraId="6794868A" w14:textId="77777777" w:rsidR="00E637B6" w:rsidRPr="00593BCE" w:rsidRDefault="00E637B6" w:rsidP="00443AE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Co-morbidities and medications</w:t>
            </w:r>
          </w:p>
        </w:tc>
        <w:tc>
          <w:tcPr>
            <w:tcW w:w="2835" w:type="dxa"/>
          </w:tcPr>
          <w:p w14:paraId="47FA578A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</w:p>
        </w:tc>
      </w:tr>
      <w:tr w:rsidR="00E637B6" w:rsidRPr="00593BCE" w14:paraId="3C6A734B" w14:textId="77777777" w:rsidTr="00443AED">
        <w:tc>
          <w:tcPr>
            <w:tcW w:w="7089" w:type="dxa"/>
          </w:tcPr>
          <w:p w14:paraId="30221165" w14:textId="77777777" w:rsidR="00E637B6" w:rsidRPr="00593BCE" w:rsidRDefault="00E637B6" w:rsidP="00443AED">
            <w:pPr>
              <w:autoSpaceDE w:val="0"/>
              <w:autoSpaceDN w:val="0"/>
              <w:adjustRightInd w:val="0"/>
              <w:spacing w:line="320" w:lineRule="atLeast"/>
              <w:ind w:right="60" w:firstLine="175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Dementia</w:t>
            </w:r>
          </w:p>
        </w:tc>
        <w:tc>
          <w:tcPr>
            <w:tcW w:w="2835" w:type="dxa"/>
          </w:tcPr>
          <w:p w14:paraId="26022C4E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26.0</w:t>
            </w:r>
          </w:p>
        </w:tc>
      </w:tr>
      <w:tr w:rsidR="00E637B6" w:rsidRPr="00593BCE" w14:paraId="310D0F62" w14:textId="77777777" w:rsidTr="00443AED">
        <w:tc>
          <w:tcPr>
            <w:tcW w:w="7089" w:type="dxa"/>
          </w:tcPr>
          <w:p w14:paraId="5AD5DE9C" w14:textId="77777777" w:rsidR="00E637B6" w:rsidRPr="00593BCE" w:rsidRDefault="00E637B6" w:rsidP="00443AED">
            <w:pPr>
              <w:autoSpaceDE w:val="0"/>
              <w:autoSpaceDN w:val="0"/>
              <w:adjustRightInd w:val="0"/>
              <w:spacing w:line="320" w:lineRule="atLeast"/>
              <w:ind w:right="60" w:firstLine="175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Parkinson’s disease</w:t>
            </w:r>
          </w:p>
        </w:tc>
        <w:tc>
          <w:tcPr>
            <w:tcW w:w="2835" w:type="dxa"/>
          </w:tcPr>
          <w:p w14:paraId="59C9E2C2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3.9</w:t>
            </w:r>
          </w:p>
        </w:tc>
      </w:tr>
      <w:tr w:rsidR="00E637B6" w:rsidRPr="00593BCE" w14:paraId="08328BB8" w14:textId="77777777" w:rsidTr="00443AED">
        <w:tc>
          <w:tcPr>
            <w:tcW w:w="7089" w:type="dxa"/>
          </w:tcPr>
          <w:p w14:paraId="5D13F373" w14:textId="77777777" w:rsidR="00E637B6" w:rsidRPr="00593BCE" w:rsidRDefault="00E637B6" w:rsidP="00443AED">
            <w:pPr>
              <w:autoSpaceDE w:val="0"/>
              <w:autoSpaceDN w:val="0"/>
              <w:adjustRightInd w:val="0"/>
              <w:spacing w:line="320" w:lineRule="atLeast"/>
              <w:ind w:right="60" w:firstLine="175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Stroke</w:t>
            </w:r>
          </w:p>
        </w:tc>
        <w:tc>
          <w:tcPr>
            <w:tcW w:w="2835" w:type="dxa"/>
          </w:tcPr>
          <w:p w14:paraId="616F5C3D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14.8</w:t>
            </w:r>
          </w:p>
        </w:tc>
      </w:tr>
      <w:tr w:rsidR="00E637B6" w:rsidRPr="00593BCE" w14:paraId="0C1E48D9" w14:textId="77777777" w:rsidTr="00443AED">
        <w:tc>
          <w:tcPr>
            <w:tcW w:w="7089" w:type="dxa"/>
          </w:tcPr>
          <w:p w14:paraId="1626D97A" w14:textId="77777777" w:rsidR="00E637B6" w:rsidRPr="00593BCE" w:rsidRDefault="00E637B6" w:rsidP="00443AED">
            <w:pPr>
              <w:autoSpaceDE w:val="0"/>
              <w:autoSpaceDN w:val="0"/>
              <w:adjustRightInd w:val="0"/>
              <w:spacing w:line="320" w:lineRule="atLeast"/>
              <w:ind w:right="60" w:firstLine="175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Ischaemic heart disease</w:t>
            </w:r>
          </w:p>
        </w:tc>
        <w:tc>
          <w:tcPr>
            <w:tcW w:w="2835" w:type="dxa"/>
          </w:tcPr>
          <w:p w14:paraId="6B71E9AB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7.5</w:t>
            </w:r>
          </w:p>
        </w:tc>
      </w:tr>
      <w:tr w:rsidR="00E637B6" w:rsidRPr="00593BCE" w14:paraId="37E5FB89" w14:textId="77777777" w:rsidTr="00443AED">
        <w:tc>
          <w:tcPr>
            <w:tcW w:w="7089" w:type="dxa"/>
          </w:tcPr>
          <w:p w14:paraId="00DD6CE6" w14:textId="77777777" w:rsidR="00E637B6" w:rsidRPr="00593BCE" w:rsidRDefault="00E637B6" w:rsidP="00443AED">
            <w:pPr>
              <w:autoSpaceDE w:val="0"/>
              <w:autoSpaceDN w:val="0"/>
              <w:adjustRightInd w:val="0"/>
              <w:spacing w:line="320" w:lineRule="atLeast"/>
              <w:ind w:right="60" w:firstLine="175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Diabetes</w:t>
            </w:r>
          </w:p>
        </w:tc>
        <w:tc>
          <w:tcPr>
            <w:tcW w:w="2835" w:type="dxa"/>
          </w:tcPr>
          <w:p w14:paraId="49A772A5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10.3</w:t>
            </w:r>
          </w:p>
        </w:tc>
      </w:tr>
      <w:tr w:rsidR="00E637B6" w:rsidRPr="00593BCE" w14:paraId="2CEB53B2" w14:textId="77777777" w:rsidTr="00443AED">
        <w:tc>
          <w:tcPr>
            <w:tcW w:w="7089" w:type="dxa"/>
          </w:tcPr>
          <w:p w14:paraId="0CEF82AD" w14:textId="77777777" w:rsidR="00E637B6" w:rsidRPr="00593BCE" w:rsidRDefault="00E637B6" w:rsidP="00443AED">
            <w:pPr>
              <w:autoSpaceDE w:val="0"/>
              <w:autoSpaceDN w:val="0"/>
              <w:adjustRightInd w:val="0"/>
              <w:spacing w:line="320" w:lineRule="atLeast"/>
              <w:ind w:right="60" w:firstLine="175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Alcohol excess (&gt;14 units/week)</w:t>
            </w:r>
          </w:p>
        </w:tc>
        <w:tc>
          <w:tcPr>
            <w:tcW w:w="2835" w:type="dxa"/>
          </w:tcPr>
          <w:p w14:paraId="5B74DA66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7.7</w:t>
            </w:r>
          </w:p>
        </w:tc>
      </w:tr>
      <w:tr w:rsidR="00E637B6" w:rsidRPr="00593BCE" w14:paraId="1112C8D5" w14:textId="77777777" w:rsidTr="00443AED">
        <w:tc>
          <w:tcPr>
            <w:tcW w:w="7089" w:type="dxa"/>
          </w:tcPr>
          <w:p w14:paraId="5AF6A8EE" w14:textId="77777777" w:rsidR="00E637B6" w:rsidRPr="00593BCE" w:rsidRDefault="00E637B6" w:rsidP="00443AED">
            <w:pPr>
              <w:autoSpaceDE w:val="0"/>
              <w:autoSpaceDN w:val="0"/>
              <w:adjustRightInd w:val="0"/>
              <w:spacing w:line="320" w:lineRule="atLeast"/>
              <w:ind w:right="60" w:firstLine="175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Polypharmacy (≥4 medications/day)</w:t>
            </w:r>
          </w:p>
        </w:tc>
        <w:tc>
          <w:tcPr>
            <w:tcW w:w="2835" w:type="dxa"/>
          </w:tcPr>
          <w:p w14:paraId="43BBA76D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71.2</w:t>
            </w:r>
          </w:p>
        </w:tc>
      </w:tr>
      <w:tr w:rsidR="00E637B6" w:rsidRPr="00593BCE" w14:paraId="29756024" w14:textId="77777777" w:rsidTr="00443AED">
        <w:tc>
          <w:tcPr>
            <w:tcW w:w="7089" w:type="dxa"/>
          </w:tcPr>
          <w:p w14:paraId="18AF4AC1" w14:textId="77777777" w:rsidR="00E637B6" w:rsidRPr="00593BCE" w:rsidRDefault="00E637B6" w:rsidP="00443AED">
            <w:pPr>
              <w:autoSpaceDE w:val="0"/>
              <w:autoSpaceDN w:val="0"/>
              <w:adjustRightInd w:val="0"/>
              <w:spacing w:line="320" w:lineRule="atLeast"/>
              <w:ind w:right="60" w:firstLine="175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Anticholinergic burden (0: 1: 2: 3: 4)</w:t>
            </w:r>
          </w:p>
        </w:tc>
        <w:tc>
          <w:tcPr>
            <w:tcW w:w="2835" w:type="dxa"/>
          </w:tcPr>
          <w:p w14:paraId="17D38A82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63.7: 25.4: 0.7: 10.1</w:t>
            </w:r>
          </w:p>
        </w:tc>
      </w:tr>
      <w:tr w:rsidR="00E637B6" w:rsidRPr="00593BCE" w14:paraId="6848F8E2" w14:textId="77777777" w:rsidTr="00443AED">
        <w:tc>
          <w:tcPr>
            <w:tcW w:w="7089" w:type="dxa"/>
          </w:tcPr>
          <w:p w14:paraId="16F6006D" w14:textId="77777777" w:rsidR="00E637B6" w:rsidRPr="00593BCE" w:rsidRDefault="00E637B6" w:rsidP="00443AED">
            <w:pPr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Pressure ulcers</w:t>
            </w:r>
          </w:p>
        </w:tc>
        <w:tc>
          <w:tcPr>
            <w:tcW w:w="2835" w:type="dxa"/>
          </w:tcPr>
          <w:p w14:paraId="767B03AD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1.0</w:t>
            </w:r>
          </w:p>
        </w:tc>
      </w:tr>
      <w:tr w:rsidR="00E637B6" w:rsidRPr="00593BCE" w14:paraId="4E9D9D6C" w14:textId="77777777" w:rsidTr="00443AED">
        <w:tc>
          <w:tcPr>
            <w:tcW w:w="7089" w:type="dxa"/>
          </w:tcPr>
          <w:p w14:paraId="5280EBD0" w14:textId="77777777" w:rsidR="00E637B6" w:rsidRPr="00593BCE" w:rsidRDefault="00E637B6" w:rsidP="00443AED">
            <w:pPr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Fracture sides (left: right)</w:t>
            </w:r>
          </w:p>
        </w:tc>
        <w:tc>
          <w:tcPr>
            <w:tcW w:w="2835" w:type="dxa"/>
          </w:tcPr>
          <w:p w14:paraId="36E3721D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50.8: 49.2</w:t>
            </w:r>
          </w:p>
        </w:tc>
      </w:tr>
      <w:tr w:rsidR="00E637B6" w:rsidRPr="00593BCE" w14:paraId="12B8AC51" w14:textId="77777777" w:rsidTr="00443AED">
        <w:tc>
          <w:tcPr>
            <w:tcW w:w="7089" w:type="dxa"/>
          </w:tcPr>
          <w:p w14:paraId="0FAD1EBD" w14:textId="77777777" w:rsidR="00E637B6" w:rsidRPr="00593BCE" w:rsidRDefault="00E637B6" w:rsidP="00443AED">
            <w:pPr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Pathological fractures (no: malignancy: unknown)</w:t>
            </w:r>
          </w:p>
        </w:tc>
        <w:tc>
          <w:tcPr>
            <w:tcW w:w="2835" w:type="dxa"/>
          </w:tcPr>
          <w:p w14:paraId="7F80FEB7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96.5: 0.7: 2.8</w:t>
            </w:r>
          </w:p>
        </w:tc>
      </w:tr>
      <w:tr w:rsidR="00E637B6" w:rsidRPr="00593BCE" w14:paraId="3DD4A391" w14:textId="77777777" w:rsidTr="00443AED">
        <w:tc>
          <w:tcPr>
            <w:tcW w:w="7089" w:type="dxa"/>
          </w:tcPr>
          <w:p w14:paraId="51B76063" w14:textId="77777777" w:rsidR="00E637B6" w:rsidRPr="00593BCE" w:rsidRDefault="00E637B6" w:rsidP="00443AED">
            <w:pPr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Fracture type (IT-grade A1/A2: IT- grade A3: IC-displaced: IC-undisplaced: ST)</w:t>
            </w:r>
          </w:p>
        </w:tc>
        <w:tc>
          <w:tcPr>
            <w:tcW w:w="2835" w:type="dxa"/>
          </w:tcPr>
          <w:p w14:paraId="02F9A251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35.4: 1.7: 56.2: 4.3: 2.4</w:t>
            </w:r>
          </w:p>
        </w:tc>
      </w:tr>
      <w:tr w:rsidR="00E637B6" w:rsidRPr="00593BCE" w14:paraId="1050DC52" w14:textId="77777777" w:rsidTr="00443AED">
        <w:tc>
          <w:tcPr>
            <w:tcW w:w="7089" w:type="dxa"/>
          </w:tcPr>
          <w:p w14:paraId="2193B69D" w14:textId="77777777" w:rsidR="00E637B6" w:rsidRPr="00593BCE" w:rsidRDefault="00E637B6" w:rsidP="00443AED">
            <w:pPr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Hip surgery within 36 hours after hospital arrival</w:t>
            </w:r>
          </w:p>
        </w:tc>
        <w:tc>
          <w:tcPr>
            <w:tcW w:w="2835" w:type="dxa"/>
          </w:tcPr>
          <w:p w14:paraId="3AD173B6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82.6</w:t>
            </w:r>
          </w:p>
        </w:tc>
      </w:tr>
      <w:tr w:rsidR="00E637B6" w:rsidRPr="00593BCE" w14:paraId="5FCBA997" w14:textId="77777777" w:rsidTr="00443AED">
        <w:tc>
          <w:tcPr>
            <w:tcW w:w="7089" w:type="dxa"/>
          </w:tcPr>
          <w:p w14:paraId="0920E90B" w14:textId="77777777" w:rsidR="00E637B6" w:rsidRPr="00593BCE" w:rsidRDefault="00E637B6" w:rsidP="00443AED">
            <w:pPr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Nutritional status (well nourished: malnutrition risk: malnourished)</w:t>
            </w:r>
          </w:p>
        </w:tc>
        <w:tc>
          <w:tcPr>
            <w:tcW w:w="2835" w:type="dxa"/>
          </w:tcPr>
          <w:p w14:paraId="4E9907C3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70.0: 18.8: 11.2</w:t>
            </w:r>
          </w:p>
        </w:tc>
      </w:tr>
      <w:tr w:rsidR="00E637B6" w:rsidRPr="00593BCE" w14:paraId="7327103C" w14:textId="77777777" w:rsidTr="00443AED">
        <w:tc>
          <w:tcPr>
            <w:tcW w:w="7089" w:type="dxa"/>
          </w:tcPr>
          <w:p w14:paraId="2335F952" w14:textId="77777777" w:rsidR="00E637B6" w:rsidRPr="00593BCE" w:rsidRDefault="00E637B6" w:rsidP="00443AED">
            <w:pPr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Specialist falls assessment</w:t>
            </w:r>
          </w:p>
        </w:tc>
        <w:tc>
          <w:tcPr>
            <w:tcW w:w="2835" w:type="dxa"/>
          </w:tcPr>
          <w:p w14:paraId="68AA951B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99.8</w:t>
            </w:r>
          </w:p>
        </w:tc>
      </w:tr>
      <w:tr w:rsidR="00E637B6" w:rsidRPr="00593BCE" w14:paraId="7C21E689" w14:textId="77777777" w:rsidTr="00443AED">
        <w:tc>
          <w:tcPr>
            <w:tcW w:w="7089" w:type="dxa"/>
          </w:tcPr>
          <w:p w14:paraId="3CA6CF6C" w14:textId="77777777" w:rsidR="00E637B6" w:rsidRPr="00593BCE" w:rsidRDefault="00E637B6" w:rsidP="00443AED">
            <w:pPr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Physiotherapist assessment</w:t>
            </w:r>
          </w:p>
        </w:tc>
        <w:tc>
          <w:tcPr>
            <w:tcW w:w="2835" w:type="dxa"/>
          </w:tcPr>
          <w:p w14:paraId="6670455D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99.2</w:t>
            </w:r>
          </w:p>
        </w:tc>
      </w:tr>
      <w:tr w:rsidR="00E637B6" w:rsidRPr="00593BCE" w14:paraId="73EC30D5" w14:textId="77777777" w:rsidTr="00443AED">
        <w:tc>
          <w:tcPr>
            <w:tcW w:w="7089" w:type="dxa"/>
          </w:tcPr>
          <w:p w14:paraId="3B96093C" w14:textId="77777777" w:rsidR="00E637B6" w:rsidRPr="00593BCE" w:rsidRDefault="00E637B6" w:rsidP="00443AED">
            <w:pPr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Sedation technique (GA: nerve block without GA)</w:t>
            </w:r>
          </w:p>
        </w:tc>
        <w:tc>
          <w:tcPr>
            <w:tcW w:w="2835" w:type="dxa"/>
          </w:tcPr>
          <w:p w14:paraId="05ED1931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88.9: 11.1</w:t>
            </w:r>
          </w:p>
        </w:tc>
      </w:tr>
      <w:tr w:rsidR="00E637B6" w:rsidRPr="00593BCE" w14:paraId="5A6A71AB" w14:textId="77777777" w:rsidTr="00443AED">
        <w:tc>
          <w:tcPr>
            <w:tcW w:w="7089" w:type="dxa"/>
          </w:tcPr>
          <w:p w14:paraId="471A58E2" w14:textId="77777777" w:rsidR="00E637B6" w:rsidRPr="00593BCE" w:rsidRDefault="00E637B6" w:rsidP="00443AED">
            <w:pPr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4AT=0: 4AT=1-3: 4AT≥4</w:t>
            </w:r>
          </w:p>
        </w:tc>
        <w:tc>
          <w:tcPr>
            <w:tcW w:w="2835" w:type="dxa"/>
          </w:tcPr>
          <w:p w14:paraId="58D0B988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50.0: 29.9: 20.1</w:t>
            </w:r>
          </w:p>
        </w:tc>
      </w:tr>
      <w:tr w:rsidR="00E637B6" w:rsidRPr="00593BCE" w14:paraId="788998AE" w14:textId="77777777" w:rsidTr="00443AED">
        <w:tc>
          <w:tcPr>
            <w:tcW w:w="7089" w:type="dxa"/>
          </w:tcPr>
          <w:p w14:paraId="4097901A" w14:textId="77777777" w:rsidR="00E637B6" w:rsidRPr="00593BCE" w:rsidRDefault="00E637B6" w:rsidP="00443AED">
            <w:pPr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Mobile: immobile within 1-day after surgery</w:t>
            </w:r>
          </w:p>
        </w:tc>
        <w:tc>
          <w:tcPr>
            <w:tcW w:w="2835" w:type="dxa"/>
          </w:tcPr>
          <w:p w14:paraId="11800D44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77.9: 22.1</w:t>
            </w:r>
          </w:p>
        </w:tc>
      </w:tr>
      <w:tr w:rsidR="00E637B6" w:rsidRPr="00593BCE" w14:paraId="22B63113" w14:textId="77777777" w:rsidTr="00443AED">
        <w:tc>
          <w:tcPr>
            <w:tcW w:w="7089" w:type="dxa"/>
          </w:tcPr>
          <w:p w14:paraId="51B34724" w14:textId="77777777" w:rsidR="00E637B6" w:rsidRPr="00593BCE" w:rsidRDefault="00E637B6" w:rsidP="00443AED">
            <w:pPr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LOS (&lt;14.4 days: ≥14.4)</w:t>
            </w:r>
          </w:p>
        </w:tc>
        <w:tc>
          <w:tcPr>
            <w:tcW w:w="2835" w:type="dxa"/>
          </w:tcPr>
          <w:p w14:paraId="65BD1AB3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75.0: 25.0</w:t>
            </w:r>
          </w:p>
        </w:tc>
      </w:tr>
      <w:tr w:rsidR="00E637B6" w:rsidRPr="00593BCE" w14:paraId="46436735" w14:textId="77777777" w:rsidTr="00443AED">
        <w:tc>
          <w:tcPr>
            <w:tcW w:w="7089" w:type="dxa"/>
          </w:tcPr>
          <w:p w14:paraId="42857CE5" w14:textId="77777777" w:rsidR="00E637B6" w:rsidRPr="00593BCE" w:rsidRDefault="00E637B6" w:rsidP="00443AED">
            <w:pPr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Discharge destination</w:t>
            </w:r>
          </w:p>
        </w:tc>
        <w:tc>
          <w:tcPr>
            <w:tcW w:w="2835" w:type="dxa"/>
          </w:tcPr>
          <w:p w14:paraId="1615329D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</w:p>
        </w:tc>
      </w:tr>
      <w:tr w:rsidR="00E637B6" w:rsidRPr="00593BCE" w14:paraId="4EB8D175" w14:textId="77777777" w:rsidTr="00443AED">
        <w:tc>
          <w:tcPr>
            <w:tcW w:w="7089" w:type="dxa"/>
          </w:tcPr>
          <w:p w14:paraId="22DB429C" w14:textId="77777777" w:rsidR="00E637B6" w:rsidRPr="00593BCE" w:rsidRDefault="00E637B6" w:rsidP="00443AED">
            <w:pPr>
              <w:ind w:left="147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Own home/sheltered accommodation</w:t>
            </w:r>
          </w:p>
        </w:tc>
        <w:tc>
          <w:tcPr>
            <w:tcW w:w="2835" w:type="dxa"/>
          </w:tcPr>
          <w:p w14:paraId="509712CB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45.0</w:t>
            </w:r>
          </w:p>
        </w:tc>
      </w:tr>
      <w:tr w:rsidR="00E637B6" w:rsidRPr="00593BCE" w14:paraId="350C4E9A" w14:textId="77777777" w:rsidTr="00443AED">
        <w:tc>
          <w:tcPr>
            <w:tcW w:w="7089" w:type="dxa"/>
          </w:tcPr>
          <w:p w14:paraId="23485BEF" w14:textId="77777777" w:rsidR="00E637B6" w:rsidRPr="00593BCE" w:rsidRDefault="00E637B6" w:rsidP="00443AED">
            <w:pPr>
              <w:ind w:left="147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Rehabilitation units</w:t>
            </w:r>
          </w:p>
        </w:tc>
        <w:tc>
          <w:tcPr>
            <w:tcW w:w="2835" w:type="dxa"/>
          </w:tcPr>
          <w:p w14:paraId="29FB9EEA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33.6</w:t>
            </w:r>
          </w:p>
        </w:tc>
      </w:tr>
      <w:tr w:rsidR="00E637B6" w:rsidRPr="00593BCE" w14:paraId="6A7DF1C1" w14:textId="77777777" w:rsidTr="00443AED">
        <w:tc>
          <w:tcPr>
            <w:tcW w:w="7089" w:type="dxa"/>
          </w:tcPr>
          <w:p w14:paraId="34302A62" w14:textId="77777777" w:rsidR="00E637B6" w:rsidRPr="00593BCE" w:rsidRDefault="00E637B6" w:rsidP="00443AED">
            <w:pPr>
              <w:ind w:left="147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Residential or nursing home</w:t>
            </w:r>
          </w:p>
        </w:tc>
        <w:tc>
          <w:tcPr>
            <w:tcW w:w="2835" w:type="dxa"/>
          </w:tcPr>
          <w:p w14:paraId="36D6D389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14.6</w:t>
            </w:r>
          </w:p>
        </w:tc>
      </w:tr>
      <w:tr w:rsidR="00E637B6" w:rsidRPr="00593BCE" w14:paraId="5C05B8CD" w14:textId="77777777" w:rsidTr="00443AED">
        <w:tc>
          <w:tcPr>
            <w:tcW w:w="7089" w:type="dxa"/>
          </w:tcPr>
          <w:p w14:paraId="7CB061C9" w14:textId="77777777" w:rsidR="00E637B6" w:rsidRPr="00593BCE" w:rsidRDefault="00E637B6" w:rsidP="00443AED">
            <w:pPr>
              <w:ind w:left="147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Death</w:t>
            </w:r>
          </w:p>
        </w:tc>
        <w:tc>
          <w:tcPr>
            <w:tcW w:w="2835" w:type="dxa"/>
          </w:tcPr>
          <w:p w14:paraId="15A452B5" w14:textId="77777777" w:rsidR="00E637B6" w:rsidRPr="00593BCE" w:rsidRDefault="00E637B6" w:rsidP="00443AED">
            <w:pPr>
              <w:ind w:left="147"/>
              <w:jc w:val="both"/>
              <w:rPr>
                <w:rFonts w:ascii="Arial" w:hAnsi="Arial" w:cs="Arial"/>
              </w:rPr>
            </w:pPr>
            <w:r w:rsidRPr="00593BCE">
              <w:rPr>
                <w:rFonts w:ascii="Arial" w:hAnsi="Arial" w:cs="Arial"/>
              </w:rPr>
              <w:t>6.8</w:t>
            </w:r>
          </w:p>
        </w:tc>
      </w:tr>
    </w:tbl>
    <w:p w14:paraId="628F8283" w14:textId="3147437B" w:rsidR="00E637B6" w:rsidRPr="00593BCE" w:rsidRDefault="00E637B6" w:rsidP="00E637B6">
      <w:pPr>
        <w:jc w:val="both"/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>IT = intertrochanteric, IC = intracapsular, ST = subtrochanteric, GA = general anaesthesia.</w:t>
      </w:r>
      <w:r w:rsidRPr="00593BCE">
        <w:rPr>
          <w:rFonts w:ascii="Arial" w:hAnsi="Arial" w:cs="Arial"/>
          <w:sz w:val="24"/>
          <w:szCs w:val="24"/>
        </w:rPr>
        <w:br w:type="page"/>
      </w:r>
      <w:r w:rsidRPr="00593BCE">
        <w:rPr>
          <w:rFonts w:ascii="Arial" w:hAnsi="Arial" w:cs="Arial"/>
          <w:b/>
          <w:sz w:val="24"/>
          <w:szCs w:val="24"/>
        </w:rPr>
        <w:lastRenderedPageBreak/>
        <w:t>Table 2.</w:t>
      </w:r>
      <w:r w:rsidRPr="00593BCE">
        <w:rPr>
          <w:rFonts w:ascii="Arial" w:hAnsi="Arial" w:cs="Arial"/>
          <w:sz w:val="24"/>
          <w:szCs w:val="24"/>
        </w:rPr>
        <w:t xml:space="preserve"> Characteristics, co-morbidities, medications and outcome measures according to different categories of </w:t>
      </w:r>
      <w:r w:rsidR="006E38A3" w:rsidRPr="00593BCE">
        <w:rPr>
          <w:rFonts w:ascii="Arial" w:hAnsi="Arial" w:cs="Arial"/>
          <w:sz w:val="24"/>
          <w:szCs w:val="24"/>
        </w:rPr>
        <w:t xml:space="preserve">the </w:t>
      </w:r>
      <w:r w:rsidRPr="00593BCE">
        <w:rPr>
          <w:rFonts w:ascii="Arial" w:hAnsi="Arial" w:cs="Arial"/>
          <w:sz w:val="24"/>
          <w:szCs w:val="24"/>
        </w:rPr>
        <w:t>4AT measurements.</w:t>
      </w:r>
    </w:p>
    <w:tbl>
      <w:tblPr>
        <w:tblStyle w:val="TableGrid"/>
        <w:tblW w:w="10887" w:type="dxa"/>
        <w:tblInd w:w="-856" w:type="dxa"/>
        <w:tblLook w:val="04A0" w:firstRow="1" w:lastRow="0" w:firstColumn="1" w:lastColumn="0" w:noHBand="0" w:noVBand="1"/>
      </w:tblPr>
      <w:tblGrid>
        <w:gridCol w:w="4062"/>
        <w:gridCol w:w="847"/>
        <w:gridCol w:w="1301"/>
        <w:gridCol w:w="1217"/>
        <w:gridCol w:w="1299"/>
        <w:gridCol w:w="1027"/>
        <w:gridCol w:w="1134"/>
      </w:tblGrid>
      <w:tr w:rsidR="00E637B6" w:rsidRPr="00593BCE" w14:paraId="5E49C421" w14:textId="77777777" w:rsidTr="00443AED">
        <w:tc>
          <w:tcPr>
            <w:tcW w:w="4062" w:type="dxa"/>
          </w:tcPr>
          <w:p w14:paraId="368EC6F7" w14:textId="77777777" w:rsidR="00E637B6" w:rsidRPr="00593BCE" w:rsidRDefault="00E637B6" w:rsidP="00443A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BCE">
              <w:rPr>
                <w:rFonts w:ascii="Arial" w:hAnsi="Arial" w:cs="Arial"/>
                <w:b/>
                <w:sz w:val="20"/>
                <w:szCs w:val="20"/>
              </w:rPr>
              <w:t>Mean ±SD</w:t>
            </w:r>
          </w:p>
        </w:tc>
        <w:tc>
          <w:tcPr>
            <w:tcW w:w="847" w:type="dxa"/>
          </w:tcPr>
          <w:p w14:paraId="1E73B05F" w14:textId="146E4719" w:rsidR="00E637B6" w:rsidRPr="00593BCE" w:rsidRDefault="00627C2D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301" w:type="dxa"/>
          </w:tcPr>
          <w:p w14:paraId="574200A8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(4AT=0)</w:t>
            </w:r>
          </w:p>
        </w:tc>
        <w:tc>
          <w:tcPr>
            <w:tcW w:w="1217" w:type="dxa"/>
          </w:tcPr>
          <w:p w14:paraId="1A200633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(4AT=1-3)</w:t>
            </w:r>
          </w:p>
        </w:tc>
        <w:tc>
          <w:tcPr>
            <w:tcW w:w="1299" w:type="dxa"/>
          </w:tcPr>
          <w:p w14:paraId="599A8BD9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(4AT≥4)</w:t>
            </w:r>
          </w:p>
        </w:tc>
        <w:tc>
          <w:tcPr>
            <w:tcW w:w="2161" w:type="dxa"/>
            <w:gridSpan w:val="2"/>
          </w:tcPr>
          <w:p w14:paraId="18F3DBF3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ANOVA</w:t>
            </w:r>
          </w:p>
        </w:tc>
      </w:tr>
      <w:tr w:rsidR="00E637B6" w:rsidRPr="00593BCE" w14:paraId="0377329A" w14:textId="77777777" w:rsidTr="00443AED">
        <w:tc>
          <w:tcPr>
            <w:tcW w:w="4062" w:type="dxa"/>
          </w:tcPr>
          <w:p w14:paraId="4EF6116F" w14:textId="21A0FBAC" w:rsidR="00E637B6" w:rsidRPr="00593BCE" w:rsidRDefault="00E637B6" w:rsidP="00443AED">
            <w:pPr>
              <w:spacing w:line="360" w:lineRule="auto"/>
              <w:ind w:left="147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Age (y</w:t>
            </w:r>
            <w:r w:rsidR="006E38A3" w:rsidRPr="00593BCE">
              <w:rPr>
                <w:rFonts w:ascii="Arial" w:hAnsi="Arial" w:cs="Arial"/>
                <w:sz w:val="20"/>
                <w:szCs w:val="20"/>
              </w:rPr>
              <w:t>r</w:t>
            </w:r>
            <w:r w:rsidRPr="00593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7" w:type="dxa"/>
          </w:tcPr>
          <w:p w14:paraId="5107BB4C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301" w:type="dxa"/>
          </w:tcPr>
          <w:p w14:paraId="30A922A2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81.0 ±8.7</w:t>
            </w:r>
          </w:p>
        </w:tc>
        <w:tc>
          <w:tcPr>
            <w:tcW w:w="1217" w:type="dxa"/>
          </w:tcPr>
          <w:p w14:paraId="63A27A64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86.0 ±8.6</w:t>
            </w:r>
          </w:p>
        </w:tc>
        <w:tc>
          <w:tcPr>
            <w:tcW w:w="1299" w:type="dxa"/>
          </w:tcPr>
          <w:p w14:paraId="6B3E2A7D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86.7 ±7.6</w:t>
            </w:r>
          </w:p>
        </w:tc>
        <w:tc>
          <w:tcPr>
            <w:tcW w:w="1027" w:type="dxa"/>
          </w:tcPr>
          <w:p w14:paraId="4AF0E749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F=25.2</w:t>
            </w:r>
          </w:p>
        </w:tc>
        <w:tc>
          <w:tcPr>
            <w:tcW w:w="1134" w:type="dxa"/>
          </w:tcPr>
          <w:p w14:paraId="16E5A853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p&lt;0.001</w:t>
            </w:r>
          </w:p>
        </w:tc>
      </w:tr>
      <w:tr w:rsidR="00E637B6" w:rsidRPr="00593BCE" w14:paraId="2C8B479F" w14:textId="77777777" w:rsidTr="00443AED">
        <w:tc>
          <w:tcPr>
            <w:tcW w:w="4062" w:type="dxa"/>
          </w:tcPr>
          <w:p w14:paraId="0EDCE523" w14:textId="37E3C67C" w:rsidR="00E637B6" w:rsidRPr="00593BCE" w:rsidRDefault="00E637B6" w:rsidP="00443AED">
            <w:pPr>
              <w:spacing w:line="360" w:lineRule="auto"/>
              <w:ind w:left="147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Time to surgery from hospital arrival (hr)</w:t>
            </w:r>
          </w:p>
        </w:tc>
        <w:tc>
          <w:tcPr>
            <w:tcW w:w="847" w:type="dxa"/>
          </w:tcPr>
          <w:p w14:paraId="4B4F231E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301" w:type="dxa"/>
          </w:tcPr>
          <w:p w14:paraId="3603009A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25.3 ±14.4</w:t>
            </w:r>
          </w:p>
        </w:tc>
        <w:tc>
          <w:tcPr>
            <w:tcW w:w="1217" w:type="dxa"/>
          </w:tcPr>
          <w:p w14:paraId="2C3AF175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23.8 ±12.7</w:t>
            </w:r>
          </w:p>
        </w:tc>
        <w:tc>
          <w:tcPr>
            <w:tcW w:w="1299" w:type="dxa"/>
          </w:tcPr>
          <w:p w14:paraId="6C4DE35A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26.6 ±15.8</w:t>
            </w:r>
          </w:p>
        </w:tc>
        <w:tc>
          <w:tcPr>
            <w:tcW w:w="1027" w:type="dxa"/>
          </w:tcPr>
          <w:p w14:paraId="0317E956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F=1.3</w:t>
            </w:r>
          </w:p>
        </w:tc>
        <w:tc>
          <w:tcPr>
            <w:tcW w:w="1134" w:type="dxa"/>
          </w:tcPr>
          <w:p w14:paraId="475F429C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p=0.281</w:t>
            </w:r>
          </w:p>
        </w:tc>
      </w:tr>
      <w:tr w:rsidR="00E637B6" w:rsidRPr="00593BCE" w14:paraId="18306F55" w14:textId="77777777" w:rsidTr="00443AED">
        <w:tc>
          <w:tcPr>
            <w:tcW w:w="4062" w:type="dxa"/>
          </w:tcPr>
          <w:p w14:paraId="76476D49" w14:textId="77777777" w:rsidR="00E637B6" w:rsidRPr="00593BCE" w:rsidRDefault="00E637B6" w:rsidP="00443AE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14:paraId="2D387126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</w:tcPr>
          <w:p w14:paraId="69597A5F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8B877DD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299" w:type="dxa"/>
          </w:tcPr>
          <w:p w14:paraId="47DB1B99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14:paraId="3BBE8CE8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Chi-squared test</w:t>
            </w:r>
          </w:p>
        </w:tc>
      </w:tr>
      <w:tr w:rsidR="00E637B6" w:rsidRPr="00593BCE" w14:paraId="1063DE3E" w14:textId="77777777" w:rsidTr="00443AED">
        <w:tc>
          <w:tcPr>
            <w:tcW w:w="4062" w:type="dxa"/>
          </w:tcPr>
          <w:p w14:paraId="152BDB8F" w14:textId="77777777" w:rsidR="00E637B6" w:rsidRPr="00593BCE" w:rsidRDefault="00E637B6" w:rsidP="00443A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BCE">
              <w:rPr>
                <w:rFonts w:ascii="Arial" w:hAnsi="Arial" w:cs="Arial"/>
                <w:b/>
                <w:sz w:val="20"/>
                <w:szCs w:val="20"/>
              </w:rPr>
              <w:t>Proportions</w:t>
            </w:r>
          </w:p>
        </w:tc>
        <w:tc>
          <w:tcPr>
            <w:tcW w:w="847" w:type="dxa"/>
          </w:tcPr>
          <w:p w14:paraId="4E92C1F5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</w:tcPr>
          <w:p w14:paraId="6F27B901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17" w:type="dxa"/>
          </w:tcPr>
          <w:p w14:paraId="61F155DF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9" w:type="dxa"/>
          </w:tcPr>
          <w:p w14:paraId="02782541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7" w:type="dxa"/>
          </w:tcPr>
          <w:p w14:paraId="5639EEE7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593BC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78EE7EB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E637B6" w:rsidRPr="00593BCE" w14:paraId="415BC320" w14:textId="77777777" w:rsidTr="00443AED">
        <w:tc>
          <w:tcPr>
            <w:tcW w:w="4062" w:type="dxa"/>
          </w:tcPr>
          <w:p w14:paraId="6251A905" w14:textId="77777777" w:rsidR="00E637B6" w:rsidRPr="00593BCE" w:rsidRDefault="00E637B6" w:rsidP="00443AED">
            <w:pPr>
              <w:spacing w:line="360" w:lineRule="auto"/>
              <w:ind w:left="147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Men</w:t>
            </w:r>
          </w:p>
        </w:tc>
        <w:tc>
          <w:tcPr>
            <w:tcW w:w="847" w:type="dxa"/>
          </w:tcPr>
          <w:p w14:paraId="71CDFD01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301" w:type="dxa"/>
          </w:tcPr>
          <w:p w14:paraId="0670078D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50.4</w:t>
            </w:r>
          </w:p>
        </w:tc>
        <w:tc>
          <w:tcPr>
            <w:tcW w:w="1217" w:type="dxa"/>
          </w:tcPr>
          <w:p w14:paraId="12DE6D30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29.1</w:t>
            </w:r>
          </w:p>
        </w:tc>
        <w:tc>
          <w:tcPr>
            <w:tcW w:w="1299" w:type="dxa"/>
          </w:tcPr>
          <w:p w14:paraId="7A0F906B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1027" w:type="dxa"/>
            <w:vMerge w:val="restart"/>
          </w:tcPr>
          <w:p w14:paraId="42244BBD" w14:textId="77777777" w:rsidR="00E637B6" w:rsidRPr="00593BCE" w:rsidRDefault="00E637B6" w:rsidP="00443AED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1134" w:type="dxa"/>
            <w:vMerge w:val="restart"/>
          </w:tcPr>
          <w:p w14:paraId="057A56AC" w14:textId="77777777" w:rsidR="00E637B6" w:rsidRPr="00593BCE" w:rsidRDefault="00E637B6" w:rsidP="00443AED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</w:tr>
      <w:tr w:rsidR="00E637B6" w:rsidRPr="00593BCE" w14:paraId="69554BD3" w14:textId="77777777" w:rsidTr="00443AED">
        <w:tc>
          <w:tcPr>
            <w:tcW w:w="4062" w:type="dxa"/>
          </w:tcPr>
          <w:p w14:paraId="785976C4" w14:textId="77777777" w:rsidR="00E637B6" w:rsidRPr="00593BCE" w:rsidRDefault="00E637B6" w:rsidP="00443AED">
            <w:pPr>
              <w:spacing w:line="360" w:lineRule="auto"/>
              <w:ind w:left="147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Women</w:t>
            </w:r>
          </w:p>
        </w:tc>
        <w:tc>
          <w:tcPr>
            <w:tcW w:w="847" w:type="dxa"/>
          </w:tcPr>
          <w:p w14:paraId="1B2E3CBC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1301" w:type="dxa"/>
          </w:tcPr>
          <w:p w14:paraId="57DCB1C4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49.9</w:t>
            </w:r>
          </w:p>
        </w:tc>
        <w:tc>
          <w:tcPr>
            <w:tcW w:w="1217" w:type="dxa"/>
          </w:tcPr>
          <w:p w14:paraId="489C9241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30.2</w:t>
            </w:r>
          </w:p>
        </w:tc>
        <w:tc>
          <w:tcPr>
            <w:tcW w:w="1299" w:type="dxa"/>
          </w:tcPr>
          <w:p w14:paraId="39A3B097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19.9</w:t>
            </w:r>
          </w:p>
        </w:tc>
        <w:tc>
          <w:tcPr>
            <w:tcW w:w="1027" w:type="dxa"/>
            <w:vMerge/>
          </w:tcPr>
          <w:p w14:paraId="57BA56B0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29C82DE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7B6" w:rsidRPr="00593BCE" w14:paraId="00822F35" w14:textId="77777777" w:rsidTr="00443AED">
        <w:tc>
          <w:tcPr>
            <w:tcW w:w="4062" w:type="dxa"/>
          </w:tcPr>
          <w:p w14:paraId="084ABAF1" w14:textId="77777777" w:rsidR="00E637B6" w:rsidRPr="00593BCE" w:rsidRDefault="00E637B6" w:rsidP="00443AE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b/>
                <w:sz w:val="20"/>
                <w:szCs w:val="20"/>
              </w:rPr>
              <w:t>Co-morbidities and medications</w:t>
            </w:r>
          </w:p>
        </w:tc>
        <w:tc>
          <w:tcPr>
            <w:tcW w:w="847" w:type="dxa"/>
          </w:tcPr>
          <w:p w14:paraId="35F2687F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</w:tcPr>
          <w:p w14:paraId="2F9FABC6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B8DAA64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14:paraId="24CE818A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14:paraId="214C625A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5DAA9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7B6" w:rsidRPr="00593BCE" w14:paraId="474EDACA" w14:textId="77777777" w:rsidTr="00443AED">
        <w:tc>
          <w:tcPr>
            <w:tcW w:w="4062" w:type="dxa"/>
          </w:tcPr>
          <w:p w14:paraId="1D59C55E" w14:textId="77777777" w:rsidR="00E637B6" w:rsidRPr="00593BCE" w:rsidRDefault="00E637B6" w:rsidP="00443AED">
            <w:pPr>
              <w:spacing w:line="36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Dementia</w:t>
            </w:r>
          </w:p>
        </w:tc>
        <w:tc>
          <w:tcPr>
            <w:tcW w:w="847" w:type="dxa"/>
          </w:tcPr>
          <w:p w14:paraId="17F57B12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301" w:type="dxa"/>
          </w:tcPr>
          <w:p w14:paraId="3F7F314D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17" w:type="dxa"/>
          </w:tcPr>
          <w:p w14:paraId="0D932B4F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37.8</w:t>
            </w:r>
          </w:p>
        </w:tc>
        <w:tc>
          <w:tcPr>
            <w:tcW w:w="1299" w:type="dxa"/>
          </w:tcPr>
          <w:p w14:paraId="61F126B3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65.7</w:t>
            </w:r>
          </w:p>
        </w:tc>
        <w:tc>
          <w:tcPr>
            <w:tcW w:w="1027" w:type="dxa"/>
          </w:tcPr>
          <w:p w14:paraId="7B669949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174.5</w:t>
            </w:r>
          </w:p>
        </w:tc>
        <w:tc>
          <w:tcPr>
            <w:tcW w:w="1134" w:type="dxa"/>
          </w:tcPr>
          <w:p w14:paraId="2A1373D1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637B6" w:rsidRPr="00593BCE" w14:paraId="6E18662A" w14:textId="77777777" w:rsidTr="00443AED">
        <w:tc>
          <w:tcPr>
            <w:tcW w:w="4062" w:type="dxa"/>
          </w:tcPr>
          <w:p w14:paraId="372C4443" w14:textId="77777777" w:rsidR="00E637B6" w:rsidRPr="00593BCE" w:rsidRDefault="00E637B6" w:rsidP="00443AED">
            <w:pPr>
              <w:spacing w:line="36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Parkinson’s disease</w:t>
            </w:r>
          </w:p>
        </w:tc>
        <w:tc>
          <w:tcPr>
            <w:tcW w:w="847" w:type="dxa"/>
          </w:tcPr>
          <w:p w14:paraId="38437FC1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1" w:type="dxa"/>
          </w:tcPr>
          <w:p w14:paraId="1088D88C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17" w:type="dxa"/>
          </w:tcPr>
          <w:p w14:paraId="6CE826A2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299" w:type="dxa"/>
          </w:tcPr>
          <w:p w14:paraId="211F0266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1027" w:type="dxa"/>
          </w:tcPr>
          <w:p w14:paraId="3DABCC1C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1134" w:type="dxa"/>
          </w:tcPr>
          <w:p w14:paraId="02C22BD6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0.034</w:t>
            </w:r>
          </w:p>
        </w:tc>
      </w:tr>
      <w:tr w:rsidR="00E637B6" w:rsidRPr="00593BCE" w14:paraId="6DCF91F5" w14:textId="77777777" w:rsidTr="00443AED">
        <w:tc>
          <w:tcPr>
            <w:tcW w:w="4062" w:type="dxa"/>
          </w:tcPr>
          <w:p w14:paraId="391446A8" w14:textId="77777777" w:rsidR="00E637B6" w:rsidRPr="00593BCE" w:rsidRDefault="00E637B6" w:rsidP="00443AED">
            <w:pPr>
              <w:spacing w:line="36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Stroke</w:t>
            </w:r>
          </w:p>
        </w:tc>
        <w:tc>
          <w:tcPr>
            <w:tcW w:w="847" w:type="dxa"/>
          </w:tcPr>
          <w:p w14:paraId="59E76D14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301" w:type="dxa"/>
          </w:tcPr>
          <w:p w14:paraId="1E506E23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1217" w:type="dxa"/>
          </w:tcPr>
          <w:p w14:paraId="0E9DEE57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  <w:tc>
          <w:tcPr>
            <w:tcW w:w="1299" w:type="dxa"/>
          </w:tcPr>
          <w:p w14:paraId="5BCD26DE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22.9</w:t>
            </w:r>
          </w:p>
        </w:tc>
        <w:tc>
          <w:tcPr>
            <w:tcW w:w="1027" w:type="dxa"/>
          </w:tcPr>
          <w:p w14:paraId="6858F361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1134" w:type="dxa"/>
          </w:tcPr>
          <w:p w14:paraId="377DBD2F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0.016</w:t>
            </w:r>
          </w:p>
        </w:tc>
      </w:tr>
      <w:tr w:rsidR="00E637B6" w:rsidRPr="00593BCE" w14:paraId="4F68E32F" w14:textId="77777777" w:rsidTr="00443AED">
        <w:tc>
          <w:tcPr>
            <w:tcW w:w="4062" w:type="dxa"/>
          </w:tcPr>
          <w:p w14:paraId="4F1F54B2" w14:textId="77777777" w:rsidR="00E637B6" w:rsidRPr="00593BCE" w:rsidRDefault="00E637B6" w:rsidP="00443AED">
            <w:pPr>
              <w:spacing w:line="36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Ischaemic heart disease</w:t>
            </w:r>
          </w:p>
        </w:tc>
        <w:tc>
          <w:tcPr>
            <w:tcW w:w="847" w:type="dxa"/>
          </w:tcPr>
          <w:p w14:paraId="000111B3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01" w:type="dxa"/>
          </w:tcPr>
          <w:p w14:paraId="4410BC1F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1217" w:type="dxa"/>
          </w:tcPr>
          <w:p w14:paraId="510DBEAA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299" w:type="dxa"/>
          </w:tcPr>
          <w:p w14:paraId="17585973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027" w:type="dxa"/>
          </w:tcPr>
          <w:p w14:paraId="336C5483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134" w:type="dxa"/>
          </w:tcPr>
          <w:p w14:paraId="5DF30738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0.197</w:t>
            </w:r>
          </w:p>
        </w:tc>
      </w:tr>
      <w:tr w:rsidR="00E637B6" w:rsidRPr="00593BCE" w14:paraId="70F36ED4" w14:textId="77777777" w:rsidTr="00443AED">
        <w:tc>
          <w:tcPr>
            <w:tcW w:w="4062" w:type="dxa"/>
          </w:tcPr>
          <w:p w14:paraId="05E054E0" w14:textId="77777777" w:rsidR="00E637B6" w:rsidRPr="00593BCE" w:rsidRDefault="00E637B6" w:rsidP="00443AED">
            <w:pPr>
              <w:spacing w:line="36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847" w:type="dxa"/>
          </w:tcPr>
          <w:p w14:paraId="0A24BDD7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301" w:type="dxa"/>
          </w:tcPr>
          <w:p w14:paraId="3E9397E1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1217" w:type="dxa"/>
          </w:tcPr>
          <w:p w14:paraId="3F36641C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  <w:tc>
          <w:tcPr>
            <w:tcW w:w="1299" w:type="dxa"/>
          </w:tcPr>
          <w:p w14:paraId="24AB6A0E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1027" w:type="dxa"/>
          </w:tcPr>
          <w:p w14:paraId="5F10536E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134" w:type="dxa"/>
          </w:tcPr>
          <w:p w14:paraId="105D9395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0.269</w:t>
            </w:r>
          </w:p>
        </w:tc>
      </w:tr>
      <w:tr w:rsidR="00E637B6" w:rsidRPr="00593BCE" w14:paraId="36116163" w14:textId="77777777" w:rsidTr="00443AED">
        <w:tc>
          <w:tcPr>
            <w:tcW w:w="4062" w:type="dxa"/>
          </w:tcPr>
          <w:p w14:paraId="45EFA198" w14:textId="77777777" w:rsidR="00E637B6" w:rsidRPr="00593BCE" w:rsidRDefault="00E637B6" w:rsidP="00443AED">
            <w:pPr>
              <w:spacing w:line="36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Alcohol excess</w:t>
            </w:r>
          </w:p>
        </w:tc>
        <w:tc>
          <w:tcPr>
            <w:tcW w:w="847" w:type="dxa"/>
          </w:tcPr>
          <w:p w14:paraId="15171153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01" w:type="dxa"/>
          </w:tcPr>
          <w:p w14:paraId="31004D1C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1217" w:type="dxa"/>
          </w:tcPr>
          <w:p w14:paraId="739AE83C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1299" w:type="dxa"/>
          </w:tcPr>
          <w:p w14:paraId="18CC476D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027" w:type="dxa"/>
          </w:tcPr>
          <w:p w14:paraId="6FDCDD5D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134" w:type="dxa"/>
          </w:tcPr>
          <w:p w14:paraId="07251E8B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0.122</w:t>
            </w:r>
          </w:p>
        </w:tc>
      </w:tr>
      <w:tr w:rsidR="00E637B6" w:rsidRPr="00593BCE" w14:paraId="0CD7B04A" w14:textId="77777777" w:rsidTr="00443AED">
        <w:tc>
          <w:tcPr>
            <w:tcW w:w="4062" w:type="dxa"/>
          </w:tcPr>
          <w:p w14:paraId="53D1D0DB" w14:textId="77777777" w:rsidR="00E637B6" w:rsidRPr="00593BCE" w:rsidRDefault="00E637B6" w:rsidP="00443AED">
            <w:pPr>
              <w:spacing w:line="36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Malnutrition risk/malnourished</w:t>
            </w:r>
          </w:p>
        </w:tc>
        <w:tc>
          <w:tcPr>
            <w:tcW w:w="847" w:type="dxa"/>
          </w:tcPr>
          <w:p w14:paraId="33463CBF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301" w:type="dxa"/>
          </w:tcPr>
          <w:p w14:paraId="28954767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16.1</w:t>
            </w:r>
          </w:p>
        </w:tc>
        <w:tc>
          <w:tcPr>
            <w:tcW w:w="1217" w:type="dxa"/>
          </w:tcPr>
          <w:p w14:paraId="01E0EFFF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35.9</w:t>
            </w:r>
          </w:p>
        </w:tc>
        <w:tc>
          <w:tcPr>
            <w:tcW w:w="1299" w:type="dxa"/>
          </w:tcPr>
          <w:p w14:paraId="2D63B83E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50.5</w:t>
            </w:r>
          </w:p>
        </w:tc>
        <w:tc>
          <w:tcPr>
            <w:tcW w:w="1027" w:type="dxa"/>
          </w:tcPr>
          <w:p w14:paraId="659FFB9D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48.3</w:t>
            </w:r>
          </w:p>
        </w:tc>
        <w:tc>
          <w:tcPr>
            <w:tcW w:w="1134" w:type="dxa"/>
          </w:tcPr>
          <w:p w14:paraId="4584A5C1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637B6" w:rsidRPr="00593BCE" w14:paraId="329ACFDF" w14:textId="77777777" w:rsidTr="00443AED">
        <w:tc>
          <w:tcPr>
            <w:tcW w:w="4062" w:type="dxa"/>
          </w:tcPr>
          <w:p w14:paraId="4992ABD2" w14:textId="77777777" w:rsidR="00E637B6" w:rsidRPr="00593BCE" w:rsidRDefault="00E637B6" w:rsidP="00443AED">
            <w:pPr>
              <w:spacing w:line="36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Polypharmacy</w:t>
            </w:r>
          </w:p>
        </w:tc>
        <w:tc>
          <w:tcPr>
            <w:tcW w:w="847" w:type="dxa"/>
          </w:tcPr>
          <w:p w14:paraId="1AD6862F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1301" w:type="dxa"/>
          </w:tcPr>
          <w:p w14:paraId="32E68C52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63.1</w:t>
            </w:r>
          </w:p>
        </w:tc>
        <w:tc>
          <w:tcPr>
            <w:tcW w:w="1217" w:type="dxa"/>
          </w:tcPr>
          <w:p w14:paraId="51A1F80F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75.6</w:t>
            </w:r>
          </w:p>
        </w:tc>
        <w:tc>
          <w:tcPr>
            <w:tcW w:w="1299" w:type="dxa"/>
          </w:tcPr>
          <w:p w14:paraId="4DB64239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84.8</w:t>
            </w:r>
          </w:p>
        </w:tc>
        <w:tc>
          <w:tcPr>
            <w:tcW w:w="1027" w:type="dxa"/>
          </w:tcPr>
          <w:p w14:paraId="64175853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19.3</w:t>
            </w:r>
          </w:p>
        </w:tc>
        <w:tc>
          <w:tcPr>
            <w:tcW w:w="1134" w:type="dxa"/>
          </w:tcPr>
          <w:p w14:paraId="6EA45D43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637B6" w:rsidRPr="00593BCE" w14:paraId="415DFA68" w14:textId="77777777" w:rsidTr="00443AED">
        <w:tc>
          <w:tcPr>
            <w:tcW w:w="4062" w:type="dxa"/>
          </w:tcPr>
          <w:p w14:paraId="782573A7" w14:textId="77777777" w:rsidR="00E637B6" w:rsidRPr="00593BCE" w:rsidRDefault="00E637B6" w:rsidP="00443AED">
            <w:pPr>
              <w:spacing w:line="36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Anticholinergic burden (score ≥1)</w:t>
            </w:r>
          </w:p>
        </w:tc>
        <w:tc>
          <w:tcPr>
            <w:tcW w:w="847" w:type="dxa"/>
          </w:tcPr>
          <w:p w14:paraId="4FD2BF1C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301" w:type="dxa"/>
          </w:tcPr>
          <w:p w14:paraId="62FA6F4F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31.2</w:t>
            </w:r>
          </w:p>
        </w:tc>
        <w:tc>
          <w:tcPr>
            <w:tcW w:w="1217" w:type="dxa"/>
          </w:tcPr>
          <w:p w14:paraId="3C8D173F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44.9</w:t>
            </w:r>
          </w:p>
        </w:tc>
        <w:tc>
          <w:tcPr>
            <w:tcW w:w="1299" w:type="dxa"/>
          </w:tcPr>
          <w:p w14:paraId="0BC194CC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37.1</w:t>
            </w:r>
          </w:p>
        </w:tc>
        <w:tc>
          <w:tcPr>
            <w:tcW w:w="1027" w:type="dxa"/>
          </w:tcPr>
          <w:p w14:paraId="1C75FF79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1134" w:type="dxa"/>
          </w:tcPr>
          <w:p w14:paraId="75D6829F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</w:tr>
      <w:tr w:rsidR="00E637B6" w:rsidRPr="00593BCE" w14:paraId="57886F44" w14:textId="77777777" w:rsidTr="00443AED">
        <w:tc>
          <w:tcPr>
            <w:tcW w:w="4062" w:type="dxa"/>
          </w:tcPr>
          <w:p w14:paraId="4D5C504E" w14:textId="77777777" w:rsidR="00E637B6" w:rsidRPr="00593BCE" w:rsidRDefault="00E637B6" w:rsidP="00443A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BCE">
              <w:rPr>
                <w:rFonts w:ascii="Arial" w:hAnsi="Arial" w:cs="Arial"/>
                <w:b/>
                <w:sz w:val="20"/>
                <w:szCs w:val="20"/>
              </w:rPr>
              <w:t>Outcomes</w:t>
            </w:r>
          </w:p>
        </w:tc>
        <w:tc>
          <w:tcPr>
            <w:tcW w:w="847" w:type="dxa"/>
          </w:tcPr>
          <w:p w14:paraId="6981A915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</w:tcPr>
          <w:p w14:paraId="2E408849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CB92372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14:paraId="6591BED4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14:paraId="2352B2F1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A79EEB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7B6" w:rsidRPr="00593BCE" w14:paraId="04C226D2" w14:textId="77777777" w:rsidTr="00443AED">
        <w:tc>
          <w:tcPr>
            <w:tcW w:w="4062" w:type="dxa"/>
          </w:tcPr>
          <w:p w14:paraId="28217200" w14:textId="77777777" w:rsidR="00E637B6" w:rsidRPr="00593BCE" w:rsidRDefault="00E637B6" w:rsidP="00443AED">
            <w:pPr>
              <w:spacing w:line="36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Failure to mobilise within 1-day after surgery</w:t>
            </w:r>
          </w:p>
        </w:tc>
        <w:tc>
          <w:tcPr>
            <w:tcW w:w="847" w:type="dxa"/>
          </w:tcPr>
          <w:p w14:paraId="261F2BDD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301" w:type="dxa"/>
          </w:tcPr>
          <w:p w14:paraId="14E28A2A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1217" w:type="dxa"/>
          </w:tcPr>
          <w:p w14:paraId="51DB2EAB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23.1</w:t>
            </w:r>
          </w:p>
        </w:tc>
        <w:tc>
          <w:tcPr>
            <w:tcW w:w="1299" w:type="dxa"/>
          </w:tcPr>
          <w:p w14:paraId="609A45EA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34.3</w:t>
            </w:r>
          </w:p>
        </w:tc>
        <w:tc>
          <w:tcPr>
            <w:tcW w:w="1027" w:type="dxa"/>
          </w:tcPr>
          <w:p w14:paraId="1978FC26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16.3</w:t>
            </w:r>
          </w:p>
        </w:tc>
        <w:tc>
          <w:tcPr>
            <w:tcW w:w="1134" w:type="dxa"/>
          </w:tcPr>
          <w:p w14:paraId="516E04FC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637B6" w:rsidRPr="00593BCE" w14:paraId="7838A49A" w14:textId="77777777" w:rsidTr="00443AED">
        <w:tc>
          <w:tcPr>
            <w:tcW w:w="4062" w:type="dxa"/>
          </w:tcPr>
          <w:p w14:paraId="2757EFA7" w14:textId="77777777" w:rsidR="00E637B6" w:rsidRPr="00593BCE" w:rsidRDefault="00E637B6" w:rsidP="00443AED">
            <w:pPr>
              <w:spacing w:line="36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Prolonged LOS (14.4 days)</w:t>
            </w:r>
          </w:p>
        </w:tc>
        <w:tc>
          <w:tcPr>
            <w:tcW w:w="847" w:type="dxa"/>
          </w:tcPr>
          <w:p w14:paraId="73919755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301" w:type="dxa"/>
          </w:tcPr>
          <w:p w14:paraId="33678487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14.7</w:t>
            </w:r>
          </w:p>
        </w:tc>
        <w:tc>
          <w:tcPr>
            <w:tcW w:w="1217" w:type="dxa"/>
          </w:tcPr>
          <w:p w14:paraId="2553F135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31.2</w:t>
            </w:r>
          </w:p>
        </w:tc>
        <w:tc>
          <w:tcPr>
            <w:tcW w:w="1299" w:type="dxa"/>
          </w:tcPr>
          <w:p w14:paraId="205940A5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40.2</w:t>
            </w:r>
          </w:p>
        </w:tc>
        <w:tc>
          <w:tcPr>
            <w:tcW w:w="1027" w:type="dxa"/>
          </w:tcPr>
          <w:p w14:paraId="1B11AADF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30.4</w:t>
            </w:r>
          </w:p>
        </w:tc>
        <w:tc>
          <w:tcPr>
            <w:tcW w:w="1134" w:type="dxa"/>
          </w:tcPr>
          <w:p w14:paraId="0FD4F7F1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637B6" w:rsidRPr="00593BCE" w14:paraId="74628AC4" w14:textId="77777777" w:rsidTr="00443AED">
        <w:tc>
          <w:tcPr>
            <w:tcW w:w="4062" w:type="dxa"/>
          </w:tcPr>
          <w:p w14:paraId="300F8FCC" w14:textId="77777777" w:rsidR="00E637B6" w:rsidRPr="00593BCE" w:rsidRDefault="00E637B6" w:rsidP="00443AED">
            <w:pPr>
              <w:spacing w:line="36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Mortality</w:t>
            </w:r>
          </w:p>
        </w:tc>
        <w:tc>
          <w:tcPr>
            <w:tcW w:w="847" w:type="dxa"/>
          </w:tcPr>
          <w:p w14:paraId="600C55A8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1" w:type="dxa"/>
          </w:tcPr>
          <w:p w14:paraId="543EF1FC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217" w:type="dxa"/>
          </w:tcPr>
          <w:p w14:paraId="0DD6363A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299" w:type="dxa"/>
          </w:tcPr>
          <w:p w14:paraId="6DEB1533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13.7</w:t>
            </w:r>
          </w:p>
        </w:tc>
        <w:tc>
          <w:tcPr>
            <w:tcW w:w="1027" w:type="dxa"/>
          </w:tcPr>
          <w:p w14:paraId="6E994654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16.1</w:t>
            </w:r>
          </w:p>
        </w:tc>
        <w:tc>
          <w:tcPr>
            <w:tcW w:w="1134" w:type="dxa"/>
          </w:tcPr>
          <w:p w14:paraId="092BE7A6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637B6" w:rsidRPr="00593BCE" w14:paraId="3A02B05F" w14:textId="77777777" w:rsidTr="00443AED">
        <w:tc>
          <w:tcPr>
            <w:tcW w:w="4062" w:type="dxa"/>
          </w:tcPr>
          <w:p w14:paraId="03727BA4" w14:textId="77777777" w:rsidR="00E637B6" w:rsidRPr="00593BCE" w:rsidRDefault="00E637B6" w:rsidP="00443AED">
            <w:pPr>
              <w:spacing w:line="36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Discharged to rehabilitation unit or Residential care/Nursing care*</w:t>
            </w:r>
          </w:p>
        </w:tc>
        <w:tc>
          <w:tcPr>
            <w:tcW w:w="847" w:type="dxa"/>
          </w:tcPr>
          <w:p w14:paraId="59FDEE8F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301" w:type="dxa"/>
          </w:tcPr>
          <w:p w14:paraId="7DB5D5B0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  <w:tc>
          <w:tcPr>
            <w:tcW w:w="1217" w:type="dxa"/>
          </w:tcPr>
          <w:p w14:paraId="43D3B6CD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48.4</w:t>
            </w:r>
          </w:p>
        </w:tc>
        <w:tc>
          <w:tcPr>
            <w:tcW w:w="1299" w:type="dxa"/>
          </w:tcPr>
          <w:p w14:paraId="2C18A5AC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70.3</w:t>
            </w:r>
          </w:p>
        </w:tc>
        <w:tc>
          <w:tcPr>
            <w:tcW w:w="1027" w:type="dxa"/>
          </w:tcPr>
          <w:p w14:paraId="48989119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17.6</w:t>
            </w:r>
          </w:p>
        </w:tc>
        <w:tc>
          <w:tcPr>
            <w:tcW w:w="1134" w:type="dxa"/>
          </w:tcPr>
          <w:p w14:paraId="20034F37" w14:textId="77777777" w:rsidR="00E637B6" w:rsidRPr="00593BCE" w:rsidRDefault="00E637B6" w:rsidP="00443A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</w:tbl>
    <w:p w14:paraId="1434F99E" w14:textId="77777777" w:rsidR="00E637B6" w:rsidRPr="00593BCE" w:rsidRDefault="00E637B6" w:rsidP="00E637B6">
      <w:pPr>
        <w:rPr>
          <w:rFonts w:ascii="Arial" w:hAnsi="Arial" w:cs="Arial"/>
          <w:b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>*Including only those who were admitted from their own home and excluding those who died in hospital.</w:t>
      </w:r>
    </w:p>
    <w:p w14:paraId="4F58D25A" w14:textId="77777777" w:rsidR="00E637B6" w:rsidRPr="00593BCE" w:rsidRDefault="00E637B6" w:rsidP="00E637B6">
      <w:pPr>
        <w:pStyle w:val="ListParagraph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  <w:sectPr w:rsidR="00E637B6" w:rsidRPr="00593BCE" w:rsidSect="00196E5C">
          <w:headerReference w:type="default" r:id="rId17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D8AAA21" w14:textId="36DFC7BA" w:rsidR="00E637B6" w:rsidRPr="00593BCE" w:rsidRDefault="00E637B6" w:rsidP="00E637B6">
      <w:pPr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b/>
          <w:sz w:val="24"/>
          <w:szCs w:val="24"/>
        </w:rPr>
        <w:lastRenderedPageBreak/>
        <w:t xml:space="preserve">Table 3. </w:t>
      </w:r>
      <w:r w:rsidRPr="00593BCE">
        <w:rPr>
          <w:rFonts w:ascii="Arial" w:hAnsi="Arial" w:cs="Arial"/>
          <w:sz w:val="24"/>
          <w:szCs w:val="24"/>
        </w:rPr>
        <w:t xml:space="preserve">Logistic regression to assess the relationship between </w:t>
      </w:r>
      <w:r w:rsidR="0086590E" w:rsidRPr="00593BCE">
        <w:rPr>
          <w:rFonts w:ascii="Arial" w:hAnsi="Arial" w:cs="Arial"/>
          <w:sz w:val="24"/>
          <w:szCs w:val="24"/>
        </w:rPr>
        <w:t xml:space="preserve">the </w:t>
      </w:r>
      <w:r w:rsidRPr="00593BCE">
        <w:rPr>
          <w:rFonts w:ascii="Arial" w:hAnsi="Arial" w:cs="Arial"/>
          <w:sz w:val="24"/>
          <w:szCs w:val="24"/>
        </w:rPr>
        <w:t>4AT and outcomes.</w:t>
      </w:r>
    </w:p>
    <w:tbl>
      <w:tblPr>
        <w:tblStyle w:val="TableGrid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850"/>
        <w:gridCol w:w="1134"/>
        <w:gridCol w:w="851"/>
        <w:gridCol w:w="850"/>
        <w:gridCol w:w="1134"/>
        <w:gridCol w:w="851"/>
        <w:gridCol w:w="850"/>
        <w:gridCol w:w="1276"/>
        <w:gridCol w:w="850"/>
        <w:gridCol w:w="851"/>
        <w:gridCol w:w="1276"/>
        <w:gridCol w:w="850"/>
      </w:tblGrid>
      <w:tr w:rsidR="00E637B6" w:rsidRPr="00593BCE" w14:paraId="3FEBD37E" w14:textId="77777777" w:rsidTr="00443AED">
        <w:tc>
          <w:tcPr>
            <w:tcW w:w="4254" w:type="dxa"/>
          </w:tcPr>
          <w:p w14:paraId="6BAD68E3" w14:textId="77777777" w:rsidR="00E637B6" w:rsidRPr="00593BCE" w:rsidRDefault="00E637B6" w:rsidP="00443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769DAF71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Failure to mobilise within 1-day after surgery</w:t>
            </w:r>
          </w:p>
        </w:tc>
        <w:tc>
          <w:tcPr>
            <w:tcW w:w="2835" w:type="dxa"/>
            <w:gridSpan w:val="3"/>
          </w:tcPr>
          <w:p w14:paraId="1A60804F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Prolonged LOS</w:t>
            </w:r>
          </w:p>
        </w:tc>
        <w:tc>
          <w:tcPr>
            <w:tcW w:w="2976" w:type="dxa"/>
            <w:gridSpan w:val="3"/>
          </w:tcPr>
          <w:p w14:paraId="03270CBA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Death</w:t>
            </w:r>
          </w:p>
        </w:tc>
        <w:tc>
          <w:tcPr>
            <w:tcW w:w="2977" w:type="dxa"/>
            <w:gridSpan w:val="3"/>
          </w:tcPr>
          <w:p w14:paraId="0C1FEDA0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Discharge to rehabilitation units or residential/NH care*</w:t>
            </w:r>
          </w:p>
        </w:tc>
      </w:tr>
      <w:tr w:rsidR="00E637B6" w:rsidRPr="00593BCE" w14:paraId="60F1E147" w14:textId="77777777" w:rsidTr="00443AED">
        <w:tc>
          <w:tcPr>
            <w:tcW w:w="4254" w:type="dxa"/>
          </w:tcPr>
          <w:p w14:paraId="551D545E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BCE">
              <w:rPr>
                <w:rFonts w:ascii="Arial" w:hAnsi="Arial" w:cs="Arial"/>
                <w:b/>
                <w:sz w:val="20"/>
                <w:szCs w:val="20"/>
              </w:rPr>
              <w:t>All patients (n=537)</w:t>
            </w:r>
          </w:p>
        </w:tc>
        <w:tc>
          <w:tcPr>
            <w:tcW w:w="850" w:type="dxa"/>
          </w:tcPr>
          <w:p w14:paraId="613A6F44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1134" w:type="dxa"/>
          </w:tcPr>
          <w:p w14:paraId="19CB6ABB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95%CI</w:t>
            </w:r>
          </w:p>
        </w:tc>
        <w:tc>
          <w:tcPr>
            <w:tcW w:w="851" w:type="dxa"/>
          </w:tcPr>
          <w:p w14:paraId="2BCA5868" w14:textId="063D996D" w:rsidR="00E637B6" w:rsidRPr="00593BCE" w:rsidRDefault="00B645EA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850" w:type="dxa"/>
          </w:tcPr>
          <w:p w14:paraId="0CAE6AC5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1134" w:type="dxa"/>
          </w:tcPr>
          <w:p w14:paraId="1A42CB01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95%CI</w:t>
            </w:r>
          </w:p>
        </w:tc>
        <w:tc>
          <w:tcPr>
            <w:tcW w:w="851" w:type="dxa"/>
          </w:tcPr>
          <w:p w14:paraId="0F72AB20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850" w:type="dxa"/>
          </w:tcPr>
          <w:p w14:paraId="3D1BA239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1276" w:type="dxa"/>
          </w:tcPr>
          <w:p w14:paraId="682B3601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95%CI</w:t>
            </w:r>
          </w:p>
        </w:tc>
        <w:tc>
          <w:tcPr>
            <w:tcW w:w="850" w:type="dxa"/>
          </w:tcPr>
          <w:p w14:paraId="5CC3A146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14:paraId="580EDD42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1276" w:type="dxa"/>
          </w:tcPr>
          <w:p w14:paraId="4D4B1D38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95%CI</w:t>
            </w:r>
          </w:p>
        </w:tc>
        <w:tc>
          <w:tcPr>
            <w:tcW w:w="850" w:type="dxa"/>
          </w:tcPr>
          <w:p w14:paraId="55ACCAEE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E637B6" w:rsidRPr="00593BCE" w14:paraId="1819D132" w14:textId="77777777" w:rsidTr="00443AED">
        <w:tc>
          <w:tcPr>
            <w:tcW w:w="4254" w:type="dxa"/>
          </w:tcPr>
          <w:p w14:paraId="3A5C524F" w14:textId="77777777" w:rsidR="00E637B6" w:rsidRPr="00593BCE" w:rsidRDefault="00E637B6" w:rsidP="00443AED">
            <w:pPr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b/>
                <w:sz w:val="20"/>
                <w:szCs w:val="20"/>
              </w:rPr>
              <w:t>Model 1:</w:t>
            </w:r>
            <w:r w:rsidRPr="00593BCE">
              <w:rPr>
                <w:rFonts w:ascii="Arial" w:hAnsi="Arial" w:cs="Arial"/>
                <w:sz w:val="20"/>
                <w:szCs w:val="20"/>
              </w:rPr>
              <w:t xml:space="preserve"> Unadjusted</w:t>
            </w:r>
          </w:p>
        </w:tc>
        <w:tc>
          <w:tcPr>
            <w:tcW w:w="850" w:type="dxa"/>
          </w:tcPr>
          <w:p w14:paraId="02CE81A9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50E585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81F0D8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014A8F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9643B6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B08F50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769CA4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6442B3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5FC870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992A74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FEA611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35B2D1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7B6" w:rsidRPr="00593BCE" w14:paraId="30C8A413" w14:textId="77777777" w:rsidTr="00443AED">
        <w:tc>
          <w:tcPr>
            <w:tcW w:w="4254" w:type="dxa"/>
          </w:tcPr>
          <w:p w14:paraId="317B39C4" w14:textId="77777777" w:rsidR="00E637B6" w:rsidRPr="00593BCE" w:rsidRDefault="00E637B6" w:rsidP="00443AE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4AT = 0 (reference)</w:t>
            </w:r>
          </w:p>
        </w:tc>
        <w:tc>
          <w:tcPr>
            <w:tcW w:w="850" w:type="dxa"/>
          </w:tcPr>
          <w:p w14:paraId="5F63DC6F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50C6C10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14:paraId="189A5E35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14:paraId="751CDA29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EEA5EF6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14:paraId="3049FE2D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14:paraId="21A8D319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4B73C3F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14:paraId="648F38BE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14:paraId="6580B487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59A8147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14:paraId="635E3949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37B6" w:rsidRPr="00593BCE" w14:paraId="083E1BD3" w14:textId="77777777" w:rsidTr="00443AED">
        <w:tc>
          <w:tcPr>
            <w:tcW w:w="4254" w:type="dxa"/>
          </w:tcPr>
          <w:p w14:paraId="1C4B3EBA" w14:textId="77777777" w:rsidR="00E637B6" w:rsidRPr="00593BCE" w:rsidRDefault="00E637B6" w:rsidP="00443AE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4AT = 1-3</w:t>
            </w:r>
          </w:p>
        </w:tc>
        <w:tc>
          <w:tcPr>
            <w:tcW w:w="850" w:type="dxa"/>
          </w:tcPr>
          <w:p w14:paraId="0DB22689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134" w:type="dxa"/>
          </w:tcPr>
          <w:p w14:paraId="067D1BC2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1.0-2.7</w:t>
            </w:r>
          </w:p>
        </w:tc>
        <w:tc>
          <w:tcPr>
            <w:tcW w:w="851" w:type="dxa"/>
          </w:tcPr>
          <w:p w14:paraId="089E879E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0.049</w:t>
            </w:r>
          </w:p>
        </w:tc>
        <w:tc>
          <w:tcPr>
            <w:tcW w:w="850" w:type="dxa"/>
          </w:tcPr>
          <w:p w14:paraId="44C57D55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134" w:type="dxa"/>
          </w:tcPr>
          <w:p w14:paraId="676603E9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1.8-4.9</w:t>
            </w:r>
          </w:p>
        </w:tc>
        <w:tc>
          <w:tcPr>
            <w:tcW w:w="851" w:type="dxa"/>
          </w:tcPr>
          <w:p w14:paraId="4FB10046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850" w:type="dxa"/>
          </w:tcPr>
          <w:p w14:paraId="54645638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276" w:type="dxa"/>
          </w:tcPr>
          <w:p w14:paraId="284C858D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0.2-1.9</w:t>
            </w:r>
          </w:p>
        </w:tc>
        <w:tc>
          <w:tcPr>
            <w:tcW w:w="850" w:type="dxa"/>
          </w:tcPr>
          <w:p w14:paraId="1AAC3895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0.387</w:t>
            </w:r>
          </w:p>
        </w:tc>
        <w:tc>
          <w:tcPr>
            <w:tcW w:w="851" w:type="dxa"/>
          </w:tcPr>
          <w:p w14:paraId="5C03751C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76" w:type="dxa"/>
          </w:tcPr>
          <w:p w14:paraId="0BB089DE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1.1-2.6</w:t>
            </w:r>
          </w:p>
        </w:tc>
        <w:tc>
          <w:tcPr>
            <w:tcW w:w="850" w:type="dxa"/>
          </w:tcPr>
          <w:p w14:paraId="0EA5C332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</w:tr>
      <w:tr w:rsidR="00E637B6" w:rsidRPr="00593BCE" w14:paraId="26DD28AB" w14:textId="77777777" w:rsidTr="00443AED">
        <w:tc>
          <w:tcPr>
            <w:tcW w:w="4254" w:type="dxa"/>
          </w:tcPr>
          <w:p w14:paraId="51BE2C24" w14:textId="77777777" w:rsidR="00E637B6" w:rsidRPr="00593BCE" w:rsidRDefault="00E637B6" w:rsidP="00443AE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4AT ≥4</w:t>
            </w:r>
          </w:p>
        </w:tc>
        <w:tc>
          <w:tcPr>
            <w:tcW w:w="850" w:type="dxa"/>
          </w:tcPr>
          <w:p w14:paraId="07B04DA7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134" w:type="dxa"/>
          </w:tcPr>
          <w:p w14:paraId="119FBAB7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1.7-4.9</w:t>
            </w:r>
          </w:p>
        </w:tc>
        <w:tc>
          <w:tcPr>
            <w:tcW w:w="851" w:type="dxa"/>
          </w:tcPr>
          <w:p w14:paraId="37CAB70D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850" w:type="dxa"/>
          </w:tcPr>
          <w:p w14:paraId="76DD4CE1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1134" w:type="dxa"/>
          </w:tcPr>
          <w:p w14:paraId="22DB47CE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2.7-8.2</w:t>
            </w:r>
          </w:p>
        </w:tc>
        <w:tc>
          <w:tcPr>
            <w:tcW w:w="851" w:type="dxa"/>
          </w:tcPr>
          <w:p w14:paraId="515E6B3F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850" w:type="dxa"/>
          </w:tcPr>
          <w:p w14:paraId="2E453FAE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276" w:type="dxa"/>
          </w:tcPr>
          <w:p w14:paraId="31A8D05A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1.6-8.2</w:t>
            </w:r>
          </w:p>
        </w:tc>
        <w:tc>
          <w:tcPr>
            <w:tcW w:w="850" w:type="dxa"/>
          </w:tcPr>
          <w:p w14:paraId="344DD3E1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851" w:type="dxa"/>
          </w:tcPr>
          <w:p w14:paraId="28C627A5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14:paraId="54EBB4AA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2.0-8.9</w:t>
            </w:r>
          </w:p>
        </w:tc>
        <w:tc>
          <w:tcPr>
            <w:tcW w:w="850" w:type="dxa"/>
          </w:tcPr>
          <w:p w14:paraId="717EC1C9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637B6" w:rsidRPr="00593BCE" w14:paraId="00E80B15" w14:textId="77777777" w:rsidTr="00443AED">
        <w:tc>
          <w:tcPr>
            <w:tcW w:w="4254" w:type="dxa"/>
          </w:tcPr>
          <w:p w14:paraId="0D6DEA49" w14:textId="77777777" w:rsidR="00E637B6" w:rsidRPr="00593BCE" w:rsidRDefault="00E637B6" w:rsidP="00443AED">
            <w:pPr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b/>
                <w:sz w:val="20"/>
                <w:szCs w:val="20"/>
              </w:rPr>
              <w:t>Model 2:</w:t>
            </w:r>
            <w:r w:rsidRPr="00593BCE">
              <w:rPr>
                <w:rFonts w:ascii="Arial" w:hAnsi="Arial" w:cs="Arial"/>
                <w:sz w:val="20"/>
                <w:szCs w:val="20"/>
              </w:rPr>
              <w:t xml:space="preserve"> Adjusted for age and sex </w:t>
            </w:r>
          </w:p>
        </w:tc>
        <w:tc>
          <w:tcPr>
            <w:tcW w:w="850" w:type="dxa"/>
          </w:tcPr>
          <w:p w14:paraId="4CC1B4E8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45FF93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6A7555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2409EE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9DD751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59E89B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3D8CA1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48D2E1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CEEC23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45D1DC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90A1EB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A0624E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7B6" w:rsidRPr="00593BCE" w14:paraId="651A0831" w14:textId="77777777" w:rsidTr="00443AED">
        <w:tc>
          <w:tcPr>
            <w:tcW w:w="4254" w:type="dxa"/>
          </w:tcPr>
          <w:p w14:paraId="60FDC657" w14:textId="77777777" w:rsidR="00E637B6" w:rsidRPr="00593BCE" w:rsidRDefault="00E637B6" w:rsidP="00443AE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4AT = 0</w:t>
            </w:r>
          </w:p>
        </w:tc>
        <w:tc>
          <w:tcPr>
            <w:tcW w:w="850" w:type="dxa"/>
          </w:tcPr>
          <w:p w14:paraId="02AEDAA5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906AC3C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14:paraId="600A276E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14:paraId="00978930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0769FA6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14:paraId="71D77965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14:paraId="7259180A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EFC3DAE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14:paraId="0DD71468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14:paraId="0F36853E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9A25C7D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14:paraId="24C2ED65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37B6" w:rsidRPr="00593BCE" w14:paraId="4C2D1B01" w14:textId="77777777" w:rsidTr="00443AED">
        <w:tc>
          <w:tcPr>
            <w:tcW w:w="4254" w:type="dxa"/>
          </w:tcPr>
          <w:p w14:paraId="32B92B19" w14:textId="77777777" w:rsidR="00E637B6" w:rsidRPr="00593BCE" w:rsidRDefault="00E637B6" w:rsidP="00443AE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4AT = 1-3</w:t>
            </w:r>
          </w:p>
        </w:tc>
        <w:tc>
          <w:tcPr>
            <w:tcW w:w="850" w:type="dxa"/>
          </w:tcPr>
          <w:p w14:paraId="04B73C1F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134" w:type="dxa"/>
          </w:tcPr>
          <w:p w14:paraId="048A232B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1.0-2.8</w:t>
            </w:r>
          </w:p>
        </w:tc>
        <w:tc>
          <w:tcPr>
            <w:tcW w:w="851" w:type="dxa"/>
          </w:tcPr>
          <w:p w14:paraId="4273DB0C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0.046</w:t>
            </w:r>
          </w:p>
        </w:tc>
        <w:tc>
          <w:tcPr>
            <w:tcW w:w="850" w:type="dxa"/>
          </w:tcPr>
          <w:p w14:paraId="71A73E90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134" w:type="dxa"/>
          </w:tcPr>
          <w:p w14:paraId="38180709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1.6-4.6</w:t>
            </w:r>
          </w:p>
        </w:tc>
        <w:tc>
          <w:tcPr>
            <w:tcW w:w="851" w:type="dxa"/>
          </w:tcPr>
          <w:p w14:paraId="0CD2AD54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850" w:type="dxa"/>
          </w:tcPr>
          <w:p w14:paraId="095026D1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276" w:type="dxa"/>
          </w:tcPr>
          <w:p w14:paraId="62EDD559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0.2-2.0</w:t>
            </w:r>
          </w:p>
        </w:tc>
        <w:tc>
          <w:tcPr>
            <w:tcW w:w="850" w:type="dxa"/>
          </w:tcPr>
          <w:p w14:paraId="591EA4BA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0.391</w:t>
            </w:r>
          </w:p>
        </w:tc>
        <w:tc>
          <w:tcPr>
            <w:tcW w:w="851" w:type="dxa"/>
          </w:tcPr>
          <w:p w14:paraId="07A254E8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76" w:type="dxa"/>
          </w:tcPr>
          <w:p w14:paraId="799FF9E1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0.9-2.3</w:t>
            </w:r>
          </w:p>
        </w:tc>
        <w:tc>
          <w:tcPr>
            <w:tcW w:w="850" w:type="dxa"/>
          </w:tcPr>
          <w:p w14:paraId="09423663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0.111</w:t>
            </w:r>
          </w:p>
        </w:tc>
      </w:tr>
      <w:tr w:rsidR="00E637B6" w:rsidRPr="00593BCE" w14:paraId="20FEF860" w14:textId="77777777" w:rsidTr="00443AED">
        <w:tc>
          <w:tcPr>
            <w:tcW w:w="4254" w:type="dxa"/>
          </w:tcPr>
          <w:p w14:paraId="7971C130" w14:textId="77777777" w:rsidR="00E637B6" w:rsidRPr="00593BCE" w:rsidRDefault="00E637B6" w:rsidP="00443AE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4AT ≥4</w:t>
            </w:r>
          </w:p>
        </w:tc>
        <w:tc>
          <w:tcPr>
            <w:tcW w:w="850" w:type="dxa"/>
          </w:tcPr>
          <w:p w14:paraId="1C0D47C0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134" w:type="dxa"/>
          </w:tcPr>
          <w:p w14:paraId="44864739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1.7-5.1</w:t>
            </w:r>
          </w:p>
        </w:tc>
        <w:tc>
          <w:tcPr>
            <w:tcW w:w="851" w:type="dxa"/>
          </w:tcPr>
          <w:p w14:paraId="6E673191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850" w:type="dxa"/>
          </w:tcPr>
          <w:p w14:paraId="07E57C0B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134" w:type="dxa"/>
          </w:tcPr>
          <w:p w14:paraId="09D468EC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2.3-7.5</w:t>
            </w:r>
          </w:p>
        </w:tc>
        <w:tc>
          <w:tcPr>
            <w:tcW w:w="851" w:type="dxa"/>
          </w:tcPr>
          <w:p w14:paraId="34C9DEAE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850" w:type="dxa"/>
          </w:tcPr>
          <w:p w14:paraId="3F7094D9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276" w:type="dxa"/>
          </w:tcPr>
          <w:p w14:paraId="5D0B284A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1.5-8.7</w:t>
            </w:r>
          </w:p>
        </w:tc>
        <w:tc>
          <w:tcPr>
            <w:tcW w:w="850" w:type="dxa"/>
          </w:tcPr>
          <w:p w14:paraId="10158876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851" w:type="dxa"/>
          </w:tcPr>
          <w:p w14:paraId="2520C7B9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276" w:type="dxa"/>
          </w:tcPr>
          <w:p w14:paraId="759AC82A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1.6-7.4</w:t>
            </w:r>
          </w:p>
        </w:tc>
        <w:tc>
          <w:tcPr>
            <w:tcW w:w="850" w:type="dxa"/>
          </w:tcPr>
          <w:p w14:paraId="4DFDE9CB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E637B6" w:rsidRPr="00593BCE" w14:paraId="55CAE2AD" w14:textId="77777777" w:rsidTr="00443AED">
        <w:tc>
          <w:tcPr>
            <w:tcW w:w="4254" w:type="dxa"/>
          </w:tcPr>
          <w:p w14:paraId="708B365E" w14:textId="77777777" w:rsidR="00E637B6" w:rsidRPr="00593BCE" w:rsidRDefault="00E637B6" w:rsidP="00443AED">
            <w:pPr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b/>
                <w:sz w:val="20"/>
                <w:szCs w:val="20"/>
              </w:rPr>
              <w:t>Model 3:</w:t>
            </w:r>
            <w:r w:rsidRPr="00593BCE">
              <w:rPr>
                <w:rFonts w:ascii="Arial" w:hAnsi="Arial" w:cs="Arial"/>
                <w:sz w:val="20"/>
                <w:szCs w:val="20"/>
              </w:rPr>
              <w:t xml:space="preserve"> Adjusted for Model 2, co-morbidities</w:t>
            </w:r>
            <w:r w:rsidRPr="00593BCE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  <w:r w:rsidRPr="00593BCE">
              <w:rPr>
                <w:rFonts w:ascii="Arial" w:hAnsi="Arial" w:cs="Arial"/>
                <w:sz w:val="20"/>
                <w:szCs w:val="20"/>
              </w:rPr>
              <w:t xml:space="preserve"> and medications</w:t>
            </w:r>
            <w:r w:rsidRPr="00593BC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850" w:type="dxa"/>
          </w:tcPr>
          <w:p w14:paraId="27B19688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E8A5E9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31D8EE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5BCA8D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763D84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22D6EF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9C4A78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E1A78C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E58A69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FBD534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2F1DC7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965F17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7B6" w:rsidRPr="00593BCE" w14:paraId="1B7FA1A3" w14:textId="77777777" w:rsidTr="00443AED">
        <w:tc>
          <w:tcPr>
            <w:tcW w:w="4254" w:type="dxa"/>
          </w:tcPr>
          <w:p w14:paraId="6366E136" w14:textId="77777777" w:rsidR="00E637B6" w:rsidRPr="00593BCE" w:rsidRDefault="00E637B6" w:rsidP="00443AE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4AT = 0</w:t>
            </w:r>
          </w:p>
        </w:tc>
        <w:tc>
          <w:tcPr>
            <w:tcW w:w="850" w:type="dxa"/>
          </w:tcPr>
          <w:p w14:paraId="7CDAB0B3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CB9CC4B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14:paraId="2EDF5075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14:paraId="481E720B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309EC28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14:paraId="3EB5A468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14:paraId="5970F682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DADB310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14:paraId="6BBB64D8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14:paraId="0F18B23A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17A0302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14:paraId="00D23674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37B6" w:rsidRPr="00593BCE" w14:paraId="67834921" w14:textId="77777777" w:rsidTr="00443AED">
        <w:tc>
          <w:tcPr>
            <w:tcW w:w="4254" w:type="dxa"/>
          </w:tcPr>
          <w:p w14:paraId="0A68A51D" w14:textId="77777777" w:rsidR="00E637B6" w:rsidRPr="00593BCE" w:rsidRDefault="00E637B6" w:rsidP="00443AE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4AT = 1-3</w:t>
            </w:r>
          </w:p>
        </w:tc>
        <w:tc>
          <w:tcPr>
            <w:tcW w:w="850" w:type="dxa"/>
          </w:tcPr>
          <w:p w14:paraId="6B92FFAB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134" w:type="dxa"/>
          </w:tcPr>
          <w:p w14:paraId="0167392D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0.8-2.4</w:t>
            </w:r>
          </w:p>
        </w:tc>
        <w:tc>
          <w:tcPr>
            <w:tcW w:w="851" w:type="dxa"/>
          </w:tcPr>
          <w:p w14:paraId="70091A62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0.201</w:t>
            </w:r>
          </w:p>
        </w:tc>
        <w:tc>
          <w:tcPr>
            <w:tcW w:w="850" w:type="dxa"/>
          </w:tcPr>
          <w:p w14:paraId="284613CC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134" w:type="dxa"/>
          </w:tcPr>
          <w:p w14:paraId="2372313C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1.4-4.1</w:t>
            </w:r>
          </w:p>
        </w:tc>
        <w:tc>
          <w:tcPr>
            <w:tcW w:w="851" w:type="dxa"/>
          </w:tcPr>
          <w:p w14:paraId="6ED78025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850" w:type="dxa"/>
          </w:tcPr>
          <w:p w14:paraId="5C5BF1DE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276" w:type="dxa"/>
          </w:tcPr>
          <w:p w14:paraId="4E5AB72D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 xml:space="preserve">0.2-1.9 </w:t>
            </w:r>
          </w:p>
        </w:tc>
        <w:tc>
          <w:tcPr>
            <w:tcW w:w="850" w:type="dxa"/>
          </w:tcPr>
          <w:p w14:paraId="093217E9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0.327</w:t>
            </w:r>
          </w:p>
        </w:tc>
        <w:tc>
          <w:tcPr>
            <w:tcW w:w="851" w:type="dxa"/>
          </w:tcPr>
          <w:p w14:paraId="61CC01F6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76" w:type="dxa"/>
          </w:tcPr>
          <w:p w14:paraId="6A741CAC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0.8-2.1</w:t>
            </w:r>
          </w:p>
        </w:tc>
        <w:tc>
          <w:tcPr>
            <w:tcW w:w="850" w:type="dxa"/>
          </w:tcPr>
          <w:p w14:paraId="037CD851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0.247</w:t>
            </w:r>
          </w:p>
        </w:tc>
      </w:tr>
      <w:tr w:rsidR="00E637B6" w:rsidRPr="00593BCE" w14:paraId="12E35588" w14:textId="77777777" w:rsidTr="00443AED">
        <w:tc>
          <w:tcPr>
            <w:tcW w:w="4254" w:type="dxa"/>
          </w:tcPr>
          <w:p w14:paraId="32996F8D" w14:textId="77777777" w:rsidR="00E637B6" w:rsidRPr="00593BCE" w:rsidRDefault="00E637B6" w:rsidP="00443AE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4AT ≥4</w:t>
            </w:r>
          </w:p>
        </w:tc>
        <w:tc>
          <w:tcPr>
            <w:tcW w:w="850" w:type="dxa"/>
          </w:tcPr>
          <w:p w14:paraId="435931AA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134" w:type="dxa"/>
          </w:tcPr>
          <w:p w14:paraId="4FD31E80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1.3-4.3</w:t>
            </w:r>
          </w:p>
        </w:tc>
        <w:tc>
          <w:tcPr>
            <w:tcW w:w="851" w:type="dxa"/>
          </w:tcPr>
          <w:p w14:paraId="7145E2DF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850" w:type="dxa"/>
          </w:tcPr>
          <w:p w14:paraId="211D8511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134" w:type="dxa"/>
          </w:tcPr>
          <w:p w14:paraId="0486A0FD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1.9-6.7</w:t>
            </w:r>
          </w:p>
        </w:tc>
        <w:tc>
          <w:tcPr>
            <w:tcW w:w="851" w:type="dxa"/>
          </w:tcPr>
          <w:p w14:paraId="3BDACC26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850" w:type="dxa"/>
          </w:tcPr>
          <w:p w14:paraId="53D69729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276" w:type="dxa"/>
          </w:tcPr>
          <w:p w14:paraId="6A71D310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1.2-8.2</w:t>
            </w:r>
          </w:p>
        </w:tc>
        <w:tc>
          <w:tcPr>
            <w:tcW w:w="850" w:type="dxa"/>
          </w:tcPr>
          <w:p w14:paraId="2BBAFE7B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0.025</w:t>
            </w:r>
          </w:p>
        </w:tc>
        <w:tc>
          <w:tcPr>
            <w:tcW w:w="851" w:type="dxa"/>
          </w:tcPr>
          <w:p w14:paraId="3FC17D37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276" w:type="dxa"/>
          </w:tcPr>
          <w:p w14:paraId="7CED7A39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1.4-6.8</w:t>
            </w:r>
          </w:p>
        </w:tc>
        <w:tc>
          <w:tcPr>
            <w:tcW w:w="850" w:type="dxa"/>
          </w:tcPr>
          <w:p w14:paraId="3D76D558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</w:tr>
      <w:tr w:rsidR="00E637B6" w:rsidRPr="00593BCE" w14:paraId="0983CC24" w14:textId="77777777" w:rsidTr="00443AED">
        <w:tc>
          <w:tcPr>
            <w:tcW w:w="4254" w:type="dxa"/>
          </w:tcPr>
          <w:p w14:paraId="3654FD9A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BCE">
              <w:rPr>
                <w:rFonts w:ascii="Arial" w:hAnsi="Arial" w:cs="Arial"/>
                <w:b/>
                <w:sz w:val="20"/>
                <w:szCs w:val="20"/>
              </w:rPr>
              <w:t>Excluding patients with dementia (n=398)</w:t>
            </w:r>
          </w:p>
        </w:tc>
        <w:tc>
          <w:tcPr>
            <w:tcW w:w="850" w:type="dxa"/>
          </w:tcPr>
          <w:p w14:paraId="7591C373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04100E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E8DDE6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95A14A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95A77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F0651D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63FA3A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836419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A41BE7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CF3A79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02E75D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727F1F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7B6" w:rsidRPr="00593BCE" w14:paraId="2AC9E714" w14:textId="77777777" w:rsidTr="00443AED">
        <w:tc>
          <w:tcPr>
            <w:tcW w:w="4254" w:type="dxa"/>
          </w:tcPr>
          <w:p w14:paraId="203B2891" w14:textId="77777777" w:rsidR="00E637B6" w:rsidRPr="00593BCE" w:rsidRDefault="00E637B6" w:rsidP="00443AED">
            <w:pPr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b/>
                <w:sz w:val="20"/>
                <w:szCs w:val="20"/>
              </w:rPr>
              <w:t>Model 4:</w:t>
            </w:r>
            <w:r w:rsidRPr="00593BCE">
              <w:rPr>
                <w:rFonts w:ascii="Arial" w:hAnsi="Arial" w:cs="Arial"/>
                <w:sz w:val="20"/>
                <w:szCs w:val="20"/>
              </w:rPr>
              <w:t xml:space="preserve"> Adjusted for age, sex, co-morbidities</w:t>
            </w:r>
            <w:r w:rsidRPr="00593BCE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  <w:r w:rsidRPr="00593BCE">
              <w:rPr>
                <w:rFonts w:ascii="Arial" w:hAnsi="Arial" w:cs="Arial"/>
                <w:sz w:val="20"/>
                <w:szCs w:val="20"/>
              </w:rPr>
              <w:t xml:space="preserve"> and medications</w:t>
            </w:r>
            <w:r w:rsidRPr="00593BC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850" w:type="dxa"/>
          </w:tcPr>
          <w:p w14:paraId="189011F4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0D77DC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BC11EF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08BD97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5E1370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1C7166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373B5B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ED0213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7581F1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070218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E8432F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6654A5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7B6" w:rsidRPr="00593BCE" w14:paraId="64153706" w14:textId="77777777" w:rsidTr="00443AED">
        <w:tc>
          <w:tcPr>
            <w:tcW w:w="4254" w:type="dxa"/>
          </w:tcPr>
          <w:p w14:paraId="1EB2B965" w14:textId="77777777" w:rsidR="00E637B6" w:rsidRPr="00593BCE" w:rsidRDefault="00E637B6" w:rsidP="00443AE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4AT = 0</w:t>
            </w:r>
          </w:p>
        </w:tc>
        <w:tc>
          <w:tcPr>
            <w:tcW w:w="850" w:type="dxa"/>
          </w:tcPr>
          <w:p w14:paraId="497F1AFA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C3AC702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14:paraId="65F15790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14:paraId="76B92638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7FC3CAA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14:paraId="62B00538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14:paraId="15C52FC8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8C6B77D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14:paraId="0A7A1A38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14:paraId="094C87BA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7FF9295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14:paraId="02A737D2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37B6" w:rsidRPr="00593BCE" w14:paraId="06C4667E" w14:textId="77777777" w:rsidTr="00443AED">
        <w:tc>
          <w:tcPr>
            <w:tcW w:w="4254" w:type="dxa"/>
          </w:tcPr>
          <w:p w14:paraId="1CECC2D1" w14:textId="77777777" w:rsidR="00E637B6" w:rsidRPr="00593BCE" w:rsidRDefault="00E637B6" w:rsidP="00443AE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4AT = 1-3</w:t>
            </w:r>
          </w:p>
        </w:tc>
        <w:tc>
          <w:tcPr>
            <w:tcW w:w="850" w:type="dxa"/>
          </w:tcPr>
          <w:p w14:paraId="41FA8A0B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134" w:type="dxa"/>
          </w:tcPr>
          <w:p w14:paraId="438E91BA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0.8-2.7</w:t>
            </w:r>
          </w:p>
        </w:tc>
        <w:tc>
          <w:tcPr>
            <w:tcW w:w="851" w:type="dxa"/>
          </w:tcPr>
          <w:p w14:paraId="4F795C38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0.210</w:t>
            </w:r>
          </w:p>
        </w:tc>
        <w:tc>
          <w:tcPr>
            <w:tcW w:w="850" w:type="dxa"/>
          </w:tcPr>
          <w:p w14:paraId="7DD3AD67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134" w:type="dxa"/>
          </w:tcPr>
          <w:p w14:paraId="3CB03930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1.4-4.7</w:t>
            </w:r>
          </w:p>
        </w:tc>
        <w:tc>
          <w:tcPr>
            <w:tcW w:w="851" w:type="dxa"/>
          </w:tcPr>
          <w:p w14:paraId="4F8EA826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850" w:type="dxa"/>
          </w:tcPr>
          <w:p w14:paraId="2ED59F1C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276" w:type="dxa"/>
          </w:tcPr>
          <w:p w14:paraId="5445BED3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0.1-2.0</w:t>
            </w:r>
          </w:p>
        </w:tc>
        <w:tc>
          <w:tcPr>
            <w:tcW w:w="850" w:type="dxa"/>
          </w:tcPr>
          <w:p w14:paraId="12B693B3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0.260</w:t>
            </w:r>
          </w:p>
        </w:tc>
        <w:tc>
          <w:tcPr>
            <w:tcW w:w="851" w:type="dxa"/>
          </w:tcPr>
          <w:p w14:paraId="014CF4DA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76" w:type="dxa"/>
          </w:tcPr>
          <w:p w14:paraId="0059F2DE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0.8-2.4</w:t>
            </w:r>
          </w:p>
        </w:tc>
        <w:tc>
          <w:tcPr>
            <w:tcW w:w="850" w:type="dxa"/>
          </w:tcPr>
          <w:p w14:paraId="15C6CD73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0.245</w:t>
            </w:r>
          </w:p>
        </w:tc>
      </w:tr>
      <w:tr w:rsidR="00E637B6" w:rsidRPr="00593BCE" w14:paraId="4C2A0662" w14:textId="77777777" w:rsidTr="00443AED">
        <w:tc>
          <w:tcPr>
            <w:tcW w:w="4254" w:type="dxa"/>
          </w:tcPr>
          <w:p w14:paraId="379CB635" w14:textId="77777777" w:rsidR="00E637B6" w:rsidRPr="00593BCE" w:rsidRDefault="00E637B6" w:rsidP="00443AE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4AT ≥4</w:t>
            </w:r>
          </w:p>
        </w:tc>
        <w:tc>
          <w:tcPr>
            <w:tcW w:w="850" w:type="dxa"/>
          </w:tcPr>
          <w:p w14:paraId="1206DF35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134" w:type="dxa"/>
          </w:tcPr>
          <w:p w14:paraId="2CADA077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1.4-6.9</w:t>
            </w:r>
          </w:p>
        </w:tc>
        <w:tc>
          <w:tcPr>
            <w:tcW w:w="851" w:type="dxa"/>
          </w:tcPr>
          <w:p w14:paraId="1BF1AF27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850" w:type="dxa"/>
          </w:tcPr>
          <w:p w14:paraId="21D92E4E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134" w:type="dxa"/>
          </w:tcPr>
          <w:p w14:paraId="23D23696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0.9-5.7</w:t>
            </w:r>
          </w:p>
        </w:tc>
        <w:tc>
          <w:tcPr>
            <w:tcW w:w="851" w:type="dxa"/>
          </w:tcPr>
          <w:p w14:paraId="5284E093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0.093</w:t>
            </w:r>
          </w:p>
        </w:tc>
        <w:tc>
          <w:tcPr>
            <w:tcW w:w="850" w:type="dxa"/>
          </w:tcPr>
          <w:p w14:paraId="4EA83733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276" w:type="dxa"/>
          </w:tcPr>
          <w:p w14:paraId="265A8A87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1.5-16.1</w:t>
            </w:r>
          </w:p>
        </w:tc>
        <w:tc>
          <w:tcPr>
            <w:tcW w:w="850" w:type="dxa"/>
          </w:tcPr>
          <w:p w14:paraId="7A811F34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  <w:tc>
          <w:tcPr>
            <w:tcW w:w="851" w:type="dxa"/>
          </w:tcPr>
          <w:p w14:paraId="4696F6A4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276" w:type="dxa"/>
          </w:tcPr>
          <w:p w14:paraId="2880C905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1.5-16.2</w:t>
            </w:r>
          </w:p>
        </w:tc>
        <w:tc>
          <w:tcPr>
            <w:tcW w:w="850" w:type="dxa"/>
          </w:tcPr>
          <w:p w14:paraId="6FAC9DAE" w14:textId="77777777" w:rsidR="00E637B6" w:rsidRPr="00593BCE" w:rsidRDefault="00E637B6" w:rsidP="0044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CE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</w:tr>
    </w:tbl>
    <w:p w14:paraId="0343C648" w14:textId="77777777" w:rsidR="00E637B6" w:rsidRPr="00593BCE" w:rsidRDefault="00E637B6" w:rsidP="00E637B6">
      <w:pPr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4"/>
          <w:szCs w:val="24"/>
        </w:rPr>
        <w:t>*Including only those who were admitted from their own home and excluding those who died in hospital.</w:t>
      </w:r>
    </w:p>
    <w:p w14:paraId="5A1A621D" w14:textId="77777777" w:rsidR="00E637B6" w:rsidRPr="00593BCE" w:rsidRDefault="00E637B6" w:rsidP="00E637B6">
      <w:pPr>
        <w:rPr>
          <w:rFonts w:ascii="Arial" w:hAnsi="Arial" w:cs="Arial"/>
          <w:sz w:val="24"/>
          <w:szCs w:val="24"/>
        </w:rPr>
      </w:pPr>
      <w:r w:rsidRPr="00593BCE">
        <w:rPr>
          <w:rFonts w:ascii="Arial" w:hAnsi="Arial" w:cs="Arial"/>
          <w:sz w:val="20"/>
          <w:szCs w:val="20"/>
          <w:vertAlign w:val="superscript"/>
        </w:rPr>
        <w:t>†</w:t>
      </w:r>
      <w:r w:rsidRPr="00593BCE">
        <w:rPr>
          <w:rFonts w:ascii="Arial" w:hAnsi="Arial" w:cs="Arial"/>
          <w:sz w:val="24"/>
          <w:szCs w:val="24"/>
        </w:rPr>
        <w:t>Co-morbidities include dementia (excluded in Model 4), Parkinson’s disease, stroke, malnutrition risk/malnourished,</w:t>
      </w:r>
    </w:p>
    <w:p w14:paraId="1CFD9B16" w14:textId="4132E7F3" w:rsidR="00A81183" w:rsidRPr="00742E07" w:rsidRDefault="00E637B6" w:rsidP="00E637B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93BCE">
        <w:rPr>
          <w:rFonts w:ascii="Arial" w:hAnsi="Arial" w:cs="Arial"/>
          <w:sz w:val="20"/>
          <w:szCs w:val="20"/>
          <w:vertAlign w:val="superscript"/>
        </w:rPr>
        <w:t>‡</w:t>
      </w:r>
      <w:r w:rsidRPr="00593BCE">
        <w:rPr>
          <w:rFonts w:ascii="Arial" w:hAnsi="Arial" w:cs="Arial"/>
          <w:sz w:val="24"/>
          <w:szCs w:val="24"/>
        </w:rPr>
        <w:t>Medications include anticholinergic burden and polypharmacy.</w:t>
      </w:r>
      <w:bookmarkStart w:id="17" w:name="_GoBack"/>
      <w:bookmarkEnd w:id="17"/>
    </w:p>
    <w:sectPr w:rsidR="00A81183" w:rsidRPr="00742E07" w:rsidSect="00E637B6">
      <w:headerReference w:type="default" r:id="rId1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rosoft Office User" w:date="2019-09-24T09:37:00Z" w:initials="MOU">
    <w:p w14:paraId="248FDE4E" w14:textId="77B595D7" w:rsidR="00815CAF" w:rsidRDefault="00815CAF">
      <w:pPr>
        <w:pStyle w:val="CommentText"/>
      </w:pPr>
      <w:r>
        <w:rPr>
          <w:rStyle w:val="CommentReference"/>
        </w:rPr>
        <w:annotationRef/>
      </w:r>
      <w:r>
        <w:t>I listed the 4 components as a list below as it is the key method that needs explaining</w:t>
      </w:r>
    </w:p>
  </w:comment>
  <w:comment w:id="1" w:author="Microsoft Office User" w:date="2019-09-24T09:22:00Z" w:initials="MOU">
    <w:p w14:paraId="1235914B" w14:textId="0CD441F1" w:rsidR="00815CAF" w:rsidRDefault="00815CAF">
      <w:pPr>
        <w:pStyle w:val="CommentText"/>
      </w:pPr>
      <w:r>
        <w:rPr>
          <w:rStyle w:val="CommentReference"/>
        </w:rPr>
        <w:annotationRef/>
      </w:r>
      <w:r>
        <w:t>Should there be a number here?</w:t>
      </w:r>
    </w:p>
  </w:comment>
  <w:comment w:id="2" w:author="Microsoft Office User" w:date="2019-09-24T15:06:00Z" w:initials="MOU">
    <w:p w14:paraId="243744B7" w14:textId="19AF8569" w:rsidR="00815CAF" w:rsidRDefault="00815CAF">
      <w:pPr>
        <w:pStyle w:val="CommentText"/>
      </w:pPr>
      <w:r>
        <w:rPr>
          <w:rStyle w:val="CommentReference"/>
        </w:rPr>
        <w:annotationRef/>
      </w:r>
      <w:r>
        <w:t>I added this sentence not to repeat this in the Results</w:t>
      </w:r>
    </w:p>
  </w:comment>
  <w:comment w:id="3" w:author="Microsoft Office User" w:date="2019-09-24T15:18:00Z" w:initials="MOU">
    <w:p w14:paraId="478C9D97" w14:textId="6C5D81A5" w:rsidR="005D1C23" w:rsidRDefault="005D1C23">
      <w:pPr>
        <w:pStyle w:val="CommentText"/>
      </w:pPr>
      <w:r>
        <w:rPr>
          <w:rStyle w:val="CommentReference"/>
        </w:rPr>
        <w:annotationRef/>
      </w:r>
      <w:r>
        <w:t>This should be expressed as mean ±SD as above</w:t>
      </w:r>
    </w:p>
  </w:comment>
  <w:comment w:id="4" w:author="Microsoft Office User" w:date="2019-09-24T15:19:00Z" w:initials="MOU">
    <w:p w14:paraId="6B52977C" w14:textId="471A757B" w:rsidR="005D1C23" w:rsidRDefault="005D1C23">
      <w:pPr>
        <w:pStyle w:val="CommentText"/>
      </w:pPr>
      <w:r>
        <w:rPr>
          <w:rStyle w:val="CommentReference"/>
        </w:rPr>
        <w:annotationRef/>
      </w:r>
      <w:r>
        <w:t>Same comment as above</w:t>
      </w:r>
    </w:p>
  </w:comment>
  <w:comment w:id="5" w:author="Microsoft Office User" w:date="2019-09-24T15:34:00Z" w:initials="MOU">
    <w:p w14:paraId="6B2B1FF2" w14:textId="43C88ACD" w:rsidR="00627C2D" w:rsidRDefault="00627C2D">
      <w:pPr>
        <w:pStyle w:val="CommentText"/>
      </w:pPr>
      <w:r>
        <w:rPr>
          <w:rStyle w:val="CommentReference"/>
        </w:rPr>
        <w:annotationRef/>
      </w:r>
      <w:r>
        <w:t>SD as above?</w:t>
      </w:r>
    </w:p>
  </w:comment>
  <w:comment w:id="6" w:author="Microsoft Office User" w:date="2019-09-24T15:36:00Z" w:initials="MOU">
    <w:p w14:paraId="65AA3E74" w14:textId="4CB3F5FB" w:rsidR="00627C2D" w:rsidRDefault="00627C2D">
      <w:pPr>
        <w:pStyle w:val="CommentText"/>
      </w:pPr>
      <w:r>
        <w:rPr>
          <w:rStyle w:val="CommentReference"/>
        </w:rPr>
        <w:annotationRef/>
      </w:r>
      <w:r>
        <w:t>As above</w:t>
      </w:r>
    </w:p>
  </w:comment>
  <w:comment w:id="7" w:author="Microsoft Office User" w:date="2019-09-24T15:45:00Z" w:initials="MOU">
    <w:p w14:paraId="16F193B5" w14:textId="26D87A85" w:rsidR="005E6915" w:rsidRDefault="005E6915">
      <w:pPr>
        <w:pStyle w:val="CommentText"/>
      </w:pPr>
      <w:r>
        <w:rPr>
          <w:rStyle w:val="CommentReference"/>
        </w:rPr>
        <w:annotationRef/>
      </w:r>
      <w:r>
        <w:t>I re-arranged th</w:t>
      </w:r>
      <w:r w:rsidR="00437F20">
        <w:t>ese</w:t>
      </w:r>
      <w:r>
        <w:t xml:space="preserve"> last two sentences</w:t>
      </w:r>
    </w:p>
  </w:comment>
  <w:comment w:id="8" w:author="Microsoft Office User" w:date="2019-09-24T15:55:00Z" w:initials="MOU">
    <w:p w14:paraId="52A6677D" w14:textId="4F389149" w:rsidR="00437F20" w:rsidRDefault="00437F20">
      <w:pPr>
        <w:pStyle w:val="CommentText"/>
      </w:pPr>
      <w:r>
        <w:rPr>
          <w:rStyle w:val="CommentReference"/>
        </w:rPr>
        <w:annotationRef/>
      </w:r>
      <w:r>
        <w:t>Is this apparent from Table 3</w:t>
      </w:r>
      <w:r w:rsidR="0040589D">
        <w:t>, is it only with a 4AT≥4</w:t>
      </w:r>
    </w:p>
  </w:comment>
  <w:comment w:id="9" w:author="Microsoft Office User" w:date="2019-09-24T16:11:00Z" w:initials="MOU">
    <w:p w14:paraId="0CE429B1" w14:textId="0F251D43" w:rsidR="00B645EA" w:rsidRDefault="00B645EA">
      <w:pPr>
        <w:pStyle w:val="CommentText"/>
      </w:pPr>
      <w:r>
        <w:rPr>
          <w:rStyle w:val="CommentReference"/>
        </w:rPr>
        <w:annotationRef/>
      </w:r>
      <w:r>
        <w:t>Model 2 data not included in the text)</w:t>
      </w:r>
    </w:p>
  </w:comment>
  <w:comment w:id="10" w:author="Microsoft Office User" w:date="2019-09-24T16:06:00Z" w:initials="MOU">
    <w:p w14:paraId="092B673B" w14:textId="4E42454C" w:rsidR="0040589D" w:rsidRDefault="0040589D">
      <w:pPr>
        <w:pStyle w:val="CommentText"/>
      </w:pPr>
      <w:r>
        <w:rPr>
          <w:rStyle w:val="CommentReference"/>
        </w:rPr>
        <w:annotationRef/>
      </w:r>
      <w:r>
        <w:t>This has nor been defined before, necessary?</w:t>
      </w:r>
    </w:p>
  </w:comment>
  <w:comment w:id="11" w:author="Microsoft Office User" w:date="2019-09-24T16:13:00Z" w:initials="MOU">
    <w:p w14:paraId="275697DE" w14:textId="4D88AC3F" w:rsidR="00B645EA" w:rsidRDefault="00B645EA">
      <w:pPr>
        <w:pStyle w:val="CommentText"/>
      </w:pPr>
      <w:r>
        <w:rPr>
          <w:rStyle w:val="CommentReference"/>
        </w:rPr>
        <w:annotationRef/>
      </w:r>
      <w:r>
        <w:t>Table 3 data show for 4AT=1-3 LOS not significantly increased</w:t>
      </w:r>
    </w:p>
  </w:comment>
  <w:comment w:id="12" w:author="Microsoft Office User" w:date="2019-09-24T16:14:00Z" w:initials="MOU">
    <w:p w14:paraId="0F44DB7C" w14:textId="47D1F71E" w:rsidR="00B645EA" w:rsidRDefault="00B645EA">
      <w:pPr>
        <w:pStyle w:val="CommentText"/>
      </w:pPr>
      <w:r>
        <w:rPr>
          <w:rStyle w:val="CommentReference"/>
        </w:rPr>
        <w:annotationRef/>
      </w:r>
      <w:r>
        <w:t>As above</w:t>
      </w:r>
    </w:p>
  </w:comment>
  <w:comment w:id="13" w:author="Microsoft Office User" w:date="2019-09-24T16:14:00Z" w:initials="MOU">
    <w:p w14:paraId="73A775C9" w14:textId="6AC71255" w:rsidR="00B645EA" w:rsidRDefault="00B645EA">
      <w:pPr>
        <w:pStyle w:val="CommentText"/>
      </w:pPr>
      <w:r>
        <w:rPr>
          <w:rStyle w:val="CommentReference"/>
        </w:rPr>
        <w:annotationRef/>
      </w:r>
      <w:r>
        <w:t>As above</w:t>
      </w:r>
    </w:p>
  </w:comment>
  <w:comment w:id="14" w:author="Microsoft Office User" w:date="2019-09-24T16:17:00Z" w:initials="MOU">
    <w:p w14:paraId="1E1AD154" w14:textId="2BD29593" w:rsidR="00B645EA" w:rsidRDefault="00B645EA">
      <w:pPr>
        <w:pStyle w:val="CommentText"/>
      </w:pPr>
      <w:r>
        <w:rPr>
          <w:rStyle w:val="CommentReference"/>
        </w:rPr>
        <w:annotationRef/>
      </w:r>
      <w:r>
        <w:t>As above</w:t>
      </w:r>
    </w:p>
  </w:comment>
  <w:comment w:id="15" w:author="Microsoft Office User" w:date="2019-09-24T16:17:00Z" w:initials="MOU">
    <w:p w14:paraId="62DD18ED" w14:textId="79F73C5F" w:rsidR="00B645EA" w:rsidRDefault="00B645EA">
      <w:pPr>
        <w:pStyle w:val="CommentText"/>
      </w:pPr>
      <w:r>
        <w:rPr>
          <w:rStyle w:val="CommentReference"/>
        </w:rPr>
        <w:annotationRef/>
      </w:r>
      <w:r>
        <w:t>As above</w:t>
      </w:r>
    </w:p>
  </w:comment>
  <w:comment w:id="16" w:author="Microsoft Office User" w:date="2019-09-24T16:15:00Z" w:initials="MOU">
    <w:p w14:paraId="1CE1B0C0" w14:textId="173CA9C2" w:rsidR="00B645EA" w:rsidRDefault="00B645EA">
      <w:pPr>
        <w:pStyle w:val="CommentText"/>
      </w:pPr>
      <w:r>
        <w:rPr>
          <w:rStyle w:val="CommentReference"/>
        </w:rPr>
        <w:annotationRef/>
      </w:r>
      <w:r>
        <w:t>In my view the order of models in T</w:t>
      </w:r>
      <w:r w:rsidR="001F1947">
        <w:t>a</w:t>
      </w:r>
      <w:r>
        <w:t>b</w:t>
      </w:r>
      <w:r w:rsidR="001F1947">
        <w:t>le</w:t>
      </w:r>
      <w:r>
        <w:t xml:space="preserve"> 3 could be re-arranged with the third model exchanged for the fourth model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FDE4E" w15:done="0"/>
  <w15:commentEx w15:paraId="1235914B" w15:done="0"/>
  <w15:commentEx w15:paraId="243744B7" w15:done="0"/>
  <w15:commentEx w15:paraId="478C9D97" w15:done="0"/>
  <w15:commentEx w15:paraId="6B52977C" w15:done="0"/>
  <w15:commentEx w15:paraId="6B2B1FF2" w15:done="0"/>
  <w15:commentEx w15:paraId="65AA3E74" w15:done="0"/>
  <w15:commentEx w15:paraId="16F193B5" w15:done="0"/>
  <w15:commentEx w15:paraId="52A6677D" w15:done="0"/>
  <w15:commentEx w15:paraId="0CE429B1" w15:done="0"/>
  <w15:commentEx w15:paraId="092B673B" w15:done="0"/>
  <w15:commentEx w15:paraId="275697DE" w15:done="0"/>
  <w15:commentEx w15:paraId="0F44DB7C" w15:done="0"/>
  <w15:commentEx w15:paraId="73A775C9" w15:done="0"/>
  <w15:commentEx w15:paraId="1E1AD154" w15:done="0"/>
  <w15:commentEx w15:paraId="62DD18ED" w15:done="0"/>
  <w15:commentEx w15:paraId="1CE1B0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FDE4E" w16cid:durableId="2134624B"/>
  <w16cid:commentId w16cid:paraId="1235914B" w16cid:durableId="21345EC3"/>
  <w16cid:commentId w16cid:paraId="243744B7" w16cid:durableId="2134AF8B"/>
  <w16cid:commentId w16cid:paraId="478C9D97" w16cid:durableId="2134B24B"/>
  <w16cid:commentId w16cid:paraId="6B52977C" w16cid:durableId="2134B276"/>
  <w16cid:commentId w16cid:paraId="6B2B1FF2" w16cid:durableId="2134B5FE"/>
  <w16cid:commentId w16cid:paraId="65AA3E74" w16cid:durableId="2134B691"/>
  <w16cid:commentId w16cid:paraId="16F193B5" w16cid:durableId="2134B88C"/>
  <w16cid:commentId w16cid:paraId="52A6677D" w16cid:durableId="2134BADD"/>
  <w16cid:commentId w16cid:paraId="0CE429B1" w16cid:durableId="2134BE96"/>
  <w16cid:commentId w16cid:paraId="092B673B" w16cid:durableId="2134BD90"/>
  <w16cid:commentId w16cid:paraId="275697DE" w16cid:durableId="2134BF39"/>
  <w16cid:commentId w16cid:paraId="0F44DB7C" w16cid:durableId="2134BF67"/>
  <w16cid:commentId w16cid:paraId="73A775C9" w16cid:durableId="2134BF74"/>
  <w16cid:commentId w16cid:paraId="1E1AD154" w16cid:durableId="2134BFFC"/>
  <w16cid:commentId w16cid:paraId="62DD18ED" w16cid:durableId="2134C027"/>
  <w16cid:commentId w16cid:paraId="1CE1B0C0" w16cid:durableId="2134BF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8F91C" w14:textId="77777777" w:rsidR="005C24A0" w:rsidRDefault="005C24A0" w:rsidP="00EF411C">
      <w:pPr>
        <w:spacing w:after="0" w:line="240" w:lineRule="auto"/>
      </w:pPr>
      <w:r>
        <w:separator/>
      </w:r>
    </w:p>
  </w:endnote>
  <w:endnote w:type="continuationSeparator" w:id="0">
    <w:p w14:paraId="7AEBB728" w14:textId="77777777" w:rsidR="005C24A0" w:rsidRDefault="005C24A0" w:rsidP="00EF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F2B9B" w14:textId="77777777" w:rsidR="005C24A0" w:rsidRDefault="005C24A0" w:rsidP="00EF411C">
      <w:pPr>
        <w:spacing w:after="0" w:line="240" w:lineRule="auto"/>
      </w:pPr>
      <w:r>
        <w:separator/>
      </w:r>
    </w:p>
  </w:footnote>
  <w:footnote w:type="continuationSeparator" w:id="0">
    <w:p w14:paraId="252DEBE7" w14:textId="77777777" w:rsidR="005C24A0" w:rsidRDefault="005C24A0" w:rsidP="00EF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5586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F937F5" w14:textId="77777777" w:rsidR="00815CAF" w:rsidRDefault="00815C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B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E4944F" w14:textId="77777777" w:rsidR="00815CAF" w:rsidRDefault="00815C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BF2BA" w14:textId="77777777" w:rsidR="00815CAF" w:rsidRDefault="00815CAF">
    <w:pPr>
      <w:pStyle w:val="Header"/>
      <w:jc w:val="right"/>
    </w:pPr>
  </w:p>
  <w:p w14:paraId="253B8F41" w14:textId="77777777" w:rsidR="00815CAF" w:rsidRDefault="00815C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56840"/>
    <w:multiLevelType w:val="hybridMultilevel"/>
    <w:tmpl w:val="A7620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354C"/>
    <w:multiLevelType w:val="hybridMultilevel"/>
    <w:tmpl w:val="C03EA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813C3"/>
    <w:multiLevelType w:val="hybridMultilevel"/>
    <w:tmpl w:val="958C86F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8A05DD6"/>
    <w:multiLevelType w:val="hybridMultilevel"/>
    <w:tmpl w:val="2444A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68"/>
    <w:rsid w:val="00000066"/>
    <w:rsid w:val="0000030B"/>
    <w:rsid w:val="00000E52"/>
    <w:rsid w:val="00001737"/>
    <w:rsid w:val="000021C6"/>
    <w:rsid w:val="00002AFC"/>
    <w:rsid w:val="00002E91"/>
    <w:rsid w:val="000036D7"/>
    <w:rsid w:val="0000508B"/>
    <w:rsid w:val="00005A7C"/>
    <w:rsid w:val="000061ED"/>
    <w:rsid w:val="00006A24"/>
    <w:rsid w:val="00007F82"/>
    <w:rsid w:val="00013591"/>
    <w:rsid w:val="000138EB"/>
    <w:rsid w:val="00013FEB"/>
    <w:rsid w:val="000144FF"/>
    <w:rsid w:val="00014789"/>
    <w:rsid w:val="0001575B"/>
    <w:rsid w:val="000165EA"/>
    <w:rsid w:val="0002235C"/>
    <w:rsid w:val="00023281"/>
    <w:rsid w:val="00023D6A"/>
    <w:rsid w:val="00026450"/>
    <w:rsid w:val="00027121"/>
    <w:rsid w:val="00027533"/>
    <w:rsid w:val="00027665"/>
    <w:rsid w:val="00027B41"/>
    <w:rsid w:val="00032E25"/>
    <w:rsid w:val="00033DFE"/>
    <w:rsid w:val="00034E55"/>
    <w:rsid w:val="00035360"/>
    <w:rsid w:val="00037985"/>
    <w:rsid w:val="00040160"/>
    <w:rsid w:val="00040241"/>
    <w:rsid w:val="0004237B"/>
    <w:rsid w:val="0004330B"/>
    <w:rsid w:val="000448A7"/>
    <w:rsid w:val="000451C8"/>
    <w:rsid w:val="0005064B"/>
    <w:rsid w:val="0005089C"/>
    <w:rsid w:val="00051245"/>
    <w:rsid w:val="00051688"/>
    <w:rsid w:val="0005278E"/>
    <w:rsid w:val="00053038"/>
    <w:rsid w:val="00053A9C"/>
    <w:rsid w:val="00056862"/>
    <w:rsid w:val="000574EC"/>
    <w:rsid w:val="00062A31"/>
    <w:rsid w:val="00062C8A"/>
    <w:rsid w:val="00063B0D"/>
    <w:rsid w:val="00063EE3"/>
    <w:rsid w:val="00064372"/>
    <w:rsid w:val="000650F0"/>
    <w:rsid w:val="00066287"/>
    <w:rsid w:val="00066630"/>
    <w:rsid w:val="00066633"/>
    <w:rsid w:val="00066D3E"/>
    <w:rsid w:val="0007044C"/>
    <w:rsid w:val="00071799"/>
    <w:rsid w:val="00072D1F"/>
    <w:rsid w:val="00072D8E"/>
    <w:rsid w:val="00075AA5"/>
    <w:rsid w:val="00076A16"/>
    <w:rsid w:val="000771BF"/>
    <w:rsid w:val="000778C8"/>
    <w:rsid w:val="00077C70"/>
    <w:rsid w:val="000810AF"/>
    <w:rsid w:val="0008139A"/>
    <w:rsid w:val="0008215B"/>
    <w:rsid w:val="00083B14"/>
    <w:rsid w:val="00083FDE"/>
    <w:rsid w:val="00085CDB"/>
    <w:rsid w:val="00085D76"/>
    <w:rsid w:val="00091587"/>
    <w:rsid w:val="00093DA8"/>
    <w:rsid w:val="000A0441"/>
    <w:rsid w:val="000A11D4"/>
    <w:rsid w:val="000A16D6"/>
    <w:rsid w:val="000A1D39"/>
    <w:rsid w:val="000A2A82"/>
    <w:rsid w:val="000A2E53"/>
    <w:rsid w:val="000A3F65"/>
    <w:rsid w:val="000A729D"/>
    <w:rsid w:val="000B0066"/>
    <w:rsid w:val="000B1BC2"/>
    <w:rsid w:val="000B1E34"/>
    <w:rsid w:val="000B1ED2"/>
    <w:rsid w:val="000B5B43"/>
    <w:rsid w:val="000B7A02"/>
    <w:rsid w:val="000C399D"/>
    <w:rsid w:val="000C6522"/>
    <w:rsid w:val="000C7E86"/>
    <w:rsid w:val="000D3295"/>
    <w:rsid w:val="000E3E5E"/>
    <w:rsid w:val="000E4037"/>
    <w:rsid w:val="000E5AD6"/>
    <w:rsid w:val="000E5F4C"/>
    <w:rsid w:val="000E7E80"/>
    <w:rsid w:val="000F0928"/>
    <w:rsid w:val="000F11A5"/>
    <w:rsid w:val="000F27F9"/>
    <w:rsid w:val="000F3862"/>
    <w:rsid w:val="000F3AA0"/>
    <w:rsid w:val="000F48A6"/>
    <w:rsid w:val="000F53A1"/>
    <w:rsid w:val="000F5AC7"/>
    <w:rsid w:val="000F6F43"/>
    <w:rsid w:val="001011A7"/>
    <w:rsid w:val="001020CB"/>
    <w:rsid w:val="001025EB"/>
    <w:rsid w:val="00103FF0"/>
    <w:rsid w:val="00104C7E"/>
    <w:rsid w:val="001051BE"/>
    <w:rsid w:val="001110CB"/>
    <w:rsid w:val="0011135B"/>
    <w:rsid w:val="001132D4"/>
    <w:rsid w:val="00113727"/>
    <w:rsid w:val="00115885"/>
    <w:rsid w:val="001167F0"/>
    <w:rsid w:val="001170EF"/>
    <w:rsid w:val="00117E40"/>
    <w:rsid w:val="00120066"/>
    <w:rsid w:val="00125899"/>
    <w:rsid w:val="00126E5D"/>
    <w:rsid w:val="00127F00"/>
    <w:rsid w:val="0013078F"/>
    <w:rsid w:val="00132F47"/>
    <w:rsid w:val="0013409D"/>
    <w:rsid w:val="00135655"/>
    <w:rsid w:val="001357B6"/>
    <w:rsid w:val="00135CBB"/>
    <w:rsid w:val="00136045"/>
    <w:rsid w:val="00140371"/>
    <w:rsid w:val="001405D0"/>
    <w:rsid w:val="001417A7"/>
    <w:rsid w:val="00142C24"/>
    <w:rsid w:val="00143D70"/>
    <w:rsid w:val="00146B84"/>
    <w:rsid w:val="001477FE"/>
    <w:rsid w:val="00152526"/>
    <w:rsid w:val="001528ED"/>
    <w:rsid w:val="001529B8"/>
    <w:rsid w:val="00153E06"/>
    <w:rsid w:val="00154A1D"/>
    <w:rsid w:val="00154CF2"/>
    <w:rsid w:val="001557BE"/>
    <w:rsid w:val="00155895"/>
    <w:rsid w:val="00156EE7"/>
    <w:rsid w:val="0015767C"/>
    <w:rsid w:val="00163B8B"/>
    <w:rsid w:val="0016489A"/>
    <w:rsid w:val="00164C48"/>
    <w:rsid w:val="00165733"/>
    <w:rsid w:val="00166328"/>
    <w:rsid w:val="00167035"/>
    <w:rsid w:val="0016777E"/>
    <w:rsid w:val="001707A8"/>
    <w:rsid w:val="00172091"/>
    <w:rsid w:val="00173DEC"/>
    <w:rsid w:val="0017471B"/>
    <w:rsid w:val="00175B16"/>
    <w:rsid w:val="00180954"/>
    <w:rsid w:val="0018128B"/>
    <w:rsid w:val="001814CE"/>
    <w:rsid w:val="001831B2"/>
    <w:rsid w:val="0018342C"/>
    <w:rsid w:val="00183AA8"/>
    <w:rsid w:val="00184AF1"/>
    <w:rsid w:val="00184CEE"/>
    <w:rsid w:val="00184FF3"/>
    <w:rsid w:val="00185554"/>
    <w:rsid w:val="00185D56"/>
    <w:rsid w:val="00190C58"/>
    <w:rsid w:val="00193FB0"/>
    <w:rsid w:val="00194F94"/>
    <w:rsid w:val="001957AC"/>
    <w:rsid w:val="00195BDF"/>
    <w:rsid w:val="00196433"/>
    <w:rsid w:val="00196BAD"/>
    <w:rsid w:val="00196E5C"/>
    <w:rsid w:val="001A04D5"/>
    <w:rsid w:val="001A0542"/>
    <w:rsid w:val="001A0692"/>
    <w:rsid w:val="001A0E69"/>
    <w:rsid w:val="001A1830"/>
    <w:rsid w:val="001A24D4"/>
    <w:rsid w:val="001A281D"/>
    <w:rsid w:val="001A3D21"/>
    <w:rsid w:val="001A45DD"/>
    <w:rsid w:val="001A53FD"/>
    <w:rsid w:val="001B0868"/>
    <w:rsid w:val="001B117E"/>
    <w:rsid w:val="001B19F8"/>
    <w:rsid w:val="001B2BA2"/>
    <w:rsid w:val="001B2D6B"/>
    <w:rsid w:val="001C2737"/>
    <w:rsid w:val="001C431F"/>
    <w:rsid w:val="001C435D"/>
    <w:rsid w:val="001D2731"/>
    <w:rsid w:val="001D5410"/>
    <w:rsid w:val="001D5475"/>
    <w:rsid w:val="001D6AF0"/>
    <w:rsid w:val="001E046C"/>
    <w:rsid w:val="001E04CB"/>
    <w:rsid w:val="001E2332"/>
    <w:rsid w:val="001E5C34"/>
    <w:rsid w:val="001E677A"/>
    <w:rsid w:val="001F07A3"/>
    <w:rsid w:val="001F1947"/>
    <w:rsid w:val="001F1E25"/>
    <w:rsid w:val="001F3661"/>
    <w:rsid w:val="001F45E2"/>
    <w:rsid w:val="001F4C40"/>
    <w:rsid w:val="001F4DAA"/>
    <w:rsid w:val="001F6C14"/>
    <w:rsid w:val="00200294"/>
    <w:rsid w:val="0020208F"/>
    <w:rsid w:val="002021B7"/>
    <w:rsid w:val="002021F5"/>
    <w:rsid w:val="00202B7D"/>
    <w:rsid w:val="00203734"/>
    <w:rsid w:val="00204890"/>
    <w:rsid w:val="00206477"/>
    <w:rsid w:val="00207646"/>
    <w:rsid w:val="00207FCB"/>
    <w:rsid w:val="00213B6C"/>
    <w:rsid w:val="002147F1"/>
    <w:rsid w:val="00214B7D"/>
    <w:rsid w:val="00214DB2"/>
    <w:rsid w:val="00215417"/>
    <w:rsid w:val="002161AA"/>
    <w:rsid w:val="00217781"/>
    <w:rsid w:val="00222D3C"/>
    <w:rsid w:val="00223BF4"/>
    <w:rsid w:val="0022412C"/>
    <w:rsid w:val="00225880"/>
    <w:rsid w:val="00231E14"/>
    <w:rsid w:val="002333F3"/>
    <w:rsid w:val="00233ED6"/>
    <w:rsid w:val="0023512C"/>
    <w:rsid w:val="00237175"/>
    <w:rsid w:val="002401E7"/>
    <w:rsid w:val="00243257"/>
    <w:rsid w:val="0024358B"/>
    <w:rsid w:val="002436F9"/>
    <w:rsid w:val="002437FB"/>
    <w:rsid w:val="00243C83"/>
    <w:rsid w:val="00245C96"/>
    <w:rsid w:val="00246264"/>
    <w:rsid w:val="00246F30"/>
    <w:rsid w:val="00247B2A"/>
    <w:rsid w:val="00250795"/>
    <w:rsid w:val="00250DB2"/>
    <w:rsid w:val="002512C4"/>
    <w:rsid w:val="0025206C"/>
    <w:rsid w:val="002523AA"/>
    <w:rsid w:val="002531EB"/>
    <w:rsid w:val="00254141"/>
    <w:rsid w:val="00255631"/>
    <w:rsid w:val="0025640C"/>
    <w:rsid w:val="00256E3E"/>
    <w:rsid w:val="00257147"/>
    <w:rsid w:val="00260BF4"/>
    <w:rsid w:val="002644D2"/>
    <w:rsid w:val="0026683E"/>
    <w:rsid w:val="002700DF"/>
    <w:rsid w:val="00270C9C"/>
    <w:rsid w:val="0027210B"/>
    <w:rsid w:val="00273B45"/>
    <w:rsid w:val="00277A6D"/>
    <w:rsid w:val="00280A71"/>
    <w:rsid w:val="00281519"/>
    <w:rsid w:val="00283AF6"/>
    <w:rsid w:val="00283F92"/>
    <w:rsid w:val="002841F3"/>
    <w:rsid w:val="00284A22"/>
    <w:rsid w:val="0028547E"/>
    <w:rsid w:val="002859F7"/>
    <w:rsid w:val="0028731C"/>
    <w:rsid w:val="002879C5"/>
    <w:rsid w:val="00287F65"/>
    <w:rsid w:val="00291265"/>
    <w:rsid w:val="00292F26"/>
    <w:rsid w:val="0029448D"/>
    <w:rsid w:val="002A024A"/>
    <w:rsid w:val="002A04DA"/>
    <w:rsid w:val="002A1CF4"/>
    <w:rsid w:val="002A2EB7"/>
    <w:rsid w:val="002A5620"/>
    <w:rsid w:val="002A6357"/>
    <w:rsid w:val="002A68F5"/>
    <w:rsid w:val="002B095C"/>
    <w:rsid w:val="002B111A"/>
    <w:rsid w:val="002B1C3A"/>
    <w:rsid w:val="002B1C80"/>
    <w:rsid w:val="002B36BF"/>
    <w:rsid w:val="002B60D5"/>
    <w:rsid w:val="002C091E"/>
    <w:rsid w:val="002C1731"/>
    <w:rsid w:val="002C2512"/>
    <w:rsid w:val="002C5CAF"/>
    <w:rsid w:val="002C6935"/>
    <w:rsid w:val="002C69A5"/>
    <w:rsid w:val="002C6F91"/>
    <w:rsid w:val="002C75B9"/>
    <w:rsid w:val="002D0A11"/>
    <w:rsid w:val="002D0D98"/>
    <w:rsid w:val="002D56DF"/>
    <w:rsid w:val="002D6D94"/>
    <w:rsid w:val="002D78F1"/>
    <w:rsid w:val="002E0FF9"/>
    <w:rsid w:val="002E11F9"/>
    <w:rsid w:val="002E248A"/>
    <w:rsid w:val="002E30FD"/>
    <w:rsid w:val="002E3EE0"/>
    <w:rsid w:val="002E4037"/>
    <w:rsid w:val="002E538D"/>
    <w:rsid w:val="002E708C"/>
    <w:rsid w:val="002F25BB"/>
    <w:rsid w:val="002F3161"/>
    <w:rsid w:val="002F52FA"/>
    <w:rsid w:val="002F6C89"/>
    <w:rsid w:val="00302128"/>
    <w:rsid w:val="003030EF"/>
    <w:rsid w:val="003035C3"/>
    <w:rsid w:val="0030471F"/>
    <w:rsid w:val="003052CE"/>
    <w:rsid w:val="0030560F"/>
    <w:rsid w:val="00314732"/>
    <w:rsid w:val="0031670B"/>
    <w:rsid w:val="003213C2"/>
    <w:rsid w:val="00321ABC"/>
    <w:rsid w:val="00322008"/>
    <w:rsid w:val="00322357"/>
    <w:rsid w:val="003224AF"/>
    <w:rsid w:val="00323B2B"/>
    <w:rsid w:val="00323C76"/>
    <w:rsid w:val="00324F48"/>
    <w:rsid w:val="00327494"/>
    <w:rsid w:val="00331666"/>
    <w:rsid w:val="00331A12"/>
    <w:rsid w:val="00332F3E"/>
    <w:rsid w:val="003343A8"/>
    <w:rsid w:val="00335408"/>
    <w:rsid w:val="00335EF1"/>
    <w:rsid w:val="00336404"/>
    <w:rsid w:val="00337C6C"/>
    <w:rsid w:val="00343EA8"/>
    <w:rsid w:val="003448A5"/>
    <w:rsid w:val="0034655B"/>
    <w:rsid w:val="0035181C"/>
    <w:rsid w:val="00352301"/>
    <w:rsid w:val="00352367"/>
    <w:rsid w:val="003535E3"/>
    <w:rsid w:val="00353668"/>
    <w:rsid w:val="0035630A"/>
    <w:rsid w:val="0035770C"/>
    <w:rsid w:val="003579BB"/>
    <w:rsid w:val="00360548"/>
    <w:rsid w:val="003619A9"/>
    <w:rsid w:val="00361E04"/>
    <w:rsid w:val="0036204C"/>
    <w:rsid w:val="00365AD8"/>
    <w:rsid w:val="003737CE"/>
    <w:rsid w:val="00374D67"/>
    <w:rsid w:val="00376F17"/>
    <w:rsid w:val="003804A6"/>
    <w:rsid w:val="00380D09"/>
    <w:rsid w:val="00380E87"/>
    <w:rsid w:val="003813E3"/>
    <w:rsid w:val="00382C74"/>
    <w:rsid w:val="00383D1E"/>
    <w:rsid w:val="00384008"/>
    <w:rsid w:val="003913FB"/>
    <w:rsid w:val="00391583"/>
    <w:rsid w:val="00391C33"/>
    <w:rsid w:val="00393356"/>
    <w:rsid w:val="00393A1A"/>
    <w:rsid w:val="00393B7C"/>
    <w:rsid w:val="00393CD1"/>
    <w:rsid w:val="003955A6"/>
    <w:rsid w:val="00395DFC"/>
    <w:rsid w:val="0039644D"/>
    <w:rsid w:val="00396D87"/>
    <w:rsid w:val="00397D92"/>
    <w:rsid w:val="003A2134"/>
    <w:rsid w:val="003A257B"/>
    <w:rsid w:val="003A3428"/>
    <w:rsid w:val="003A61EC"/>
    <w:rsid w:val="003A62EF"/>
    <w:rsid w:val="003B0E1B"/>
    <w:rsid w:val="003B146B"/>
    <w:rsid w:val="003B16C3"/>
    <w:rsid w:val="003B1FCB"/>
    <w:rsid w:val="003B241C"/>
    <w:rsid w:val="003B2443"/>
    <w:rsid w:val="003B4B15"/>
    <w:rsid w:val="003B598B"/>
    <w:rsid w:val="003C0C36"/>
    <w:rsid w:val="003C4885"/>
    <w:rsid w:val="003C5664"/>
    <w:rsid w:val="003C7665"/>
    <w:rsid w:val="003D03FA"/>
    <w:rsid w:val="003D0E8D"/>
    <w:rsid w:val="003D1811"/>
    <w:rsid w:val="003D45FA"/>
    <w:rsid w:val="003D5491"/>
    <w:rsid w:val="003E4758"/>
    <w:rsid w:val="003E47B2"/>
    <w:rsid w:val="003F082D"/>
    <w:rsid w:val="003F19C2"/>
    <w:rsid w:val="003F1DD6"/>
    <w:rsid w:val="003F267A"/>
    <w:rsid w:val="003F28DF"/>
    <w:rsid w:val="003F5FFD"/>
    <w:rsid w:val="003F724F"/>
    <w:rsid w:val="00400CF1"/>
    <w:rsid w:val="004015B5"/>
    <w:rsid w:val="0040195D"/>
    <w:rsid w:val="0040589D"/>
    <w:rsid w:val="00407AED"/>
    <w:rsid w:val="00407DA1"/>
    <w:rsid w:val="00410B99"/>
    <w:rsid w:val="00410E51"/>
    <w:rsid w:val="00411969"/>
    <w:rsid w:val="00416BD6"/>
    <w:rsid w:val="004172D4"/>
    <w:rsid w:val="0041772D"/>
    <w:rsid w:val="004205D0"/>
    <w:rsid w:val="00420655"/>
    <w:rsid w:val="00424122"/>
    <w:rsid w:val="004266A3"/>
    <w:rsid w:val="00426D2B"/>
    <w:rsid w:val="004306AD"/>
    <w:rsid w:val="00431B57"/>
    <w:rsid w:val="00432F35"/>
    <w:rsid w:val="00433FA4"/>
    <w:rsid w:val="004346F2"/>
    <w:rsid w:val="004347AF"/>
    <w:rsid w:val="004352C3"/>
    <w:rsid w:val="00435763"/>
    <w:rsid w:val="004376E4"/>
    <w:rsid w:val="00437F20"/>
    <w:rsid w:val="00442AF0"/>
    <w:rsid w:val="00442B9D"/>
    <w:rsid w:val="00443AED"/>
    <w:rsid w:val="00444E2D"/>
    <w:rsid w:val="004462B1"/>
    <w:rsid w:val="004478AE"/>
    <w:rsid w:val="00447EE5"/>
    <w:rsid w:val="0045007C"/>
    <w:rsid w:val="00451E4D"/>
    <w:rsid w:val="00452272"/>
    <w:rsid w:val="00453E00"/>
    <w:rsid w:val="00454080"/>
    <w:rsid w:val="0045479F"/>
    <w:rsid w:val="00454902"/>
    <w:rsid w:val="00455738"/>
    <w:rsid w:val="004573D2"/>
    <w:rsid w:val="004575FB"/>
    <w:rsid w:val="004613F5"/>
    <w:rsid w:val="00461452"/>
    <w:rsid w:val="004620E0"/>
    <w:rsid w:val="00463A20"/>
    <w:rsid w:val="0046502B"/>
    <w:rsid w:val="004669DB"/>
    <w:rsid w:val="00466DEE"/>
    <w:rsid w:val="00467FC1"/>
    <w:rsid w:val="00472519"/>
    <w:rsid w:val="00472F21"/>
    <w:rsid w:val="004769B7"/>
    <w:rsid w:val="00482D29"/>
    <w:rsid w:val="00484DBA"/>
    <w:rsid w:val="004905F4"/>
    <w:rsid w:val="00491A1D"/>
    <w:rsid w:val="00492D87"/>
    <w:rsid w:val="004934CB"/>
    <w:rsid w:val="00495730"/>
    <w:rsid w:val="004A1979"/>
    <w:rsid w:val="004A27C7"/>
    <w:rsid w:val="004A2BED"/>
    <w:rsid w:val="004A3D23"/>
    <w:rsid w:val="004A4AB9"/>
    <w:rsid w:val="004A50AE"/>
    <w:rsid w:val="004A53A0"/>
    <w:rsid w:val="004A6E14"/>
    <w:rsid w:val="004B0F74"/>
    <w:rsid w:val="004B1033"/>
    <w:rsid w:val="004B2189"/>
    <w:rsid w:val="004B6237"/>
    <w:rsid w:val="004B62EF"/>
    <w:rsid w:val="004B6542"/>
    <w:rsid w:val="004B6653"/>
    <w:rsid w:val="004B71A0"/>
    <w:rsid w:val="004B798C"/>
    <w:rsid w:val="004B7FB3"/>
    <w:rsid w:val="004C1C2D"/>
    <w:rsid w:val="004C3142"/>
    <w:rsid w:val="004C31A6"/>
    <w:rsid w:val="004C3329"/>
    <w:rsid w:val="004C6030"/>
    <w:rsid w:val="004D4CE1"/>
    <w:rsid w:val="004D5AB1"/>
    <w:rsid w:val="004D74CA"/>
    <w:rsid w:val="004E155E"/>
    <w:rsid w:val="004E1B0C"/>
    <w:rsid w:val="004E22F7"/>
    <w:rsid w:val="004E49A7"/>
    <w:rsid w:val="004E555A"/>
    <w:rsid w:val="004E5D47"/>
    <w:rsid w:val="004E5FE7"/>
    <w:rsid w:val="004E628A"/>
    <w:rsid w:val="004F003D"/>
    <w:rsid w:val="004F0E17"/>
    <w:rsid w:val="004F183E"/>
    <w:rsid w:val="004F329A"/>
    <w:rsid w:val="004F389A"/>
    <w:rsid w:val="004F5AC5"/>
    <w:rsid w:val="004F7624"/>
    <w:rsid w:val="004F7E7F"/>
    <w:rsid w:val="00500794"/>
    <w:rsid w:val="00502C81"/>
    <w:rsid w:val="0050386B"/>
    <w:rsid w:val="0050461D"/>
    <w:rsid w:val="00506852"/>
    <w:rsid w:val="0050743E"/>
    <w:rsid w:val="0051142C"/>
    <w:rsid w:val="00511904"/>
    <w:rsid w:val="00513600"/>
    <w:rsid w:val="005146C1"/>
    <w:rsid w:val="00515373"/>
    <w:rsid w:val="0051537E"/>
    <w:rsid w:val="005155FC"/>
    <w:rsid w:val="00522C00"/>
    <w:rsid w:val="005238F6"/>
    <w:rsid w:val="00526AC4"/>
    <w:rsid w:val="00527AF5"/>
    <w:rsid w:val="00531290"/>
    <w:rsid w:val="00534E32"/>
    <w:rsid w:val="005356C5"/>
    <w:rsid w:val="00535A8A"/>
    <w:rsid w:val="00536199"/>
    <w:rsid w:val="005411C8"/>
    <w:rsid w:val="005420F4"/>
    <w:rsid w:val="00544A6B"/>
    <w:rsid w:val="00544D09"/>
    <w:rsid w:val="0054520E"/>
    <w:rsid w:val="00545F80"/>
    <w:rsid w:val="0054773C"/>
    <w:rsid w:val="00553C5D"/>
    <w:rsid w:val="00556561"/>
    <w:rsid w:val="00556AA3"/>
    <w:rsid w:val="0056096D"/>
    <w:rsid w:val="00562A1F"/>
    <w:rsid w:val="005638D5"/>
    <w:rsid w:val="005644A8"/>
    <w:rsid w:val="005652A3"/>
    <w:rsid w:val="005702DB"/>
    <w:rsid w:val="005731DE"/>
    <w:rsid w:val="005750F0"/>
    <w:rsid w:val="00576B65"/>
    <w:rsid w:val="00577371"/>
    <w:rsid w:val="00580C52"/>
    <w:rsid w:val="00582FA6"/>
    <w:rsid w:val="00587401"/>
    <w:rsid w:val="0059092E"/>
    <w:rsid w:val="00592B2C"/>
    <w:rsid w:val="00593BCE"/>
    <w:rsid w:val="0059446A"/>
    <w:rsid w:val="0059459E"/>
    <w:rsid w:val="005974AF"/>
    <w:rsid w:val="005A087C"/>
    <w:rsid w:val="005A0977"/>
    <w:rsid w:val="005A0B7D"/>
    <w:rsid w:val="005A110B"/>
    <w:rsid w:val="005A29C8"/>
    <w:rsid w:val="005A32D4"/>
    <w:rsid w:val="005A59D2"/>
    <w:rsid w:val="005A6421"/>
    <w:rsid w:val="005A7036"/>
    <w:rsid w:val="005B0FDA"/>
    <w:rsid w:val="005B307D"/>
    <w:rsid w:val="005B3D83"/>
    <w:rsid w:val="005B58AF"/>
    <w:rsid w:val="005B7054"/>
    <w:rsid w:val="005B7C25"/>
    <w:rsid w:val="005C1B42"/>
    <w:rsid w:val="005C24A0"/>
    <w:rsid w:val="005C27B4"/>
    <w:rsid w:val="005C3CF8"/>
    <w:rsid w:val="005C6DC2"/>
    <w:rsid w:val="005D056B"/>
    <w:rsid w:val="005D0962"/>
    <w:rsid w:val="005D13A0"/>
    <w:rsid w:val="005D1C23"/>
    <w:rsid w:val="005D482D"/>
    <w:rsid w:val="005D4C0E"/>
    <w:rsid w:val="005D63F3"/>
    <w:rsid w:val="005E098E"/>
    <w:rsid w:val="005E18DB"/>
    <w:rsid w:val="005E46D6"/>
    <w:rsid w:val="005E6063"/>
    <w:rsid w:val="005E6915"/>
    <w:rsid w:val="005E71C9"/>
    <w:rsid w:val="005E7290"/>
    <w:rsid w:val="005E72F7"/>
    <w:rsid w:val="005F04EB"/>
    <w:rsid w:val="005F2FE7"/>
    <w:rsid w:val="005F46B5"/>
    <w:rsid w:val="005F4B1B"/>
    <w:rsid w:val="005F61FD"/>
    <w:rsid w:val="005F6FC2"/>
    <w:rsid w:val="005F77B5"/>
    <w:rsid w:val="00600A51"/>
    <w:rsid w:val="00600AF1"/>
    <w:rsid w:val="006025D4"/>
    <w:rsid w:val="0060329D"/>
    <w:rsid w:val="006058A3"/>
    <w:rsid w:val="006075CC"/>
    <w:rsid w:val="006122F1"/>
    <w:rsid w:val="00613DF4"/>
    <w:rsid w:val="00614B08"/>
    <w:rsid w:val="00615810"/>
    <w:rsid w:val="00616672"/>
    <w:rsid w:val="00617D6F"/>
    <w:rsid w:val="00621C9D"/>
    <w:rsid w:val="00623AA1"/>
    <w:rsid w:val="006244B0"/>
    <w:rsid w:val="0062542A"/>
    <w:rsid w:val="00625E49"/>
    <w:rsid w:val="00627C2D"/>
    <w:rsid w:val="00627FA8"/>
    <w:rsid w:val="00632422"/>
    <w:rsid w:val="006329A1"/>
    <w:rsid w:val="00633CB2"/>
    <w:rsid w:val="006352D4"/>
    <w:rsid w:val="00637742"/>
    <w:rsid w:val="006409B4"/>
    <w:rsid w:val="00642547"/>
    <w:rsid w:val="006432BE"/>
    <w:rsid w:val="006440A6"/>
    <w:rsid w:val="0064687F"/>
    <w:rsid w:val="006468A3"/>
    <w:rsid w:val="00646B51"/>
    <w:rsid w:val="00650202"/>
    <w:rsid w:val="006514BC"/>
    <w:rsid w:val="00652444"/>
    <w:rsid w:val="00652B2D"/>
    <w:rsid w:val="00654DCA"/>
    <w:rsid w:val="00655769"/>
    <w:rsid w:val="0065700F"/>
    <w:rsid w:val="0065755D"/>
    <w:rsid w:val="0066060A"/>
    <w:rsid w:val="00662358"/>
    <w:rsid w:val="00663E5C"/>
    <w:rsid w:val="00670534"/>
    <w:rsid w:val="006713E7"/>
    <w:rsid w:val="0067178C"/>
    <w:rsid w:val="00671AB7"/>
    <w:rsid w:val="00671DC5"/>
    <w:rsid w:val="006726C6"/>
    <w:rsid w:val="0067381A"/>
    <w:rsid w:val="006743C6"/>
    <w:rsid w:val="00676B21"/>
    <w:rsid w:val="006771B0"/>
    <w:rsid w:val="006777A6"/>
    <w:rsid w:val="00681074"/>
    <w:rsid w:val="00683B23"/>
    <w:rsid w:val="00685283"/>
    <w:rsid w:val="00685C9C"/>
    <w:rsid w:val="00686B5A"/>
    <w:rsid w:val="00687EE9"/>
    <w:rsid w:val="00690481"/>
    <w:rsid w:val="00690EF0"/>
    <w:rsid w:val="00693967"/>
    <w:rsid w:val="00693D89"/>
    <w:rsid w:val="006940AA"/>
    <w:rsid w:val="006943EA"/>
    <w:rsid w:val="0069571D"/>
    <w:rsid w:val="00695CE3"/>
    <w:rsid w:val="006A0033"/>
    <w:rsid w:val="006A4AF7"/>
    <w:rsid w:val="006A65EE"/>
    <w:rsid w:val="006A70CF"/>
    <w:rsid w:val="006B0BC2"/>
    <w:rsid w:val="006B3C8B"/>
    <w:rsid w:val="006B3FC9"/>
    <w:rsid w:val="006B449F"/>
    <w:rsid w:val="006B5231"/>
    <w:rsid w:val="006B6715"/>
    <w:rsid w:val="006C10F4"/>
    <w:rsid w:val="006C5808"/>
    <w:rsid w:val="006C589D"/>
    <w:rsid w:val="006C6489"/>
    <w:rsid w:val="006C68A9"/>
    <w:rsid w:val="006C6B62"/>
    <w:rsid w:val="006C6DE1"/>
    <w:rsid w:val="006C7679"/>
    <w:rsid w:val="006D0A47"/>
    <w:rsid w:val="006D0E1A"/>
    <w:rsid w:val="006D13C9"/>
    <w:rsid w:val="006D2BE9"/>
    <w:rsid w:val="006D2BED"/>
    <w:rsid w:val="006D37BC"/>
    <w:rsid w:val="006D3B4F"/>
    <w:rsid w:val="006D46A1"/>
    <w:rsid w:val="006D4C52"/>
    <w:rsid w:val="006E1000"/>
    <w:rsid w:val="006E13E4"/>
    <w:rsid w:val="006E1DC0"/>
    <w:rsid w:val="006E38A3"/>
    <w:rsid w:val="006E3FA5"/>
    <w:rsid w:val="006E4798"/>
    <w:rsid w:val="006E51D9"/>
    <w:rsid w:val="006E68E1"/>
    <w:rsid w:val="006E7B7A"/>
    <w:rsid w:val="006F1820"/>
    <w:rsid w:val="006F1E6B"/>
    <w:rsid w:val="006F3B2F"/>
    <w:rsid w:val="006F45C7"/>
    <w:rsid w:val="006F5F01"/>
    <w:rsid w:val="006F65E9"/>
    <w:rsid w:val="006F7DEC"/>
    <w:rsid w:val="00701457"/>
    <w:rsid w:val="007029B0"/>
    <w:rsid w:val="007041B7"/>
    <w:rsid w:val="007041B8"/>
    <w:rsid w:val="0070695F"/>
    <w:rsid w:val="00707114"/>
    <w:rsid w:val="00711636"/>
    <w:rsid w:val="007124DC"/>
    <w:rsid w:val="00713B75"/>
    <w:rsid w:val="00714548"/>
    <w:rsid w:val="00716F41"/>
    <w:rsid w:val="0071710A"/>
    <w:rsid w:val="007208A4"/>
    <w:rsid w:val="00720BCB"/>
    <w:rsid w:val="0072208F"/>
    <w:rsid w:val="00722A06"/>
    <w:rsid w:val="0072330C"/>
    <w:rsid w:val="00724F54"/>
    <w:rsid w:val="00726799"/>
    <w:rsid w:val="00727E26"/>
    <w:rsid w:val="007322C6"/>
    <w:rsid w:val="00733EBC"/>
    <w:rsid w:val="007346BF"/>
    <w:rsid w:val="00736C68"/>
    <w:rsid w:val="007400E8"/>
    <w:rsid w:val="007414F6"/>
    <w:rsid w:val="00741E18"/>
    <w:rsid w:val="007427CD"/>
    <w:rsid w:val="00742E07"/>
    <w:rsid w:val="0074309C"/>
    <w:rsid w:val="007440E0"/>
    <w:rsid w:val="00745E75"/>
    <w:rsid w:val="00746074"/>
    <w:rsid w:val="00746B4A"/>
    <w:rsid w:val="00747A2A"/>
    <w:rsid w:val="007502E3"/>
    <w:rsid w:val="00750E5C"/>
    <w:rsid w:val="00751143"/>
    <w:rsid w:val="00753283"/>
    <w:rsid w:val="007579F4"/>
    <w:rsid w:val="00761126"/>
    <w:rsid w:val="00761158"/>
    <w:rsid w:val="00762ECE"/>
    <w:rsid w:val="007663D4"/>
    <w:rsid w:val="007665FB"/>
    <w:rsid w:val="00766ED5"/>
    <w:rsid w:val="00767102"/>
    <w:rsid w:val="0077025A"/>
    <w:rsid w:val="00770E10"/>
    <w:rsid w:val="00771591"/>
    <w:rsid w:val="00773CCA"/>
    <w:rsid w:val="007764B6"/>
    <w:rsid w:val="00776C6F"/>
    <w:rsid w:val="00780BDD"/>
    <w:rsid w:val="00780F36"/>
    <w:rsid w:val="00782003"/>
    <w:rsid w:val="007839CF"/>
    <w:rsid w:val="0078535D"/>
    <w:rsid w:val="007861D8"/>
    <w:rsid w:val="0079193D"/>
    <w:rsid w:val="00795771"/>
    <w:rsid w:val="007A1C8D"/>
    <w:rsid w:val="007A40EC"/>
    <w:rsid w:val="007A5631"/>
    <w:rsid w:val="007A6A8C"/>
    <w:rsid w:val="007A6FAF"/>
    <w:rsid w:val="007A7549"/>
    <w:rsid w:val="007B1E11"/>
    <w:rsid w:val="007B58BC"/>
    <w:rsid w:val="007B6468"/>
    <w:rsid w:val="007C126F"/>
    <w:rsid w:val="007C1BAC"/>
    <w:rsid w:val="007C3A57"/>
    <w:rsid w:val="007C53DF"/>
    <w:rsid w:val="007D05B9"/>
    <w:rsid w:val="007D0EFD"/>
    <w:rsid w:val="007D1F15"/>
    <w:rsid w:val="007D2D7D"/>
    <w:rsid w:val="007D4349"/>
    <w:rsid w:val="007D61C6"/>
    <w:rsid w:val="007D719B"/>
    <w:rsid w:val="007E0A0F"/>
    <w:rsid w:val="007E113B"/>
    <w:rsid w:val="007E15A5"/>
    <w:rsid w:val="007E35EF"/>
    <w:rsid w:val="007E3D78"/>
    <w:rsid w:val="007E4E47"/>
    <w:rsid w:val="007E659F"/>
    <w:rsid w:val="007E76FD"/>
    <w:rsid w:val="007F1BE2"/>
    <w:rsid w:val="007F269B"/>
    <w:rsid w:val="007F2CA3"/>
    <w:rsid w:val="007F2CC8"/>
    <w:rsid w:val="007F2E82"/>
    <w:rsid w:val="007F45C7"/>
    <w:rsid w:val="007F4988"/>
    <w:rsid w:val="007F56D1"/>
    <w:rsid w:val="007F6E42"/>
    <w:rsid w:val="007F6EBC"/>
    <w:rsid w:val="007F7CD7"/>
    <w:rsid w:val="00802746"/>
    <w:rsid w:val="0080317F"/>
    <w:rsid w:val="008051E3"/>
    <w:rsid w:val="00805F63"/>
    <w:rsid w:val="008066A0"/>
    <w:rsid w:val="0081085D"/>
    <w:rsid w:val="00810E31"/>
    <w:rsid w:val="00811A0D"/>
    <w:rsid w:val="00815CAF"/>
    <w:rsid w:val="008160B0"/>
    <w:rsid w:val="008160B8"/>
    <w:rsid w:val="00816E68"/>
    <w:rsid w:val="00820CBC"/>
    <w:rsid w:val="00823075"/>
    <w:rsid w:val="00824766"/>
    <w:rsid w:val="00825F25"/>
    <w:rsid w:val="00827E8C"/>
    <w:rsid w:val="00833FFB"/>
    <w:rsid w:val="008340DE"/>
    <w:rsid w:val="0083619B"/>
    <w:rsid w:val="008364E4"/>
    <w:rsid w:val="00836601"/>
    <w:rsid w:val="00841523"/>
    <w:rsid w:val="008420C6"/>
    <w:rsid w:val="00843C33"/>
    <w:rsid w:val="00844F7E"/>
    <w:rsid w:val="0084629C"/>
    <w:rsid w:val="00852023"/>
    <w:rsid w:val="00854560"/>
    <w:rsid w:val="00856AC1"/>
    <w:rsid w:val="00857416"/>
    <w:rsid w:val="00860C20"/>
    <w:rsid w:val="00864B80"/>
    <w:rsid w:val="0086590E"/>
    <w:rsid w:val="0087165B"/>
    <w:rsid w:val="00872607"/>
    <w:rsid w:val="00872B1D"/>
    <w:rsid w:val="00873F06"/>
    <w:rsid w:val="008746D8"/>
    <w:rsid w:val="00876C49"/>
    <w:rsid w:val="00880A9F"/>
    <w:rsid w:val="00880EE5"/>
    <w:rsid w:val="0088380F"/>
    <w:rsid w:val="00883D47"/>
    <w:rsid w:val="0088636F"/>
    <w:rsid w:val="0089017A"/>
    <w:rsid w:val="00891654"/>
    <w:rsid w:val="00893B8D"/>
    <w:rsid w:val="00893DF2"/>
    <w:rsid w:val="00894955"/>
    <w:rsid w:val="008951BD"/>
    <w:rsid w:val="008A2F20"/>
    <w:rsid w:val="008A3902"/>
    <w:rsid w:val="008A3ABE"/>
    <w:rsid w:val="008A48E3"/>
    <w:rsid w:val="008B4632"/>
    <w:rsid w:val="008B4FEC"/>
    <w:rsid w:val="008C044B"/>
    <w:rsid w:val="008C0576"/>
    <w:rsid w:val="008C14F4"/>
    <w:rsid w:val="008C2882"/>
    <w:rsid w:val="008C2E52"/>
    <w:rsid w:val="008C4B43"/>
    <w:rsid w:val="008C5DD5"/>
    <w:rsid w:val="008C641A"/>
    <w:rsid w:val="008C7409"/>
    <w:rsid w:val="008C7485"/>
    <w:rsid w:val="008C7D9D"/>
    <w:rsid w:val="008D17FB"/>
    <w:rsid w:val="008D1A48"/>
    <w:rsid w:val="008D273D"/>
    <w:rsid w:val="008D4899"/>
    <w:rsid w:val="008D731B"/>
    <w:rsid w:val="008D7631"/>
    <w:rsid w:val="008D7972"/>
    <w:rsid w:val="008D7F83"/>
    <w:rsid w:val="008E04E0"/>
    <w:rsid w:val="008E14D2"/>
    <w:rsid w:val="008E47D1"/>
    <w:rsid w:val="008E528E"/>
    <w:rsid w:val="008E7ED0"/>
    <w:rsid w:val="008F027A"/>
    <w:rsid w:val="008F2815"/>
    <w:rsid w:val="008F2B3C"/>
    <w:rsid w:val="008F4282"/>
    <w:rsid w:val="008F4972"/>
    <w:rsid w:val="008F7B7C"/>
    <w:rsid w:val="00900576"/>
    <w:rsid w:val="00903E2E"/>
    <w:rsid w:val="00903E84"/>
    <w:rsid w:val="009056D7"/>
    <w:rsid w:val="009062C8"/>
    <w:rsid w:val="0090697F"/>
    <w:rsid w:val="009069CD"/>
    <w:rsid w:val="0091052C"/>
    <w:rsid w:val="0091081C"/>
    <w:rsid w:val="00912713"/>
    <w:rsid w:val="009132FB"/>
    <w:rsid w:val="0091344D"/>
    <w:rsid w:val="00914505"/>
    <w:rsid w:val="0091471A"/>
    <w:rsid w:val="00914AAE"/>
    <w:rsid w:val="00914F83"/>
    <w:rsid w:val="00920C55"/>
    <w:rsid w:val="00922086"/>
    <w:rsid w:val="00922102"/>
    <w:rsid w:val="00923430"/>
    <w:rsid w:val="009240B9"/>
    <w:rsid w:val="00924EF7"/>
    <w:rsid w:val="00925271"/>
    <w:rsid w:val="00926A6B"/>
    <w:rsid w:val="00926E10"/>
    <w:rsid w:val="00927F5B"/>
    <w:rsid w:val="0093453E"/>
    <w:rsid w:val="00934F49"/>
    <w:rsid w:val="009415FB"/>
    <w:rsid w:val="00942192"/>
    <w:rsid w:val="00942FE3"/>
    <w:rsid w:val="009458D0"/>
    <w:rsid w:val="009478EE"/>
    <w:rsid w:val="00947A4B"/>
    <w:rsid w:val="00950F3E"/>
    <w:rsid w:val="00952014"/>
    <w:rsid w:val="009543B2"/>
    <w:rsid w:val="009553D3"/>
    <w:rsid w:val="00955723"/>
    <w:rsid w:val="00961E21"/>
    <w:rsid w:val="009625D1"/>
    <w:rsid w:val="00963C1A"/>
    <w:rsid w:val="009647C5"/>
    <w:rsid w:val="00967B9A"/>
    <w:rsid w:val="0097027F"/>
    <w:rsid w:val="009736F1"/>
    <w:rsid w:val="0097404F"/>
    <w:rsid w:val="00975ACA"/>
    <w:rsid w:val="00977592"/>
    <w:rsid w:val="00977AF6"/>
    <w:rsid w:val="00986646"/>
    <w:rsid w:val="00991A3C"/>
    <w:rsid w:val="00994FC3"/>
    <w:rsid w:val="0099540C"/>
    <w:rsid w:val="009960AF"/>
    <w:rsid w:val="009A0CE7"/>
    <w:rsid w:val="009A2782"/>
    <w:rsid w:val="009A4F8A"/>
    <w:rsid w:val="009B178C"/>
    <w:rsid w:val="009B19E6"/>
    <w:rsid w:val="009B3AC1"/>
    <w:rsid w:val="009B443F"/>
    <w:rsid w:val="009B55C2"/>
    <w:rsid w:val="009B7B5E"/>
    <w:rsid w:val="009C0A6C"/>
    <w:rsid w:val="009C19BE"/>
    <w:rsid w:val="009C3F00"/>
    <w:rsid w:val="009C6FEC"/>
    <w:rsid w:val="009D0787"/>
    <w:rsid w:val="009D21B8"/>
    <w:rsid w:val="009D39C3"/>
    <w:rsid w:val="009D447E"/>
    <w:rsid w:val="009D4B10"/>
    <w:rsid w:val="009D6C31"/>
    <w:rsid w:val="009D745C"/>
    <w:rsid w:val="009D7B65"/>
    <w:rsid w:val="009E0BF0"/>
    <w:rsid w:val="009E1590"/>
    <w:rsid w:val="009E4903"/>
    <w:rsid w:val="009F0782"/>
    <w:rsid w:val="009F1A15"/>
    <w:rsid w:val="009F1A24"/>
    <w:rsid w:val="009F22A7"/>
    <w:rsid w:val="009F243A"/>
    <w:rsid w:val="009F4AD5"/>
    <w:rsid w:val="009F5D27"/>
    <w:rsid w:val="009F6CD3"/>
    <w:rsid w:val="009F70FF"/>
    <w:rsid w:val="009F756C"/>
    <w:rsid w:val="009F7EE3"/>
    <w:rsid w:val="00A00CB2"/>
    <w:rsid w:val="00A0119D"/>
    <w:rsid w:val="00A02EFD"/>
    <w:rsid w:val="00A040B5"/>
    <w:rsid w:val="00A04A9B"/>
    <w:rsid w:val="00A06DB5"/>
    <w:rsid w:val="00A07C4D"/>
    <w:rsid w:val="00A14391"/>
    <w:rsid w:val="00A14749"/>
    <w:rsid w:val="00A147A9"/>
    <w:rsid w:val="00A1566F"/>
    <w:rsid w:val="00A15841"/>
    <w:rsid w:val="00A16BD0"/>
    <w:rsid w:val="00A17742"/>
    <w:rsid w:val="00A1784E"/>
    <w:rsid w:val="00A237ED"/>
    <w:rsid w:val="00A23AC5"/>
    <w:rsid w:val="00A256FB"/>
    <w:rsid w:val="00A25C6B"/>
    <w:rsid w:val="00A27CCB"/>
    <w:rsid w:val="00A330CE"/>
    <w:rsid w:val="00A3365B"/>
    <w:rsid w:val="00A33AAA"/>
    <w:rsid w:val="00A34242"/>
    <w:rsid w:val="00A36B3A"/>
    <w:rsid w:val="00A4005F"/>
    <w:rsid w:val="00A420AB"/>
    <w:rsid w:val="00A42212"/>
    <w:rsid w:val="00A47E35"/>
    <w:rsid w:val="00A50174"/>
    <w:rsid w:val="00A50B37"/>
    <w:rsid w:val="00A52676"/>
    <w:rsid w:val="00A53E5F"/>
    <w:rsid w:val="00A54080"/>
    <w:rsid w:val="00A54C28"/>
    <w:rsid w:val="00A5516A"/>
    <w:rsid w:val="00A56CBB"/>
    <w:rsid w:val="00A57B84"/>
    <w:rsid w:val="00A65B05"/>
    <w:rsid w:val="00A67FE8"/>
    <w:rsid w:val="00A7077D"/>
    <w:rsid w:val="00A71089"/>
    <w:rsid w:val="00A71B79"/>
    <w:rsid w:val="00A74955"/>
    <w:rsid w:val="00A755A3"/>
    <w:rsid w:val="00A75865"/>
    <w:rsid w:val="00A75A68"/>
    <w:rsid w:val="00A75D03"/>
    <w:rsid w:val="00A76C3F"/>
    <w:rsid w:val="00A81183"/>
    <w:rsid w:val="00A8433E"/>
    <w:rsid w:val="00A84438"/>
    <w:rsid w:val="00A87BB4"/>
    <w:rsid w:val="00A900F5"/>
    <w:rsid w:val="00A906AC"/>
    <w:rsid w:val="00A9350B"/>
    <w:rsid w:val="00A94C9F"/>
    <w:rsid w:val="00A96084"/>
    <w:rsid w:val="00A96E1C"/>
    <w:rsid w:val="00A9702B"/>
    <w:rsid w:val="00AA0526"/>
    <w:rsid w:val="00AA1B9D"/>
    <w:rsid w:val="00AA31C4"/>
    <w:rsid w:val="00AB2536"/>
    <w:rsid w:val="00AB2990"/>
    <w:rsid w:val="00AB476D"/>
    <w:rsid w:val="00AB4AF8"/>
    <w:rsid w:val="00AB6994"/>
    <w:rsid w:val="00AC0DC7"/>
    <w:rsid w:val="00AC2D31"/>
    <w:rsid w:val="00AC5923"/>
    <w:rsid w:val="00AC64F1"/>
    <w:rsid w:val="00AC7762"/>
    <w:rsid w:val="00AD239D"/>
    <w:rsid w:val="00AD74FD"/>
    <w:rsid w:val="00AD7D42"/>
    <w:rsid w:val="00AE09F4"/>
    <w:rsid w:val="00AE235B"/>
    <w:rsid w:val="00AE262A"/>
    <w:rsid w:val="00AE2EB7"/>
    <w:rsid w:val="00AE3437"/>
    <w:rsid w:val="00AE3535"/>
    <w:rsid w:val="00AE618A"/>
    <w:rsid w:val="00AF00D4"/>
    <w:rsid w:val="00AF011F"/>
    <w:rsid w:val="00AF0A66"/>
    <w:rsid w:val="00AF0F0F"/>
    <w:rsid w:val="00AF1801"/>
    <w:rsid w:val="00AF289E"/>
    <w:rsid w:val="00AF4D4C"/>
    <w:rsid w:val="00AF7681"/>
    <w:rsid w:val="00B05B93"/>
    <w:rsid w:val="00B05CCA"/>
    <w:rsid w:val="00B06260"/>
    <w:rsid w:val="00B06EC9"/>
    <w:rsid w:val="00B079E2"/>
    <w:rsid w:val="00B101D9"/>
    <w:rsid w:val="00B118A8"/>
    <w:rsid w:val="00B1284F"/>
    <w:rsid w:val="00B13714"/>
    <w:rsid w:val="00B137F3"/>
    <w:rsid w:val="00B13AAA"/>
    <w:rsid w:val="00B13BFB"/>
    <w:rsid w:val="00B1729E"/>
    <w:rsid w:val="00B17BC6"/>
    <w:rsid w:val="00B207D6"/>
    <w:rsid w:val="00B21630"/>
    <w:rsid w:val="00B2330E"/>
    <w:rsid w:val="00B266AD"/>
    <w:rsid w:val="00B26D3E"/>
    <w:rsid w:val="00B26E9C"/>
    <w:rsid w:val="00B27148"/>
    <w:rsid w:val="00B30746"/>
    <w:rsid w:val="00B3074E"/>
    <w:rsid w:val="00B32679"/>
    <w:rsid w:val="00B332D1"/>
    <w:rsid w:val="00B33FC4"/>
    <w:rsid w:val="00B35DBC"/>
    <w:rsid w:val="00B36843"/>
    <w:rsid w:val="00B37D2B"/>
    <w:rsid w:val="00B4219D"/>
    <w:rsid w:val="00B46C5A"/>
    <w:rsid w:val="00B46D67"/>
    <w:rsid w:val="00B47DAD"/>
    <w:rsid w:val="00B61FAC"/>
    <w:rsid w:val="00B645EA"/>
    <w:rsid w:val="00B666AB"/>
    <w:rsid w:val="00B66725"/>
    <w:rsid w:val="00B67A7F"/>
    <w:rsid w:val="00B67CD2"/>
    <w:rsid w:val="00B7462F"/>
    <w:rsid w:val="00B76524"/>
    <w:rsid w:val="00B77ABE"/>
    <w:rsid w:val="00B77AC7"/>
    <w:rsid w:val="00B80E9C"/>
    <w:rsid w:val="00B818C3"/>
    <w:rsid w:val="00B82F51"/>
    <w:rsid w:val="00B83F41"/>
    <w:rsid w:val="00B85653"/>
    <w:rsid w:val="00B85848"/>
    <w:rsid w:val="00B8601C"/>
    <w:rsid w:val="00B86265"/>
    <w:rsid w:val="00B86696"/>
    <w:rsid w:val="00B86C72"/>
    <w:rsid w:val="00B87743"/>
    <w:rsid w:val="00B87809"/>
    <w:rsid w:val="00B87FCC"/>
    <w:rsid w:val="00B919D6"/>
    <w:rsid w:val="00B93656"/>
    <w:rsid w:val="00B93A77"/>
    <w:rsid w:val="00B95357"/>
    <w:rsid w:val="00B97A5C"/>
    <w:rsid w:val="00BA0430"/>
    <w:rsid w:val="00BA0524"/>
    <w:rsid w:val="00BA1607"/>
    <w:rsid w:val="00BA22D4"/>
    <w:rsid w:val="00BA2A7E"/>
    <w:rsid w:val="00BA560E"/>
    <w:rsid w:val="00BA743D"/>
    <w:rsid w:val="00BA796B"/>
    <w:rsid w:val="00BB131E"/>
    <w:rsid w:val="00BB2703"/>
    <w:rsid w:val="00BB451C"/>
    <w:rsid w:val="00BC14F4"/>
    <w:rsid w:val="00BC2210"/>
    <w:rsid w:val="00BD0971"/>
    <w:rsid w:val="00BD0D83"/>
    <w:rsid w:val="00BD211E"/>
    <w:rsid w:val="00BD5301"/>
    <w:rsid w:val="00BD657D"/>
    <w:rsid w:val="00BD7CFC"/>
    <w:rsid w:val="00BE0CB8"/>
    <w:rsid w:val="00BE160D"/>
    <w:rsid w:val="00BE1AE0"/>
    <w:rsid w:val="00BE2660"/>
    <w:rsid w:val="00BE28D0"/>
    <w:rsid w:val="00BE3A61"/>
    <w:rsid w:val="00BE555A"/>
    <w:rsid w:val="00BE677B"/>
    <w:rsid w:val="00BE7D72"/>
    <w:rsid w:val="00BF0F87"/>
    <w:rsid w:val="00BF1FE5"/>
    <w:rsid w:val="00BF30DB"/>
    <w:rsid w:val="00BF4CF6"/>
    <w:rsid w:val="00BF5A5A"/>
    <w:rsid w:val="00BF62BC"/>
    <w:rsid w:val="00BF670C"/>
    <w:rsid w:val="00BF68CB"/>
    <w:rsid w:val="00BF6CA6"/>
    <w:rsid w:val="00C017F1"/>
    <w:rsid w:val="00C02B7C"/>
    <w:rsid w:val="00C04086"/>
    <w:rsid w:val="00C11E09"/>
    <w:rsid w:val="00C11F1D"/>
    <w:rsid w:val="00C15416"/>
    <w:rsid w:val="00C1596A"/>
    <w:rsid w:val="00C163FD"/>
    <w:rsid w:val="00C17619"/>
    <w:rsid w:val="00C24475"/>
    <w:rsid w:val="00C24EA8"/>
    <w:rsid w:val="00C253AC"/>
    <w:rsid w:val="00C2550A"/>
    <w:rsid w:val="00C25D2D"/>
    <w:rsid w:val="00C25F36"/>
    <w:rsid w:val="00C300BE"/>
    <w:rsid w:val="00C30221"/>
    <w:rsid w:val="00C32267"/>
    <w:rsid w:val="00C331D6"/>
    <w:rsid w:val="00C336AB"/>
    <w:rsid w:val="00C33B06"/>
    <w:rsid w:val="00C34287"/>
    <w:rsid w:val="00C34ECE"/>
    <w:rsid w:val="00C40EED"/>
    <w:rsid w:val="00C40F12"/>
    <w:rsid w:val="00C414D1"/>
    <w:rsid w:val="00C43670"/>
    <w:rsid w:val="00C45850"/>
    <w:rsid w:val="00C45DE0"/>
    <w:rsid w:val="00C5321C"/>
    <w:rsid w:val="00C5376B"/>
    <w:rsid w:val="00C53F50"/>
    <w:rsid w:val="00C55F14"/>
    <w:rsid w:val="00C56766"/>
    <w:rsid w:val="00C60C3C"/>
    <w:rsid w:val="00C60E8C"/>
    <w:rsid w:val="00C60F3F"/>
    <w:rsid w:val="00C6156C"/>
    <w:rsid w:val="00C636BF"/>
    <w:rsid w:val="00C64100"/>
    <w:rsid w:val="00C64A45"/>
    <w:rsid w:val="00C65330"/>
    <w:rsid w:val="00C6550D"/>
    <w:rsid w:val="00C66F25"/>
    <w:rsid w:val="00C67D95"/>
    <w:rsid w:val="00C67EBA"/>
    <w:rsid w:val="00C7099B"/>
    <w:rsid w:val="00C723F5"/>
    <w:rsid w:val="00C72821"/>
    <w:rsid w:val="00C72BB3"/>
    <w:rsid w:val="00C73E59"/>
    <w:rsid w:val="00C75661"/>
    <w:rsid w:val="00C75C11"/>
    <w:rsid w:val="00C76B98"/>
    <w:rsid w:val="00C77A7E"/>
    <w:rsid w:val="00C843F2"/>
    <w:rsid w:val="00C915E1"/>
    <w:rsid w:val="00C9188E"/>
    <w:rsid w:val="00C9196A"/>
    <w:rsid w:val="00C9202A"/>
    <w:rsid w:val="00C95624"/>
    <w:rsid w:val="00C9714F"/>
    <w:rsid w:val="00CA0188"/>
    <w:rsid w:val="00CA01D3"/>
    <w:rsid w:val="00CA1527"/>
    <w:rsid w:val="00CA153A"/>
    <w:rsid w:val="00CA1A59"/>
    <w:rsid w:val="00CA2919"/>
    <w:rsid w:val="00CA2969"/>
    <w:rsid w:val="00CA3480"/>
    <w:rsid w:val="00CA4DBF"/>
    <w:rsid w:val="00CA4FB5"/>
    <w:rsid w:val="00CA7E47"/>
    <w:rsid w:val="00CB1CC7"/>
    <w:rsid w:val="00CB2D0C"/>
    <w:rsid w:val="00CB3189"/>
    <w:rsid w:val="00CB35CF"/>
    <w:rsid w:val="00CB35FB"/>
    <w:rsid w:val="00CB5C6F"/>
    <w:rsid w:val="00CB6255"/>
    <w:rsid w:val="00CB6CE8"/>
    <w:rsid w:val="00CB7CEC"/>
    <w:rsid w:val="00CB7D6F"/>
    <w:rsid w:val="00CC138E"/>
    <w:rsid w:val="00CC1F96"/>
    <w:rsid w:val="00CC353C"/>
    <w:rsid w:val="00CC3B32"/>
    <w:rsid w:val="00CC4201"/>
    <w:rsid w:val="00CD11A8"/>
    <w:rsid w:val="00CD27B9"/>
    <w:rsid w:val="00CD30A1"/>
    <w:rsid w:val="00CD3BDC"/>
    <w:rsid w:val="00CD482A"/>
    <w:rsid w:val="00CD49FE"/>
    <w:rsid w:val="00CD6C97"/>
    <w:rsid w:val="00CD6E2F"/>
    <w:rsid w:val="00CE321B"/>
    <w:rsid w:val="00CE3291"/>
    <w:rsid w:val="00CE40B1"/>
    <w:rsid w:val="00CE7B77"/>
    <w:rsid w:val="00CE7C04"/>
    <w:rsid w:val="00CF05CF"/>
    <w:rsid w:val="00CF2D48"/>
    <w:rsid w:val="00CF32EB"/>
    <w:rsid w:val="00CF481F"/>
    <w:rsid w:val="00CF5EC0"/>
    <w:rsid w:val="00CF6AC1"/>
    <w:rsid w:val="00CF6B18"/>
    <w:rsid w:val="00D00933"/>
    <w:rsid w:val="00D02B74"/>
    <w:rsid w:val="00D04AE9"/>
    <w:rsid w:val="00D052C2"/>
    <w:rsid w:val="00D05BA2"/>
    <w:rsid w:val="00D063ED"/>
    <w:rsid w:val="00D06DF8"/>
    <w:rsid w:val="00D07591"/>
    <w:rsid w:val="00D114A5"/>
    <w:rsid w:val="00D116F8"/>
    <w:rsid w:val="00D11B34"/>
    <w:rsid w:val="00D14874"/>
    <w:rsid w:val="00D17A96"/>
    <w:rsid w:val="00D21CD0"/>
    <w:rsid w:val="00D21CFF"/>
    <w:rsid w:val="00D2348F"/>
    <w:rsid w:val="00D25BAA"/>
    <w:rsid w:val="00D266F5"/>
    <w:rsid w:val="00D26DE7"/>
    <w:rsid w:val="00D277B2"/>
    <w:rsid w:val="00D27BAE"/>
    <w:rsid w:val="00D27CB6"/>
    <w:rsid w:val="00D34CCD"/>
    <w:rsid w:val="00D357BA"/>
    <w:rsid w:val="00D3722F"/>
    <w:rsid w:val="00D44CAD"/>
    <w:rsid w:val="00D454AE"/>
    <w:rsid w:val="00D465C3"/>
    <w:rsid w:val="00D51AA3"/>
    <w:rsid w:val="00D529BE"/>
    <w:rsid w:val="00D53A74"/>
    <w:rsid w:val="00D53A77"/>
    <w:rsid w:val="00D5554D"/>
    <w:rsid w:val="00D55F74"/>
    <w:rsid w:val="00D566E9"/>
    <w:rsid w:val="00D568E2"/>
    <w:rsid w:val="00D57ADC"/>
    <w:rsid w:val="00D57B14"/>
    <w:rsid w:val="00D60D8E"/>
    <w:rsid w:val="00D61900"/>
    <w:rsid w:val="00D6197F"/>
    <w:rsid w:val="00D63899"/>
    <w:rsid w:val="00D64224"/>
    <w:rsid w:val="00D65E7E"/>
    <w:rsid w:val="00D67277"/>
    <w:rsid w:val="00D67B1C"/>
    <w:rsid w:val="00D67C58"/>
    <w:rsid w:val="00D71008"/>
    <w:rsid w:val="00D723B0"/>
    <w:rsid w:val="00D738B0"/>
    <w:rsid w:val="00D740AD"/>
    <w:rsid w:val="00D74168"/>
    <w:rsid w:val="00D748A9"/>
    <w:rsid w:val="00D74DEB"/>
    <w:rsid w:val="00D77541"/>
    <w:rsid w:val="00D83435"/>
    <w:rsid w:val="00D84775"/>
    <w:rsid w:val="00D85A4C"/>
    <w:rsid w:val="00D85A86"/>
    <w:rsid w:val="00D85E16"/>
    <w:rsid w:val="00D8662F"/>
    <w:rsid w:val="00D879FA"/>
    <w:rsid w:val="00D9061A"/>
    <w:rsid w:val="00D90BE9"/>
    <w:rsid w:val="00D936EF"/>
    <w:rsid w:val="00D96416"/>
    <w:rsid w:val="00D96A70"/>
    <w:rsid w:val="00D96BC2"/>
    <w:rsid w:val="00DA0DDB"/>
    <w:rsid w:val="00DA438C"/>
    <w:rsid w:val="00DA48FC"/>
    <w:rsid w:val="00DA77EF"/>
    <w:rsid w:val="00DA7F32"/>
    <w:rsid w:val="00DB2B03"/>
    <w:rsid w:val="00DB5BAC"/>
    <w:rsid w:val="00DB7773"/>
    <w:rsid w:val="00DB7B73"/>
    <w:rsid w:val="00DC08AA"/>
    <w:rsid w:val="00DC1AAF"/>
    <w:rsid w:val="00DC1F10"/>
    <w:rsid w:val="00DC7396"/>
    <w:rsid w:val="00DD007E"/>
    <w:rsid w:val="00DD1A99"/>
    <w:rsid w:val="00DD3A17"/>
    <w:rsid w:val="00DD4B33"/>
    <w:rsid w:val="00DD5ABA"/>
    <w:rsid w:val="00DE04F7"/>
    <w:rsid w:val="00DE23F3"/>
    <w:rsid w:val="00DE3BCB"/>
    <w:rsid w:val="00DE4B5B"/>
    <w:rsid w:val="00DE4B6B"/>
    <w:rsid w:val="00DE6C32"/>
    <w:rsid w:val="00DF0B0B"/>
    <w:rsid w:val="00DF274D"/>
    <w:rsid w:val="00DF366E"/>
    <w:rsid w:val="00DF628A"/>
    <w:rsid w:val="00E024B7"/>
    <w:rsid w:val="00E02591"/>
    <w:rsid w:val="00E025E3"/>
    <w:rsid w:val="00E03248"/>
    <w:rsid w:val="00E03F9B"/>
    <w:rsid w:val="00E040E7"/>
    <w:rsid w:val="00E07B20"/>
    <w:rsid w:val="00E07E31"/>
    <w:rsid w:val="00E113A9"/>
    <w:rsid w:val="00E127B5"/>
    <w:rsid w:val="00E12AA7"/>
    <w:rsid w:val="00E13162"/>
    <w:rsid w:val="00E15B35"/>
    <w:rsid w:val="00E15C7D"/>
    <w:rsid w:val="00E15FF0"/>
    <w:rsid w:val="00E1625A"/>
    <w:rsid w:val="00E16463"/>
    <w:rsid w:val="00E1758B"/>
    <w:rsid w:val="00E210BA"/>
    <w:rsid w:val="00E22B71"/>
    <w:rsid w:val="00E24D27"/>
    <w:rsid w:val="00E251D6"/>
    <w:rsid w:val="00E27932"/>
    <w:rsid w:val="00E31958"/>
    <w:rsid w:val="00E31EEE"/>
    <w:rsid w:val="00E35440"/>
    <w:rsid w:val="00E42B1B"/>
    <w:rsid w:val="00E42E50"/>
    <w:rsid w:val="00E45866"/>
    <w:rsid w:val="00E4741C"/>
    <w:rsid w:val="00E501E5"/>
    <w:rsid w:val="00E50829"/>
    <w:rsid w:val="00E50D54"/>
    <w:rsid w:val="00E50E44"/>
    <w:rsid w:val="00E52845"/>
    <w:rsid w:val="00E53080"/>
    <w:rsid w:val="00E57A3B"/>
    <w:rsid w:val="00E60157"/>
    <w:rsid w:val="00E637B6"/>
    <w:rsid w:val="00E63C22"/>
    <w:rsid w:val="00E646E4"/>
    <w:rsid w:val="00E64A3E"/>
    <w:rsid w:val="00E669C0"/>
    <w:rsid w:val="00E70519"/>
    <w:rsid w:val="00E7131A"/>
    <w:rsid w:val="00E72463"/>
    <w:rsid w:val="00E73832"/>
    <w:rsid w:val="00E73B1B"/>
    <w:rsid w:val="00E81BBD"/>
    <w:rsid w:val="00E82291"/>
    <w:rsid w:val="00E8544C"/>
    <w:rsid w:val="00E85B71"/>
    <w:rsid w:val="00E879BA"/>
    <w:rsid w:val="00E91210"/>
    <w:rsid w:val="00E922B8"/>
    <w:rsid w:val="00E92DC7"/>
    <w:rsid w:val="00E93FBA"/>
    <w:rsid w:val="00E951CD"/>
    <w:rsid w:val="00E9593D"/>
    <w:rsid w:val="00E967F9"/>
    <w:rsid w:val="00E96BDF"/>
    <w:rsid w:val="00E97C4F"/>
    <w:rsid w:val="00E97F39"/>
    <w:rsid w:val="00EA0469"/>
    <w:rsid w:val="00EA156F"/>
    <w:rsid w:val="00EA16EE"/>
    <w:rsid w:val="00EA20E1"/>
    <w:rsid w:val="00EA294F"/>
    <w:rsid w:val="00EA6358"/>
    <w:rsid w:val="00EA72A0"/>
    <w:rsid w:val="00EB09FC"/>
    <w:rsid w:val="00EB0AB7"/>
    <w:rsid w:val="00EB1637"/>
    <w:rsid w:val="00EB1C8E"/>
    <w:rsid w:val="00EB1ED8"/>
    <w:rsid w:val="00EB472B"/>
    <w:rsid w:val="00EB704A"/>
    <w:rsid w:val="00EC373F"/>
    <w:rsid w:val="00EC3F4C"/>
    <w:rsid w:val="00EC6054"/>
    <w:rsid w:val="00EC7B23"/>
    <w:rsid w:val="00ED5313"/>
    <w:rsid w:val="00ED54F8"/>
    <w:rsid w:val="00ED62A0"/>
    <w:rsid w:val="00ED7DD6"/>
    <w:rsid w:val="00EE061F"/>
    <w:rsid w:val="00EE15AB"/>
    <w:rsid w:val="00EE3C80"/>
    <w:rsid w:val="00EE424B"/>
    <w:rsid w:val="00EE5402"/>
    <w:rsid w:val="00EE6B0E"/>
    <w:rsid w:val="00EE7CFA"/>
    <w:rsid w:val="00EF11FB"/>
    <w:rsid w:val="00EF1A8D"/>
    <w:rsid w:val="00EF2735"/>
    <w:rsid w:val="00EF3718"/>
    <w:rsid w:val="00EF411C"/>
    <w:rsid w:val="00EF58D9"/>
    <w:rsid w:val="00EF7ADD"/>
    <w:rsid w:val="00F006F7"/>
    <w:rsid w:val="00F00845"/>
    <w:rsid w:val="00F00C7D"/>
    <w:rsid w:val="00F03841"/>
    <w:rsid w:val="00F0496C"/>
    <w:rsid w:val="00F053BD"/>
    <w:rsid w:val="00F066DC"/>
    <w:rsid w:val="00F06E6D"/>
    <w:rsid w:val="00F073CA"/>
    <w:rsid w:val="00F0782B"/>
    <w:rsid w:val="00F12D64"/>
    <w:rsid w:val="00F13149"/>
    <w:rsid w:val="00F140F0"/>
    <w:rsid w:val="00F14A54"/>
    <w:rsid w:val="00F16B36"/>
    <w:rsid w:val="00F1755A"/>
    <w:rsid w:val="00F205E3"/>
    <w:rsid w:val="00F20CCA"/>
    <w:rsid w:val="00F20D88"/>
    <w:rsid w:val="00F21485"/>
    <w:rsid w:val="00F22700"/>
    <w:rsid w:val="00F2344F"/>
    <w:rsid w:val="00F26757"/>
    <w:rsid w:val="00F278D7"/>
    <w:rsid w:val="00F27C51"/>
    <w:rsid w:val="00F32E8F"/>
    <w:rsid w:val="00F33FD9"/>
    <w:rsid w:val="00F36112"/>
    <w:rsid w:val="00F3689E"/>
    <w:rsid w:val="00F37B45"/>
    <w:rsid w:val="00F4173F"/>
    <w:rsid w:val="00F4660B"/>
    <w:rsid w:val="00F502D0"/>
    <w:rsid w:val="00F50689"/>
    <w:rsid w:val="00F51BD6"/>
    <w:rsid w:val="00F52217"/>
    <w:rsid w:val="00F5246A"/>
    <w:rsid w:val="00F5278A"/>
    <w:rsid w:val="00F53B8D"/>
    <w:rsid w:val="00F53E16"/>
    <w:rsid w:val="00F53E8D"/>
    <w:rsid w:val="00F54FC5"/>
    <w:rsid w:val="00F61205"/>
    <w:rsid w:val="00F63E81"/>
    <w:rsid w:val="00F6504A"/>
    <w:rsid w:val="00F65FF4"/>
    <w:rsid w:val="00F731A5"/>
    <w:rsid w:val="00F731AA"/>
    <w:rsid w:val="00F738B5"/>
    <w:rsid w:val="00F74DBF"/>
    <w:rsid w:val="00F75133"/>
    <w:rsid w:val="00F76FE0"/>
    <w:rsid w:val="00F80101"/>
    <w:rsid w:val="00F81ABA"/>
    <w:rsid w:val="00F82246"/>
    <w:rsid w:val="00F82912"/>
    <w:rsid w:val="00F84437"/>
    <w:rsid w:val="00F854E4"/>
    <w:rsid w:val="00F90C9B"/>
    <w:rsid w:val="00F922EE"/>
    <w:rsid w:val="00F93346"/>
    <w:rsid w:val="00F9415D"/>
    <w:rsid w:val="00F97A78"/>
    <w:rsid w:val="00FA16F9"/>
    <w:rsid w:val="00FA3C68"/>
    <w:rsid w:val="00FA5217"/>
    <w:rsid w:val="00FA5884"/>
    <w:rsid w:val="00FA5C6E"/>
    <w:rsid w:val="00FA5D11"/>
    <w:rsid w:val="00FA68CD"/>
    <w:rsid w:val="00FA7130"/>
    <w:rsid w:val="00FA71FC"/>
    <w:rsid w:val="00FB03B5"/>
    <w:rsid w:val="00FB1966"/>
    <w:rsid w:val="00FB1991"/>
    <w:rsid w:val="00FB252B"/>
    <w:rsid w:val="00FB265B"/>
    <w:rsid w:val="00FB44AF"/>
    <w:rsid w:val="00FC0FF1"/>
    <w:rsid w:val="00FC2D7F"/>
    <w:rsid w:val="00FC355C"/>
    <w:rsid w:val="00FC3992"/>
    <w:rsid w:val="00FC4B4A"/>
    <w:rsid w:val="00FD06EC"/>
    <w:rsid w:val="00FD0962"/>
    <w:rsid w:val="00FD2ABE"/>
    <w:rsid w:val="00FD2EE0"/>
    <w:rsid w:val="00FD3484"/>
    <w:rsid w:val="00FD3861"/>
    <w:rsid w:val="00FD5FEC"/>
    <w:rsid w:val="00FE2B75"/>
    <w:rsid w:val="00FF2844"/>
    <w:rsid w:val="00FF2D2B"/>
    <w:rsid w:val="00FF3497"/>
    <w:rsid w:val="00FF4941"/>
    <w:rsid w:val="00FF5B4D"/>
    <w:rsid w:val="00FF6124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A4D1"/>
  <w15:docId w15:val="{A2F81420-918A-4356-A977-E41D551A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3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83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38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ody">
    <w:name w:val="Body"/>
    <w:rsid w:val="00EA156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rmalWeb">
    <w:name w:val="Normal (Web)"/>
    <w:basedOn w:val="Normal"/>
    <w:uiPriority w:val="99"/>
    <w:unhideWhenUsed/>
    <w:rsid w:val="005E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18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11C"/>
  </w:style>
  <w:style w:type="paragraph" w:styleId="Footer">
    <w:name w:val="footer"/>
    <w:basedOn w:val="Normal"/>
    <w:link w:val="FooterChar"/>
    <w:uiPriority w:val="99"/>
    <w:unhideWhenUsed/>
    <w:rsid w:val="00EF4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11C"/>
  </w:style>
  <w:style w:type="paragraph" w:styleId="ListParagraph">
    <w:name w:val="List Paragraph"/>
    <w:basedOn w:val="Normal"/>
    <w:uiPriority w:val="34"/>
    <w:qFormat/>
    <w:rsid w:val="00BA16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0D8E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C300BE"/>
  </w:style>
  <w:style w:type="paragraph" w:styleId="Revision">
    <w:name w:val="Revision"/>
    <w:hidden/>
    <w:uiPriority w:val="99"/>
    <w:semiHidden/>
    <w:rsid w:val="00F2148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1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1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1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4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ncbi.nlm.nih.gov/pubmed/2459056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mjournal.co.uk/audit-of-delirium-awareness-and-assessment-in-a-district-general-hospit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27766672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ce.org.uk/guidance/cg103/resources/2018-surveillance-of-delirium-prevention-diagnosis-and-management-nice-guideline-cg103-pdf-85462338431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28985260" TargetMode="External"/><Relationship Id="rId10" Type="http://schemas.openxmlformats.org/officeDocument/2006/relationships/hyperlink" Target="https://www.sign.ac.uk/assets/sign157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www.ncbi.nlm.nih.gov/pubmed/27503794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48E8987-1E27-435F-BD72-0C6918E9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Sargeant, Kate</cp:lastModifiedBy>
  <cp:revision>2</cp:revision>
  <cp:lastPrinted>2019-04-16T09:16:00Z</cp:lastPrinted>
  <dcterms:created xsi:type="dcterms:W3CDTF">2019-11-07T10:24:00Z</dcterms:created>
  <dcterms:modified xsi:type="dcterms:W3CDTF">2019-11-07T10:24:00Z</dcterms:modified>
</cp:coreProperties>
</file>