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65EF" w14:textId="39176AE0" w:rsidR="001E72C5" w:rsidRPr="002825DE" w:rsidRDefault="001E72C5" w:rsidP="00980769">
      <w:pPr>
        <w:pStyle w:val="Title"/>
        <w:spacing w:after="0" w:line="480" w:lineRule="auto"/>
        <w:jc w:val="both"/>
        <w:rPr>
          <w:rFonts w:ascii="Arial" w:hAnsi="Arial" w:cs="Arial"/>
          <w:b/>
          <w:sz w:val="24"/>
          <w:szCs w:val="24"/>
        </w:rPr>
      </w:pPr>
      <w:bookmarkStart w:id="0" w:name="_GoBack"/>
      <w:bookmarkEnd w:id="0"/>
      <w:r w:rsidRPr="002825DE">
        <w:rPr>
          <w:rFonts w:ascii="Arial" w:hAnsi="Arial" w:cs="Arial"/>
          <w:b/>
          <w:sz w:val="24"/>
          <w:szCs w:val="24"/>
        </w:rPr>
        <w:t>P</w:t>
      </w:r>
      <w:r w:rsidR="00D37CAD" w:rsidRPr="002825DE">
        <w:rPr>
          <w:rFonts w:ascii="Arial" w:hAnsi="Arial" w:cs="Arial"/>
          <w:b/>
          <w:sz w:val="24"/>
          <w:szCs w:val="24"/>
        </w:rPr>
        <w:t>rothrombin complex concentrates</w:t>
      </w:r>
      <w:r w:rsidRPr="002825DE">
        <w:rPr>
          <w:rFonts w:ascii="Arial" w:hAnsi="Arial" w:cs="Arial"/>
          <w:b/>
          <w:sz w:val="24"/>
          <w:szCs w:val="24"/>
        </w:rPr>
        <w:t xml:space="preserve"> are superior to</w:t>
      </w:r>
      <w:r w:rsidR="00D37CAD" w:rsidRPr="002825DE">
        <w:rPr>
          <w:rFonts w:ascii="Arial" w:hAnsi="Arial" w:cs="Arial"/>
          <w:b/>
          <w:sz w:val="24"/>
          <w:szCs w:val="24"/>
        </w:rPr>
        <w:t xml:space="preserve"> fresh frozen plasma </w:t>
      </w:r>
      <w:r w:rsidRPr="002825DE">
        <w:rPr>
          <w:rFonts w:ascii="Arial" w:hAnsi="Arial" w:cs="Arial"/>
          <w:b/>
          <w:sz w:val="24"/>
          <w:szCs w:val="24"/>
        </w:rPr>
        <w:t xml:space="preserve">for emergency </w:t>
      </w:r>
      <w:r w:rsidR="00D37CAD" w:rsidRPr="002825DE">
        <w:rPr>
          <w:rFonts w:ascii="Arial" w:hAnsi="Arial" w:cs="Arial"/>
          <w:b/>
          <w:sz w:val="24"/>
          <w:szCs w:val="24"/>
        </w:rPr>
        <w:t>reversal of vitamin K antagonists: a meta-analysis in 2</w:t>
      </w:r>
      <w:r w:rsidRPr="002825DE">
        <w:rPr>
          <w:rFonts w:ascii="Arial" w:hAnsi="Arial" w:cs="Arial"/>
          <w:b/>
          <w:sz w:val="24"/>
          <w:szCs w:val="24"/>
        </w:rPr>
        <w:t>606 subjects</w:t>
      </w:r>
    </w:p>
    <w:p w14:paraId="0AE97418" w14:textId="77777777" w:rsidR="001E72C5" w:rsidRPr="002825DE" w:rsidRDefault="001E72C5" w:rsidP="00980769">
      <w:pPr>
        <w:spacing w:after="0" w:line="480" w:lineRule="auto"/>
      </w:pPr>
    </w:p>
    <w:p w14:paraId="2D01374B" w14:textId="395E5825" w:rsidR="000231CF" w:rsidRPr="002825DE" w:rsidRDefault="00CD4628" w:rsidP="00980769">
      <w:pPr>
        <w:spacing w:after="0" w:line="480" w:lineRule="auto"/>
        <w:jc w:val="both"/>
        <w:rPr>
          <w:rFonts w:ascii="Arial" w:hAnsi="Arial" w:cs="Arial"/>
        </w:rPr>
      </w:pPr>
      <w:r w:rsidRPr="002825DE">
        <w:rPr>
          <w:rFonts w:ascii="Arial" w:hAnsi="Arial" w:cs="Arial"/>
        </w:rPr>
        <w:t>Robert Hill</w:t>
      </w:r>
      <w:r w:rsidRPr="002825DE">
        <w:rPr>
          <w:rFonts w:ascii="Arial" w:hAnsi="Arial" w:cs="Arial"/>
          <w:vertAlign w:val="superscript"/>
        </w:rPr>
        <w:t>1</w:t>
      </w:r>
      <w:r w:rsidRPr="002825DE">
        <w:rPr>
          <w:rFonts w:ascii="Arial" w:hAnsi="Arial" w:cs="Arial"/>
        </w:rPr>
        <w:t xml:space="preserve">, </w:t>
      </w:r>
      <w:r w:rsidR="00393981" w:rsidRPr="002825DE">
        <w:rPr>
          <w:rFonts w:ascii="Arial" w:hAnsi="Arial" w:cs="Arial"/>
        </w:rPr>
        <w:t>Thang S Han</w:t>
      </w:r>
      <w:r w:rsidR="00393981" w:rsidRPr="002825DE">
        <w:rPr>
          <w:rFonts w:ascii="Arial" w:hAnsi="Arial" w:cs="Arial"/>
          <w:vertAlign w:val="superscript"/>
        </w:rPr>
        <w:t>2</w:t>
      </w:r>
      <w:r w:rsidR="00393981" w:rsidRPr="002825DE">
        <w:rPr>
          <w:rFonts w:ascii="Arial" w:hAnsi="Arial" w:cs="Arial"/>
        </w:rPr>
        <w:t xml:space="preserve">, </w:t>
      </w:r>
      <w:r w:rsidRPr="002825DE">
        <w:rPr>
          <w:rFonts w:ascii="Arial" w:hAnsi="Arial" w:cs="Arial"/>
        </w:rPr>
        <w:t>Irina Lubomirova</w:t>
      </w:r>
      <w:r w:rsidRPr="002825DE">
        <w:rPr>
          <w:rFonts w:ascii="Arial" w:hAnsi="Arial" w:cs="Arial"/>
          <w:vertAlign w:val="superscript"/>
        </w:rPr>
        <w:t>1</w:t>
      </w:r>
      <w:r w:rsidRPr="002825DE">
        <w:rPr>
          <w:rFonts w:ascii="Arial" w:hAnsi="Arial" w:cs="Arial"/>
        </w:rPr>
        <w:t>, Nikhil Math</w:t>
      </w:r>
      <w:r w:rsidRPr="002825DE">
        <w:rPr>
          <w:rFonts w:ascii="Arial" w:hAnsi="Arial" w:cs="Arial"/>
          <w:vertAlign w:val="superscript"/>
        </w:rPr>
        <w:t>1</w:t>
      </w:r>
      <w:r w:rsidRPr="002825DE">
        <w:rPr>
          <w:rFonts w:ascii="Arial" w:hAnsi="Arial" w:cs="Arial"/>
        </w:rPr>
        <w:t>, Paul Bentley</w:t>
      </w:r>
      <w:r w:rsidRPr="002825DE">
        <w:rPr>
          <w:rFonts w:ascii="Arial" w:hAnsi="Arial" w:cs="Arial"/>
          <w:vertAlign w:val="superscript"/>
        </w:rPr>
        <w:t>1</w:t>
      </w:r>
      <w:r w:rsidRPr="002825DE">
        <w:rPr>
          <w:rFonts w:ascii="Arial" w:hAnsi="Arial" w:cs="Arial"/>
        </w:rPr>
        <w:t>, Pankaj Sharma</w:t>
      </w:r>
      <w:r w:rsidRPr="002825DE">
        <w:rPr>
          <w:rFonts w:ascii="Arial" w:hAnsi="Arial" w:cs="Arial"/>
          <w:vertAlign w:val="superscript"/>
        </w:rPr>
        <w:t>1,2</w:t>
      </w:r>
    </w:p>
    <w:p w14:paraId="4A84AAC4" w14:textId="77777777" w:rsidR="000231CF" w:rsidRPr="002825DE" w:rsidRDefault="00CD4628" w:rsidP="00980769">
      <w:pPr>
        <w:spacing w:after="0" w:line="480" w:lineRule="auto"/>
        <w:jc w:val="both"/>
        <w:rPr>
          <w:rFonts w:ascii="Arial" w:hAnsi="Arial" w:cs="Arial"/>
        </w:rPr>
      </w:pPr>
      <w:r w:rsidRPr="002825DE">
        <w:rPr>
          <w:rFonts w:ascii="Arial" w:hAnsi="Arial" w:cs="Arial"/>
          <w:vertAlign w:val="superscript"/>
        </w:rPr>
        <w:t>1</w:t>
      </w:r>
      <w:r w:rsidRPr="002825DE">
        <w:rPr>
          <w:rFonts w:ascii="Arial" w:hAnsi="Arial" w:cs="Arial"/>
        </w:rPr>
        <w:t>Department of Medicine, Imperial College London, Imperial College Healthcare NHS Trust</w:t>
      </w:r>
    </w:p>
    <w:p w14:paraId="5E9810C5" w14:textId="77777777" w:rsidR="000231CF" w:rsidRPr="002825DE" w:rsidRDefault="00CD4628" w:rsidP="00980769">
      <w:pPr>
        <w:spacing w:after="0" w:line="480" w:lineRule="auto"/>
        <w:jc w:val="both"/>
        <w:rPr>
          <w:rFonts w:ascii="Arial" w:hAnsi="Arial" w:cs="Arial"/>
        </w:rPr>
      </w:pPr>
      <w:r w:rsidRPr="002825DE">
        <w:rPr>
          <w:rFonts w:ascii="Arial" w:hAnsi="Arial" w:cs="Arial"/>
          <w:vertAlign w:val="superscript"/>
        </w:rPr>
        <w:t>2</w:t>
      </w:r>
      <w:r w:rsidRPr="002825DE">
        <w:rPr>
          <w:rFonts w:ascii="Arial" w:hAnsi="Arial" w:cs="Arial"/>
        </w:rPr>
        <w:t>Institute of Cardiovascular Research Royal Holloway University of London (ICR2UL)</w:t>
      </w:r>
    </w:p>
    <w:p w14:paraId="526BE904" w14:textId="77777777" w:rsidR="001E72C5" w:rsidRPr="002825DE" w:rsidRDefault="001E72C5" w:rsidP="00980769">
      <w:pPr>
        <w:spacing w:after="0" w:line="480" w:lineRule="auto"/>
        <w:jc w:val="both"/>
        <w:rPr>
          <w:rFonts w:ascii="Arial" w:hAnsi="Arial" w:cs="Arial"/>
        </w:rPr>
      </w:pPr>
    </w:p>
    <w:p w14:paraId="182324B0" w14:textId="4A2B367F"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b/>
          <w:color w:val="000000" w:themeColor="text1"/>
        </w:rPr>
        <w:t>Running title:</w:t>
      </w:r>
      <w:r w:rsidRPr="002825DE">
        <w:rPr>
          <w:rFonts w:ascii="Arial" w:hAnsi="Arial" w:cs="Arial"/>
          <w:color w:val="000000" w:themeColor="text1"/>
        </w:rPr>
        <w:t xml:space="preserve"> Reversal of vitamin K agonists</w:t>
      </w:r>
    </w:p>
    <w:p w14:paraId="17434337" w14:textId="7D5B356E"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b/>
          <w:color w:val="000000" w:themeColor="text1"/>
        </w:rPr>
        <w:t>Text</w:t>
      </w:r>
      <w:r w:rsidRPr="002825DE">
        <w:rPr>
          <w:rFonts w:ascii="Arial" w:hAnsi="Arial" w:cs="Arial"/>
          <w:color w:val="000000" w:themeColor="text1"/>
        </w:rPr>
        <w:t xml:space="preserve"> = </w:t>
      </w:r>
      <w:r w:rsidR="004C0593" w:rsidRPr="002825DE">
        <w:rPr>
          <w:rFonts w:ascii="Arial" w:hAnsi="Arial" w:cs="Arial"/>
          <w:color w:val="000000" w:themeColor="text1"/>
        </w:rPr>
        <w:t>2</w:t>
      </w:r>
      <w:r w:rsidR="00BC3CEF" w:rsidRPr="002825DE">
        <w:rPr>
          <w:rFonts w:ascii="Arial" w:hAnsi="Arial" w:cs="Arial"/>
          <w:color w:val="000000" w:themeColor="text1"/>
        </w:rPr>
        <w:t>724</w:t>
      </w:r>
      <w:r w:rsidRPr="002825DE">
        <w:rPr>
          <w:rFonts w:ascii="Arial" w:hAnsi="Arial" w:cs="Arial"/>
          <w:color w:val="000000" w:themeColor="text1"/>
        </w:rPr>
        <w:t xml:space="preserve"> words, </w:t>
      </w:r>
      <w:r w:rsidRPr="002825DE">
        <w:rPr>
          <w:rFonts w:ascii="Arial" w:hAnsi="Arial" w:cs="Arial"/>
          <w:b/>
          <w:color w:val="000000" w:themeColor="text1"/>
        </w:rPr>
        <w:t>Figures</w:t>
      </w:r>
      <w:r w:rsidRPr="002825DE">
        <w:rPr>
          <w:rFonts w:ascii="Arial" w:hAnsi="Arial" w:cs="Arial"/>
          <w:color w:val="000000" w:themeColor="text1"/>
        </w:rPr>
        <w:t xml:space="preserve"> = </w:t>
      </w:r>
      <w:r w:rsidR="00681C9B" w:rsidRPr="002825DE">
        <w:rPr>
          <w:rFonts w:ascii="Arial" w:hAnsi="Arial" w:cs="Arial"/>
          <w:color w:val="000000" w:themeColor="text1"/>
        </w:rPr>
        <w:t>7</w:t>
      </w:r>
    </w:p>
    <w:p w14:paraId="0A764F34" w14:textId="186E0A3A"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b/>
          <w:color w:val="000000" w:themeColor="text1"/>
        </w:rPr>
        <w:t>Supplementary tables</w:t>
      </w:r>
      <w:r w:rsidRPr="002825DE">
        <w:rPr>
          <w:rFonts w:ascii="Arial" w:hAnsi="Arial" w:cs="Arial"/>
          <w:color w:val="000000" w:themeColor="text1"/>
        </w:rPr>
        <w:t xml:space="preserve"> = </w:t>
      </w:r>
      <w:r w:rsidR="00315AB7" w:rsidRPr="002825DE">
        <w:rPr>
          <w:rFonts w:ascii="Arial" w:hAnsi="Arial" w:cs="Arial"/>
          <w:color w:val="000000" w:themeColor="text1"/>
        </w:rPr>
        <w:t>1</w:t>
      </w:r>
      <w:r w:rsidRPr="002825DE">
        <w:rPr>
          <w:rFonts w:ascii="Arial" w:hAnsi="Arial" w:cs="Arial"/>
          <w:color w:val="000000" w:themeColor="text1"/>
        </w:rPr>
        <w:t xml:space="preserve">, </w:t>
      </w:r>
      <w:r w:rsidRPr="002825DE">
        <w:rPr>
          <w:rFonts w:ascii="Arial" w:hAnsi="Arial" w:cs="Arial"/>
          <w:b/>
          <w:color w:val="000000" w:themeColor="text1"/>
        </w:rPr>
        <w:t>Supplementary figures</w:t>
      </w:r>
      <w:r w:rsidR="00DC199B" w:rsidRPr="002825DE">
        <w:rPr>
          <w:rFonts w:ascii="Arial" w:hAnsi="Arial" w:cs="Arial"/>
          <w:color w:val="000000" w:themeColor="text1"/>
        </w:rPr>
        <w:t xml:space="preserve"> = </w:t>
      </w:r>
      <w:r w:rsidR="004A0ED4" w:rsidRPr="002825DE">
        <w:rPr>
          <w:rFonts w:ascii="Arial" w:hAnsi="Arial" w:cs="Arial"/>
          <w:color w:val="000000" w:themeColor="text1"/>
        </w:rPr>
        <w:t>8</w:t>
      </w:r>
    </w:p>
    <w:p w14:paraId="10D72FE6" w14:textId="77777777" w:rsidR="001E72C5" w:rsidRPr="002825DE" w:rsidRDefault="001E72C5" w:rsidP="00980769">
      <w:pPr>
        <w:spacing w:after="0" w:line="480" w:lineRule="auto"/>
        <w:jc w:val="both"/>
        <w:rPr>
          <w:rFonts w:ascii="Arial" w:hAnsi="Arial" w:cs="Arial"/>
          <w:b/>
          <w:color w:val="000000" w:themeColor="text1"/>
        </w:rPr>
      </w:pPr>
    </w:p>
    <w:p w14:paraId="7D3E0BE5" w14:textId="7D6F2267"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b/>
          <w:color w:val="000000" w:themeColor="text1"/>
        </w:rPr>
        <w:t>Keywords:</w:t>
      </w:r>
      <w:r w:rsidRPr="002825DE">
        <w:rPr>
          <w:rFonts w:ascii="Arial" w:hAnsi="Arial" w:cs="Arial"/>
        </w:rPr>
        <w:t xml:space="preserve"> INR, mortality, haemorrhage, warfarin</w:t>
      </w:r>
    </w:p>
    <w:p w14:paraId="505B4035" w14:textId="77777777" w:rsidR="00D37CAD" w:rsidRPr="002825DE" w:rsidRDefault="00D37CAD" w:rsidP="00980769">
      <w:pPr>
        <w:spacing w:after="0" w:line="480" w:lineRule="auto"/>
        <w:jc w:val="both"/>
        <w:rPr>
          <w:rFonts w:ascii="Arial" w:hAnsi="Arial" w:cs="Arial"/>
          <w:color w:val="000000" w:themeColor="text1"/>
        </w:rPr>
      </w:pPr>
    </w:p>
    <w:p w14:paraId="57BB205F" w14:textId="77777777"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b/>
          <w:color w:val="000000" w:themeColor="text1"/>
        </w:rPr>
        <w:t>Correspondence:</w:t>
      </w:r>
    </w:p>
    <w:p w14:paraId="40D5C4AA" w14:textId="508B1A54"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color w:val="000000" w:themeColor="text1"/>
        </w:rPr>
        <w:t>Professor Pankaj Sharma</w:t>
      </w:r>
      <w:r w:rsidR="004A0ED4" w:rsidRPr="002825DE">
        <w:rPr>
          <w:rFonts w:ascii="Arial" w:hAnsi="Arial" w:cs="Arial"/>
          <w:color w:val="000000" w:themeColor="text1"/>
        </w:rPr>
        <w:t xml:space="preserve"> or Dr Thang S Han</w:t>
      </w:r>
    </w:p>
    <w:p w14:paraId="63E673AA" w14:textId="77777777"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color w:val="000000" w:themeColor="text1"/>
        </w:rPr>
        <w:t>Institute of Cardiovascular Research</w:t>
      </w:r>
    </w:p>
    <w:p w14:paraId="1AF02CA8" w14:textId="62E6350E" w:rsidR="00D37CAD" w:rsidRPr="002825DE" w:rsidRDefault="00D37CAD" w:rsidP="00980769">
      <w:pPr>
        <w:spacing w:after="0" w:line="480" w:lineRule="auto"/>
        <w:jc w:val="both"/>
        <w:rPr>
          <w:rFonts w:ascii="Arial" w:hAnsi="Arial" w:cs="Arial"/>
          <w:color w:val="000000" w:themeColor="text1"/>
        </w:rPr>
      </w:pPr>
      <w:r w:rsidRPr="002825DE">
        <w:rPr>
          <w:rFonts w:ascii="Arial" w:hAnsi="Arial" w:cs="Arial"/>
          <w:color w:val="000000" w:themeColor="text1"/>
        </w:rPr>
        <w:t>Royal Holloway University of London</w:t>
      </w:r>
      <w:r w:rsidR="00CE2F72" w:rsidRPr="002825DE">
        <w:rPr>
          <w:rFonts w:ascii="Arial" w:hAnsi="Arial" w:cs="Arial"/>
          <w:color w:val="000000" w:themeColor="text1"/>
        </w:rPr>
        <w:t xml:space="preserve"> (ICR2UL)</w:t>
      </w:r>
      <w:r w:rsidRPr="002825DE">
        <w:rPr>
          <w:rFonts w:ascii="Arial" w:hAnsi="Arial" w:cs="Arial"/>
          <w:color w:val="000000" w:themeColor="text1"/>
        </w:rPr>
        <w:t>, Egham TW20 0EX</w:t>
      </w:r>
      <w:r w:rsidR="00CE2F72" w:rsidRPr="002825DE">
        <w:rPr>
          <w:rFonts w:ascii="Arial" w:hAnsi="Arial" w:cs="Arial"/>
          <w:color w:val="000000" w:themeColor="text1"/>
        </w:rPr>
        <w:t xml:space="preserve"> UK</w:t>
      </w:r>
    </w:p>
    <w:p w14:paraId="2D5F93D0" w14:textId="037DD865" w:rsidR="000231CF" w:rsidRPr="002825DE" w:rsidRDefault="00D37CAD" w:rsidP="00980769">
      <w:pPr>
        <w:spacing w:after="0" w:line="480" w:lineRule="auto"/>
        <w:jc w:val="both"/>
        <w:rPr>
          <w:rFonts w:ascii="Arial" w:eastAsia="MS Gothic" w:hAnsi="Arial" w:cs="Arial"/>
          <w:color w:val="365F91"/>
          <w:sz w:val="32"/>
          <w:szCs w:val="32"/>
        </w:rPr>
      </w:pPr>
      <w:r w:rsidRPr="002825DE">
        <w:rPr>
          <w:rFonts w:ascii="Arial" w:hAnsi="Arial" w:cs="Arial"/>
          <w:color w:val="000000" w:themeColor="text1"/>
        </w:rPr>
        <w:t xml:space="preserve">Telephone: 01784443807, </w:t>
      </w:r>
      <w:hyperlink r:id="rId76" w:history="1">
        <w:r w:rsidRPr="002825DE">
          <w:rPr>
            <w:rStyle w:val="Hyperlink"/>
            <w:rFonts w:ascii="Arial" w:hAnsi="Arial" w:cs="Arial"/>
            <w:color w:val="000000" w:themeColor="text1"/>
            <w:u w:val="none"/>
          </w:rPr>
          <w:t>pankaj.sharma@rhul.ac.uk</w:t>
        </w:r>
      </w:hyperlink>
      <w:r w:rsidR="004A0ED4" w:rsidRPr="002825DE">
        <w:rPr>
          <w:rStyle w:val="Hyperlink"/>
          <w:rFonts w:ascii="Arial" w:hAnsi="Arial" w:cs="Arial"/>
          <w:color w:val="000000" w:themeColor="text1"/>
          <w:u w:val="none"/>
        </w:rPr>
        <w:t>, thang.han@rhul.ac.uk</w:t>
      </w:r>
      <w:r w:rsidR="00CD4628" w:rsidRPr="002825DE">
        <w:br w:type="page"/>
      </w:r>
    </w:p>
    <w:p w14:paraId="46B64FA1" w14:textId="5B9999C5" w:rsidR="000231CF" w:rsidRPr="002825DE" w:rsidRDefault="00904293" w:rsidP="00980769">
      <w:pPr>
        <w:pStyle w:val="Heading1"/>
        <w:spacing w:before="0" w:after="0" w:line="480" w:lineRule="auto"/>
        <w:rPr>
          <w:rFonts w:ascii="Arial" w:hAnsi="Arial" w:cs="Arial"/>
          <w:b/>
          <w:color w:val="auto"/>
          <w:sz w:val="24"/>
          <w:szCs w:val="24"/>
        </w:rPr>
      </w:pPr>
      <w:r w:rsidRPr="002825DE">
        <w:rPr>
          <w:rFonts w:ascii="Arial" w:hAnsi="Arial" w:cs="Arial"/>
          <w:b/>
          <w:color w:val="auto"/>
          <w:sz w:val="24"/>
          <w:szCs w:val="24"/>
        </w:rPr>
        <w:lastRenderedPageBreak/>
        <w:t>ABSTRACT</w:t>
      </w:r>
    </w:p>
    <w:p w14:paraId="5B19AEC0" w14:textId="255AC611" w:rsidR="000231CF" w:rsidRPr="002825DE" w:rsidRDefault="00CD4628" w:rsidP="00980769">
      <w:pPr>
        <w:spacing w:after="0" w:line="480" w:lineRule="auto"/>
        <w:jc w:val="both"/>
        <w:rPr>
          <w:rFonts w:ascii="Arial" w:hAnsi="Arial" w:cs="Arial"/>
        </w:rPr>
      </w:pPr>
      <w:r w:rsidRPr="002825DE">
        <w:rPr>
          <w:rFonts w:ascii="Arial" w:hAnsi="Arial" w:cs="Arial"/>
          <w:b/>
        </w:rPr>
        <w:t>Background</w:t>
      </w:r>
      <w:r w:rsidRPr="002825DE">
        <w:rPr>
          <w:rFonts w:ascii="Arial" w:hAnsi="Arial" w:cs="Arial"/>
        </w:rPr>
        <w:t xml:space="preserve">: Urgent reversal of vitamin K antagonists (VKA) </w:t>
      </w:r>
      <w:r w:rsidR="00587EEC" w:rsidRPr="002825DE">
        <w:rPr>
          <w:rFonts w:ascii="Arial" w:hAnsi="Arial" w:cs="Arial"/>
        </w:rPr>
        <w:t>is</w:t>
      </w:r>
      <w:r w:rsidRPr="002825DE">
        <w:rPr>
          <w:rFonts w:ascii="Arial" w:hAnsi="Arial" w:cs="Arial"/>
        </w:rPr>
        <w:t xml:space="preserve"> required </w:t>
      </w:r>
      <w:r w:rsidR="00587EEC" w:rsidRPr="002825DE">
        <w:rPr>
          <w:rFonts w:ascii="Arial" w:hAnsi="Arial" w:cs="Arial"/>
        </w:rPr>
        <w:t>for</w:t>
      </w:r>
      <w:r w:rsidRPr="002825DE">
        <w:rPr>
          <w:rFonts w:ascii="Arial" w:hAnsi="Arial" w:cs="Arial"/>
        </w:rPr>
        <w:t xml:space="preserve"> major bleeding or urgent surgery</w:t>
      </w:r>
      <w:r w:rsidR="00587EEC" w:rsidRPr="002825DE">
        <w:rPr>
          <w:rFonts w:ascii="Arial" w:hAnsi="Arial" w:cs="Arial"/>
        </w:rPr>
        <w:t xml:space="preserve"> by</w:t>
      </w:r>
      <w:r w:rsidRPr="002825DE">
        <w:rPr>
          <w:rFonts w:ascii="Arial" w:hAnsi="Arial" w:cs="Arial"/>
        </w:rPr>
        <w:t xml:space="preserve"> intravenous vitamin K with either prothrombin complex concentrates (PC</w:t>
      </w:r>
      <w:r w:rsidR="00587EEC" w:rsidRPr="002825DE">
        <w:rPr>
          <w:rFonts w:ascii="Arial" w:hAnsi="Arial" w:cs="Arial"/>
        </w:rPr>
        <w:t>C) or fresh frozen plasma (FFP). However,</w:t>
      </w:r>
      <w:r w:rsidRPr="002825DE">
        <w:rPr>
          <w:rFonts w:ascii="Arial" w:hAnsi="Arial" w:cs="Arial"/>
        </w:rPr>
        <w:t xml:space="preserve"> there is lack of consensus regarding the superiority of either reversal agent. We sought to compare the performance of PCC and FFP in urgent reversal of VKA.</w:t>
      </w:r>
    </w:p>
    <w:p w14:paraId="0351DEBC" w14:textId="3308509A" w:rsidR="000231CF" w:rsidRPr="002825DE" w:rsidRDefault="00CD4628" w:rsidP="00980769">
      <w:pPr>
        <w:spacing w:after="0" w:line="480" w:lineRule="auto"/>
        <w:jc w:val="both"/>
        <w:rPr>
          <w:rFonts w:ascii="Arial" w:hAnsi="Arial" w:cs="Arial"/>
        </w:rPr>
      </w:pPr>
      <w:r w:rsidRPr="002825DE">
        <w:rPr>
          <w:rFonts w:ascii="Arial" w:hAnsi="Arial" w:cs="Arial"/>
          <w:b/>
        </w:rPr>
        <w:t>Methods:</w:t>
      </w:r>
      <w:r w:rsidRPr="002825DE">
        <w:rPr>
          <w:rFonts w:ascii="Arial" w:hAnsi="Arial" w:cs="Arial"/>
        </w:rPr>
        <w:t xml:space="preserve"> A </w:t>
      </w:r>
      <w:r w:rsidR="000A7939" w:rsidRPr="002825DE">
        <w:rPr>
          <w:rFonts w:ascii="Arial" w:hAnsi="Arial" w:cs="Arial"/>
        </w:rPr>
        <w:t xml:space="preserve">meta-analysis </w:t>
      </w:r>
      <w:r w:rsidRPr="002825DE">
        <w:rPr>
          <w:rFonts w:ascii="Arial" w:hAnsi="Arial" w:cs="Arial"/>
        </w:rPr>
        <w:t xml:space="preserve">was conducted up to </w:t>
      </w:r>
      <w:r w:rsidR="009B31BF" w:rsidRPr="002825DE">
        <w:rPr>
          <w:rFonts w:ascii="Arial" w:hAnsi="Arial" w:cs="Arial"/>
        </w:rPr>
        <w:t>November</w:t>
      </w:r>
      <w:r w:rsidRPr="002825DE">
        <w:rPr>
          <w:rFonts w:ascii="Arial" w:hAnsi="Arial" w:cs="Arial"/>
        </w:rPr>
        <w:t xml:space="preserve"> 201</w:t>
      </w:r>
      <w:r w:rsidR="00FB2804" w:rsidRPr="002825DE">
        <w:rPr>
          <w:rFonts w:ascii="Arial" w:hAnsi="Arial" w:cs="Arial"/>
        </w:rPr>
        <w:t>8</w:t>
      </w:r>
      <w:r w:rsidRPr="002825DE">
        <w:rPr>
          <w:rFonts w:ascii="Arial" w:hAnsi="Arial" w:cs="Arial"/>
        </w:rPr>
        <w:t>. Odds ratio</w:t>
      </w:r>
      <w:r w:rsidR="00587EEC" w:rsidRPr="002825DE">
        <w:rPr>
          <w:rFonts w:ascii="Arial" w:hAnsi="Arial" w:cs="Arial"/>
        </w:rPr>
        <w:t>s</w:t>
      </w:r>
      <w:r w:rsidRPr="002825DE">
        <w:rPr>
          <w:rFonts w:ascii="Arial" w:hAnsi="Arial" w:cs="Arial"/>
        </w:rPr>
        <w:t xml:space="preserve"> (OR) and 95% confidence intervals (CI) </w:t>
      </w:r>
      <w:r w:rsidRPr="002825DE">
        <w:rPr>
          <w:rFonts w:ascii="Arial" w:hAnsi="Arial" w:cs="Arial"/>
          <w:color w:val="000000"/>
        </w:rPr>
        <w:t>were calculated using a random effect</w:t>
      </w:r>
      <w:r w:rsidR="00FB371A" w:rsidRPr="002825DE">
        <w:rPr>
          <w:rFonts w:ascii="Arial" w:hAnsi="Arial" w:cs="Arial"/>
          <w:color w:val="000000"/>
        </w:rPr>
        <w:t>s</w:t>
      </w:r>
      <w:r w:rsidRPr="002825DE">
        <w:rPr>
          <w:rFonts w:ascii="Arial" w:hAnsi="Arial" w:cs="Arial"/>
          <w:color w:val="000000"/>
        </w:rPr>
        <w:t xml:space="preserve"> model</w:t>
      </w:r>
      <w:r w:rsidRPr="002825DE">
        <w:rPr>
          <w:rFonts w:ascii="Arial" w:hAnsi="Arial" w:cs="Arial"/>
        </w:rPr>
        <w:t>.</w:t>
      </w:r>
    </w:p>
    <w:p w14:paraId="0777AF4B" w14:textId="6EC82987" w:rsidR="000231CF" w:rsidRPr="002825DE" w:rsidRDefault="00CD4628" w:rsidP="00980769">
      <w:pPr>
        <w:spacing w:after="0" w:line="480" w:lineRule="auto"/>
        <w:jc w:val="both"/>
      </w:pPr>
      <w:r w:rsidRPr="002825DE">
        <w:rPr>
          <w:rFonts w:ascii="Arial" w:hAnsi="Arial" w:cs="Arial"/>
          <w:b/>
        </w:rPr>
        <w:t>Results:</w:t>
      </w:r>
      <w:r w:rsidRPr="002825DE">
        <w:rPr>
          <w:rFonts w:ascii="Arial" w:hAnsi="Arial" w:cs="Arial"/>
        </w:rPr>
        <w:t xml:space="preserve"> </w:t>
      </w:r>
      <w:r w:rsidR="007D595C" w:rsidRPr="002825DE">
        <w:rPr>
          <w:rFonts w:ascii="Arial" w:hAnsi="Arial" w:cs="Arial"/>
        </w:rPr>
        <w:t>Seventeen studies</w:t>
      </w:r>
      <w:r w:rsidRPr="002825DE">
        <w:rPr>
          <w:rFonts w:ascii="Arial" w:hAnsi="Arial" w:cs="Arial"/>
        </w:rPr>
        <w:t xml:space="preserve"> </w:t>
      </w:r>
      <w:r w:rsidR="00587EEC" w:rsidRPr="002825DE">
        <w:rPr>
          <w:rFonts w:ascii="Arial" w:hAnsi="Arial" w:cs="Arial"/>
        </w:rPr>
        <w:t xml:space="preserve">comprising 2606 participants </w:t>
      </w:r>
      <w:r w:rsidRPr="002825DE">
        <w:rPr>
          <w:rFonts w:ascii="Arial" w:hAnsi="Arial" w:cs="Arial"/>
        </w:rPr>
        <w:t xml:space="preserve">met inclusion </w:t>
      </w:r>
      <w:r w:rsidR="00EA1C1B" w:rsidRPr="002825DE">
        <w:rPr>
          <w:rFonts w:ascii="Arial" w:hAnsi="Arial" w:cs="Arial"/>
        </w:rPr>
        <w:t>criteria</w:t>
      </w:r>
      <w:r w:rsidR="001050E6" w:rsidRPr="002825DE">
        <w:rPr>
          <w:rFonts w:ascii="Arial" w:hAnsi="Arial" w:cs="Arial"/>
        </w:rPr>
        <w:t xml:space="preserve">. </w:t>
      </w:r>
      <w:r w:rsidR="00EA1C1B" w:rsidRPr="002825DE">
        <w:rPr>
          <w:rFonts w:ascii="Arial" w:hAnsi="Arial" w:cs="Arial"/>
        </w:rPr>
        <w:t>C</w:t>
      </w:r>
      <w:r w:rsidRPr="002825DE">
        <w:rPr>
          <w:rFonts w:ascii="Arial" w:hAnsi="Arial" w:cs="Arial"/>
        </w:rPr>
        <w:t xml:space="preserve">ompared with FFP treatment, PCC treatment </w:t>
      </w:r>
      <w:r w:rsidR="00EA1C1B" w:rsidRPr="002825DE">
        <w:rPr>
          <w:rFonts w:ascii="Arial" w:hAnsi="Arial" w:cs="Arial"/>
        </w:rPr>
        <w:t>led to reduction in 90</w:t>
      </w:r>
      <w:r w:rsidRPr="002825DE">
        <w:rPr>
          <w:rFonts w:ascii="Arial" w:hAnsi="Arial" w:cs="Arial"/>
        </w:rPr>
        <w:t>day all-cause mortality (OR=0.</w:t>
      </w:r>
      <w:r w:rsidR="007D595C" w:rsidRPr="002825DE">
        <w:rPr>
          <w:rFonts w:ascii="Arial" w:hAnsi="Arial" w:cs="Arial"/>
        </w:rPr>
        <w:t>60</w:t>
      </w:r>
      <w:r w:rsidRPr="002825DE">
        <w:rPr>
          <w:rFonts w:ascii="Arial" w:hAnsi="Arial" w:cs="Arial"/>
        </w:rPr>
        <w:t>,</w:t>
      </w:r>
      <w:r w:rsidR="00324853" w:rsidRPr="002825DE">
        <w:rPr>
          <w:rFonts w:ascii="Arial" w:hAnsi="Arial" w:cs="Arial"/>
        </w:rPr>
        <w:t xml:space="preserve"> 95%CI=0.</w:t>
      </w:r>
      <w:r w:rsidR="007D595C" w:rsidRPr="002825DE">
        <w:rPr>
          <w:rFonts w:ascii="Arial" w:hAnsi="Arial" w:cs="Arial"/>
        </w:rPr>
        <w:t>40</w:t>
      </w:r>
      <w:r w:rsidR="00324853" w:rsidRPr="002825DE">
        <w:rPr>
          <w:rFonts w:ascii="Arial" w:hAnsi="Arial" w:cs="Arial"/>
        </w:rPr>
        <w:t>-0.</w:t>
      </w:r>
      <w:r w:rsidR="007D595C" w:rsidRPr="002825DE">
        <w:rPr>
          <w:rFonts w:ascii="Arial" w:hAnsi="Arial" w:cs="Arial"/>
        </w:rPr>
        <w:t>90</w:t>
      </w:r>
      <w:r w:rsidR="00324853" w:rsidRPr="002825DE">
        <w:rPr>
          <w:rFonts w:ascii="Arial" w:hAnsi="Arial" w:cs="Arial"/>
        </w:rPr>
        <w:t>, p</w:t>
      </w:r>
      <w:r w:rsidR="000E3465" w:rsidRPr="002825DE">
        <w:rPr>
          <w:rFonts w:ascii="Arial" w:hAnsi="Arial" w:cs="Arial"/>
        </w:rPr>
        <w:t>=</w:t>
      </w:r>
      <w:r w:rsidR="007D595C" w:rsidRPr="002825DE">
        <w:rPr>
          <w:rFonts w:ascii="Arial" w:hAnsi="Arial" w:cs="Arial"/>
        </w:rPr>
        <w:t>0.01</w:t>
      </w:r>
      <w:r w:rsidR="00324853" w:rsidRPr="002825DE">
        <w:rPr>
          <w:rFonts w:ascii="Arial" w:hAnsi="Arial" w:cs="Arial"/>
        </w:rPr>
        <w:t>),</w:t>
      </w:r>
      <w:r w:rsidRPr="002825DE">
        <w:rPr>
          <w:rFonts w:ascii="Arial" w:hAnsi="Arial" w:cs="Arial"/>
        </w:rPr>
        <w:t xml:space="preserve"> </w:t>
      </w:r>
      <w:r w:rsidR="000E3465" w:rsidRPr="002825DE">
        <w:rPr>
          <w:rFonts w:ascii="Arial" w:hAnsi="Arial" w:cs="Arial"/>
        </w:rPr>
        <w:t xml:space="preserve">better </w:t>
      </w:r>
      <w:r w:rsidR="00587EEC" w:rsidRPr="002825DE">
        <w:rPr>
          <w:rFonts w:ascii="Arial" w:hAnsi="Arial" w:cs="Arial"/>
        </w:rPr>
        <w:t xml:space="preserve">reversal of </w:t>
      </w:r>
      <w:r w:rsidRPr="002825DE">
        <w:rPr>
          <w:rFonts w:ascii="Arial" w:hAnsi="Arial" w:cs="Arial"/>
        </w:rPr>
        <w:t>INR (OR=</w:t>
      </w:r>
      <w:r w:rsidR="00EC4219" w:rsidRPr="002825DE">
        <w:rPr>
          <w:rFonts w:ascii="Arial" w:hAnsi="Arial" w:cs="Arial"/>
        </w:rPr>
        <w:t>7.36</w:t>
      </w:r>
      <w:r w:rsidR="00587EEC" w:rsidRPr="002825DE">
        <w:rPr>
          <w:rFonts w:ascii="Arial" w:hAnsi="Arial" w:cs="Arial"/>
        </w:rPr>
        <w:t>, 95%</w:t>
      </w:r>
      <w:r w:rsidRPr="002825DE">
        <w:rPr>
          <w:rFonts w:ascii="Arial" w:hAnsi="Arial" w:cs="Arial"/>
        </w:rPr>
        <w:t>CI=</w:t>
      </w:r>
      <w:r w:rsidR="00EC4219" w:rsidRPr="002825DE">
        <w:rPr>
          <w:rFonts w:ascii="Arial" w:hAnsi="Arial" w:cs="Arial"/>
        </w:rPr>
        <w:t>4.18-12.98</w:t>
      </w:r>
      <w:r w:rsidRPr="002825DE">
        <w:rPr>
          <w:rFonts w:ascii="Arial" w:hAnsi="Arial" w:cs="Arial"/>
        </w:rPr>
        <w:t>; p&lt;0.00001)</w:t>
      </w:r>
      <w:r w:rsidR="00FB371A" w:rsidRPr="002825DE">
        <w:rPr>
          <w:rFonts w:ascii="Arial" w:hAnsi="Arial" w:cs="Arial"/>
        </w:rPr>
        <w:t xml:space="preserve"> and</w:t>
      </w:r>
      <w:r w:rsidR="00C073F1" w:rsidRPr="002825DE">
        <w:rPr>
          <w:rFonts w:ascii="Arial" w:hAnsi="Arial" w:cs="Arial"/>
        </w:rPr>
        <w:t xml:space="preserve"> lower </w:t>
      </w:r>
      <w:r w:rsidR="000E3465" w:rsidRPr="002825DE">
        <w:rPr>
          <w:rFonts w:ascii="Arial" w:hAnsi="Arial" w:cs="Arial"/>
        </w:rPr>
        <w:t>risk of at least one treatment-related adverse event (OR</w:t>
      </w:r>
      <w:r w:rsidR="00C073F1" w:rsidRPr="002825DE">
        <w:rPr>
          <w:rFonts w:ascii="Arial" w:hAnsi="Arial" w:cs="Arial"/>
        </w:rPr>
        <w:t>=</w:t>
      </w:r>
      <w:r w:rsidR="000E3465" w:rsidRPr="002825DE">
        <w:rPr>
          <w:rFonts w:ascii="Arial" w:hAnsi="Arial" w:cs="Arial"/>
        </w:rPr>
        <w:t>0.45, 95%CI=0.26-0.80, p=</w:t>
      </w:r>
      <w:r w:rsidR="00C073F1" w:rsidRPr="002825DE">
        <w:rPr>
          <w:rFonts w:ascii="Arial" w:hAnsi="Arial" w:cs="Arial"/>
        </w:rPr>
        <w:t>0.006)</w:t>
      </w:r>
      <w:r w:rsidR="00FC21A7" w:rsidRPr="002825DE">
        <w:rPr>
          <w:rFonts w:ascii="Arial" w:hAnsi="Arial" w:cs="Arial"/>
        </w:rPr>
        <w:t xml:space="preserve">. </w:t>
      </w:r>
      <w:r w:rsidR="00C750A8" w:rsidRPr="002825DE">
        <w:rPr>
          <w:rFonts w:ascii="Arial" w:hAnsi="Arial" w:cs="Arial"/>
        </w:rPr>
        <w:t>Among</w:t>
      </w:r>
      <w:r w:rsidRPr="002825DE">
        <w:rPr>
          <w:rFonts w:ascii="Arial" w:hAnsi="Arial" w:cs="Arial"/>
        </w:rPr>
        <w:t xml:space="preserve"> patients with VKA-associated intracranial haemorrhage, PCC treatment </w:t>
      </w:r>
      <w:r w:rsidR="00587EEC" w:rsidRPr="002825DE">
        <w:rPr>
          <w:rFonts w:ascii="Arial" w:hAnsi="Arial" w:cs="Arial"/>
        </w:rPr>
        <w:t>led to</w:t>
      </w:r>
      <w:r w:rsidRPr="002825DE">
        <w:rPr>
          <w:rFonts w:ascii="Arial" w:hAnsi="Arial" w:cs="Arial"/>
        </w:rPr>
        <w:t xml:space="preserve"> </w:t>
      </w:r>
      <w:r w:rsidR="00C750A8" w:rsidRPr="002825DE">
        <w:rPr>
          <w:rFonts w:ascii="Arial" w:hAnsi="Arial" w:cs="Arial"/>
        </w:rPr>
        <w:t>reduction in 90</w:t>
      </w:r>
      <w:r w:rsidRPr="002825DE">
        <w:rPr>
          <w:rFonts w:ascii="Arial" w:hAnsi="Arial" w:cs="Arial"/>
        </w:rPr>
        <w:t>day all-cause mortality (OR=0.58, 95%CI=0.35-0.94, p=0.03)</w:t>
      </w:r>
      <w:r w:rsidR="00C073F1" w:rsidRPr="002825DE">
        <w:rPr>
          <w:rFonts w:ascii="Arial" w:hAnsi="Arial" w:cs="Arial"/>
        </w:rPr>
        <w:t xml:space="preserve"> and </w:t>
      </w:r>
      <w:r w:rsidR="00C750A8" w:rsidRPr="002825DE">
        <w:rPr>
          <w:rFonts w:ascii="Arial" w:hAnsi="Arial" w:cs="Arial"/>
        </w:rPr>
        <w:t>better</w:t>
      </w:r>
      <w:r w:rsidRPr="002825DE">
        <w:rPr>
          <w:rFonts w:ascii="Arial" w:hAnsi="Arial" w:cs="Arial"/>
        </w:rPr>
        <w:t xml:space="preserve"> </w:t>
      </w:r>
      <w:r w:rsidR="00587EEC" w:rsidRPr="002825DE">
        <w:rPr>
          <w:rFonts w:ascii="Arial" w:hAnsi="Arial" w:cs="Arial"/>
        </w:rPr>
        <w:t xml:space="preserve">reversal of </w:t>
      </w:r>
      <w:r w:rsidRPr="002825DE">
        <w:rPr>
          <w:rFonts w:ascii="Arial" w:hAnsi="Arial" w:cs="Arial"/>
        </w:rPr>
        <w:t>INR (OR=</w:t>
      </w:r>
      <w:r w:rsidR="007D595C" w:rsidRPr="002825DE">
        <w:rPr>
          <w:rFonts w:ascii="Arial" w:hAnsi="Arial" w:cs="Arial"/>
        </w:rPr>
        <w:t>6.52</w:t>
      </w:r>
      <w:r w:rsidRPr="002825DE">
        <w:rPr>
          <w:rFonts w:ascii="Arial" w:hAnsi="Arial" w:cs="Arial"/>
        </w:rPr>
        <w:t>, 95%</w:t>
      </w:r>
      <w:r w:rsidR="007D595C" w:rsidRPr="002825DE">
        <w:rPr>
          <w:rFonts w:ascii="Arial" w:hAnsi="Arial" w:cs="Arial"/>
        </w:rPr>
        <w:t xml:space="preserve"> </w:t>
      </w:r>
      <w:r w:rsidRPr="002825DE">
        <w:rPr>
          <w:rFonts w:ascii="Arial" w:hAnsi="Arial" w:cs="Arial"/>
        </w:rPr>
        <w:t>CI=1.</w:t>
      </w:r>
      <w:r w:rsidR="007D595C" w:rsidRPr="002825DE">
        <w:rPr>
          <w:rFonts w:ascii="Arial" w:hAnsi="Arial" w:cs="Arial"/>
        </w:rPr>
        <w:t>66</w:t>
      </w:r>
      <w:r w:rsidRPr="002825DE">
        <w:rPr>
          <w:rFonts w:ascii="Arial" w:hAnsi="Arial" w:cs="Arial"/>
        </w:rPr>
        <w:t>-</w:t>
      </w:r>
      <w:r w:rsidR="007D595C" w:rsidRPr="002825DE">
        <w:rPr>
          <w:rFonts w:ascii="Arial" w:hAnsi="Arial" w:cs="Arial"/>
        </w:rPr>
        <w:t>25.59</w:t>
      </w:r>
      <w:r w:rsidRPr="002825DE">
        <w:rPr>
          <w:rFonts w:ascii="Arial" w:hAnsi="Arial" w:cs="Arial"/>
        </w:rPr>
        <w:t xml:space="preserve">, </w:t>
      </w:r>
      <w:r w:rsidR="00C073F1" w:rsidRPr="002825DE">
        <w:rPr>
          <w:rFonts w:ascii="Arial" w:hAnsi="Arial" w:cs="Arial"/>
        </w:rPr>
        <w:t>p=0.00</w:t>
      </w:r>
      <w:r w:rsidR="007D595C" w:rsidRPr="002825DE">
        <w:rPr>
          <w:rFonts w:ascii="Arial" w:hAnsi="Arial" w:cs="Arial"/>
        </w:rPr>
        <w:t>7</w:t>
      </w:r>
      <w:r w:rsidR="00C073F1" w:rsidRPr="002825DE">
        <w:rPr>
          <w:rFonts w:ascii="Arial" w:hAnsi="Arial" w:cs="Arial"/>
        </w:rPr>
        <w:t xml:space="preserve">). </w:t>
      </w:r>
      <w:r w:rsidRPr="002825DE">
        <w:rPr>
          <w:rFonts w:ascii="Arial" w:hAnsi="Arial" w:cs="Arial"/>
        </w:rPr>
        <w:t>There were no differences between these two agents in thrombogenicity</w:t>
      </w:r>
      <w:r w:rsidR="00324853" w:rsidRPr="002825DE">
        <w:rPr>
          <w:rFonts w:ascii="Arial" w:hAnsi="Arial" w:cs="Arial"/>
        </w:rPr>
        <w:t xml:space="preserve">, </w:t>
      </w:r>
      <w:r w:rsidR="00A63BB0" w:rsidRPr="002825DE">
        <w:rPr>
          <w:rFonts w:ascii="Arial" w:hAnsi="Arial" w:cs="Arial"/>
        </w:rPr>
        <w:t>requirement</w:t>
      </w:r>
      <w:r w:rsidR="00324853" w:rsidRPr="002825DE">
        <w:rPr>
          <w:rFonts w:ascii="Arial" w:hAnsi="Arial" w:cs="Arial"/>
        </w:rPr>
        <w:t xml:space="preserve"> </w:t>
      </w:r>
      <w:r w:rsidR="00587EEC" w:rsidRPr="002825DE">
        <w:rPr>
          <w:rFonts w:ascii="Arial" w:hAnsi="Arial" w:cs="Arial"/>
        </w:rPr>
        <w:t xml:space="preserve">for and </w:t>
      </w:r>
      <w:r w:rsidR="0081693D" w:rsidRPr="002825DE">
        <w:rPr>
          <w:rFonts w:ascii="Arial" w:hAnsi="Arial" w:cs="Arial"/>
        </w:rPr>
        <w:t>quantity</w:t>
      </w:r>
      <w:r w:rsidR="00587EEC" w:rsidRPr="002825DE">
        <w:rPr>
          <w:rFonts w:ascii="Arial" w:hAnsi="Arial" w:cs="Arial"/>
        </w:rPr>
        <w:t xml:space="preserve"> of </w:t>
      </w:r>
      <w:r w:rsidR="00A63BB0" w:rsidRPr="002825DE">
        <w:rPr>
          <w:rFonts w:ascii="Arial" w:hAnsi="Arial" w:cs="Arial"/>
        </w:rPr>
        <w:t>red blood cell</w:t>
      </w:r>
      <w:r w:rsidR="00C750A8" w:rsidRPr="002825DE">
        <w:rPr>
          <w:rFonts w:ascii="Arial" w:hAnsi="Arial" w:cs="Arial"/>
        </w:rPr>
        <w:t xml:space="preserve"> </w:t>
      </w:r>
      <w:r w:rsidR="00324853" w:rsidRPr="002825DE">
        <w:rPr>
          <w:rFonts w:ascii="Arial" w:hAnsi="Arial" w:cs="Arial"/>
        </w:rPr>
        <w:t>transfusions, all adverse events</w:t>
      </w:r>
      <w:r w:rsidR="00C750A8" w:rsidRPr="002825DE">
        <w:rPr>
          <w:rFonts w:ascii="Arial" w:hAnsi="Arial" w:cs="Arial"/>
        </w:rPr>
        <w:t>,</w:t>
      </w:r>
      <w:r w:rsidR="00FB371A" w:rsidRPr="002825DE">
        <w:rPr>
          <w:rFonts w:ascii="Arial" w:hAnsi="Arial" w:cs="Arial"/>
        </w:rPr>
        <w:t xml:space="preserve"> fluid overload </w:t>
      </w:r>
      <w:r w:rsidR="00305CF2" w:rsidRPr="002825DE">
        <w:rPr>
          <w:rFonts w:ascii="Arial" w:hAnsi="Arial" w:cs="Arial"/>
        </w:rPr>
        <w:t>or disability</w:t>
      </w:r>
      <w:r w:rsidR="00C750A8" w:rsidRPr="002825DE">
        <w:rPr>
          <w:rFonts w:ascii="Arial" w:hAnsi="Arial" w:cs="Arial"/>
        </w:rPr>
        <w:t xml:space="preserve"> on discharge or </w:t>
      </w:r>
      <w:r w:rsidR="00305CF2" w:rsidRPr="002825DE">
        <w:rPr>
          <w:rFonts w:ascii="Arial" w:hAnsi="Arial" w:cs="Arial"/>
        </w:rPr>
        <w:t xml:space="preserve">at </w:t>
      </w:r>
      <w:r w:rsidR="00D12A58" w:rsidRPr="002825DE">
        <w:rPr>
          <w:rFonts w:ascii="Arial" w:hAnsi="Arial" w:cs="Arial"/>
        </w:rPr>
        <w:t>90</w:t>
      </w:r>
      <w:r w:rsidR="00305CF2" w:rsidRPr="002825DE">
        <w:rPr>
          <w:rFonts w:ascii="Arial" w:hAnsi="Arial" w:cs="Arial"/>
        </w:rPr>
        <w:t>days</w:t>
      </w:r>
      <w:r w:rsidR="00480DC2" w:rsidRPr="002825DE">
        <w:rPr>
          <w:rFonts w:ascii="Arial" w:hAnsi="Arial" w:cs="Arial"/>
        </w:rPr>
        <w:t>.</w:t>
      </w:r>
    </w:p>
    <w:p w14:paraId="0A204001" w14:textId="5CA65E2E" w:rsidR="000231CF" w:rsidRPr="002825DE" w:rsidRDefault="00CD4628" w:rsidP="00980769">
      <w:pPr>
        <w:spacing w:after="0" w:line="480" w:lineRule="auto"/>
        <w:jc w:val="both"/>
        <w:rPr>
          <w:rFonts w:ascii="Arial" w:eastAsia="MS Gothic" w:hAnsi="Arial" w:cs="Arial"/>
          <w:color w:val="365F91"/>
        </w:rPr>
      </w:pPr>
      <w:r w:rsidRPr="002825DE">
        <w:rPr>
          <w:rFonts w:ascii="Arial" w:hAnsi="Arial" w:cs="Arial"/>
          <w:b/>
        </w:rPr>
        <w:t>Conclusions:</w:t>
      </w:r>
      <w:r w:rsidRPr="002825DE">
        <w:rPr>
          <w:rFonts w:ascii="Arial" w:hAnsi="Arial" w:cs="Arial"/>
        </w:rPr>
        <w:t xml:space="preserve"> As an agent for urgent reversal of</w:t>
      </w:r>
      <w:r w:rsidR="003C2663" w:rsidRPr="002825DE">
        <w:rPr>
          <w:rFonts w:ascii="Arial" w:hAnsi="Arial" w:cs="Arial"/>
        </w:rPr>
        <w:t xml:space="preserve"> VKA, PCC outperforms FFP in 90</w:t>
      </w:r>
      <w:r w:rsidRPr="002825DE">
        <w:rPr>
          <w:rFonts w:ascii="Arial" w:hAnsi="Arial" w:cs="Arial"/>
        </w:rPr>
        <w:t>day all-cause mortality including those wi</w:t>
      </w:r>
      <w:r w:rsidR="00D12A58" w:rsidRPr="002825DE">
        <w:rPr>
          <w:rFonts w:ascii="Arial" w:hAnsi="Arial" w:cs="Arial"/>
          <w:color w:val="000000"/>
        </w:rPr>
        <w:t>th VKA-related</w:t>
      </w:r>
      <w:r w:rsidRPr="002825DE">
        <w:rPr>
          <w:rFonts w:ascii="Arial" w:hAnsi="Arial" w:cs="Arial"/>
          <w:color w:val="000000"/>
        </w:rPr>
        <w:t xml:space="preserve"> intracranial haemorrhage</w:t>
      </w:r>
      <w:r w:rsidRPr="002825DE">
        <w:rPr>
          <w:rFonts w:ascii="Arial" w:hAnsi="Arial" w:cs="Arial"/>
        </w:rPr>
        <w:t xml:space="preserve">, INR reversal and </w:t>
      </w:r>
      <w:r w:rsidR="00305CF2" w:rsidRPr="002825DE">
        <w:rPr>
          <w:rFonts w:ascii="Arial" w:hAnsi="Arial" w:cs="Arial"/>
        </w:rPr>
        <w:t>treatment</w:t>
      </w:r>
      <w:r w:rsidR="00D12A58" w:rsidRPr="002825DE">
        <w:rPr>
          <w:rFonts w:ascii="Arial" w:hAnsi="Arial" w:cs="Arial"/>
        </w:rPr>
        <w:t>-</w:t>
      </w:r>
      <w:r w:rsidR="00305CF2" w:rsidRPr="002825DE">
        <w:rPr>
          <w:rFonts w:ascii="Arial" w:hAnsi="Arial" w:cs="Arial"/>
        </w:rPr>
        <w:t>related adverse events</w:t>
      </w:r>
      <w:r w:rsidRPr="002825DE">
        <w:rPr>
          <w:rFonts w:ascii="Arial" w:hAnsi="Arial" w:cs="Arial"/>
        </w:rPr>
        <w:t>.</w:t>
      </w:r>
      <w:r w:rsidRPr="002825DE">
        <w:br w:type="page"/>
      </w:r>
    </w:p>
    <w:p w14:paraId="4BFA81EA" w14:textId="77777777" w:rsidR="00D40F4B" w:rsidRPr="002825DE" w:rsidRDefault="0059745E" w:rsidP="00F367A5">
      <w:pPr>
        <w:spacing w:after="0" w:line="480" w:lineRule="auto"/>
        <w:rPr>
          <w:rFonts w:ascii="Arial" w:hAnsi="Arial" w:cs="Arial"/>
          <w:b/>
        </w:rPr>
      </w:pPr>
      <w:r w:rsidRPr="002825DE">
        <w:rPr>
          <w:rFonts w:ascii="Arial" w:hAnsi="Arial" w:cs="Arial"/>
          <w:b/>
        </w:rPr>
        <w:lastRenderedPageBreak/>
        <w:t>KEY POINTS</w:t>
      </w:r>
    </w:p>
    <w:p w14:paraId="13AD3444" w14:textId="3A380057" w:rsidR="00F367A5" w:rsidRPr="002825DE" w:rsidRDefault="00F367A5" w:rsidP="00F367A5">
      <w:pPr>
        <w:spacing w:after="0" w:line="480" w:lineRule="auto"/>
        <w:rPr>
          <w:rFonts w:ascii="Arial" w:hAnsi="Arial" w:cs="Arial"/>
        </w:rPr>
      </w:pPr>
      <w:r w:rsidRPr="002825DE">
        <w:rPr>
          <w:rFonts w:ascii="Arial" w:hAnsi="Arial" w:cs="Arial"/>
        </w:rPr>
        <w:t>Urgent reversal of vitamin K antagonists (VKA) is required for major bleeding or urgent surgery by intravenous vitamin K with either prothrombin complex concentrates (PCC) or fresh frozen plasma (FFP).</w:t>
      </w:r>
    </w:p>
    <w:p w14:paraId="5FBB9460" w14:textId="77777777" w:rsidR="00F367A5" w:rsidRPr="002825DE" w:rsidRDefault="00F367A5" w:rsidP="00F367A5">
      <w:pPr>
        <w:spacing w:after="0" w:line="480" w:lineRule="auto"/>
        <w:rPr>
          <w:rFonts w:ascii="Arial" w:hAnsi="Arial" w:cs="Arial"/>
        </w:rPr>
      </w:pPr>
    </w:p>
    <w:p w14:paraId="3D23C003" w14:textId="542BA629" w:rsidR="00F367A5" w:rsidRPr="002825DE" w:rsidRDefault="00F367A5" w:rsidP="00F367A5">
      <w:pPr>
        <w:spacing w:after="0" w:line="480" w:lineRule="auto"/>
        <w:rPr>
          <w:rFonts w:ascii="Arial" w:hAnsi="Arial" w:cs="Arial"/>
        </w:rPr>
      </w:pPr>
      <w:r w:rsidRPr="002825DE">
        <w:rPr>
          <w:rFonts w:ascii="Arial" w:hAnsi="Arial" w:cs="Arial"/>
        </w:rPr>
        <w:t>There is lack of consensus regarding the superiority of either reversal agent.</w:t>
      </w:r>
    </w:p>
    <w:p w14:paraId="78B557A7" w14:textId="77777777" w:rsidR="00F367A5" w:rsidRPr="002825DE" w:rsidRDefault="00F367A5" w:rsidP="00F367A5">
      <w:pPr>
        <w:spacing w:after="0" w:line="480" w:lineRule="auto"/>
        <w:rPr>
          <w:rFonts w:ascii="Arial" w:hAnsi="Arial" w:cs="Arial"/>
        </w:rPr>
      </w:pPr>
    </w:p>
    <w:p w14:paraId="3E9CA6E2" w14:textId="7A04EC42" w:rsidR="0059745E" w:rsidRPr="002825DE" w:rsidRDefault="00606CDE" w:rsidP="00F367A5">
      <w:pPr>
        <w:spacing w:after="0" w:line="480" w:lineRule="auto"/>
        <w:rPr>
          <w:rFonts w:ascii="Arial" w:hAnsi="Arial" w:cs="Arial"/>
        </w:rPr>
      </w:pPr>
      <w:r w:rsidRPr="002825DE">
        <w:rPr>
          <w:rFonts w:ascii="Arial" w:hAnsi="Arial" w:cs="Arial"/>
        </w:rPr>
        <w:t>Using a meta-analysis strategy, w</w:t>
      </w:r>
      <w:r w:rsidR="00F367A5" w:rsidRPr="002825DE">
        <w:rPr>
          <w:rFonts w:ascii="Arial" w:hAnsi="Arial" w:cs="Arial"/>
        </w:rPr>
        <w:t xml:space="preserve">e </w:t>
      </w:r>
      <w:r w:rsidRPr="002825DE">
        <w:rPr>
          <w:rFonts w:ascii="Arial" w:hAnsi="Arial" w:cs="Arial"/>
        </w:rPr>
        <w:t xml:space="preserve">report </w:t>
      </w:r>
      <w:r w:rsidR="00F367A5" w:rsidRPr="002825DE">
        <w:rPr>
          <w:rFonts w:ascii="Arial" w:hAnsi="Arial" w:cs="Arial"/>
        </w:rPr>
        <w:t>PCC outperforms FFP in 90day all-cause mortality including those wi</w:t>
      </w:r>
      <w:r w:rsidR="00F367A5" w:rsidRPr="002825DE">
        <w:rPr>
          <w:rFonts w:ascii="Arial" w:hAnsi="Arial" w:cs="Arial"/>
          <w:color w:val="000000"/>
        </w:rPr>
        <w:t>th VKA-related intracranial haemorrhage</w:t>
      </w:r>
      <w:r w:rsidR="00F367A5" w:rsidRPr="002825DE">
        <w:rPr>
          <w:rFonts w:ascii="Arial" w:hAnsi="Arial" w:cs="Arial"/>
        </w:rPr>
        <w:t>, INR reversal and treatment-related adverse events.</w:t>
      </w:r>
      <w:r w:rsidR="0059745E" w:rsidRPr="002825DE">
        <w:rPr>
          <w:rFonts w:ascii="Arial" w:hAnsi="Arial" w:cs="Arial"/>
          <w:b/>
        </w:rPr>
        <w:br w:type="page"/>
      </w:r>
    </w:p>
    <w:p w14:paraId="124428D4" w14:textId="1365ACA3" w:rsidR="000231CF" w:rsidRPr="002825DE" w:rsidRDefault="00CD4628" w:rsidP="00980769">
      <w:pPr>
        <w:pStyle w:val="Heading1"/>
        <w:spacing w:before="0" w:after="0" w:line="480" w:lineRule="auto"/>
        <w:rPr>
          <w:rFonts w:ascii="Arial" w:hAnsi="Arial" w:cs="Arial"/>
          <w:b/>
          <w:color w:val="auto"/>
          <w:sz w:val="24"/>
          <w:szCs w:val="24"/>
        </w:rPr>
      </w:pPr>
      <w:r w:rsidRPr="002825DE">
        <w:rPr>
          <w:rFonts w:ascii="Arial" w:hAnsi="Arial" w:cs="Arial"/>
          <w:b/>
          <w:color w:val="auto"/>
          <w:sz w:val="24"/>
          <w:szCs w:val="24"/>
        </w:rPr>
        <w:lastRenderedPageBreak/>
        <w:t>INTRODUCTION</w:t>
      </w:r>
    </w:p>
    <w:p w14:paraId="59855D5A" w14:textId="2C316F61" w:rsidR="000231CF" w:rsidRPr="002825DE" w:rsidRDefault="00CD4628" w:rsidP="00980769">
      <w:pPr>
        <w:spacing w:after="0" w:line="480" w:lineRule="auto"/>
        <w:jc w:val="both"/>
      </w:pPr>
      <w:r w:rsidRPr="002825DE">
        <w:rPr>
          <w:rFonts w:ascii="Arial" w:hAnsi="Arial" w:cs="Arial"/>
        </w:rPr>
        <w:t>Vitamin K antagonists (VKAs) are anticoagulant drugs used for the treatment and prevention of multiple thrombotic conditions. Whilst they have been proven to cause a significant decrease in the rate of mortality in patients with previous thromboembolic events, they are associated with an increased risk of spontaneous bleeding events and prolonged bleeding, with some studies reporting the relative risk for fatal bleeding as high as 4.8 compared with no treatment</w:t>
      </w:r>
      <w:r w:rsidR="007B0C11" w:rsidRPr="002825DE">
        <w:rPr>
          <w:rFonts w:ascii="Arial" w:hAnsi="Arial" w:cs="Arial"/>
        </w:rPr>
        <w:t xml:space="preserve"> </w:t>
      </w:r>
      <w:r w:rsidRPr="002825DE">
        <w:fldChar w:fldCharType="begin"/>
      </w:r>
      <w:r w:rsidR="004313B4" w:rsidRPr="002825DE">
        <w:instrText>ADDIN RW.CITE{{4501 Ansell,Jack 2008; 4550 Wysowski,D.K. 2007}}</w:instrText>
      </w:r>
      <w:r w:rsidRPr="002825DE">
        <w:fldChar w:fldCharType="separate"/>
      </w:r>
      <w:bookmarkStart w:id="1" w:name="__Fieldmark__118_2453490188"/>
      <w:bookmarkStart w:id="2" w:name="__Fieldmark__3380_2106776864"/>
      <w:bookmarkStart w:id="3" w:name="__Fieldmark__1801_2106776864"/>
      <w:bookmarkStart w:id="4" w:name="__Fieldmark__172_2106776864"/>
      <w:r w:rsidR="003960ED" w:rsidRPr="002825DE">
        <w:rPr>
          <w:rFonts w:ascii="Arial" w:hAnsi="Arial" w:cs="Arial"/>
        </w:rPr>
        <w:t>[1,2]</w:t>
      </w:r>
      <w:r w:rsidRPr="002825DE">
        <w:fldChar w:fldCharType="end"/>
      </w:r>
      <w:bookmarkStart w:id="5" w:name="__Fieldmark__183_4243418973"/>
      <w:bookmarkStart w:id="6" w:name="__Fieldmark__188_2557495909"/>
      <w:bookmarkStart w:id="7" w:name="__Fieldmark__172_1242759569"/>
      <w:bookmarkEnd w:id="1"/>
      <w:bookmarkEnd w:id="2"/>
      <w:bookmarkEnd w:id="3"/>
      <w:bookmarkEnd w:id="4"/>
      <w:bookmarkEnd w:id="5"/>
      <w:bookmarkEnd w:id="6"/>
      <w:bookmarkEnd w:id="7"/>
      <w:r w:rsidRPr="002825DE">
        <w:rPr>
          <w:rFonts w:ascii="Arial" w:hAnsi="Arial" w:cs="Arial"/>
        </w:rPr>
        <w:t>. Warfarin is still the most commonly prescribed VKA</w:t>
      </w:r>
      <w:r w:rsidR="003E0C41" w:rsidRPr="002825DE">
        <w:rPr>
          <w:rFonts w:ascii="Arial" w:hAnsi="Arial" w:cs="Arial"/>
        </w:rPr>
        <w:t>.</w:t>
      </w:r>
      <w:r w:rsidR="003E0C41" w:rsidRPr="002825DE">
        <w:rPr>
          <w:rFonts w:ascii="Arial" w:hAnsi="Arial" w:cs="Arial"/>
          <w:strike/>
        </w:rPr>
        <w:t xml:space="preserve"> </w:t>
      </w:r>
    </w:p>
    <w:p w14:paraId="6C5B2A06" w14:textId="77777777" w:rsidR="000231CF" w:rsidRPr="002825DE" w:rsidRDefault="000231CF" w:rsidP="00980769">
      <w:pPr>
        <w:spacing w:after="0" w:line="480" w:lineRule="auto"/>
        <w:jc w:val="both"/>
        <w:rPr>
          <w:rFonts w:ascii="Arial" w:hAnsi="Arial" w:cs="Arial"/>
        </w:rPr>
      </w:pPr>
    </w:p>
    <w:p w14:paraId="00680A57" w14:textId="211FFE27" w:rsidR="000231CF" w:rsidRPr="002825DE" w:rsidRDefault="00CD4628" w:rsidP="00980769">
      <w:pPr>
        <w:spacing w:after="0" w:line="480" w:lineRule="auto"/>
        <w:jc w:val="both"/>
      </w:pPr>
      <w:r w:rsidRPr="002825DE">
        <w:rPr>
          <w:rFonts w:ascii="Arial" w:hAnsi="Arial" w:cs="Arial"/>
        </w:rPr>
        <w:t>Urgent reversal of VKAs may be required in the case of major haemorrhage, prior to surgery or warfarin overtreatment. The direct antidote vitamin K can take up to four hours to take effect</w:t>
      </w:r>
      <w:r w:rsidR="00C47D1E" w:rsidRPr="002825DE">
        <w:rPr>
          <w:rFonts w:ascii="Arial" w:hAnsi="Arial" w:cs="Arial"/>
        </w:rPr>
        <w:t xml:space="preserve"> [3]</w:t>
      </w:r>
      <w:bookmarkStart w:id="8" w:name="__Fieldmark__203_4243418973"/>
      <w:bookmarkStart w:id="9" w:name="__Fieldmark__208_2557495909"/>
      <w:bookmarkStart w:id="10" w:name="__Fieldmark__193_1242759569"/>
      <w:bookmarkEnd w:id="8"/>
      <w:bookmarkEnd w:id="9"/>
      <w:bookmarkEnd w:id="10"/>
      <w:r w:rsidRPr="002825DE">
        <w:rPr>
          <w:rFonts w:ascii="Arial" w:hAnsi="Arial" w:cs="Arial"/>
        </w:rPr>
        <w:t xml:space="preserve">. The two most commonly used rapidly acting reversal agents alongside vitamin K are </w:t>
      </w:r>
      <w:r w:rsidR="00C47D1E" w:rsidRPr="002825DE">
        <w:rPr>
          <w:rFonts w:ascii="Arial" w:hAnsi="Arial" w:cs="Arial"/>
        </w:rPr>
        <w:t>prothrombin complex concentrates (PCC)</w:t>
      </w:r>
      <w:r w:rsidRPr="002825DE">
        <w:rPr>
          <w:rFonts w:ascii="Arial" w:hAnsi="Arial" w:cs="Arial"/>
        </w:rPr>
        <w:t xml:space="preserve"> and fresh frozen plasma (FFP). </w:t>
      </w:r>
      <w:r w:rsidR="00F925B0" w:rsidRPr="002825DE">
        <w:rPr>
          <w:rFonts w:ascii="Arial" w:hAnsi="Arial" w:cs="Arial"/>
          <w:color w:val="201F1E"/>
          <w:shd w:val="clear" w:color="auto" w:fill="FFFFFF"/>
        </w:rPr>
        <w:t xml:space="preserve">PCCs require concurrent vitamin K administration based on studies and labelling for VKA reversal [4]. </w:t>
      </w:r>
      <w:r w:rsidRPr="002825DE">
        <w:rPr>
          <w:rFonts w:ascii="Arial" w:hAnsi="Arial" w:cs="Arial"/>
        </w:rPr>
        <w:t xml:space="preserve">Both </w:t>
      </w:r>
      <w:r w:rsidR="00065955" w:rsidRPr="002825DE">
        <w:rPr>
          <w:rFonts w:ascii="Arial" w:hAnsi="Arial" w:cs="Arial"/>
        </w:rPr>
        <w:t xml:space="preserve">PCC and FFP </w:t>
      </w:r>
      <w:r w:rsidRPr="002825DE">
        <w:rPr>
          <w:rFonts w:ascii="Arial" w:hAnsi="Arial" w:cs="Arial"/>
        </w:rPr>
        <w:t>work by replacing vitamin K dependent coagulation factors</w:t>
      </w:r>
      <w:r w:rsidR="00BD15A4" w:rsidRPr="002825DE">
        <w:rPr>
          <w:rFonts w:ascii="Arial" w:hAnsi="Arial" w:cs="Arial"/>
        </w:rPr>
        <w:t>, which PCC has in a more concentrated dose than FFP</w:t>
      </w:r>
      <w:r w:rsidR="00C47D1E" w:rsidRPr="002825DE">
        <w:rPr>
          <w:rFonts w:ascii="Arial" w:hAnsi="Arial" w:cs="Arial"/>
        </w:rPr>
        <w:t xml:space="preserve"> </w:t>
      </w:r>
      <w:r w:rsidR="009F3D43" w:rsidRPr="002825DE">
        <w:rPr>
          <w:rFonts w:ascii="Arial" w:hAnsi="Arial" w:cs="Arial"/>
        </w:rPr>
        <w:fldChar w:fldCharType="begin"/>
      </w:r>
      <w:r w:rsidR="004313B4" w:rsidRPr="002825DE">
        <w:rPr>
          <w:rFonts w:ascii="Arial" w:hAnsi="Arial" w:cs="Arial"/>
        </w:rPr>
        <w:instrText>ADDIN RW.CITE{{4552 Franchini,M. 2010}}</w:instrText>
      </w:r>
      <w:r w:rsidR="009F3D43" w:rsidRPr="002825DE">
        <w:rPr>
          <w:rFonts w:ascii="Arial" w:hAnsi="Arial" w:cs="Arial"/>
        </w:rPr>
        <w:fldChar w:fldCharType="separate"/>
      </w:r>
      <w:r w:rsidR="003960ED" w:rsidRPr="002825DE">
        <w:rPr>
          <w:rFonts w:ascii="Arial" w:hAnsi="Arial" w:cs="Arial"/>
        </w:rPr>
        <w:t>[5]</w:t>
      </w:r>
      <w:r w:rsidR="009F3D43" w:rsidRPr="002825DE">
        <w:rPr>
          <w:rFonts w:ascii="Arial" w:hAnsi="Arial" w:cs="Arial"/>
        </w:rPr>
        <w:fldChar w:fldCharType="end"/>
      </w:r>
      <w:r w:rsidRPr="002825DE">
        <w:rPr>
          <w:rFonts w:ascii="Arial" w:hAnsi="Arial" w:cs="Arial"/>
        </w:rPr>
        <w:t>. However</w:t>
      </w:r>
      <w:r w:rsidR="00F65FDD" w:rsidRPr="002825DE">
        <w:rPr>
          <w:rFonts w:ascii="Arial" w:hAnsi="Arial" w:cs="Arial"/>
        </w:rPr>
        <w:t>,</w:t>
      </w:r>
      <w:r w:rsidRPr="002825DE">
        <w:rPr>
          <w:rFonts w:ascii="Arial" w:hAnsi="Arial" w:cs="Arial"/>
        </w:rPr>
        <w:t xml:space="preserve"> there is a lack of consensus on which should be the preferred agent, with PCC becoming mo</w:t>
      </w:r>
      <w:r w:rsidR="00CB384B" w:rsidRPr="002825DE">
        <w:rPr>
          <w:rFonts w:ascii="Arial" w:hAnsi="Arial" w:cs="Arial"/>
        </w:rPr>
        <w:t>re widely used in Europe, while</w:t>
      </w:r>
      <w:r w:rsidRPr="002825DE">
        <w:rPr>
          <w:rFonts w:ascii="Arial" w:hAnsi="Arial" w:cs="Arial"/>
        </w:rPr>
        <w:t xml:space="preserve"> FFP is still routinely used in the US </w:t>
      </w:r>
      <w:r w:rsidRPr="002825DE">
        <w:fldChar w:fldCharType="begin"/>
      </w:r>
      <w:r w:rsidR="004313B4" w:rsidRPr="002825DE">
        <w:instrText>ADDIN RW.CITE{{4505 Keeling,David 2011; 4506 Leissinger,CindyA 2008}}</w:instrText>
      </w:r>
      <w:r w:rsidRPr="002825DE">
        <w:fldChar w:fldCharType="separate"/>
      </w:r>
      <w:bookmarkStart w:id="11" w:name="__Fieldmark__3440_2106776864"/>
      <w:bookmarkStart w:id="12" w:name="__Fieldmark__220_2106776864"/>
      <w:bookmarkStart w:id="13" w:name="__Fieldmark__223_4243418973"/>
      <w:bookmarkStart w:id="14" w:name="__Fieldmark__221_2557495909"/>
      <w:bookmarkStart w:id="15" w:name="__Fieldmark__212_1242759569"/>
      <w:bookmarkStart w:id="16" w:name="__Fieldmark__1855_2106776864"/>
      <w:bookmarkStart w:id="17" w:name="__Fieldmark__184_2453490188"/>
      <w:bookmarkEnd w:id="11"/>
      <w:bookmarkEnd w:id="12"/>
      <w:bookmarkEnd w:id="13"/>
      <w:bookmarkEnd w:id="14"/>
      <w:bookmarkEnd w:id="15"/>
      <w:bookmarkEnd w:id="16"/>
      <w:r w:rsidR="003960ED" w:rsidRPr="002825DE">
        <w:rPr>
          <w:rFonts w:ascii="Arial" w:hAnsi="Arial" w:cs="Arial"/>
        </w:rPr>
        <w:t>[6,7]</w:t>
      </w:r>
      <w:r w:rsidRPr="002825DE">
        <w:fldChar w:fldCharType="end"/>
      </w:r>
      <w:bookmarkEnd w:id="17"/>
      <w:r w:rsidRPr="002825DE">
        <w:rPr>
          <w:rFonts w:ascii="Arial" w:hAnsi="Arial" w:cs="Arial"/>
        </w:rPr>
        <w:t>.</w:t>
      </w:r>
    </w:p>
    <w:p w14:paraId="32615D49" w14:textId="77777777" w:rsidR="000231CF" w:rsidRPr="002825DE" w:rsidRDefault="000231CF" w:rsidP="00980769">
      <w:pPr>
        <w:spacing w:after="0" w:line="480" w:lineRule="auto"/>
        <w:jc w:val="both"/>
        <w:rPr>
          <w:rFonts w:ascii="Arial" w:hAnsi="Arial" w:cs="Arial"/>
        </w:rPr>
      </w:pPr>
    </w:p>
    <w:p w14:paraId="5C447D68" w14:textId="73BF8FC1" w:rsidR="000231CF" w:rsidRPr="002825DE" w:rsidRDefault="00CD4628" w:rsidP="00980769">
      <w:pPr>
        <w:spacing w:after="0" w:line="480" w:lineRule="auto"/>
        <w:jc w:val="both"/>
      </w:pPr>
      <w:r w:rsidRPr="002825DE">
        <w:rPr>
          <w:rFonts w:ascii="Arial" w:hAnsi="Arial" w:cs="Arial"/>
        </w:rPr>
        <w:t xml:space="preserve">Two previous meta-analyses comparing PCC to FFP reached conflicting </w:t>
      </w:r>
      <w:r w:rsidR="002109E9" w:rsidRPr="002825DE">
        <w:rPr>
          <w:rFonts w:ascii="Arial" w:hAnsi="Arial" w:cs="Arial"/>
        </w:rPr>
        <w:t>conclusions</w:t>
      </w:r>
      <w:r w:rsidRPr="002825DE">
        <w:rPr>
          <w:rFonts w:ascii="Arial" w:hAnsi="Arial" w:cs="Arial"/>
        </w:rPr>
        <w:t xml:space="preserve">, with Chai-Adisaksopha </w:t>
      </w:r>
      <w:r w:rsidRPr="002825DE">
        <w:rPr>
          <w:rFonts w:ascii="Arial" w:hAnsi="Arial" w:cs="Arial"/>
          <w:i/>
        </w:rPr>
        <w:t>et al</w:t>
      </w:r>
      <w:r w:rsidR="004D3F0C" w:rsidRPr="002825DE">
        <w:rPr>
          <w:rFonts w:ascii="Arial" w:hAnsi="Arial" w:cs="Arial"/>
          <w:i/>
        </w:rPr>
        <w:t xml:space="preserve"> </w:t>
      </w:r>
      <w:r w:rsidR="00CB384B" w:rsidRPr="002825DE">
        <w:fldChar w:fldCharType="begin"/>
      </w:r>
      <w:r w:rsidR="00CB384B" w:rsidRPr="002825DE">
        <w:instrText>ADDIN RW.CITE{{4520 Chai-Adisaksopha,Chatree 2016; 4531 Johansen,Mathias 2015}}</w:instrText>
      </w:r>
      <w:r w:rsidR="00CB384B" w:rsidRPr="002825DE">
        <w:fldChar w:fldCharType="separate"/>
      </w:r>
      <w:r w:rsidR="00CB384B" w:rsidRPr="002825DE">
        <w:rPr>
          <w:rFonts w:ascii="Arial" w:hAnsi="Arial" w:cs="Arial"/>
        </w:rPr>
        <w:t>[8]</w:t>
      </w:r>
      <w:r w:rsidR="00CB384B" w:rsidRPr="002825DE">
        <w:fldChar w:fldCharType="end"/>
      </w:r>
      <w:r w:rsidR="00CB384B" w:rsidRPr="002825DE">
        <w:rPr>
          <w:rFonts w:ascii="Arial" w:hAnsi="Arial" w:cs="Arial"/>
        </w:rPr>
        <w:t xml:space="preserve"> </w:t>
      </w:r>
      <w:r w:rsidRPr="002825DE">
        <w:rPr>
          <w:rFonts w:ascii="Arial" w:hAnsi="Arial" w:cs="Arial"/>
        </w:rPr>
        <w:t xml:space="preserve">suggesting PCC resulted in a </w:t>
      </w:r>
      <w:r w:rsidR="00CB384B" w:rsidRPr="002825DE">
        <w:rPr>
          <w:rFonts w:ascii="Arial" w:hAnsi="Arial" w:cs="Arial"/>
        </w:rPr>
        <w:t>decrease in</w:t>
      </w:r>
      <w:r w:rsidRPr="002825DE">
        <w:rPr>
          <w:rFonts w:ascii="Arial" w:hAnsi="Arial" w:cs="Arial"/>
        </w:rPr>
        <w:t xml:space="preserve"> all-cause mortality </w:t>
      </w:r>
      <w:r w:rsidR="00CB384B" w:rsidRPr="002825DE">
        <w:rPr>
          <w:rFonts w:ascii="Arial" w:hAnsi="Arial" w:cs="Arial"/>
        </w:rPr>
        <w:t>while</w:t>
      </w:r>
      <w:r w:rsidRPr="002825DE">
        <w:rPr>
          <w:rFonts w:ascii="Arial" w:hAnsi="Arial" w:cs="Arial"/>
        </w:rPr>
        <w:t xml:space="preserve"> Johansen</w:t>
      </w:r>
      <w:r w:rsidRPr="002825DE">
        <w:rPr>
          <w:rFonts w:ascii="Arial" w:hAnsi="Arial" w:cs="Arial"/>
          <w:i/>
        </w:rPr>
        <w:t xml:space="preserve"> et al </w:t>
      </w:r>
      <w:r w:rsidR="00CB384B" w:rsidRPr="002825DE">
        <w:fldChar w:fldCharType="begin"/>
      </w:r>
      <w:r w:rsidR="00CB384B" w:rsidRPr="002825DE">
        <w:instrText>ADDIN RW.CITE{{4520 Chai-Adisaksopha,Chatree 2016; 4531 Johansen,Mathias 2015}}</w:instrText>
      </w:r>
      <w:r w:rsidR="00CB384B" w:rsidRPr="002825DE">
        <w:fldChar w:fldCharType="separate"/>
      </w:r>
      <w:bookmarkStart w:id="18" w:name="__Fieldmark__213_2453490188"/>
      <w:bookmarkStart w:id="19" w:name="__Fieldmark__3466_2106776864"/>
      <w:bookmarkStart w:id="20" w:name="__Fieldmark__1878_2106776864"/>
      <w:bookmarkStart w:id="21" w:name="__Fieldmark__240_2106776864"/>
      <w:bookmarkStart w:id="22" w:name="__Fieldmark__229_1242759569"/>
      <w:bookmarkStart w:id="23" w:name="__Fieldmark__237_4243418973"/>
      <w:r w:rsidR="00CB384B" w:rsidRPr="002825DE">
        <w:rPr>
          <w:rFonts w:ascii="Arial" w:hAnsi="Arial" w:cs="Arial"/>
        </w:rPr>
        <w:t>[9]</w:t>
      </w:r>
      <w:r w:rsidR="00CB384B" w:rsidRPr="002825DE">
        <w:fldChar w:fldCharType="end"/>
      </w:r>
      <w:bookmarkEnd w:id="18"/>
      <w:bookmarkEnd w:id="19"/>
      <w:bookmarkEnd w:id="20"/>
      <w:bookmarkEnd w:id="21"/>
      <w:bookmarkEnd w:id="22"/>
      <w:bookmarkEnd w:id="23"/>
      <w:r w:rsidR="00CB384B" w:rsidRPr="002825DE">
        <w:t xml:space="preserve"> </w:t>
      </w:r>
      <w:r w:rsidRPr="002825DE">
        <w:rPr>
          <w:rFonts w:ascii="Arial" w:hAnsi="Arial" w:cs="Arial"/>
        </w:rPr>
        <w:t>suggesting no difference</w:t>
      </w:r>
      <w:bookmarkStart w:id="24" w:name="__Fieldmark__235_2557495909"/>
      <w:bookmarkEnd w:id="24"/>
      <w:r w:rsidR="002109E9" w:rsidRPr="002825DE">
        <w:rPr>
          <w:rFonts w:ascii="Arial" w:hAnsi="Arial" w:cs="Arial"/>
        </w:rPr>
        <w:t>s</w:t>
      </w:r>
      <w:r w:rsidRPr="002825DE">
        <w:rPr>
          <w:rFonts w:ascii="Arial" w:hAnsi="Arial" w:cs="Arial"/>
        </w:rPr>
        <w:t xml:space="preserve">. However, both </w:t>
      </w:r>
      <w:r w:rsidR="002109E9" w:rsidRPr="002825DE">
        <w:rPr>
          <w:rFonts w:ascii="Arial" w:hAnsi="Arial" w:cs="Arial"/>
        </w:rPr>
        <w:t>of these studies</w:t>
      </w:r>
      <w:r w:rsidRPr="002825DE">
        <w:rPr>
          <w:rFonts w:ascii="Arial" w:hAnsi="Arial" w:cs="Arial"/>
        </w:rPr>
        <w:t xml:space="preserve"> included treatment groups where patients were given both PCC and FFP together, making their findings difficult </w:t>
      </w:r>
      <w:r w:rsidRPr="002825DE">
        <w:rPr>
          <w:rFonts w:ascii="Arial" w:hAnsi="Arial" w:cs="Arial"/>
        </w:rPr>
        <w:lastRenderedPageBreak/>
        <w:t>to interpret</w:t>
      </w:r>
      <w:r w:rsidR="005F04D3" w:rsidRPr="002825DE">
        <w:rPr>
          <w:rFonts w:ascii="Arial" w:hAnsi="Arial" w:cs="Arial"/>
        </w:rPr>
        <w:t xml:space="preserve"> </w:t>
      </w:r>
      <w:r w:rsidR="00B66AD8" w:rsidRPr="002825DE">
        <w:rPr>
          <w:rFonts w:ascii="Arial" w:hAnsi="Arial" w:cs="Arial"/>
        </w:rPr>
        <w:fldChar w:fldCharType="begin"/>
      </w:r>
      <w:r w:rsidR="004313B4" w:rsidRPr="002825DE">
        <w:rPr>
          <w:rFonts w:ascii="Arial" w:hAnsi="Arial" w:cs="Arial"/>
        </w:rPr>
        <w:instrText>ADDIN RW.CITE{{4559 Boulis,N.M. 1999}}</w:instrText>
      </w:r>
      <w:r w:rsidR="00B66AD8" w:rsidRPr="002825DE">
        <w:rPr>
          <w:rFonts w:ascii="Arial" w:hAnsi="Arial" w:cs="Arial"/>
        </w:rPr>
        <w:fldChar w:fldCharType="separate"/>
      </w:r>
      <w:r w:rsidR="003960ED" w:rsidRPr="002825DE">
        <w:rPr>
          <w:rFonts w:ascii="Arial" w:hAnsi="Arial" w:cs="Arial"/>
        </w:rPr>
        <w:t>[10]</w:t>
      </w:r>
      <w:r w:rsidR="00B66AD8" w:rsidRPr="002825DE">
        <w:rPr>
          <w:rFonts w:ascii="Arial" w:hAnsi="Arial" w:cs="Arial"/>
        </w:rPr>
        <w:fldChar w:fldCharType="end"/>
      </w:r>
      <w:r w:rsidRPr="002825DE">
        <w:rPr>
          <w:rFonts w:ascii="Arial" w:hAnsi="Arial" w:cs="Arial"/>
        </w:rPr>
        <w:t>. Since the publication of these studies, new data comparing PCC against FFP ha</w:t>
      </w:r>
      <w:r w:rsidR="00CB384B" w:rsidRPr="002825DE">
        <w:rPr>
          <w:rFonts w:ascii="Arial" w:hAnsi="Arial" w:cs="Arial"/>
        </w:rPr>
        <w:t xml:space="preserve">ve been </w:t>
      </w:r>
      <w:r w:rsidR="002109E9" w:rsidRPr="002825DE">
        <w:rPr>
          <w:rFonts w:ascii="Arial" w:hAnsi="Arial" w:cs="Arial"/>
        </w:rPr>
        <w:t>published</w:t>
      </w:r>
      <w:r w:rsidR="00CB384B" w:rsidRPr="002825DE">
        <w:rPr>
          <w:rFonts w:ascii="Arial" w:hAnsi="Arial" w:cs="Arial"/>
        </w:rPr>
        <w:t>.</w:t>
      </w:r>
    </w:p>
    <w:p w14:paraId="4A8BD65F" w14:textId="77777777" w:rsidR="000231CF" w:rsidRPr="002825DE" w:rsidRDefault="000231CF" w:rsidP="00980769">
      <w:pPr>
        <w:spacing w:after="0" w:line="480" w:lineRule="auto"/>
        <w:jc w:val="both"/>
        <w:rPr>
          <w:rFonts w:ascii="Arial" w:hAnsi="Arial" w:cs="Arial"/>
        </w:rPr>
      </w:pPr>
    </w:p>
    <w:p w14:paraId="71ABE150" w14:textId="4DAEF0E7" w:rsidR="000231CF" w:rsidRPr="002825DE" w:rsidRDefault="00606CDE" w:rsidP="00980769">
      <w:pPr>
        <w:spacing w:after="0" w:line="480" w:lineRule="auto"/>
        <w:jc w:val="both"/>
        <w:rPr>
          <w:rFonts w:ascii="Arial" w:hAnsi="Arial" w:cs="Arial"/>
        </w:rPr>
      </w:pPr>
      <w:r w:rsidRPr="002825DE">
        <w:rPr>
          <w:rFonts w:ascii="Arial" w:hAnsi="Arial" w:cs="Arial"/>
        </w:rPr>
        <w:t>We undertook a meta-analysi</w:t>
      </w:r>
      <w:r w:rsidR="001E567A" w:rsidRPr="002825DE">
        <w:rPr>
          <w:rFonts w:ascii="Arial" w:hAnsi="Arial" w:cs="Arial"/>
        </w:rPr>
        <w:t>s</w:t>
      </w:r>
      <w:r w:rsidR="005F6F1D" w:rsidRPr="002825DE">
        <w:rPr>
          <w:rFonts w:ascii="Arial" w:hAnsi="Arial" w:cs="Arial"/>
        </w:rPr>
        <w:t xml:space="preserve"> </w:t>
      </w:r>
      <w:r w:rsidRPr="002825DE">
        <w:rPr>
          <w:rFonts w:ascii="Arial" w:hAnsi="Arial" w:cs="Arial"/>
        </w:rPr>
        <w:t xml:space="preserve">in order </w:t>
      </w:r>
      <w:r w:rsidR="00CD4628" w:rsidRPr="002825DE">
        <w:rPr>
          <w:rFonts w:ascii="Arial" w:hAnsi="Arial" w:cs="Arial"/>
        </w:rPr>
        <w:t xml:space="preserve">to compare the performance of PCC and FFP in urgent reversal of VKAs in patients with active haemorrhage </w:t>
      </w:r>
      <w:r w:rsidR="005F6F1D" w:rsidRPr="002825DE">
        <w:rPr>
          <w:rFonts w:ascii="Arial" w:hAnsi="Arial" w:cs="Arial"/>
        </w:rPr>
        <w:t>and</w:t>
      </w:r>
      <w:r w:rsidR="00CD4628" w:rsidRPr="002825DE">
        <w:rPr>
          <w:rFonts w:ascii="Arial" w:hAnsi="Arial" w:cs="Arial"/>
        </w:rPr>
        <w:t xml:space="preserve"> those who required urgent reversal for surgery. To the best of our knowledge, this</w:t>
      </w:r>
      <w:r w:rsidR="005F6F1D" w:rsidRPr="002825DE">
        <w:rPr>
          <w:rFonts w:ascii="Arial" w:hAnsi="Arial" w:cs="Arial"/>
        </w:rPr>
        <w:t xml:space="preserve"> </w:t>
      </w:r>
      <w:r w:rsidR="00CD4628" w:rsidRPr="002825DE">
        <w:rPr>
          <w:rFonts w:ascii="Arial" w:hAnsi="Arial" w:cs="Arial"/>
        </w:rPr>
        <w:t xml:space="preserve">is the largest meta-analysis of this kind and the only study to perform a sub-analysis comparing PCC versus FFP specifically in VKA-associated </w:t>
      </w:r>
      <w:r w:rsidR="005F6F1D" w:rsidRPr="002825DE">
        <w:rPr>
          <w:rFonts w:ascii="Arial" w:hAnsi="Arial" w:cs="Arial"/>
        </w:rPr>
        <w:t>intracranial haemorrhage (ICH).</w:t>
      </w:r>
    </w:p>
    <w:p w14:paraId="69EF9BFE" w14:textId="77777777" w:rsidR="000231CF" w:rsidRPr="002825DE" w:rsidRDefault="000231CF" w:rsidP="00980769">
      <w:pPr>
        <w:spacing w:after="0" w:line="480" w:lineRule="auto"/>
        <w:rPr>
          <w:rFonts w:ascii="Arial" w:hAnsi="Arial" w:cs="Arial"/>
        </w:rPr>
      </w:pPr>
    </w:p>
    <w:p w14:paraId="284048B3" w14:textId="77777777" w:rsidR="000231CF" w:rsidRPr="002825DE" w:rsidRDefault="00CD4628" w:rsidP="00980769">
      <w:pPr>
        <w:pStyle w:val="Heading1"/>
        <w:spacing w:before="0" w:after="0" w:line="480" w:lineRule="auto"/>
        <w:rPr>
          <w:rFonts w:ascii="Arial" w:hAnsi="Arial" w:cs="Arial"/>
          <w:b/>
          <w:color w:val="auto"/>
          <w:sz w:val="24"/>
          <w:szCs w:val="24"/>
        </w:rPr>
      </w:pPr>
      <w:r w:rsidRPr="002825DE">
        <w:rPr>
          <w:rFonts w:ascii="Arial" w:hAnsi="Arial" w:cs="Arial"/>
          <w:b/>
          <w:color w:val="auto"/>
          <w:sz w:val="24"/>
          <w:szCs w:val="24"/>
        </w:rPr>
        <w:t>METHODS</w:t>
      </w:r>
    </w:p>
    <w:p w14:paraId="4531C44F" w14:textId="77777777" w:rsidR="000231CF" w:rsidRPr="002825DE" w:rsidRDefault="00CD4628" w:rsidP="00980769">
      <w:pPr>
        <w:spacing w:after="0" w:line="480" w:lineRule="auto"/>
        <w:rPr>
          <w:rFonts w:ascii="Arial" w:hAnsi="Arial" w:cs="Arial"/>
          <w:b/>
        </w:rPr>
      </w:pPr>
      <w:r w:rsidRPr="002825DE">
        <w:rPr>
          <w:rFonts w:ascii="Arial" w:hAnsi="Arial" w:cs="Arial"/>
          <w:b/>
        </w:rPr>
        <w:t>Search criteria</w:t>
      </w:r>
    </w:p>
    <w:p w14:paraId="2144D6E7" w14:textId="4541B60C" w:rsidR="000231CF" w:rsidRPr="002825DE" w:rsidRDefault="00CD4628" w:rsidP="00980769">
      <w:pPr>
        <w:spacing w:after="0" w:line="480" w:lineRule="auto"/>
        <w:jc w:val="both"/>
        <w:rPr>
          <w:rFonts w:ascii="Arial" w:hAnsi="Arial" w:cs="Arial"/>
        </w:rPr>
      </w:pPr>
      <w:r w:rsidRPr="002825DE">
        <w:rPr>
          <w:rFonts w:ascii="Arial" w:hAnsi="Arial" w:cs="Arial"/>
        </w:rPr>
        <w:t xml:space="preserve">The methodology </w:t>
      </w:r>
      <w:r w:rsidR="007E66D7" w:rsidRPr="002825DE">
        <w:rPr>
          <w:rFonts w:ascii="Arial" w:hAnsi="Arial" w:cs="Arial"/>
        </w:rPr>
        <w:t>followed</w:t>
      </w:r>
      <w:r w:rsidRPr="002825DE">
        <w:rPr>
          <w:rFonts w:ascii="Arial" w:hAnsi="Arial" w:cs="Arial"/>
        </w:rPr>
        <w:t xml:space="preserve"> guidelines from the Cochrane and PRISMA recommendations on conducting a </w:t>
      </w:r>
      <w:r w:rsidR="00904293" w:rsidRPr="002825DE">
        <w:rPr>
          <w:rFonts w:ascii="Arial" w:hAnsi="Arial" w:cs="Arial"/>
        </w:rPr>
        <w:t>meta-analysis</w:t>
      </w:r>
      <w:r w:rsidRPr="002825DE">
        <w:rPr>
          <w:rFonts w:ascii="Arial" w:hAnsi="Arial" w:cs="Arial"/>
        </w:rPr>
        <w:t xml:space="preserve"> </w:t>
      </w:r>
      <w:r w:rsidRPr="002825DE">
        <w:fldChar w:fldCharType="begin"/>
      </w:r>
      <w:r w:rsidR="004313B4" w:rsidRPr="002825DE">
        <w:instrText>ADDIN RW.CITE{{4532 Moher,David 2009; 4533 vanTulder,M. 2003}}</w:instrText>
      </w:r>
      <w:r w:rsidRPr="002825DE">
        <w:fldChar w:fldCharType="separate"/>
      </w:r>
      <w:bookmarkStart w:id="25" w:name="__Fieldmark__244_2453490188"/>
      <w:bookmarkStart w:id="26" w:name="__Fieldmark__3494_2106776864"/>
      <w:bookmarkStart w:id="27" w:name="__Fieldmark__1902_2106776864"/>
      <w:bookmarkStart w:id="28" w:name="__Fieldmark__260_2106776864"/>
      <w:bookmarkStart w:id="29" w:name="__Fieldmark__245_1242759569"/>
      <w:bookmarkStart w:id="30" w:name="__Fieldmark__253_4243418973"/>
      <w:r w:rsidR="003960ED" w:rsidRPr="002825DE">
        <w:rPr>
          <w:rFonts w:ascii="Arial" w:hAnsi="Arial" w:cs="Arial"/>
        </w:rPr>
        <w:t>[11,12]</w:t>
      </w:r>
      <w:r w:rsidRPr="002825DE">
        <w:fldChar w:fldCharType="end"/>
      </w:r>
      <w:bookmarkStart w:id="31" w:name="__Fieldmark__248_2557495909"/>
      <w:bookmarkEnd w:id="25"/>
      <w:bookmarkEnd w:id="26"/>
      <w:bookmarkEnd w:id="27"/>
      <w:bookmarkEnd w:id="28"/>
      <w:bookmarkEnd w:id="29"/>
      <w:bookmarkEnd w:id="30"/>
      <w:bookmarkEnd w:id="31"/>
      <w:r w:rsidRPr="002825DE">
        <w:rPr>
          <w:rFonts w:ascii="Arial" w:hAnsi="Arial" w:cs="Arial"/>
        </w:rPr>
        <w:t xml:space="preserve">. We </w:t>
      </w:r>
      <w:r w:rsidR="00B17077" w:rsidRPr="002825DE">
        <w:rPr>
          <w:rFonts w:ascii="Arial" w:hAnsi="Arial" w:cs="Arial"/>
        </w:rPr>
        <w:t>performed</w:t>
      </w:r>
      <w:r w:rsidRPr="002825DE">
        <w:rPr>
          <w:rFonts w:ascii="Arial" w:hAnsi="Arial" w:cs="Arial"/>
        </w:rPr>
        <w:t xml:space="preserve"> </w:t>
      </w:r>
      <w:r w:rsidR="007E66D7" w:rsidRPr="002825DE">
        <w:rPr>
          <w:rFonts w:ascii="Arial" w:hAnsi="Arial" w:cs="Arial"/>
        </w:rPr>
        <w:t>literature</w:t>
      </w:r>
      <w:r w:rsidRPr="002825DE">
        <w:rPr>
          <w:rFonts w:ascii="Arial" w:hAnsi="Arial" w:cs="Arial"/>
        </w:rPr>
        <w:t xml:space="preserve"> search of MEDLINE and Google Scholar up to </w:t>
      </w:r>
      <w:r w:rsidR="009D5F75" w:rsidRPr="002825DE">
        <w:rPr>
          <w:rFonts w:ascii="Arial" w:hAnsi="Arial" w:cs="Arial"/>
        </w:rPr>
        <w:t xml:space="preserve">November 2018 using the </w:t>
      </w:r>
      <w:r w:rsidRPr="002825DE">
        <w:rPr>
          <w:rFonts w:ascii="Arial" w:hAnsi="Arial" w:cs="Arial"/>
        </w:rPr>
        <w:t>key</w:t>
      </w:r>
      <w:r w:rsidR="009D5F75" w:rsidRPr="002825DE">
        <w:rPr>
          <w:rFonts w:ascii="Arial" w:hAnsi="Arial" w:cs="Arial"/>
        </w:rPr>
        <w:t xml:space="preserve"> terms</w:t>
      </w:r>
      <w:r w:rsidRPr="002825DE">
        <w:rPr>
          <w:rFonts w:ascii="Arial" w:hAnsi="Arial" w:cs="Arial"/>
        </w:rPr>
        <w:t xml:space="preserve">: </w:t>
      </w:r>
      <w:r w:rsidR="009D5F75" w:rsidRPr="002825DE">
        <w:rPr>
          <w:rFonts w:ascii="Arial" w:hAnsi="Arial" w:cs="Arial"/>
        </w:rPr>
        <w:t>prothrombin complex</w:t>
      </w:r>
      <w:r w:rsidRPr="002825DE">
        <w:rPr>
          <w:rFonts w:ascii="Arial" w:hAnsi="Arial" w:cs="Arial"/>
        </w:rPr>
        <w:t>,</w:t>
      </w:r>
      <w:r w:rsidR="00EB5FAE" w:rsidRPr="002825DE">
        <w:rPr>
          <w:rFonts w:ascii="Arial" w:hAnsi="Arial" w:cs="Arial"/>
        </w:rPr>
        <w:t xml:space="preserve"> PCC,</w:t>
      </w:r>
      <w:r w:rsidRPr="002825DE">
        <w:rPr>
          <w:rFonts w:ascii="Arial" w:hAnsi="Arial" w:cs="Arial"/>
        </w:rPr>
        <w:t xml:space="preserve"> </w:t>
      </w:r>
      <w:r w:rsidR="007E66D7" w:rsidRPr="002825DE">
        <w:rPr>
          <w:rFonts w:ascii="Arial" w:hAnsi="Arial" w:cs="Arial"/>
        </w:rPr>
        <w:t>Beriplex, Kaskadil, O</w:t>
      </w:r>
      <w:r w:rsidR="009D5F75" w:rsidRPr="002825DE">
        <w:rPr>
          <w:rFonts w:ascii="Arial" w:hAnsi="Arial" w:cs="Arial"/>
        </w:rPr>
        <w:t xml:space="preserve">ctaplex, </w:t>
      </w:r>
      <w:r w:rsidR="007E66D7" w:rsidRPr="002825DE">
        <w:rPr>
          <w:rFonts w:ascii="Arial" w:hAnsi="Arial" w:cs="Arial"/>
        </w:rPr>
        <w:t>PPSB, Kcentra, C</w:t>
      </w:r>
      <w:r w:rsidR="009D5F75" w:rsidRPr="002825DE">
        <w:rPr>
          <w:rFonts w:ascii="Arial" w:hAnsi="Arial" w:cs="Arial"/>
        </w:rPr>
        <w:t>onfidex, fresh frozen plasma</w:t>
      </w:r>
      <w:r w:rsidR="00EB5FAE" w:rsidRPr="002825DE">
        <w:rPr>
          <w:rFonts w:ascii="Arial" w:hAnsi="Arial" w:cs="Arial"/>
        </w:rPr>
        <w:t>, FFP</w:t>
      </w:r>
      <w:r w:rsidRPr="002825DE">
        <w:rPr>
          <w:rFonts w:ascii="Arial" w:hAnsi="Arial" w:cs="Arial"/>
        </w:rPr>
        <w:t>. No language or data filters were applied. The Boolean operator ‘OR’ was used to combine search terms. Relevant studies were hand searched within their references.</w:t>
      </w:r>
    </w:p>
    <w:p w14:paraId="68F52B57" w14:textId="77777777" w:rsidR="000231CF" w:rsidRPr="002825DE" w:rsidRDefault="000231CF" w:rsidP="00980769">
      <w:pPr>
        <w:spacing w:after="0" w:line="480" w:lineRule="auto"/>
        <w:jc w:val="both"/>
        <w:rPr>
          <w:rFonts w:ascii="Arial" w:hAnsi="Arial" w:cs="Arial"/>
        </w:rPr>
      </w:pPr>
    </w:p>
    <w:p w14:paraId="208C9720" w14:textId="32744DAB" w:rsidR="000231CF" w:rsidRPr="002825DE" w:rsidRDefault="000D2CE8" w:rsidP="00980769">
      <w:pPr>
        <w:spacing w:after="0" w:line="480" w:lineRule="auto"/>
        <w:jc w:val="both"/>
        <w:rPr>
          <w:rFonts w:ascii="Arial" w:hAnsi="Arial" w:cs="Arial"/>
          <w:b/>
        </w:rPr>
      </w:pPr>
      <w:r w:rsidRPr="002825DE">
        <w:rPr>
          <w:rFonts w:ascii="Arial" w:hAnsi="Arial" w:cs="Arial"/>
          <w:b/>
        </w:rPr>
        <w:t>Selection criteria</w:t>
      </w:r>
    </w:p>
    <w:p w14:paraId="4C8E7D64" w14:textId="2EAA1292" w:rsidR="000231CF" w:rsidRPr="002825DE" w:rsidRDefault="00CD4628" w:rsidP="00980769">
      <w:pPr>
        <w:spacing w:after="0" w:line="480" w:lineRule="auto"/>
        <w:jc w:val="both"/>
        <w:rPr>
          <w:rFonts w:ascii="Arial" w:hAnsi="Arial" w:cs="Arial"/>
        </w:rPr>
      </w:pPr>
      <w:r w:rsidRPr="002825DE">
        <w:rPr>
          <w:rFonts w:ascii="Arial" w:hAnsi="Arial" w:cs="Arial"/>
          <w:i/>
        </w:rPr>
        <w:t>Inclusion criteria</w:t>
      </w:r>
      <w:r w:rsidRPr="002825DE">
        <w:rPr>
          <w:rFonts w:ascii="Arial" w:hAnsi="Arial" w:cs="Arial"/>
        </w:rPr>
        <w:t>: Studies comparing PCC against FFP as separate treatment methods for the urgent reversal of vit</w:t>
      </w:r>
      <w:r w:rsidR="002109E9" w:rsidRPr="002825DE">
        <w:rPr>
          <w:rFonts w:ascii="Arial" w:hAnsi="Arial" w:cs="Arial"/>
        </w:rPr>
        <w:t xml:space="preserve">amin K antagonists in patients </w:t>
      </w:r>
      <w:r w:rsidRPr="002825DE">
        <w:rPr>
          <w:rFonts w:ascii="Arial" w:hAnsi="Arial" w:cs="Arial"/>
        </w:rPr>
        <w:t xml:space="preserve">18 </w:t>
      </w:r>
      <w:r w:rsidR="002109E9" w:rsidRPr="002825DE">
        <w:rPr>
          <w:rFonts w:ascii="Arial" w:hAnsi="Arial" w:cs="Arial"/>
        </w:rPr>
        <w:t>years-old or over</w:t>
      </w:r>
      <w:r w:rsidRPr="002825DE">
        <w:rPr>
          <w:rFonts w:ascii="Arial" w:hAnsi="Arial" w:cs="Arial"/>
        </w:rPr>
        <w:t xml:space="preserve">, with at least one of the relevant study outcomes. In </w:t>
      </w:r>
      <w:r w:rsidR="000D2CE8" w:rsidRPr="002825DE">
        <w:rPr>
          <w:rFonts w:ascii="Arial" w:hAnsi="Arial" w:cs="Arial"/>
        </w:rPr>
        <w:t>multiple</w:t>
      </w:r>
      <w:r w:rsidRPr="002825DE">
        <w:rPr>
          <w:rFonts w:ascii="Arial" w:hAnsi="Arial" w:cs="Arial"/>
        </w:rPr>
        <w:t xml:space="preserve"> publications</w:t>
      </w:r>
      <w:r w:rsidR="000D2CE8" w:rsidRPr="002825DE">
        <w:rPr>
          <w:rFonts w:ascii="Arial" w:hAnsi="Arial" w:cs="Arial"/>
        </w:rPr>
        <w:t xml:space="preserve"> of the same study</w:t>
      </w:r>
      <w:r w:rsidRPr="002825DE">
        <w:rPr>
          <w:rFonts w:ascii="Arial" w:hAnsi="Arial" w:cs="Arial"/>
        </w:rPr>
        <w:t xml:space="preserve">, </w:t>
      </w:r>
      <w:r w:rsidR="000D2CE8" w:rsidRPr="002825DE">
        <w:rPr>
          <w:rFonts w:ascii="Arial" w:hAnsi="Arial" w:cs="Arial"/>
        </w:rPr>
        <w:t>the largest and most up</w:t>
      </w:r>
      <w:r w:rsidRPr="002825DE">
        <w:rPr>
          <w:rFonts w:ascii="Arial" w:hAnsi="Arial" w:cs="Arial"/>
        </w:rPr>
        <w:t>date</w:t>
      </w:r>
      <w:r w:rsidR="000D2CE8" w:rsidRPr="002825DE">
        <w:rPr>
          <w:rFonts w:ascii="Arial" w:hAnsi="Arial" w:cs="Arial"/>
        </w:rPr>
        <w:t>d</w:t>
      </w:r>
      <w:r w:rsidRPr="002825DE">
        <w:rPr>
          <w:rFonts w:ascii="Arial" w:hAnsi="Arial" w:cs="Arial"/>
        </w:rPr>
        <w:t xml:space="preserve"> study was </w:t>
      </w:r>
      <w:r w:rsidR="000D2CE8" w:rsidRPr="002825DE">
        <w:rPr>
          <w:rFonts w:ascii="Arial" w:hAnsi="Arial" w:cs="Arial"/>
        </w:rPr>
        <w:lastRenderedPageBreak/>
        <w:t>selected</w:t>
      </w:r>
      <w:r w:rsidRPr="002825DE">
        <w:rPr>
          <w:rFonts w:ascii="Arial" w:hAnsi="Arial" w:cs="Arial"/>
        </w:rPr>
        <w:t>. Both randomised control trials</w:t>
      </w:r>
      <w:r w:rsidR="0008239F" w:rsidRPr="002825DE">
        <w:rPr>
          <w:rFonts w:ascii="Arial" w:hAnsi="Arial" w:cs="Arial"/>
        </w:rPr>
        <w:t xml:space="preserve"> (RCTs)</w:t>
      </w:r>
      <w:r w:rsidRPr="002825DE">
        <w:rPr>
          <w:rFonts w:ascii="Arial" w:hAnsi="Arial" w:cs="Arial"/>
        </w:rPr>
        <w:t xml:space="preserve"> and observational studies (prospective/retrospective) were included</w:t>
      </w:r>
      <w:r w:rsidR="00606CDE" w:rsidRPr="002825DE">
        <w:rPr>
          <w:rFonts w:ascii="Arial" w:hAnsi="Arial" w:cs="Arial"/>
        </w:rPr>
        <w:t xml:space="preserve"> in order to maximise the power of our analysis</w:t>
      </w:r>
      <w:r w:rsidRPr="002825DE">
        <w:rPr>
          <w:rFonts w:ascii="Arial" w:hAnsi="Arial" w:cs="Arial"/>
        </w:rPr>
        <w:t xml:space="preserve">. </w:t>
      </w:r>
    </w:p>
    <w:p w14:paraId="116D4C35" w14:textId="77777777" w:rsidR="000231CF" w:rsidRPr="002825DE" w:rsidRDefault="000231CF" w:rsidP="00980769">
      <w:pPr>
        <w:spacing w:after="0" w:line="480" w:lineRule="auto"/>
        <w:jc w:val="both"/>
        <w:rPr>
          <w:rFonts w:ascii="Arial" w:hAnsi="Arial" w:cs="Arial"/>
        </w:rPr>
      </w:pPr>
    </w:p>
    <w:p w14:paraId="29114FCB" w14:textId="4006545D" w:rsidR="000231CF" w:rsidRPr="002825DE" w:rsidRDefault="00CD4628" w:rsidP="00980769">
      <w:pPr>
        <w:spacing w:after="0" w:line="480" w:lineRule="auto"/>
        <w:jc w:val="both"/>
        <w:rPr>
          <w:rFonts w:ascii="Arial" w:hAnsi="Arial" w:cs="Arial"/>
        </w:rPr>
      </w:pPr>
      <w:r w:rsidRPr="002825DE">
        <w:rPr>
          <w:rFonts w:ascii="Arial" w:hAnsi="Arial" w:cs="Arial"/>
          <w:i/>
        </w:rPr>
        <w:t>Exclusion criteria</w:t>
      </w:r>
      <w:r w:rsidRPr="002825DE">
        <w:rPr>
          <w:rFonts w:ascii="Arial" w:hAnsi="Arial" w:cs="Arial"/>
        </w:rPr>
        <w:t xml:space="preserve">: Studies which included patients who were </w:t>
      </w:r>
      <w:r w:rsidR="002661C4" w:rsidRPr="002825DE">
        <w:rPr>
          <w:rFonts w:ascii="Arial" w:hAnsi="Arial" w:cs="Arial"/>
        </w:rPr>
        <w:t xml:space="preserve">initially </w:t>
      </w:r>
      <w:r w:rsidRPr="002825DE">
        <w:rPr>
          <w:rFonts w:ascii="Arial" w:hAnsi="Arial" w:cs="Arial"/>
        </w:rPr>
        <w:t>treated both with PCC and FFP, younger than 18 years by the end analysis</w:t>
      </w:r>
      <w:r w:rsidR="00F23E33" w:rsidRPr="002825DE">
        <w:rPr>
          <w:rFonts w:ascii="Arial" w:hAnsi="Arial" w:cs="Arial"/>
        </w:rPr>
        <w:t xml:space="preserve">, </w:t>
      </w:r>
      <w:r w:rsidRPr="002825DE">
        <w:rPr>
          <w:rFonts w:ascii="Arial" w:hAnsi="Arial" w:cs="Arial"/>
        </w:rPr>
        <w:t xml:space="preserve">discrepancies in supplementary treatment between the PCC and FFP groups and coagulopathy that may have been caused by mechanisms other than </w:t>
      </w:r>
      <w:r w:rsidR="002109E9" w:rsidRPr="002825DE">
        <w:rPr>
          <w:rFonts w:ascii="Arial" w:hAnsi="Arial" w:cs="Arial"/>
        </w:rPr>
        <w:t>VKAs</w:t>
      </w:r>
      <w:r w:rsidRPr="002825DE">
        <w:rPr>
          <w:rFonts w:ascii="Arial" w:hAnsi="Arial" w:cs="Arial"/>
        </w:rPr>
        <w:t>. Letters to the editor and abstracts were excluded.</w:t>
      </w:r>
    </w:p>
    <w:p w14:paraId="182EDD9D" w14:textId="77777777" w:rsidR="000231CF" w:rsidRPr="002825DE" w:rsidRDefault="000231CF" w:rsidP="00980769">
      <w:pPr>
        <w:spacing w:after="0" w:line="480" w:lineRule="auto"/>
        <w:jc w:val="both"/>
        <w:rPr>
          <w:rFonts w:ascii="Arial" w:hAnsi="Arial" w:cs="Arial"/>
        </w:rPr>
      </w:pPr>
    </w:p>
    <w:p w14:paraId="58F892B8" w14:textId="684D6178" w:rsidR="000231CF" w:rsidRPr="002825DE" w:rsidRDefault="00CD4628" w:rsidP="00980769">
      <w:pPr>
        <w:spacing w:after="0" w:line="480" w:lineRule="auto"/>
        <w:jc w:val="both"/>
        <w:rPr>
          <w:rFonts w:ascii="Arial" w:hAnsi="Arial" w:cs="Arial"/>
          <w:b/>
        </w:rPr>
      </w:pPr>
      <w:r w:rsidRPr="002825DE">
        <w:rPr>
          <w:rFonts w:ascii="Arial" w:hAnsi="Arial" w:cs="Arial"/>
          <w:b/>
        </w:rPr>
        <w:t>Outcome</w:t>
      </w:r>
      <w:r w:rsidR="00A63BB0" w:rsidRPr="002825DE">
        <w:rPr>
          <w:rFonts w:ascii="Arial" w:hAnsi="Arial" w:cs="Arial"/>
          <w:b/>
        </w:rPr>
        <w:t xml:space="preserve"> measure</w:t>
      </w:r>
      <w:r w:rsidRPr="002825DE">
        <w:rPr>
          <w:rFonts w:ascii="Arial" w:hAnsi="Arial" w:cs="Arial"/>
          <w:b/>
        </w:rPr>
        <w:t>s</w:t>
      </w:r>
    </w:p>
    <w:p w14:paraId="53219002" w14:textId="5E106CBC" w:rsidR="000231CF" w:rsidRPr="002825DE" w:rsidRDefault="00CD4628" w:rsidP="00980769">
      <w:pPr>
        <w:spacing w:after="0" w:line="480" w:lineRule="auto"/>
        <w:jc w:val="both"/>
        <w:rPr>
          <w:rFonts w:ascii="Arial" w:hAnsi="Arial" w:cs="Arial"/>
        </w:rPr>
      </w:pPr>
      <w:r w:rsidRPr="002825DE">
        <w:rPr>
          <w:rFonts w:ascii="Arial" w:hAnsi="Arial" w:cs="Arial"/>
        </w:rPr>
        <w:t xml:space="preserve">The primary outcome for </w:t>
      </w:r>
      <w:r w:rsidR="00A63BB0" w:rsidRPr="002825DE">
        <w:rPr>
          <w:rFonts w:ascii="Arial" w:hAnsi="Arial" w:cs="Arial"/>
        </w:rPr>
        <w:t>the comparative analysis was 90</w:t>
      </w:r>
      <w:r w:rsidR="009F0606" w:rsidRPr="002825DE">
        <w:rPr>
          <w:rFonts w:ascii="Arial" w:hAnsi="Arial" w:cs="Arial"/>
        </w:rPr>
        <w:t>day all-cause mortality</w:t>
      </w:r>
      <w:r w:rsidR="006B608D" w:rsidRPr="002825DE">
        <w:rPr>
          <w:rFonts w:ascii="Arial" w:hAnsi="Arial" w:cs="Arial"/>
        </w:rPr>
        <w:t>.</w:t>
      </w:r>
      <w:r w:rsidRPr="002825DE">
        <w:rPr>
          <w:rFonts w:ascii="Arial" w:hAnsi="Arial" w:cs="Arial"/>
        </w:rPr>
        <w:t xml:space="preserve"> If the study lasted less than 90 </w:t>
      </w:r>
      <w:r w:rsidR="0073417E" w:rsidRPr="002825DE">
        <w:rPr>
          <w:rFonts w:ascii="Arial" w:hAnsi="Arial" w:cs="Arial"/>
        </w:rPr>
        <w:t>days,</w:t>
      </w:r>
      <w:r w:rsidRPr="002825DE">
        <w:rPr>
          <w:rFonts w:ascii="Arial" w:hAnsi="Arial" w:cs="Arial"/>
        </w:rPr>
        <w:t xml:space="preserve"> then the final mortality rates were used</w:t>
      </w:r>
      <w:r w:rsidR="00800E53" w:rsidRPr="002825DE">
        <w:rPr>
          <w:rFonts w:ascii="Arial" w:hAnsi="Arial" w:cs="Arial"/>
        </w:rPr>
        <w:t>. Studies recording ‘In-hospital mortality’ without dates or time-limits were not used</w:t>
      </w:r>
      <w:r w:rsidRPr="002825DE">
        <w:rPr>
          <w:rFonts w:ascii="Arial" w:hAnsi="Arial" w:cs="Arial"/>
        </w:rPr>
        <w:t>. Secondary outcomes included reversal of international normalised ratio (INR), thromboembolic events</w:t>
      </w:r>
      <w:r w:rsidR="002F1A3C" w:rsidRPr="002825DE">
        <w:rPr>
          <w:rFonts w:ascii="Arial" w:hAnsi="Arial" w:cs="Arial"/>
        </w:rPr>
        <w:t xml:space="preserve">, adverse events, treatment </w:t>
      </w:r>
      <w:r w:rsidR="009F3D43" w:rsidRPr="002825DE">
        <w:rPr>
          <w:rFonts w:ascii="Arial" w:hAnsi="Arial" w:cs="Arial"/>
        </w:rPr>
        <w:t xml:space="preserve">related </w:t>
      </w:r>
      <w:r w:rsidR="002F1A3C" w:rsidRPr="002825DE">
        <w:rPr>
          <w:rFonts w:ascii="Arial" w:hAnsi="Arial" w:cs="Arial"/>
        </w:rPr>
        <w:t xml:space="preserve">adverse events, </w:t>
      </w:r>
      <w:r w:rsidR="00A63BB0" w:rsidRPr="002825DE">
        <w:rPr>
          <w:rFonts w:ascii="Arial" w:hAnsi="Arial" w:cs="Arial"/>
        </w:rPr>
        <w:t>requirement for</w:t>
      </w:r>
      <w:r w:rsidR="0045482B" w:rsidRPr="002825DE">
        <w:rPr>
          <w:rFonts w:ascii="Arial" w:hAnsi="Arial" w:cs="Arial"/>
        </w:rPr>
        <w:t xml:space="preserve"> red blood cell</w:t>
      </w:r>
      <w:r w:rsidR="002F1A3C" w:rsidRPr="002825DE">
        <w:rPr>
          <w:rFonts w:ascii="Arial" w:hAnsi="Arial" w:cs="Arial"/>
        </w:rPr>
        <w:t>s</w:t>
      </w:r>
      <w:r w:rsidR="0045482B" w:rsidRPr="002825DE">
        <w:rPr>
          <w:rFonts w:ascii="Arial" w:hAnsi="Arial" w:cs="Arial"/>
        </w:rPr>
        <w:t xml:space="preserve"> (RBCs)</w:t>
      </w:r>
      <w:r w:rsidR="002F1A3C" w:rsidRPr="002825DE">
        <w:rPr>
          <w:rFonts w:ascii="Arial" w:hAnsi="Arial" w:cs="Arial"/>
        </w:rPr>
        <w:t xml:space="preserve"> </w:t>
      </w:r>
      <w:r w:rsidR="00A63BB0" w:rsidRPr="002825DE">
        <w:rPr>
          <w:rFonts w:ascii="Arial" w:hAnsi="Arial" w:cs="Arial"/>
        </w:rPr>
        <w:t xml:space="preserve">and the </w:t>
      </w:r>
      <w:r w:rsidR="0081693D" w:rsidRPr="002825DE">
        <w:rPr>
          <w:rFonts w:ascii="Arial" w:hAnsi="Arial" w:cs="Arial"/>
        </w:rPr>
        <w:t>quantity</w:t>
      </w:r>
      <w:r w:rsidR="002F1A3C" w:rsidRPr="002825DE">
        <w:rPr>
          <w:rFonts w:ascii="Arial" w:hAnsi="Arial" w:cs="Arial"/>
        </w:rPr>
        <w:t xml:space="preserve"> of RBCs</w:t>
      </w:r>
      <w:r w:rsidR="00A63BB0" w:rsidRPr="002825DE">
        <w:rPr>
          <w:rFonts w:ascii="Arial" w:hAnsi="Arial" w:cs="Arial"/>
        </w:rPr>
        <w:t xml:space="preserve"> (units) transfusions. In subgroup analysis of VKA reversal for ICH, </w:t>
      </w:r>
      <w:r w:rsidRPr="002825DE">
        <w:rPr>
          <w:rFonts w:ascii="Arial" w:hAnsi="Arial" w:cs="Arial"/>
        </w:rPr>
        <w:t xml:space="preserve">disability </w:t>
      </w:r>
      <w:r w:rsidR="000C0125" w:rsidRPr="002825DE">
        <w:rPr>
          <w:rFonts w:ascii="Arial" w:hAnsi="Arial" w:cs="Arial"/>
        </w:rPr>
        <w:t xml:space="preserve">at discharge or at 90days </w:t>
      </w:r>
      <w:r w:rsidR="00A63BB0" w:rsidRPr="002825DE">
        <w:rPr>
          <w:rFonts w:ascii="Arial" w:hAnsi="Arial" w:cs="Arial"/>
        </w:rPr>
        <w:t>was also included as secondary outcome.</w:t>
      </w:r>
    </w:p>
    <w:p w14:paraId="5CA5FBF4" w14:textId="77777777" w:rsidR="00D052CA" w:rsidRPr="002825DE" w:rsidRDefault="00D052CA" w:rsidP="00980769">
      <w:pPr>
        <w:spacing w:after="0" w:line="480" w:lineRule="auto"/>
        <w:jc w:val="both"/>
        <w:rPr>
          <w:rFonts w:ascii="Arial" w:hAnsi="Arial" w:cs="Arial"/>
        </w:rPr>
      </w:pPr>
    </w:p>
    <w:p w14:paraId="66BFBA5F" w14:textId="7411DC04" w:rsidR="00D052CA" w:rsidRPr="002825DE" w:rsidRDefault="00D052CA" w:rsidP="00980769">
      <w:pPr>
        <w:spacing w:after="0" w:line="480" w:lineRule="auto"/>
        <w:jc w:val="both"/>
        <w:rPr>
          <w:rFonts w:ascii="Arial" w:hAnsi="Arial" w:cs="Arial"/>
          <w:b/>
        </w:rPr>
      </w:pPr>
      <w:r w:rsidRPr="002825DE">
        <w:rPr>
          <w:rFonts w:ascii="Arial" w:hAnsi="Arial" w:cs="Arial"/>
          <w:b/>
        </w:rPr>
        <w:t>Definition of outcome measures</w:t>
      </w:r>
    </w:p>
    <w:p w14:paraId="6042BE52" w14:textId="3AEC9211" w:rsidR="000231CF" w:rsidRPr="002825DE" w:rsidRDefault="00D052CA" w:rsidP="00980769">
      <w:pPr>
        <w:spacing w:after="0" w:line="480" w:lineRule="auto"/>
        <w:jc w:val="both"/>
      </w:pPr>
      <w:r w:rsidRPr="002825DE">
        <w:rPr>
          <w:rFonts w:ascii="Arial" w:hAnsi="Arial" w:cs="Arial"/>
        </w:rPr>
        <w:t xml:space="preserve">The definition of outcome measures was by study authors which may vary between studies. </w:t>
      </w:r>
      <w:r w:rsidR="00C7614F" w:rsidRPr="002825DE">
        <w:rPr>
          <w:rFonts w:ascii="Arial" w:hAnsi="Arial" w:cs="Arial"/>
        </w:rPr>
        <w:t>Adequate</w:t>
      </w:r>
      <w:r w:rsidR="004F5995" w:rsidRPr="002825DE">
        <w:rPr>
          <w:rFonts w:ascii="Arial" w:hAnsi="Arial" w:cs="Arial"/>
        </w:rPr>
        <w:t xml:space="preserve"> </w:t>
      </w:r>
      <w:r w:rsidR="00CD4628" w:rsidRPr="002825DE">
        <w:rPr>
          <w:rFonts w:ascii="Arial" w:hAnsi="Arial" w:cs="Arial"/>
        </w:rPr>
        <w:t xml:space="preserve">INR reversal </w:t>
      </w:r>
      <w:r w:rsidR="00696AB3" w:rsidRPr="002825DE">
        <w:rPr>
          <w:rFonts w:ascii="Arial" w:hAnsi="Arial" w:cs="Arial"/>
        </w:rPr>
        <w:t xml:space="preserve">was </w:t>
      </w:r>
      <w:r w:rsidR="00CD4628" w:rsidRPr="002825DE">
        <w:rPr>
          <w:rFonts w:ascii="Arial" w:hAnsi="Arial" w:cs="Arial"/>
        </w:rPr>
        <w:t>describe</w:t>
      </w:r>
      <w:r w:rsidR="00E3163C" w:rsidRPr="002825DE">
        <w:rPr>
          <w:rFonts w:ascii="Arial" w:hAnsi="Arial" w:cs="Arial"/>
        </w:rPr>
        <w:t xml:space="preserve">d </w:t>
      </w:r>
      <w:r w:rsidR="002F1A3C" w:rsidRPr="002825DE">
        <w:rPr>
          <w:rFonts w:ascii="Arial" w:hAnsi="Arial" w:cs="Arial"/>
        </w:rPr>
        <w:t xml:space="preserve">as patients </w:t>
      </w:r>
      <w:r w:rsidR="004F5995" w:rsidRPr="002825DE">
        <w:rPr>
          <w:rFonts w:ascii="Arial" w:hAnsi="Arial" w:cs="Arial"/>
        </w:rPr>
        <w:t>who achieved</w:t>
      </w:r>
      <w:r w:rsidR="002F1A3C" w:rsidRPr="002825DE">
        <w:rPr>
          <w:rFonts w:ascii="Arial" w:hAnsi="Arial" w:cs="Arial"/>
        </w:rPr>
        <w:t xml:space="preserve"> INR target of &lt;2.5</w:t>
      </w:r>
      <w:r w:rsidR="0034120B" w:rsidRPr="002825DE">
        <w:rPr>
          <w:rFonts w:ascii="Arial" w:hAnsi="Arial" w:cs="Arial"/>
        </w:rPr>
        <w:t xml:space="preserve"> as set by authors of studies included in our present meta-analysis</w:t>
      </w:r>
      <w:r w:rsidR="00AA50A6" w:rsidRPr="002825DE">
        <w:rPr>
          <w:rFonts w:ascii="Arial" w:hAnsi="Arial" w:cs="Arial"/>
        </w:rPr>
        <w:t xml:space="preserve">. </w:t>
      </w:r>
      <w:r w:rsidR="00CD4628" w:rsidRPr="002825DE">
        <w:rPr>
          <w:rFonts w:ascii="Arial" w:hAnsi="Arial" w:cs="Arial"/>
        </w:rPr>
        <w:t>Thromboembolic events (TEE) included deep vein thromboses</w:t>
      </w:r>
      <w:r w:rsidR="004F5995" w:rsidRPr="002825DE">
        <w:rPr>
          <w:rFonts w:ascii="Arial" w:hAnsi="Arial" w:cs="Arial"/>
        </w:rPr>
        <w:t xml:space="preserve"> </w:t>
      </w:r>
      <w:r w:rsidR="004F5995" w:rsidRPr="002825DE">
        <w:rPr>
          <w:rFonts w:ascii="Arial" w:hAnsi="Arial" w:cs="Arial"/>
        </w:rPr>
        <w:lastRenderedPageBreak/>
        <w:t>(DVT), pulmonary embolisms (PE</w:t>
      </w:r>
      <w:r w:rsidR="00CD4628" w:rsidRPr="002825DE">
        <w:rPr>
          <w:rFonts w:ascii="Arial" w:hAnsi="Arial" w:cs="Arial"/>
        </w:rPr>
        <w:t>), myocardial</w:t>
      </w:r>
      <w:r w:rsidR="004F5995" w:rsidRPr="002825DE">
        <w:rPr>
          <w:rFonts w:ascii="Arial" w:hAnsi="Arial" w:cs="Arial"/>
        </w:rPr>
        <w:t xml:space="preserve"> infarcts (MI</w:t>
      </w:r>
      <w:r w:rsidR="00CD4628" w:rsidRPr="002825DE">
        <w:rPr>
          <w:rFonts w:ascii="Arial" w:hAnsi="Arial" w:cs="Arial"/>
        </w:rPr>
        <w:t xml:space="preserve">) and ischaemic strokes. </w:t>
      </w:r>
      <w:r w:rsidR="002F1A3C" w:rsidRPr="002825DE">
        <w:rPr>
          <w:rFonts w:ascii="Arial" w:hAnsi="Arial" w:cs="Arial"/>
        </w:rPr>
        <w:t>A</w:t>
      </w:r>
      <w:r w:rsidR="004F5995" w:rsidRPr="002825DE">
        <w:rPr>
          <w:rFonts w:ascii="Arial" w:hAnsi="Arial" w:cs="Arial"/>
        </w:rPr>
        <w:t xml:space="preserve">ll </w:t>
      </w:r>
      <w:r w:rsidR="000C0125" w:rsidRPr="002825DE">
        <w:rPr>
          <w:rFonts w:ascii="Arial" w:hAnsi="Arial" w:cs="Arial"/>
        </w:rPr>
        <w:t xml:space="preserve">types of </w:t>
      </w:r>
      <w:r w:rsidR="004F5995" w:rsidRPr="002825DE">
        <w:rPr>
          <w:rFonts w:ascii="Arial" w:hAnsi="Arial" w:cs="Arial"/>
        </w:rPr>
        <w:t>adverse events and treatment-</w:t>
      </w:r>
      <w:r w:rsidR="002F1A3C" w:rsidRPr="002825DE">
        <w:rPr>
          <w:rFonts w:ascii="Arial" w:hAnsi="Arial" w:cs="Arial"/>
        </w:rPr>
        <w:t xml:space="preserve">related adverse events were </w:t>
      </w:r>
      <w:r w:rsidR="000C0125" w:rsidRPr="002825DE">
        <w:rPr>
          <w:rFonts w:ascii="Arial" w:hAnsi="Arial" w:cs="Arial"/>
        </w:rPr>
        <w:t>defined</w:t>
      </w:r>
      <w:r w:rsidR="002F1A3C" w:rsidRPr="002825DE">
        <w:rPr>
          <w:rFonts w:ascii="Arial" w:hAnsi="Arial" w:cs="Arial"/>
        </w:rPr>
        <w:t xml:space="preserve"> by </w:t>
      </w:r>
      <w:r w:rsidR="00656296" w:rsidRPr="002825DE">
        <w:rPr>
          <w:rFonts w:ascii="Arial" w:hAnsi="Arial" w:cs="Arial"/>
        </w:rPr>
        <w:t xml:space="preserve">study </w:t>
      </w:r>
      <w:r w:rsidRPr="002825DE">
        <w:rPr>
          <w:rFonts w:ascii="Arial" w:hAnsi="Arial" w:cs="Arial"/>
        </w:rPr>
        <w:t>authors</w:t>
      </w:r>
      <w:r w:rsidR="002F1A3C" w:rsidRPr="002825DE">
        <w:rPr>
          <w:rFonts w:ascii="Arial" w:hAnsi="Arial" w:cs="Arial"/>
        </w:rPr>
        <w:t xml:space="preserve">. </w:t>
      </w:r>
      <w:r w:rsidR="0045482B" w:rsidRPr="002825DE">
        <w:rPr>
          <w:rFonts w:ascii="Arial" w:hAnsi="Arial" w:cs="Arial"/>
        </w:rPr>
        <w:t xml:space="preserve">Patients receiving RBC transfusions </w:t>
      </w:r>
      <w:r w:rsidRPr="002825DE">
        <w:rPr>
          <w:rFonts w:ascii="Arial" w:hAnsi="Arial" w:cs="Arial"/>
        </w:rPr>
        <w:t xml:space="preserve">were those who had </w:t>
      </w:r>
      <w:r w:rsidR="0045482B" w:rsidRPr="002825DE">
        <w:rPr>
          <w:rFonts w:ascii="Arial" w:hAnsi="Arial" w:cs="Arial"/>
        </w:rPr>
        <w:t xml:space="preserve">received at least 1 unit of RBCs. </w:t>
      </w:r>
      <w:r w:rsidR="00DC767D" w:rsidRPr="002825DE">
        <w:rPr>
          <w:rFonts w:ascii="Arial" w:hAnsi="Arial" w:cs="Arial"/>
        </w:rPr>
        <w:t xml:space="preserve">Fluid overload events included pulmonary oedema </w:t>
      </w:r>
      <w:r w:rsidR="00B6145C" w:rsidRPr="002825DE">
        <w:rPr>
          <w:rFonts w:ascii="Arial" w:hAnsi="Arial" w:cs="Arial"/>
        </w:rPr>
        <w:t>and</w:t>
      </w:r>
      <w:r w:rsidR="00DC767D" w:rsidRPr="002825DE">
        <w:rPr>
          <w:rFonts w:ascii="Arial" w:hAnsi="Arial" w:cs="Arial"/>
        </w:rPr>
        <w:t xml:space="preserve"> pleural effusion. </w:t>
      </w:r>
      <w:r w:rsidR="0045482B" w:rsidRPr="002825DE">
        <w:rPr>
          <w:rFonts w:ascii="Arial" w:hAnsi="Arial" w:cs="Arial"/>
        </w:rPr>
        <w:t>D</w:t>
      </w:r>
      <w:r w:rsidR="00CD4628" w:rsidRPr="002825DE">
        <w:rPr>
          <w:rFonts w:ascii="Arial" w:hAnsi="Arial" w:cs="Arial"/>
        </w:rPr>
        <w:t>isability</w:t>
      </w:r>
      <w:r w:rsidR="000C0125" w:rsidRPr="002825DE">
        <w:rPr>
          <w:rFonts w:ascii="Arial" w:hAnsi="Arial" w:cs="Arial"/>
        </w:rPr>
        <w:t xml:space="preserve"> </w:t>
      </w:r>
      <w:r w:rsidR="00CD4628" w:rsidRPr="002825DE">
        <w:rPr>
          <w:rFonts w:ascii="Arial" w:hAnsi="Arial" w:cs="Arial"/>
        </w:rPr>
        <w:t xml:space="preserve">following VKA reversal for an </w:t>
      </w:r>
      <w:r w:rsidR="000C0125" w:rsidRPr="002825DE">
        <w:rPr>
          <w:rFonts w:ascii="Arial" w:hAnsi="Arial" w:cs="Arial"/>
        </w:rPr>
        <w:t>ICH was assessed by modified Rankin Scale (mRS):</w:t>
      </w:r>
      <w:r w:rsidR="00CD4628" w:rsidRPr="002825DE">
        <w:rPr>
          <w:rFonts w:ascii="Arial" w:hAnsi="Arial" w:cs="Arial"/>
        </w:rPr>
        <w:t xml:space="preserve"> </w:t>
      </w:r>
      <w:r w:rsidR="000C0125" w:rsidRPr="002825DE">
        <w:rPr>
          <w:rFonts w:ascii="Arial" w:hAnsi="Arial" w:cs="Arial"/>
        </w:rPr>
        <w:t>patients with mRS</w:t>
      </w:r>
      <w:r w:rsidR="00CD4628" w:rsidRPr="002825DE">
        <w:rPr>
          <w:rFonts w:ascii="Arial" w:hAnsi="Arial" w:cs="Arial"/>
        </w:rPr>
        <w:t xml:space="preserve"> score of 0-3 </w:t>
      </w:r>
      <w:r w:rsidR="000C0125" w:rsidRPr="002825DE">
        <w:rPr>
          <w:rFonts w:ascii="Arial" w:hAnsi="Arial" w:cs="Arial"/>
        </w:rPr>
        <w:t>were</w:t>
      </w:r>
      <w:r w:rsidR="00CD4628" w:rsidRPr="002825DE">
        <w:rPr>
          <w:rFonts w:ascii="Arial" w:hAnsi="Arial" w:cs="Arial"/>
        </w:rPr>
        <w:t xml:space="preserve"> considered </w:t>
      </w:r>
      <w:r w:rsidR="000C0125" w:rsidRPr="002825DE">
        <w:rPr>
          <w:rFonts w:ascii="Arial" w:hAnsi="Arial" w:cs="Arial"/>
        </w:rPr>
        <w:t xml:space="preserve">to have </w:t>
      </w:r>
      <w:r w:rsidR="00CD4628" w:rsidRPr="002825DE">
        <w:rPr>
          <w:rFonts w:ascii="Arial" w:hAnsi="Arial" w:cs="Arial"/>
        </w:rPr>
        <w:t>no disability to moderate disability</w:t>
      </w:r>
      <w:r w:rsidR="000C0125" w:rsidRPr="002825DE">
        <w:rPr>
          <w:rFonts w:ascii="Arial" w:hAnsi="Arial" w:cs="Arial"/>
        </w:rPr>
        <w:t>, 4-5 to have moderately-severe to severe disability and 6 to have died</w:t>
      </w:r>
      <w:r w:rsidR="00CD4628" w:rsidRPr="002825DE">
        <w:rPr>
          <w:rFonts w:ascii="Arial" w:hAnsi="Arial" w:cs="Arial"/>
        </w:rPr>
        <w:t xml:space="preserve">. </w:t>
      </w:r>
    </w:p>
    <w:p w14:paraId="1775AF79" w14:textId="77777777" w:rsidR="000231CF" w:rsidRPr="002825DE" w:rsidRDefault="000231CF" w:rsidP="00980769">
      <w:pPr>
        <w:spacing w:after="0" w:line="480" w:lineRule="auto"/>
        <w:jc w:val="both"/>
        <w:rPr>
          <w:rFonts w:ascii="Arial" w:hAnsi="Arial" w:cs="Arial"/>
          <w:u w:val="single"/>
        </w:rPr>
      </w:pPr>
    </w:p>
    <w:p w14:paraId="18D9636A" w14:textId="77777777" w:rsidR="000231CF" w:rsidRPr="002825DE" w:rsidRDefault="00CD4628" w:rsidP="00980769">
      <w:pPr>
        <w:spacing w:after="0" w:line="480" w:lineRule="auto"/>
        <w:jc w:val="both"/>
        <w:rPr>
          <w:rFonts w:ascii="Arial" w:hAnsi="Arial" w:cs="Arial"/>
          <w:b/>
        </w:rPr>
      </w:pPr>
      <w:r w:rsidRPr="002825DE">
        <w:rPr>
          <w:rFonts w:ascii="Arial" w:hAnsi="Arial" w:cs="Arial"/>
          <w:b/>
        </w:rPr>
        <w:t>Statistical Analysis</w:t>
      </w:r>
    </w:p>
    <w:p w14:paraId="66C7A4A9" w14:textId="03CF7FC4" w:rsidR="000231CF" w:rsidRPr="002825DE" w:rsidRDefault="000A7939" w:rsidP="00980769">
      <w:pPr>
        <w:spacing w:after="0" w:line="480" w:lineRule="auto"/>
        <w:jc w:val="both"/>
        <w:rPr>
          <w:rFonts w:ascii="Arial" w:hAnsi="Arial" w:cs="Arial"/>
          <w:u w:val="single"/>
        </w:rPr>
      </w:pPr>
      <w:r w:rsidRPr="002825DE">
        <w:rPr>
          <w:rFonts w:ascii="Arial" w:hAnsi="Arial" w:cs="Arial"/>
          <w:color w:val="000000" w:themeColor="text1"/>
        </w:rPr>
        <w:t xml:space="preserve">Meta-analysis was performed using Review Manager v5.3. </w:t>
      </w:r>
      <w:r w:rsidR="00CD4628" w:rsidRPr="002825DE">
        <w:rPr>
          <w:rFonts w:ascii="Arial" w:hAnsi="Arial" w:cs="Arial"/>
        </w:rPr>
        <w:t xml:space="preserve">Odds ratio (OR) and 95% confidence intervals (CI) </w:t>
      </w:r>
      <w:r w:rsidR="00CD4628" w:rsidRPr="002825DE">
        <w:rPr>
          <w:rFonts w:ascii="Arial" w:hAnsi="Arial" w:cs="Arial"/>
          <w:color w:val="000000"/>
        </w:rPr>
        <w:t>were calculated using a random effect</w:t>
      </w:r>
      <w:r w:rsidR="001E2262" w:rsidRPr="002825DE">
        <w:rPr>
          <w:rFonts w:ascii="Arial" w:hAnsi="Arial" w:cs="Arial"/>
          <w:color w:val="000000"/>
        </w:rPr>
        <w:t>s</w:t>
      </w:r>
      <w:r w:rsidR="00CD4628" w:rsidRPr="002825DE">
        <w:rPr>
          <w:rFonts w:ascii="Arial" w:hAnsi="Arial" w:cs="Arial"/>
          <w:color w:val="000000"/>
        </w:rPr>
        <w:t xml:space="preserve"> model</w:t>
      </w:r>
      <w:r w:rsidR="00CD4628" w:rsidRPr="002825DE">
        <w:rPr>
          <w:rFonts w:ascii="Arial" w:hAnsi="Arial" w:cs="Arial"/>
        </w:rPr>
        <w:t xml:space="preserve">. </w:t>
      </w:r>
      <w:r w:rsidRPr="002825DE">
        <w:rPr>
          <w:rFonts w:ascii="Arial" w:hAnsi="Arial" w:cs="Arial"/>
          <w:color w:val="000000" w:themeColor="text1"/>
        </w:rPr>
        <w:t xml:space="preserve">Statistical significance threshold was accepted as </w:t>
      </w:r>
      <w:r w:rsidRPr="002825DE">
        <w:rPr>
          <w:rFonts w:ascii="Arial" w:hAnsi="Arial" w:cs="Arial"/>
          <w:i/>
          <w:color w:val="000000" w:themeColor="text1"/>
        </w:rPr>
        <w:t xml:space="preserve">p </w:t>
      </w:r>
      <w:r w:rsidRPr="002825DE">
        <w:rPr>
          <w:rFonts w:ascii="Arial" w:hAnsi="Arial" w:cs="Arial"/>
          <w:color w:val="000000" w:themeColor="text1"/>
        </w:rPr>
        <w:t>&lt;0.05.</w:t>
      </w:r>
      <w:r w:rsidR="00CD4628" w:rsidRPr="002825DE">
        <w:rPr>
          <w:rFonts w:ascii="Arial" w:hAnsi="Arial" w:cs="Arial"/>
        </w:rPr>
        <w:t xml:space="preserve"> </w:t>
      </w:r>
      <w:r w:rsidR="00D235BE" w:rsidRPr="002825DE">
        <w:rPr>
          <w:rFonts w:ascii="Arial" w:hAnsi="Arial" w:cs="Arial"/>
        </w:rPr>
        <w:t>Inter-study h</w:t>
      </w:r>
      <w:r w:rsidR="00D27BA4" w:rsidRPr="002825DE">
        <w:rPr>
          <w:rFonts w:ascii="Arial" w:hAnsi="Arial" w:cs="Arial"/>
        </w:rPr>
        <w:t xml:space="preserve">eterogeneity was assessed by </w:t>
      </w:r>
      <w:r w:rsidR="00CD4628" w:rsidRPr="002825DE">
        <w:rPr>
          <w:rFonts w:ascii="Arial" w:hAnsi="Arial" w:cs="Arial"/>
        </w:rPr>
        <w:t>I</w:t>
      </w:r>
      <w:r w:rsidR="00CD4628" w:rsidRPr="002825DE">
        <w:rPr>
          <w:rFonts w:ascii="Arial" w:hAnsi="Arial" w:cs="Arial"/>
          <w:vertAlign w:val="superscript"/>
        </w:rPr>
        <w:t>2</w:t>
      </w:r>
      <w:r w:rsidR="00CD4628" w:rsidRPr="002825DE">
        <w:rPr>
          <w:rFonts w:ascii="Arial" w:hAnsi="Arial" w:cs="Arial"/>
        </w:rPr>
        <w:t xml:space="preserve"> test with</w:t>
      </w:r>
      <w:r w:rsidR="00D27BA4" w:rsidRPr="002825DE">
        <w:rPr>
          <w:rFonts w:ascii="Arial" w:hAnsi="Arial" w:cs="Arial"/>
        </w:rPr>
        <w:t xml:space="preserve"> a value of</w:t>
      </w:r>
      <w:r w:rsidR="00CD4628" w:rsidRPr="002825DE">
        <w:rPr>
          <w:rFonts w:ascii="Arial" w:hAnsi="Arial" w:cs="Arial"/>
        </w:rPr>
        <w:t xml:space="preserve"> &gt;50% being considered substantial heterogeneity. Funnel plots were generated to assess publication bias.</w:t>
      </w:r>
      <w:r w:rsidR="0089412B" w:rsidRPr="002825DE">
        <w:rPr>
          <w:rFonts w:ascii="Arial" w:hAnsi="Arial" w:cs="Arial"/>
        </w:rPr>
        <w:t xml:space="preserve"> Specific analyses was undertaken on 90-day all-cause mortality, INR reversal, thrombogenicity, RBC transfusion and their quantities, adverse events, and subgroup analyses of VKA associated ICH and mortality, disability on discharge.</w:t>
      </w:r>
      <w:r w:rsidR="002D1548" w:rsidRPr="002825DE">
        <w:rPr>
          <w:rFonts w:ascii="Arial" w:hAnsi="Arial" w:cs="Arial"/>
        </w:rPr>
        <w:t xml:space="preserve"> Risk of bias was assessed using </w:t>
      </w:r>
      <w:r w:rsidR="002D1548" w:rsidRPr="002825DE">
        <w:rPr>
          <w:rFonts w:ascii="Arial" w:hAnsi="Arial" w:cs="Arial"/>
          <w:noProof/>
          <w:lang w:val="en-US"/>
        </w:rPr>
        <w:t xml:space="preserve">Cochrane Collaboration’s tool </w:t>
      </w:r>
      <w:r w:rsidR="007A668F" w:rsidRPr="002825DE">
        <w:rPr>
          <w:rFonts w:ascii="Arial" w:hAnsi="Arial" w:cs="Arial"/>
        </w:rPr>
        <w:t>[1</w:t>
      </w:r>
      <w:r w:rsidR="00432124" w:rsidRPr="002825DE">
        <w:rPr>
          <w:rFonts w:ascii="Arial" w:hAnsi="Arial" w:cs="Arial"/>
        </w:rPr>
        <w:t>3</w:t>
      </w:r>
      <w:r w:rsidR="007A668F" w:rsidRPr="002825DE">
        <w:rPr>
          <w:rFonts w:ascii="Arial" w:hAnsi="Arial" w:cs="Arial"/>
        </w:rPr>
        <w:t>]</w:t>
      </w:r>
      <w:r w:rsidR="00C17DE8" w:rsidRPr="002825DE">
        <w:rPr>
          <w:rFonts w:ascii="Arial" w:hAnsi="Arial" w:cs="Arial"/>
          <w:noProof/>
          <w:lang w:val="en-US"/>
        </w:rPr>
        <w:t>.</w:t>
      </w:r>
    </w:p>
    <w:p w14:paraId="1404C85B" w14:textId="77777777" w:rsidR="000231CF" w:rsidRPr="002825DE" w:rsidRDefault="000231CF" w:rsidP="00980769">
      <w:pPr>
        <w:spacing w:after="0" w:line="480" w:lineRule="auto"/>
        <w:rPr>
          <w:rFonts w:ascii="Arial" w:hAnsi="Arial" w:cs="Arial"/>
        </w:rPr>
      </w:pPr>
    </w:p>
    <w:p w14:paraId="16870030" w14:textId="77777777" w:rsidR="000231CF" w:rsidRPr="002825DE" w:rsidRDefault="00CD4628" w:rsidP="00980769">
      <w:pPr>
        <w:pStyle w:val="Heading1"/>
        <w:spacing w:before="0" w:after="0" w:line="480" w:lineRule="auto"/>
        <w:rPr>
          <w:rFonts w:ascii="Arial" w:hAnsi="Arial" w:cs="Arial"/>
          <w:b/>
          <w:color w:val="auto"/>
          <w:sz w:val="24"/>
          <w:szCs w:val="24"/>
        </w:rPr>
      </w:pPr>
      <w:r w:rsidRPr="002825DE">
        <w:rPr>
          <w:rFonts w:ascii="Arial" w:hAnsi="Arial" w:cs="Arial"/>
          <w:b/>
          <w:color w:val="auto"/>
          <w:sz w:val="24"/>
          <w:szCs w:val="24"/>
        </w:rPr>
        <w:t>RESULTS</w:t>
      </w:r>
    </w:p>
    <w:p w14:paraId="541EDC98" w14:textId="7D31BF9F" w:rsidR="000231CF" w:rsidRPr="002825DE" w:rsidRDefault="00CD4628" w:rsidP="00980769">
      <w:pPr>
        <w:spacing w:after="0" w:line="480" w:lineRule="auto"/>
        <w:jc w:val="both"/>
        <w:rPr>
          <w:rFonts w:ascii="Arial" w:hAnsi="Arial" w:cs="Arial"/>
        </w:rPr>
      </w:pPr>
      <w:r w:rsidRPr="002825DE">
        <w:rPr>
          <w:rFonts w:ascii="Arial" w:hAnsi="Arial" w:cs="Arial"/>
        </w:rPr>
        <w:t xml:space="preserve">The initial literature search yielded </w:t>
      </w:r>
      <w:r w:rsidR="006942AE" w:rsidRPr="002825DE">
        <w:rPr>
          <w:rFonts w:ascii="Arial" w:hAnsi="Arial" w:cs="Arial"/>
        </w:rPr>
        <w:t>17343</w:t>
      </w:r>
      <w:r w:rsidRPr="002825DE">
        <w:rPr>
          <w:rFonts w:ascii="Arial" w:hAnsi="Arial" w:cs="Arial"/>
        </w:rPr>
        <w:t xml:space="preserve"> publications. After the application of </w:t>
      </w:r>
      <w:r w:rsidR="00D27BA4" w:rsidRPr="002825DE">
        <w:rPr>
          <w:rFonts w:ascii="Arial" w:hAnsi="Arial" w:cs="Arial"/>
        </w:rPr>
        <w:t>selection</w:t>
      </w:r>
      <w:r w:rsidRPr="002825DE">
        <w:rPr>
          <w:rFonts w:ascii="Arial" w:hAnsi="Arial" w:cs="Arial"/>
        </w:rPr>
        <w:t xml:space="preserve"> crit</w:t>
      </w:r>
      <w:r w:rsidR="003E0C41" w:rsidRPr="002825DE">
        <w:rPr>
          <w:rFonts w:ascii="Arial" w:hAnsi="Arial" w:cs="Arial"/>
        </w:rPr>
        <w:t>eria, full text analysis left 1</w:t>
      </w:r>
      <w:r w:rsidR="006942AE" w:rsidRPr="002825DE">
        <w:rPr>
          <w:rFonts w:ascii="Arial" w:hAnsi="Arial" w:cs="Arial"/>
        </w:rPr>
        <w:t>7</w:t>
      </w:r>
      <w:r w:rsidRPr="002825DE">
        <w:rPr>
          <w:rFonts w:ascii="Arial" w:hAnsi="Arial" w:cs="Arial"/>
        </w:rPr>
        <w:t xml:space="preserve"> articles with dichotomous, discrete and </w:t>
      </w:r>
      <w:r w:rsidRPr="002825DE">
        <w:rPr>
          <w:rFonts w:ascii="Arial" w:hAnsi="Arial" w:cs="Arial"/>
        </w:rPr>
        <w:lastRenderedPageBreak/>
        <w:t>relevant data (</w:t>
      </w:r>
      <w:r w:rsidR="00D27BA4" w:rsidRPr="002825DE">
        <w:rPr>
          <w:rFonts w:ascii="Arial" w:hAnsi="Arial" w:cs="Arial"/>
          <w:b/>
        </w:rPr>
        <w:t>F</w:t>
      </w:r>
      <w:r w:rsidR="00BD05BC" w:rsidRPr="002825DE">
        <w:rPr>
          <w:rFonts w:ascii="Arial" w:hAnsi="Arial" w:cs="Arial"/>
          <w:b/>
        </w:rPr>
        <w:t>igure 1</w:t>
      </w:r>
      <w:r w:rsidRPr="002825DE">
        <w:rPr>
          <w:rFonts w:ascii="Arial" w:hAnsi="Arial" w:cs="Arial"/>
        </w:rPr>
        <w:t>).</w:t>
      </w:r>
      <w:r w:rsidR="003A7530" w:rsidRPr="002825DE">
        <w:rPr>
          <w:rFonts w:ascii="Arial" w:hAnsi="Arial" w:cs="Arial"/>
        </w:rPr>
        <w:t xml:space="preserve"> Characteristics of studies are described in </w:t>
      </w:r>
      <w:r w:rsidR="003A7530" w:rsidRPr="002825DE">
        <w:rPr>
          <w:rFonts w:ascii="Arial" w:hAnsi="Arial" w:cs="Arial"/>
          <w:b/>
        </w:rPr>
        <w:t xml:space="preserve">Supplementary </w:t>
      </w:r>
      <w:r w:rsidR="00252162" w:rsidRPr="002825DE">
        <w:rPr>
          <w:rFonts w:ascii="Arial" w:hAnsi="Arial" w:cs="Arial"/>
          <w:b/>
        </w:rPr>
        <w:t>T</w:t>
      </w:r>
      <w:r w:rsidR="003A7530" w:rsidRPr="002825DE">
        <w:rPr>
          <w:rFonts w:ascii="Arial" w:hAnsi="Arial" w:cs="Arial"/>
          <w:b/>
        </w:rPr>
        <w:t>able 1</w:t>
      </w:r>
      <w:r w:rsidR="002F1556" w:rsidRPr="002825DE">
        <w:rPr>
          <w:rFonts w:ascii="Arial" w:hAnsi="Arial" w:cs="Arial"/>
          <w:b/>
        </w:rPr>
        <w:t>A-C</w:t>
      </w:r>
      <w:r w:rsidR="003A7530" w:rsidRPr="002825DE">
        <w:rPr>
          <w:rFonts w:ascii="Arial" w:hAnsi="Arial" w:cs="Arial"/>
        </w:rPr>
        <w:t>.</w:t>
      </w:r>
    </w:p>
    <w:p w14:paraId="3F01A509" w14:textId="77777777" w:rsidR="000231CF" w:rsidRPr="002825DE" w:rsidRDefault="000231CF" w:rsidP="00980769">
      <w:pPr>
        <w:spacing w:after="0" w:line="480" w:lineRule="auto"/>
        <w:jc w:val="both"/>
        <w:rPr>
          <w:rStyle w:val="CommentReference"/>
          <w:rFonts w:ascii="Arial" w:hAnsi="Arial" w:cs="Arial"/>
          <w:color w:val="FF0000"/>
          <w:sz w:val="24"/>
          <w:szCs w:val="24"/>
        </w:rPr>
      </w:pPr>
    </w:p>
    <w:p w14:paraId="3D2520BD" w14:textId="434686C4" w:rsidR="000231CF" w:rsidRPr="002825DE" w:rsidRDefault="004D141E" w:rsidP="00980769">
      <w:pPr>
        <w:spacing w:after="0" w:line="480" w:lineRule="auto"/>
        <w:jc w:val="both"/>
        <w:rPr>
          <w:rFonts w:ascii="Arial" w:hAnsi="Arial" w:cs="Arial"/>
          <w:b/>
        </w:rPr>
      </w:pPr>
      <w:r w:rsidRPr="002825DE">
        <w:rPr>
          <w:rFonts w:ascii="Arial" w:hAnsi="Arial" w:cs="Arial"/>
          <w:b/>
        </w:rPr>
        <w:t>90</w:t>
      </w:r>
      <w:r w:rsidR="006F77FB" w:rsidRPr="002825DE">
        <w:rPr>
          <w:rFonts w:ascii="Arial" w:hAnsi="Arial" w:cs="Arial"/>
          <w:b/>
        </w:rPr>
        <w:t>day a</w:t>
      </w:r>
      <w:r w:rsidR="00CD4628" w:rsidRPr="002825DE">
        <w:rPr>
          <w:rFonts w:ascii="Arial" w:hAnsi="Arial" w:cs="Arial"/>
          <w:b/>
        </w:rPr>
        <w:t>ll-cause mortality</w:t>
      </w:r>
    </w:p>
    <w:p w14:paraId="5465BDAA" w14:textId="4A7001AF" w:rsidR="000231CF" w:rsidRPr="002825DE" w:rsidRDefault="00CD4628" w:rsidP="00980769">
      <w:pPr>
        <w:spacing w:after="0" w:line="480" w:lineRule="auto"/>
        <w:jc w:val="both"/>
      </w:pPr>
      <w:r w:rsidRPr="002825DE">
        <w:rPr>
          <w:rFonts w:ascii="Arial" w:hAnsi="Arial" w:cs="Arial"/>
        </w:rPr>
        <w:t xml:space="preserve">A total of </w:t>
      </w:r>
      <w:r w:rsidR="006942AE" w:rsidRPr="002825DE">
        <w:rPr>
          <w:rFonts w:ascii="Arial" w:hAnsi="Arial" w:cs="Arial"/>
        </w:rPr>
        <w:t>1,988</w:t>
      </w:r>
      <w:r w:rsidRPr="002825DE">
        <w:rPr>
          <w:rFonts w:ascii="Arial" w:hAnsi="Arial" w:cs="Arial"/>
        </w:rPr>
        <w:t xml:space="preserve"> patients in all </w:t>
      </w:r>
      <w:r w:rsidR="008C6E09" w:rsidRPr="002825DE">
        <w:rPr>
          <w:rFonts w:ascii="Arial" w:hAnsi="Arial" w:cs="Arial"/>
        </w:rPr>
        <w:t>nine</w:t>
      </w:r>
      <w:r w:rsidRPr="002825DE">
        <w:rPr>
          <w:rFonts w:ascii="Arial" w:hAnsi="Arial" w:cs="Arial"/>
        </w:rPr>
        <w:t xml:space="preserve"> studies </w:t>
      </w:r>
      <w:r w:rsidR="00D235BE" w:rsidRPr="002825DE">
        <w:rPr>
          <w:rFonts w:ascii="Arial" w:hAnsi="Arial" w:cs="Arial"/>
        </w:rPr>
        <w:t>were analysed</w:t>
      </w:r>
      <w:r w:rsidR="00D235BE" w:rsidRPr="002825DE">
        <w:t xml:space="preserve"> </w:t>
      </w:r>
      <w:r w:rsidRPr="002825DE">
        <w:fldChar w:fldCharType="begin"/>
      </w:r>
      <w:r w:rsidR="004313B4" w:rsidRPr="002825DE">
        <w:rPr>
          <w:rFonts w:hint="eastAsia"/>
        </w:rPr>
        <w:instrText>ADDIN RW.CITE{{4547 Parry</w:instrText>
      </w:r>
      <w:r w:rsidR="004313B4" w:rsidRPr="002825DE">
        <w:rPr>
          <w:rFonts w:hint="eastAsia"/>
        </w:rPr>
        <w:instrText>‐</w:instrText>
      </w:r>
      <w:r w:rsidR="004313B4" w:rsidRPr="002825DE">
        <w:rPr>
          <w:rFonts w:hint="eastAsia"/>
        </w:rPr>
        <w:instrText>Jones,AdrianR 2015; 4538 Goldstein,JoshuaN 2015; 4539 Steiner,Thorsten 2016; 4542 Frontera,JenniferA 2014; 4543 Hickey,M. 2013; 4545 Majeed,A. 2014; 4513 Sarode,R. 2013; 4549 Takahashi,Ayako 2010; 4560 Wu,DingWen 2018}}</w:instrText>
      </w:r>
      <w:r w:rsidRPr="002825DE">
        <w:fldChar w:fldCharType="separate"/>
      </w:r>
      <w:bookmarkStart w:id="32" w:name="__Fieldmark__318_2453490188"/>
      <w:bookmarkStart w:id="33" w:name="__Fieldmark__3609_2106776864"/>
      <w:bookmarkStart w:id="34" w:name="__Fieldmark__2013_2106776864"/>
      <w:bookmarkStart w:id="35" w:name="__Fieldmark__367_2106776864"/>
      <w:bookmarkStart w:id="36" w:name="__Fieldmark__348_1242759569"/>
      <w:bookmarkStart w:id="37" w:name="__Fieldmark__363_4243418973"/>
      <w:bookmarkStart w:id="38" w:name="__Fieldmark__362_2557495909"/>
      <w:r w:rsidR="003960ED" w:rsidRPr="002825DE">
        <w:rPr>
          <w:rFonts w:ascii="Arial" w:hAnsi="Arial" w:cs="Arial"/>
        </w:rPr>
        <w:t>[1</w:t>
      </w:r>
      <w:r w:rsidR="00432124" w:rsidRPr="002825DE">
        <w:rPr>
          <w:rFonts w:ascii="Arial" w:hAnsi="Arial" w:cs="Arial"/>
        </w:rPr>
        <w:t>4</w:t>
      </w:r>
      <w:r w:rsidR="003960ED" w:rsidRPr="002825DE">
        <w:rPr>
          <w:rFonts w:ascii="Arial" w:hAnsi="Arial" w:cs="Arial"/>
        </w:rPr>
        <w:t>-2</w:t>
      </w:r>
      <w:r w:rsidR="00432124" w:rsidRPr="002825DE">
        <w:rPr>
          <w:rFonts w:ascii="Arial" w:hAnsi="Arial" w:cs="Arial"/>
        </w:rPr>
        <w:t>2</w:t>
      </w:r>
      <w:r w:rsidR="003960ED" w:rsidRPr="002825DE">
        <w:rPr>
          <w:rFonts w:ascii="Arial" w:hAnsi="Arial" w:cs="Arial"/>
        </w:rPr>
        <w:t>]</w:t>
      </w:r>
      <w:r w:rsidRPr="002825DE">
        <w:fldChar w:fldCharType="end"/>
      </w:r>
      <w:bookmarkEnd w:id="32"/>
      <w:bookmarkEnd w:id="33"/>
      <w:bookmarkEnd w:id="34"/>
      <w:bookmarkEnd w:id="35"/>
      <w:bookmarkEnd w:id="36"/>
      <w:bookmarkEnd w:id="37"/>
      <w:bookmarkEnd w:id="38"/>
      <w:r w:rsidRPr="002825DE">
        <w:rPr>
          <w:rFonts w:ascii="Arial" w:hAnsi="Arial" w:cs="Arial"/>
        </w:rPr>
        <w:t xml:space="preserve">. </w:t>
      </w:r>
      <w:r w:rsidR="008C6E09" w:rsidRPr="002825DE">
        <w:rPr>
          <w:rFonts w:ascii="Arial" w:hAnsi="Arial" w:cs="Arial"/>
        </w:rPr>
        <w:t>Th</w:t>
      </w:r>
      <w:r w:rsidR="00197AEA" w:rsidRPr="002825DE">
        <w:rPr>
          <w:rFonts w:ascii="Arial" w:hAnsi="Arial" w:cs="Arial"/>
        </w:rPr>
        <w:t>r</w:t>
      </w:r>
      <w:r w:rsidR="008C6E09" w:rsidRPr="002825DE">
        <w:rPr>
          <w:rFonts w:ascii="Arial" w:hAnsi="Arial" w:cs="Arial"/>
        </w:rPr>
        <w:t>ee</w:t>
      </w:r>
      <w:r w:rsidRPr="002825DE">
        <w:rPr>
          <w:rFonts w:ascii="Arial" w:hAnsi="Arial" w:cs="Arial"/>
        </w:rPr>
        <w:t xml:space="preserve"> studies were prospective and </w:t>
      </w:r>
      <w:r w:rsidR="008C6E09" w:rsidRPr="002825DE">
        <w:rPr>
          <w:rFonts w:ascii="Arial" w:hAnsi="Arial" w:cs="Arial"/>
        </w:rPr>
        <w:t>six</w:t>
      </w:r>
      <w:r w:rsidRPr="002825DE">
        <w:rPr>
          <w:rFonts w:ascii="Arial" w:hAnsi="Arial" w:cs="Arial"/>
        </w:rPr>
        <w:t xml:space="preserve"> were </w:t>
      </w:r>
      <w:r w:rsidR="00BD15A4" w:rsidRPr="002825DE">
        <w:rPr>
          <w:rFonts w:ascii="Arial" w:hAnsi="Arial" w:cs="Arial"/>
        </w:rPr>
        <w:t>retrospective</w:t>
      </w:r>
      <w:bookmarkStart w:id="39" w:name="__DdeLink__1683_2453490188"/>
      <w:r w:rsidR="0083231E" w:rsidRPr="002825DE">
        <w:rPr>
          <w:rFonts w:ascii="Arial" w:hAnsi="Arial" w:cs="Arial"/>
        </w:rPr>
        <w:t xml:space="preserve">. </w:t>
      </w:r>
      <w:r w:rsidR="008C6E09" w:rsidRPr="002825DE">
        <w:rPr>
          <w:rFonts w:ascii="Arial" w:hAnsi="Arial" w:cs="Arial"/>
        </w:rPr>
        <w:t>The rates of 90</w:t>
      </w:r>
      <w:r w:rsidRPr="002825DE">
        <w:rPr>
          <w:rFonts w:ascii="Arial" w:hAnsi="Arial" w:cs="Arial"/>
        </w:rPr>
        <w:t>day all-cause mortality were significantly lower among patients who were treated with PCC (</w:t>
      </w:r>
      <w:r w:rsidR="00F0756A" w:rsidRPr="002825DE">
        <w:rPr>
          <w:rFonts w:ascii="Arial" w:hAnsi="Arial" w:cs="Arial"/>
        </w:rPr>
        <w:t>299</w:t>
      </w:r>
      <w:r w:rsidR="008C6E09" w:rsidRPr="002825DE">
        <w:rPr>
          <w:rFonts w:ascii="Arial" w:hAnsi="Arial" w:cs="Arial"/>
        </w:rPr>
        <w:t>/1</w:t>
      </w:r>
      <w:r w:rsidRPr="002825DE">
        <w:rPr>
          <w:rFonts w:ascii="Arial" w:hAnsi="Arial" w:cs="Arial"/>
        </w:rPr>
        <w:t>1</w:t>
      </w:r>
      <w:r w:rsidR="00F0756A" w:rsidRPr="002825DE">
        <w:rPr>
          <w:rFonts w:ascii="Arial" w:hAnsi="Arial" w:cs="Arial"/>
        </w:rPr>
        <w:t>38</w:t>
      </w:r>
      <w:r w:rsidRPr="002825DE">
        <w:rPr>
          <w:rFonts w:ascii="Arial" w:hAnsi="Arial" w:cs="Arial"/>
        </w:rPr>
        <w:t>, 26.</w:t>
      </w:r>
      <w:r w:rsidR="00F0756A" w:rsidRPr="002825DE">
        <w:rPr>
          <w:rFonts w:ascii="Arial" w:hAnsi="Arial" w:cs="Arial"/>
        </w:rPr>
        <w:t>27</w:t>
      </w:r>
      <w:r w:rsidRPr="002825DE">
        <w:rPr>
          <w:rFonts w:ascii="Arial" w:hAnsi="Arial" w:cs="Arial"/>
        </w:rPr>
        <w:t>%) than with those of patients who were treated wit</w:t>
      </w:r>
      <w:r w:rsidR="00D8277B" w:rsidRPr="002825DE">
        <w:rPr>
          <w:rFonts w:ascii="Arial" w:hAnsi="Arial" w:cs="Arial"/>
        </w:rPr>
        <w:t>h FFP (25</w:t>
      </w:r>
      <w:r w:rsidR="00F0756A" w:rsidRPr="002825DE">
        <w:rPr>
          <w:rFonts w:ascii="Arial" w:hAnsi="Arial" w:cs="Arial"/>
        </w:rPr>
        <w:t>8</w:t>
      </w:r>
      <w:r w:rsidR="008C6E09" w:rsidRPr="002825DE">
        <w:rPr>
          <w:rFonts w:ascii="Arial" w:hAnsi="Arial" w:cs="Arial"/>
        </w:rPr>
        <w:t>/</w:t>
      </w:r>
      <w:r w:rsidR="00D8277B" w:rsidRPr="002825DE">
        <w:rPr>
          <w:rFonts w:ascii="Arial" w:hAnsi="Arial" w:cs="Arial"/>
        </w:rPr>
        <w:t>8</w:t>
      </w:r>
      <w:r w:rsidR="00F0756A" w:rsidRPr="002825DE">
        <w:rPr>
          <w:rFonts w:ascii="Arial" w:hAnsi="Arial" w:cs="Arial"/>
        </w:rPr>
        <w:t>50</w:t>
      </w:r>
      <w:r w:rsidR="00D8277B" w:rsidRPr="002825DE">
        <w:rPr>
          <w:rFonts w:ascii="Arial" w:hAnsi="Arial" w:cs="Arial"/>
        </w:rPr>
        <w:t xml:space="preserve">, </w:t>
      </w:r>
      <w:r w:rsidR="00F0756A" w:rsidRPr="002825DE">
        <w:rPr>
          <w:rFonts w:ascii="Arial" w:hAnsi="Arial" w:cs="Arial"/>
        </w:rPr>
        <w:t>30.35</w:t>
      </w:r>
      <w:r w:rsidR="00D8277B" w:rsidRPr="002825DE">
        <w:rPr>
          <w:rFonts w:ascii="Arial" w:hAnsi="Arial" w:cs="Arial"/>
        </w:rPr>
        <w:t xml:space="preserve">%): </w:t>
      </w:r>
      <w:r w:rsidRPr="002825DE">
        <w:rPr>
          <w:rFonts w:ascii="Arial" w:hAnsi="Arial" w:cs="Arial"/>
        </w:rPr>
        <w:t>OR = 0.6</w:t>
      </w:r>
      <w:r w:rsidR="00F0756A" w:rsidRPr="002825DE">
        <w:rPr>
          <w:rFonts w:ascii="Arial" w:hAnsi="Arial" w:cs="Arial"/>
        </w:rPr>
        <w:t>0</w:t>
      </w:r>
      <w:r w:rsidR="008C6E09" w:rsidRPr="002825DE">
        <w:rPr>
          <w:rFonts w:ascii="Arial" w:hAnsi="Arial" w:cs="Arial"/>
        </w:rPr>
        <w:t>, 95%</w:t>
      </w:r>
      <w:r w:rsidRPr="002825DE">
        <w:rPr>
          <w:rFonts w:ascii="Arial" w:hAnsi="Arial" w:cs="Arial"/>
        </w:rPr>
        <w:t>CI = 0.4</w:t>
      </w:r>
      <w:r w:rsidR="00F0756A" w:rsidRPr="002825DE">
        <w:rPr>
          <w:rFonts w:ascii="Arial" w:hAnsi="Arial" w:cs="Arial"/>
        </w:rPr>
        <w:t>0</w:t>
      </w:r>
      <w:r w:rsidRPr="002825DE">
        <w:rPr>
          <w:rFonts w:ascii="Arial" w:hAnsi="Arial" w:cs="Arial"/>
        </w:rPr>
        <w:t>-0.9</w:t>
      </w:r>
      <w:r w:rsidR="00F0756A" w:rsidRPr="002825DE">
        <w:rPr>
          <w:rFonts w:ascii="Arial" w:hAnsi="Arial" w:cs="Arial"/>
        </w:rPr>
        <w:t>0</w:t>
      </w:r>
      <w:r w:rsidRPr="002825DE">
        <w:rPr>
          <w:rFonts w:ascii="Arial" w:hAnsi="Arial" w:cs="Arial"/>
        </w:rPr>
        <w:t>, p = 0.0</w:t>
      </w:r>
      <w:r w:rsidR="00F0756A" w:rsidRPr="002825DE">
        <w:rPr>
          <w:rFonts w:ascii="Arial" w:hAnsi="Arial" w:cs="Arial"/>
        </w:rPr>
        <w:t>1</w:t>
      </w:r>
      <w:r w:rsidR="008C6E09" w:rsidRPr="002825DE">
        <w:rPr>
          <w:rFonts w:ascii="Arial" w:hAnsi="Arial" w:cs="Arial"/>
        </w:rPr>
        <w:t xml:space="preserve"> (</w:t>
      </w:r>
      <w:r w:rsidR="008C6E09" w:rsidRPr="002825DE">
        <w:rPr>
          <w:rFonts w:ascii="Arial" w:hAnsi="Arial" w:cs="Arial"/>
          <w:b/>
        </w:rPr>
        <w:t>Figure 2</w:t>
      </w:r>
      <w:r w:rsidR="008C6E09" w:rsidRPr="002825DE">
        <w:rPr>
          <w:rFonts w:ascii="Arial" w:hAnsi="Arial" w:cs="Arial"/>
        </w:rPr>
        <w:t>)</w:t>
      </w:r>
      <w:r w:rsidRPr="002825DE">
        <w:rPr>
          <w:rFonts w:ascii="Arial" w:hAnsi="Arial" w:cs="Arial"/>
        </w:rPr>
        <w:t>. There was no inter-study heterogeneity (I</w:t>
      </w:r>
      <w:r w:rsidRPr="002825DE">
        <w:rPr>
          <w:rFonts w:ascii="Arial" w:hAnsi="Arial" w:cs="Arial"/>
          <w:vertAlign w:val="superscript"/>
        </w:rPr>
        <w:t>2</w:t>
      </w:r>
      <w:r w:rsidRPr="002825DE">
        <w:rPr>
          <w:rFonts w:ascii="Arial" w:hAnsi="Arial" w:cs="Arial"/>
        </w:rPr>
        <w:t xml:space="preserve"> = </w:t>
      </w:r>
      <w:r w:rsidR="00F0756A" w:rsidRPr="002825DE">
        <w:rPr>
          <w:rFonts w:ascii="Arial" w:hAnsi="Arial" w:cs="Arial"/>
        </w:rPr>
        <w:t>42</w:t>
      </w:r>
      <w:r w:rsidRPr="002825DE">
        <w:rPr>
          <w:rFonts w:ascii="Arial" w:hAnsi="Arial" w:cs="Arial"/>
        </w:rPr>
        <w:t>%, p = 0.</w:t>
      </w:r>
      <w:r w:rsidR="00F0756A" w:rsidRPr="002825DE">
        <w:rPr>
          <w:rFonts w:ascii="Arial" w:hAnsi="Arial" w:cs="Arial"/>
        </w:rPr>
        <w:t>09</w:t>
      </w:r>
      <w:r w:rsidRPr="002825DE">
        <w:rPr>
          <w:rFonts w:ascii="Arial" w:hAnsi="Arial" w:cs="Arial"/>
        </w:rPr>
        <w:t>) or publication bias</w:t>
      </w:r>
      <w:bookmarkEnd w:id="39"/>
      <w:r w:rsidR="008C6E09" w:rsidRPr="002825DE">
        <w:rPr>
          <w:rFonts w:ascii="Arial" w:hAnsi="Arial" w:cs="Arial"/>
        </w:rPr>
        <w:t>.</w:t>
      </w:r>
    </w:p>
    <w:p w14:paraId="5E29F5C7" w14:textId="77777777" w:rsidR="000231CF" w:rsidRPr="002825DE" w:rsidRDefault="000231CF" w:rsidP="00980769">
      <w:pPr>
        <w:spacing w:after="0" w:line="480" w:lineRule="auto"/>
        <w:jc w:val="both"/>
        <w:rPr>
          <w:rFonts w:ascii="Arial" w:hAnsi="Arial" w:cs="Arial"/>
          <w:color w:val="FF0000"/>
          <w:u w:val="single"/>
        </w:rPr>
      </w:pPr>
    </w:p>
    <w:p w14:paraId="0AC6B707" w14:textId="42EB4645" w:rsidR="000231CF" w:rsidRPr="002825DE" w:rsidRDefault="00CD4628" w:rsidP="00980769">
      <w:pPr>
        <w:spacing w:after="0" w:line="480" w:lineRule="auto"/>
        <w:jc w:val="both"/>
        <w:rPr>
          <w:rFonts w:ascii="Arial" w:hAnsi="Arial" w:cs="Arial"/>
          <w:b/>
        </w:rPr>
      </w:pPr>
      <w:r w:rsidRPr="002825DE">
        <w:rPr>
          <w:rFonts w:ascii="Arial" w:hAnsi="Arial" w:cs="Arial"/>
          <w:b/>
        </w:rPr>
        <w:t>INR reversal</w:t>
      </w:r>
    </w:p>
    <w:p w14:paraId="41B08808" w14:textId="0755EBEC" w:rsidR="000231CF" w:rsidRPr="002825DE" w:rsidRDefault="00D235BE" w:rsidP="00980769">
      <w:pPr>
        <w:spacing w:after="0" w:line="480" w:lineRule="auto"/>
        <w:jc w:val="both"/>
      </w:pPr>
      <w:r w:rsidRPr="002825DE">
        <w:rPr>
          <w:rFonts w:ascii="Arial" w:hAnsi="Arial" w:cs="Arial"/>
        </w:rPr>
        <w:t>T</w:t>
      </w:r>
      <w:r w:rsidR="00940366" w:rsidRPr="002825DE">
        <w:rPr>
          <w:rFonts w:ascii="Arial" w:hAnsi="Arial" w:cs="Arial"/>
        </w:rPr>
        <w:t>en</w:t>
      </w:r>
      <w:r w:rsidR="00CD4628" w:rsidRPr="002825DE">
        <w:rPr>
          <w:rFonts w:ascii="Arial" w:hAnsi="Arial" w:cs="Arial"/>
        </w:rPr>
        <w:t xml:space="preserve"> studies </w:t>
      </w:r>
      <w:r w:rsidRPr="002825DE">
        <w:rPr>
          <w:rFonts w:ascii="Arial" w:hAnsi="Arial" w:cs="Arial"/>
        </w:rPr>
        <w:t>comprising 1007 patients were analysed</w:t>
      </w:r>
      <w:r w:rsidRPr="002825DE">
        <w:t xml:space="preserve"> </w:t>
      </w:r>
      <w:r w:rsidR="00CD4628" w:rsidRPr="002825DE">
        <w:fldChar w:fldCharType="begin"/>
      </w:r>
      <w:r w:rsidR="004313B4" w:rsidRPr="002825DE">
        <w:instrText>ADDIN RW.CITE{{4540 Cartmill,G.Dolan,JLByrne,POByrne,M 2000; 4538 Goldstein,JoshuaN 2015; 4544 Karaca,MehmetAli 2014; 4548 Rowe,AnthonyShaun 2016; 4513 Sarode,R. 2013; 4539 Steiner,Thorsten 2016; 4557 Demeyere,R. 2010; 4558 Farsad,B.F. 2015; 4561 Carothers,Chancey 2018; 4542 Frontera,JenniferA 2014}}</w:instrText>
      </w:r>
      <w:r w:rsidR="00CD4628" w:rsidRPr="002825DE">
        <w:fldChar w:fldCharType="separate"/>
      </w:r>
      <w:bookmarkStart w:id="40" w:name="__Fieldmark__357_2453490188"/>
      <w:bookmarkStart w:id="41" w:name="__Fieldmark__3644_2106776864"/>
      <w:bookmarkStart w:id="42" w:name="__Fieldmark__2044_2106776864"/>
      <w:bookmarkStart w:id="43" w:name="__Fieldmark__394_2106776864"/>
      <w:bookmarkStart w:id="44" w:name="__Fieldmark__371_1242759569"/>
      <w:bookmarkStart w:id="45" w:name="__Fieldmark__385_4243418973"/>
      <w:bookmarkStart w:id="46" w:name="__Fieldmark__388_2557495909"/>
      <w:r w:rsidR="003960ED" w:rsidRPr="002825DE">
        <w:rPr>
          <w:rFonts w:ascii="Arial" w:hAnsi="Arial" w:cs="Arial"/>
        </w:rPr>
        <w:t>[1</w:t>
      </w:r>
      <w:r w:rsidR="00432124" w:rsidRPr="002825DE">
        <w:rPr>
          <w:rFonts w:ascii="Arial" w:hAnsi="Arial" w:cs="Arial"/>
        </w:rPr>
        <w:t>5</w:t>
      </w:r>
      <w:r w:rsidR="003960ED" w:rsidRPr="002825DE">
        <w:rPr>
          <w:rFonts w:ascii="Arial" w:hAnsi="Arial" w:cs="Arial"/>
        </w:rPr>
        <w:t>-1</w:t>
      </w:r>
      <w:r w:rsidR="00432124" w:rsidRPr="002825DE">
        <w:rPr>
          <w:rFonts w:ascii="Arial" w:hAnsi="Arial" w:cs="Arial"/>
        </w:rPr>
        <w:t>7</w:t>
      </w:r>
      <w:r w:rsidR="003960ED" w:rsidRPr="002825DE">
        <w:rPr>
          <w:rFonts w:ascii="Arial" w:hAnsi="Arial" w:cs="Arial"/>
        </w:rPr>
        <w:t>,</w:t>
      </w:r>
      <w:r w:rsidR="00432124" w:rsidRPr="002825DE">
        <w:rPr>
          <w:rFonts w:ascii="Arial" w:hAnsi="Arial" w:cs="Arial"/>
        </w:rPr>
        <w:t>20</w:t>
      </w:r>
      <w:r w:rsidR="003960ED" w:rsidRPr="002825DE">
        <w:rPr>
          <w:rFonts w:ascii="Arial" w:hAnsi="Arial" w:cs="Arial"/>
        </w:rPr>
        <w:t>,2</w:t>
      </w:r>
      <w:r w:rsidR="00432124" w:rsidRPr="002825DE">
        <w:rPr>
          <w:rFonts w:ascii="Arial" w:hAnsi="Arial" w:cs="Arial"/>
        </w:rPr>
        <w:t>3</w:t>
      </w:r>
      <w:r w:rsidR="003960ED" w:rsidRPr="002825DE">
        <w:rPr>
          <w:rFonts w:ascii="Arial" w:hAnsi="Arial" w:cs="Arial"/>
        </w:rPr>
        <w:t>-2</w:t>
      </w:r>
      <w:r w:rsidR="00432124" w:rsidRPr="002825DE">
        <w:rPr>
          <w:rFonts w:ascii="Arial" w:hAnsi="Arial" w:cs="Arial"/>
        </w:rPr>
        <w:t>8</w:t>
      </w:r>
      <w:r w:rsidR="003960ED" w:rsidRPr="002825DE">
        <w:rPr>
          <w:rFonts w:ascii="Arial" w:hAnsi="Arial" w:cs="Arial"/>
        </w:rPr>
        <w:t>]</w:t>
      </w:r>
      <w:r w:rsidR="00CD4628" w:rsidRPr="002825DE">
        <w:fldChar w:fldCharType="end"/>
      </w:r>
      <w:bookmarkEnd w:id="40"/>
      <w:bookmarkEnd w:id="41"/>
      <w:bookmarkEnd w:id="42"/>
      <w:bookmarkEnd w:id="43"/>
      <w:bookmarkEnd w:id="44"/>
      <w:bookmarkEnd w:id="45"/>
      <w:bookmarkEnd w:id="46"/>
      <w:r w:rsidR="00CD4628" w:rsidRPr="002825DE">
        <w:rPr>
          <w:rFonts w:ascii="Arial" w:hAnsi="Arial" w:cs="Arial"/>
        </w:rPr>
        <w:t>. The rates of achieving adequate INR reversal were greater by patient</w:t>
      </w:r>
      <w:r w:rsidR="006F77FB" w:rsidRPr="002825DE">
        <w:rPr>
          <w:rFonts w:ascii="Arial" w:hAnsi="Arial" w:cs="Arial"/>
        </w:rPr>
        <w:t>s who receiv</w:t>
      </w:r>
      <w:r w:rsidR="007E53C3" w:rsidRPr="002825DE">
        <w:rPr>
          <w:rFonts w:ascii="Arial" w:hAnsi="Arial" w:cs="Arial"/>
        </w:rPr>
        <w:t>ed PCC (</w:t>
      </w:r>
      <w:r w:rsidR="00EC4219" w:rsidRPr="002825DE">
        <w:rPr>
          <w:rFonts w:ascii="Arial" w:hAnsi="Arial" w:cs="Arial"/>
        </w:rPr>
        <w:t>314</w:t>
      </w:r>
      <w:r w:rsidR="00940366" w:rsidRPr="002825DE">
        <w:rPr>
          <w:rFonts w:ascii="Arial" w:hAnsi="Arial" w:cs="Arial"/>
        </w:rPr>
        <w:t>/</w:t>
      </w:r>
      <w:r w:rsidR="007E53C3" w:rsidRPr="002825DE">
        <w:rPr>
          <w:rFonts w:ascii="Arial" w:hAnsi="Arial" w:cs="Arial"/>
        </w:rPr>
        <w:t>4</w:t>
      </w:r>
      <w:r w:rsidR="00EC4219" w:rsidRPr="002825DE">
        <w:rPr>
          <w:rFonts w:ascii="Arial" w:hAnsi="Arial" w:cs="Arial"/>
        </w:rPr>
        <w:t>5</w:t>
      </w:r>
      <w:r w:rsidR="00F0756A" w:rsidRPr="002825DE">
        <w:rPr>
          <w:rFonts w:ascii="Arial" w:hAnsi="Arial" w:cs="Arial"/>
        </w:rPr>
        <w:t>9</w:t>
      </w:r>
      <w:r w:rsidR="007E53C3" w:rsidRPr="002825DE">
        <w:rPr>
          <w:rFonts w:ascii="Arial" w:hAnsi="Arial" w:cs="Arial"/>
        </w:rPr>
        <w:t xml:space="preserve"> patients, 6</w:t>
      </w:r>
      <w:r w:rsidR="00EC4219" w:rsidRPr="002825DE">
        <w:rPr>
          <w:rFonts w:ascii="Arial" w:hAnsi="Arial" w:cs="Arial"/>
        </w:rPr>
        <w:t>8.41</w:t>
      </w:r>
      <w:r w:rsidR="00CD4628" w:rsidRPr="002825DE">
        <w:rPr>
          <w:rFonts w:ascii="Arial" w:hAnsi="Arial" w:cs="Arial"/>
        </w:rPr>
        <w:t>%) than those by patients</w:t>
      </w:r>
      <w:r w:rsidR="007E53C3" w:rsidRPr="002825DE">
        <w:rPr>
          <w:rFonts w:ascii="Arial" w:hAnsi="Arial" w:cs="Arial"/>
        </w:rPr>
        <w:t xml:space="preserve"> who received FFP (1</w:t>
      </w:r>
      <w:r w:rsidR="00EC4219" w:rsidRPr="002825DE">
        <w:rPr>
          <w:rFonts w:ascii="Arial" w:hAnsi="Arial" w:cs="Arial"/>
        </w:rPr>
        <w:t>84</w:t>
      </w:r>
      <w:r w:rsidR="00940366" w:rsidRPr="002825DE">
        <w:rPr>
          <w:rFonts w:ascii="Arial" w:hAnsi="Arial" w:cs="Arial"/>
        </w:rPr>
        <w:t>/</w:t>
      </w:r>
      <w:r w:rsidR="00F0756A" w:rsidRPr="002825DE">
        <w:rPr>
          <w:rFonts w:ascii="Arial" w:hAnsi="Arial" w:cs="Arial"/>
        </w:rPr>
        <w:t>5</w:t>
      </w:r>
      <w:r w:rsidR="00EC4219" w:rsidRPr="002825DE">
        <w:rPr>
          <w:rFonts w:ascii="Arial" w:hAnsi="Arial" w:cs="Arial"/>
        </w:rPr>
        <w:t>4</w:t>
      </w:r>
      <w:r w:rsidR="00F0756A" w:rsidRPr="002825DE">
        <w:rPr>
          <w:rFonts w:ascii="Arial" w:hAnsi="Arial" w:cs="Arial"/>
        </w:rPr>
        <w:t>8</w:t>
      </w:r>
      <w:r w:rsidR="007E53C3" w:rsidRPr="002825DE">
        <w:rPr>
          <w:rFonts w:ascii="Arial" w:hAnsi="Arial" w:cs="Arial"/>
        </w:rPr>
        <w:t xml:space="preserve"> patients, </w:t>
      </w:r>
      <w:r w:rsidR="00F0756A" w:rsidRPr="002825DE">
        <w:rPr>
          <w:rFonts w:ascii="Arial" w:hAnsi="Arial" w:cs="Arial"/>
        </w:rPr>
        <w:t>3</w:t>
      </w:r>
      <w:r w:rsidR="00EC4219" w:rsidRPr="002825DE">
        <w:rPr>
          <w:rFonts w:ascii="Arial" w:hAnsi="Arial" w:cs="Arial"/>
        </w:rPr>
        <w:t>1</w:t>
      </w:r>
      <w:r w:rsidR="00F0756A" w:rsidRPr="002825DE">
        <w:rPr>
          <w:rFonts w:ascii="Arial" w:hAnsi="Arial" w:cs="Arial"/>
        </w:rPr>
        <w:t>.</w:t>
      </w:r>
      <w:r w:rsidR="00EC4219" w:rsidRPr="002825DE">
        <w:rPr>
          <w:rFonts w:ascii="Arial" w:hAnsi="Arial" w:cs="Arial"/>
        </w:rPr>
        <w:t>5</w:t>
      </w:r>
      <w:r w:rsidR="00F0756A" w:rsidRPr="002825DE">
        <w:rPr>
          <w:rFonts w:ascii="Arial" w:hAnsi="Arial" w:cs="Arial"/>
        </w:rPr>
        <w:t>1</w:t>
      </w:r>
      <w:r w:rsidR="00CD4628" w:rsidRPr="002825DE">
        <w:rPr>
          <w:rFonts w:ascii="Arial" w:hAnsi="Arial" w:cs="Arial"/>
        </w:rPr>
        <w:t>%)</w:t>
      </w:r>
      <w:r w:rsidR="007E53C3" w:rsidRPr="002825DE">
        <w:rPr>
          <w:rFonts w:ascii="Arial" w:hAnsi="Arial" w:cs="Arial"/>
        </w:rPr>
        <w:t xml:space="preserve">: OR = </w:t>
      </w:r>
      <w:r w:rsidR="00271732" w:rsidRPr="002825DE">
        <w:rPr>
          <w:rFonts w:ascii="Arial" w:hAnsi="Arial" w:cs="Arial"/>
        </w:rPr>
        <w:t>7.36</w:t>
      </w:r>
      <w:r w:rsidR="006F77FB" w:rsidRPr="002825DE">
        <w:rPr>
          <w:rFonts w:ascii="Arial" w:hAnsi="Arial" w:cs="Arial"/>
        </w:rPr>
        <w:t>, 95</w:t>
      </w:r>
      <w:r w:rsidR="003E3AB7" w:rsidRPr="002825DE">
        <w:rPr>
          <w:rFonts w:ascii="Arial" w:hAnsi="Arial" w:cs="Arial"/>
        </w:rPr>
        <w:t>%</w:t>
      </w:r>
      <w:r w:rsidR="007E53C3" w:rsidRPr="002825DE">
        <w:rPr>
          <w:rFonts w:ascii="Arial" w:hAnsi="Arial" w:cs="Arial"/>
        </w:rPr>
        <w:t xml:space="preserve"> CI</w:t>
      </w:r>
      <w:r w:rsidR="00D76C4D" w:rsidRPr="002825DE">
        <w:rPr>
          <w:rFonts w:ascii="Arial" w:hAnsi="Arial" w:cs="Arial"/>
        </w:rPr>
        <w:t xml:space="preserve"> =</w:t>
      </w:r>
      <w:r w:rsidR="007E53C3" w:rsidRPr="002825DE">
        <w:rPr>
          <w:rFonts w:ascii="Arial" w:hAnsi="Arial" w:cs="Arial"/>
        </w:rPr>
        <w:t xml:space="preserve"> </w:t>
      </w:r>
      <w:r w:rsidR="00271732" w:rsidRPr="002825DE">
        <w:rPr>
          <w:rFonts w:ascii="Arial" w:hAnsi="Arial" w:cs="Arial"/>
        </w:rPr>
        <w:t>4</w:t>
      </w:r>
      <w:r w:rsidR="00F0756A" w:rsidRPr="002825DE">
        <w:rPr>
          <w:rFonts w:ascii="Arial" w:hAnsi="Arial" w:cs="Arial"/>
        </w:rPr>
        <w:t>.1</w:t>
      </w:r>
      <w:r w:rsidR="00271732" w:rsidRPr="002825DE">
        <w:rPr>
          <w:rFonts w:ascii="Arial" w:hAnsi="Arial" w:cs="Arial"/>
        </w:rPr>
        <w:t>8</w:t>
      </w:r>
      <w:r w:rsidR="007E53C3" w:rsidRPr="002825DE">
        <w:rPr>
          <w:rFonts w:ascii="Arial" w:hAnsi="Arial" w:cs="Arial"/>
        </w:rPr>
        <w:t>-1</w:t>
      </w:r>
      <w:r w:rsidR="00F0756A" w:rsidRPr="002825DE">
        <w:rPr>
          <w:rFonts w:ascii="Arial" w:hAnsi="Arial" w:cs="Arial"/>
        </w:rPr>
        <w:t>2.</w:t>
      </w:r>
      <w:r w:rsidR="00271732" w:rsidRPr="002825DE">
        <w:rPr>
          <w:rFonts w:ascii="Arial" w:hAnsi="Arial" w:cs="Arial"/>
        </w:rPr>
        <w:t>9</w:t>
      </w:r>
      <w:r w:rsidR="00F0756A" w:rsidRPr="002825DE">
        <w:rPr>
          <w:rFonts w:ascii="Arial" w:hAnsi="Arial" w:cs="Arial"/>
        </w:rPr>
        <w:t>8</w:t>
      </w:r>
      <w:r w:rsidR="00BD05BC" w:rsidRPr="002825DE">
        <w:rPr>
          <w:rFonts w:ascii="Arial" w:hAnsi="Arial" w:cs="Arial"/>
        </w:rPr>
        <w:t>, p &lt;0.00001</w:t>
      </w:r>
      <w:r w:rsidR="00F1781F" w:rsidRPr="002825DE">
        <w:rPr>
          <w:rFonts w:ascii="Arial" w:hAnsi="Arial" w:cs="Arial"/>
        </w:rPr>
        <w:t xml:space="preserve"> (</w:t>
      </w:r>
      <w:r w:rsidR="00F1781F" w:rsidRPr="002825DE">
        <w:rPr>
          <w:rFonts w:ascii="Arial" w:hAnsi="Arial" w:cs="Arial"/>
          <w:b/>
        </w:rPr>
        <w:t>Figure 3</w:t>
      </w:r>
      <w:r w:rsidR="00F1781F" w:rsidRPr="002825DE">
        <w:rPr>
          <w:rFonts w:ascii="Arial" w:hAnsi="Arial" w:cs="Arial"/>
        </w:rPr>
        <w:t>)</w:t>
      </w:r>
      <w:r w:rsidR="00CD4628" w:rsidRPr="002825DE">
        <w:rPr>
          <w:rFonts w:ascii="Arial" w:hAnsi="Arial" w:cs="Arial"/>
        </w:rPr>
        <w:t>. There was evidence of heterogeneity (I</w:t>
      </w:r>
      <w:r w:rsidR="00CD4628" w:rsidRPr="002825DE">
        <w:rPr>
          <w:rFonts w:ascii="Arial" w:hAnsi="Arial" w:cs="Arial"/>
          <w:vertAlign w:val="superscript"/>
        </w:rPr>
        <w:t>2</w:t>
      </w:r>
      <w:r w:rsidR="007E53C3" w:rsidRPr="002825DE">
        <w:rPr>
          <w:rFonts w:ascii="Arial" w:hAnsi="Arial" w:cs="Arial"/>
        </w:rPr>
        <w:t xml:space="preserve"> = </w:t>
      </w:r>
      <w:r w:rsidR="00EC4219" w:rsidRPr="002825DE">
        <w:rPr>
          <w:rFonts w:ascii="Arial" w:hAnsi="Arial" w:cs="Arial"/>
        </w:rPr>
        <w:t>5</w:t>
      </w:r>
      <w:r w:rsidR="007E53C3" w:rsidRPr="002825DE">
        <w:rPr>
          <w:rFonts w:ascii="Arial" w:hAnsi="Arial" w:cs="Arial"/>
        </w:rPr>
        <w:t>6</w:t>
      </w:r>
      <w:r w:rsidR="00CD4628" w:rsidRPr="002825DE">
        <w:rPr>
          <w:rFonts w:ascii="Arial" w:hAnsi="Arial" w:cs="Arial"/>
        </w:rPr>
        <w:t xml:space="preserve">%, </w:t>
      </w:r>
      <w:r w:rsidR="007E53C3" w:rsidRPr="002825DE">
        <w:rPr>
          <w:rFonts w:ascii="Arial" w:hAnsi="Arial" w:cs="Arial"/>
        </w:rPr>
        <w:t>p = 0.01</w:t>
      </w:r>
      <w:r w:rsidR="006F77FB" w:rsidRPr="002825DE">
        <w:rPr>
          <w:rFonts w:ascii="Arial" w:hAnsi="Arial" w:cs="Arial"/>
        </w:rPr>
        <w:t>), whi</w:t>
      </w:r>
      <w:r w:rsidR="00D8277B" w:rsidRPr="002825DE">
        <w:rPr>
          <w:rFonts w:ascii="Arial" w:hAnsi="Arial" w:cs="Arial"/>
        </w:rPr>
        <w:t>c</w:t>
      </w:r>
      <w:r w:rsidR="00940366" w:rsidRPr="002825DE">
        <w:rPr>
          <w:rFonts w:ascii="Arial" w:hAnsi="Arial" w:cs="Arial"/>
        </w:rPr>
        <w:t>h arose from multiple studies</w:t>
      </w:r>
      <w:r w:rsidR="00F1781F" w:rsidRPr="002825DE">
        <w:rPr>
          <w:rFonts w:ascii="Arial" w:hAnsi="Arial" w:cs="Arial"/>
        </w:rPr>
        <w:t>, but no publication bias</w:t>
      </w:r>
      <w:r w:rsidR="00D8277B" w:rsidRPr="002825DE">
        <w:rPr>
          <w:rFonts w:ascii="Arial" w:hAnsi="Arial" w:cs="Arial"/>
        </w:rPr>
        <w:t>.</w:t>
      </w:r>
    </w:p>
    <w:p w14:paraId="31E2C60E" w14:textId="77777777" w:rsidR="00837A6D" w:rsidRPr="002825DE" w:rsidRDefault="00837A6D" w:rsidP="00980769">
      <w:pPr>
        <w:spacing w:after="0" w:line="480" w:lineRule="auto"/>
        <w:jc w:val="both"/>
        <w:rPr>
          <w:color w:val="FF0000"/>
        </w:rPr>
      </w:pPr>
    </w:p>
    <w:p w14:paraId="2C5F622A" w14:textId="77777777" w:rsidR="000231CF" w:rsidRPr="002825DE" w:rsidRDefault="00CD4628" w:rsidP="00980769">
      <w:pPr>
        <w:spacing w:after="0" w:line="480" w:lineRule="auto"/>
        <w:jc w:val="both"/>
        <w:rPr>
          <w:rFonts w:ascii="Arial" w:hAnsi="Arial" w:cs="Arial"/>
          <w:b/>
        </w:rPr>
      </w:pPr>
      <w:r w:rsidRPr="002825DE">
        <w:rPr>
          <w:rFonts w:ascii="Arial" w:hAnsi="Arial" w:cs="Arial"/>
          <w:b/>
        </w:rPr>
        <w:t>Thrombogenicity</w:t>
      </w:r>
    </w:p>
    <w:p w14:paraId="7DE4E252" w14:textId="17A9EFD8" w:rsidR="00837A6D" w:rsidRPr="002825DE" w:rsidRDefault="00D235BE" w:rsidP="00980769">
      <w:pPr>
        <w:spacing w:after="0" w:line="480" w:lineRule="auto"/>
        <w:jc w:val="both"/>
        <w:rPr>
          <w:rFonts w:ascii="Arial" w:hAnsi="Arial" w:cs="Arial"/>
        </w:rPr>
      </w:pPr>
      <w:r w:rsidRPr="002825DE">
        <w:rPr>
          <w:rFonts w:ascii="Arial" w:hAnsi="Arial" w:cs="Arial"/>
        </w:rPr>
        <w:t>Seven</w:t>
      </w:r>
      <w:r w:rsidR="00CD4628" w:rsidRPr="002825DE">
        <w:rPr>
          <w:rFonts w:ascii="Arial" w:hAnsi="Arial" w:cs="Arial"/>
        </w:rPr>
        <w:t xml:space="preserve"> studies </w:t>
      </w:r>
      <w:r w:rsidRPr="002825DE">
        <w:rPr>
          <w:rFonts w:ascii="Arial" w:hAnsi="Arial" w:cs="Arial"/>
        </w:rPr>
        <w:t>comprising 916 patients were analysed</w:t>
      </w:r>
      <w:r w:rsidRPr="002825DE">
        <w:t xml:space="preserve"> </w:t>
      </w:r>
      <w:r w:rsidR="00CD4628" w:rsidRPr="002825DE">
        <w:fldChar w:fldCharType="begin"/>
      </w:r>
      <w:r w:rsidR="004313B4" w:rsidRPr="002825DE">
        <w:instrText>ADDIN RW.CITE{{4542 Frontera,JenniferA 2014; 4538 Goldstein,JoshuaN 2015; 4560 Wu,DingWen 2018; 4543 Hickey,M. 2013; 4513 Sarode,R. 2013; 4539 Steiner,Thorsten 2016; 4562 Agarwal,Prateek 2017}}</w:instrText>
      </w:r>
      <w:r w:rsidR="00CD4628" w:rsidRPr="002825DE">
        <w:fldChar w:fldCharType="separate"/>
      </w:r>
      <w:bookmarkStart w:id="47" w:name="__Fieldmark__419_2453490188"/>
      <w:bookmarkStart w:id="48" w:name="__Fieldmark__3699_2106776864"/>
      <w:bookmarkStart w:id="49" w:name="__Fieldmark__2092_2106776864"/>
      <w:bookmarkStart w:id="50" w:name="__Fieldmark__434_2106776864"/>
      <w:bookmarkStart w:id="51" w:name="__Fieldmark__403_1242759569"/>
      <w:bookmarkStart w:id="52" w:name="__Fieldmark__411_4243418973"/>
      <w:bookmarkStart w:id="53" w:name="__Fieldmark__412_2557495909"/>
      <w:r w:rsidR="003960ED" w:rsidRPr="002825DE">
        <w:rPr>
          <w:rFonts w:ascii="Arial" w:hAnsi="Arial" w:cs="Arial"/>
        </w:rPr>
        <w:t>[1</w:t>
      </w:r>
      <w:r w:rsidR="00432124" w:rsidRPr="002825DE">
        <w:rPr>
          <w:rFonts w:ascii="Arial" w:hAnsi="Arial" w:cs="Arial"/>
        </w:rPr>
        <w:t>5</w:t>
      </w:r>
      <w:r w:rsidR="003960ED" w:rsidRPr="002825DE">
        <w:rPr>
          <w:rFonts w:ascii="Arial" w:hAnsi="Arial" w:cs="Arial"/>
        </w:rPr>
        <w:t>-1</w:t>
      </w:r>
      <w:r w:rsidR="00432124" w:rsidRPr="002825DE">
        <w:rPr>
          <w:rFonts w:ascii="Arial" w:hAnsi="Arial" w:cs="Arial"/>
        </w:rPr>
        <w:t>8</w:t>
      </w:r>
      <w:r w:rsidR="003960ED" w:rsidRPr="002825DE">
        <w:rPr>
          <w:rFonts w:ascii="Arial" w:hAnsi="Arial" w:cs="Arial"/>
        </w:rPr>
        <w:t>,</w:t>
      </w:r>
      <w:r w:rsidR="00432124" w:rsidRPr="002825DE">
        <w:rPr>
          <w:rFonts w:ascii="Arial" w:hAnsi="Arial" w:cs="Arial"/>
        </w:rPr>
        <w:t>20</w:t>
      </w:r>
      <w:r w:rsidR="003960ED" w:rsidRPr="002825DE">
        <w:rPr>
          <w:rFonts w:ascii="Arial" w:hAnsi="Arial" w:cs="Arial"/>
        </w:rPr>
        <w:t>,2</w:t>
      </w:r>
      <w:r w:rsidR="00432124" w:rsidRPr="002825DE">
        <w:rPr>
          <w:rFonts w:ascii="Arial" w:hAnsi="Arial" w:cs="Arial"/>
        </w:rPr>
        <w:t>2</w:t>
      </w:r>
      <w:r w:rsidR="003960ED" w:rsidRPr="002825DE">
        <w:rPr>
          <w:rFonts w:ascii="Arial" w:hAnsi="Arial" w:cs="Arial"/>
        </w:rPr>
        <w:t>,2</w:t>
      </w:r>
      <w:r w:rsidR="00432124" w:rsidRPr="002825DE">
        <w:rPr>
          <w:rFonts w:ascii="Arial" w:hAnsi="Arial" w:cs="Arial"/>
        </w:rPr>
        <w:t>9</w:t>
      </w:r>
      <w:r w:rsidR="003960ED" w:rsidRPr="002825DE">
        <w:rPr>
          <w:rFonts w:ascii="Arial" w:hAnsi="Arial" w:cs="Arial"/>
        </w:rPr>
        <w:t>]</w:t>
      </w:r>
      <w:r w:rsidR="00CD4628" w:rsidRPr="002825DE">
        <w:fldChar w:fldCharType="end"/>
      </w:r>
      <w:bookmarkEnd w:id="47"/>
      <w:bookmarkEnd w:id="48"/>
      <w:bookmarkEnd w:id="49"/>
      <w:bookmarkEnd w:id="50"/>
      <w:bookmarkEnd w:id="51"/>
      <w:bookmarkEnd w:id="52"/>
      <w:bookmarkEnd w:id="53"/>
      <w:r w:rsidR="00CD4628" w:rsidRPr="002825DE">
        <w:rPr>
          <w:rFonts w:ascii="Arial" w:hAnsi="Arial" w:cs="Arial"/>
        </w:rPr>
        <w:t xml:space="preserve">. </w:t>
      </w:r>
      <w:r w:rsidR="00F6236B" w:rsidRPr="002825DE">
        <w:rPr>
          <w:rFonts w:ascii="Arial" w:hAnsi="Arial" w:cs="Arial"/>
        </w:rPr>
        <w:t>The rates of at least one t</w:t>
      </w:r>
      <w:r w:rsidR="00CD4628" w:rsidRPr="002825DE">
        <w:rPr>
          <w:rFonts w:ascii="Arial" w:hAnsi="Arial" w:cs="Arial"/>
        </w:rPr>
        <w:t>hro</w:t>
      </w:r>
      <w:r w:rsidR="007E53C3" w:rsidRPr="002825DE">
        <w:rPr>
          <w:rFonts w:ascii="Arial" w:hAnsi="Arial" w:cs="Arial"/>
        </w:rPr>
        <w:t>mboembolic event</w:t>
      </w:r>
      <w:r w:rsidR="00F6236B" w:rsidRPr="002825DE">
        <w:rPr>
          <w:rFonts w:ascii="Arial" w:hAnsi="Arial" w:cs="Arial"/>
        </w:rPr>
        <w:t xml:space="preserve"> w</w:t>
      </w:r>
      <w:r w:rsidR="004F06E6" w:rsidRPr="002825DE">
        <w:rPr>
          <w:rFonts w:ascii="Arial" w:hAnsi="Arial" w:cs="Arial"/>
        </w:rPr>
        <w:t>ere</w:t>
      </w:r>
      <w:r w:rsidR="00F6236B" w:rsidRPr="002825DE">
        <w:rPr>
          <w:rFonts w:ascii="Arial" w:hAnsi="Arial" w:cs="Arial"/>
        </w:rPr>
        <w:t xml:space="preserve"> similar in patient</w:t>
      </w:r>
      <w:r w:rsidR="004F06E6" w:rsidRPr="002825DE">
        <w:rPr>
          <w:rFonts w:ascii="Arial" w:hAnsi="Arial" w:cs="Arial"/>
        </w:rPr>
        <w:t>s</w:t>
      </w:r>
      <w:r w:rsidRPr="002825DE">
        <w:rPr>
          <w:rFonts w:ascii="Arial" w:hAnsi="Arial" w:cs="Arial"/>
        </w:rPr>
        <w:t xml:space="preserve"> treated with PCC (26/</w:t>
      </w:r>
      <w:r w:rsidR="00F6236B" w:rsidRPr="002825DE">
        <w:rPr>
          <w:rFonts w:ascii="Arial" w:hAnsi="Arial" w:cs="Arial"/>
        </w:rPr>
        <w:t xml:space="preserve">457, 5.69%) </w:t>
      </w:r>
      <w:r w:rsidR="004F06E6" w:rsidRPr="002825DE">
        <w:rPr>
          <w:rFonts w:ascii="Arial" w:hAnsi="Arial" w:cs="Arial"/>
        </w:rPr>
        <w:t>to those treated</w:t>
      </w:r>
      <w:r w:rsidRPr="002825DE">
        <w:rPr>
          <w:rFonts w:ascii="Arial" w:hAnsi="Arial" w:cs="Arial"/>
        </w:rPr>
        <w:t xml:space="preserve"> with FFP (23/</w:t>
      </w:r>
      <w:r w:rsidR="004F06E6" w:rsidRPr="002825DE">
        <w:rPr>
          <w:rFonts w:ascii="Arial" w:hAnsi="Arial" w:cs="Arial"/>
        </w:rPr>
        <w:t>459, 5.01%)</w:t>
      </w:r>
      <w:r w:rsidR="007E53C3" w:rsidRPr="002825DE">
        <w:rPr>
          <w:rFonts w:ascii="Arial" w:hAnsi="Arial" w:cs="Arial"/>
        </w:rPr>
        <w:t>: OR = 1.</w:t>
      </w:r>
      <w:r w:rsidR="00340D6D" w:rsidRPr="002825DE">
        <w:rPr>
          <w:rFonts w:ascii="Arial" w:hAnsi="Arial" w:cs="Arial"/>
        </w:rPr>
        <w:t>12</w:t>
      </w:r>
      <w:r w:rsidR="007E53C3" w:rsidRPr="002825DE">
        <w:rPr>
          <w:rFonts w:ascii="Arial" w:hAnsi="Arial" w:cs="Arial"/>
        </w:rPr>
        <w:t>; 95% CI = 0.</w:t>
      </w:r>
      <w:r w:rsidR="00340D6D" w:rsidRPr="002825DE">
        <w:rPr>
          <w:rFonts w:ascii="Arial" w:hAnsi="Arial" w:cs="Arial"/>
        </w:rPr>
        <w:t>60</w:t>
      </w:r>
      <w:r w:rsidR="007E53C3" w:rsidRPr="002825DE">
        <w:rPr>
          <w:rFonts w:ascii="Arial" w:hAnsi="Arial" w:cs="Arial"/>
        </w:rPr>
        <w:t>-</w:t>
      </w:r>
      <w:r w:rsidR="00340D6D" w:rsidRPr="002825DE">
        <w:rPr>
          <w:rFonts w:ascii="Arial" w:hAnsi="Arial" w:cs="Arial"/>
        </w:rPr>
        <w:t>2.08</w:t>
      </w:r>
      <w:r w:rsidR="00CD4628" w:rsidRPr="002825DE">
        <w:rPr>
          <w:rFonts w:ascii="Arial" w:hAnsi="Arial" w:cs="Arial"/>
        </w:rPr>
        <w:t xml:space="preserve">, p </w:t>
      </w:r>
      <w:r w:rsidR="007E53C3" w:rsidRPr="002825DE">
        <w:rPr>
          <w:rFonts w:ascii="Arial" w:hAnsi="Arial" w:cs="Arial"/>
        </w:rPr>
        <w:t>= 0.</w:t>
      </w:r>
      <w:r w:rsidR="00340D6D" w:rsidRPr="002825DE">
        <w:rPr>
          <w:rFonts w:ascii="Arial" w:hAnsi="Arial" w:cs="Arial"/>
        </w:rPr>
        <w:t>72</w:t>
      </w:r>
      <w:r w:rsidR="00CD4628" w:rsidRPr="002825DE">
        <w:rPr>
          <w:rFonts w:ascii="Arial" w:hAnsi="Arial" w:cs="Arial"/>
        </w:rPr>
        <w:t>)</w:t>
      </w:r>
      <w:r w:rsidRPr="002825DE">
        <w:rPr>
          <w:rFonts w:ascii="Arial" w:hAnsi="Arial" w:cs="Arial"/>
        </w:rPr>
        <w:t xml:space="preserve"> (</w:t>
      </w:r>
      <w:r w:rsidRPr="002825DE">
        <w:rPr>
          <w:rFonts w:ascii="Arial" w:hAnsi="Arial" w:cs="Arial"/>
          <w:b/>
        </w:rPr>
        <w:t xml:space="preserve">Supplementary </w:t>
      </w:r>
      <w:r w:rsidR="003A7530" w:rsidRPr="002825DE">
        <w:rPr>
          <w:rFonts w:ascii="Arial" w:hAnsi="Arial" w:cs="Arial"/>
          <w:b/>
        </w:rPr>
        <w:t>Fig</w:t>
      </w:r>
      <w:r w:rsidRPr="002825DE">
        <w:rPr>
          <w:rFonts w:ascii="Arial" w:hAnsi="Arial" w:cs="Arial"/>
          <w:b/>
        </w:rPr>
        <w:t xml:space="preserve"> 1</w:t>
      </w:r>
      <w:r w:rsidRPr="002825DE">
        <w:rPr>
          <w:rFonts w:ascii="Arial" w:hAnsi="Arial" w:cs="Arial"/>
        </w:rPr>
        <w:t>).</w:t>
      </w:r>
      <w:r w:rsidR="00CD4628" w:rsidRPr="002825DE">
        <w:rPr>
          <w:rFonts w:ascii="Arial" w:hAnsi="Arial" w:cs="Arial"/>
        </w:rPr>
        <w:t xml:space="preserve"> There was </w:t>
      </w:r>
      <w:r w:rsidRPr="002825DE">
        <w:rPr>
          <w:rFonts w:ascii="Arial" w:hAnsi="Arial" w:cs="Arial"/>
        </w:rPr>
        <w:t xml:space="preserve">no </w:t>
      </w:r>
      <w:r w:rsidR="00CD4628" w:rsidRPr="002825DE">
        <w:rPr>
          <w:rFonts w:ascii="Arial" w:hAnsi="Arial" w:cs="Arial"/>
        </w:rPr>
        <w:t>heterogeneity (I</w:t>
      </w:r>
      <w:r w:rsidR="00CD4628" w:rsidRPr="002825DE">
        <w:rPr>
          <w:rFonts w:ascii="Arial" w:hAnsi="Arial" w:cs="Arial"/>
          <w:vertAlign w:val="superscript"/>
        </w:rPr>
        <w:t>2</w:t>
      </w:r>
      <w:r w:rsidR="007E53C3" w:rsidRPr="002825DE">
        <w:rPr>
          <w:rFonts w:ascii="Arial" w:hAnsi="Arial" w:cs="Arial"/>
        </w:rPr>
        <w:t xml:space="preserve"> = 0</w:t>
      </w:r>
      <w:r w:rsidR="00CD4628" w:rsidRPr="002825DE">
        <w:rPr>
          <w:rFonts w:ascii="Arial" w:hAnsi="Arial" w:cs="Arial"/>
        </w:rPr>
        <w:t>%</w:t>
      </w:r>
      <w:r w:rsidR="007E53C3" w:rsidRPr="002825DE">
        <w:rPr>
          <w:rFonts w:ascii="Arial" w:hAnsi="Arial" w:cs="Arial"/>
        </w:rPr>
        <w:t>, p = 0.</w:t>
      </w:r>
      <w:r w:rsidR="00340D6D" w:rsidRPr="002825DE">
        <w:rPr>
          <w:rFonts w:ascii="Arial" w:hAnsi="Arial" w:cs="Arial"/>
        </w:rPr>
        <w:t>50</w:t>
      </w:r>
      <w:r w:rsidRPr="002825DE">
        <w:rPr>
          <w:rFonts w:ascii="Arial" w:hAnsi="Arial" w:cs="Arial"/>
        </w:rPr>
        <w:t>) or publication bias</w:t>
      </w:r>
      <w:r w:rsidR="00CD4628" w:rsidRPr="002825DE">
        <w:rPr>
          <w:rFonts w:ascii="Arial" w:hAnsi="Arial" w:cs="Arial"/>
        </w:rPr>
        <w:t>.</w:t>
      </w:r>
    </w:p>
    <w:p w14:paraId="6245B521" w14:textId="51F6A355" w:rsidR="000231CF" w:rsidRPr="002825DE" w:rsidRDefault="00CD4628" w:rsidP="00980769">
      <w:pPr>
        <w:spacing w:after="0" w:line="480" w:lineRule="auto"/>
        <w:jc w:val="both"/>
        <w:rPr>
          <w:rFonts w:ascii="Arial" w:hAnsi="Arial" w:cs="Arial"/>
          <w:color w:val="FF0000"/>
        </w:rPr>
      </w:pPr>
      <w:r w:rsidRPr="002825DE">
        <w:rPr>
          <w:rFonts w:ascii="Arial" w:hAnsi="Arial" w:cs="Arial"/>
          <w:color w:val="FF0000"/>
        </w:rPr>
        <w:lastRenderedPageBreak/>
        <w:t xml:space="preserve"> </w:t>
      </w:r>
    </w:p>
    <w:p w14:paraId="5F685A9E" w14:textId="420234A6" w:rsidR="00345F88" w:rsidRPr="002825DE" w:rsidRDefault="003E3AB7" w:rsidP="00980769">
      <w:pPr>
        <w:spacing w:after="0" w:line="480" w:lineRule="auto"/>
        <w:jc w:val="both"/>
        <w:rPr>
          <w:rFonts w:ascii="Arial" w:hAnsi="Arial" w:cs="Arial"/>
          <w:b/>
        </w:rPr>
      </w:pPr>
      <w:r w:rsidRPr="002825DE">
        <w:rPr>
          <w:rFonts w:ascii="Arial" w:hAnsi="Arial" w:cs="Arial"/>
          <w:b/>
        </w:rPr>
        <w:t xml:space="preserve">Patients </w:t>
      </w:r>
      <w:r w:rsidR="00FF6ABD" w:rsidRPr="002825DE">
        <w:rPr>
          <w:rFonts w:ascii="Arial" w:hAnsi="Arial" w:cs="Arial"/>
          <w:b/>
        </w:rPr>
        <w:t>requir</w:t>
      </w:r>
      <w:r w:rsidR="00D235BE" w:rsidRPr="002825DE">
        <w:rPr>
          <w:rFonts w:ascii="Arial" w:hAnsi="Arial" w:cs="Arial"/>
          <w:b/>
        </w:rPr>
        <w:t>ing</w:t>
      </w:r>
      <w:r w:rsidRPr="002825DE">
        <w:rPr>
          <w:rFonts w:ascii="Arial" w:hAnsi="Arial" w:cs="Arial"/>
          <w:b/>
        </w:rPr>
        <w:t xml:space="preserve"> RBC transfusions</w:t>
      </w:r>
    </w:p>
    <w:p w14:paraId="02230AED" w14:textId="1EE7323D" w:rsidR="003E3AB7" w:rsidRPr="002825DE" w:rsidRDefault="00D235BE" w:rsidP="00980769">
      <w:pPr>
        <w:spacing w:after="0" w:line="480" w:lineRule="auto"/>
        <w:jc w:val="both"/>
        <w:rPr>
          <w:rFonts w:ascii="Arial" w:hAnsi="Arial" w:cs="Arial"/>
        </w:rPr>
      </w:pPr>
      <w:r w:rsidRPr="002825DE">
        <w:rPr>
          <w:rFonts w:ascii="Arial" w:hAnsi="Arial" w:cs="Arial"/>
        </w:rPr>
        <w:t>Five</w:t>
      </w:r>
      <w:r w:rsidR="009D397E" w:rsidRPr="002825DE">
        <w:rPr>
          <w:rFonts w:ascii="Arial" w:hAnsi="Arial" w:cs="Arial"/>
        </w:rPr>
        <w:t xml:space="preserve"> studies</w:t>
      </w:r>
      <w:r w:rsidR="003D472F" w:rsidRPr="002825DE">
        <w:rPr>
          <w:rFonts w:ascii="Arial" w:hAnsi="Arial" w:cs="Arial"/>
        </w:rPr>
        <w:t xml:space="preserve"> </w:t>
      </w:r>
      <w:r w:rsidRPr="002825DE">
        <w:rPr>
          <w:rFonts w:ascii="Arial" w:hAnsi="Arial" w:cs="Arial"/>
        </w:rPr>
        <w:t xml:space="preserve">comprising 529 patients were analysed </w:t>
      </w:r>
      <w:r w:rsidR="003D472F" w:rsidRPr="002825DE">
        <w:rPr>
          <w:rFonts w:ascii="Arial" w:hAnsi="Arial" w:cs="Arial"/>
        </w:rPr>
        <w:fldChar w:fldCharType="begin"/>
      </w:r>
      <w:r w:rsidR="004313B4" w:rsidRPr="002825DE">
        <w:rPr>
          <w:rFonts w:ascii="Arial" w:hAnsi="Arial" w:cs="Arial"/>
        </w:rPr>
        <w:instrText>ADDIN RW.CITE{{4538 Goldstein,JoshuaN 2015; 4513 Sarode,R. 2013; 4542 Frontera,JenniferA 2014; 4560 Wu,DingWen 2018; 4508 Demeyere,R 2010}}</w:instrText>
      </w:r>
      <w:r w:rsidR="003D472F" w:rsidRPr="002825DE">
        <w:rPr>
          <w:rFonts w:ascii="Arial" w:hAnsi="Arial" w:cs="Arial"/>
        </w:rPr>
        <w:fldChar w:fldCharType="separate"/>
      </w:r>
      <w:r w:rsidR="003960ED" w:rsidRPr="002825DE">
        <w:rPr>
          <w:rFonts w:ascii="Arial" w:hAnsi="Arial" w:cs="Arial"/>
        </w:rPr>
        <w:t>[1</w:t>
      </w:r>
      <w:r w:rsidR="00432124" w:rsidRPr="002825DE">
        <w:rPr>
          <w:rFonts w:ascii="Arial" w:hAnsi="Arial" w:cs="Arial"/>
        </w:rPr>
        <w:t>5</w:t>
      </w:r>
      <w:r w:rsidR="003960ED" w:rsidRPr="002825DE">
        <w:rPr>
          <w:rFonts w:ascii="Arial" w:hAnsi="Arial" w:cs="Arial"/>
        </w:rPr>
        <w:t>,1</w:t>
      </w:r>
      <w:r w:rsidR="00432124" w:rsidRPr="002825DE">
        <w:rPr>
          <w:rFonts w:ascii="Arial" w:hAnsi="Arial" w:cs="Arial"/>
        </w:rPr>
        <w:t>7</w:t>
      </w:r>
      <w:r w:rsidR="003960ED" w:rsidRPr="002825DE">
        <w:rPr>
          <w:rFonts w:ascii="Arial" w:hAnsi="Arial" w:cs="Arial"/>
        </w:rPr>
        <w:t>,</w:t>
      </w:r>
      <w:r w:rsidR="00432124" w:rsidRPr="002825DE">
        <w:rPr>
          <w:rFonts w:ascii="Arial" w:hAnsi="Arial" w:cs="Arial"/>
        </w:rPr>
        <w:t>20</w:t>
      </w:r>
      <w:r w:rsidR="003960ED" w:rsidRPr="002825DE">
        <w:rPr>
          <w:rFonts w:ascii="Arial" w:hAnsi="Arial" w:cs="Arial"/>
        </w:rPr>
        <w:t>,2</w:t>
      </w:r>
      <w:r w:rsidR="00432124" w:rsidRPr="002825DE">
        <w:rPr>
          <w:rFonts w:ascii="Arial" w:hAnsi="Arial" w:cs="Arial"/>
        </w:rPr>
        <w:t>2</w:t>
      </w:r>
      <w:r w:rsidR="003960ED" w:rsidRPr="002825DE">
        <w:rPr>
          <w:rFonts w:ascii="Arial" w:hAnsi="Arial" w:cs="Arial"/>
        </w:rPr>
        <w:t>,</w:t>
      </w:r>
      <w:r w:rsidR="00432124" w:rsidRPr="002825DE">
        <w:rPr>
          <w:rFonts w:ascii="Arial" w:hAnsi="Arial" w:cs="Arial"/>
        </w:rPr>
        <w:t>30</w:t>
      </w:r>
      <w:r w:rsidR="003960ED" w:rsidRPr="002825DE">
        <w:rPr>
          <w:rFonts w:ascii="Arial" w:hAnsi="Arial" w:cs="Arial"/>
        </w:rPr>
        <w:t>]</w:t>
      </w:r>
      <w:r w:rsidR="003D472F" w:rsidRPr="002825DE">
        <w:rPr>
          <w:rFonts w:ascii="Arial" w:hAnsi="Arial" w:cs="Arial"/>
        </w:rPr>
        <w:fldChar w:fldCharType="end"/>
      </w:r>
      <w:r w:rsidR="003E3AB7" w:rsidRPr="002825DE">
        <w:rPr>
          <w:rFonts w:ascii="Arial" w:hAnsi="Arial" w:cs="Arial"/>
        </w:rPr>
        <w:t>. The rate</w:t>
      </w:r>
      <w:r w:rsidR="004F06E6" w:rsidRPr="002825DE">
        <w:rPr>
          <w:rFonts w:ascii="Arial" w:hAnsi="Arial" w:cs="Arial"/>
        </w:rPr>
        <w:t>s</w:t>
      </w:r>
      <w:r w:rsidR="003E3AB7" w:rsidRPr="002825DE">
        <w:rPr>
          <w:rFonts w:ascii="Arial" w:hAnsi="Arial" w:cs="Arial"/>
        </w:rPr>
        <w:t xml:space="preserve"> of at least one RBC transfusion</w:t>
      </w:r>
      <w:r w:rsidR="004F06E6" w:rsidRPr="002825DE">
        <w:rPr>
          <w:rFonts w:ascii="Arial" w:hAnsi="Arial" w:cs="Arial"/>
        </w:rPr>
        <w:t xml:space="preserve"> </w:t>
      </w:r>
      <w:r w:rsidR="004324AA" w:rsidRPr="002825DE">
        <w:rPr>
          <w:rFonts w:ascii="Arial" w:hAnsi="Arial" w:cs="Arial"/>
        </w:rPr>
        <w:t>was</w:t>
      </w:r>
      <w:r w:rsidR="004F06E6" w:rsidRPr="002825DE">
        <w:rPr>
          <w:rFonts w:ascii="Arial" w:hAnsi="Arial" w:cs="Arial"/>
        </w:rPr>
        <w:t xml:space="preserve"> similar in patients treated with PCC</w:t>
      </w:r>
      <w:r w:rsidR="003E3AB7" w:rsidRPr="002825DE">
        <w:rPr>
          <w:rFonts w:ascii="Arial" w:hAnsi="Arial" w:cs="Arial"/>
        </w:rPr>
        <w:t xml:space="preserve"> (</w:t>
      </w:r>
      <w:r w:rsidR="00D76C4D" w:rsidRPr="002825DE">
        <w:rPr>
          <w:rFonts w:ascii="Arial" w:hAnsi="Arial" w:cs="Arial"/>
        </w:rPr>
        <w:t>93</w:t>
      </w:r>
      <w:r w:rsidRPr="002825DE">
        <w:rPr>
          <w:rFonts w:ascii="Arial" w:hAnsi="Arial" w:cs="Arial"/>
        </w:rPr>
        <w:t>/</w:t>
      </w:r>
      <w:r w:rsidR="003E3AB7" w:rsidRPr="002825DE">
        <w:rPr>
          <w:rFonts w:ascii="Arial" w:hAnsi="Arial" w:cs="Arial"/>
        </w:rPr>
        <w:t>2</w:t>
      </w:r>
      <w:r w:rsidR="00D76C4D" w:rsidRPr="002825DE">
        <w:rPr>
          <w:rFonts w:ascii="Arial" w:hAnsi="Arial" w:cs="Arial"/>
        </w:rPr>
        <w:t>57</w:t>
      </w:r>
      <w:r w:rsidR="003E3AB7" w:rsidRPr="002825DE">
        <w:rPr>
          <w:rFonts w:ascii="Arial" w:hAnsi="Arial" w:cs="Arial"/>
        </w:rPr>
        <w:t xml:space="preserve">, </w:t>
      </w:r>
      <w:r w:rsidR="00D76C4D" w:rsidRPr="002825DE">
        <w:rPr>
          <w:rFonts w:ascii="Arial" w:hAnsi="Arial" w:cs="Arial"/>
        </w:rPr>
        <w:t>36.19</w:t>
      </w:r>
      <w:r w:rsidR="003E3AB7" w:rsidRPr="002825DE">
        <w:rPr>
          <w:rFonts w:ascii="Arial" w:hAnsi="Arial" w:cs="Arial"/>
        </w:rPr>
        <w:t xml:space="preserve">%) </w:t>
      </w:r>
      <w:r w:rsidR="004F06E6" w:rsidRPr="002825DE">
        <w:rPr>
          <w:rFonts w:ascii="Arial" w:hAnsi="Arial" w:cs="Arial"/>
        </w:rPr>
        <w:t>to</w:t>
      </w:r>
      <w:r w:rsidR="003E3AB7" w:rsidRPr="002825DE">
        <w:rPr>
          <w:rFonts w:ascii="Arial" w:hAnsi="Arial" w:cs="Arial"/>
        </w:rPr>
        <w:t xml:space="preserve"> those treated with FFP (1</w:t>
      </w:r>
      <w:r w:rsidR="00D76C4D" w:rsidRPr="002825DE">
        <w:rPr>
          <w:rFonts w:ascii="Arial" w:hAnsi="Arial" w:cs="Arial"/>
        </w:rPr>
        <w:t>04</w:t>
      </w:r>
      <w:r w:rsidRPr="002825DE">
        <w:rPr>
          <w:rFonts w:ascii="Arial" w:hAnsi="Arial" w:cs="Arial"/>
        </w:rPr>
        <w:t>/</w:t>
      </w:r>
      <w:r w:rsidR="003E3AB7" w:rsidRPr="002825DE">
        <w:rPr>
          <w:rFonts w:ascii="Arial" w:hAnsi="Arial" w:cs="Arial"/>
        </w:rPr>
        <w:t>2</w:t>
      </w:r>
      <w:r w:rsidR="00D76C4D" w:rsidRPr="002825DE">
        <w:rPr>
          <w:rFonts w:ascii="Arial" w:hAnsi="Arial" w:cs="Arial"/>
        </w:rPr>
        <w:t>72</w:t>
      </w:r>
      <w:r w:rsidR="003E3AB7" w:rsidRPr="002825DE">
        <w:rPr>
          <w:rFonts w:ascii="Arial" w:hAnsi="Arial" w:cs="Arial"/>
        </w:rPr>
        <w:t xml:space="preserve">, </w:t>
      </w:r>
      <w:r w:rsidR="00D76C4D" w:rsidRPr="002825DE">
        <w:rPr>
          <w:rFonts w:ascii="Arial" w:hAnsi="Arial" w:cs="Arial"/>
        </w:rPr>
        <w:t>38.24</w:t>
      </w:r>
      <w:r w:rsidR="003E3AB7" w:rsidRPr="002825DE">
        <w:rPr>
          <w:rFonts w:ascii="Arial" w:hAnsi="Arial" w:cs="Arial"/>
        </w:rPr>
        <w:t>%): OR = 0.8</w:t>
      </w:r>
      <w:r w:rsidR="00D76C4D" w:rsidRPr="002825DE">
        <w:rPr>
          <w:rFonts w:ascii="Arial" w:hAnsi="Arial" w:cs="Arial"/>
        </w:rPr>
        <w:t>1</w:t>
      </w:r>
      <w:r w:rsidR="003E3AB7" w:rsidRPr="002825DE">
        <w:rPr>
          <w:rFonts w:ascii="Arial" w:hAnsi="Arial" w:cs="Arial"/>
        </w:rPr>
        <w:t>, 95% CI</w:t>
      </w:r>
      <w:r w:rsidR="00D76C4D" w:rsidRPr="002825DE">
        <w:rPr>
          <w:rFonts w:ascii="Arial" w:hAnsi="Arial" w:cs="Arial"/>
        </w:rPr>
        <w:t xml:space="preserve"> =</w:t>
      </w:r>
      <w:r w:rsidR="003E3AB7" w:rsidRPr="002825DE">
        <w:rPr>
          <w:rFonts w:ascii="Arial" w:hAnsi="Arial" w:cs="Arial"/>
        </w:rPr>
        <w:t xml:space="preserve"> 0.</w:t>
      </w:r>
      <w:r w:rsidR="00D76C4D" w:rsidRPr="002825DE">
        <w:rPr>
          <w:rFonts w:ascii="Arial" w:hAnsi="Arial" w:cs="Arial"/>
        </w:rPr>
        <w:t>44</w:t>
      </w:r>
      <w:r w:rsidR="003E3AB7" w:rsidRPr="002825DE">
        <w:rPr>
          <w:rFonts w:ascii="Arial" w:hAnsi="Arial" w:cs="Arial"/>
        </w:rPr>
        <w:t>-1.</w:t>
      </w:r>
      <w:r w:rsidR="00D76C4D" w:rsidRPr="002825DE">
        <w:rPr>
          <w:rFonts w:ascii="Arial" w:hAnsi="Arial" w:cs="Arial"/>
        </w:rPr>
        <w:t>48</w:t>
      </w:r>
      <w:r w:rsidR="003E3AB7" w:rsidRPr="002825DE">
        <w:rPr>
          <w:rFonts w:ascii="Arial" w:hAnsi="Arial" w:cs="Arial"/>
        </w:rPr>
        <w:t>, p = 0.</w:t>
      </w:r>
      <w:r w:rsidR="00D76C4D" w:rsidRPr="002825DE">
        <w:rPr>
          <w:rFonts w:ascii="Arial" w:hAnsi="Arial" w:cs="Arial"/>
        </w:rPr>
        <w:t>49</w:t>
      </w:r>
      <w:r w:rsidRPr="002825DE">
        <w:rPr>
          <w:rFonts w:ascii="Arial" w:hAnsi="Arial" w:cs="Arial"/>
        </w:rPr>
        <w:t xml:space="preserve"> (</w:t>
      </w:r>
      <w:r w:rsidRPr="002825DE">
        <w:rPr>
          <w:rFonts w:ascii="Arial" w:hAnsi="Arial" w:cs="Arial"/>
          <w:b/>
        </w:rPr>
        <w:t xml:space="preserve">Supplementary </w:t>
      </w:r>
      <w:r w:rsidR="003A7530" w:rsidRPr="002825DE">
        <w:rPr>
          <w:rFonts w:ascii="Arial" w:hAnsi="Arial" w:cs="Arial"/>
          <w:b/>
        </w:rPr>
        <w:t xml:space="preserve">Fig </w:t>
      </w:r>
      <w:r w:rsidRPr="002825DE">
        <w:rPr>
          <w:rFonts w:ascii="Arial" w:hAnsi="Arial" w:cs="Arial"/>
          <w:b/>
        </w:rPr>
        <w:t>2</w:t>
      </w:r>
      <w:r w:rsidRPr="002825DE">
        <w:rPr>
          <w:rFonts w:ascii="Arial" w:hAnsi="Arial" w:cs="Arial"/>
        </w:rPr>
        <w:t>)</w:t>
      </w:r>
      <w:r w:rsidR="00D8277B" w:rsidRPr="002825DE">
        <w:rPr>
          <w:rFonts w:ascii="Arial" w:hAnsi="Arial" w:cs="Arial"/>
        </w:rPr>
        <w:t>.</w:t>
      </w:r>
      <w:r w:rsidR="003E3AB7" w:rsidRPr="002825DE">
        <w:rPr>
          <w:rFonts w:ascii="Arial" w:hAnsi="Arial" w:cs="Arial"/>
        </w:rPr>
        <w:t xml:space="preserve"> There was no heterogeneity (I</w:t>
      </w:r>
      <w:r w:rsidR="003E3AB7" w:rsidRPr="002825DE">
        <w:rPr>
          <w:rFonts w:ascii="Arial" w:hAnsi="Arial" w:cs="Arial"/>
          <w:vertAlign w:val="superscript"/>
        </w:rPr>
        <w:t xml:space="preserve">2 </w:t>
      </w:r>
      <w:r w:rsidR="003E3AB7" w:rsidRPr="002825DE">
        <w:rPr>
          <w:rFonts w:ascii="Arial" w:hAnsi="Arial" w:cs="Arial"/>
        </w:rPr>
        <w:t xml:space="preserve">= </w:t>
      </w:r>
      <w:r w:rsidR="00D76C4D" w:rsidRPr="002825DE">
        <w:rPr>
          <w:rFonts w:ascii="Arial" w:hAnsi="Arial" w:cs="Arial"/>
        </w:rPr>
        <w:t>37</w:t>
      </w:r>
      <w:r w:rsidR="003E3AB7" w:rsidRPr="002825DE">
        <w:rPr>
          <w:rFonts w:ascii="Arial" w:hAnsi="Arial" w:cs="Arial"/>
        </w:rPr>
        <w:t>%</w:t>
      </w:r>
      <w:r w:rsidR="00D8277B" w:rsidRPr="002825DE">
        <w:rPr>
          <w:rFonts w:ascii="Arial" w:hAnsi="Arial" w:cs="Arial"/>
        </w:rPr>
        <w:t>, p = 0.</w:t>
      </w:r>
      <w:r w:rsidR="00D76C4D" w:rsidRPr="002825DE">
        <w:rPr>
          <w:rFonts w:ascii="Arial" w:hAnsi="Arial" w:cs="Arial"/>
        </w:rPr>
        <w:t>18</w:t>
      </w:r>
      <w:r w:rsidR="00D8277B" w:rsidRPr="002825DE">
        <w:rPr>
          <w:rFonts w:ascii="Arial" w:hAnsi="Arial" w:cs="Arial"/>
        </w:rPr>
        <w:t>) or publication bias.</w:t>
      </w:r>
    </w:p>
    <w:p w14:paraId="5CD2303D" w14:textId="77777777" w:rsidR="00837A6D" w:rsidRPr="002825DE" w:rsidRDefault="00837A6D" w:rsidP="00980769">
      <w:pPr>
        <w:spacing w:after="0" w:line="480" w:lineRule="auto"/>
        <w:jc w:val="both"/>
        <w:rPr>
          <w:rFonts w:ascii="Arial" w:hAnsi="Arial" w:cs="Arial"/>
          <w:color w:val="FF0000"/>
        </w:rPr>
      </w:pPr>
    </w:p>
    <w:p w14:paraId="0F75B4A4" w14:textId="1D2E4A51" w:rsidR="009D397E" w:rsidRPr="002825DE" w:rsidRDefault="0081693D" w:rsidP="00980769">
      <w:pPr>
        <w:spacing w:after="0" w:line="480" w:lineRule="auto"/>
        <w:jc w:val="both"/>
        <w:rPr>
          <w:rFonts w:ascii="Arial" w:hAnsi="Arial" w:cs="Arial"/>
          <w:b/>
        </w:rPr>
      </w:pPr>
      <w:r w:rsidRPr="002825DE">
        <w:rPr>
          <w:rFonts w:ascii="Arial" w:hAnsi="Arial" w:cs="Arial"/>
          <w:b/>
        </w:rPr>
        <w:t>Quantity</w:t>
      </w:r>
      <w:r w:rsidR="009D397E" w:rsidRPr="002825DE">
        <w:rPr>
          <w:rFonts w:ascii="Arial" w:hAnsi="Arial" w:cs="Arial"/>
          <w:b/>
        </w:rPr>
        <w:t xml:space="preserve"> of RBC transfusions</w:t>
      </w:r>
    </w:p>
    <w:p w14:paraId="04FDB648" w14:textId="0099157A" w:rsidR="009D397E" w:rsidRPr="002825DE" w:rsidRDefault="0081693D" w:rsidP="00980769">
      <w:pPr>
        <w:spacing w:after="0" w:line="480" w:lineRule="auto"/>
        <w:jc w:val="both"/>
        <w:rPr>
          <w:rFonts w:ascii="Arial" w:hAnsi="Arial" w:cs="Arial"/>
        </w:rPr>
      </w:pPr>
      <w:r w:rsidRPr="002825DE">
        <w:rPr>
          <w:rFonts w:ascii="Arial" w:hAnsi="Arial" w:cs="Arial"/>
        </w:rPr>
        <w:t>Three</w:t>
      </w:r>
      <w:r w:rsidR="009D397E" w:rsidRPr="002825DE">
        <w:rPr>
          <w:rFonts w:ascii="Arial" w:hAnsi="Arial" w:cs="Arial"/>
        </w:rPr>
        <w:t xml:space="preserve"> studies</w:t>
      </w:r>
      <w:r w:rsidR="003D472F" w:rsidRPr="002825DE">
        <w:rPr>
          <w:rFonts w:ascii="Arial" w:hAnsi="Arial" w:cs="Arial"/>
        </w:rPr>
        <w:t xml:space="preserve"> </w:t>
      </w:r>
      <w:r w:rsidRPr="002825DE">
        <w:rPr>
          <w:rFonts w:ascii="Arial" w:hAnsi="Arial" w:cs="Arial"/>
        </w:rPr>
        <w:t xml:space="preserve">comprising 702 patients were analysed </w:t>
      </w:r>
      <w:r w:rsidR="003D472F" w:rsidRPr="002825DE">
        <w:rPr>
          <w:rFonts w:ascii="Arial" w:hAnsi="Arial" w:cs="Arial"/>
        </w:rPr>
        <w:fldChar w:fldCharType="begin"/>
      </w:r>
      <w:r w:rsidR="004313B4" w:rsidRPr="002825DE">
        <w:rPr>
          <w:rFonts w:ascii="Arial" w:hAnsi="Arial" w:cs="Arial"/>
        </w:rPr>
        <w:instrText>ADDIN RW.CITE{{4538 Goldstein,JoshuaN 2015; 4543 Hickey,M. 2013; 4513 Sarode,R. 2013}}</w:instrText>
      </w:r>
      <w:r w:rsidR="003D472F" w:rsidRPr="002825DE">
        <w:rPr>
          <w:rFonts w:ascii="Arial" w:hAnsi="Arial" w:cs="Arial"/>
        </w:rPr>
        <w:fldChar w:fldCharType="separate"/>
      </w:r>
      <w:r w:rsidR="003960ED" w:rsidRPr="002825DE">
        <w:rPr>
          <w:rFonts w:ascii="Arial" w:hAnsi="Arial" w:cs="Arial"/>
        </w:rPr>
        <w:t>[1</w:t>
      </w:r>
      <w:r w:rsidR="00432124" w:rsidRPr="002825DE">
        <w:rPr>
          <w:rFonts w:ascii="Arial" w:hAnsi="Arial" w:cs="Arial"/>
        </w:rPr>
        <w:t>5</w:t>
      </w:r>
      <w:r w:rsidR="003960ED" w:rsidRPr="002825DE">
        <w:rPr>
          <w:rFonts w:ascii="Arial" w:hAnsi="Arial" w:cs="Arial"/>
        </w:rPr>
        <w:t>,1</w:t>
      </w:r>
      <w:r w:rsidR="00432124" w:rsidRPr="002825DE">
        <w:rPr>
          <w:rFonts w:ascii="Arial" w:hAnsi="Arial" w:cs="Arial"/>
        </w:rPr>
        <w:t>8</w:t>
      </w:r>
      <w:r w:rsidR="003960ED" w:rsidRPr="002825DE">
        <w:rPr>
          <w:rFonts w:ascii="Arial" w:hAnsi="Arial" w:cs="Arial"/>
        </w:rPr>
        <w:t>,</w:t>
      </w:r>
      <w:r w:rsidR="00432124" w:rsidRPr="002825DE">
        <w:rPr>
          <w:rFonts w:ascii="Arial" w:hAnsi="Arial" w:cs="Arial"/>
        </w:rPr>
        <w:t>20</w:t>
      </w:r>
      <w:r w:rsidR="003960ED" w:rsidRPr="002825DE">
        <w:rPr>
          <w:rFonts w:ascii="Arial" w:hAnsi="Arial" w:cs="Arial"/>
        </w:rPr>
        <w:t>]</w:t>
      </w:r>
      <w:r w:rsidR="003D472F" w:rsidRPr="002825DE">
        <w:rPr>
          <w:rFonts w:ascii="Arial" w:hAnsi="Arial" w:cs="Arial"/>
        </w:rPr>
        <w:fldChar w:fldCharType="end"/>
      </w:r>
      <w:r w:rsidR="00A1147D" w:rsidRPr="002825DE">
        <w:rPr>
          <w:rFonts w:ascii="Arial" w:hAnsi="Arial" w:cs="Arial"/>
        </w:rPr>
        <w:t>. Th</w:t>
      </w:r>
      <w:r w:rsidR="00F72F3B" w:rsidRPr="002825DE">
        <w:rPr>
          <w:rFonts w:ascii="Arial" w:hAnsi="Arial" w:cs="Arial"/>
        </w:rPr>
        <w:t>ere were no differences in</w:t>
      </w:r>
      <w:r w:rsidR="00A1147D" w:rsidRPr="002825DE">
        <w:rPr>
          <w:rFonts w:ascii="Arial" w:hAnsi="Arial" w:cs="Arial"/>
        </w:rPr>
        <w:t xml:space="preserve"> the </w:t>
      </w:r>
      <w:r w:rsidR="00F72F3B" w:rsidRPr="002825DE">
        <w:rPr>
          <w:rFonts w:ascii="Arial" w:hAnsi="Arial" w:cs="Arial"/>
        </w:rPr>
        <w:t>quantity</w:t>
      </w:r>
      <w:r w:rsidR="00A1147D" w:rsidRPr="002825DE">
        <w:rPr>
          <w:rFonts w:ascii="Arial" w:hAnsi="Arial" w:cs="Arial"/>
        </w:rPr>
        <w:t xml:space="preserve"> of RBCs</w:t>
      </w:r>
      <w:r w:rsidR="00F72F3B" w:rsidRPr="002825DE">
        <w:rPr>
          <w:rFonts w:ascii="Arial" w:hAnsi="Arial" w:cs="Arial"/>
        </w:rPr>
        <w:t xml:space="preserve"> (units)</w:t>
      </w:r>
      <w:r w:rsidR="00A1147D" w:rsidRPr="002825DE">
        <w:rPr>
          <w:rFonts w:ascii="Arial" w:hAnsi="Arial" w:cs="Arial"/>
        </w:rPr>
        <w:t xml:space="preserve"> </w:t>
      </w:r>
      <w:r w:rsidR="00F72F3B" w:rsidRPr="002825DE">
        <w:rPr>
          <w:rFonts w:ascii="Arial" w:hAnsi="Arial" w:cs="Arial"/>
        </w:rPr>
        <w:t>prescribed</w:t>
      </w:r>
      <w:r w:rsidR="004F06E6" w:rsidRPr="002825DE">
        <w:rPr>
          <w:rFonts w:ascii="Arial" w:hAnsi="Arial" w:cs="Arial"/>
        </w:rPr>
        <w:t xml:space="preserve"> </w:t>
      </w:r>
      <w:r w:rsidR="00F72F3B" w:rsidRPr="002825DE">
        <w:rPr>
          <w:rFonts w:ascii="Arial" w:hAnsi="Arial" w:cs="Arial"/>
        </w:rPr>
        <w:t>for</w:t>
      </w:r>
      <w:r w:rsidR="004F06E6" w:rsidRPr="002825DE">
        <w:rPr>
          <w:rFonts w:ascii="Arial" w:hAnsi="Arial" w:cs="Arial"/>
        </w:rPr>
        <w:t xml:space="preserve"> </w:t>
      </w:r>
      <w:r w:rsidR="00F72F3B" w:rsidRPr="002825DE">
        <w:rPr>
          <w:rFonts w:ascii="Arial" w:hAnsi="Arial" w:cs="Arial"/>
        </w:rPr>
        <w:t>patients treated with PCC and</w:t>
      </w:r>
      <w:r w:rsidR="00A1147D" w:rsidRPr="002825DE">
        <w:rPr>
          <w:rFonts w:ascii="Arial" w:hAnsi="Arial" w:cs="Arial"/>
        </w:rPr>
        <w:t xml:space="preserve"> tho</w:t>
      </w:r>
      <w:r w:rsidR="00F72F3B" w:rsidRPr="002825DE">
        <w:rPr>
          <w:rFonts w:ascii="Arial" w:hAnsi="Arial" w:cs="Arial"/>
        </w:rPr>
        <w:t>se treated with FFP: mean difference = -0.57, 95%</w:t>
      </w:r>
      <w:r w:rsidR="00A1147D" w:rsidRPr="002825DE">
        <w:rPr>
          <w:rFonts w:ascii="Arial" w:hAnsi="Arial" w:cs="Arial"/>
        </w:rPr>
        <w:t>CI: -1.73</w:t>
      </w:r>
      <w:r w:rsidR="00F72F3B" w:rsidRPr="002825DE">
        <w:rPr>
          <w:rFonts w:ascii="Arial" w:hAnsi="Arial" w:cs="Arial"/>
        </w:rPr>
        <w:t xml:space="preserve">, </w:t>
      </w:r>
      <w:r w:rsidR="00A1147D" w:rsidRPr="002825DE">
        <w:rPr>
          <w:rFonts w:ascii="Arial" w:hAnsi="Arial" w:cs="Arial"/>
        </w:rPr>
        <w:t>0.60, p = 0.34</w:t>
      </w:r>
      <w:r w:rsidR="00F72F3B" w:rsidRPr="002825DE">
        <w:rPr>
          <w:rFonts w:ascii="Arial" w:hAnsi="Arial" w:cs="Arial"/>
        </w:rPr>
        <w:t xml:space="preserve"> (</w:t>
      </w:r>
      <w:r w:rsidR="00F72F3B" w:rsidRPr="002825DE">
        <w:rPr>
          <w:rFonts w:ascii="Arial" w:hAnsi="Arial" w:cs="Arial"/>
          <w:b/>
        </w:rPr>
        <w:t xml:space="preserve">Supplementary </w:t>
      </w:r>
      <w:r w:rsidR="003A7530" w:rsidRPr="002825DE">
        <w:rPr>
          <w:rFonts w:ascii="Arial" w:hAnsi="Arial" w:cs="Arial"/>
          <w:b/>
        </w:rPr>
        <w:t xml:space="preserve">Fig </w:t>
      </w:r>
      <w:r w:rsidR="00F72F3B" w:rsidRPr="002825DE">
        <w:rPr>
          <w:rFonts w:ascii="Arial" w:hAnsi="Arial" w:cs="Arial"/>
          <w:b/>
        </w:rPr>
        <w:t>3</w:t>
      </w:r>
      <w:r w:rsidR="00F72F3B" w:rsidRPr="002825DE">
        <w:rPr>
          <w:rFonts w:ascii="Arial" w:hAnsi="Arial" w:cs="Arial"/>
        </w:rPr>
        <w:t>)</w:t>
      </w:r>
      <w:r w:rsidR="00A1147D" w:rsidRPr="002825DE">
        <w:rPr>
          <w:rFonts w:ascii="Arial" w:hAnsi="Arial" w:cs="Arial"/>
        </w:rPr>
        <w:t>. There was evidence of inter-study heterogeneity (I</w:t>
      </w:r>
      <w:r w:rsidR="00A1147D" w:rsidRPr="002825DE">
        <w:rPr>
          <w:rFonts w:ascii="Arial" w:hAnsi="Arial" w:cs="Arial"/>
          <w:vertAlign w:val="superscript"/>
        </w:rPr>
        <w:t>2</w:t>
      </w:r>
      <w:r w:rsidR="000B72E1" w:rsidRPr="002825DE">
        <w:rPr>
          <w:rFonts w:ascii="Arial" w:hAnsi="Arial" w:cs="Arial"/>
        </w:rPr>
        <w:t xml:space="preserve"> = 97%, p &lt;</w:t>
      </w:r>
      <w:r w:rsidR="00A1147D" w:rsidRPr="002825DE">
        <w:rPr>
          <w:rFonts w:ascii="Arial" w:hAnsi="Arial" w:cs="Arial"/>
        </w:rPr>
        <w:t>0.00001)</w:t>
      </w:r>
      <w:r w:rsidR="00F1781F" w:rsidRPr="002825DE">
        <w:rPr>
          <w:rFonts w:ascii="Arial" w:hAnsi="Arial" w:cs="Arial"/>
        </w:rPr>
        <w:t xml:space="preserve"> or publication bias</w:t>
      </w:r>
      <w:r w:rsidR="00A1147D" w:rsidRPr="002825DE">
        <w:rPr>
          <w:rFonts w:ascii="Arial" w:hAnsi="Arial" w:cs="Arial"/>
        </w:rPr>
        <w:t xml:space="preserve">. </w:t>
      </w:r>
    </w:p>
    <w:p w14:paraId="646D91D1" w14:textId="77777777" w:rsidR="00837A6D" w:rsidRPr="002825DE" w:rsidRDefault="00837A6D" w:rsidP="00980769">
      <w:pPr>
        <w:spacing w:after="0" w:line="480" w:lineRule="auto"/>
        <w:jc w:val="both"/>
        <w:rPr>
          <w:rFonts w:ascii="Arial" w:hAnsi="Arial" w:cs="Arial"/>
          <w:color w:val="FF0000"/>
        </w:rPr>
      </w:pPr>
    </w:p>
    <w:p w14:paraId="3013AD2C" w14:textId="4C12095A" w:rsidR="007E53C3" w:rsidRPr="002825DE" w:rsidRDefault="007E53C3" w:rsidP="00980769">
      <w:pPr>
        <w:spacing w:after="0" w:line="480" w:lineRule="auto"/>
        <w:jc w:val="both"/>
        <w:rPr>
          <w:rFonts w:ascii="Arial" w:hAnsi="Arial" w:cs="Arial"/>
          <w:b/>
        </w:rPr>
      </w:pPr>
      <w:r w:rsidRPr="002825DE">
        <w:rPr>
          <w:rFonts w:ascii="Arial" w:hAnsi="Arial" w:cs="Arial"/>
          <w:b/>
        </w:rPr>
        <w:t>All</w:t>
      </w:r>
      <w:r w:rsidR="00F1781F" w:rsidRPr="002825DE">
        <w:rPr>
          <w:rFonts w:ascii="Arial" w:hAnsi="Arial" w:cs="Arial"/>
          <w:b/>
        </w:rPr>
        <w:t xml:space="preserve"> types of</w:t>
      </w:r>
      <w:r w:rsidRPr="002825DE">
        <w:rPr>
          <w:rFonts w:ascii="Arial" w:hAnsi="Arial" w:cs="Arial"/>
          <w:b/>
        </w:rPr>
        <w:t xml:space="preserve"> adverse events</w:t>
      </w:r>
    </w:p>
    <w:p w14:paraId="2198D860" w14:textId="0EDEEEA7" w:rsidR="007E53C3" w:rsidRPr="002825DE" w:rsidRDefault="00F1781F" w:rsidP="00980769">
      <w:pPr>
        <w:spacing w:after="0" w:line="480" w:lineRule="auto"/>
        <w:jc w:val="both"/>
        <w:rPr>
          <w:rFonts w:ascii="Arial" w:hAnsi="Arial" w:cs="Arial"/>
        </w:rPr>
      </w:pPr>
      <w:r w:rsidRPr="002825DE">
        <w:rPr>
          <w:rFonts w:ascii="Arial" w:hAnsi="Arial" w:cs="Arial"/>
        </w:rPr>
        <w:t>There were six</w:t>
      </w:r>
      <w:r w:rsidR="007E53C3" w:rsidRPr="002825DE">
        <w:rPr>
          <w:rFonts w:ascii="Arial" w:hAnsi="Arial" w:cs="Arial"/>
        </w:rPr>
        <w:t xml:space="preserve"> studies</w:t>
      </w:r>
      <w:r w:rsidR="003D472F" w:rsidRPr="002825DE">
        <w:rPr>
          <w:rFonts w:ascii="Arial" w:hAnsi="Arial" w:cs="Arial"/>
          <w:color w:val="FF0000"/>
        </w:rPr>
        <w:t xml:space="preserve"> </w:t>
      </w:r>
      <w:r w:rsidRPr="002825DE">
        <w:rPr>
          <w:rFonts w:ascii="Arial" w:hAnsi="Arial" w:cs="Arial"/>
        </w:rPr>
        <w:t xml:space="preserve">comprising 833 patients studied </w:t>
      </w:r>
      <w:r w:rsidR="003D472F" w:rsidRPr="002825DE">
        <w:rPr>
          <w:rFonts w:ascii="Arial" w:hAnsi="Arial" w:cs="Arial"/>
        </w:rPr>
        <w:fldChar w:fldCharType="begin"/>
      </w:r>
      <w:r w:rsidR="004313B4" w:rsidRPr="002825DE">
        <w:rPr>
          <w:rFonts w:ascii="Arial" w:hAnsi="Arial" w:cs="Arial"/>
        </w:rPr>
        <w:instrText>ADDIN RW.CITE{{4542 Frontera,JenniferA 2014; 4513 Sarode,R. 2013; 4539 Steiner,Thorsten 2016; 4543 Hickey,M. 2013; 4508 Demeyere,R 2010; 4538 Goldstein,JoshuaN 2015}}</w:instrText>
      </w:r>
      <w:r w:rsidR="003D472F" w:rsidRPr="002825DE">
        <w:rPr>
          <w:rFonts w:ascii="Arial" w:hAnsi="Arial" w:cs="Arial"/>
        </w:rPr>
        <w:fldChar w:fldCharType="separate"/>
      </w:r>
      <w:r w:rsidR="003960ED" w:rsidRPr="002825DE">
        <w:rPr>
          <w:rFonts w:ascii="Arial" w:hAnsi="Arial" w:cs="Arial"/>
        </w:rPr>
        <w:t>[1</w:t>
      </w:r>
      <w:r w:rsidR="007D043F" w:rsidRPr="002825DE">
        <w:rPr>
          <w:rFonts w:ascii="Arial" w:hAnsi="Arial" w:cs="Arial"/>
        </w:rPr>
        <w:t>5</w:t>
      </w:r>
      <w:r w:rsidR="003960ED" w:rsidRPr="002825DE">
        <w:rPr>
          <w:rFonts w:ascii="Arial" w:hAnsi="Arial" w:cs="Arial"/>
        </w:rPr>
        <w:t>-1</w:t>
      </w:r>
      <w:r w:rsidR="007D043F" w:rsidRPr="002825DE">
        <w:rPr>
          <w:rFonts w:ascii="Arial" w:hAnsi="Arial" w:cs="Arial"/>
        </w:rPr>
        <w:t>8</w:t>
      </w:r>
      <w:r w:rsidR="003960ED" w:rsidRPr="002825DE">
        <w:rPr>
          <w:rFonts w:ascii="Arial" w:hAnsi="Arial" w:cs="Arial"/>
        </w:rPr>
        <w:t>,</w:t>
      </w:r>
      <w:r w:rsidR="007D043F" w:rsidRPr="002825DE">
        <w:rPr>
          <w:rFonts w:ascii="Arial" w:hAnsi="Arial" w:cs="Arial"/>
        </w:rPr>
        <w:t>20</w:t>
      </w:r>
      <w:r w:rsidR="003960ED" w:rsidRPr="002825DE">
        <w:rPr>
          <w:rFonts w:ascii="Arial" w:hAnsi="Arial" w:cs="Arial"/>
        </w:rPr>
        <w:t>,</w:t>
      </w:r>
      <w:r w:rsidR="007D043F" w:rsidRPr="002825DE">
        <w:rPr>
          <w:rFonts w:ascii="Arial" w:hAnsi="Arial" w:cs="Arial"/>
        </w:rPr>
        <w:t>30</w:t>
      </w:r>
      <w:r w:rsidR="003960ED" w:rsidRPr="002825DE">
        <w:rPr>
          <w:rFonts w:ascii="Arial" w:hAnsi="Arial" w:cs="Arial"/>
        </w:rPr>
        <w:t>]</w:t>
      </w:r>
      <w:r w:rsidR="003D472F" w:rsidRPr="002825DE">
        <w:rPr>
          <w:rFonts w:ascii="Arial" w:hAnsi="Arial" w:cs="Arial"/>
        </w:rPr>
        <w:fldChar w:fldCharType="end"/>
      </w:r>
      <w:r w:rsidR="007E53C3" w:rsidRPr="002825DE">
        <w:rPr>
          <w:rFonts w:ascii="Arial" w:hAnsi="Arial" w:cs="Arial"/>
        </w:rPr>
        <w:t xml:space="preserve">. The rate of patients having at least one </w:t>
      </w:r>
      <w:r w:rsidR="006417E9" w:rsidRPr="002825DE">
        <w:rPr>
          <w:rFonts w:ascii="Arial" w:hAnsi="Arial" w:cs="Arial"/>
        </w:rPr>
        <w:t xml:space="preserve">adverse event </w:t>
      </w:r>
      <w:r w:rsidR="004324AA" w:rsidRPr="002825DE">
        <w:rPr>
          <w:rFonts w:ascii="Arial" w:hAnsi="Arial" w:cs="Arial"/>
        </w:rPr>
        <w:t>was similar in patients t</w:t>
      </w:r>
      <w:r w:rsidRPr="002825DE">
        <w:rPr>
          <w:rFonts w:ascii="Arial" w:hAnsi="Arial" w:cs="Arial"/>
        </w:rPr>
        <w:t>reated with PCC (157/</w:t>
      </w:r>
      <w:r w:rsidR="006417E9" w:rsidRPr="002825DE">
        <w:rPr>
          <w:rFonts w:ascii="Arial" w:hAnsi="Arial" w:cs="Arial"/>
        </w:rPr>
        <w:t xml:space="preserve">419 patients, 37.5%) </w:t>
      </w:r>
      <w:r w:rsidR="004324AA" w:rsidRPr="002825DE">
        <w:rPr>
          <w:rFonts w:ascii="Arial" w:hAnsi="Arial" w:cs="Arial"/>
        </w:rPr>
        <w:t>to</w:t>
      </w:r>
      <w:r w:rsidRPr="002825DE">
        <w:rPr>
          <w:rFonts w:ascii="Arial" w:hAnsi="Arial" w:cs="Arial"/>
        </w:rPr>
        <w:t xml:space="preserve"> those treated with FFP (179/</w:t>
      </w:r>
      <w:r w:rsidR="006417E9" w:rsidRPr="002825DE">
        <w:rPr>
          <w:rFonts w:ascii="Arial" w:hAnsi="Arial" w:cs="Arial"/>
        </w:rPr>
        <w:t>414 patients, 43.2%): OR = 0.78, 95% CI: 0.55-1.11, p = 0.17</w:t>
      </w:r>
      <w:r w:rsidRPr="002825DE">
        <w:rPr>
          <w:rFonts w:ascii="Arial" w:hAnsi="Arial" w:cs="Arial"/>
        </w:rPr>
        <w:t xml:space="preserve"> (</w:t>
      </w:r>
      <w:r w:rsidRPr="002825DE">
        <w:rPr>
          <w:rFonts w:ascii="Arial" w:hAnsi="Arial" w:cs="Arial"/>
          <w:b/>
        </w:rPr>
        <w:t xml:space="preserve">Supplementary </w:t>
      </w:r>
      <w:r w:rsidR="003A7530" w:rsidRPr="002825DE">
        <w:rPr>
          <w:rFonts w:ascii="Arial" w:hAnsi="Arial" w:cs="Arial"/>
          <w:b/>
        </w:rPr>
        <w:t xml:space="preserve">Fig </w:t>
      </w:r>
      <w:r w:rsidRPr="002825DE">
        <w:rPr>
          <w:rFonts w:ascii="Arial" w:hAnsi="Arial" w:cs="Arial"/>
          <w:b/>
        </w:rPr>
        <w:t>4</w:t>
      </w:r>
      <w:r w:rsidRPr="002825DE">
        <w:rPr>
          <w:rFonts w:ascii="Arial" w:hAnsi="Arial" w:cs="Arial"/>
        </w:rPr>
        <w:t>)</w:t>
      </w:r>
      <w:r w:rsidR="006417E9" w:rsidRPr="002825DE">
        <w:rPr>
          <w:rFonts w:ascii="Arial" w:hAnsi="Arial" w:cs="Arial"/>
        </w:rPr>
        <w:t>. There was no evidence of heterogeneity (I</w:t>
      </w:r>
      <w:r w:rsidR="006417E9" w:rsidRPr="002825DE">
        <w:rPr>
          <w:rFonts w:ascii="Arial" w:hAnsi="Arial" w:cs="Arial"/>
          <w:vertAlign w:val="superscript"/>
        </w:rPr>
        <w:t>2</w:t>
      </w:r>
      <w:r w:rsidR="006417E9" w:rsidRPr="002825DE">
        <w:rPr>
          <w:rFonts w:ascii="Arial" w:hAnsi="Arial" w:cs="Arial"/>
        </w:rPr>
        <w:t xml:space="preserve"> = 16%, p = 0.31) </w:t>
      </w:r>
      <w:r w:rsidRPr="002825DE">
        <w:rPr>
          <w:rFonts w:ascii="Arial" w:hAnsi="Arial" w:cs="Arial"/>
        </w:rPr>
        <w:t>or publication bias.</w:t>
      </w:r>
    </w:p>
    <w:p w14:paraId="4A5FC3B8" w14:textId="77777777" w:rsidR="00837A6D" w:rsidRPr="002825DE" w:rsidRDefault="00837A6D" w:rsidP="00980769">
      <w:pPr>
        <w:spacing w:after="0" w:line="480" w:lineRule="auto"/>
        <w:jc w:val="both"/>
        <w:rPr>
          <w:rFonts w:ascii="Arial" w:hAnsi="Arial" w:cs="Arial"/>
          <w:color w:val="FF0000"/>
        </w:rPr>
      </w:pPr>
    </w:p>
    <w:p w14:paraId="1AAF9ED8" w14:textId="3310C886" w:rsidR="006417E9" w:rsidRPr="002825DE" w:rsidRDefault="006417E9" w:rsidP="00980769">
      <w:pPr>
        <w:spacing w:after="0" w:line="480" w:lineRule="auto"/>
        <w:jc w:val="both"/>
        <w:rPr>
          <w:b/>
        </w:rPr>
      </w:pPr>
      <w:r w:rsidRPr="002825DE">
        <w:rPr>
          <w:rFonts w:ascii="Arial" w:hAnsi="Arial" w:cs="Arial"/>
          <w:b/>
        </w:rPr>
        <w:t>Treatment related adverse events</w:t>
      </w:r>
    </w:p>
    <w:p w14:paraId="2742A4F5" w14:textId="7F59081A" w:rsidR="000231CF" w:rsidRPr="002825DE" w:rsidRDefault="000B72E1" w:rsidP="00980769">
      <w:pPr>
        <w:spacing w:after="0" w:line="480" w:lineRule="auto"/>
        <w:jc w:val="both"/>
        <w:rPr>
          <w:rFonts w:ascii="Arial" w:hAnsi="Arial" w:cs="Arial"/>
        </w:rPr>
      </w:pPr>
      <w:r w:rsidRPr="002825DE">
        <w:rPr>
          <w:rFonts w:ascii="Arial" w:hAnsi="Arial" w:cs="Arial"/>
        </w:rPr>
        <w:t>Three</w:t>
      </w:r>
      <w:r w:rsidR="006417E9" w:rsidRPr="002825DE">
        <w:rPr>
          <w:rFonts w:ascii="Arial" w:hAnsi="Arial" w:cs="Arial"/>
        </w:rPr>
        <w:t xml:space="preserve"> studies</w:t>
      </w:r>
      <w:r w:rsidR="003D472F" w:rsidRPr="002825DE">
        <w:rPr>
          <w:rFonts w:ascii="Arial" w:hAnsi="Arial" w:cs="Arial"/>
        </w:rPr>
        <w:t xml:space="preserve"> </w:t>
      </w:r>
      <w:r w:rsidRPr="002825DE">
        <w:rPr>
          <w:rFonts w:ascii="Arial" w:hAnsi="Arial" w:cs="Arial"/>
        </w:rPr>
        <w:t xml:space="preserve">comprising 429 patients were analysed </w:t>
      </w:r>
      <w:r w:rsidR="003D472F" w:rsidRPr="002825DE">
        <w:rPr>
          <w:rFonts w:ascii="Arial" w:hAnsi="Arial" w:cs="Arial"/>
        </w:rPr>
        <w:fldChar w:fldCharType="begin"/>
      </w:r>
      <w:r w:rsidR="004313B4" w:rsidRPr="002825DE">
        <w:rPr>
          <w:rFonts w:ascii="Arial" w:hAnsi="Arial" w:cs="Arial"/>
        </w:rPr>
        <w:instrText>ADDIN RW.CITE{{4542 Frontera,JenniferA 2014; 4538 Goldstein,JoshuaN 2015; 4513 Sarode,R. 2013}}</w:instrText>
      </w:r>
      <w:r w:rsidR="003D472F" w:rsidRPr="002825DE">
        <w:rPr>
          <w:rFonts w:ascii="Arial" w:hAnsi="Arial" w:cs="Arial"/>
        </w:rPr>
        <w:fldChar w:fldCharType="separate"/>
      </w:r>
      <w:r w:rsidR="003960ED" w:rsidRPr="002825DE">
        <w:rPr>
          <w:rFonts w:ascii="Arial" w:hAnsi="Arial" w:cs="Arial"/>
        </w:rPr>
        <w:t>[1</w:t>
      </w:r>
      <w:r w:rsidR="007D043F" w:rsidRPr="002825DE">
        <w:rPr>
          <w:rFonts w:ascii="Arial" w:hAnsi="Arial" w:cs="Arial"/>
        </w:rPr>
        <w:t>5</w:t>
      </w:r>
      <w:r w:rsidR="003960ED" w:rsidRPr="002825DE">
        <w:rPr>
          <w:rFonts w:ascii="Arial" w:hAnsi="Arial" w:cs="Arial"/>
        </w:rPr>
        <w:t>,1</w:t>
      </w:r>
      <w:r w:rsidR="007D043F" w:rsidRPr="002825DE">
        <w:rPr>
          <w:rFonts w:ascii="Arial" w:hAnsi="Arial" w:cs="Arial"/>
        </w:rPr>
        <w:t>7</w:t>
      </w:r>
      <w:r w:rsidR="003960ED" w:rsidRPr="002825DE">
        <w:rPr>
          <w:rFonts w:ascii="Arial" w:hAnsi="Arial" w:cs="Arial"/>
        </w:rPr>
        <w:t>,</w:t>
      </w:r>
      <w:r w:rsidR="007D043F" w:rsidRPr="002825DE">
        <w:rPr>
          <w:rFonts w:ascii="Arial" w:hAnsi="Arial" w:cs="Arial"/>
        </w:rPr>
        <w:t>20</w:t>
      </w:r>
      <w:r w:rsidR="003960ED" w:rsidRPr="002825DE">
        <w:rPr>
          <w:rFonts w:ascii="Arial" w:hAnsi="Arial" w:cs="Arial"/>
        </w:rPr>
        <w:t>]</w:t>
      </w:r>
      <w:r w:rsidR="003D472F" w:rsidRPr="002825DE">
        <w:rPr>
          <w:rFonts w:ascii="Arial" w:hAnsi="Arial" w:cs="Arial"/>
        </w:rPr>
        <w:fldChar w:fldCharType="end"/>
      </w:r>
      <w:r w:rsidR="006417E9" w:rsidRPr="002825DE">
        <w:rPr>
          <w:rFonts w:ascii="Arial" w:hAnsi="Arial" w:cs="Arial"/>
        </w:rPr>
        <w:t xml:space="preserve">. The rate of patients having at least one treatment related adverse event as determined by </w:t>
      </w:r>
      <w:r w:rsidR="006417E9" w:rsidRPr="002825DE">
        <w:rPr>
          <w:rFonts w:ascii="Arial" w:hAnsi="Arial" w:cs="Arial"/>
        </w:rPr>
        <w:lastRenderedPageBreak/>
        <w:t>the study practitioners was significantly less i</w:t>
      </w:r>
      <w:r w:rsidRPr="002825DE">
        <w:rPr>
          <w:rFonts w:ascii="Arial" w:hAnsi="Arial" w:cs="Arial"/>
        </w:rPr>
        <w:t>n patients treated with PCC (21/</w:t>
      </w:r>
      <w:r w:rsidR="006417E9" w:rsidRPr="002825DE">
        <w:rPr>
          <w:rFonts w:ascii="Arial" w:hAnsi="Arial" w:cs="Arial"/>
        </w:rPr>
        <w:t xml:space="preserve">207 patients, 10.1%) than patients treated </w:t>
      </w:r>
      <w:r w:rsidRPr="002825DE">
        <w:rPr>
          <w:rFonts w:ascii="Arial" w:hAnsi="Arial" w:cs="Arial"/>
        </w:rPr>
        <w:t>with FFP (45/</w:t>
      </w:r>
      <w:r w:rsidR="006417E9" w:rsidRPr="002825DE">
        <w:rPr>
          <w:rFonts w:ascii="Arial" w:hAnsi="Arial" w:cs="Arial"/>
        </w:rPr>
        <w:t>222 patients, 20.3%): OR = 0.45, 95% CI: 0.26-0.80, p = 0.006</w:t>
      </w:r>
      <w:r w:rsidRPr="002825DE">
        <w:rPr>
          <w:rFonts w:ascii="Arial" w:hAnsi="Arial" w:cs="Arial"/>
        </w:rPr>
        <w:t xml:space="preserve"> (</w:t>
      </w:r>
      <w:r w:rsidRPr="002825DE">
        <w:rPr>
          <w:rFonts w:ascii="Arial" w:hAnsi="Arial" w:cs="Arial"/>
          <w:b/>
        </w:rPr>
        <w:t>Figure 4</w:t>
      </w:r>
      <w:r w:rsidRPr="002825DE">
        <w:rPr>
          <w:rFonts w:ascii="Arial" w:hAnsi="Arial" w:cs="Arial"/>
        </w:rPr>
        <w:t>)</w:t>
      </w:r>
      <w:r w:rsidR="006417E9" w:rsidRPr="002825DE">
        <w:rPr>
          <w:rFonts w:ascii="Arial" w:hAnsi="Arial" w:cs="Arial"/>
        </w:rPr>
        <w:t xml:space="preserve">. </w:t>
      </w:r>
      <w:r w:rsidR="0040596F" w:rsidRPr="002825DE">
        <w:rPr>
          <w:rFonts w:ascii="Arial" w:hAnsi="Arial" w:cs="Arial"/>
        </w:rPr>
        <w:t>No</w:t>
      </w:r>
      <w:r w:rsidR="006417E9" w:rsidRPr="002825DE">
        <w:rPr>
          <w:rFonts w:ascii="Arial" w:hAnsi="Arial" w:cs="Arial"/>
        </w:rPr>
        <w:t xml:space="preserve"> evidence of inter-study heterogeneity (I</w:t>
      </w:r>
      <w:r w:rsidR="006417E9" w:rsidRPr="002825DE">
        <w:rPr>
          <w:rFonts w:ascii="Arial" w:hAnsi="Arial" w:cs="Arial"/>
          <w:vertAlign w:val="superscript"/>
        </w:rPr>
        <w:t>2</w:t>
      </w:r>
      <w:r w:rsidR="006417E9" w:rsidRPr="002825DE">
        <w:rPr>
          <w:rFonts w:ascii="Arial" w:hAnsi="Arial" w:cs="Arial"/>
        </w:rPr>
        <w:t xml:space="preserve"> = 0%, p = 0.89)</w:t>
      </w:r>
      <w:r w:rsidRPr="002825DE">
        <w:rPr>
          <w:rFonts w:ascii="Arial" w:hAnsi="Arial" w:cs="Arial"/>
        </w:rPr>
        <w:t xml:space="preserve"> or publication bias</w:t>
      </w:r>
      <w:r w:rsidR="0040596F" w:rsidRPr="002825DE">
        <w:rPr>
          <w:rFonts w:ascii="Arial" w:hAnsi="Arial" w:cs="Arial"/>
        </w:rPr>
        <w:t xml:space="preserve"> was obse</w:t>
      </w:r>
      <w:r w:rsidR="00202365" w:rsidRPr="002825DE">
        <w:rPr>
          <w:rFonts w:ascii="Arial" w:hAnsi="Arial" w:cs="Arial"/>
        </w:rPr>
        <w:t>r</w:t>
      </w:r>
      <w:r w:rsidR="0040596F" w:rsidRPr="002825DE">
        <w:rPr>
          <w:rFonts w:ascii="Arial" w:hAnsi="Arial" w:cs="Arial"/>
        </w:rPr>
        <w:t>ved</w:t>
      </w:r>
      <w:r w:rsidR="006417E9" w:rsidRPr="002825DE">
        <w:rPr>
          <w:rFonts w:ascii="Arial" w:hAnsi="Arial" w:cs="Arial"/>
        </w:rPr>
        <w:t xml:space="preserve">. </w:t>
      </w:r>
    </w:p>
    <w:p w14:paraId="4479CCD8" w14:textId="77777777" w:rsidR="00837A6D" w:rsidRPr="002825DE" w:rsidRDefault="00837A6D" w:rsidP="00980769">
      <w:pPr>
        <w:spacing w:after="0" w:line="480" w:lineRule="auto"/>
        <w:jc w:val="both"/>
        <w:rPr>
          <w:rFonts w:ascii="Arial" w:hAnsi="Arial" w:cs="Arial"/>
          <w:color w:val="FF0000"/>
        </w:rPr>
      </w:pPr>
    </w:p>
    <w:p w14:paraId="04697854" w14:textId="03F7512D" w:rsidR="00E3163C" w:rsidRPr="002825DE" w:rsidRDefault="00531DDA" w:rsidP="00980769">
      <w:pPr>
        <w:spacing w:after="0" w:line="480" w:lineRule="auto"/>
        <w:jc w:val="both"/>
        <w:rPr>
          <w:rFonts w:ascii="Arial" w:hAnsi="Arial" w:cs="Arial"/>
        </w:rPr>
      </w:pPr>
      <w:r w:rsidRPr="002825DE">
        <w:rPr>
          <w:rFonts w:ascii="Arial" w:hAnsi="Arial" w:cs="Arial"/>
          <w:b/>
        </w:rPr>
        <w:t>F</w:t>
      </w:r>
      <w:r w:rsidR="00E3163C" w:rsidRPr="002825DE">
        <w:rPr>
          <w:rFonts w:ascii="Arial" w:hAnsi="Arial" w:cs="Arial"/>
          <w:b/>
        </w:rPr>
        <w:t>luid overload events</w:t>
      </w:r>
    </w:p>
    <w:p w14:paraId="7DB24C5F" w14:textId="293FC76A" w:rsidR="00005A16" w:rsidRPr="002825DE" w:rsidRDefault="00531DDA" w:rsidP="00980769">
      <w:pPr>
        <w:spacing w:after="0" w:line="480" w:lineRule="auto"/>
        <w:jc w:val="both"/>
        <w:rPr>
          <w:rFonts w:ascii="Arial" w:hAnsi="Arial" w:cs="Arial"/>
        </w:rPr>
      </w:pPr>
      <w:r w:rsidRPr="002825DE">
        <w:rPr>
          <w:rFonts w:ascii="Arial" w:hAnsi="Arial" w:cs="Arial"/>
        </w:rPr>
        <w:t>There were five</w:t>
      </w:r>
      <w:r w:rsidR="00A0254B" w:rsidRPr="002825DE">
        <w:rPr>
          <w:rFonts w:ascii="Arial" w:hAnsi="Arial" w:cs="Arial"/>
        </w:rPr>
        <w:t xml:space="preserve"> studies</w:t>
      </w:r>
      <w:r w:rsidR="003D472F" w:rsidRPr="002825DE">
        <w:rPr>
          <w:rFonts w:ascii="Arial" w:hAnsi="Arial" w:cs="Arial"/>
        </w:rPr>
        <w:t xml:space="preserve"> </w:t>
      </w:r>
      <w:r w:rsidRPr="002825DE">
        <w:rPr>
          <w:rFonts w:ascii="Arial" w:hAnsi="Arial" w:cs="Arial"/>
        </w:rPr>
        <w:t xml:space="preserve">comprising 806 patients included </w:t>
      </w:r>
      <w:r w:rsidR="003D472F" w:rsidRPr="002825DE">
        <w:rPr>
          <w:rFonts w:ascii="Arial" w:hAnsi="Arial" w:cs="Arial"/>
        </w:rPr>
        <w:fldChar w:fldCharType="begin"/>
      </w:r>
      <w:r w:rsidR="004313B4" w:rsidRPr="002825DE">
        <w:rPr>
          <w:rFonts w:ascii="Arial" w:hAnsi="Arial" w:cs="Arial"/>
        </w:rPr>
        <w:instrText>ADDIN RW.CITE{{4538 Goldstein,JoshuaN 2015; 4543 Hickey,M. 2013; 4542 Frontera,JenniferA 2014; 4513 Sarode,R. 2013; 4562 Agarwal,Prateek 2017}}</w:instrText>
      </w:r>
      <w:r w:rsidR="003D472F" w:rsidRPr="002825DE">
        <w:rPr>
          <w:rFonts w:ascii="Arial" w:hAnsi="Arial" w:cs="Arial"/>
        </w:rPr>
        <w:fldChar w:fldCharType="separate"/>
      </w:r>
      <w:r w:rsidR="003960ED" w:rsidRPr="002825DE">
        <w:rPr>
          <w:rFonts w:ascii="Arial" w:hAnsi="Arial" w:cs="Arial"/>
        </w:rPr>
        <w:t>[1</w:t>
      </w:r>
      <w:r w:rsidR="007D043F" w:rsidRPr="002825DE">
        <w:rPr>
          <w:rFonts w:ascii="Arial" w:hAnsi="Arial" w:cs="Arial"/>
        </w:rPr>
        <w:t>5</w:t>
      </w:r>
      <w:r w:rsidR="003960ED" w:rsidRPr="002825DE">
        <w:rPr>
          <w:rFonts w:ascii="Arial" w:hAnsi="Arial" w:cs="Arial"/>
        </w:rPr>
        <w:t>,1</w:t>
      </w:r>
      <w:r w:rsidR="007D043F" w:rsidRPr="002825DE">
        <w:rPr>
          <w:rFonts w:ascii="Arial" w:hAnsi="Arial" w:cs="Arial"/>
        </w:rPr>
        <w:t>7</w:t>
      </w:r>
      <w:r w:rsidR="003960ED" w:rsidRPr="002825DE">
        <w:rPr>
          <w:rFonts w:ascii="Arial" w:hAnsi="Arial" w:cs="Arial"/>
        </w:rPr>
        <w:t>,1</w:t>
      </w:r>
      <w:r w:rsidR="007D043F" w:rsidRPr="002825DE">
        <w:rPr>
          <w:rFonts w:ascii="Arial" w:hAnsi="Arial" w:cs="Arial"/>
        </w:rPr>
        <w:t>8</w:t>
      </w:r>
      <w:r w:rsidR="003960ED" w:rsidRPr="002825DE">
        <w:rPr>
          <w:rFonts w:ascii="Arial" w:hAnsi="Arial" w:cs="Arial"/>
        </w:rPr>
        <w:t>,</w:t>
      </w:r>
      <w:r w:rsidR="007D043F" w:rsidRPr="002825DE">
        <w:rPr>
          <w:rFonts w:ascii="Arial" w:hAnsi="Arial" w:cs="Arial"/>
        </w:rPr>
        <w:t>20</w:t>
      </w:r>
      <w:r w:rsidR="003960ED" w:rsidRPr="002825DE">
        <w:rPr>
          <w:rFonts w:ascii="Arial" w:hAnsi="Arial" w:cs="Arial"/>
        </w:rPr>
        <w:t>,2</w:t>
      </w:r>
      <w:r w:rsidR="007D043F" w:rsidRPr="002825DE">
        <w:rPr>
          <w:rFonts w:ascii="Arial" w:hAnsi="Arial" w:cs="Arial"/>
        </w:rPr>
        <w:t>9</w:t>
      </w:r>
      <w:r w:rsidR="003960ED" w:rsidRPr="002825DE">
        <w:rPr>
          <w:rFonts w:ascii="Arial" w:hAnsi="Arial" w:cs="Arial"/>
        </w:rPr>
        <w:t>]</w:t>
      </w:r>
      <w:r w:rsidR="003D472F" w:rsidRPr="002825DE">
        <w:rPr>
          <w:rFonts w:ascii="Arial" w:hAnsi="Arial" w:cs="Arial"/>
        </w:rPr>
        <w:fldChar w:fldCharType="end"/>
      </w:r>
      <w:r w:rsidR="00A0254B" w:rsidRPr="002825DE">
        <w:rPr>
          <w:rFonts w:ascii="Arial" w:hAnsi="Arial" w:cs="Arial"/>
        </w:rPr>
        <w:t xml:space="preserve">. The rate of patients </w:t>
      </w:r>
      <w:r w:rsidR="009E6A67" w:rsidRPr="002825DE">
        <w:rPr>
          <w:rFonts w:ascii="Arial" w:hAnsi="Arial" w:cs="Arial"/>
        </w:rPr>
        <w:t>having</w:t>
      </w:r>
      <w:r w:rsidR="00A0254B" w:rsidRPr="002825DE">
        <w:rPr>
          <w:rFonts w:ascii="Arial" w:hAnsi="Arial" w:cs="Arial"/>
        </w:rPr>
        <w:t xml:space="preserve"> at least one fluid overload </w:t>
      </w:r>
      <w:r w:rsidR="009E6A67" w:rsidRPr="002825DE">
        <w:rPr>
          <w:rFonts w:ascii="Arial" w:hAnsi="Arial" w:cs="Arial"/>
        </w:rPr>
        <w:t xml:space="preserve">event </w:t>
      </w:r>
      <w:r w:rsidR="002C2E89" w:rsidRPr="002825DE">
        <w:rPr>
          <w:rFonts w:ascii="Arial" w:hAnsi="Arial" w:cs="Arial"/>
        </w:rPr>
        <w:t>in patients treated with PCC (1</w:t>
      </w:r>
      <w:r w:rsidR="00B16444" w:rsidRPr="002825DE">
        <w:rPr>
          <w:rFonts w:ascii="Arial" w:hAnsi="Arial" w:cs="Arial"/>
        </w:rPr>
        <w:t>3</w:t>
      </w:r>
      <w:r w:rsidRPr="002825DE">
        <w:rPr>
          <w:rFonts w:ascii="Arial" w:hAnsi="Arial" w:cs="Arial"/>
        </w:rPr>
        <w:t>/</w:t>
      </w:r>
      <w:r w:rsidR="00B16444" w:rsidRPr="002825DE">
        <w:rPr>
          <w:rFonts w:ascii="Arial" w:hAnsi="Arial" w:cs="Arial"/>
        </w:rPr>
        <w:t>400</w:t>
      </w:r>
      <w:r w:rsidR="002C2E89" w:rsidRPr="002825DE">
        <w:rPr>
          <w:rFonts w:ascii="Arial" w:hAnsi="Arial" w:cs="Arial"/>
        </w:rPr>
        <w:t xml:space="preserve"> patients, </w:t>
      </w:r>
      <w:r w:rsidR="00B16444" w:rsidRPr="002825DE">
        <w:rPr>
          <w:rFonts w:ascii="Arial" w:hAnsi="Arial" w:cs="Arial"/>
        </w:rPr>
        <w:t>3.25</w:t>
      </w:r>
      <w:r w:rsidR="002C2E89" w:rsidRPr="002825DE">
        <w:rPr>
          <w:rFonts w:ascii="Arial" w:hAnsi="Arial" w:cs="Arial"/>
        </w:rPr>
        <w:t xml:space="preserve">%) </w:t>
      </w:r>
      <w:r w:rsidR="009E6A67" w:rsidRPr="002825DE">
        <w:rPr>
          <w:rFonts w:ascii="Arial" w:hAnsi="Arial" w:cs="Arial"/>
        </w:rPr>
        <w:t>was not significantly different to that in</w:t>
      </w:r>
      <w:r w:rsidR="002C2E89" w:rsidRPr="002825DE">
        <w:rPr>
          <w:rFonts w:ascii="Arial" w:hAnsi="Arial" w:cs="Arial"/>
        </w:rPr>
        <w:t xml:space="preserve"> patients treated with FFP (3</w:t>
      </w:r>
      <w:r w:rsidR="00B16444" w:rsidRPr="002825DE">
        <w:rPr>
          <w:rFonts w:ascii="Arial" w:hAnsi="Arial" w:cs="Arial"/>
        </w:rPr>
        <w:t>4</w:t>
      </w:r>
      <w:r w:rsidRPr="002825DE">
        <w:rPr>
          <w:rFonts w:ascii="Arial" w:hAnsi="Arial" w:cs="Arial"/>
        </w:rPr>
        <w:t>/</w:t>
      </w:r>
      <w:r w:rsidR="00B16444" w:rsidRPr="002825DE">
        <w:rPr>
          <w:rFonts w:ascii="Arial" w:hAnsi="Arial" w:cs="Arial"/>
        </w:rPr>
        <w:t>406</w:t>
      </w:r>
      <w:r w:rsidR="002C2E89" w:rsidRPr="002825DE">
        <w:rPr>
          <w:rFonts w:ascii="Arial" w:hAnsi="Arial" w:cs="Arial"/>
        </w:rPr>
        <w:t xml:space="preserve"> patients, 8.</w:t>
      </w:r>
      <w:r w:rsidR="00B16444" w:rsidRPr="002825DE">
        <w:rPr>
          <w:rFonts w:ascii="Arial" w:hAnsi="Arial" w:cs="Arial"/>
        </w:rPr>
        <w:t>37</w:t>
      </w:r>
      <w:r w:rsidR="002C2E89" w:rsidRPr="002825DE">
        <w:rPr>
          <w:rFonts w:ascii="Arial" w:hAnsi="Arial" w:cs="Arial"/>
        </w:rPr>
        <w:t>%): OR = 0.</w:t>
      </w:r>
      <w:r w:rsidR="00B16444" w:rsidRPr="002825DE">
        <w:rPr>
          <w:rFonts w:ascii="Arial" w:hAnsi="Arial" w:cs="Arial"/>
        </w:rPr>
        <w:t>45</w:t>
      </w:r>
      <w:r w:rsidR="002C2E89" w:rsidRPr="002825DE">
        <w:rPr>
          <w:rFonts w:ascii="Arial" w:hAnsi="Arial" w:cs="Arial"/>
        </w:rPr>
        <w:t>, 95% C</w:t>
      </w:r>
      <w:r w:rsidR="00B16444" w:rsidRPr="002825DE">
        <w:rPr>
          <w:rFonts w:ascii="Arial" w:hAnsi="Arial" w:cs="Arial"/>
        </w:rPr>
        <w:t>I =</w:t>
      </w:r>
      <w:r w:rsidR="002C2E89" w:rsidRPr="002825DE">
        <w:rPr>
          <w:rFonts w:ascii="Arial" w:hAnsi="Arial" w:cs="Arial"/>
        </w:rPr>
        <w:t xml:space="preserve"> 0.</w:t>
      </w:r>
      <w:r w:rsidR="00B16444" w:rsidRPr="002825DE">
        <w:rPr>
          <w:rFonts w:ascii="Arial" w:hAnsi="Arial" w:cs="Arial"/>
        </w:rPr>
        <w:t>20</w:t>
      </w:r>
      <w:r w:rsidR="002C2E89" w:rsidRPr="002825DE">
        <w:rPr>
          <w:rFonts w:ascii="Arial" w:hAnsi="Arial" w:cs="Arial"/>
        </w:rPr>
        <w:t>-</w:t>
      </w:r>
      <w:r w:rsidR="00B16444" w:rsidRPr="002825DE">
        <w:rPr>
          <w:rFonts w:ascii="Arial" w:hAnsi="Arial" w:cs="Arial"/>
        </w:rPr>
        <w:t>1.03</w:t>
      </w:r>
      <w:r w:rsidR="002C2E89" w:rsidRPr="002825DE">
        <w:rPr>
          <w:rFonts w:ascii="Arial" w:hAnsi="Arial" w:cs="Arial"/>
        </w:rPr>
        <w:t>, p = 0.0</w:t>
      </w:r>
      <w:r w:rsidR="00B16444" w:rsidRPr="002825DE">
        <w:rPr>
          <w:rFonts w:ascii="Arial" w:hAnsi="Arial" w:cs="Arial"/>
        </w:rPr>
        <w:t>6</w:t>
      </w:r>
      <w:r w:rsidRPr="002825DE">
        <w:rPr>
          <w:rFonts w:ascii="Arial" w:hAnsi="Arial" w:cs="Arial"/>
        </w:rPr>
        <w:t xml:space="preserve"> (</w:t>
      </w:r>
      <w:r w:rsidR="00C81F1E" w:rsidRPr="002825DE">
        <w:rPr>
          <w:rFonts w:ascii="Arial" w:hAnsi="Arial" w:cs="Arial"/>
          <w:b/>
        </w:rPr>
        <w:t xml:space="preserve">Supplementary </w:t>
      </w:r>
      <w:r w:rsidR="003A7530" w:rsidRPr="002825DE">
        <w:rPr>
          <w:rFonts w:ascii="Arial" w:hAnsi="Arial" w:cs="Arial"/>
          <w:b/>
        </w:rPr>
        <w:t xml:space="preserve">Fig </w:t>
      </w:r>
      <w:r w:rsidR="00C81F1E" w:rsidRPr="002825DE">
        <w:rPr>
          <w:rFonts w:ascii="Arial" w:hAnsi="Arial" w:cs="Arial"/>
          <w:b/>
        </w:rPr>
        <w:t>5</w:t>
      </w:r>
      <w:r w:rsidRPr="002825DE">
        <w:rPr>
          <w:rFonts w:ascii="Arial" w:hAnsi="Arial" w:cs="Arial"/>
        </w:rPr>
        <w:t>)</w:t>
      </w:r>
      <w:r w:rsidR="002C2E89" w:rsidRPr="002825DE">
        <w:rPr>
          <w:rFonts w:ascii="Arial" w:hAnsi="Arial" w:cs="Arial"/>
        </w:rPr>
        <w:t>. There was no evidence of inter-study heterogeneity (I</w:t>
      </w:r>
      <w:r w:rsidR="002C2E89" w:rsidRPr="002825DE">
        <w:rPr>
          <w:rFonts w:ascii="Arial" w:hAnsi="Arial" w:cs="Arial"/>
          <w:vertAlign w:val="superscript"/>
        </w:rPr>
        <w:t>2</w:t>
      </w:r>
      <w:r w:rsidR="002C2E89" w:rsidRPr="002825DE">
        <w:rPr>
          <w:rFonts w:ascii="Arial" w:hAnsi="Arial" w:cs="Arial"/>
        </w:rPr>
        <w:t xml:space="preserve"> = </w:t>
      </w:r>
      <w:r w:rsidR="00B16444" w:rsidRPr="002825DE">
        <w:rPr>
          <w:rFonts w:ascii="Arial" w:hAnsi="Arial" w:cs="Arial"/>
        </w:rPr>
        <w:t>24</w:t>
      </w:r>
      <w:r w:rsidR="002C2E89" w:rsidRPr="002825DE">
        <w:rPr>
          <w:rFonts w:ascii="Arial" w:hAnsi="Arial" w:cs="Arial"/>
        </w:rPr>
        <w:t>%, p = 0.</w:t>
      </w:r>
      <w:r w:rsidR="00B16444" w:rsidRPr="002825DE">
        <w:rPr>
          <w:rFonts w:ascii="Arial" w:hAnsi="Arial" w:cs="Arial"/>
        </w:rPr>
        <w:t>26</w:t>
      </w:r>
      <w:r w:rsidR="002C2E89" w:rsidRPr="002825DE">
        <w:rPr>
          <w:rFonts w:ascii="Arial" w:hAnsi="Arial" w:cs="Arial"/>
        </w:rPr>
        <w:t>)</w:t>
      </w:r>
      <w:r w:rsidRPr="002825DE">
        <w:rPr>
          <w:rFonts w:ascii="Arial" w:hAnsi="Arial" w:cs="Arial"/>
        </w:rPr>
        <w:t xml:space="preserve"> or publication bias</w:t>
      </w:r>
      <w:r w:rsidR="002C2E89" w:rsidRPr="002825DE">
        <w:rPr>
          <w:rFonts w:ascii="Arial" w:hAnsi="Arial" w:cs="Arial"/>
        </w:rPr>
        <w:t>.</w:t>
      </w:r>
      <w:r w:rsidR="004D3F0C" w:rsidRPr="002825DE">
        <w:rPr>
          <w:rFonts w:ascii="Arial" w:hAnsi="Arial" w:cs="Arial"/>
        </w:rPr>
        <w:t xml:space="preserve"> </w:t>
      </w:r>
    </w:p>
    <w:p w14:paraId="614B8569" w14:textId="77777777" w:rsidR="00203240" w:rsidRPr="002825DE" w:rsidRDefault="00203240" w:rsidP="00980769">
      <w:pPr>
        <w:spacing w:after="0" w:line="480" w:lineRule="auto"/>
        <w:jc w:val="both"/>
        <w:rPr>
          <w:rFonts w:ascii="Arial" w:hAnsi="Arial" w:cs="Arial"/>
          <w:color w:val="FF0000"/>
        </w:rPr>
      </w:pPr>
    </w:p>
    <w:p w14:paraId="35CAD41F" w14:textId="20688F12" w:rsidR="000231CF" w:rsidRPr="002825DE" w:rsidRDefault="00A50C20" w:rsidP="00980769">
      <w:pPr>
        <w:spacing w:after="0" w:line="480" w:lineRule="auto"/>
        <w:jc w:val="both"/>
        <w:rPr>
          <w:rFonts w:ascii="Arial" w:hAnsi="Arial" w:cs="Arial"/>
          <w:b/>
        </w:rPr>
      </w:pPr>
      <w:r w:rsidRPr="002825DE">
        <w:rPr>
          <w:rFonts w:ascii="Arial" w:hAnsi="Arial" w:cs="Arial"/>
          <w:b/>
        </w:rPr>
        <w:t xml:space="preserve">Subgroup analysis: </w:t>
      </w:r>
      <w:r w:rsidR="00D11595" w:rsidRPr="002825DE">
        <w:rPr>
          <w:rFonts w:ascii="Arial" w:hAnsi="Arial" w:cs="Arial"/>
          <w:b/>
        </w:rPr>
        <w:t>90</w:t>
      </w:r>
      <w:r w:rsidR="002E5972" w:rsidRPr="002825DE">
        <w:rPr>
          <w:rFonts w:ascii="Arial" w:hAnsi="Arial" w:cs="Arial"/>
          <w:b/>
        </w:rPr>
        <w:t>day a</w:t>
      </w:r>
      <w:r w:rsidR="00CD4628" w:rsidRPr="002825DE">
        <w:rPr>
          <w:rFonts w:ascii="Arial" w:hAnsi="Arial" w:cs="Arial"/>
          <w:b/>
        </w:rPr>
        <w:t xml:space="preserve">ll-cause mortality in </w:t>
      </w:r>
      <w:r w:rsidRPr="002825DE">
        <w:rPr>
          <w:rFonts w:ascii="Arial" w:hAnsi="Arial" w:cs="Arial"/>
          <w:b/>
        </w:rPr>
        <w:t xml:space="preserve">patients with </w:t>
      </w:r>
      <w:r w:rsidR="00CD4628" w:rsidRPr="002825DE">
        <w:rPr>
          <w:rFonts w:ascii="Arial" w:hAnsi="Arial" w:cs="Arial"/>
          <w:b/>
        </w:rPr>
        <w:t>VKA-associated ICH</w:t>
      </w:r>
    </w:p>
    <w:p w14:paraId="7DFCBAAE" w14:textId="5D5D8032" w:rsidR="000231CF" w:rsidRPr="002825DE" w:rsidRDefault="00D11595" w:rsidP="00980769">
      <w:pPr>
        <w:spacing w:after="0" w:line="480" w:lineRule="auto"/>
        <w:jc w:val="both"/>
      </w:pPr>
      <w:r w:rsidRPr="002825DE">
        <w:rPr>
          <w:rFonts w:ascii="Arial" w:hAnsi="Arial" w:cs="Arial"/>
        </w:rPr>
        <w:t>Five</w:t>
      </w:r>
      <w:r w:rsidR="00CD4628" w:rsidRPr="002825DE">
        <w:rPr>
          <w:rFonts w:ascii="Arial" w:hAnsi="Arial" w:cs="Arial"/>
        </w:rPr>
        <w:t xml:space="preserve"> studies comprising 1226 patients were analysed </w:t>
      </w:r>
      <w:r w:rsidR="00CD4628" w:rsidRPr="002825DE">
        <w:fldChar w:fldCharType="begin"/>
      </w:r>
      <w:r w:rsidR="004313B4" w:rsidRPr="002825DE">
        <w:rPr>
          <w:rFonts w:hint="eastAsia"/>
        </w:rPr>
        <w:instrText>ADDIN RW.CITE{{4542 Frontera,JenniferA 2014; 4545 Majeed,A. 2014; 4547 Parry</w:instrText>
      </w:r>
      <w:r w:rsidR="004313B4" w:rsidRPr="002825DE">
        <w:rPr>
          <w:rFonts w:hint="eastAsia"/>
        </w:rPr>
        <w:instrText>‐</w:instrText>
      </w:r>
      <w:r w:rsidR="004313B4" w:rsidRPr="002825DE">
        <w:rPr>
          <w:rFonts w:hint="eastAsia"/>
        </w:rPr>
        <w:instrText>Jones,AdrianR 2015; 4539 Steiner,Thorsten 2016; 4549 Takahashi,Ayako 2010}}</w:instrText>
      </w:r>
      <w:r w:rsidR="00CD4628" w:rsidRPr="002825DE">
        <w:fldChar w:fldCharType="separate"/>
      </w:r>
      <w:bookmarkStart w:id="54" w:name="__Fieldmark__452_2453490188"/>
      <w:bookmarkStart w:id="55" w:name="__Fieldmark__3728_2106776864"/>
      <w:bookmarkStart w:id="56" w:name="__Fieldmark__2117_2106776864"/>
      <w:bookmarkStart w:id="57" w:name="__Fieldmark__455_2106776864"/>
      <w:bookmarkStart w:id="58" w:name="__Fieldmark__420_1242759569"/>
      <w:bookmarkStart w:id="59" w:name="__Fieldmark__427_4243418973"/>
      <w:bookmarkStart w:id="60" w:name="__Fieldmark__428_2557495909"/>
      <w:r w:rsidR="003960ED" w:rsidRPr="002825DE">
        <w:rPr>
          <w:rFonts w:ascii="Arial" w:hAnsi="Arial" w:cs="Arial"/>
        </w:rPr>
        <w:t>[1</w:t>
      </w:r>
      <w:r w:rsidR="007D043F" w:rsidRPr="002825DE">
        <w:rPr>
          <w:rFonts w:ascii="Arial" w:hAnsi="Arial" w:cs="Arial"/>
        </w:rPr>
        <w:t>4</w:t>
      </w:r>
      <w:r w:rsidR="003960ED" w:rsidRPr="002825DE">
        <w:rPr>
          <w:rFonts w:ascii="Arial" w:hAnsi="Arial" w:cs="Arial"/>
        </w:rPr>
        <w:t>,1</w:t>
      </w:r>
      <w:r w:rsidR="007D043F" w:rsidRPr="002825DE">
        <w:rPr>
          <w:rFonts w:ascii="Arial" w:hAnsi="Arial" w:cs="Arial"/>
        </w:rPr>
        <w:t>6</w:t>
      </w:r>
      <w:r w:rsidR="003960ED" w:rsidRPr="002825DE">
        <w:rPr>
          <w:rFonts w:ascii="Arial" w:hAnsi="Arial" w:cs="Arial"/>
        </w:rPr>
        <w:t>,1</w:t>
      </w:r>
      <w:r w:rsidR="007D043F" w:rsidRPr="002825DE">
        <w:rPr>
          <w:rFonts w:ascii="Arial" w:hAnsi="Arial" w:cs="Arial"/>
        </w:rPr>
        <w:t>7</w:t>
      </w:r>
      <w:r w:rsidR="003960ED" w:rsidRPr="002825DE">
        <w:rPr>
          <w:rFonts w:ascii="Arial" w:hAnsi="Arial" w:cs="Arial"/>
        </w:rPr>
        <w:t>,1</w:t>
      </w:r>
      <w:r w:rsidR="007D043F" w:rsidRPr="002825DE">
        <w:rPr>
          <w:rFonts w:ascii="Arial" w:hAnsi="Arial" w:cs="Arial"/>
        </w:rPr>
        <w:t>9</w:t>
      </w:r>
      <w:r w:rsidR="003960ED" w:rsidRPr="002825DE">
        <w:rPr>
          <w:rFonts w:ascii="Arial" w:hAnsi="Arial" w:cs="Arial"/>
        </w:rPr>
        <w:t>,2</w:t>
      </w:r>
      <w:r w:rsidR="007D043F" w:rsidRPr="002825DE">
        <w:rPr>
          <w:rFonts w:ascii="Arial" w:hAnsi="Arial" w:cs="Arial"/>
        </w:rPr>
        <w:t>1</w:t>
      </w:r>
      <w:r w:rsidR="003960ED" w:rsidRPr="002825DE">
        <w:rPr>
          <w:rFonts w:ascii="Arial" w:hAnsi="Arial" w:cs="Arial"/>
        </w:rPr>
        <w:t>]</w:t>
      </w:r>
      <w:r w:rsidR="00CD4628" w:rsidRPr="002825DE">
        <w:fldChar w:fldCharType="end"/>
      </w:r>
      <w:bookmarkEnd w:id="54"/>
      <w:bookmarkEnd w:id="55"/>
      <w:bookmarkEnd w:id="56"/>
      <w:bookmarkEnd w:id="57"/>
      <w:bookmarkEnd w:id="58"/>
      <w:bookmarkEnd w:id="59"/>
      <w:bookmarkEnd w:id="60"/>
      <w:r w:rsidR="00CD4628" w:rsidRPr="002825DE">
        <w:rPr>
          <w:rFonts w:ascii="Arial" w:hAnsi="Arial" w:cs="Arial"/>
        </w:rPr>
        <w:t xml:space="preserve">. </w:t>
      </w:r>
      <w:r w:rsidRPr="002825DE">
        <w:rPr>
          <w:rFonts w:ascii="Arial" w:hAnsi="Arial" w:cs="Arial"/>
        </w:rPr>
        <w:t>Two</w:t>
      </w:r>
      <w:r w:rsidR="00CD4628" w:rsidRPr="002825DE">
        <w:rPr>
          <w:rFonts w:ascii="Arial" w:hAnsi="Arial" w:cs="Arial"/>
        </w:rPr>
        <w:t xml:space="preserve"> studies were prospective and </w:t>
      </w:r>
      <w:r w:rsidRPr="002825DE">
        <w:rPr>
          <w:rFonts w:ascii="Arial" w:hAnsi="Arial" w:cs="Arial"/>
        </w:rPr>
        <w:t>three</w:t>
      </w:r>
      <w:r w:rsidR="00CD4628" w:rsidRPr="002825DE">
        <w:rPr>
          <w:rFonts w:ascii="Arial" w:hAnsi="Arial" w:cs="Arial"/>
        </w:rPr>
        <w:t xml:space="preserve"> were</w:t>
      </w:r>
      <w:r w:rsidRPr="002825DE">
        <w:rPr>
          <w:rFonts w:ascii="Arial" w:hAnsi="Arial" w:cs="Arial"/>
        </w:rPr>
        <w:t xml:space="preserve"> retrospective. The risk of 90</w:t>
      </w:r>
      <w:r w:rsidR="00CD4628" w:rsidRPr="002825DE">
        <w:rPr>
          <w:rFonts w:ascii="Arial" w:hAnsi="Arial" w:cs="Arial"/>
        </w:rPr>
        <w:t xml:space="preserve">day all-cause mortality </w:t>
      </w:r>
      <w:r w:rsidRPr="002825DE">
        <w:rPr>
          <w:rFonts w:ascii="Arial" w:hAnsi="Arial" w:cs="Arial"/>
        </w:rPr>
        <w:t>in</w:t>
      </w:r>
      <w:r w:rsidR="00CD4628" w:rsidRPr="002825DE">
        <w:rPr>
          <w:rFonts w:ascii="Arial" w:hAnsi="Arial" w:cs="Arial"/>
        </w:rPr>
        <w:t xml:space="preserve"> </w:t>
      </w:r>
      <w:r w:rsidRPr="002825DE">
        <w:rPr>
          <w:rFonts w:ascii="Arial" w:hAnsi="Arial" w:cs="Arial"/>
        </w:rPr>
        <w:t>patients</w:t>
      </w:r>
      <w:r w:rsidR="00CD4628" w:rsidRPr="002825DE">
        <w:rPr>
          <w:rFonts w:ascii="Arial" w:hAnsi="Arial" w:cs="Arial"/>
        </w:rPr>
        <w:t xml:space="preserve"> with VKA-associated ICH </w:t>
      </w:r>
      <w:r w:rsidRPr="002825DE">
        <w:rPr>
          <w:rFonts w:ascii="Arial" w:hAnsi="Arial" w:cs="Arial"/>
        </w:rPr>
        <w:t>was</w:t>
      </w:r>
      <w:r w:rsidR="00CD4628" w:rsidRPr="002825DE">
        <w:rPr>
          <w:rFonts w:ascii="Arial" w:hAnsi="Arial" w:cs="Arial"/>
        </w:rPr>
        <w:t xml:space="preserve"> lower </w:t>
      </w:r>
      <w:r w:rsidRPr="002825DE">
        <w:rPr>
          <w:rFonts w:ascii="Arial" w:hAnsi="Arial" w:cs="Arial"/>
        </w:rPr>
        <w:t>for those</w:t>
      </w:r>
      <w:r w:rsidR="00CD4628" w:rsidRPr="002825DE">
        <w:rPr>
          <w:rFonts w:ascii="Arial" w:hAnsi="Arial" w:cs="Arial"/>
        </w:rPr>
        <w:t xml:space="preserve"> who were treated with PCC (271</w:t>
      </w:r>
      <w:r w:rsidRPr="002825DE">
        <w:rPr>
          <w:rFonts w:ascii="Arial" w:hAnsi="Arial" w:cs="Arial"/>
        </w:rPr>
        <w:t>/</w:t>
      </w:r>
      <w:r w:rsidR="00CD4628" w:rsidRPr="002825DE">
        <w:rPr>
          <w:rFonts w:ascii="Arial" w:hAnsi="Arial" w:cs="Arial"/>
        </w:rPr>
        <w:t>752, 36.04%) than with those of patients</w:t>
      </w:r>
      <w:r w:rsidRPr="002825DE">
        <w:rPr>
          <w:rFonts w:ascii="Arial" w:hAnsi="Arial" w:cs="Arial"/>
        </w:rPr>
        <w:t xml:space="preserve"> who were treated with FFP (220/</w:t>
      </w:r>
      <w:r w:rsidR="00CD4628" w:rsidRPr="002825DE">
        <w:rPr>
          <w:rFonts w:ascii="Arial" w:hAnsi="Arial" w:cs="Arial"/>
        </w:rPr>
        <w:t>474, 46.41%)</w:t>
      </w:r>
      <w:r w:rsidR="00CD031B" w:rsidRPr="002825DE">
        <w:rPr>
          <w:rFonts w:ascii="Arial" w:hAnsi="Arial" w:cs="Arial"/>
        </w:rPr>
        <w:t xml:space="preserve">: </w:t>
      </w:r>
      <w:r w:rsidR="00CD4628" w:rsidRPr="002825DE">
        <w:rPr>
          <w:rFonts w:ascii="Arial" w:hAnsi="Arial" w:cs="Arial"/>
        </w:rPr>
        <w:t>OR = 0.58, 95% CI = 0.35-0.94, p = 0.03</w:t>
      </w:r>
      <w:r w:rsidR="005F73B1" w:rsidRPr="002825DE">
        <w:rPr>
          <w:rFonts w:ascii="Arial" w:hAnsi="Arial" w:cs="Arial"/>
        </w:rPr>
        <w:t xml:space="preserve"> (</w:t>
      </w:r>
      <w:r w:rsidR="005F73B1" w:rsidRPr="002825DE">
        <w:rPr>
          <w:rFonts w:ascii="Arial" w:hAnsi="Arial" w:cs="Arial"/>
          <w:b/>
        </w:rPr>
        <w:t xml:space="preserve">Figure </w:t>
      </w:r>
      <w:r w:rsidR="00C81F1E" w:rsidRPr="002825DE">
        <w:rPr>
          <w:rFonts w:ascii="Arial" w:hAnsi="Arial" w:cs="Arial"/>
          <w:b/>
        </w:rPr>
        <w:t>5</w:t>
      </w:r>
      <w:r w:rsidR="005F73B1" w:rsidRPr="002825DE">
        <w:rPr>
          <w:rFonts w:ascii="Arial" w:hAnsi="Arial" w:cs="Arial"/>
        </w:rPr>
        <w:t>)</w:t>
      </w:r>
      <w:r w:rsidR="00CD4628" w:rsidRPr="002825DE">
        <w:rPr>
          <w:rFonts w:ascii="Arial" w:hAnsi="Arial" w:cs="Arial"/>
        </w:rPr>
        <w:t xml:space="preserve">. </w:t>
      </w:r>
      <w:r w:rsidR="00203AE6" w:rsidRPr="002825DE">
        <w:rPr>
          <w:rFonts w:ascii="Arial" w:hAnsi="Arial" w:cs="Arial"/>
        </w:rPr>
        <w:t>N</w:t>
      </w:r>
      <w:r w:rsidR="00CD4628" w:rsidRPr="002825DE">
        <w:rPr>
          <w:rFonts w:ascii="Arial" w:hAnsi="Arial" w:cs="Arial"/>
        </w:rPr>
        <w:t>o evidence of inter-study heterogeneity (I</w:t>
      </w:r>
      <w:r w:rsidR="00CD4628" w:rsidRPr="002825DE">
        <w:rPr>
          <w:rFonts w:ascii="Arial" w:hAnsi="Arial" w:cs="Arial"/>
          <w:vertAlign w:val="superscript"/>
        </w:rPr>
        <w:t>2</w:t>
      </w:r>
      <w:r w:rsidR="00CD4628" w:rsidRPr="002825DE">
        <w:rPr>
          <w:rFonts w:ascii="Arial" w:hAnsi="Arial" w:cs="Arial"/>
        </w:rPr>
        <w:t xml:space="preserve"> = 40%, p = 0.16) or publication bias</w:t>
      </w:r>
      <w:r w:rsidR="00203AE6" w:rsidRPr="002825DE">
        <w:rPr>
          <w:rFonts w:ascii="Arial" w:hAnsi="Arial" w:cs="Arial"/>
        </w:rPr>
        <w:t xml:space="preserve"> was observed</w:t>
      </w:r>
      <w:r w:rsidR="00CD4628" w:rsidRPr="002825DE">
        <w:rPr>
          <w:rFonts w:ascii="Arial" w:hAnsi="Arial" w:cs="Arial"/>
        </w:rPr>
        <w:t>.</w:t>
      </w:r>
    </w:p>
    <w:p w14:paraId="23BE5EA4" w14:textId="77777777" w:rsidR="002E5972" w:rsidRPr="002825DE" w:rsidRDefault="002E5972" w:rsidP="00980769">
      <w:pPr>
        <w:spacing w:after="0" w:line="480" w:lineRule="auto"/>
        <w:jc w:val="both"/>
        <w:rPr>
          <w:color w:val="FF0000"/>
        </w:rPr>
      </w:pPr>
    </w:p>
    <w:p w14:paraId="6392A809" w14:textId="45B32A00" w:rsidR="000231CF" w:rsidRPr="002825DE" w:rsidRDefault="00433FD8" w:rsidP="00980769">
      <w:pPr>
        <w:spacing w:after="0" w:line="480" w:lineRule="auto"/>
        <w:jc w:val="both"/>
        <w:rPr>
          <w:rFonts w:ascii="Arial" w:hAnsi="Arial" w:cs="Arial"/>
          <w:b/>
        </w:rPr>
      </w:pPr>
      <w:r w:rsidRPr="002825DE">
        <w:rPr>
          <w:rFonts w:ascii="Arial" w:hAnsi="Arial" w:cs="Arial"/>
          <w:b/>
        </w:rPr>
        <w:t xml:space="preserve">Subgroup analysis: </w:t>
      </w:r>
      <w:r w:rsidR="00CD4628" w:rsidRPr="002825DE">
        <w:rPr>
          <w:rFonts w:ascii="Arial" w:hAnsi="Arial" w:cs="Arial"/>
          <w:b/>
        </w:rPr>
        <w:t xml:space="preserve">INR reversal in </w:t>
      </w:r>
      <w:r w:rsidRPr="002825DE">
        <w:rPr>
          <w:rFonts w:ascii="Arial" w:hAnsi="Arial" w:cs="Arial"/>
          <w:b/>
        </w:rPr>
        <w:t xml:space="preserve">patients with </w:t>
      </w:r>
      <w:r w:rsidR="00CD4628" w:rsidRPr="002825DE">
        <w:rPr>
          <w:rFonts w:ascii="Arial" w:hAnsi="Arial" w:cs="Arial"/>
          <w:b/>
        </w:rPr>
        <w:t>VKA-associated ICH</w:t>
      </w:r>
    </w:p>
    <w:p w14:paraId="0C4540CE" w14:textId="6B84EA09" w:rsidR="000231CF" w:rsidRPr="002825DE" w:rsidRDefault="00EC64DE" w:rsidP="00980769">
      <w:pPr>
        <w:spacing w:after="0" w:line="480" w:lineRule="auto"/>
        <w:jc w:val="both"/>
        <w:rPr>
          <w:rFonts w:ascii="Arial" w:hAnsi="Arial" w:cs="Arial"/>
        </w:rPr>
      </w:pPr>
      <w:r w:rsidRPr="002825DE">
        <w:rPr>
          <w:rFonts w:ascii="Arial" w:hAnsi="Arial" w:cs="Arial"/>
        </w:rPr>
        <w:lastRenderedPageBreak/>
        <w:t>Four</w:t>
      </w:r>
      <w:r w:rsidR="00BA64BA" w:rsidRPr="002825DE">
        <w:rPr>
          <w:rFonts w:ascii="Arial" w:hAnsi="Arial" w:cs="Arial"/>
        </w:rPr>
        <w:t xml:space="preserve"> studies</w:t>
      </w:r>
      <w:r w:rsidR="003D472F" w:rsidRPr="002825DE">
        <w:rPr>
          <w:rFonts w:ascii="Arial" w:hAnsi="Arial" w:cs="Arial"/>
        </w:rPr>
        <w:t xml:space="preserve"> </w:t>
      </w:r>
      <w:r w:rsidRPr="002825DE">
        <w:rPr>
          <w:rFonts w:ascii="Arial" w:hAnsi="Arial" w:cs="Arial"/>
        </w:rPr>
        <w:t>comprising 223 patients were included</w:t>
      </w:r>
      <w:r w:rsidRPr="002825DE">
        <w:t xml:space="preserve"> </w:t>
      </w:r>
      <w:r w:rsidR="003D472F" w:rsidRPr="002825DE">
        <w:fldChar w:fldCharType="begin"/>
      </w:r>
      <w:r w:rsidR="004313B4" w:rsidRPr="002825DE">
        <w:instrText>ADDIN RW.CITE{{4540 Cartmill,G.Dolan,JLByrne,POByrne,M 2000; 4542 Frontera,JenniferA 2014; 4539 Steiner,Thorsten 2016; 4561 Carothers,Chancey 2018}}</w:instrText>
      </w:r>
      <w:r w:rsidR="003D472F" w:rsidRPr="002825DE">
        <w:fldChar w:fldCharType="separate"/>
      </w:r>
      <w:bookmarkStart w:id="61" w:name="__Fieldmark__485_2453490188"/>
      <w:bookmarkStart w:id="62" w:name="__Fieldmark__3757_2106776864"/>
      <w:bookmarkStart w:id="63" w:name="__Fieldmark__2142_2106776864"/>
      <w:bookmarkStart w:id="64" w:name="__Fieldmark__476_2106776864"/>
      <w:bookmarkStart w:id="65" w:name="__Fieldmark__437_1242759569"/>
      <w:bookmarkStart w:id="66" w:name="__Fieldmark__442_4243418973"/>
      <w:bookmarkStart w:id="67" w:name="__Fieldmark__443_2557495909"/>
      <w:r w:rsidR="003960ED" w:rsidRPr="002825DE">
        <w:rPr>
          <w:rFonts w:ascii="Arial" w:hAnsi="Arial" w:cs="Arial"/>
        </w:rPr>
        <w:t>[1</w:t>
      </w:r>
      <w:r w:rsidR="007D043F" w:rsidRPr="002825DE">
        <w:rPr>
          <w:rFonts w:ascii="Arial" w:hAnsi="Arial" w:cs="Arial"/>
        </w:rPr>
        <w:t>6</w:t>
      </w:r>
      <w:r w:rsidR="003960ED" w:rsidRPr="002825DE">
        <w:rPr>
          <w:rFonts w:ascii="Arial" w:hAnsi="Arial" w:cs="Arial"/>
        </w:rPr>
        <w:t>,1</w:t>
      </w:r>
      <w:r w:rsidR="007D043F" w:rsidRPr="002825DE">
        <w:rPr>
          <w:rFonts w:ascii="Arial" w:hAnsi="Arial" w:cs="Arial"/>
        </w:rPr>
        <w:t>7</w:t>
      </w:r>
      <w:r w:rsidR="003960ED" w:rsidRPr="002825DE">
        <w:rPr>
          <w:rFonts w:ascii="Arial" w:hAnsi="Arial" w:cs="Arial"/>
        </w:rPr>
        <w:t>,2</w:t>
      </w:r>
      <w:r w:rsidR="007D043F" w:rsidRPr="002825DE">
        <w:rPr>
          <w:rFonts w:ascii="Arial" w:hAnsi="Arial" w:cs="Arial"/>
        </w:rPr>
        <w:t>3</w:t>
      </w:r>
      <w:r w:rsidR="003960ED" w:rsidRPr="002825DE">
        <w:rPr>
          <w:rFonts w:ascii="Arial" w:hAnsi="Arial" w:cs="Arial"/>
        </w:rPr>
        <w:t>,2</w:t>
      </w:r>
      <w:r w:rsidR="007D043F" w:rsidRPr="002825DE">
        <w:rPr>
          <w:rFonts w:ascii="Arial" w:hAnsi="Arial" w:cs="Arial"/>
        </w:rPr>
        <w:t>8</w:t>
      </w:r>
      <w:r w:rsidR="003960ED" w:rsidRPr="002825DE">
        <w:rPr>
          <w:rFonts w:ascii="Arial" w:hAnsi="Arial" w:cs="Arial"/>
        </w:rPr>
        <w:t>]</w:t>
      </w:r>
      <w:r w:rsidR="003D472F" w:rsidRPr="002825DE">
        <w:fldChar w:fldCharType="end"/>
      </w:r>
      <w:bookmarkEnd w:id="61"/>
      <w:bookmarkEnd w:id="62"/>
      <w:bookmarkEnd w:id="63"/>
      <w:bookmarkEnd w:id="64"/>
      <w:bookmarkEnd w:id="65"/>
      <w:bookmarkEnd w:id="66"/>
      <w:bookmarkEnd w:id="67"/>
      <w:r w:rsidR="00CD4628" w:rsidRPr="002825DE">
        <w:rPr>
          <w:rFonts w:ascii="Arial" w:hAnsi="Arial" w:cs="Arial"/>
        </w:rPr>
        <w:t xml:space="preserve">. The rates for achieving </w:t>
      </w:r>
      <w:r w:rsidRPr="002825DE">
        <w:rPr>
          <w:rFonts w:ascii="Arial" w:hAnsi="Arial" w:cs="Arial"/>
        </w:rPr>
        <w:t xml:space="preserve">adequate </w:t>
      </w:r>
      <w:r w:rsidR="00CD4628" w:rsidRPr="002825DE">
        <w:rPr>
          <w:rFonts w:ascii="Arial" w:hAnsi="Arial" w:cs="Arial"/>
        </w:rPr>
        <w:t xml:space="preserve">INR </w:t>
      </w:r>
      <w:r w:rsidRPr="002825DE">
        <w:rPr>
          <w:rFonts w:ascii="Arial" w:hAnsi="Arial" w:cs="Arial"/>
        </w:rPr>
        <w:t>reversal</w:t>
      </w:r>
      <w:r w:rsidR="00CD4628" w:rsidRPr="002825DE">
        <w:rPr>
          <w:rFonts w:ascii="Arial" w:hAnsi="Arial" w:cs="Arial"/>
        </w:rPr>
        <w:t xml:space="preserve"> were higher in patients</w:t>
      </w:r>
      <w:r w:rsidR="00BA64BA" w:rsidRPr="002825DE">
        <w:rPr>
          <w:rFonts w:ascii="Arial" w:hAnsi="Arial" w:cs="Arial"/>
        </w:rPr>
        <w:t xml:space="preserve"> who were treated with PCC</w:t>
      </w:r>
      <w:r w:rsidR="004D3F0C" w:rsidRPr="002825DE">
        <w:rPr>
          <w:rFonts w:ascii="Arial" w:hAnsi="Arial" w:cs="Arial"/>
        </w:rPr>
        <w:t xml:space="preserve"> </w:t>
      </w:r>
      <w:r w:rsidR="00BA64BA" w:rsidRPr="002825DE">
        <w:rPr>
          <w:rFonts w:ascii="Arial" w:hAnsi="Arial" w:cs="Arial"/>
        </w:rPr>
        <w:t>(</w:t>
      </w:r>
      <w:r w:rsidR="0084061A" w:rsidRPr="002825DE">
        <w:rPr>
          <w:rFonts w:ascii="Arial" w:hAnsi="Arial" w:cs="Arial"/>
        </w:rPr>
        <w:t>66</w:t>
      </w:r>
      <w:r w:rsidRPr="002825DE">
        <w:rPr>
          <w:rFonts w:ascii="Arial" w:hAnsi="Arial" w:cs="Arial"/>
        </w:rPr>
        <w:t>/</w:t>
      </w:r>
      <w:r w:rsidR="0084061A" w:rsidRPr="002825DE">
        <w:rPr>
          <w:rFonts w:ascii="Arial" w:hAnsi="Arial" w:cs="Arial"/>
        </w:rPr>
        <w:t>80</w:t>
      </w:r>
      <w:r w:rsidR="009306BA" w:rsidRPr="002825DE">
        <w:rPr>
          <w:rFonts w:ascii="Arial" w:hAnsi="Arial" w:cs="Arial"/>
        </w:rPr>
        <w:t xml:space="preserve"> patients</w:t>
      </w:r>
      <w:r w:rsidR="00BA64BA" w:rsidRPr="002825DE">
        <w:rPr>
          <w:rFonts w:ascii="Arial" w:hAnsi="Arial" w:cs="Arial"/>
        </w:rPr>
        <w:t xml:space="preserve">, </w:t>
      </w:r>
      <w:r w:rsidR="0084061A" w:rsidRPr="002825DE">
        <w:rPr>
          <w:rFonts w:ascii="Arial" w:hAnsi="Arial" w:cs="Arial"/>
        </w:rPr>
        <w:t>82.50</w:t>
      </w:r>
      <w:r w:rsidR="00CD4628" w:rsidRPr="002825DE">
        <w:rPr>
          <w:rFonts w:ascii="Arial" w:hAnsi="Arial" w:cs="Arial"/>
        </w:rPr>
        <w:t xml:space="preserve">%) than </w:t>
      </w:r>
      <w:r w:rsidRPr="002825DE">
        <w:rPr>
          <w:rFonts w:ascii="Arial" w:hAnsi="Arial" w:cs="Arial"/>
        </w:rPr>
        <w:t xml:space="preserve">in </w:t>
      </w:r>
      <w:r w:rsidR="00CD4628" w:rsidRPr="002825DE">
        <w:rPr>
          <w:rFonts w:ascii="Arial" w:hAnsi="Arial" w:cs="Arial"/>
        </w:rPr>
        <w:t>those who were treated with FFP (</w:t>
      </w:r>
      <w:r w:rsidR="0084061A" w:rsidRPr="002825DE">
        <w:rPr>
          <w:rFonts w:ascii="Arial" w:hAnsi="Arial" w:cs="Arial"/>
        </w:rPr>
        <w:t>86</w:t>
      </w:r>
      <w:r w:rsidRPr="002825DE">
        <w:rPr>
          <w:rFonts w:ascii="Arial" w:hAnsi="Arial" w:cs="Arial"/>
        </w:rPr>
        <w:t>/</w:t>
      </w:r>
      <w:r w:rsidR="0084061A" w:rsidRPr="002825DE">
        <w:rPr>
          <w:rFonts w:ascii="Arial" w:hAnsi="Arial" w:cs="Arial"/>
        </w:rPr>
        <w:t>143</w:t>
      </w:r>
      <w:r w:rsidR="009306BA" w:rsidRPr="002825DE">
        <w:rPr>
          <w:rFonts w:ascii="Arial" w:hAnsi="Arial" w:cs="Arial"/>
        </w:rPr>
        <w:t xml:space="preserve"> patients</w:t>
      </w:r>
      <w:r w:rsidR="00CD4628" w:rsidRPr="002825DE">
        <w:rPr>
          <w:rFonts w:ascii="Arial" w:hAnsi="Arial" w:cs="Arial"/>
        </w:rPr>
        <w:t xml:space="preserve">, </w:t>
      </w:r>
      <w:r w:rsidR="0084061A" w:rsidRPr="002825DE">
        <w:rPr>
          <w:rFonts w:ascii="Arial" w:hAnsi="Arial" w:cs="Arial"/>
        </w:rPr>
        <w:t>60.14</w:t>
      </w:r>
      <w:r w:rsidR="00CD4628" w:rsidRPr="002825DE">
        <w:rPr>
          <w:rFonts w:ascii="Arial" w:hAnsi="Arial" w:cs="Arial"/>
        </w:rPr>
        <w:t>%): OR =</w:t>
      </w:r>
      <w:r w:rsidR="009306BA" w:rsidRPr="002825DE">
        <w:rPr>
          <w:rFonts w:ascii="Arial" w:hAnsi="Arial" w:cs="Arial"/>
        </w:rPr>
        <w:t xml:space="preserve"> </w:t>
      </w:r>
      <w:r w:rsidR="0084061A" w:rsidRPr="002825DE">
        <w:rPr>
          <w:rFonts w:ascii="Arial" w:hAnsi="Arial" w:cs="Arial"/>
        </w:rPr>
        <w:t>6.52</w:t>
      </w:r>
      <w:r w:rsidR="00CD4628" w:rsidRPr="002825DE">
        <w:rPr>
          <w:rFonts w:ascii="Arial" w:hAnsi="Arial" w:cs="Arial"/>
        </w:rPr>
        <w:t>, 95% CI =</w:t>
      </w:r>
      <w:r w:rsidR="009306BA" w:rsidRPr="002825DE">
        <w:rPr>
          <w:rFonts w:ascii="Arial" w:hAnsi="Arial" w:cs="Arial"/>
        </w:rPr>
        <w:t xml:space="preserve"> 1.</w:t>
      </w:r>
      <w:r w:rsidR="0084061A" w:rsidRPr="002825DE">
        <w:rPr>
          <w:rFonts w:ascii="Arial" w:hAnsi="Arial" w:cs="Arial"/>
        </w:rPr>
        <w:t>66</w:t>
      </w:r>
      <w:r w:rsidR="00CD4628" w:rsidRPr="002825DE">
        <w:rPr>
          <w:rFonts w:ascii="Arial" w:hAnsi="Arial" w:cs="Arial"/>
        </w:rPr>
        <w:t>-</w:t>
      </w:r>
      <w:r w:rsidR="0084061A" w:rsidRPr="002825DE">
        <w:rPr>
          <w:rFonts w:ascii="Arial" w:hAnsi="Arial" w:cs="Arial"/>
        </w:rPr>
        <w:t>25.59</w:t>
      </w:r>
      <w:r w:rsidR="00CD4628" w:rsidRPr="002825DE">
        <w:rPr>
          <w:rFonts w:ascii="Arial" w:hAnsi="Arial" w:cs="Arial"/>
        </w:rPr>
        <w:t xml:space="preserve">, </w:t>
      </w:r>
      <w:r w:rsidR="009306BA" w:rsidRPr="002825DE">
        <w:rPr>
          <w:rFonts w:ascii="Arial" w:hAnsi="Arial" w:cs="Arial"/>
        </w:rPr>
        <w:t>p = 0.05</w:t>
      </w:r>
      <w:r w:rsidRPr="002825DE">
        <w:rPr>
          <w:rFonts w:ascii="Arial" w:hAnsi="Arial" w:cs="Arial"/>
        </w:rPr>
        <w:t xml:space="preserve"> (</w:t>
      </w:r>
      <w:r w:rsidRPr="002825DE">
        <w:rPr>
          <w:rFonts w:ascii="Arial" w:hAnsi="Arial" w:cs="Arial"/>
          <w:b/>
        </w:rPr>
        <w:t xml:space="preserve">Figure </w:t>
      </w:r>
      <w:r w:rsidR="00C81F1E" w:rsidRPr="002825DE">
        <w:rPr>
          <w:rFonts w:ascii="Arial" w:hAnsi="Arial" w:cs="Arial"/>
          <w:b/>
        </w:rPr>
        <w:t>6</w:t>
      </w:r>
      <w:r w:rsidRPr="002825DE">
        <w:rPr>
          <w:rFonts w:ascii="Arial" w:hAnsi="Arial" w:cs="Arial"/>
        </w:rPr>
        <w:t>)</w:t>
      </w:r>
      <w:r w:rsidR="00CD4628" w:rsidRPr="002825DE">
        <w:rPr>
          <w:rFonts w:ascii="Arial" w:hAnsi="Arial" w:cs="Arial"/>
        </w:rPr>
        <w:t xml:space="preserve">. There was </w:t>
      </w:r>
      <w:r w:rsidR="0084061A" w:rsidRPr="002825DE">
        <w:rPr>
          <w:rFonts w:ascii="Arial" w:hAnsi="Arial" w:cs="Arial"/>
        </w:rPr>
        <w:t xml:space="preserve">no </w:t>
      </w:r>
      <w:r w:rsidR="00CD4628" w:rsidRPr="002825DE">
        <w:rPr>
          <w:rFonts w:ascii="Arial" w:hAnsi="Arial" w:cs="Arial"/>
        </w:rPr>
        <w:t>evidence of inter-study heterogeneity (I</w:t>
      </w:r>
      <w:r w:rsidR="00CD4628" w:rsidRPr="002825DE">
        <w:rPr>
          <w:rFonts w:ascii="Arial" w:hAnsi="Arial" w:cs="Arial"/>
          <w:vertAlign w:val="superscript"/>
        </w:rPr>
        <w:t>2</w:t>
      </w:r>
      <w:r w:rsidR="00CD4628" w:rsidRPr="002825DE">
        <w:rPr>
          <w:rFonts w:ascii="Arial" w:hAnsi="Arial" w:cs="Arial"/>
        </w:rPr>
        <w:t xml:space="preserve"> = </w:t>
      </w:r>
      <w:r w:rsidR="0084061A" w:rsidRPr="002825DE">
        <w:rPr>
          <w:rFonts w:ascii="Arial" w:hAnsi="Arial" w:cs="Arial"/>
        </w:rPr>
        <w:t>54</w:t>
      </w:r>
      <w:r w:rsidR="009306BA" w:rsidRPr="002825DE">
        <w:rPr>
          <w:rFonts w:ascii="Arial" w:hAnsi="Arial" w:cs="Arial"/>
        </w:rPr>
        <w:t xml:space="preserve">% </w:t>
      </w:r>
      <w:r w:rsidR="00CD4628" w:rsidRPr="002825DE">
        <w:rPr>
          <w:rFonts w:ascii="Arial" w:hAnsi="Arial" w:cs="Arial"/>
        </w:rPr>
        <w:t xml:space="preserve">p = </w:t>
      </w:r>
      <w:r w:rsidR="009306BA" w:rsidRPr="002825DE">
        <w:rPr>
          <w:rFonts w:ascii="Arial" w:hAnsi="Arial" w:cs="Arial"/>
        </w:rPr>
        <w:t>0.0</w:t>
      </w:r>
      <w:r w:rsidR="0084061A" w:rsidRPr="002825DE">
        <w:rPr>
          <w:rFonts w:ascii="Arial" w:hAnsi="Arial" w:cs="Arial"/>
        </w:rPr>
        <w:t>9</w:t>
      </w:r>
      <w:r w:rsidR="00CD4628" w:rsidRPr="002825DE">
        <w:rPr>
          <w:rFonts w:ascii="Arial" w:hAnsi="Arial" w:cs="Arial"/>
        </w:rPr>
        <w:t>)</w:t>
      </w:r>
      <w:r w:rsidRPr="002825DE">
        <w:rPr>
          <w:rFonts w:ascii="Arial" w:hAnsi="Arial" w:cs="Arial"/>
        </w:rPr>
        <w:t xml:space="preserve"> or publication bias</w:t>
      </w:r>
      <w:r w:rsidR="00CD031B" w:rsidRPr="002825DE">
        <w:rPr>
          <w:rFonts w:ascii="Arial" w:hAnsi="Arial" w:cs="Arial"/>
        </w:rPr>
        <w:t>.</w:t>
      </w:r>
    </w:p>
    <w:p w14:paraId="57D3E904" w14:textId="77777777" w:rsidR="000231CF" w:rsidRPr="002825DE" w:rsidRDefault="000231CF" w:rsidP="00980769">
      <w:pPr>
        <w:spacing w:after="0" w:line="480" w:lineRule="auto"/>
        <w:jc w:val="both"/>
        <w:rPr>
          <w:rFonts w:ascii="Arial" w:hAnsi="Arial" w:cs="Arial"/>
          <w:color w:val="FF0000"/>
        </w:rPr>
      </w:pPr>
    </w:p>
    <w:p w14:paraId="47DA569A" w14:textId="77777777" w:rsidR="00A566EE" w:rsidRPr="002825DE" w:rsidRDefault="00A566EE" w:rsidP="00A566EE">
      <w:pPr>
        <w:spacing w:after="0" w:line="480" w:lineRule="auto"/>
        <w:jc w:val="both"/>
        <w:rPr>
          <w:rFonts w:ascii="Arial" w:hAnsi="Arial" w:cs="Arial"/>
        </w:rPr>
      </w:pPr>
      <w:r w:rsidRPr="002825DE">
        <w:rPr>
          <w:rFonts w:ascii="Arial" w:hAnsi="Arial" w:cs="Arial"/>
        </w:rPr>
        <w:t xml:space="preserve">The corresponding funnel plots for </w:t>
      </w:r>
      <w:r w:rsidRPr="002825DE">
        <w:rPr>
          <w:rFonts w:ascii="Arial" w:hAnsi="Arial" w:cs="Arial"/>
          <w:b/>
        </w:rPr>
        <w:t>Figures 2-6</w:t>
      </w:r>
      <w:r w:rsidRPr="002825DE">
        <w:rPr>
          <w:rFonts w:ascii="Arial" w:hAnsi="Arial" w:cs="Arial"/>
        </w:rPr>
        <w:t xml:space="preserve"> are presented </w:t>
      </w:r>
      <w:r w:rsidRPr="002825DE">
        <w:rPr>
          <w:rFonts w:ascii="Arial" w:hAnsi="Arial" w:cs="Arial"/>
          <w:b/>
        </w:rPr>
        <w:t>Supplementary Fig 7</w:t>
      </w:r>
      <w:r w:rsidRPr="002825DE">
        <w:rPr>
          <w:rFonts w:ascii="Arial" w:hAnsi="Arial" w:cs="Arial"/>
        </w:rPr>
        <w:t>.</w:t>
      </w:r>
    </w:p>
    <w:p w14:paraId="41F3FA69" w14:textId="77777777" w:rsidR="00A566EE" w:rsidRPr="002825DE" w:rsidRDefault="00A566EE" w:rsidP="00980769">
      <w:pPr>
        <w:spacing w:after="0" w:line="480" w:lineRule="auto"/>
        <w:jc w:val="both"/>
        <w:rPr>
          <w:rFonts w:ascii="Arial" w:hAnsi="Arial" w:cs="Arial"/>
          <w:color w:val="FF0000"/>
        </w:rPr>
      </w:pPr>
    </w:p>
    <w:p w14:paraId="779F118C" w14:textId="055F1A92" w:rsidR="000231CF" w:rsidRPr="002825DE" w:rsidRDefault="00433FD8" w:rsidP="00980769">
      <w:pPr>
        <w:spacing w:after="0" w:line="480" w:lineRule="auto"/>
        <w:jc w:val="both"/>
        <w:rPr>
          <w:rFonts w:ascii="Arial" w:hAnsi="Arial" w:cs="Arial"/>
          <w:b/>
        </w:rPr>
      </w:pPr>
      <w:r w:rsidRPr="002825DE">
        <w:rPr>
          <w:rFonts w:ascii="Arial" w:hAnsi="Arial" w:cs="Arial"/>
          <w:b/>
        </w:rPr>
        <w:t xml:space="preserve">Subgroup analysis: </w:t>
      </w:r>
      <w:r w:rsidR="00875DEC" w:rsidRPr="002825DE">
        <w:rPr>
          <w:rFonts w:ascii="Arial" w:hAnsi="Arial" w:cs="Arial"/>
          <w:b/>
        </w:rPr>
        <w:t xml:space="preserve">Disability on discharge </w:t>
      </w:r>
    </w:p>
    <w:p w14:paraId="58401AD1" w14:textId="0826E3EA" w:rsidR="000231CF" w:rsidRPr="002825DE" w:rsidRDefault="00767F4B" w:rsidP="00980769">
      <w:pPr>
        <w:spacing w:after="0" w:line="480" w:lineRule="auto"/>
        <w:jc w:val="both"/>
        <w:rPr>
          <w:color w:val="FF0000"/>
        </w:rPr>
      </w:pPr>
      <w:r w:rsidRPr="002825DE">
        <w:rPr>
          <w:rFonts w:ascii="Arial" w:hAnsi="Arial" w:cs="Arial"/>
        </w:rPr>
        <w:t>There were only three</w:t>
      </w:r>
      <w:r w:rsidR="003D472F" w:rsidRPr="002825DE">
        <w:rPr>
          <w:rFonts w:ascii="Arial" w:hAnsi="Arial" w:cs="Arial"/>
        </w:rPr>
        <w:t xml:space="preserve"> studies </w:t>
      </w:r>
      <w:r w:rsidRPr="002825DE">
        <w:rPr>
          <w:rFonts w:ascii="Arial" w:hAnsi="Arial" w:cs="Arial"/>
        </w:rPr>
        <w:t>comprising 108 patients available for analysis</w:t>
      </w:r>
      <w:r w:rsidRPr="002825DE">
        <w:t xml:space="preserve"> </w:t>
      </w:r>
      <w:r w:rsidR="003D472F" w:rsidRPr="002825DE">
        <w:fldChar w:fldCharType="begin"/>
      </w:r>
      <w:r w:rsidR="004313B4" w:rsidRPr="002825DE">
        <w:instrText>ADDIN RW.CITE{{4541 Fredriksson,K. 1992; 4542 Frontera,JenniferA 2014; 4539 Steiner,Thorsten 2016}}</w:instrText>
      </w:r>
      <w:r w:rsidR="003D472F" w:rsidRPr="002825DE">
        <w:fldChar w:fldCharType="separate"/>
      </w:r>
      <w:bookmarkStart w:id="68" w:name="__Fieldmark__614_2453490188"/>
      <w:bookmarkStart w:id="69" w:name="__Fieldmark__3879_2106776864"/>
      <w:bookmarkStart w:id="70" w:name="__Fieldmark__2257_2106776864"/>
      <w:bookmarkStart w:id="71" w:name="__Fieldmark__584_2106776864"/>
      <w:bookmarkStart w:id="72" w:name="__Fieldmark__538_1242759569"/>
      <w:bookmarkStart w:id="73" w:name="__Fieldmark__541_4243418973"/>
      <w:bookmarkStart w:id="74" w:name="__Fieldmark__550_2557495909"/>
      <w:r w:rsidR="003960ED" w:rsidRPr="002825DE">
        <w:rPr>
          <w:rFonts w:ascii="Arial" w:hAnsi="Arial" w:cs="Arial"/>
        </w:rPr>
        <w:t>[1</w:t>
      </w:r>
      <w:r w:rsidR="007D043F" w:rsidRPr="002825DE">
        <w:rPr>
          <w:rFonts w:ascii="Arial" w:hAnsi="Arial" w:cs="Arial"/>
        </w:rPr>
        <w:t>6</w:t>
      </w:r>
      <w:r w:rsidR="003960ED" w:rsidRPr="002825DE">
        <w:rPr>
          <w:rFonts w:ascii="Arial" w:hAnsi="Arial" w:cs="Arial"/>
        </w:rPr>
        <w:t>,1</w:t>
      </w:r>
      <w:r w:rsidR="007D043F" w:rsidRPr="002825DE">
        <w:rPr>
          <w:rFonts w:ascii="Arial" w:hAnsi="Arial" w:cs="Arial"/>
        </w:rPr>
        <w:t>7</w:t>
      </w:r>
      <w:r w:rsidR="003960ED" w:rsidRPr="002825DE">
        <w:rPr>
          <w:rFonts w:ascii="Arial" w:hAnsi="Arial" w:cs="Arial"/>
        </w:rPr>
        <w:t>,3</w:t>
      </w:r>
      <w:r w:rsidR="007D043F" w:rsidRPr="002825DE">
        <w:rPr>
          <w:rFonts w:ascii="Arial" w:hAnsi="Arial" w:cs="Arial"/>
        </w:rPr>
        <w:t>1</w:t>
      </w:r>
      <w:r w:rsidR="003960ED" w:rsidRPr="002825DE">
        <w:rPr>
          <w:rFonts w:ascii="Arial" w:hAnsi="Arial" w:cs="Arial"/>
        </w:rPr>
        <w:t>]</w:t>
      </w:r>
      <w:r w:rsidR="003D472F" w:rsidRPr="002825DE">
        <w:fldChar w:fldCharType="end"/>
      </w:r>
      <w:bookmarkEnd w:id="68"/>
      <w:bookmarkEnd w:id="69"/>
      <w:bookmarkEnd w:id="70"/>
      <w:bookmarkEnd w:id="71"/>
      <w:bookmarkEnd w:id="72"/>
      <w:bookmarkEnd w:id="73"/>
      <w:bookmarkEnd w:id="74"/>
      <w:r w:rsidR="00CD4628" w:rsidRPr="002825DE">
        <w:rPr>
          <w:rFonts w:ascii="Arial" w:hAnsi="Arial" w:cs="Arial"/>
        </w:rPr>
        <w:t xml:space="preserve">. The rates of </w:t>
      </w:r>
      <w:r w:rsidRPr="002825DE">
        <w:rPr>
          <w:rFonts w:ascii="Arial" w:hAnsi="Arial" w:cs="Arial"/>
        </w:rPr>
        <w:t xml:space="preserve">those without or with moderate </w:t>
      </w:r>
      <w:r w:rsidR="00CD4628" w:rsidRPr="002825DE">
        <w:rPr>
          <w:rFonts w:ascii="Arial" w:hAnsi="Arial" w:cs="Arial"/>
        </w:rPr>
        <w:t xml:space="preserve">disability on discharge </w:t>
      </w:r>
      <w:r w:rsidR="00EF255D" w:rsidRPr="002825DE">
        <w:rPr>
          <w:rFonts w:ascii="Arial" w:hAnsi="Arial" w:cs="Arial"/>
        </w:rPr>
        <w:t>w</w:t>
      </w:r>
      <w:r w:rsidR="00F6236B" w:rsidRPr="002825DE">
        <w:rPr>
          <w:rFonts w:ascii="Arial" w:hAnsi="Arial" w:cs="Arial"/>
        </w:rPr>
        <w:t>ere</w:t>
      </w:r>
      <w:r w:rsidR="00EF255D" w:rsidRPr="002825DE">
        <w:rPr>
          <w:rFonts w:ascii="Arial" w:hAnsi="Arial" w:cs="Arial"/>
        </w:rPr>
        <w:t xml:space="preserve"> similar</w:t>
      </w:r>
      <w:r w:rsidR="00CD4628" w:rsidRPr="002825DE">
        <w:rPr>
          <w:rFonts w:ascii="Arial" w:hAnsi="Arial" w:cs="Arial"/>
        </w:rPr>
        <w:t xml:space="preserve"> </w:t>
      </w:r>
      <w:r w:rsidRPr="002825DE">
        <w:rPr>
          <w:rFonts w:ascii="Arial" w:hAnsi="Arial" w:cs="Arial"/>
        </w:rPr>
        <w:t>in</w:t>
      </w:r>
      <w:r w:rsidR="00CD4628" w:rsidRPr="002825DE">
        <w:rPr>
          <w:rFonts w:ascii="Arial" w:hAnsi="Arial" w:cs="Arial"/>
        </w:rPr>
        <w:t xml:space="preserve"> patient</w:t>
      </w:r>
      <w:r w:rsidR="00EF255D" w:rsidRPr="002825DE">
        <w:rPr>
          <w:rFonts w:ascii="Arial" w:hAnsi="Arial" w:cs="Arial"/>
        </w:rPr>
        <w:t>s</w:t>
      </w:r>
      <w:r w:rsidRPr="002825DE">
        <w:rPr>
          <w:rFonts w:ascii="Arial" w:hAnsi="Arial" w:cs="Arial"/>
        </w:rPr>
        <w:t xml:space="preserve"> who received PCC treatment (22/</w:t>
      </w:r>
      <w:r w:rsidR="00EF255D" w:rsidRPr="002825DE">
        <w:rPr>
          <w:rFonts w:ascii="Arial" w:hAnsi="Arial" w:cs="Arial"/>
        </w:rPr>
        <w:t>53</w:t>
      </w:r>
      <w:r w:rsidR="00D03874" w:rsidRPr="002825DE">
        <w:rPr>
          <w:rFonts w:ascii="Arial" w:hAnsi="Arial" w:cs="Arial"/>
        </w:rPr>
        <w:t xml:space="preserve"> patients, 41.5</w:t>
      </w:r>
      <w:r w:rsidR="00CD4628" w:rsidRPr="002825DE">
        <w:rPr>
          <w:rFonts w:ascii="Arial" w:hAnsi="Arial" w:cs="Arial"/>
        </w:rPr>
        <w:t xml:space="preserve">%) </w:t>
      </w:r>
      <w:r w:rsidRPr="002825DE">
        <w:rPr>
          <w:rFonts w:ascii="Arial" w:hAnsi="Arial" w:cs="Arial"/>
        </w:rPr>
        <w:t>and in</w:t>
      </w:r>
      <w:r w:rsidR="00CD4628" w:rsidRPr="002825DE">
        <w:rPr>
          <w:rFonts w:ascii="Arial" w:hAnsi="Arial" w:cs="Arial"/>
        </w:rPr>
        <w:t xml:space="preserve"> patien</w:t>
      </w:r>
      <w:r w:rsidR="00D03874" w:rsidRPr="002825DE">
        <w:rPr>
          <w:rFonts w:ascii="Arial" w:hAnsi="Arial" w:cs="Arial"/>
        </w:rPr>
        <w:t>ts</w:t>
      </w:r>
      <w:r w:rsidRPr="002825DE">
        <w:rPr>
          <w:rFonts w:ascii="Arial" w:hAnsi="Arial" w:cs="Arial"/>
        </w:rPr>
        <w:t xml:space="preserve"> who received FFP treatment (13/</w:t>
      </w:r>
      <w:r w:rsidR="00ED7F2C" w:rsidRPr="002825DE">
        <w:rPr>
          <w:rFonts w:ascii="Arial" w:hAnsi="Arial" w:cs="Arial"/>
        </w:rPr>
        <w:t>55</w:t>
      </w:r>
      <w:r w:rsidR="00D03874" w:rsidRPr="002825DE">
        <w:rPr>
          <w:rFonts w:ascii="Arial" w:hAnsi="Arial" w:cs="Arial"/>
        </w:rPr>
        <w:t xml:space="preserve"> patients. 23.6%): OR = 2.58, 9</w:t>
      </w:r>
      <w:r w:rsidR="00175CA6" w:rsidRPr="002825DE">
        <w:rPr>
          <w:rFonts w:ascii="Arial" w:hAnsi="Arial" w:cs="Arial"/>
        </w:rPr>
        <w:t>5% CI = 0.65 – 10.26, p = 0.18 (</w:t>
      </w:r>
      <w:r w:rsidRPr="002825DE">
        <w:rPr>
          <w:rFonts w:ascii="Arial" w:hAnsi="Arial" w:cs="Arial"/>
          <w:b/>
        </w:rPr>
        <w:t xml:space="preserve">Supplementary </w:t>
      </w:r>
      <w:r w:rsidR="003A7530" w:rsidRPr="002825DE">
        <w:rPr>
          <w:rFonts w:ascii="Arial" w:hAnsi="Arial" w:cs="Arial"/>
          <w:b/>
        </w:rPr>
        <w:t xml:space="preserve">Fig </w:t>
      </w:r>
      <w:r w:rsidR="00C81F1E" w:rsidRPr="002825DE">
        <w:rPr>
          <w:rFonts w:ascii="Arial" w:hAnsi="Arial" w:cs="Arial"/>
          <w:b/>
        </w:rPr>
        <w:t>6</w:t>
      </w:r>
      <w:r w:rsidR="00175CA6" w:rsidRPr="002825DE">
        <w:rPr>
          <w:rFonts w:ascii="Arial" w:hAnsi="Arial" w:cs="Arial"/>
        </w:rPr>
        <w:t>)</w:t>
      </w:r>
      <w:r w:rsidR="00CD4628" w:rsidRPr="002825DE">
        <w:rPr>
          <w:rFonts w:ascii="Arial" w:hAnsi="Arial" w:cs="Arial"/>
        </w:rPr>
        <w:t xml:space="preserve">. </w:t>
      </w:r>
      <w:r w:rsidR="008969A7" w:rsidRPr="002825DE">
        <w:rPr>
          <w:rFonts w:ascii="Arial" w:hAnsi="Arial" w:cs="Arial"/>
        </w:rPr>
        <w:t xml:space="preserve">We found </w:t>
      </w:r>
      <w:r w:rsidR="00CD4628" w:rsidRPr="002825DE">
        <w:rPr>
          <w:rFonts w:ascii="Arial" w:hAnsi="Arial" w:cs="Arial"/>
        </w:rPr>
        <w:t>no evidence of inter-study heterogeneity (I</w:t>
      </w:r>
      <w:r w:rsidR="00CD4628" w:rsidRPr="002825DE">
        <w:rPr>
          <w:rFonts w:ascii="Arial" w:hAnsi="Arial" w:cs="Arial"/>
          <w:vertAlign w:val="superscript"/>
        </w:rPr>
        <w:t>2</w:t>
      </w:r>
      <w:r w:rsidR="00D03874" w:rsidRPr="002825DE">
        <w:rPr>
          <w:rFonts w:ascii="Arial" w:hAnsi="Arial" w:cs="Arial"/>
        </w:rPr>
        <w:t xml:space="preserve"> = 53</w:t>
      </w:r>
      <w:r w:rsidR="00CD4628" w:rsidRPr="002825DE">
        <w:rPr>
          <w:rFonts w:ascii="Arial" w:hAnsi="Arial" w:cs="Arial"/>
        </w:rPr>
        <w:t>%</w:t>
      </w:r>
      <w:r w:rsidR="00D03874" w:rsidRPr="002825DE">
        <w:rPr>
          <w:rFonts w:ascii="Arial" w:hAnsi="Arial" w:cs="Arial"/>
        </w:rPr>
        <w:t xml:space="preserve"> p = 0.12</w:t>
      </w:r>
      <w:r w:rsidR="00CD4628" w:rsidRPr="002825DE">
        <w:rPr>
          <w:rFonts w:ascii="Arial" w:hAnsi="Arial" w:cs="Arial"/>
        </w:rPr>
        <w:t>) or publication bias.</w:t>
      </w:r>
    </w:p>
    <w:p w14:paraId="20733BC1" w14:textId="77777777" w:rsidR="007B5FD7" w:rsidRPr="002825DE" w:rsidRDefault="007B5FD7" w:rsidP="00980769">
      <w:pPr>
        <w:spacing w:after="0" w:line="480" w:lineRule="auto"/>
        <w:jc w:val="both"/>
        <w:rPr>
          <w:rFonts w:ascii="Arial" w:hAnsi="Arial" w:cs="Arial"/>
        </w:rPr>
      </w:pPr>
    </w:p>
    <w:p w14:paraId="1E391E3A" w14:textId="326998AA" w:rsidR="00A566EE" w:rsidRPr="002825DE" w:rsidRDefault="00A566EE" w:rsidP="00980769">
      <w:pPr>
        <w:spacing w:after="0" w:line="480" w:lineRule="auto"/>
        <w:jc w:val="both"/>
        <w:rPr>
          <w:rFonts w:ascii="Arial" w:hAnsi="Arial" w:cs="Arial"/>
          <w:b/>
        </w:rPr>
      </w:pPr>
      <w:r w:rsidRPr="002825DE">
        <w:rPr>
          <w:rFonts w:ascii="Arial" w:hAnsi="Arial" w:cs="Arial"/>
          <w:b/>
        </w:rPr>
        <w:t xml:space="preserve">90day all-cause mortality using only RCTs </w:t>
      </w:r>
    </w:p>
    <w:p w14:paraId="7A0F3F9E" w14:textId="77777777" w:rsidR="00A566EE" w:rsidRPr="002825DE" w:rsidRDefault="00A566EE" w:rsidP="00A566EE">
      <w:pPr>
        <w:spacing w:after="0" w:line="480" w:lineRule="auto"/>
        <w:jc w:val="both"/>
        <w:rPr>
          <w:rFonts w:ascii="Arial" w:hAnsi="Arial" w:cs="Arial"/>
          <w:color w:val="333333"/>
        </w:rPr>
      </w:pPr>
      <w:r w:rsidRPr="002825DE">
        <w:rPr>
          <w:rFonts w:ascii="Arial" w:hAnsi="Arial" w:cs="Arial"/>
          <w:color w:val="333333"/>
        </w:rPr>
        <w:t>Analysis of RCT data without observational studies (</w:t>
      </w:r>
      <w:r w:rsidRPr="002825DE">
        <w:rPr>
          <w:rFonts w:ascii="Arial" w:hAnsi="Arial" w:cs="Arial"/>
          <w:b/>
          <w:color w:val="333333"/>
        </w:rPr>
        <w:t>Supplementary Fig 8</w:t>
      </w:r>
      <w:r w:rsidRPr="002825DE">
        <w:rPr>
          <w:rFonts w:ascii="Arial" w:hAnsi="Arial" w:cs="Arial"/>
          <w:color w:val="333333"/>
        </w:rPr>
        <w:t>) could only include 3 studies with just over 200 participants and ~20 events. This considerably reduces the power of our study and the reliability of our conclusion.</w:t>
      </w:r>
    </w:p>
    <w:p w14:paraId="0189F396" w14:textId="77777777" w:rsidR="002353F6" w:rsidRPr="002825DE" w:rsidRDefault="002353F6" w:rsidP="00A566EE">
      <w:pPr>
        <w:spacing w:after="0" w:line="480" w:lineRule="auto"/>
        <w:jc w:val="both"/>
        <w:rPr>
          <w:rFonts w:ascii="Arial" w:hAnsi="Arial" w:cs="Arial"/>
          <w:color w:val="333333"/>
        </w:rPr>
      </w:pPr>
    </w:p>
    <w:p w14:paraId="1ED89024" w14:textId="77777777" w:rsidR="00543D12" w:rsidRPr="002825DE" w:rsidRDefault="00543D12" w:rsidP="00A566EE">
      <w:pPr>
        <w:spacing w:after="0" w:line="480" w:lineRule="auto"/>
        <w:jc w:val="both"/>
        <w:rPr>
          <w:rFonts w:ascii="Arial" w:hAnsi="Arial" w:cs="Arial"/>
          <w:color w:val="333333"/>
        </w:rPr>
      </w:pPr>
    </w:p>
    <w:p w14:paraId="2452787E" w14:textId="26759DBA" w:rsidR="002353F6" w:rsidRPr="002825DE" w:rsidRDefault="002353F6" w:rsidP="002353F6">
      <w:pPr>
        <w:spacing w:after="0" w:line="480" w:lineRule="auto"/>
        <w:jc w:val="both"/>
        <w:rPr>
          <w:rFonts w:ascii="Arial" w:hAnsi="Arial" w:cs="Arial"/>
          <w:b/>
          <w:color w:val="333333"/>
        </w:rPr>
      </w:pPr>
      <w:r w:rsidRPr="002825DE">
        <w:rPr>
          <w:rFonts w:ascii="Arial" w:hAnsi="Arial" w:cs="Arial"/>
          <w:b/>
          <w:color w:val="333333"/>
        </w:rPr>
        <w:lastRenderedPageBreak/>
        <w:t>Risk of bias</w:t>
      </w:r>
    </w:p>
    <w:p w14:paraId="0930BE54" w14:textId="04EC7674" w:rsidR="002353F6" w:rsidRPr="002825DE" w:rsidRDefault="000426BE" w:rsidP="002353F6">
      <w:pPr>
        <w:pStyle w:val="NormalWeb"/>
        <w:shd w:val="clear" w:color="auto" w:fill="FFFFFF"/>
        <w:spacing w:beforeAutospacing="0" w:after="0" w:afterAutospacing="0" w:line="480" w:lineRule="auto"/>
        <w:jc w:val="both"/>
        <w:rPr>
          <w:rFonts w:ascii="Arial" w:hAnsi="Arial" w:cs="Arial"/>
          <w:color w:val="201F1E"/>
        </w:rPr>
      </w:pPr>
      <w:r w:rsidRPr="002825DE">
        <w:rPr>
          <w:rFonts w:ascii="Arial" w:hAnsi="Arial" w:cs="Arial"/>
          <w:b/>
        </w:rPr>
        <w:t>Figure 7</w:t>
      </w:r>
      <w:r w:rsidRPr="002825DE">
        <w:rPr>
          <w:rFonts w:ascii="Arial" w:hAnsi="Arial" w:cs="Arial"/>
          <w:color w:val="201F1E"/>
        </w:rPr>
        <w:t xml:space="preserve"> shows r</w:t>
      </w:r>
      <w:r w:rsidRPr="002825DE">
        <w:rPr>
          <w:rFonts w:ascii="Arial" w:hAnsi="Arial" w:cs="Arial"/>
        </w:rPr>
        <w:t xml:space="preserve">isk of bias assessments for the 17 studies in the present meta-analysis. </w:t>
      </w:r>
      <w:r w:rsidR="00F20D09" w:rsidRPr="002825DE">
        <w:rPr>
          <w:rFonts w:ascii="Arial" w:hAnsi="Arial" w:cs="Arial"/>
          <w:color w:val="201F1E"/>
        </w:rPr>
        <w:t>Random sequence allocation was considered high risk in all retrospective or observational studies as patients were allocated due to centre guidelines, date based guidelines or physician judgement. Allocation</w:t>
      </w:r>
      <w:r w:rsidR="00E332EC" w:rsidRPr="002825DE">
        <w:rPr>
          <w:rFonts w:ascii="Arial" w:hAnsi="Arial" w:cs="Arial"/>
          <w:color w:val="201F1E"/>
        </w:rPr>
        <w:t xml:space="preserve"> concealment was low in all RCT</w:t>
      </w:r>
      <w:r w:rsidR="00F20D09" w:rsidRPr="002825DE">
        <w:rPr>
          <w:rFonts w:ascii="Arial" w:hAnsi="Arial" w:cs="Arial"/>
          <w:color w:val="201F1E"/>
        </w:rPr>
        <w:t>s due to blinding but the level of allocation concealment was often undetermined in all retrospective or observational studies. Blinding of participants and personnel was not possible due to differences in treatment regimes, including volume and administration time. Studies with only pre-decided serious adverse events or death was considered more objective and as such, lower risk</w:t>
      </w:r>
      <w:r w:rsidR="0078710C" w:rsidRPr="002825DE">
        <w:rPr>
          <w:rFonts w:ascii="Arial" w:hAnsi="Arial" w:cs="Arial"/>
          <w:color w:val="201F1E"/>
        </w:rPr>
        <w:t>.</w:t>
      </w:r>
    </w:p>
    <w:p w14:paraId="3049A1E2" w14:textId="77777777" w:rsidR="00DC263B" w:rsidRPr="002825DE" w:rsidRDefault="00DC263B" w:rsidP="002353F6">
      <w:pPr>
        <w:spacing w:after="0" w:line="480" w:lineRule="auto"/>
        <w:jc w:val="both"/>
        <w:rPr>
          <w:rFonts w:ascii="Arial" w:hAnsi="Arial" w:cs="Arial"/>
          <w:color w:val="FF0000"/>
        </w:rPr>
      </w:pPr>
    </w:p>
    <w:p w14:paraId="2E5199B8" w14:textId="77777777" w:rsidR="000231CF" w:rsidRPr="002825DE" w:rsidRDefault="00CD4628" w:rsidP="00980769">
      <w:pPr>
        <w:pStyle w:val="Heading1"/>
        <w:spacing w:before="0" w:after="0" w:line="480" w:lineRule="auto"/>
        <w:rPr>
          <w:rFonts w:ascii="Arial" w:hAnsi="Arial" w:cs="Arial"/>
          <w:b/>
          <w:sz w:val="24"/>
          <w:szCs w:val="24"/>
        </w:rPr>
      </w:pPr>
      <w:r w:rsidRPr="002825DE">
        <w:rPr>
          <w:rFonts w:ascii="Arial" w:hAnsi="Arial" w:cs="Arial"/>
          <w:b/>
          <w:color w:val="auto"/>
          <w:sz w:val="24"/>
          <w:szCs w:val="24"/>
        </w:rPr>
        <w:t>DISCUSSION</w:t>
      </w:r>
    </w:p>
    <w:p w14:paraId="414A03F9" w14:textId="30164434" w:rsidR="00B31564" w:rsidRPr="002825DE" w:rsidRDefault="00CD4628" w:rsidP="00B31564">
      <w:pPr>
        <w:spacing w:after="0" w:line="480" w:lineRule="auto"/>
        <w:jc w:val="both"/>
        <w:rPr>
          <w:rFonts w:ascii="Arial" w:hAnsi="Arial" w:cs="Arial"/>
        </w:rPr>
      </w:pPr>
      <w:r w:rsidRPr="002825DE">
        <w:rPr>
          <w:rFonts w:ascii="Arial" w:hAnsi="Arial" w:cs="Arial"/>
        </w:rPr>
        <w:t xml:space="preserve">This meta-analysis of </w:t>
      </w:r>
      <w:r w:rsidR="00D3703B" w:rsidRPr="002825DE">
        <w:rPr>
          <w:rFonts w:ascii="Arial" w:hAnsi="Arial" w:cs="Arial"/>
        </w:rPr>
        <w:t>1</w:t>
      </w:r>
      <w:r w:rsidR="00D70ABF" w:rsidRPr="002825DE">
        <w:rPr>
          <w:rFonts w:ascii="Arial" w:hAnsi="Arial" w:cs="Arial"/>
        </w:rPr>
        <w:t>7</w:t>
      </w:r>
      <w:r w:rsidRPr="002825DE">
        <w:rPr>
          <w:rFonts w:ascii="Arial" w:hAnsi="Arial" w:cs="Arial"/>
        </w:rPr>
        <w:t xml:space="preserve"> studies, examining </w:t>
      </w:r>
      <w:r w:rsidR="00D3703B" w:rsidRPr="002825DE">
        <w:rPr>
          <w:rFonts w:ascii="Arial" w:hAnsi="Arial" w:cs="Arial"/>
        </w:rPr>
        <w:t>2</w:t>
      </w:r>
      <w:r w:rsidR="00D70ABF" w:rsidRPr="002825DE">
        <w:rPr>
          <w:rFonts w:ascii="Arial" w:hAnsi="Arial" w:cs="Arial"/>
        </w:rPr>
        <w:t>606</w:t>
      </w:r>
      <w:r w:rsidRPr="002825DE">
        <w:rPr>
          <w:rFonts w:ascii="Arial" w:hAnsi="Arial" w:cs="Arial"/>
        </w:rPr>
        <w:t xml:space="preserve"> patients, is the largest to date </w:t>
      </w:r>
      <w:r w:rsidR="00044F73" w:rsidRPr="002825DE">
        <w:rPr>
          <w:rFonts w:ascii="Arial" w:hAnsi="Arial" w:cs="Arial"/>
        </w:rPr>
        <w:t xml:space="preserve">for </w:t>
      </w:r>
      <w:r w:rsidRPr="002825DE">
        <w:rPr>
          <w:rFonts w:ascii="Arial" w:hAnsi="Arial" w:cs="Arial"/>
        </w:rPr>
        <w:t>comparing the performance of PCC and FFP in urgent reversal of VKA</w:t>
      </w:r>
      <w:r w:rsidR="00044F73" w:rsidRPr="002825DE">
        <w:rPr>
          <w:rFonts w:ascii="Arial" w:hAnsi="Arial" w:cs="Arial"/>
        </w:rPr>
        <w:t xml:space="preserve"> in patients with haemorrhage or undergoing urgent surgery</w:t>
      </w:r>
      <w:r w:rsidRPr="002825DE">
        <w:rPr>
          <w:rFonts w:ascii="Arial" w:hAnsi="Arial" w:cs="Arial"/>
        </w:rPr>
        <w:t xml:space="preserve">. </w:t>
      </w:r>
      <w:r w:rsidR="000625B8" w:rsidRPr="002825DE">
        <w:rPr>
          <w:rFonts w:ascii="Arial" w:hAnsi="Arial" w:cs="Arial"/>
        </w:rPr>
        <w:t xml:space="preserve">Our work demonstrates </w:t>
      </w:r>
      <w:r w:rsidRPr="002825DE">
        <w:rPr>
          <w:rFonts w:ascii="Arial" w:hAnsi="Arial" w:cs="Arial"/>
        </w:rPr>
        <w:t xml:space="preserve">PCC </w:t>
      </w:r>
      <w:r w:rsidR="00044F73" w:rsidRPr="002825DE">
        <w:rPr>
          <w:rFonts w:ascii="Arial" w:hAnsi="Arial" w:cs="Arial"/>
        </w:rPr>
        <w:t xml:space="preserve">treatment </w:t>
      </w:r>
      <w:r w:rsidRPr="002825DE">
        <w:rPr>
          <w:rFonts w:ascii="Arial" w:hAnsi="Arial" w:cs="Arial"/>
        </w:rPr>
        <w:t xml:space="preserve">outperforms FFP </w:t>
      </w:r>
      <w:r w:rsidR="00044F73" w:rsidRPr="002825DE">
        <w:rPr>
          <w:rFonts w:ascii="Arial" w:hAnsi="Arial" w:cs="Arial"/>
        </w:rPr>
        <w:t xml:space="preserve">treatment for 90day all-cause mortality, including in patients with </w:t>
      </w:r>
      <w:r w:rsidR="00875DEC" w:rsidRPr="002825DE">
        <w:rPr>
          <w:rFonts w:ascii="Arial" w:hAnsi="Arial" w:cs="Arial"/>
        </w:rPr>
        <w:t xml:space="preserve">ICH, achieving </w:t>
      </w:r>
      <w:r w:rsidR="00044F73" w:rsidRPr="002825DE">
        <w:rPr>
          <w:rFonts w:ascii="Arial" w:hAnsi="Arial" w:cs="Arial"/>
        </w:rPr>
        <w:t>adequate</w:t>
      </w:r>
      <w:r w:rsidR="00875DEC" w:rsidRPr="002825DE">
        <w:rPr>
          <w:rFonts w:ascii="Arial" w:hAnsi="Arial" w:cs="Arial"/>
        </w:rPr>
        <w:t xml:space="preserve"> INR </w:t>
      </w:r>
      <w:r w:rsidR="00044F73" w:rsidRPr="002825DE">
        <w:rPr>
          <w:rFonts w:ascii="Arial" w:hAnsi="Arial" w:cs="Arial"/>
        </w:rPr>
        <w:t xml:space="preserve">reversal </w:t>
      </w:r>
      <w:r w:rsidR="00D70ABF" w:rsidRPr="002825DE">
        <w:rPr>
          <w:rFonts w:ascii="Arial" w:hAnsi="Arial" w:cs="Arial"/>
        </w:rPr>
        <w:t>and</w:t>
      </w:r>
      <w:r w:rsidR="00044F73" w:rsidRPr="002825DE">
        <w:rPr>
          <w:rFonts w:ascii="Arial" w:hAnsi="Arial" w:cs="Arial"/>
        </w:rPr>
        <w:t xml:space="preserve"> treatment-</w:t>
      </w:r>
      <w:r w:rsidR="00875DEC" w:rsidRPr="002825DE">
        <w:rPr>
          <w:rFonts w:ascii="Arial" w:hAnsi="Arial" w:cs="Arial"/>
        </w:rPr>
        <w:t>related adverse event</w:t>
      </w:r>
      <w:r w:rsidR="003B69EF" w:rsidRPr="002825DE">
        <w:rPr>
          <w:rFonts w:ascii="Arial" w:hAnsi="Arial" w:cs="Arial"/>
        </w:rPr>
        <w:t>s</w:t>
      </w:r>
      <w:r w:rsidR="00044F73" w:rsidRPr="002825DE">
        <w:rPr>
          <w:rFonts w:ascii="Arial" w:hAnsi="Arial" w:cs="Arial"/>
        </w:rPr>
        <w:t xml:space="preserve">. These two agents did not differ </w:t>
      </w:r>
      <w:r w:rsidR="00875DEC" w:rsidRPr="002825DE">
        <w:rPr>
          <w:rFonts w:ascii="Arial" w:hAnsi="Arial" w:cs="Arial"/>
        </w:rPr>
        <w:t xml:space="preserve">in the </w:t>
      </w:r>
      <w:r w:rsidR="00044F73" w:rsidRPr="002825DE">
        <w:rPr>
          <w:rFonts w:ascii="Arial" w:hAnsi="Arial" w:cs="Arial"/>
        </w:rPr>
        <w:t>rates</w:t>
      </w:r>
      <w:r w:rsidR="00875DEC" w:rsidRPr="002825DE">
        <w:rPr>
          <w:rFonts w:ascii="Arial" w:hAnsi="Arial" w:cs="Arial"/>
        </w:rPr>
        <w:t xml:space="preserve"> TEE, </w:t>
      </w:r>
      <w:r w:rsidR="00044F73" w:rsidRPr="002825DE">
        <w:rPr>
          <w:rFonts w:ascii="Arial" w:hAnsi="Arial" w:cs="Arial"/>
        </w:rPr>
        <w:t>requirement for and quantity of</w:t>
      </w:r>
      <w:r w:rsidR="00875DEC" w:rsidRPr="002825DE">
        <w:rPr>
          <w:rFonts w:ascii="Arial" w:hAnsi="Arial" w:cs="Arial"/>
        </w:rPr>
        <w:t xml:space="preserve"> RB</w:t>
      </w:r>
      <w:r w:rsidR="00044F73" w:rsidRPr="002825DE">
        <w:rPr>
          <w:rFonts w:ascii="Arial" w:hAnsi="Arial" w:cs="Arial"/>
        </w:rPr>
        <w:t>C transfusions</w:t>
      </w:r>
      <w:r w:rsidR="00875DEC" w:rsidRPr="002825DE">
        <w:rPr>
          <w:rFonts w:ascii="Arial" w:hAnsi="Arial" w:cs="Arial"/>
        </w:rPr>
        <w:t>, all adverse events</w:t>
      </w:r>
      <w:r w:rsidR="00D70ABF" w:rsidRPr="002825DE">
        <w:rPr>
          <w:rFonts w:ascii="Arial" w:hAnsi="Arial" w:cs="Arial"/>
        </w:rPr>
        <w:t>, fluid overload events</w:t>
      </w:r>
      <w:r w:rsidR="00044F73" w:rsidRPr="002825DE">
        <w:rPr>
          <w:rFonts w:ascii="Arial" w:hAnsi="Arial" w:cs="Arial"/>
        </w:rPr>
        <w:t xml:space="preserve"> or disability on discharge.</w:t>
      </w:r>
      <w:r w:rsidR="00B31564" w:rsidRPr="002825DE">
        <w:rPr>
          <w:rFonts w:ascii="Arial" w:hAnsi="Arial" w:cs="Arial"/>
        </w:rPr>
        <w:t xml:space="preserve"> </w:t>
      </w:r>
      <w:r w:rsidR="00761324" w:rsidRPr="002825DE">
        <w:rPr>
          <w:rFonts w:ascii="Arial" w:hAnsi="Arial" w:cs="Arial"/>
        </w:rPr>
        <w:t xml:space="preserve">There are a number of factors that may explain superiority of PCC </w:t>
      </w:r>
      <w:r w:rsidRPr="002825DE">
        <w:rPr>
          <w:rFonts w:ascii="Arial" w:hAnsi="Arial" w:cs="Arial"/>
        </w:rPr>
        <w:t>over FFP</w:t>
      </w:r>
      <w:r w:rsidR="00C033F3" w:rsidRPr="002825DE">
        <w:rPr>
          <w:rFonts w:ascii="Arial" w:hAnsi="Arial" w:cs="Arial"/>
        </w:rPr>
        <w:t xml:space="preserve"> including </w:t>
      </w:r>
      <w:r w:rsidR="00761324" w:rsidRPr="002825DE">
        <w:rPr>
          <w:rFonts w:ascii="Arial" w:hAnsi="Arial" w:cs="Arial"/>
        </w:rPr>
        <w:t>its greater</w:t>
      </w:r>
      <w:r w:rsidR="00C033F3" w:rsidRPr="002825DE">
        <w:rPr>
          <w:rFonts w:ascii="Arial" w:hAnsi="Arial" w:cs="Arial"/>
        </w:rPr>
        <w:t xml:space="preserve"> concentration of vitamin-K factors, </w:t>
      </w:r>
      <w:r w:rsidR="00761324" w:rsidRPr="002825DE">
        <w:rPr>
          <w:rFonts w:ascii="Arial" w:hAnsi="Arial" w:cs="Arial"/>
        </w:rPr>
        <w:t>faster</w:t>
      </w:r>
      <w:r w:rsidR="00C033F3" w:rsidRPr="002825DE">
        <w:rPr>
          <w:rFonts w:ascii="Arial" w:hAnsi="Arial" w:cs="Arial"/>
        </w:rPr>
        <w:t xml:space="preserve"> </w:t>
      </w:r>
      <w:r w:rsidR="00761324" w:rsidRPr="002825DE">
        <w:rPr>
          <w:rFonts w:ascii="Arial" w:hAnsi="Arial" w:cs="Arial"/>
        </w:rPr>
        <w:t xml:space="preserve">reversal of </w:t>
      </w:r>
      <w:r w:rsidR="00C033F3" w:rsidRPr="002825DE">
        <w:rPr>
          <w:rFonts w:ascii="Arial" w:hAnsi="Arial" w:cs="Arial"/>
        </w:rPr>
        <w:t xml:space="preserve">INR, </w:t>
      </w:r>
      <w:r w:rsidR="00761324" w:rsidRPr="002825DE">
        <w:rPr>
          <w:rFonts w:ascii="Arial" w:hAnsi="Arial" w:cs="Arial"/>
        </w:rPr>
        <w:t>smaller</w:t>
      </w:r>
      <w:r w:rsidR="00C033F3" w:rsidRPr="002825DE">
        <w:rPr>
          <w:rFonts w:ascii="Arial" w:hAnsi="Arial" w:cs="Arial"/>
        </w:rPr>
        <w:t xml:space="preserve"> fluid volume</w:t>
      </w:r>
      <w:r w:rsidR="00761324" w:rsidRPr="002825DE">
        <w:rPr>
          <w:rFonts w:ascii="Arial" w:hAnsi="Arial" w:cs="Arial"/>
        </w:rPr>
        <w:t xml:space="preserve"> administered</w:t>
      </w:r>
      <w:r w:rsidR="00C033F3" w:rsidRPr="002825DE">
        <w:rPr>
          <w:rFonts w:ascii="Arial" w:hAnsi="Arial" w:cs="Arial"/>
        </w:rPr>
        <w:t xml:space="preserve"> and </w:t>
      </w:r>
      <w:r w:rsidR="00761324" w:rsidRPr="002825DE">
        <w:rPr>
          <w:rFonts w:ascii="Arial" w:hAnsi="Arial" w:cs="Arial"/>
        </w:rPr>
        <w:t xml:space="preserve">its property in </w:t>
      </w:r>
      <w:r w:rsidR="00E7603A" w:rsidRPr="002825DE">
        <w:rPr>
          <w:rFonts w:ascii="Arial" w:hAnsi="Arial" w:cs="Arial"/>
        </w:rPr>
        <w:t>viral inactivation</w:t>
      </w:r>
      <w:r w:rsidRPr="002825DE">
        <w:rPr>
          <w:rFonts w:ascii="Arial" w:hAnsi="Arial" w:cs="Arial"/>
        </w:rPr>
        <w:t>.</w:t>
      </w:r>
      <w:r w:rsidR="00B31564" w:rsidRPr="002825DE">
        <w:rPr>
          <w:rFonts w:ascii="Arial" w:hAnsi="Arial" w:cs="Arial"/>
        </w:rPr>
        <w:t xml:space="preserve"> These favourable factors make PCC the most </w:t>
      </w:r>
      <w:r w:rsidR="00B31564" w:rsidRPr="002825DE">
        <w:rPr>
          <w:rFonts w:ascii="Arial" w:hAnsi="Arial" w:cs="Arial"/>
        </w:rPr>
        <w:lastRenderedPageBreak/>
        <w:t xml:space="preserve">suitable treatment option in emergency situations such acute haemorrhage or urgent surgery. </w:t>
      </w:r>
    </w:p>
    <w:p w14:paraId="6A16A98B" w14:textId="77777777" w:rsidR="00B54C31" w:rsidRPr="002825DE" w:rsidRDefault="00B54C31" w:rsidP="00980769">
      <w:pPr>
        <w:spacing w:after="0" w:line="480" w:lineRule="auto"/>
        <w:jc w:val="both"/>
        <w:rPr>
          <w:rFonts w:ascii="Arial" w:hAnsi="Arial" w:cs="Arial"/>
        </w:rPr>
      </w:pPr>
    </w:p>
    <w:p w14:paraId="0779857C" w14:textId="2CBFA9CF" w:rsidR="000231CF" w:rsidRPr="002825DE" w:rsidRDefault="00B826E6" w:rsidP="00980769">
      <w:pPr>
        <w:spacing w:after="0" w:line="480" w:lineRule="auto"/>
        <w:jc w:val="both"/>
        <w:rPr>
          <w:rFonts w:ascii="Arial" w:hAnsi="Arial" w:cs="Arial"/>
        </w:rPr>
      </w:pPr>
      <w:r w:rsidRPr="002825DE">
        <w:rPr>
          <w:rFonts w:ascii="Arial" w:hAnsi="Arial" w:cs="Arial"/>
        </w:rPr>
        <w:t xml:space="preserve">Similar to FFP, </w:t>
      </w:r>
      <w:r w:rsidR="00CD4628" w:rsidRPr="002825DE">
        <w:rPr>
          <w:rFonts w:ascii="Arial" w:hAnsi="Arial" w:cs="Arial"/>
        </w:rPr>
        <w:t>PCC direct</w:t>
      </w:r>
      <w:r w:rsidR="00876DB0" w:rsidRPr="002825DE">
        <w:rPr>
          <w:rFonts w:ascii="Arial" w:hAnsi="Arial" w:cs="Arial"/>
        </w:rPr>
        <w:t>ly delivers</w:t>
      </w:r>
      <w:r w:rsidR="00CD4628" w:rsidRPr="002825DE">
        <w:rPr>
          <w:rFonts w:ascii="Arial" w:hAnsi="Arial" w:cs="Arial"/>
        </w:rPr>
        <w:t xml:space="preserve"> the coagulation factors </w:t>
      </w:r>
      <w:r w:rsidR="00876DB0" w:rsidRPr="002825DE">
        <w:rPr>
          <w:rFonts w:ascii="Arial" w:hAnsi="Arial" w:cs="Arial"/>
        </w:rPr>
        <w:t xml:space="preserve">that are </w:t>
      </w:r>
      <w:r w:rsidR="00CD4628" w:rsidRPr="002825DE">
        <w:rPr>
          <w:rFonts w:ascii="Arial" w:hAnsi="Arial" w:cs="Arial"/>
        </w:rPr>
        <w:t>depleted by VKA</w:t>
      </w:r>
      <w:r w:rsidR="00451710" w:rsidRPr="002825DE">
        <w:rPr>
          <w:rFonts w:ascii="Arial" w:hAnsi="Arial" w:cs="Arial"/>
        </w:rPr>
        <w:t>,</w:t>
      </w:r>
      <w:r w:rsidRPr="002825DE">
        <w:rPr>
          <w:rFonts w:ascii="Arial" w:hAnsi="Arial" w:cs="Arial"/>
        </w:rPr>
        <w:t xml:space="preserve"> but</w:t>
      </w:r>
      <w:r w:rsidR="00451710" w:rsidRPr="002825DE">
        <w:rPr>
          <w:rFonts w:ascii="Arial" w:hAnsi="Arial" w:cs="Arial"/>
        </w:rPr>
        <w:t xml:space="preserve"> </w:t>
      </w:r>
      <w:r w:rsidR="009F21E0" w:rsidRPr="002825DE">
        <w:rPr>
          <w:rFonts w:ascii="Arial" w:hAnsi="Arial" w:cs="Arial"/>
        </w:rPr>
        <w:t xml:space="preserve">in a </w:t>
      </w:r>
      <w:r w:rsidR="00451710" w:rsidRPr="002825DE">
        <w:rPr>
          <w:rFonts w:ascii="Arial" w:hAnsi="Arial" w:cs="Arial"/>
        </w:rPr>
        <w:t>more concentrated dose than in FFP</w:t>
      </w:r>
      <w:r w:rsidR="00203240" w:rsidRPr="002825DE">
        <w:rPr>
          <w:rFonts w:ascii="Arial" w:hAnsi="Arial" w:cs="Arial"/>
        </w:rPr>
        <w:t xml:space="preserve"> </w:t>
      </w:r>
      <w:r w:rsidR="00203240" w:rsidRPr="002825DE">
        <w:rPr>
          <w:rFonts w:ascii="Arial" w:hAnsi="Arial" w:cs="Arial"/>
        </w:rPr>
        <w:fldChar w:fldCharType="begin"/>
      </w:r>
      <w:r w:rsidR="004313B4" w:rsidRPr="002825DE">
        <w:rPr>
          <w:rFonts w:ascii="Arial" w:hAnsi="Arial" w:cs="Arial"/>
        </w:rPr>
        <w:instrText>ADDIN RW.CITE{{4552 Franchini,M. 2010}}</w:instrText>
      </w:r>
      <w:r w:rsidR="00203240" w:rsidRPr="002825DE">
        <w:rPr>
          <w:rFonts w:ascii="Arial" w:hAnsi="Arial" w:cs="Arial"/>
        </w:rPr>
        <w:fldChar w:fldCharType="separate"/>
      </w:r>
      <w:r w:rsidR="003960ED" w:rsidRPr="002825DE">
        <w:rPr>
          <w:rFonts w:ascii="Arial" w:hAnsi="Arial" w:cs="Arial"/>
        </w:rPr>
        <w:t>[5]</w:t>
      </w:r>
      <w:r w:rsidR="00203240" w:rsidRPr="002825DE">
        <w:rPr>
          <w:rFonts w:ascii="Arial" w:hAnsi="Arial" w:cs="Arial"/>
        </w:rPr>
        <w:fldChar w:fldCharType="end"/>
      </w:r>
      <w:r w:rsidR="00451710" w:rsidRPr="002825DE">
        <w:rPr>
          <w:rFonts w:ascii="Arial" w:hAnsi="Arial" w:cs="Arial"/>
        </w:rPr>
        <w:t>.</w:t>
      </w:r>
      <w:r w:rsidR="00CD4628" w:rsidRPr="002825DE">
        <w:rPr>
          <w:rFonts w:ascii="Arial" w:hAnsi="Arial" w:cs="Arial"/>
        </w:rPr>
        <w:t xml:space="preserve"> </w:t>
      </w:r>
      <w:r w:rsidRPr="002825DE">
        <w:rPr>
          <w:rFonts w:ascii="Arial" w:hAnsi="Arial" w:cs="Arial"/>
        </w:rPr>
        <w:t>While</w:t>
      </w:r>
      <w:r w:rsidR="00CD4628" w:rsidRPr="002825DE">
        <w:rPr>
          <w:rFonts w:ascii="Arial" w:hAnsi="Arial" w:cs="Arial"/>
        </w:rPr>
        <w:t xml:space="preserve"> FFP ultimately reverses coagulopathy, unlike PCC, it does not s</w:t>
      </w:r>
      <w:r w:rsidR="0045482B" w:rsidRPr="002825DE">
        <w:rPr>
          <w:rFonts w:ascii="Arial" w:hAnsi="Arial" w:cs="Arial"/>
        </w:rPr>
        <w:t>olely</w:t>
      </w:r>
      <w:r w:rsidR="00CD4628" w:rsidRPr="002825DE">
        <w:rPr>
          <w:rFonts w:ascii="Arial" w:hAnsi="Arial" w:cs="Arial"/>
        </w:rPr>
        <w:t xml:space="preserve"> restore the depleted vitamin K dependant coagulation factors.</w:t>
      </w:r>
    </w:p>
    <w:p w14:paraId="7A724728" w14:textId="77777777" w:rsidR="000E19BF" w:rsidRPr="002825DE" w:rsidRDefault="000E19BF" w:rsidP="00980769">
      <w:pPr>
        <w:spacing w:after="0" w:line="480" w:lineRule="auto"/>
        <w:jc w:val="both"/>
        <w:rPr>
          <w:rFonts w:ascii="Arial" w:hAnsi="Arial" w:cs="Arial"/>
        </w:rPr>
      </w:pPr>
    </w:p>
    <w:p w14:paraId="5E07E39B" w14:textId="35493886" w:rsidR="000231CF" w:rsidRPr="002825DE" w:rsidRDefault="003C7033" w:rsidP="00980769">
      <w:pPr>
        <w:spacing w:after="0" w:line="480" w:lineRule="auto"/>
        <w:jc w:val="both"/>
        <w:rPr>
          <w:rFonts w:ascii="Arial" w:hAnsi="Arial" w:cs="Arial"/>
        </w:rPr>
      </w:pPr>
      <w:r w:rsidRPr="002825DE">
        <w:rPr>
          <w:rFonts w:ascii="Arial" w:hAnsi="Arial" w:cs="Arial"/>
        </w:rPr>
        <w:t>A</w:t>
      </w:r>
      <w:r w:rsidR="00CD4628" w:rsidRPr="002825DE">
        <w:rPr>
          <w:rFonts w:ascii="Arial" w:hAnsi="Arial" w:cs="Arial"/>
        </w:rPr>
        <w:t>dministration methods</w:t>
      </w:r>
      <w:r w:rsidRPr="002825DE">
        <w:rPr>
          <w:rFonts w:ascii="Arial" w:hAnsi="Arial" w:cs="Arial"/>
        </w:rPr>
        <w:t xml:space="preserve"> of the two agents</w:t>
      </w:r>
      <w:r w:rsidR="00CD4628" w:rsidRPr="002825DE">
        <w:rPr>
          <w:rFonts w:ascii="Arial" w:hAnsi="Arial" w:cs="Arial"/>
        </w:rPr>
        <w:t xml:space="preserve"> tend to vary</w:t>
      </w:r>
      <w:r w:rsidRPr="002825DE">
        <w:rPr>
          <w:rFonts w:ascii="Arial" w:hAnsi="Arial" w:cs="Arial"/>
        </w:rPr>
        <w:t xml:space="preserve"> considerable.</w:t>
      </w:r>
      <w:r w:rsidR="00CD4628" w:rsidRPr="002825DE">
        <w:rPr>
          <w:rFonts w:ascii="Arial" w:hAnsi="Arial" w:cs="Arial"/>
        </w:rPr>
        <w:t xml:space="preserve"> </w:t>
      </w:r>
      <w:r w:rsidR="00A07A4A" w:rsidRPr="002825DE">
        <w:rPr>
          <w:rFonts w:ascii="Arial" w:hAnsi="Arial" w:cs="Arial"/>
        </w:rPr>
        <w:t xml:space="preserve">FFP, often requires thawing beforehand, is normally given with the addition of between 750 and 1500 ml of fluid over a period between 30 minutes and 4 hours </w:t>
      </w:r>
      <w:r w:rsidR="00A07A4A" w:rsidRPr="002825DE">
        <w:fldChar w:fldCharType="begin"/>
      </w:r>
      <w:r w:rsidR="00A07A4A" w:rsidRPr="002825DE">
        <w:instrText>ADDIN RW.CITE{{4516 O'shaughnessy,DF 2004}}</w:instrText>
      </w:r>
      <w:r w:rsidR="00A07A4A" w:rsidRPr="002825DE">
        <w:fldChar w:fldCharType="separate"/>
      </w:r>
      <w:r w:rsidR="00A07A4A" w:rsidRPr="002825DE">
        <w:rPr>
          <w:rFonts w:ascii="Arial" w:hAnsi="Arial" w:cs="Arial"/>
        </w:rPr>
        <w:t>[3</w:t>
      </w:r>
      <w:r w:rsidR="00F20D09" w:rsidRPr="002825DE">
        <w:rPr>
          <w:rFonts w:ascii="Arial" w:hAnsi="Arial" w:cs="Arial"/>
        </w:rPr>
        <w:t>2</w:t>
      </w:r>
      <w:r w:rsidR="00A07A4A" w:rsidRPr="002825DE">
        <w:rPr>
          <w:rFonts w:ascii="Arial" w:hAnsi="Arial" w:cs="Arial"/>
        </w:rPr>
        <w:t>]</w:t>
      </w:r>
      <w:r w:rsidR="00A07A4A" w:rsidRPr="002825DE">
        <w:fldChar w:fldCharType="end"/>
      </w:r>
      <w:r w:rsidR="00A07A4A" w:rsidRPr="002825DE">
        <w:rPr>
          <w:rFonts w:ascii="Arial" w:hAnsi="Arial" w:cs="Arial"/>
        </w:rPr>
        <w:t>. The relatively large volume required together with additional proteins within FFP limited amount it can be administered; this reduces its ability to replete the missing coagulation factors and decreased effectiveness. Goldstein</w:t>
      </w:r>
      <w:r w:rsidR="00A07A4A" w:rsidRPr="002825DE">
        <w:rPr>
          <w:rFonts w:ascii="Arial" w:hAnsi="Arial" w:cs="Arial"/>
          <w:i/>
        </w:rPr>
        <w:t xml:space="preserve"> et al</w:t>
      </w:r>
      <w:r w:rsidR="00A07A4A" w:rsidRPr="002825DE">
        <w:rPr>
          <w:rFonts w:ascii="Arial" w:hAnsi="Arial" w:cs="Arial"/>
        </w:rPr>
        <w:t xml:space="preserve"> showed a 20% decrease in achieving adequate INR reversal for every 30 minutes of FFP treatment delay within the first 24 hours </w:t>
      </w:r>
      <w:r w:rsidR="00A07A4A" w:rsidRPr="002825DE">
        <w:rPr>
          <w:rFonts w:ascii="Arial" w:hAnsi="Arial" w:cs="Arial"/>
        </w:rPr>
        <w:fldChar w:fldCharType="begin"/>
      </w:r>
      <w:r w:rsidR="00A07A4A" w:rsidRPr="002825DE">
        <w:rPr>
          <w:rFonts w:ascii="Arial" w:hAnsi="Arial" w:cs="Arial"/>
        </w:rPr>
        <w:instrText>ADDIN RW.CITE{{4553 Goldstein,J.N. 2006}}</w:instrText>
      </w:r>
      <w:r w:rsidR="00A07A4A" w:rsidRPr="002825DE">
        <w:rPr>
          <w:rFonts w:ascii="Arial" w:hAnsi="Arial" w:cs="Arial"/>
        </w:rPr>
        <w:fldChar w:fldCharType="separate"/>
      </w:r>
      <w:r w:rsidR="00A07A4A" w:rsidRPr="002825DE">
        <w:rPr>
          <w:rFonts w:ascii="Arial" w:hAnsi="Arial" w:cs="Arial"/>
        </w:rPr>
        <w:t>[3</w:t>
      </w:r>
      <w:r w:rsidR="00F20D09" w:rsidRPr="002825DE">
        <w:rPr>
          <w:rFonts w:ascii="Arial" w:hAnsi="Arial" w:cs="Arial"/>
        </w:rPr>
        <w:t>3</w:t>
      </w:r>
      <w:r w:rsidR="00A07A4A" w:rsidRPr="002825DE">
        <w:rPr>
          <w:rFonts w:ascii="Arial" w:hAnsi="Arial" w:cs="Arial"/>
        </w:rPr>
        <w:t>]</w:t>
      </w:r>
      <w:r w:rsidR="00A07A4A" w:rsidRPr="002825DE">
        <w:rPr>
          <w:rFonts w:ascii="Arial" w:hAnsi="Arial" w:cs="Arial"/>
        </w:rPr>
        <w:fldChar w:fldCharType="end"/>
      </w:r>
      <w:r w:rsidR="00A07A4A" w:rsidRPr="002825DE">
        <w:rPr>
          <w:rFonts w:ascii="Arial" w:hAnsi="Arial" w:cs="Arial"/>
        </w:rPr>
        <w:t xml:space="preserve">. </w:t>
      </w:r>
      <w:r w:rsidR="000625B8" w:rsidRPr="002825DE">
        <w:rPr>
          <w:rFonts w:ascii="Arial" w:hAnsi="Arial" w:cs="Arial"/>
        </w:rPr>
        <w:t>Conversely</w:t>
      </w:r>
      <w:r w:rsidR="00A07A4A" w:rsidRPr="002825DE">
        <w:rPr>
          <w:rFonts w:ascii="Arial" w:hAnsi="Arial" w:cs="Arial"/>
        </w:rPr>
        <w:t xml:space="preserve">, </w:t>
      </w:r>
      <w:r w:rsidR="00CD4628" w:rsidRPr="002825DE">
        <w:rPr>
          <w:rFonts w:ascii="Arial" w:hAnsi="Arial" w:cs="Arial"/>
        </w:rPr>
        <w:t xml:space="preserve">PCC is </w:t>
      </w:r>
      <w:r w:rsidR="00BB1D11" w:rsidRPr="002825DE">
        <w:rPr>
          <w:rFonts w:ascii="Arial" w:hAnsi="Arial" w:cs="Arial"/>
        </w:rPr>
        <w:t xml:space="preserve">usually given </w:t>
      </w:r>
      <w:r w:rsidR="00CD4628" w:rsidRPr="002825DE">
        <w:rPr>
          <w:rFonts w:ascii="Arial" w:hAnsi="Arial" w:cs="Arial"/>
        </w:rPr>
        <w:t>over</w:t>
      </w:r>
      <w:r w:rsidR="00A07A4A" w:rsidRPr="002825DE">
        <w:rPr>
          <w:rFonts w:ascii="Arial" w:hAnsi="Arial" w:cs="Arial"/>
        </w:rPr>
        <w:t xml:space="preserve"> a shorter period of</w:t>
      </w:r>
      <w:r w:rsidR="00CD4628" w:rsidRPr="002825DE">
        <w:rPr>
          <w:rFonts w:ascii="Arial" w:hAnsi="Arial" w:cs="Arial"/>
        </w:rPr>
        <w:t xml:space="preserve"> 15 minutes </w:t>
      </w:r>
      <w:r w:rsidR="00CD4628" w:rsidRPr="002825DE">
        <w:fldChar w:fldCharType="begin"/>
      </w:r>
      <w:r w:rsidR="004313B4" w:rsidRPr="002825DE">
        <w:instrText>ADDIN RW.CITE{{4516 O'shaughnessy,DF 2004}}</w:instrText>
      </w:r>
      <w:r w:rsidR="00CD4628" w:rsidRPr="002825DE">
        <w:fldChar w:fldCharType="separate"/>
      </w:r>
      <w:bookmarkStart w:id="75" w:name="__Fieldmark__650_2453490188"/>
      <w:bookmarkStart w:id="76" w:name="__Fieldmark__3911_2106776864"/>
      <w:bookmarkStart w:id="77" w:name="__Fieldmark__2285_2106776864"/>
      <w:bookmarkStart w:id="78" w:name="__Fieldmark__608_2106776864"/>
      <w:bookmarkStart w:id="79" w:name="__Fieldmark__558_1242759569"/>
      <w:r w:rsidR="003960ED" w:rsidRPr="002825DE">
        <w:rPr>
          <w:rFonts w:ascii="Arial" w:hAnsi="Arial" w:cs="Arial"/>
        </w:rPr>
        <w:t>[3</w:t>
      </w:r>
      <w:r w:rsidR="00F20D09" w:rsidRPr="002825DE">
        <w:rPr>
          <w:rFonts w:ascii="Arial" w:hAnsi="Arial" w:cs="Arial"/>
        </w:rPr>
        <w:t>2</w:t>
      </w:r>
      <w:r w:rsidR="003960ED" w:rsidRPr="002825DE">
        <w:rPr>
          <w:rFonts w:ascii="Arial" w:hAnsi="Arial" w:cs="Arial"/>
        </w:rPr>
        <w:t>]</w:t>
      </w:r>
      <w:r w:rsidR="00CD4628" w:rsidRPr="002825DE">
        <w:fldChar w:fldCharType="end"/>
      </w:r>
      <w:bookmarkStart w:id="80" w:name="__Fieldmark__565_2557495909"/>
      <w:bookmarkStart w:id="81" w:name="__Fieldmark__565_4243418973"/>
      <w:bookmarkEnd w:id="75"/>
      <w:bookmarkEnd w:id="76"/>
      <w:bookmarkEnd w:id="77"/>
      <w:bookmarkEnd w:id="78"/>
      <w:bookmarkEnd w:id="79"/>
      <w:bookmarkEnd w:id="80"/>
      <w:bookmarkEnd w:id="81"/>
      <w:r w:rsidR="00CD4628" w:rsidRPr="002825DE">
        <w:rPr>
          <w:rFonts w:ascii="Arial" w:hAnsi="Arial" w:cs="Arial"/>
        </w:rPr>
        <w:t xml:space="preserve">. </w:t>
      </w:r>
    </w:p>
    <w:p w14:paraId="7614BFD8" w14:textId="77777777" w:rsidR="001C1963" w:rsidRPr="002825DE" w:rsidRDefault="001C1963" w:rsidP="00980769">
      <w:pPr>
        <w:spacing w:after="0" w:line="480" w:lineRule="auto"/>
        <w:jc w:val="both"/>
      </w:pPr>
    </w:p>
    <w:p w14:paraId="6FB39BB4" w14:textId="2F36E84E" w:rsidR="000231CF" w:rsidRPr="002825DE" w:rsidRDefault="000625B8" w:rsidP="00980769">
      <w:pPr>
        <w:spacing w:after="0" w:line="480" w:lineRule="auto"/>
        <w:jc w:val="both"/>
      </w:pPr>
      <w:r w:rsidRPr="002825DE">
        <w:rPr>
          <w:rFonts w:ascii="Arial" w:hAnsi="Arial" w:cs="Arial"/>
        </w:rPr>
        <w:t>B</w:t>
      </w:r>
      <w:r w:rsidR="00D20194" w:rsidRPr="002825DE">
        <w:rPr>
          <w:rFonts w:ascii="Arial" w:hAnsi="Arial" w:cs="Arial"/>
        </w:rPr>
        <w:t>enefit and risk profile of treatment with</w:t>
      </w:r>
      <w:r w:rsidR="00451710" w:rsidRPr="002825DE">
        <w:rPr>
          <w:rFonts w:ascii="Arial" w:hAnsi="Arial" w:cs="Arial"/>
        </w:rPr>
        <w:t xml:space="preserve"> PCC or FFP </w:t>
      </w:r>
      <w:r w:rsidRPr="002825DE">
        <w:rPr>
          <w:rFonts w:ascii="Arial" w:hAnsi="Arial" w:cs="Arial"/>
        </w:rPr>
        <w:t>must</w:t>
      </w:r>
      <w:r w:rsidR="000E19BF" w:rsidRPr="002825DE">
        <w:rPr>
          <w:rFonts w:ascii="Arial" w:hAnsi="Arial" w:cs="Arial"/>
        </w:rPr>
        <w:t xml:space="preserve"> </w:t>
      </w:r>
      <w:r w:rsidR="00D20194" w:rsidRPr="002825DE">
        <w:rPr>
          <w:rFonts w:ascii="Arial" w:hAnsi="Arial" w:cs="Arial"/>
        </w:rPr>
        <w:t>be considered</w:t>
      </w:r>
      <w:r w:rsidRPr="002825DE">
        <w:rPr>
          <w:rFonts w:ascii="Arial" w:hAnsi="Arial" w:cs="Arial"/>
        </w:rPr>
        <w:t xml:space="preserve"> and</w:t>
      </w:r>
      <w:r w:rsidR="00D20194" w:rsidRPr="002825DE">
        <w:rPr>
          <w:rFonts w:ascii="Arial" w:hAnsi="Arial" w:cs="Arial"/>
        </w:rPr>
        <w:t xml:space="preserve"> the balance </w:t>
      </w:r>
      <w:r w:rsidR="00451710" w:rsidRPr="002825DE">
        <w:rPr>
          <w:rFonts w:ascii="Arial" w:hAnsi="Arial" w:cs="Arial"/>
        </w:rPr>
        <w:t xml:space="preserve">between procoagulant and anticoagulant </w:t>
      </w:r>
      <w:r w:rsidR="00D20194" w:rsidRPr="002825DE">
        <w:rPr>
          <w:rFonts w:ascii="Arial" w:hAnsi="Arial" w:cs="Arial"/>
        </w:rPr>
        <w:t xml:space="preserve">effects </w:t>
      </w:r>
      <w:r w:rsidR="00653742" w:rsidRPr="002825DE">
        <w:rPr>
          <w:rFonts w:ascii="Arial" w:hAnsi="Arial" w:cs="Arial"/>
        </w:rPr>
        <w:t>is</w:t>
      </w:r>
      <w:r w:rsidR="00D20194" w:rsidRPr="002825DE">
        <w:rPr>
          <w:rFonts w:ascii="Arial" w:hAnsi="Arial" w:cs="Arial"/>
        </w:rPr>
        <w:t xml:space="preserve"> important to avoid</w:t>
      </w:r>
      <w:r w:rsidR="00451710" w:rsidRPr="002825DE">
        <w:rPr>
          <w:rFonts w:ascii="Arial" w:hAnsi="Arial" w:cs="Arial"/>
        </w:rPr>
        <w:t xml:space="preserve"> thromboembolic events. </w:t>
      </w:r>
      <w:r w:rsidR="0045476E" w:rsidRPr="002825DE">
        <w:rPr>
          <w:rFonts w:ascii="Arial" w:hAnsi="Arial" w:cs="Arial"/>
          <w:color w:val="333333"/>
        </w:rPr>
        <w:t>Thrombotic risk with PCC administration</w:t>
      </w:r>
      <w:r w:rsidR="0045476E" w:rsidRPr="002825DE">
        <w:rPr>
          <w:rFonts w:ascii="Arial" w:hAnsi="Arial" w:cs="Arial"/>
          <w:i/>
          <w:color w:val="333333"/>
        </w:rPr>
        <w:t>, i.e.</w:t>
      </w:r>
      <w:r w:rsidR="0045476E" w:rsidRPr="002825DE">
        <w:rPr>
          <w:rFonts w:ascii="Arial" w:hAnsi="Arial" w:cs="Arial"/>
          <w:color w:val="333333"/>
        </w:rPr>
        <w:t xml:space="preserve"> thrombin potential, may be a drawback of this agent.</w:t>
      </w:r>
      <w:r w:rsidR="008329FA" w:rsidRPr="002825DE">
        <w:rPr>
          <w:rFonts w:ascii="Arial" w:hAnsi="Arial" w:cs="Arial"/>
          <w:color w:val="333333"/>
        </w:rPr>
        <w:t xml:space="preserve"> </w:t>
      </w:r>
      <w:r w:rsidR="0045476E" w:rsidRPr="002825DE">
        <w:rPr>
          <w:rFonts w:ascii="Arial" w:hAnsi="Arial" w:cs="Arial"/>
          <w:color w:val="333333"/>
        </w:rPr>
        <w:t>However, we found n</w:t>
      </w:r>
      <w:r w:rsidR="00D20194" w:rsidRPr="002825DE">
        <w:rPr>
          <w:rFonts w:ascii="Arial" w:hAnsi="Arial" w:cs="Arial"/>
        </w:rPr>
        <w:t>o differences in patients experiencing at least one TEE between treatment groups</w:t>
      </w:r>
      <w:r w:rsidRPr="002825DE">
        <w:rPr>
          <w:rFonts w:ascii="Arial" w:hAnsi="Arial" w:cs="Arial"/>
        </w:rPr>
        <w:t xml:space="preserve"> were observed</w:t>
      </w:r>
      <w:r w:rsidR="00D20194" w:rsidRPr="002825DE">
        <w:rPr>
          <w:rFonts w:ascii="Arial" w:hAnsi="Arial" w:cs="Arial"/>
        </w:rPr>
        <w:t xml:space="preserve">. </w:t>
      </w:r>
      <w:r w:rsidR="008329FA" w:rsidRPr="002825DE">
        <w:rPr>
          <w:rFonts w:ascii="Arial" w:hAnsi="Arial" w:cs="Arial"/>
          <w:color w:val="333333"/>
        </w:rPr>
        <w:t xml:space="preserve">It appears that the risk of TEE exaggerated </w:t>
      </w:r>
      <w:r w:rsidR="00234441" w:rsidRPr="002825DE">
        <w:rPr>
          <w:rFonts w:ascii="Arial" w:hAnsi="Arial" w:cs="Arial"/>
          <w:color w:val="333333"/>
        </w:rPr>
        <w:t xml:space="preserve">by 4.5-fold </w:t>
      </w:r>
      <w:r w:rsidR="008329FA" w:rsidRPr="002825DE">
        <w:rPr>
          <w:rFonts w:ascii="Arial" w:hAnsi="Arial" w:cs="Arial"/>
          <w:color w:val="333333"/>
        </w:rPr>
        <w:t xml:space="preserve">in </w:t>
      </w:r>
      <w:r w:rsidR="008329FA" w:rsidRPr="002825DE">
        <w:rPr>
          <w:rFonts w:ascii="Arial" w:hAnsi="Arial" w:cs="Arial"/>
          <w:color w:val="333333"/>
        </w:rPr>
        <w:lastRenderedPageBreak/>
        <w:t>patients with a prior history of DVT or PE who received PCC for warfarin-associated ICH</w:t>
      </w:r>
      <w:r w:rsidR="00234441" w:rsidRPr="002825DE">
        <w:rPr>
          <w:rFonts w:ascii="Arial" w:hAnsi="Arial" w:cs="Arial"/>
          <w:color w:val="333333"/>
        </w:rPr>
        <w:t xml:space="preserve"> [3</w:t>
      </w:r>
      <w:r w:rsidR="00F20D09" w:rsidRPr="002825DE">
        <w:rPr>
          <w:rFonts w:ascii="Arial" w:hAnsi="Arial" w:cs="Arial"/>
          <w:color w:val="333333"/>
        </w:rPr>
        <w:t>4</w:t>
      </w:r>
      <w:r w:rsidR="00234441" w:rsidRPr="002825DE">
        <w:rPr>
          <w:rFonts w:ascii="Arial" w:hAnsi="Arial" w:cs="Arial"/>
          <w:color w:val="333333"/>
        </w:rPr>
        <w:t>]</w:t>
      </w:r>
      <w:r w:rsidR="008329FA" w:rsidRPr="002825DE">
        <w:rPr>
          <w:rFonts w:ascii="Arial" w:hAnsi="Arial" w:cs="Arial"/>
          <w:color w:val="333333"/>
        </w:rPr>
        <w:t>.</w:t>
      </w:r>
      <w:r w:rsidR="00E332EC" w:rsidRPr="002825DE">
        <w:rPr>
          <w:rFonts w:ascii="Arial" w:hAnsi="Arial" w:cs="Arial"/>
          <w:color w:val="333333"/>
        </w:rPr>
        <w:t xml:space="preserve">  </w:t>
      </w:r>
    </w:p>
    <w:p w14:paraId="1D4F3FB2" w14:textId="77777777" w:rsidR="00E553C8" w:rsidRPr="002825DE" w:rsidRDefault="00E553C8" w:rsidP="00980769">
      <w:pPr>
        <w:spacing w:after="0" w:line="480" w:lineRule="auto"/>
        <w:jc w:val="both"/>
        <w:rPr>
          <w:rFonts w:ascii="Arial" w:hAnsi="Arial" w:cs="Arial"/>
        </w:rPr>
      </w:pPr>
    </w:p>
    <w:p w14:paraId="60590838" w14:textId="1D069BDE" w:rsidR="000231CF" w:rsidRPr="002825DE" w:rsidRDefault="00916486" w:rsidP="00980769">
      <w:pPr>
        <w:spacing w:after="0" w:line="480" w:lineRule="auto"/>
        <w:jc w:val="both"/>
      </w:pPr>
      <w:r w:rsidRPr="002825DE">
        <w:rPr>
          <w:rFonts w:ascii="Arial" w:hAnsi="Arial" w:cs="Arial"/>
        </w:rPr>
        <w:t>Our subgroup analysis of</w:t>
      </w:r>
      <w:r w:rsidR="00CD4628" w:rsidRPr="002825DE">
        <w:rPr>
          <w:rFonts w:ascii="Arial" w:hAnsi="Arial" w:cs="Arial"/>
        </w:rPr>
        <w:t xml:space="preserve"> </w:t>
      </w:r>
      <w:r w:rsidRPr="002825DE">
        <w:rPr>
          <w:rFonts w:ascii="Arial" w:hAnsi="Arial" w:cs="Arial"/>
        </w:rPr>
        <w:t>reversal of VKA</w:t>
      </w:r>
      <w:r w:rsidR="00CD4628" w:rsidRPr="002825DE">
        <w:rPr>
          <w:rFonts w:ascii="Arial" w:hAnsi="Arial" w:cs="Arial"/>
        </w:rPr>
        <w:t xml:space="preserve"> in </w:t>
      </w:r>
      <w:r w:rsidRPr="002825DE">
        <w:rPr>
          <w:rFonts w:ascii="Arial" w:hAnsi="Arial" w:cs="Arial"/>
        </w:rPr>
        <w:t>patients with</w:t>
      </w:r>
      <w:r w:rsidR="00CD4628" w:rsidRPr="002825DE">
        <w:rPr>
          <w:rFonts w:ascii="Arial" w:hAnsi="Arial" w:cs="Arial"/>
        </w:rPr>
        <w:t xml:space="preserve"> ICH </w:t>
      </w:r>
      <w:r w:rsidRPr="002825DE">
        <w:rPr>
          <w:rFonts w:ascii="Arial" w:hAnsi="Arial" w:cs="Arial"/>
        </w:rPr>
        <w:t>revealed that</w:t>
      </w:r>
      <w:r w:rsidR="00CD4628" w:rsidRPr="002825DE">
        <w:rPr>
          <w:rFonts w:ascii="Arial" w:hAnsi="Arial" w:cs="Arial"/>
        </w:rPr>
        <w:t xml:space="preserve"> PCC treatment </w:t>
      </w:r>
      <w:r w:rsidRPr="002825DE">
        <w:rPr>
          <w:rFonts w:ascii="Arial" w:hAnsi="Arial" w:cs="Arial"/>
        </w:rPr>
        <w:t xml:space="preserve">also </w:t>
      </w:r>
      <w:r w:rsidR="00CD4628" w:rsidRPr="002825DE">
        <w:rPr>
          <w:rFonts w:ascii="Arial" w:hAnsi="Arial" w:cs="Arial"/>
        </w:rPr>
        <w:t>ou</w:t>
      </w:r>
      <w:r w:rsidRPr="002825DE">
        <w:rPr>
          <w:rFonts w:ascii="Arial" w:hAnsi="Arial" w:cs="Arial"/>
        </w:rPr>
        <w:t>tperformed FFP treatment for 90</w:t>
      </w:r>
      <w:r w:rsidR="00CD4628" w:rsidRPr="002825DE">
        <w:rPr>
          <w:rFonts w:ascii="Arial" w:hAnsi="Arial" w:cs="Arial"/>
        </w:rPr>
        <w:t xml:space="preserve">day all-cause mortality outcome </w:t>
      </w:r>
      <w:r w:rsidRPr="002825DE">
        <w:rPr>
          <w:rFonts w:ascii="Arial" w:hAnsi="Arial" w:cs="Arial"/>
        </w:rPr>
        <w:t>as well as for</w:t>
      </w:r>
      <w:r w:rsidR="00CD4628" w:rsidRPr="002825DE">
        <w:rPr>
          <w:rFonts w:ascii="Arial" w:hAnsi="Arial" w:cs="Arial"/>
        </w:rPr>
        <w:t xml:space="preserve"> </w:t>
      </w:r>
      <w:r w:rsidRPr="002825DE">
        <w:rPr>
          <w:rFonts w:ascii="Arial" w:hAnsi="Arial" w:cs="Arial"/>
        </w:rPr>
        <w:t xml:space="preserve">achieving </w:t>
      </w:r>
      <w:r w:rsidR="00CD4628" w:rsidRPr="002825DE">
        <w:rPr>
          <w:rFonts w:ascii="Arial" w:hAnsi="Arial" w:cs="Arial"/>
        </w:rPr>
        <w:t>adequate INR reversal.</w:t>
      </w:r>
      <w:r w:rsidR="007B0C53" w:rsidRPr="002825DE">
        <w:rPr>
          <w:rFonts w:ascii="Arial" w:hAnsi="Arial" w:cs="Arial"/>
        </w:rPr>
        <w:t xml:space="preserve"> This discrepancy is </w:t>
      </w:r>
      <w:r w:rsidR="00207243" w:rsidRPr="002825DE">
        <w:rPr>
          <w:rFonts w:ascii="Arial" w:hAnsi="Arial" w:cs="Arial"/>
        </w:rPr>
        <w:t xml:space="preserve">possibly </w:t>
      </w:r>
      <w:r w:rsidR="007B0C53" w:rsidRPr="002825DE">
        <w:rPr>
          <w:rFonts w:ascii="Arial" w:hAnsi="Arial" w:cs="Arial"/>
        </w:rPr>
        <w:t>due to</w:t>
      </w:r>
      <w:r w:rsidR="00CD4628" w:rsidRPr="002825DE">
        <w:rPr>
          <w:rFonts w:ascii="Arial" w:hAnsi="Arial" w:cs="Arial"/>
        </w:rPr>
        <w:t xml:space="preserve"> </w:t>
      </w:r>
      <w:r w:rsidR="007B0C53" w:rsidRPr="002825DE">
        <w:rPr>
          <w:rFonts w:ascii="Arial" w:hAnsi="Arial" w:cs="Arial"/>
        </w:rPr>
        <w:t xml:space="preserve">the faster </w:t>
      </w:r>
      <w:r w:rsidR="00207243" w:rsidRPr="002825DE">
        <w:rPr>
          <w:rFonts w:ascii="Arial" w:hAnsi="Arial" w:cs="Arial"/>
        </w:rPr>
        <w:t xml:space="preserve">response </w:t>
      </w:r>
      <w:r w:rsidR="007B0C53" w:rsidRPr="002825DE">
        <w:rPr>
          <w:rFonts w:ascii="Arial" w:hAnsi="Arial" w:cs="Arial"/>
        </w:rPr>
        <w:t>time</w:t>
      </w:r>
      <w:r w:rsidR="00207243" w:rsidRPr="002825DE">
        <w:rPr>
          <w:rFonts w:ascii="Arial" w:hAnsi="Arial" w:cs="Arial"/>
        </w:rPr>
        <w:t xml:space="preserve"> of</w:t>
      </w:r>
      <w:r w:rsidR="007B0C53" w:rsidRPr="002825DE">
        <w:rPr>
          <w:rFonts w:ascii="Arial" w:hAnsi="Arial" w:cs="Arial"/>
        </w:rPr>
        <w:t xml:space="preserve"> PCC compared with FFP (as described above)</w:t>
      </w:r>
      <w:r w:rsidR="000A05C3" w:rsidRPr="002825DE">
        <w:rPr>
          <w:rFonts w:ascii="Arial" w:hAnsi="Arial" w:cs="Arial"/>
        </w:rPr>
        <w:t>.</w:t>
      </w:r>
      <w:r w:rsidR="00CD4628" w:rsidRPr="002825DE">
        <w:rPr>
          <w:rFonts w:ascii="Arial" w:hAnsi="Arial" w:cs="Arial"/>
        </w:rPr>
        <w:t xml:space="preserve"> </w:t>
      </w:r>
      <w:r w:rsidR="007B0C53" w:rsidRPr="002825DE">
        <w:rPr>
          <w:rFonts w:ascii="Arial" w:hAnsi="Arial" w:cs="Arial"/>
        </w:rPr>
        <w:t xml:space="preserve">ICH expansion is associated with increased mortality </w:t>
      </w:r>
      <w:r w:rsidR="007B0C53" w:rsidRPr="002825DE">
        <w:rPr>
          <w:rFonts w:ascii="Arial" w:hAnsi="Arial" w:cs="Arial"/>
        </w:rPr>
        <w:fldChar w:fldCharType="begin"/>
      </w:r>
      <w:r w:rsidR="007B0C53" w:rsidRPr="002825DE">
        <w:rPr>
          <w:rFonts w:ascii="Arial" w:hAnsi="Arial" w:cs="Arial"/>
        </w:rPr>
        <w:instrText>ADDIN RW.CITE{{4539 Steiner,Thorsten 2016; 4554 Flibotte,J.J. 2004}}</w:instrText>
      </w:r>
      <w:r w:rsidR="007B0C53" w:rsidRPr="002825DE">
        <w:rPr>
          <w:rFonts w:ascii="Arial" w:hAnsi="Arial" w:cs="Arial"/>
        </w:rPr>
        <w:fldChar w:fldCharType="separate"/>
      </w:r>
      <w:r w:rsidR="007B0C53" w:rsidRPr="002825DE">
        <w:rPr>
          <w:rFonts w:ascii="Arial" w:hAnsi="Arial" w:cs="Arial"/>
        </w:rPr>
        <w:t>[3</w:t>
      </w:r>
      <w:r w:rsidR="00F20D09" w:rsidRPr="002825DE">
        <w:rPr>
          <w:rFonts w:ascii="Arial" w:hAnsi="Arial" w:cs="Arial"/>
        </w:rPr>
        <w:t>5</w:t>
      </w:r>
      <w:r w:rsidR="007B0C53" w:rsidRPr="002825DE">
        <w:rPr>
          <w:rFonts w:ascii="Arial" w:hAnsi="Arial" w:cs="Arial"/>
        </w:rPr>
        <w:t>]</w:t>
      </w:r>
      <w:r w:rsidR="007B0C53" w:rsidRPr="002825DE">
        <w:rPr>
          <w:rFonts w:ascii="Arial" w:hAnsi="Arial" w:cs="Arial"/>
        </w:rPr>
        <w:fldChar w:fldCharType="end"/>
      </w:r>
      <w:r w:rsidR="007B0C53" w:rsidRPr="002825DE">
        <w:rPr>
          <w:rFonts w:ascii="Arial" w:hAnsi="Arial" w:cs="Arial"/>
        </w:rPr>
        <w:t xml:space="preserve"> therefore this adverse condition should be minimised as much as possible. </w:t>
      </w:r>
      <w:r w:rsidRPr="002825DE">
        <w:rPr>
          <w:rFonts w:ascii="Arial" w:hAnsi="Arial" w:cs="Arial"/>
        </w:rPr>
        <w:t xml:space="preserve">Steiner </w:t>
      </w:r>
      <w:r w:rsidRPr="002825DE">
        <w:rPr>
          <w:rFonts w:ascii="Arial" w:hAnsi="Arial" w:cs="Arial"/>
          <w:i/>
        </w:rPr>
        <w:t>et al</w:t>
      </w:r>
      <w:r w:rsidR="0001596E" w:rsidRPr="002825DE">
        <w:rPr>
          <w:rFonts w:ascii="Arial" w:hAnsi="Arial" w:cs="Arial"/>
        </w:rPr>
        <w:t xml:space="preserve"> </w:t>
      </w:r>
      <w:r w:rsidR="007B0C53" w:rsidRPr="002825DE">
        <w:rPr>
          <w:rFonts w:ascii="Arial" w:hAnsi="Arial" w:cs="Arial"/>
        </w:rPr>
        <w:t>have reported that PCC treatment was</w:t>
      </w:r>
      <w:r w:rsidR="0001596E" w:rsidRPr="002825DE">
        <w:rPr>
          <w:rFonts w:ascii="Arial" w:hAnsi="Arial" w:cs="Arial"/>
        </w:rPr>
        <w:t xml:space="preserve"> associated with less haematoma expansion at 3 hours and 24 hours than FFP </w:t>
      </w:r>
      <w:r w:rsidR="007B0C53" w:rsidRPr="002825DE">
        <w:rPr>
          <w:rFonts w:ascii="Arial" w:hAnsi="Arial" w:cs="Arial"/>
        </w:rPr>
        <w:t xml:space="preserve">in patients with ICH </w:t>
      </w:r>
      <w:r w:rsidR="007B0C53" w:rsidRPr="002825DE">
        <w:rPr>
          <w:rFonts w:ascii="Arial" w:hAnsi="Arial" w:cs="Arial"/>
        </w:rPr>
        <w:fldChar w:fldCharType="begin"/>
      </w:r>
      <w:r w:rsidR="007B0C53" w:rsidRPr="002825DE">
        <w:rPr>
          <w:rFonts w:ascii="Arial" w:hAnsi="Arial" w:cs="Arial"/>
        </w:rPr>
        <w:instrText>ADDIN RW.CITE{{4539 Steiner,Thorsten 2016; 4554 Flibotte,J.J. 2004}}</w:instrText>
      </w:r>
      <w:r w:rsidR="007B0C53" w:rsidRPr="002825DE">
        <w:rPr>
          <w:rFonts w:ascii="Arial" w:hAnsi="Arial" w:cs="Arial"/>
        </w:rPr>
        <w:fldChar w:fldCharType="separate"/>
      </w:r>
      <w:r w:rsidR="007B0C53" w:rsidRPr="002825DE">
        <w:rPr>
          <w:rFonts w:ascii="Arial" w:hAnsi="Arial" w:cs="Arial"/>
        </w:rPr>
        <w:t>[1</w:t>
      </w:r>
      <w:r w:rsidR="00C17DE8" w:rsidRPr="002825DE">
        <w:rPr>
          <w:rFonts w:ascii="Arial" w:hAnsi="Arial" w:cs="Arial"/>
        </w:rPr>
        <w:t>6</w:t>
      </w:r>
      <w:r w:rsidR="007B0C53" w:rsidRPr="002825DE">
        <w:rPr>
          <w:rFonts w:ascii="Arial" w:hAnsi="Arial" w:cs="Arial"/>
        </w:rPr>
        <w:t>]</w:t>
      </w:r>
      <w:r w:rsidR="007B0C53" w:rsidRPr="002825DE">
        <w:rPr>
          <w:rFonts w:ascii="Arial" w:hAnsi="Arial" w:cs="Arial"/>
        </w:rPr>
        <w:fldChar w:fldCharType="end"/>
      </w:r>
      <w:r w:rsidR="00F703FC" w:rsidRPr="002825DE">
        <w:rPr>
          <w:rFonts w:ascii="Arial" w:hAnsi="Arial" w:cs="Arial"/>
        </w:rPr>
        <w:t xml:space="preserve"> while</w:t>
      </w:r>
      <w:r w:rsidR="007B0C53" w:rsidRPr="002825DE">
        <w:rPr>
          <w:rFonts w:ascii="Arial" w:hAnsi="Arial" w:cs="Arial"/>
        </w:rPr>
        <w:t xml:space="preserve"> </w:t>
      </w:r>
      <w:r w:rsidR="00710D11" w:rsidRPr="002825DE">
        <w:rPr>
          <w:rFonts w:ascii="Arial" w:hAnsi="Arial" w:cs="Arial"/>
        </w:rPr>
        <w:t xml:space="preserve">Huttner </w:t>
      </w:r>
      <w:r w:rsidR="00710D11" w:rsidRPr="002825DE">
        <w:rPr>
          <w:rFonts w:ascii="Arial" w:hAnsi="Arial" w:cs="Arial"/>
          <w:i/>
        </w:rPr>
        <w:t>et al</w:t>
      </w:r>
      <w:r w:rsidR="00710D11" w:rsidRPr="002825DE">
        <w:rPr>
          <w:rFonts w:ascii="Arial" w:hAnsi="Arial" w:cs="Arial"/>
        </w:rPr>
        <w:t xml:space="preserve"> </w:t>
      </w:r>
      <w:r w:rsidR="00F703FC" w:rsidRPr="002825DE">
        <w:rPr>
          <w:rFonts w:ascii="Arial" w:hAnsi="Arial" w:cs="Arial"/>
        </w:rPr>
        <w:t>reported</w:t>
      </w:r>
      <w:r w:rsidR="00710D11" w:rsidRPr="002825DE">
        <w:rPr>
          <w:rFonts w:ascii="Arial" w:hAnsi="Arial" w:cs="Arial"/>
        </w:rPr>
        <w:t xml:space="preserve"> no difference</w:t>
      </w:r>
      <w:r w:rsidR="00F703FC" w:rsidRPr="002825DE">
        <w:rPr>
          <w:rFonts w:ascii="Arial" w:hAnsi="Arial" w:cs="Arial"/>
        </w:rPr>
        <w:t>s</w:t>
      </w:r>
      <w:r w:rsidR="00710D11" w:rsidRPr="002825DE">
        <w:rPr>
          <w:rFonts w:ascii="Arial" w:hAnsi="Arial" w:cs="Arial"/>
        </w:rPr>
        <w:t xml:space="preserve"> in haematoma expansion between </w:t>
      </w:r>
      <w:r w:rsidR="00F703FC" w:rsidRPr="002825DE">
        <w:rPr>
          <w:rFonts w:ascii="Arial" w:hAnsi="Arial" w:cs="Arial"/>
        </w:rPr>
        <w:t>these two agents for</w:t>
      </w:r>
      <w:r w:rsidR="00710D11" w:rsidRPr="002825DE">
        <w:rPr>
          <w:rFonts w:ascii="Arial" w:hAnsi="Arial" w:cs="Arial"/>
        </w:rPr>
        <w:t xml:space="preserve"> INR reversal within 2 hours, indicating that the </w:t>
      </w:r>
      <w:r w:rsidR="002E27B1" w:rsidRPr="002825DE">
        <w:rPr>
          <w:rFonts w:ascii="Arial" w:hAnsi="Arial" w:cs="Arial"/>
        </w:rPr>
        <w:t>faster</w:t>
      </w:r>
      <w:r w:rsidR="00710D11" w:rsidRPr="002825DE">
        <w:rPr>
          <w:rFonts w:ascii="Arial" w:hAnsi="Arial" w:cs="Arial"/>
        </w:rPr>
        <w:t xml:space="preserve"> and more efficacious </w:t>
      </w:r>
      <w:r w:rsidR="002E27B1" w:rsidRPr="002825DE">
        <w:rPr>
          <w:rFonts w:ascii="Arial" w:hAnsi="Arial" w:cs="Arial"/>
        </w:rPr>
        <w:t xml:space="preserve">PCC in </w:t>
      </w:r>
      <w:r w:rsidR="00710D11" w:rsidRPr="002825DE">
        <w:rPr>
          <w:rFonts w:ascii="Arial" w:hAnsi="Arial" w:cs="Arial"/>
        </w:rPr>
        <w:t xml:space="preserve">INR reversal may </w:t>
      </w:r>
      <w:r w:rsidR="002E27B1" w:rsidRPr="002825DE">
        <w:rPr>
          <w:rFonts w:ascii="Arial" w:hAnsi="Arial" w:cs="Arial"/>
        </w:rPr>
        <w:t>be the contributing factor for reducing</w:t>
      </w:r>
      <w:r w:rsidR="00710D11" w:rsidRPr="002825DE">
        <w:rPr>
          <w:rFonts w:ascii="Arial" w:hAnsi="Arial" w:cs="Arial"/>
        </w:rPr>
        <w:t xml:space="preserve"> mortality</w:t>
      </w:r>
      <w:r w:rsidR="009017AF" w:rsidRPr="002825DE">
        <w:rPr>
          <w:rFonts w:ascii="Arial" w:hAnsi="Arial" w:cs="Arial"/>
        </w:rPr>
        <w:t xml:space="preserve"> </w:t>
      </w:r>
      <w:r w:rsidR="009017AF" w:rsidRPr="002825DE">
        <w:rPr>
          <w:rFonts w:ascii="Arial" w:hAnsi="Arial" w:cs="Arial"/>
        </w:rPr>
        <w:fldChar w:fldCharType="begin"/>
      </w:r>
      <w:r w:rsidR="004313B4" w:rsidRPr="002825DE">
        <w:rPr>
          <w:rFonts w:ascii="Arial" w:hAnsi="Arial" w:cs="Arial"/>
        </w:rPr>
        <w:instrText>ADDIN RW.CITE{{4555 Huttner,H.B. 2006}}</w:instrText>
      </w:r>
      <w:r w:rsidR="009017AF" w:rsidRPr="002825DE">
        <w:rPr>
          <w:rFonts w:ascii="Arial" w:hAnsi="Arial" w:cs="Arial"/>
        </w:rPr>
        <w:fldChar w:fldCharType="separate"/>
      </w:r>
      <w:r w:rsidR="003960ED" w:rsidRPr="002825DE">
        <w:rPr>
          <w:rFonts w:ascii="Arial" w:hAnsi="Arial" w:cs="Arial"/>
        </w:rPr>
        <w:t>[3</w:t>
      </w:r>
      <w:r w:rsidR="00F20D09" w:rsidRPr="002825DE">
        <w:rPr>
          <w:rFonts w:ascii="Arial" w:hAnsi="Arial" w:cs="Arial"/>
        </w:rPr>
        <w:t>6</w:t>
      </w:r>
      <w:r w:rsidR="003960ED" w:rsidRPr="002825DE">
        <w:rPr>
          <w:rFonts w:ascii="Arial" w:hAnsi="Arial" w:cs="Arial"/>
        </w:rPr>
        <w:t>]</w:t>
      </w:r>
      <w:r w:rsidR="009017AF" w:rsidRPr="002825DE">
        <w:rPr>
          <w:rFonts w:ascii="Arial" w:hAnsi="Arial" w:cs="Arial"/>
        </w:rPr>
        <w:fldChar w:fldCharType="end"/>
      </w:r>
      <w:r w:rsidR="00710D11" w:rsidRPr="002825DE">
        <w:rPr>
          <w:rFonts w:ascii="Arial" w:hAnsi="Arial" w:cs="Arial"/>
        </w:rPr>
        <w:t xml:space="preserve">. </w:t>
      </w:r>
      <w:r w:rsidR="004B4CF8" w:rsidRPr="002825DE">
        <w:rPr>
          <w:rFonts w:ascii="Arial" w:hAnsi="Arial" w:cs="Arial"/>
        </w:rPr>
        <w:t xml:space="preserve">However, we found PCC treatment did not better FFP in </w:t>
      </w:r>
      <w:r w:rsidR="001C1963" w:rsidRPr="002825DE">
        <w:rPr>
          <w:rFonts w:ascii="Arial" w:hAnsi="Arial" w:cs="Arial"/>
        </w:rPr>
        <w:t>disability on discharge</w:t>
      </w:r>
      <w:r w:rsidR="009017AF" w:rsidRPr="002825DE">
        <w:rPr>
          <w:rFonts w:ascii="Arial" w:hAnsi="Arial" w:cs="Arial"/>
        </w:rPr>
        <w:t>, possibly due to the small sample size</w:t>
      </w:r>
      <w:r w:rsidR="000E7F16" w:rsidRPr="002825DE">
        <w:rPr>
          <w:rFonts w:ascii="Arial" w:hAnsi="Arial" w:cs="Arial"/>
        </w:rPr>
        <w:t xml:space="preserve"> or survivor</w:t>
      </w:r>
      <w:r w:rsidR="001C1963" w:rsidRPr="002825DE">
        <w:rPr>
          <w:rFonts w:ascii="Arial" w:hAnsi="Arial" w:cs="Arial"/>
        </w:rPr>
        <w:t xml:space="preserve"> effects</w:t>
      </w:r>
      <w:r w:rsidR="009017AF" w:rsidRPr="002825DE">
        <w:rPr>
          <w:rFonts w:ascii="Arial" w:hAnsi="Arial" w:cs="Arial"/>
        </w:rPr>
        <w:t>.</w:t>
      </w:r>
      <w:r w:rsidR="00EC65A9" w:rsidRPr="002825DE">
        <w:rPr>
          <w:rFonts w:ascii="Arial" w:hAnsi="Arial" w:cs="Arial"/>
        </w:rPr>
        <w:t xml:space="preserve"> The volumes </w:t>
      </w:r>
      <w:r w:rsidR="00F825B6" w:rsidRPr="002825DE">
        <w:rPr>
          <w:rFonts w:ascii="Arial" w:hAnsi="Arial" w:cs="Arial"/>
        </w:rPr>
        <w:t xml:space="preserve">of fluid </w:t>
      </w:r>
      <w:r w:rsidR="00EC65A9" w:rsidRPr="002825DE">
        <w:rPr>
          <w:rFonts w:ascii="Arial" w:hAnsi="Arial" w:cs="Arial"/>
        </w:rPr>
        <w:t xml:space="preserve">administered </w:t>
      </w:r>
      <w:r w:rsidR="00F825B6" w:rsidRPr="002825DE">
        <w:rPr>
          <w:rFonts w:ascii="Arial" w:hAnsi="Arial" w:cs="Arial"/>
        </w:rPr>
        <w:t>to patients with</w:t>
      </w:r>
      <w:r w:rsidR="00EC65A9" w:rsidRPr="002825DE">
        <w:rPr>
          <w:rFonts w:ascii="Arial" w:hAnsi="Arial" w:cs="Arial"/>
        </w:rPr>
        <w:t xml:space="preserve"> acute </w:t>
      </w:r>
      <w:r w:rsidR="00E553C8" w:rsidRPr="002825DE">
        <w:rPr>
          <w:rFonts w:ascii="Arial" w:hAnsi="Arial" w:cs="Arial"/>
        </w:rPr>
        <w:t>ICH</w:t>
      </w:r>
      <w:r w:rsidR="00EC65A9" w:rsidRPr="002825DE">
        <w:rPr>
          <w:rFonts w:ascii="Arial" w:hAnsi="Arial" w:cs="Arial"/>
        </w:rPr>
        <w:t xml:space="preserve"> are also </w:t>
      </w:r>
      <w:r w:rsidR="00207243" w:rsidRPr="002825DE">
        <w:rPr>
          <w:rFonts w:ascii="Arial" w:hAnsi="Arial" w:cs="Arial"/>
        </w:rPr>
        <w:t>relevant</w:t>
      </w:r>
      <w:r w:rsidR="00EC65A9" w:rsidRPr="002825DE">
        <w:rPr>
          <w:rFonts w:ascii="Arial" w:hAnsi="Arial" w:cs="Arial"/>
        </w:rPr>
        <w:t xml:space="preserve">; </w:t>
      </w:r>
      <w:r w:rsidR="00F825B6" w:rsidRPr="002825DE">
        <w:rPr>
          <w:rFonts w:ascii="Arial" w:hAnsi="Arial" w:cs="Arial"/>
        </w:rPr>
        <w:t xml:space="preserve">infusing over </w:t>
      </w:r>
      <w:r w:rsidR="00E553C8" w:rsidRPr="002825DE">
        <w:rPr>
          <w:rFonts w:ascii="Arial" w:hAnsi="Arial" w:cs="Arial"/>
        </w:rPr>
        <w:t>3000</w:t>
      </w:r>
      <w:r w:rsidR="00F825B6" w:rsidRPr="002825DE">
        <w:rPr>
          <w:rFonts w:ascii="Arial" w:hAnsi="Arial" w:cs="Arial"/>
        </w:rPr>
        <w:t xml:space="preserve"> </w:t>
      </w:r>
      <w:r w:rsidR="00E553C8" w:rsidRPr="002825DE">
        <w:rPr>
          <w:rFonts w:ascii="Arial" w:hAnsi="Arial" w:cs="Arial"/>
        </w:rPr>
        <w:t>ml of fluid</w:t>
      </w:r>
      <w:r w:rsidR="00F825B6" w:rsidRPr="002825DE">
        <w:rPr>
          <w:rFonts w:ascii="Arial" w:hAnsi="Arial" w:cs="Arial"/>
        </w:rPr>
        <w:t xml:space="preserve"> increases the risk of </w:t>
      </w:r>
      <w:r w:rsidR="005F04D3" w:rsidRPr="002825DE">
        <w:rPr>
          <w:rFonts w:ascii="Arial" w:hAnsi="Arial" w:cs="Arial"/>
        </w:rPr>
        <w:t>decompensated heart failure</w:t>
      </w:r>
      <w:r w:rsidR="00F825B6" w:rsidRPr="002825DE">
        <w:rPr>
          <w:rFonts w:ascii="Arial" w:hAnsi="Arial" w:cs="Arial"/>
        </w:rPr>
        <w:t>, especially in those with underlying heart disease</w:t>
      </w:r>
      <w:r w:rsidR="005F04D3" w:rsidRPr="002825DE">
        <w:rPr>
          <w:rFonts w:ascii="Arial" w:hAnsi="Arial" w:cs="Arial"/>
        </w:rPr>
        <w:t xml:space="preserve">. </w:t>
      </w:r>
      <w:r w:rsidR="00F825B6" w:rsidRPr="002825DE">
        <w:rPr>
          <w:rFonts w:ascii="Arial" w:hAnsi="Arial" w:cs="Arial"/>
        </w:rPr>
        <w:t>Elevated</w:t>
      </w:r>
      <w:r w:rsidR="0001596E" w:rsidRPr="002825DE">
        <w:rPr>
          <w:rFonts w:ascii="Arial" w:hAnsi="Arial" w:cs="Arial"/>
        </w:rPr>
        <w:t xml:space="preserve"> systolic </w:t>
      </w:r>
      <w:r w:rsidR="00F825B6" w:rsidRPr="002825DE">
        <w:rPr>
          <w:rFonts w:ascii="Arial" w:hAnsi="Arial" w:cs="Arial"/>
        </w:rPr>
        <w:t xml:space="preserve">blood </w:t>
      </w:r>
      <w:r w:rsidR="0001596E" w:rsidRPr="002825DE">
        <w:rPr>
          <w:rFonts w:ascii="Arial" w:hAnsi="Arial" w:cs="Arial"/>
        </w:rPr>
        <w:t>pressure may</w:t>
      </w:r>
      <w:r w:rsidR="00FB144D" w:rsidRPr="002825DE">
        <w:rPr>
          <w:rFonts w:ascii="Arial" w:hAnsi="Arial" w:cs="Arial"/>
        </w:rPr>
        <w:t xml:space="preserve"> </w:t>
      </w:r>
      <w:r w:rsidR="00F825B6" w:rsidRPr="002825DE">
        <w:rPr>
          <w:rFonts w:ascii="Arial" w:hAnsi="Arial" w:cs="Arial"/>
        </w:rPr>
        <w:t xml:space="preserve">also </w:t>
      </w:r>
      <w:r w:rsidR="00FB144D" w:rsidRPr="002825DE">
        <w:rPr>
          <w:rFonts w:ascii="Arial" w:hAnsi="Arial" w:cs="Arial"/>
        </w:rPr>
        <w:t>lead to haematoma expansion and there is evidence that lower</w:t>
      </w:r>
      <w:r w:rsidR="00F825B6" w:rsidRPr="002825DE">
        <w:rPr>
          <w:rFonts w:ascii="Arial" w:hAnsi="Arial" w:cs="Arial"/>
        </w:rPr>
        <w:t>ing</w:t>
      </w:r>
      <w:r w:rsidR="00FB144D" w:rsidRPr="002825DE">
        <w:rPr>
          <w:rFonts w:ascii="Arial" w:hAnsi="Arial" w:cs="Arial"/>
        </w:rPr>
        <w:t xml:space="preserve"> blood pressure </w:t>
      </w:r>
      <w:r w:rsidR="00F825B6" w:rsidRPr="002825DE">
        <w:rPr>
          <w:rFonts w:ascii="Arial" w:hAnsi="Arial" w:cs="Arial"/>
        </w:rPr>
        <w:t>reduces</w:t>
      </w:r>
      <w:r w:rsidR="00FB144D" w:rsidRPr="002825DE">
        <w:rPr>
          <w:rFonts w:ascii="Arial" w:hAnsi="Arial" w:cs="Arial"/>
        </w:rPr>
        <w:t xml:space="preserve"> haematoma expansion</w:t>
      </w:r>
      <w:r w:rsidR="005F04D3" w:rsidRPr="002825DE">
        <w:rPr>
          <w:rFonts w:ascii="Arial" w:hAnsi="Arial" w:cs="Arial"/>
        </w:rPr>
        <w:t xml:space="preserve"> </w:t>
      </w:r>
      <w:r w:rsidR="005F04D3" w:rsidRPr="002825DE">
        <w:rPr>
          <w:rFonts w:ascii="Arial" w:hAnsi="Arial" w:cs="Arial"/>
        </w:rPr>
        <w:fldChar w:fldCharType="begin"/>
      </w:r>
      <w:r w:rsidR="004313B4" w:rsidRPr="002825DE">
        <w:rPr>
          <w:rFonts w:ascii="Arial" w:hAnsi="Arial" w:cs="Arial"/>
        </w:rPr>
        <w:instrText>ADDIN RW.CITE{{4556 Anderson,CraigS. 2008}}</w:instrText>
      </w:r>
      <w:r w:rsidR="005F04D3" w:rsidRPr="002825DE">
        <w:rPr>
          <w:rFonts w:ascii="Arial" w:hAnsi="Arial" w:cs="Arial"/>
        </w:rPr>
        <w:fldChar w:fldCharType="separate"/>
      </w:r>
      <w:r w:rsidR="003960ED" w:rsidRPr="002825DE">
        <w:rPr>
          <w:rFonts w:ascii="Arial" w:hAnsi="Arial" w:cs="Arial"/>
        </w:rPr>
        <w:t>[3</w:t>
      </w:r>
      <w:r w:rsidR="00F20D09" w:rsidRPr="002825DE">
        <w:rPr>
          <w:rFonts w:ascii="Arial" w:hAnsi="Arial" w:cs="Arial"/>
        </w:rPr>
        <w:t>7</w:t>
      </w:r>
      <w:r w:rsidR="003960ED" w:rsidRPr="002825DE">
        <w:rPr>
          <w:rFonts w:ascii="Arial" w:hAnsi="Arial" w:cs="Arial"/>
        </w:rPr>
        <w:t>]</w:t>
      </w:r>
      <w:r w:rsidR="005F04D3" w:rsidRPr="002825DE">
        <w:rPr>
          <w:rFonts w:ascii="Arial" w:hAnsi="Arial" w:cs="Arial"/>
        </w:rPr>
        <w:fldChar w:fldCharType="end"/>
      </w:r>
      <w:r w:rsidR="00FB144D" w:rsidRPr="002825DE">
        <w:rPr>
          <w:rFonts w:ascii="Arial" w:hAnsi="Arial" w:cs="Arial"/>
        </w:rPr>
        <w:t xml:space="preserve">. </w:t>
      </w:r>
    </w:p>
    <w:p w14:paraId="14548D14" w14:textId="1FECD4D4" w:rsidR="00E553C8" w:rsidRPr="002825DE" w:rsidRDefault="00F825B6" w:rsidP="00F825B6">
      <w:pPr>
        <w:tabs>
          <w:tab w:val="left" w:pos="5487"/>
        </w:tabs>
        <w:spacing w:after="0" w:line="480" w:lineRule="auto"/>
        <w:jc w:val="both"/>
        <w:rPr>
          <w:rFonts w:ascii="Arial" w:hAnsi="Arial" w:cs="Arial"/>
        </w:rPr>
      </w:pPr>
      <w:r w:rsidRPr="002825DE">
        <w:rPr>
          <w:rFonts w:ascii="Arial" w:hAnsi="Arial" w:cs="Arial"/>
        </w:rPr>
        <w:tab/>
      </w:r>
    </w:p>
    <w:p w14:paraId="57BF4E3C" w14:textId="4D7A4AC9" w:rsidR="000231CF" w:rsidRPr="002825DE" w:rsidRDefault="00207243" w:rsidP="00980769">
      <w:pPr>
        <w:spacing w:after="0" w:line="480" w:lineRule="auto"/>
        <w:jc w:val="both"/>
        <w:rPr>
          <w:rFonts w:ascii="Arial" w:hAnsi="Arial" w:cs="Arial"/>
        </w:rPr>
      </w:pPr>
      <w:r w:rsidRPr="002825DE">
        <w:rPr>
          <w:rFonts w:ascii="Arial" w:hAnsi="Arial" w:cs="Arial"/>
        </w:rPr>
        <w:t>As with all meta-analysis, t</w:t>
      </w:r>
      <w:r w:rsidR="00EE56F3" w:rsidRPr="002825DE">
        <w:rPr>
          <w:rFonts w:ascii="Arial" w:hAnsi="Arial" w:cs="Arial"/>
        </w:rPr>
        <w:t xml:space="preserve">here are </w:t>
      </w:r>
      <w:r w:rsidRPr="002825DE">
        <w:rPr>
          <w:rFonts w:ascii="Arial" w:hAnsi="Arial" w:cs="Arial"/>
        </w:rPr>
        <w:t xml:space="preserve">several </w:t>
      </w:r>
      <w:r w:rsidR="00CD4628" w:rsidRPr="002825DE">
        <w:rPr>
          <w:rFonts w:ascii="Arial" w:hAnsi="Arial" w:cs="Arial"/>
        </w:rPr>
        <w:t xml:space="preserve">limitations </w:t>
      </w:r>
      <w:r w:rsidRPr="002825DE">
        <w:rPr>
          <w:rFonts w:ascii="Arial" w:hAnsi="Arial" w:cs="Arial"/>
        </w:rPr>
        <w:t>to be noted</w:t>
      </w:r>
      <w:r w:rsidR="00CD4628" w:rsidRPr="002825DE">
        <w:rPr>
          <w:rFonts w:ascii="Arial" w:hAnsi="Arial" w:cs="Arial"/>
        </w:rPr>
        <w:t xml:space="preserve">. Heterogeneity was detected </w:t>
      </w:r>
      <w:r w:rsidR="003D63CC" w:rsidRPr="002825DE">
        <w:rPr>
          <w:rFonts w:ascii="Arial" w:hAnsi="Arial" w:cs="Arial"/>
        </w:rPr>
        <w:t xml:space="preserve">within both the analyses comparing proportion of patients to achieve INR reversal between the treatment groups. </w:t>
      </w:r>
      <w:r w:rsidR="00CD4628" w:rsidRPr="002825DE">
        <w:rPr>
          <w:rFonts w:ascii="Arial" w:hAnsi="Arial" w:cs="Arial"/>
        </w:rPr>
        <w:t xml:space="preserve">Meta-analyses </w:t>
      </w:r>
      <w:r w:rsidR="00CD4628" w:rsidRPr="002825DE">
        <w:rPr>
          <w:rFonts w:ascii="Arial" w:hAnsi="Arial" w:cs="Arial"/>
        </w:rPr>
        <w:lastRenderedPageBreak/>
        <w:t>are susceptible to publication bias</w:t>
      </w:r>
      <w:r w:rsidRPr="002825DE">
        <w:rPr>
          <w:rFonts w:ascii="Arial" w:hAnsi="Arial" w:cs="Arial"/>
        </w:rPr>
        <w:t>,</w:t>
      </w:r>
      <w:r w:rsidR="0083011D" w:rsidRPr="002825DE">
        <w:rPr>
          <w:rFonts w:ascii="Arial" w:hAnsi="Arial" w:cs="Arial"/>
        </w:rPr>
        <w:t xml:space="preserve"> although we found little evidence in our study, as indicated by funnel plots</w:t>
      </w:r>
      <w:r w:rsidR="00CD4628" w:rsidRPr="002825DE">
        <w:rPr>
          <w:rFonts w:ascii="Arial" w:hAnsi="Arial" w:cs="Arial"/>
        </w:rPr>
        <w:t xml:space="preserve">. </w:t>
      </w:r>
      <w:r w:rsidR="00EE56F3" w:rsidRPr="002825DE">
        <w:rPr>
          <w:rFonts w:ascii="Arial" w:hAnsi="Arial" w:cs="Arial"/>
        </w:rPr>
        <w:t>T</w:t>
      </w:r>
      <w:r w:rsidR="00CD4628" w:rsidRPr="002825DE">
        <w:rPr>
          <w:rFonts w:ascii="Arial" w:hAnsi="Arial" w:cs="Arial"/>
        </w:rPr>
        <w:t>here was variability in treatment within the PCC or FFP cohorts between the studies</w:t>
      </w:r>
      <w:r w:rsidR="0083011D" w:rsidRPr="002825DE">
        <w:rPr>
          <w:rFonts w:ascii="Arial" w:hAnsi="Arial" w:cs="Arial"/>
        </w:rPr>
        <w:t xml:space="preserve">, making direct comparison by the two agents </w:t>
      </w:r>
      <w:r w:rsidRPr="002825DE">
        <w:rPr>
          <w:rFonts w:ascii="Arial" w:hAnsi="Arial" w:cs="Arial"/>
        </w:rPr>
        <w:t>challenging</w:t>
      </w:r>
      <w:r w:rsidR="00CD4628" w:rsidRPr="002825DE">
        <w:rPr>
          <w:rFonts w:ascii="Arial" w:hAnsi="Arial" w:cs="Arial"/>
        </w:rPr>
        <w:t xml:space="preserve">. No </w:t>
      </w:r>
      <w:r w:rsidR="0083011D" w:rsidRPr="002825DE">
        <w:rPr>
          <w:rFonts w:ascii="Arial" w:hAnsi="Arial" w:cs="Arial"/>
        </w:rPr>
        <w:t>selection</w:t>
      </w:r>
      <w:r w:rsidR="00CD4628" w:rsidRPr="002825DE">
        <w:rPr>
          <w:rFonts w:ascii="Arial" w:hAnsi="Arial" w:cs="Arial"/>
        </w:rPr>
        <w:t xml:space="preserve"> criteria determined either the type of PCC that should be used </w:t>
      </w:r>
      <w:r w:rsidR="0083011D" w:rsidRPr="002825DE">
        <w:rPr>
          <w:rFonts w:ascii="Arial" w:hAnsi="Arial" w:cs="Arial"/>
        </w:rPr>
        <w:t>(e.g. brand types, 3-F vs. 4-F)</w:t>
      </w:r>
      <w:r w:rsidR="00CD4628" w:rsidRPr="002825DE">
        <w:rPr>
          <w:rFonts w:ascii="Arial" w:hAnsi="Arial" w:cs="Arial"/>
        </w:rPr>
        <w:t xml:space="preserve"> or the dosage amount for either PCC or FFP.</w:t>
      </w:r>
      <w:r w:rsidR="0083011D" w:rsidRPr="002825DE">
        <w:rPr>
          <w:rFonts w:ascii="Arial" w:hAnsi="Arial" w:cs="Arial"/>
        </w:rPr>
        <w:t xml:space="preserve"> </w:t>
      </w:r>
      <w:r w:rsidR="00CD4628" w:rsidRPr="002825DE">
        <w:rPr>
          <w:rFonts w:ascii="Arial" w:hAnsi="Arial" w:cs="Arial"/>
        </w:rPr>
        <w:t xml:space="preserve">Similarly, time for </w:t>
      </w:r>
      <w:r w:rsidR="0083011D" w:rsidRPr="002825DE">
        <w:rPr>
          <w:rFonts w:ascii="Arial" w:hAnsi="Arial" w:cs="Arial"/>
        </w:rPr>
        <w:t xml:space="preserve">adequate </w:t>
      </w:r>
      <w:r w:rsidR="00CD4628" w:rsidRPr="002825DE">
        <w:rPr>
          <w:rFonts w:ascii="Arial" w:hAnsi="Arial" w:cs="Arial"/>
        </w:rPr>
        <w:t xml:space="preserve">INR reversal varied between studies, which </w:t>
      </w:r>
      <w:r w:rsidR="0083011D" w:rsidRPr="002825DE">
        <w:rPr>
          <w:rFonts w:ascii="Arial" w:hAnsi="Arial" w:cs="Arial"/>
        </w:rPr>
        <w:t>may have</w:t>
      </w:r>
      <w:r w:rsidR="00CD4628" w:rsidRPr="002825DE">
        <w:rPr>
          <w:rFonts w:ascii="Arial" w:hAnsi="Arial" w:cs="Arial"/>
        </w:rPr>
        <w:t xml:space="preserve"> skew</w:t>
      </w:r>
      <w:r w:rsidR="0083011D" w:rsidRPr="002825DE">
        <w:rPr>
          <w:rFonts w:ascii="Arial" w:hAnsi="Arial" w:cs="Arial"/>
        </w:rPr>
        <w:t xml:space="preserve">ed the results </w:t>
      </w:r>
      <w:r w:rsidR="00CD4628" w:rsidRPr="002825DE">
        <w:rPr>
          <w:rFonts w:ascii="Arial" w:hAnsi="Arial" w:cs="Arial"/>
        </w:rPr>
        <w:t>s</w:t>
      </w:r>
      <w:r w:rsidR="0083011D" w:rsidRPr="002825DE">
        <w:rPr>
          <w:rFonts w:ascii="Arial" w:hAnsi="Arial" w:cs="Arial"/>
        </w:rPr>
        <w:t>ince</w:t>
      </w:r>
      <w:r w:rsidR="00CD4628" w:rsidRPr="002825DE">
        <w:rPr>
          <w:rFonts w:ascii="Arial" w:hAnsi="Arial" w:cs="Arial"/>
        </w:rPr>
        <w:t xml:space="preserve"> PCC </w:t>
      </w:r>
      <w:r w:rsidR="0083011D" w:rsidRPr="002825DE">
        <w:rPr>
          <w:rFonts w:ascii="Arial" w:hAnsi="Arial" w:cs="Arial"/>
        </w:rPr>
        <w:t>r</w:t>
      </w:r>
      <w:r w:rsidR="00CD4628" w:rsidRPr="002825DE">
        <w:rPr>
          <w:rFonts w:ascii="Arial" w:hAnsi="Arial" w:cs="Arial"/>
        </w:rPr>
        <w:t>everse</w:t>
      </w:r>
      <w:r w:rsidR="0083011D" w:rsidRPr="002825DE">
        <w:rPr>
          <w:rFonts w:ascii="Arial" w:hAnsi="Arial" w:cs="Arial"/>
        </w:rPr>
        <w:t>s</w:t>
      </w:r>
      <w:r w:rsidR="00CD4628" w:rsidRPr="002825DE">
        <w:rPr>
          <w:rFonts w:ascii="Arial" w:hAnsi="Arial" w:cs="Arial"/>
        </w:rPr>
        <w:t xml:space="preserve"> INR </w:t>
      </w:r>
      <w:r w:rsidR="0083011D" w:rsidRPr="002825DE">
        <w:rPr>
          <w:rFonts w:ascii="Arial" w:hAnsi="Arial" w:cs="Arial"/>
        </w:rPr>
        <w:t>faster</w:t>
      </w:r>
      <w:r w:rsidR="00CD4628" w:rsidRPr="002825DE">
        <w:rPr>
          <w:rFonts w:ascii="Arial" w:hAnsi="Arial" w:cs="Arial"/>
        </w:rPr>
        <w:t xml:space="preserve"> than FFP, </w:t>
      </w:r>
      <w:r w:rsidR="0083011D" w:rsidRPr="002825DE">
        <w:rPr>
          <w:rFonts w:ascii="Arial" w:hAnsi="Arial" w:cs="Arial"/>
        </w:rPr>
        <w:t>thus</w:t>
      </w:r>
      <w:r w:rsidR="00CD4628" w:rsidRPr="002825DE">
        <w:rPr>
          <w:rFonts w:ascii="Arial" w:hAnsi="Arial" w:cs="Arial"/>
        </w:rPr>
        <w:t xml:space="preserve"> studies with shorter time allowed to target INR would sho</w:t>
      </w:r>
      <w:r w:rsidR="00E553C8" w:rsidRPr="002825DE">
        <w:rPr>
          <w:rFonts w:ascii="Arial" w:hAnsi="Arial" w:cs="Arial"/>
        </w:rPr>
        <w:t>w a greater favour towards PCC.</w:t>
      </w:r>
      <w:r w:rsidR="00D45B94" w:rsidRPr="002825DE">
        <w:rPr>
          <w:rFonts w:ascii="Arial" w:hAnsi="Arial" w:cs="Arial"/>
        </w:rPr>
        <w:t xml:space="preserve"> </w:t>
      </w:r>
      <w:r w:rsidR="00D66217" w:rsidRPr="002825DE">
        <w:rPr>
          <w:rFonts w:ascii="Arial" w:hAnsi="Arial" w:cs="Arial"/>
        </w:rPr>
        <w:t xml:space="preserve">The present study included both observational and </w:t>
      </w:r>
      <w:r w:rsidR="0008239F" w:rsidRPr="002825DE">
        <w:rPr>
          <w:rFonts w:ascii="Arial" w:hAnsi="Arial" w:cs="Arial"/>
        </w:rPr>
        <w:t>RCTs</w:t>
      </w:r>
      <w:r w:rsidR="00D66217" w:rsidRPr="002825DE">
        <w:rPr>
          <w:rFonts w:ascii="Arial" w:hAnsi="Arial" w:cs="Arial"/>
        </w:rPr>
        <w:t xml:space="preserve"> to increase power of prediction due to paucity of published data from RCTs. As a result,</w:t>
      </w:r>
      <w:r w:rsidR="00D45B94" w:rsidRPr="002825DE">
        <w:rPr>
          <w:rFonts w:ascii="Arial" w:hAnsi="Arial" w:cs="Arial"/>
        </w:rPr>
        <w:t xml:space="preserve"> </w:t>
      </w:r>
      <w:r w:rsidR="00D66217" w:rsidRPr="002825DE">
        <w:rPr>
          <w:rFonts w:ascii="Arial" w:hAnsi="Arial" w:cs="Arial"/>
        </w:rPr>
        <w:t xml:space="preserve">bias may have been introduced from findings based on observational studies, although double-blind RCT would not be possible since methods of administration of FFP and PCC </w:t>
      </w:r>
      <w:r w:rsidR="004F37B4" w:rsidRPr="002825DE">
        <w:rPr>
          <w:rFonts w:ascii="Arial" w:hAnsi="Arial" w:cs="Arial"/>
        </w:rPr>
        <w:t>would be</w:t>
      </w:r>
      <w:r w:rsidR="00D66217" w:rsidRPr="002825DE">
        <w:rPr>
          <w:rFonts w:ascii="Arial" w:hAnsi="Arial" w:cs="Arial"/>
        </w:rPr>
        <w:t xml:space="preserve"> </w:t>
      </w:r>
      <w:r w:rsidR="00EB704C" w:rsidRPr="002825DE">
        <w:rPr>
          <w:rFonts w:ascii="Arial" w:hAnsi="Arial" w:cs="Arial"/>
        </w:rPr>
        <w:t xml:space="preserve">apparent </w:t>
      </w:r>
      <w:r w:rsidR="00D66217" w:rsidRPr="002825DE">
        <w:rPr>
          <w:rFonts w:ascii="Arial" w:hAnsi="Arial" w:cs="Arial"/>
        </w:rPr>
        <w:t>to prescribers. This may explain, in part, conflicting results between previous studies on these two agents</w:t>
      </w:r>
      <w:r w:rsidR="00CD4628" w:rsidRPr="002825DE">
        <w:rPr>
          <w:rFonts w:ascii="Arial" w:hAnsi="Arial" w:cs="Arial"/>
        </w:rPr>
        <w:t>.</w:t>
      </w:r>
      <w:r w:rsidR="001E567A" w:rsidRPr="002825DE">
        <w:rPr>
          <w:rFonts w:ascii="Arial" w:hAnsi="Arial" w:cs="Arial"/>
        </w:rPr>
        <w:t xml:space="preserve"> </w:t>
      </w:r>
      <w:r w:rsidR="007D0413" w:rsidRPr="002825DE">
        <w:rPr>
          <w:rFonts w:ascii="Arial" w:hAnsi="Arial" w:cs="Arial"/>
        </w:rPr>
        <w:t>Further,</w:t>
      </w:r>
      <w:r w:rsidR="002A61BD" w:rsidRPr="002825DE">
        <w:rPr>
          <w:rFonts w:ascii="Arial" w:hAnsi="Arial" w:cs="Arial"/>
        </w:rPr>
        <w:t xml:space="preserve"> there </w:t>
      </w:r>
      <w:r w:rsidR="00D461E6" w:rsidRPr="002825DE">
        <w:rPr>
          <w:rFonts w:ascii="Arial" w:hAnsi="Arial" w:cs="Arial"/>
        </w:rPr>
        <w:t xml:space="preserve">were </w:t>
      </w:r>
      <w:r w:rsidR="002A61BD" w:rsidRPr="002825DE">
        <w:rPr>
          <w:rFonts w:ascii="Arial" w:hAnsi="Arial" w:cs="Arial"/>
        </w:rPr>
        <w:t xml:space="preserve">variable definitions of </w:t>
      </w:r>
      <w:r w:rsidR="00C6016E" w:rsidRPr="002825DE">
        <w:rPr>
          <w:rFonts w:ascii="Arial" w:hAnsi="Arial" w:cs="Arial"/>
        </w:rPr>
        <w:t>successful reversal of INR and short-term mortality. We chose the 90</w:t>
      </w:r>
      <w:r w:rsidR="007D0413" w:rsidRPr="002825DE">
        <w:rPr>
          <w:rFonts w:ascii="Arial" w:hAnsi="Arial" w:cs="Arial"/>
        </w:rPr>
        <w:t>-</w:t>
      </w:r>
      <w:r w:rsidR="00C6016E" w:rsidRPr="002825DE">
        <w:rPr>
          <w:rFonts w:ascii="Arial" w:hAnsi="Arial" w:cs="Arial"/>
        </w:rPr>
        <w:t xml:space="preserve">day cut-off </w:t>
      </w:r>
      <w:r w:rsidR="00D461E6" w:rsidRPr="002825DE">
        <w:rPr>
          <w:rFonts w:ascii="Arial" w:hAnsi="Arial" w:cs="Arial"/>
        </w:rPr>
        <w:t>in this meta-analysis</w:t>
      </w:r>
      <w:r w:rsidR="00D461E6" w:rsidRPr="002825DE" w:rsidDel="00D461E6">
        <w:rPr>
          <w:rFonts w:ascii="Arial" w:hAnsi="Arial" w:cs="Arial"/>
        </w:rPr>
        <w:t xml:space="preserve"> </w:t>
      </w:r>
      <w:r w:rsidR="00D461E6" w:rsidRPr="002825DE">
        <w:rPr>
          <w:rFonts w:ascii="Arial" w:hAnsi="Arial" w:cs="Arial"/>
        </w:rPr>
        <w:t xml:space="preserve">as </w:t>
      </w:r>
      <w:r w:rsidR="00C6016E" w:rsidRPr="002825DE">
        <w:rPr>
          <w:rFonts w:ascii="Arial" w:hAnsi="Arial" w:cs="Arial"/>
        </w:rPr>
        <w:t xml:space="preserve">the majority of papers </w:t>
      </w:r>
      <w:r w:rsidR="00D461E6" w:rsidRPr="002825DE">
        <w:rPr>
          <w:rFonts w:ascii="Arial" w:hAnsi="Arial" w:cs="Arial"/>
        </w:rPr>
        <w:t xml:space="preserve">defined outcome with this timescale </w:t>
      </w:r>
      <w:r w:rsidR="009F6267" w:rsidRPr="002825DE">
        <w:rPr>
          <w:rFonts w:ascii="Arial" w:hAnsi="Arial" w:cs="Arial"/>
        </w:rPr>
        <w:t>[3</w:t>
      </w:r>
      <w:r w:rsidR="00F20D09" w:rsidRPr="002825DE">
        <w:rPr>
          <w:rFonts w:ascii="Arial" w:hAnsi="Arial" w:cs="Arial"/>
        </w:rPr>
        <w:t>8</w:t>
      </w:r>
      <w:r w:rsidR="009F6267" w:rsidRPr="002825DE">
        <w:rPr>
          <w:rFonts w:ascii="Arial" w:hAnsi="Arial" w:cs="Arial"/>
        </w:rPr>
        <w:t>]</w:t>
      </w:r>
      <w:r w:rsidR="00C6016E" w:rsidRPr="002825DE">
        <w:rPr>
          <w:rFonts w:ascii="Arial" w:hAnsi="Arial" w:cs="Arial"/>
        </w:rPr>
        <w:t xml:space="preserve">. </w:t>
      </w:r>
      <w:r w:rsidR="00D461E6" w:rsidRPr="002825DE">
        <w:rPr>
          <w:rFonts w:ascii="Arial" w:hAnsi="Arial" w:cs="Arial"/>
        </w:rPr>
        <w:t>Thus, w</w:t>
      </w:r>
      <w:r w:rsidR="00A03946" w:rsidRPr="002825DE">
        <w:rPr>
          <w:rFonts w:ascii="Arial" w:hAnsi="Arial" w:cs="Arial"/>
        </w:rPr>
        <w:t xml:space="preserve">e believe this timeframe is </w:t>
      </w:r>
      <w:r w:rsidR="00D461E6" w:rsidRPr="002825DE">
        <w:rPr>
          <w:rFonts w:ascii="Arial" w:hAnsi="Arial" w:cs="Arial"/>
        </w:rPr>
        <w:t xml:space="preserve">suitable </w:t>
      </w:r>
      <w:r w:rsidR="00A03946" w:rsidRPr="002825DE">
        <w:rPr>
          <w:rFonts w:ascii="Arial" w:hAnsi="Arial" w:cs="Arial"/>
        </w:rPr>
        <w:t xml:space="preserve">for covering </w:t>
      </w:r>
      <w:r w:rsidR="009D793E" w:rsidRPr="002825DE">
        <w:rPr>
          <w:rFonts w:ascii="Arial" w:hAnsi="Arial" w:cs="Arial"/>
        </w:rPr>
        <w:t>most death</w:t>
      </w:r>
      <w:r w:rsidR="007D0413" w:rsidRPr="002825DE">
        <w:rPr>
          <w:rFonts w:ascii="Arial" w:hAnsi="Arial" w:cs="Arial"/>
        </w:rPr>
        <w:t>s</w:t>
      </w:r>
      <w:r w:rsidR="009D793E" w:rsidRPr="002825DE">
        <w:rPr>
          <w:rFonts w:ascii="Arial" w:hAnsi="Arial" w:cs="Arial"/>
        </w:rPr>
        <w:t xml:space="preserve"> associated with </w:t>
      </w:r>
      <w:r w:rsidR="00A03946" w:rsidRPr="002825DE">
        <w:rPr>
          <w:rFonts w:ascii="Arial" w:hAnsi="Arial" w:cs="Arial"/>
        </w:rPr>
        <w:t xml:space="preserve">PCC and FFP </w:t>
      </w:r>
      <w:r w:rsidR="007D0413" w:rsidRPr="002825DE">
        <w:rPr>
          <w:rFonts w:ascii="Arial" w:hAnsi="Arial" w:cs="Arial"/>
        </w:rPr>
        <w:t xml:space="preserve">as </w:t>
      </w:r>
      <w:r w:rsidR="00D461E6" w:rsidRPr="002825DE">
        <w:rPr>
          <w:rFonts w:ascii="Arial" w:hAnsi="Arial" w:cs="Arial"/>
        </w:rPr>
        <w:t xml:space="preserve">most </w:t>
      </w:r>
      <w:r w:rsidR="00A03946" w:rsidRPr="002825DE">
        <w:rPr>
          <w:rFonts w:ascii="Arial" w:hAnsi="Arial" w:cs="Arial"/>
        </w:rPr>
        <w:t xml:space="preserve">studies show that </w:t>
      </w:r>
      <w:r w:rsidR="00D461E6" w:rsidRPr="002825DE">
        <w:rPr>
          <w:rFonts w:ascii="Arial" w:hAnsi="Arial" w:cs="Arial"/>
        </w:rPr>
        <w:t xml:space="preserve">the majority of </w:t>
      </w:r>
      <w:r w:rsidR="00A03946" w:rsidRPr="002825DE">
        <w:rPr>
          <w:rFonts w:ascii="Arial" w:hAnsi="Arial" w:cs="Arial"/>
        </w:rPr>
        <w:t>patients died within 48</w:t>
      </w:r>
      <w:r w:rsidR="007D0413" w:rsidRPr="002825DE">
        <w:rPr>
          <w:rFonts w:ascii="Arial" w:hAnsi="Arial" w:cs="Arial"/>
        </w:rPr>
        <w:t xml:space="preserve"> </w:t>
      </w:r>
      <w:r w:rsidR="00A03946" w:rsidRPr="002825DE">
        <w:rPr>
          <w:rFonts w:ascii="Arial" w:hAnsi="Arial" w:cs="Arial"/>
        </w:rPr>
        <w:t xml:space="preserve">hours </w:t>
      </w:r>
      <w:r w:rsidR="007D0413" w:rsidRPr="002825DE">
        <w:rPr>
          <w:rFonts w:ascii="Arial" w:hAnsi="Arial" w:cs="Arial"/>
        </w:rPr>
        <w:t>of</w:t>
      </w:r>
      <w:r w:rsidR="00A03946" w:rsidRPr="002825DE">
        <w:rPr>
          <w:rFonts w:ascii="Arial" w:hAnsi="Arial" w:cs="Arial"/>
        </w:rPr>
        <w:t xml:space="preserve"> receiving FFP and 5 days </w:t>
      </w:r>
      <w:r w:rsidR="007D0413" w:rsidRPr="002825DE">
        <w:rPr>
          <w:rFonts w:ascii="Arial" w:hAnsi="Arial" w:cs="Arial"/>
        </w:rPr>
        <w:t xml:space="preserve">of </w:t>
      </w:r>
      <w:r w:rsidR="00A03946" w:rsidRPr="002825DE">
        <w:rPr>
          <w:rFonts w:ascii="Arial" w:hAnsi="Arial" w:cs="Arial"/>
        </w:rPr>
        <w:t>receiving PCC [1</w:t>
      </w:r>
      <w:r w:rsidR="007D5F77" w:rsidRPr="002825DE">
        <w:rPr>
          <w:rFonts w:ascii="Arial" w:hAnsi="Arial" w:cs="Arial"/>
        </w:rPr>
        <w:t>6</w:t>
      </w:r>
      <w:r w:rsidR="00A03946" w:rsidRPr="002825DE">
        <w:rPr>
          <w:rFonts w:ascii="Arial" w:hAnsi="Arial" w:cs="Arial"/>
        </w:rPr>
        <w:t>]</w:t>
      </w:r>
      <w:r w:rsidR="00C6016E" w:rsidRPr="002825DE">
        <w:rPr>
          <w:rFonts w:ascii="Arial" w:hAnsi="Arial" w:cs="Arial"/>
        </w:rPr>
        <w:t xml:space="preserve">. </w:t>
      </w:r>
      <w:r w:rsidR="00D461E6" w:rsidRPr="002825DE">
        <w:rPr>
          <w:rFonts w:ascii="Arial" w:hAnsi="Arial" w:cs="Arial"/>
        </w:rPr>
        <w:t>Finally, we did not asses the timeframe in which treatment was given.</w:t>
      </w:r>
      <w:r w:rsidR="004E5155" w:rsidRPr="002825DE">
        <w:rPr>
          <w:rFonts w:ascii="Arial" w:hAnsi="Arial" w:cs="Arial"/>
        </w:rPr>
        <w:t xml:space="preserve"> This was deter</w:t>
      </w:r>
      <w:r w:rsidR="00D461E6" w:rsidRPr="002825DE">
        <w:rPr>
          <w:rFonts w:ascii="Arial" w:hAnsi="Arial" w:cs="Arial"/>
        </w:rPr>
        <w:t xml:space="preserve">mined by the individual clinical teams of each patient and was too variable to assess or was not reported at all. Clearly, timing of intervention could affect our patient outcomes. However, as such timing was highly variable and it was left to individual clinicians to administer according to their own protocol, our study </w:t>
      </w:r>
      <w:r w:rsidR="00D461E6" w:rsidRPr="002825DE">
        <w:rPr>
          <w:rFonts w:ascii="Arial" w:hAnsi="Arial" w:cs="Arial"/>
        </w:rPr>
        <w:lastRenderedPageBreak/>
        <w:t xml:space="preserve">represents a real-world pragmatic scenario which could be argued makes our overall conclusions more realistic. </w:t>
      </w:r>
    </w:p>
    <w:p w14:paraId="624B7F43" w14:textId="6FB97153" w:rsidR="00FB144D" w:rsidRPr="002825DE" w:rsidRDefault="00FB144D" w:rsidP="00980769">
      <w:pPr>
        <w:spacing w:after="0" w:line="480" w:lineRule="auto"/>
        <w:jc w:val="both"/>
        <w:rPr>
          <w:rFonts w:ascii="Arial" w:hAnsi="Arial" w:cs="Arial"/>
        </w:rPr>
      </w:pPr>
    </w:p>
    <w:p w14:paraId="5B21F2E1" w14:textId="6672986D" w:rsidR="00E05192" w:rsidRPr="002825DE" w:rsidRDefault="009239A1" w:rsidP="00980769">
      <w:pPr>
        <w:spacing w:after="0" w:line="480" w:lineRule="auto"/>
        <w:jc w:val="both"/>
        <w:rPr>
          <w:rFonts w:ascii="Arial" w:hAnsi="Arial" w:cs="Arial"/>
        </w:rPr>
      </w:pPr>
      <w:r w:rsidRPr="002825DE">
        <w:rPr>
          <w:rFonts w:ascii="Arial" w:hAnsi="Arial" w:cs="Arial"/>
        </w:rPr>
        <w:t xml:space="preserve">In conclusion, </w:t>
      </w:r>
      <w:r w:rsidR="003C2663" w:rsidRPr="002825DE">
        <w:rPr>
          <w:rFonts w:ascii="Arial" w:hAnsi="Arial" w:cs="Arial"/>
        </w:rPr>
        <w:t>as an agent for urgent reversal of VKA, PCC outperforms FFP in 90day all-cause mortality including those wi</w:t>
      </w:r>
      <w:r w:rsidR="003C2663" w:rsidRPr="002825DE">
        <w:rPr>
          <w:rFonts w:ascii="Arial" w:hAnsi="Arial" w:cs="Arial"/>
          <w:color w:val="000000"/>
        </w:rPr>
        <w:t>th VKA-related intracranial haemorrhage</w:t>
      </w:r>
      <w:r w:rsidR="003C2663" w:rsidRPr="002825DE">
        <w:rPr>
          <w:rFonts w:ascii="Arial" w:hAnsi="Arial" w:cs="Arial"/>
        </w:rPr>
        <w:t>, INR reversal and treatment-related adverse events.</w:t>
      </w:r>
    </w:p>
    <w:p w14:paraId="7EC4211B" w14:textId="77777777" w:rsidR="00E05192" w:rsidRPr="002825DE" w:rsidRDefault="00E05192">
      <w:pPr>
        <w:spacing w:after="0" w:line="240" w:lineRule="auto"/>
        <w:rPr>
          <w:rFonts w:ascii="Arial" w:hAnsi="Arial" w:cs="Arial"/>
        </w:rPr>
      </w:pPr>
      <w:r w:rsidRPr="002825DE">
        <w:rPr>
          <w:rFonts w:ascii="Arial" w:hAnsi="Arial" w:cs="Arial"/>
        </w:rPr>
        <w:br w:type="page"/>
      </w:r>
    </w:p>
    <w:p w14:paraId="3CDAE165" w14:textId="3405BD5A" w:rsidR="005B5EB6" w:rsidRPr="002825DE" w:rsidRDefault="005B5EB6" w:rsidP="00E05192">
      <w:pPr>
        <w:autoSpaceDE w:val="0"/>
        <w:autoSpaceDN w:val="0"/>
        <w:adjustRightInd w:val="0"/>
        <w:spacing w:after="0" w:line="480" w:lineRule="auto"/>
        <w:jc w:val="both"/>
        <w:rPr>
          <w:rFonts w:ascii="Arial" w:hAnsi="Arial" w:cs="Arial"/>
          <w:b/>
          <w:bCs/>
        </w:rPr>
      </w:pPr>
      <w:r w:rsidRPr="002825DE">
        <w:rPr>
          <w:rFonts w:ascii="Arial" w:hAnsi="Arial" w:cs="Arial"/>
          <w:b/>
          <w:bCs/>
        </w:rPr>
        <w:lastRenderedPageBreak/>
        <w:t>ACKNOWLEDGEMENTS</w:t>
      </w:r>
    </w:p>
    <w:p w14:paraId="063EE940" w14:textId="5FEBBBF5" w:rsidR="00E05192" w:rsidRPr="002825DE" w:rsidRDefault="00E05192" w:rsidP="00E05192">
      <w:pPr>
        <w:autoSpaceDE w:val="0"/>
        <w:autoSpaceDN w:val="0"/>
        <w:adjustRightInd w:val="0"/>
        <w:spacing w:after="0" w:line="480" w:lineRule="auto"/>
        <w:jc w:val="both"/>
        <w:rPr>
          <w:rFonts w:ascii="Arial" w:eastAsia="ScalaLancetPro" w:hAnsi="Arial" w:cs="Arial"/>
        </w:rPr>
      </w:pPr>
      <w:r w:rsidRPr="002825DE">
        <w:rPr>
          <w:rFonts w:ascii="Arial" w:hAnsi="Arial" w:cs="Arial"/>
          <w:b/>
          <w:bCs/>
        </w:rPr>
        <w:t xml:space="preserve">Contributor and guarantor information: </w:t>
      </w:r>
      <w:r w:rsidRPr="002825DE">
        <w:rPr>
          <w:rFonts w:ascii="Arial" w:eastAsia="Times New Roman" w:hAnsi="Arial" w:cs="Arial"/>
          <w:lang w:eastAsia="en-GB"/>
        </w:rPr>
        <w:t xml:space="preserve">PS and PB </w:t>
      </w:r>
      <w:r w:rsidR="007D0413" w:rsidRPr="002825DE">
        <w:rPr>
          <w:rFonts w:ascii="Arial" w:eastAsia="Times New Roman" w:hAnsi="Arial" w:cs="Arial"/>
          <w:lang w:eastAsia="en-GB"/>
        </w:rPr>
        <w:t>created the</w:t>
      </w:r>
      <w:r w:rsidRPr="002825DE">
        <w:rPr>
          <w:rFonts w:ascii="Arial" w:eastAsia="Times New Roman" w:hAnsi="Arial" w:cs="Arial"/>
          <w:lang w:eastAsia="en-GB"/>
        </w:rPr>
        <w:t xml:space="preserve"> study concept and analysis design. RH performed the data collection and wrote the first draft, analysed, interpreted the data. TSH further edited the draft. PS, PB, NM and IL edited and TSH revised the manuscript. </w:t>
      </w:r>
      <w:r w:rsidRPr="002825DE">
        <w:rPr>
          <w:rFonts w:ascii="Arial" w:eastAsia="ScalaLancetPro" w:hAnsi="Arial" w:cs="Arial"/>
        </w:rPr>
        <w:t>All authors checked, interpreted results and approved the final version.</w:t>
      </w:r>
    </w:p>
    <w:p w14:paraId="3686FC64" w14:textId="77777777" w:rsidR="00E05192" w:rsidRPr="002825DE" w:rsidRDefault="00E05192" w:rsidP="00E05192">
      <w:pPr>
        <w:autoSpaceDE w:val="0"/>
        <w:autoSpaceDN w:val="0"/>
        <w:adjustRightInd w:val="0"/>
        <w:spacing w:after="0" w:line="480" w:lineRule="auto"/>
        <w:jc w:val="both"/>
        <w:rPr>
          <w:rFonts w:ascii="Arial" w:eastAsia="ScalaLancetPro" w:hAnsi="Arial" w:cs="Arial"/>
        </w:rPr>
      </w:pPr>
    </w:p>
    <w:p w14:paraId="738D4E62" w14:textId="77777777" w:rsidR="00E05192" w:rsidRPr="002825DE" w:rsidRDefault="00E05192" w:rsidP="00E05192">
      <w:pPr>
        <w:spacing w:after="0" w:line="480" w:lineRule="auto"/>
        <w:jc w:val="both"/>
        <w:rPr>
          <w:rFonts w:ascii="Arial" w:eastAsia="Times New Roman" w:hAnsi="Arial" w:cs="Arial"/>
          <w:lang w:eastAsia="en-GB"/>
        </w:rPr>
      </w:pPr>
      <w:r w:rsidRPr="002825DE">
        <w:rPr>
          <w:rFonts w:ascii="Arial" w:eastAsia="Times New Roman" w:hAnsi="Arial" w:cs="Arial"/>
          <w:b/>
          <w:lang w:eastAsia="en-GB"/>
        </w:rPr>
        <w:t>Funding:</w:t>
      </w:r>
      <w:r w:rsidRPr="002825DE">
        <w:rPr>
          <w:rFonts w:ascii="Arial" w:eastAsia="Times New Roman" w:hAnsi="Arial" w:cs="Arial"/>
          <w:lang w:eastAsia="en-GB"/>
        </w:rPr>
        <w:t xml:space="preserve"> </w:t>
      </w:r>
      <w:r w:rsidRPr="002825DE">
        <w:rPr>
          <w:rFonts w:ascii="Arial" w:hAnsi="Arial" w:cs="Arial"/>
        </w:rPr>
        <w:t>None.</w:t>
      </w:r>
    </w:p>
    <w:p w14:paraId="0F04FF70" w14:textId="77777777" w:rsidR="00E05192" w:rsidRPr="002825DE" w:rsidRDefault="00E05192" w:rsidP="00E05192">
      <w:pPr>
        <w:spacing w:after="0" w:line="480" w:lineRule="auto"/>
        <w:jc w:val="both"/>
        <w:rPr>
          <w:rFonts w:ascii="Arial" w:eastAsia="Times New Roman" w:hAnsi="Arial" w:cs="Arial"/>
          <w:lang w:eastAsia="en-GB"/>
        </w:rPr>
      </w:pPr>
    </w:p>
    <w:p w14:paraId="4DC82CA6" w14:textId="77777777" w:rsidR="00E05192" w:rsidRPr="002825DE" w:rsidRDefault="00E05192" w:rsidP="00E05192">
      <w:pPr>
        <w:spacing w:after="0" w:line="480" w:lineRule="auto"/>
        <w:jc w:val="both"/>
        <w:rPr>
          <w:rFonts w:ascii="Arial" w:hAnsi="Arial" w:cs="Arial"/>
        </w:rPr>
      </w:pPr>
      <w:r w:rsidRPr="002825DE">
        <w:rPr>
          <w:rFonts w:ascii="Arial" w:hAnsi="Arial" w:cs="Arial"/>
          <w:b/>
          <w:bCs/>
        </w:rPr>
        <w:t xml:space="preserve">Competing interests: </w:t>
      </w:r>
      <w:r w:rsidRPr="002825DE">
        <w:rPr>
          <w:rFonts w:ascii="Arial" w:hAnsi="Arial" w:cs="Arial"/>
        </w:rPr>
        <w:t>The authors declared no potential conflicts of interest with respect to the research, authorship, and publication of this paper.</w:t>
      </w:r>
    </w:p>
    <w:p w14:paraId="1365C8A7" w14:textId="77777777" w:rsidR="00E05192" w:rsidRPr="002825DE" w:rsidRDefault="00E05192" w:rsidP="00E05192">
      <w:pPr>
        <w:spacing w:after="0" w:line="480" w:lineRule="auto"/>
        <w:jc w:val="both"/>
        <w:rPr>
          <w:rFonts w:ascii="Arial" w:hAnsi="Arial" w:cs="Arial"/>
          <w:b/>
        </w:rPr>
      </w:pPr>
    </w:p>
    <w:p w14:paraId="42CF7B2B" w14:textId="77777777" w:rsidR="00E05192" w:rsidRPr="002825DE" w:rsidRDefault="00E05192" w:rsidP="00E05192">
      <w:pPr>
        <w:spacing w:after="0" w:line="480" w:lineRule="auto"/>
        <w:jc w:val="both"/>
        <w:rPr>
          <w:rFonts w:ascii="Arial" w:hAnsi="Arial" w:cs="Arial"/>
        </w:rPr>
      </w:pPr>
      <w:r w:rsidRPr="002825DE">
        <w:rPr>
          <w:rFonts w:ascii="Arial" w:hAnsi="Arial" w:cs="Arial"/>
          <w:b/>
        </w:rPr>
        <w:t xml:space="preserve">Provenance and peer review: </w:t>
      </w:r>
      <w:r w:rsidRPr="002825DE">
        <w:rPr>
          <w:rFonts w:ascii="Arial" w:hAnsi="Arial" w:cs="Arial"/>
        </w:rPr>
        <w:t>Not commissioned; externally peer reviewed.</w:t>
      </w:r>
    </w:p>
    <w:p w14:paraId="2CB50BEB" w14:textId="77777777" w:rsidR="00E05192" w:rsidRPr="002825DE" w:rsidRDefault="00E05192" w:rsidP="00E05192">
      <w:pPr>
        <w:spacing w:after="0" w:line="480" w:lineRule="auto"/>
        <w:jc w:val="both"/>
        <w:rPr>
          <w:rFonts w:ascii="Arial" w:hAnsi="Arial" w:cs="Arial"/>
        </w:rPr>
      </w:pPr>
    </w:p>
    <w:p w14:paraId="38971468" w14:textId="77777777" w:rsidR="00E05192" w:rsidRPr="002825DE" w:rsidRDefault="00E05192" w:rsidP="00E05192">
      <w:pPr>
        <w:spacing w:after="0" w:line="480" w:lineRule="auto"/>
        <w:jc w:val="both"/>
        <w:rPr>
          <w:rFonts w:ascii="Arial" w:hAnsi="Arial" w:cs="Arial"/>
          <w:color w:val="000000" w:themeColor="text1"/>
        </w:rPr>
      </w:pPr>
      <w:r w:rsidRPr="002825DE">
        <w:rPr>
          <w:rFonts w:ascii="Arial" w:hAnsi="Arial" w:cs="Arial"/>
          <w:b/>
        </w:rPr>
        <w:t>Data sharing statement:</w:t>
      </w:r>
      <w:r w:rsidRPr="002825DE">
        <w:rPr>
          <w:rFonts w:ascii="Arial" w:hAnsi="Arial" w:cs="Arial"/>
        </w:rPr>
        <w:t xml:space="preserve"> No additional data are available.</w:t>
      </w:r>
    </w:p>
    <w:p w14:paraId="13DF797D" w14:textId="77777777" w:rsidR="009239A1" w:rsidRPr="002825DE" w:rsidRDefault="009239A1" w:rsidP="00980769">
      <w:pPr>
        <w:spacing w:after="0" w:line="480" w:lineRule="auto"/>
        <w:jc w:val="both"/>
        <w:rPr>
          <w:rFonts w:ascii="Arial" w:hAnsi="Arial" w:cs="Arial"/>
        </w:rPr>
      </w:pPr>
    </w:p>
    <w:p w14:paraId="3E6886DC" w14:textId="77777777" w:rsidR="009239A1" w:rsidRPr="002825DE" w:rsidRDefault="009239A1">
      <w:pPr>
        <w:spacing w:after="0" w:line="240" w:lineRule="auto"/>
        <w:rPr>
          <w:rFonts w:ascii="Arial" w:hAnsi="Arial" w:cs="Arial"/>
        </w:rPr>
      </w:pPr>
      <w:r w:rsidRPr="002825DE">
        <w:rPr>
          <w:rFonts w:ascii="Arial" w:hAnsi="Arial" w:cs="Arial"/>
        </w:rPr>
        <w:br w:type="page"/>
      </w:r>
    </w:p>
    <w:p w14:paraId="72E22932" w14:textId="4B0A7C17" w:rsidR="00BE0982" w:rsidRPr="002825DE" w:rsidRDefault="009239A1" w:rsidP="008A0AA0">
      <w:pPr>
        <w:spacing w:after="0" w:line="480" w:lineRule="auto"/>
        <w:jc w:val="both"/>
        <w:rPr>
          <w:rFonts w:ascii="Arial" w:hAnsi="Arial" w:cs="Arial"/>
          <w:b/>
        </w:rPr>
      </w:pPr>
      <w:r w:rsidRPr="002825DE">
        <w:rPr>
          <w:rFonts w:ascii="Arial" w:hAnsi="Arial" w:cs="Arial"/>
          <w:b/>
        </w:rPr>
        <w:lastRenderedPageBreak/>
        <w:t>REFERENCES</w:t>
      </w:r>
    </w:p>
    <w:p w14:paraId="2ED7F895" w14:textId="52A4BA20" w:rsidR="003960ED" w:rsidRPr="002825DE" w:rsidRDefault="005F0CEE"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fldChar w:fldCharType="begin"/>
      </w:r>
      <w:r w:rsidR="003960ED" w:rsidRPr="002825DE">
        <w:rPr>
          <w:rFonts w:ascii="Arial" w:hAnsi="Arial" w:cs="Arial"/>
        </w:rPr>
        <w:instrText>ADDIN RW.BIB</w:instrText>
      </w:r>
      <w:r w:rsidRPr="002825DE">
        <w:rPr>
          <w:rFonts w:ascii="Arial" w:hAnsi="Arial" w:cs="Arial"/>
        </w:rPr>
        <w:fldChar w:fldCharType="separate"/>
      </w:r>
      <w:r w:rsidR="003960ED" w:rsidRPr="002825DE">
        <w:rPr>
          <w:rFonts w:ascii="Arial" w:hAnsi="Arial" w:cs="Arial"/>
        </w:rPr>
        <w:t>Ansell J, Hirsh J, Hylek E, Jacobson A, Crowther M, Palareti G. Pharmacology and management of the vitamin K antagonists: American College of Chest Physicians evidence-based clinical practice guidelines. Chest Journal 2008;133(6_suppl):160S-198S.</w:t>
      </w:r>
    </w:p>
    <w:p w14:paraId="2E68467E" w14:textId="14853D76"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Wysowski DK, Nourjah P, Swartz L. Bleeding complications with warfarin use: A prevalent adverse effect resulting in regulatory action. Archives of Internal Medicine 2007;167(13):1414-1519-1419.</w:t>
      </w:r>
    </w:p>
    <w:p w14:paraId="515079D4" w14:textId="772A0B8F"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Watson HG, Baglin T, Laidlaw SL, Makris M, Preston FE. A comparison of the efficacy and rate of response to oral and intravenous Vitamin K in reversal of over</w:t>
      </w:r>
      <w:r w:rsidRPr="002825DE">
        <w:rPr>
          <w:rFonts w:ascii="Cambria Math" w:hAnsi="Cambria Math" w:cs="Cambria Math"/>
        </w:rPr>
        <w:t>‐</w:t>
      </w:r>
      <w:r w:rsidRPr="002825DE">
        <w:rPr>
          <w:rFonts w:ascii="Arial" w:hAnsi="Arial" w:cs="Arial"/>
        </w:rPr>
        <w:t>anticoagulation with warfarin. Br J Haematol 2001;115(1):145-149.</w:t>
      </w:r>
    </w:p>
    <w:p w14:paraId="30BB2FB3" w14:textId="1821A38C" w:rsidR="007B6847" w:rsidRPr="002825DE" w:rsidRDefault="007B6847"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Holbrook A, Schulman S, Witt DM et al. Evidence-based management of anticoagulant therapy: Antithrombotic Therapy and Prevention of Thrombosis, 9th ed: American College of Chest Physicians Evidence-Based Clinical Practice Guidelines. Chest 2012;141(2 Suppl):e152S–84S.</w:t>
      </w:r>
    </w:p>
    <w:p w14:paraId="175E8ADE" w14:textId="230A5926"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Franchini M, Lippi G. Prothrombin complex concentrates: an update. Blood Transfusion 2010;8(3):149-150-154.</w:t>
      </w:r>
    </w:p>
    <w:p w14:paraId="210219C0" w14:textId="5F0AC55E"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Keeling D, Baglin T, Tait C, Watson H, Perry D, Baglin C, et al. Guidelines on oral anticoagulation with warfarin–fourth edition. Br J Haematol 2011;154(3):311-324.</w:t>
      </w:r>
    </w:p>
    <w:p w14:paraId="68A2AFF1" w14:textId="3B429AB0"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Leissinger CA, Blatt PM, Hoots WK, Ewenstein B. Role of prothrombin complex concentrates in reversing warfarin anticoagulation: a review of the literature. Am J Hematol 2008;83(2):137-143.</w:t>
      </w:r>
    </w:p>
    <w:p w14:paraId="44449E8C" w14:textId="05352F3A"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lastRenderedPageBreak/>
        <w:t>Chai-Adisaksopha C, Hillis C, Siegal DM, Movilla R, Heddle N, Iorio A, et al. Prothrombin complex concentrates versus fresh frozen plasma for warfarin reversal. Thromb Haemost 2016;116(5):879-890.</w:t>
      </w:r>
    </w:p>
    <w:p w14:paraId="17832D37" w14:textId="64617D04"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Johansen M, Wikkelsø A, Lunde J, Wetterslev J, Afshari A. Prothrombin complex concentrate for reversal of vitamin K antagonist treatment in bleeding and non</w:t>
      </w:r>
      <w:r w:rsidRPr="002825DE">
        <w:rPr>
          <w:rFonts w:ascii="Cambria Math" w:hAnsi="Cambria Math" w:cs="Cambria Math"/>
        </w:rPr>
        <w:t>‐</w:t>
      </w:r>
      <w:r w:rsidRPr="002825DE">
        <w:rPr>
          <w:rFonts w:ascii="Arial" w:hAnsi="Arial" w:cs="Arial"/>
        </w:rPr>
        <w:t>bleeding patients. The Cochrane Library 2015.</w:t>
      </w:r>
    </w:p>
    <w:p w14:paraId="1E6A4DFB" w14:textId="0B05DE18"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Boulis NM, Bobek MP, Schmaier A, Hoff JT. Use of factor IX complex in warfarin-related intracranial hemorrhage. Neurosurgery 1999;45(5):1113-1118.</w:t>
      </w:r>
    </w:p>
    <w:p w14:paraId="6F3E5618" w14:textId="7B25F7D0"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Moher D, Liberati A, Tetzlaff J, Altman DG, Prisma Group. Preferred reporting items for systematic reviews and meta-analyses: the PRISMA statement. PLoS med 2009;6(7):e1000097.</w:t>
      </w:r>
    </w:p>
    <w:p w14:paraId="4579D499" w14:textId="7AA0D022"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van Tulder M, Furlan A, Bombardier C, Bouter L, Editorial Board of the Cochrane Collaboration Back Review Group. Updated method guidelines for systematic reviews in the cochrane collaboration back review group. Spine (Phila Pa 1976) 2003 Jun 15;28(12):1290-1299.</w:t>
      </w:r>
    </w:p>
    <w:p w14:paraId="17B9D6C7" w14:textId="1678DB84" w:rsidR="00941710" w:rsidRPr="002825DE" w:rsidRDefault="00941710"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Higgins JP, Altman DG, Gøtzsche PC, Jüni P, Moher D, Oxman AD, Savović J, Schulz KF, Weeks L, Sterne JA. The Cochrane Collaboration’s tool for assessing risk of bias in randomised trials. BMJ 2011 Oct 18;343:d5928.</w:t>
      </w:r>
    </w:p>
    <w:p w14:paraId="6DDDD16A" w14:textId="065DA603"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Parry</w:t>
      </w:r>
      <w:r w:rsidRPr="002825DE">
        <w:rPr>
          <w:rFonts w:ascii="Cambria Math" w:hAnsi="Cambria Math" w:cs="Cambria Math"/>
        </w:rPr>
        <w:t>‐</w:t>
      </w:r>
      <w:r w:rsidRPr="002825DE">
        <w:rPr>
          <w:rFonts w:ascii="Arial" w:hAnsi="Arial" w:cs="Arial"/>
        </w:rPr>
        <w:t>Jones AR, Di Napoli M, Goldstein JN, Schreuder FH, Tetri S, Tatlisumak T, et al. Reversal strategies for vitamin K antagonists in acute intracerebral hemorrhage. Ann Neurol 2015;78(1):54-62.</w:t>
      </w:r>
    </w:p>
    <w:p w14:paraId="71B7B58F" w14:textId="51B665BB"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 xml:space="preserve">Goldstein JN, Refaai MA, Milling TJ, Lewis B, Goldberg-Alberts R, Hug BA, et al. Four-factor prothrombin complex concentrate versus plasma for rapid </w:t>
      </w:r>
      <w:r w:rsidRPr="002825DE">
        <w:rPr>
          <w:rFonts w:ascii="Arial" w:hAnsi="Arial" w:cs="Arial"/>
        </w:rPr>
        <w:lastRenderedPageBreak/>
        <w:t>vitamin K antagonist reversal in patients needing urgent surgical or invasive interventions: a phase 3b, open-label, non-inferiority, randomised trial. The Lancet 2015;385(9982):2077-2087.</w:t>
      </w:r>
    </w:p>
    <w:p w14:paraId="2FBD1813" w14:textId="5D6989F4"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Steiner T, Poli S, Griebe M, Hüsing J, Hajda J, Freiberger A, et al. Fresh frozen plasma versus prothrombin complex concentrate in patients with intracranial haemorrhage related to vitamin K antagonists (INCH): a randomised trial. The Lancet Neurology 2016;15(6):566-573.</w:t>
      </w:r>
    </w:p>
    <w:p w14:paraId="045164C0" w14:textId="658662AA"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Frontera JA, Gordon E, Zach V, Jovine M, Uchino K, Hussain MS, et al. Reversal of coagulopathy using prothrombin complex concentrates is associated with improved outcome compared to fresh frozen plasma in warfarin-associated intracra</w:t>
      </w:r>
      <w:r w:rsidR="00ED3335" w:rsidRPr="002825DE">
        <w:rPr>
          <w:rFonts w:ascii="Arial" w:hAnsi="Arial" w:cs="Arial"/>
        </w:rPr>
        <w:t>nial hemorrhage. Neurocritical C</w:t>
      </w:r>
      <w:r w:rsidRPr="002825DE">
        <w:rPr>
          <w:rFonts w:ascii="Arial" w:hAnsi="Arial" w:cs="Arial"/>
        </w:rPr>
        <w:t>are 2014;21(3):397-406.</w:t>
      </w:r>
    </w:p>
    <w:p w14:paraId="4192D70B" w14:textId="4C4BC249"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Hickey M, Gatien M, Taljaard M, Aujnarain A, Giulivi A, Perry JJ. Outcomes of urgent warfarin reversal with frozen plasma versus prothrombin complex concentrate in the emergency department. Circulation 2013 Jul 23;128(4):360-364.</w:t>
      </w:r>
    </w:p>
    <w:p w14:paraId="39508ACD" w14:textId="11693D05"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Majeed A, Meijer K, Larrazabal R, Arnberg F, Luijckx GJ, Roberts RS, et al. Mortality in vitamin K antagonist-related intracerebral bleeding treated with plasma or 4-factor prothrombin complex concentrate. Thromb Haemost 2014 Feb;111(2):233-239.</w:t>
      </w:r>
    </w:p>
    <w:p w14:paraId="61E9B117" w14:textId="0D569BC5"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Sarode R, Milling TJ,Jr, Refaai MA, Mangione A, Schneider A, Durn BL, et al. Efficacy and safety of a 4-factor prothrombin complex concentrate in patients on vitamin K antagonists presenting with major bleeding: a randomized, plasma-controlled, phase IIIb study. Circulation 2013 Sep 10;128(11):1234-1243.</w:t>
      </w:r>
    </w:p>
    <w:p w14:paraId="5D3B984B" w14:textId="4EA29BD3"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lastRenderedPageBreak/>
        <w:t>Takahashi A, Kato TS, Oda N, Komamura K, Kanzaki H, Asakura M, et al. Prothrombin Complex Concentrate for Rapid Reversal of Warfarin-induced Anticoagulation and Intracerebral Hemorrhage in Patients Supported by a Left Ventricular Assist Device. International Journal of Gerontology 2010;4(3):143-147.</w:t>
      </w:r>
    </w:p>
    <w:p w14:paraId="524E6663" w14:textId="4F40BD86"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Wu DW, Xia Y, Uelinger J, Forest S, Szymanski J, Mohandas K, et al. Impact of Prothrombin Complex Concentrate on Blood Use, Cost, and Outcomes in Heart Transplantation. The Annals of Thoracic Surgery 2018 April 2018;105(4):1152-1157.</w:t>
      </w:r>
    </w:p>
    <w:p w14:paraId="24BAC872" w14:textId="01B3AFA6"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Cartmill, G. Dolan, JL Byrne, PO Byrne, M. Prothrombin complex concentrate for oral anticoagulant reversal in neurosurgical emergencies. Br J Neurosurg 2000;14(5):458-461.</w:t>
      </w:r>
    </w:p>
    <w:p w14:paraId="2CA88725" w14:textId="65663158"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Karaca MA, Erbil B, Ozmen MM. Use and effectiveness of prothrombin complex concentrates vs fresh frozen plasma in gastrointestinal hemorrhage due to warfarin usage in the ED. Am J Emerg Med 2014;32(6):660-664.</w:t>
      </w:r>
    </w:p>
    <w:p w14:paraId="58556617" w14:textId="1C7FE619"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Rowe AS, Mahbubani PS, Bucklin MH, Clark CT, Hamilton LA. Activated Prothrombin Complex Concentrate versus Plasma for Reversal of Warfarin</w:t>
      </w:r>
      <w:r w:rsidRPr="002825DE">
        <w:rPr>
          <w:rFonts w:ascii="Cambria Math" w:hAnsi="Cambria Math" w:cs="Cambria Math"/>
        </w:rPr>
        <w:t>‐</w:t>
      </w:r>
      <w:r w:rsidRPr="002825DE">
        <w:rPr>
          <w:rFonts w:ascii="Arial" w:hAnsi="Arial" w:cs="Arial"/>
        </w:rPr>
        <w:t>Associated Hemorrhage. Pharmacotherapy: The Journal of Human Pharmacology and Drug Therapy 2016;36(11):1132-1137.</w:t>
      </w:r>
    </w:p>
    <w:p w14:paraId="5F3A5D6A" w14:textId="71AB117D"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Demeyere R, Gillardin S, Arnout J, Strengers PF. Comparison of fresh frozen plasma and prothrombin complex concentrate for the reversal of oral anticoagulants in patients undergoing cardiopulmonary bypass surgery: a randomized study. Vox sanguinis 2010;99(3):251-260.</w:t>
      </w:r>
    </w:p>
    <w:p w14:paraId="5D1E9C46" w14:textId="4ACAE265"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lastRenderedPageBreak/>
        <w:t>Farsad BF, Golpira R, Najafi H, Totonchi Z, Salajegheh S, Bakhshandeh H, et al. Comparison between Prothrombin Complex Concentrate (PCC) and Fresh Frozen Plasma (FFP) for the Urgent Reversal of Warfarin in Patients with Mechanical Heart Valves in a Tertiary Care Cardiac Center. Iranian Journal of Pharmaceutical Research 2015;14(3):877-885.</w:t>
      </w:r>
    </w:p>
    <w:p w14:paraId="7A5E116D" w14:textId="645C0B70"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Carothers C, Giancarelli A, Ibrahim J, Hobbs B. Activated prothrombin complex concentrate for warfarin reversal in traumatic intracranial hemorrhage. Journal of Surgical Research 2018 March 2018;223:183-187.</w:t>
      </w:r>
    </w:p>
    <w:p w14:paraId="05CF874D" w14:textId="3A2FC438"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Agarwal P, Abdullah KG, Nayak NR, Ramayya AG, Lucas TH. A Retrospective Propensity Score-Matched Early Thromboembolic Event Analysis of Prothrombin Complex Concentrate vs Fresh Frozen Plasma for Warfarin Reversal Prior to Emergency Neurosurgical Procedures. Neurosurgery 2018;82(6):877-886.</w:t>
      </w:r>
    </w:p>
    <w:p w14:paraId="05863C77" w14:textId="55876DD6"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Demeyere R, Gillardin S, Arnout J, Strengers P. Comparison of fresh frozen plasma and prothrombin complex concentrate for the reversal of oral anticoagulants in patients undergoing cardiopulmonary bypass surgery: a randomized study. Vox Sang 2010;99(3):251-260.</w:t>
      </w:r>
    </w:p>
    <w:p w14:paraId="09CA4A25" w14:textId="478D8E3F"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Fredriksson K, Norrving B, Stromblad LG. Emergency reversal of anticoagulation after intracerebral hemorrhage. Stroke 1992 Jul;23(7):972-977.</w:t>
      </w:r>
    </w:p>
    <w:p w14:paraId="657D5D67" w14:textId="1C96E91F"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O'shaughnessy D, Atterbury C, Bolton Maggs P, Murphy M, Thomas D, Yates S, et al. Guidelines for the use of fresh</w:t>
      </w:r>
      <w:r w:rsidRPr="002825DE">
        <w:rPr>
          <w:rFonts w:ascii="Cambria Math" w:hAnsi="Cambria Math" w:cs="Cambria Math"/>
        </w:rPr>
        <w:t>‐</w:t>
      </w:r>
      <w:r w:rsidRPr="002825DE">
        <w:rPr>
          <w:rFonts w:ascii="Arial" w:hAnsi="Arial" w:cs="Arial"/>
        </w:rPr>
        <w:t>frozen plasma, cryoprecipitate and cryosupernatant. Br J Haematol 2004;126(1):11-28.</w:t>
      </w:r>
    </w:p>
    <w:p w14:paraId="15751E8C" w14:textId="647A02C1"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 xml:space="preserve">Goldstein JN, Thomas SH, Frontiero V, Joseph A, Engel C, Snider R, et al. </w:t>
      </w:r>
      <w:r w:rsidRPr="002825DE">
        <w:rPr>
          <w:rFonts w:ascii="Arial" w:hAnsi="Arial" w:cs="Arial"/>
          <w:bCs/>
        </w:rPr>
        <w:t xml:space="preserve">Timing of fresh frozen plasma administration and rapid correction of </w:t>
      </w:r>
      <w:r w:rsidRPr="002825DE">
        <w:rPr>
          <w:rFonts w:ascii="Arial" w:hAnsi="Arial" w:cs="Arial"/>
          <w:bCs/>
        </w:rPr>
        <w:lastRenderedPageBreak/>
        <w:t>coagulopathy in warfarin-related intracerebral hemorrhage</w:t>
      </w:r>
      <w:r w:rsidRPr="002825DE">
        <w:rPr>
          <w:rFonts w:ascii="Arial" w:hAnsi="Arial" w:cs="Arial"/>
        </w:rPr>
        <w:t>. Stroke 2006;37(1):151-152-155.</w:t>
      </w:r>
    </w:p>
    <w:p w14:paraId="15BB12BD" w14:textId="7ED8320A" w:rsidR="00234441" w:rsidRPr="002825DE" w:rsidRDefault="00234441"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Felton D, Foley EM, Traub SJ, Vodonos A, Ganetsky M. Risk of venous thromboembolism after receiving prothrombin complex concentrate for warfarin-associated intracranial hemorrhage. The Journal of Emergency Medicine 2016;50(1):1-6.</w:t>
      </w:r>
    </w:p>
    <w:p w14:paraId="4921AA70" w14:textId="37C8A4AB"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 xml:space="preserve">Flibotte JJ, Hagan N, O'Donnell J, Greenberg SM, Rosand J. </w:t>
      </w:r>
      <w:r w:rsidRPr="002825DE">
        <w:rPr>
          <w:rFonts w:ascii="Arial" w:hAnsi="Arial" w:cs="Arial"/>
          <w:bCs/>
        </w:rPr>
        <w:t>Warfarin, hematoma expansion, and outcome of intracerebral hemorrhage</w:t>
      </w:r>
      <w:r w:rsidRPr="002825DE">
        <w:rPr>
          <w:rFonts w:ascii="Arial" w:hAnsi="Arial" w:cs="Arial"/>
        </w:rPr>
        <w:t>. Neurology 2004;63(6):1059-1060-1064.</w:t>
      </w:r>
    </w:p>
    <w:p w14:paraId="2B9472C4" w14:textId="276205F2" w:rsidR="003960ED"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Huttner HB, Schellinger PD, Hartmann M, Köhrmann M, Juettler E, Wikner J, et al. Hematoma Growth and Outcome in Treated Neurocritical Care Patients With Intracerebral Hemorrhage Related to Oral Anticoagulant Therapy. Stroke 2006;37(6):1465-1466-1470.</w:t>
      </w:r>
    </w:p>
    <w:p w14:paraId="1234D3CD" w14:textId="473BDEB9" w:rsidR="00BF3BD8" w:rsidRPr="002825DE" w:rsidRDefault="003960ED" w:rsidP="009B6EED">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Anderson CS, Huang Y, Wang JG, Arima H, Neal B, Peng B, et al. Intensive blood pressure reduction in acute cerebral haemorrhage trial (INTERACT): a randomised pilot trial. The Lancet Neurology 2008 May 2008;7(5):391-399.</w:t>
      </w:r>
      <w:r w:rsidRPr="002825DE">
        <w:rPr>
          <w:rFonts w:ascii="Arial" w:eastAsia="Times New Roman" w:hAnsi="Arial" w:cs="Arial"/>
        </w:rPr>
        <w:t> </w:t>
      </w:r>
      <w:r w:rsidR="005F0CEE" w:rsidRPr="002825DE">
        <w:rPr>
          <w:rFonts w:ascii="Arial" w:hAnsi="Arial" w:cs="Arial"/>
        </w:rPr>
        <w:fldChar w:fldCharType="end"/>
      </w:r>
    </w:p>
    <w:p w14:paraId="56C7E83C" w14:textId="3F6979A2" w:rsidR="00F04FA1" w:rsidRPr="002825DE" w:rsidRDefault="00F04FA1" w:rsidP="00F04FA1">
      <w:pPr>
        <w:pStyle w:val="NormalWeb"/>
        <w:numPr>
          <w:ilvl w:val="0"/>
          <w:numId w:val="1"/>
        </w:numPr>
        <w:spacing w:beforeAutospacing="0" w:after="0" w:afterAutospacing="0" w:line="480" w:lineRule="auto"/>
        <w:ind w:left="426" w:hanging="426"/>
        <w:jc w:val="both"/>
        <w:rPr>
          <w:rFonts w:ascii="Arial" w:hAnsi="Arial" w:cs="Arial"/>
        </w:rPr>
      </w:pPr>
      <w:r w:rsidRPr="002825DE">
        <w:rPr>
          <w:rFonts w:ascii="Arial" w:hAnsi="Arial" w:cs="Arial"/>
        </w:rPr>
        <w:t xml:space="preserve">Beyer-Westendorf J, Förster K, Pannach S, Ebertz F, Gelbricht V, Thieme C, </w:t>
      </w:r>
      <w:r w:rsidR="00DB3F09" w:rsidRPr="002825DE">
        <w:rPr>
          <w:rFonts w:ascii="Arial" w:hAnsi="Arial" w:cs="Arial"/>
        </w:rPr>
        <w:t>et al</w:t>
      </w:r>
      <w:r w:rsidRPr="002825DE">
        <w:rPr>
          <w:rFonts w:ascii="Arial" w:hAnsi="Arial" w:cs="Arial"/>
        </w:rPr>
        <w:t>. Rates, management, and outcome of rivaroxaban bleeding in daily care: results from the Dresden NOAC registry. Blood 2014;124(6):955-</w:t>
      </w:r>
      <w:r w:rsidR="00DB3F09" w:rsidRPr="002825DE">
        <w:rPr>
          <w:rFonts w:ascii="Arial" w:hAnsi="Arial" w:cs="Arial"/>
        </w:rPr>
        <w:t>9</w:t>
      </w:r>
      <w:r w:rsidRPr="002825DE">
        <w:rPr>
          <w:rFonts w:ascii="Arial" w:hAnsi="Arial" w:cs="Arial"/>
        </w:rPr>
        <w:t>62.</w:t>
      </w:r>
    </w:p>
    <w:p w14:paraId="1A994493" w14:textId="77777777" w:rsidR="00BF3BD8" w:rsidRPr="002825DE" w:rsidRDefault="00BF3BD8" w:rsidP="008A0AA0">
      <w:pPr>
        <w:spacing w:after="0" w:line="480" w:lineRule="auto"/>
        <w:jc w:val="both"/>
        <w:rPr>
          <w:rFonts w:ascii="Arial" w:hAnsi="Arial" w:cs="Arial"/>
        </w:rPr>
      </w:pPr>
      <w:r w:rsidRPr="002825DE">
        <w:rPr>
          <w:rFonts w:ascii="Arial" w:hAnsi="Arial" w:cs="Arial"/>
        </w:rPr>
        <w:br w:type="page"/>
      </w:r>
    </w:p>
    <w:p w14:paraId="04E88E47" w14:textId="77777777" w:rsidR="00BF3BD8" w:rsidRPr="002825DE" w:rsidRDefault="00BF3BD8" w:rsidP="008A0AA0">
      <w:pPr>
        <w:pStyle w:val="Heading1"/>
        <w:spacing w:before="0" w:after="0" w:line="480" w:lineRule="auto"/>
        <w:jc w:val="both"/>
        <w:rPr>
          <w:rFonts w:ascii="Arial" w:hAnsi="Arial" w:cs="Arial"/>
          <w:b/>
          <w:color w:val="auto"/>
          <w:sz w:val="24"/>
          <w:szCs w:val="24"/>
        </w:rPr>
      </w:pPr>
      <w:r w:rsidRPr="002825DE">
        <w:rPr>
          <w:rFonts w:ascii="Arial" w:hAnsi="Arial" w:cs="Arial"/>
          <w:b/>
          <w:color w:val="auto"/>
          <w:sz w:val="24"/>
          <w:szCs w:val="24"/>
        </w:rPr>
        <w:lastRenderedPageBreak/>
        <w:t>LEGENDS</w:t>
      </w:r>
    </w:p>
    <w:p w14:paraId="68A6E938" w14:textId="77777777" w:rsidR="00BF3BD8" w:rsidRPr="002825DE" w:rsidRDefault="00BF3BD8" w:rsidP="008A0AA0">
      <w:pPr>
        <w:spacing w:after="0" w:line="480" w:lineRule="auto"/>
        <w:jc w:val="both"/>
        <w:rPr>
          <w:rFonts w:ascii="Arial" w:hAnsi="Arial" w:cs="Arial"/>
        </w:rPr>
      </w:pPr>
      <w:r w:rsidRPr="002825DE">
        <w:rPr>
          <w:rFonts w:ascii="Arial" w:hAnsi="Arial" w:cs="Arial"/>
          <w:b/>
        </w:rPr>
        <w:t>Figure 1.</w:t>
      </w:r>
      <w:r w:rsidRPr="002825DE">
        <w:rPr>
          <w:rFonts w:ascii="Arial" w:hAnsi="Arial" w:cs="Arial"/>
        </w:rPr>
        <w:t xml:space="preserve"> PRISMA study flow diagram showing the application of the selection criteria.</w:t>
      </w:r>
    </w:p>
    <w:p w14:paraId="664E08B8" w14:textId="77777777" w:rsidR="00BF3BD8" w:rsidRPr="002825DE" w:rsidRDefault="00BF3BD8" w:rsidP="008A0AA0">
      <w:pPr>
        <w:spacing w:after="0" w:line="480" w:lineRule="auto"/>
        <w:jc w:val="both"/>
        <w:rPr>
          <w:rFonts w:ascii="Arial" w:hAnsi="Arial" w:cs="Arial"/>
        </w:rPr>
      </w:pPr>
      <w:r w:rsidRPr="002825DE">
        <w:rPr>
          <w:rFonts w:ascii="Arial" w:hAnsi="Arial" w:cs="Arial"/>
          <w:b/>
        </w:rPr>
        <w:t xml:space="preserve">Figure 2. </w:t>
      </w:r>
      <w:r w:rsidRPr="002825DE">
        <w:rPr>
          <w:rFonts w:ascii="Arial" w:hAnsi="Arial" w:cs="Arial"/>
        </w:rPr>
        <w:t>Forest plot of 90day all-cause mortality in all VKA reversal trials comparing PCC against FFP.</w:t>
      </w:r>
    </w:p>
    <w:p w14:paraId="5AB172F4" w14:textId="77777777" w:rsidR="00BF3BD8" w:rsidRPr="002825DE" w:rsidRDefault="00BF3BD8" w:rsidP="008A0AA0">
      <w:pPr>
        <w:spacing w:after="0" w:line="480" w:lineRule="auto"/>
        <w:jc w:val="both"/>
        <w:rPr>
          <w:rFonts w:ascii="Arial" w:hAnsi="Arial" w:cs="Arial"/>
        </w:rPr>
      </w:pPr>
      <w:r w:rsidRPr="002825DE">
        <w:rPr>
          <w:rFonts w:ascii="Arial" w:hAnsi="Arial" w:cs="Arial"/>
          <w:b/>
        </w:rPr>
        <w:t xml:space="preserve">Figure 3. </w:t>
      </w:r>
      <w:r w:rsidRPr="002825DE">
        <w:rPr>
          <w:rFonts w:ascii="Arial" w:hAnsi="Arial" w:cs="Arial"/>
        </w:rPr>
        <w:t>Forest plot of patients achieving adequate INR reversal in all VKA reversal trials comparing PCC against FFP.</w:t>
      </w:r>
    </w:p>
    <w:p w14:paraId="6493DAFF" w14:textId="142A3CA7" w:rsidR="00BF3BD8" w:rsidRPr="002825DE" w:rsidRDefault="00934DFD" w:rsidP="008A0AA0">
      <w:pPr>
        <w:spacing w:after="0" w:line="480" w:lineRule="auto"/>
        <w:jc w:val="both"/>
        <w:rPr>
          <w:rFonts w:ascii="Arial" w:hAnsi="Arial" w:cs="Arial"/>
        </w:rPr>
      </w:pPr>
      <w:r w:rsidRPr="002825DE">
        <w:rPr>
          <w:rFonts w:ascii="Arial" w:hAnsi="Arial" w:cs="Arial"/>
          <w:b/>
        </w:rPr>
        <w:t xml:space="preserve">Figure </w:t>
      </w:r>
      <w:r w:rsidR="00BF3BD8" w:rsidRPr="002825DE">
        <w:rPr>
          <w:rFonts w:ascii="Arial" w:hAnsi="Arial" w:cs="Arial"/>
          <w:b/>
        </w:rPr>
        <w:t>4.</w:t>
      </w:r>
      <w:r w:rsidR="00BF3BD8" w:rsidRPr="002825DE">
        <w:rPr>
          <w:rFonts w:ascii="Arial" w:hAnsi="Arial" w:cs="Arial"/>
        </w:rPr>
        <w:t xml:space="preserve"> Forest plot comparing proportion of patients having at least one treatment related adverse event in all VKA reversal trials comparing PCC against FFP.</w:t>
      </w:r>
    </w:p>
    <w:p w14:paraId="1745591B" w14:textId="7198F635" w:rsidR="00BF3BD8" w:rsidRPr="002825DE" w:rsidRDefault="00934DFD" w:rsidP="008A0AA0">
      <w:pPr>
        <w:spacing w:after="0" w:line="480" w:lineRule="auto"/>
        <w:jc w:val="both"/>
        <w:rPr>
          <w:rFonts w:ascii="Arial" w:hAnsi="Arial" w:cs="Arial"/>
        </w:rPr>
      </w:pPr>
      <w:r w:rsidRPr="002825DE">
        <w:rPr>
          <w:rFonts w:ascii="Arial" w:hAnsi="Arial" w:cs="Arial"/>
          <w:b/>
        </w:rPr>
        <w:t xml:space="preserve">Figure </w:t>
      </w:r>
      <w:r w:rsidR="00BF3BD8" w:rsidRPr="002825DE">
        <w:rPr>
          <w:rFonts w:ascii="Arial" w:hAnsi="Arial" w:cs="Arial"/>
          <w:b/>
        </w:rPr>
        <w:t>5.</w:t>
      </w:r>
      <w:r w:rsidR="00BF3BD8" w:rsidRPr="002825DE">
        <w:rPr>
          <w:rFonts w:ascii="Arial" w:hAnsi="Arial" w:cs="Arial"/>
        </w:rPr>
        <w:t xml:space="preserve"> Forest plot comparing 90 day all-cause mortality in all VKA reversal trials for the treatment of ICH for PCC against FFP.</w:t>
      </w:r>
    </w:p>
    <w:p w14:paraId="5A782CEF" w14:textId="03D0855D" w:rsidR="00BF3BD8" w:rsidRPr="002825DE" w:rsidRDefault="00934DFD" w:rsidP="008A0AA0">
      <w:pPr>
        <w:spacing w:after="0" w:line="480" w:lineRule="auto"/>
        <w:jc w:val="both"/>
        <w:rPr>
          <w:rFonts w:ascii="Arial" w:hAnsi="Arial" w:cs="Arial"/>
        </w:rPr>
      </w:pPr>
      <w:r w:rsidRPr="002825DE">
        <w:rPr>
          <w:rFonts w:ascii="Arial" w:hAnsi="Arial" w:cs="Arial"/>
          <w:b/>
        </w:rPr>
        <w:t xml:space="preserve">Figure </w:t>
      </w:r>
      <w:r w:rsidR="00BF3BD8" w:rsidRPr="002825DE">
        <w:rPr>
          <w:rFonts w:ascii="Arial" w:hAnsi="Arial" w:cs="Arial"/>
          <w:b/>
        </w:rPr>
        <w:t>6.</w:t>
      </w:r>
      <w:r w:rsidR="00BF3BD8" w:rsidRPr="002825DE">
        <w:rPr>
          <w:rFonts w:ascii="Arial" w:hAnsi="Arial" w:cs="Arial"/>
        </w:rPr>
        <w:t xml:space="preserve"> Forest plot comparing the proportion of patients who achieved the INR target in all VKA reversal trials for the treatment of ICH for PCC against FFP. </w:t>
      </w:r>
    </w:p>
    <w:p w14:paraId="59E31422" w14:textId="37AE0C4B" w:rsidR="0025697A" w:rsidRPr="002825DE" w:rsidRDefault="0025697A" w:rsidP="0025697A">
      <w:pPr>
        <w:spacing w:after="0" w:line="480" w:lineRule="auto"/>
        <w:jc w:val="both"/>
        <w:rPr>
          <w:rFonts w:ascii="Arial" w:hAnsi="Arial" w:cs="Arial"/>
        </w:rPr>
      </w:pPr>
      <w:r w:rsidRPr="002825DE">
        <w:rPr>
          <w:rFonts w:ascii="Arial" w:hAnsi="Arial" w:cs="Arial"/>
          <w:b/>
        </w:rPr>
        <w:t>Figure 7.</w:t>
      </w:r>
      <w:r w:rsidRPr="002825DE">
        <w:rPr>
          <w:rFonts w:ascii="Arial" w:hAnsi="Arial" w:cs="Arial"/>
        </w:rPr>
        <w:t xml:space="preserve"> Risk of bias assessments for studies of PCC and FFP in emergency VKA reversal. </w:t>
      </w:r>
    </w:p>
    <w:p w14:paraId="4F60BBA4" w14:textId="77777777" w:rsidR="00BF3BD8" w:rsidRPr="002825DE" w:rsidRDefault="00BF3BD8" w:rsidP="008A0AA0">
      <w:pPr>
        <w:spacing w:after="0" w:line="480" w:lineRule="auto"/>
        <w:jc w:val="both"/>
        <w:rPr>
          <w:rFonts w:ascii="Arial" w:hAnsi="Arial" w:cs="Arial"/>
        </w:rPr>
      </w:pPr>
      <w:r w:rsidRPr="002825DE">
        <w:rPr>
          <w:rFonts w:ascii="Arial" w:hAnsi="Arial" w:cs="Arial"/>
        </w:rPr>
        <w:br w:type="page"/>
      </w:r>
    </w:p>
    <w:p w14:paraId="4D0B7538" w14:textId="77777777" w:rsidR="00BF3BD8" w:rsidRPr="002825DE" w:rsidRDefault="00BF3BD8" w:rsidP="008A0AA0">
      <w:pPr>
        <w:spacing w:after="0" w:line="480" w:lineRule="auto"/>
        <w:jc w:val="both"/>
        <w:rPr>
          <w:rFonts w:ascii="Arial" w:hAnsi="Arial" w:cs="Arial"/>
          <w:b/>
        </w:rPr>
      </w:pPr>
      <w:r w:rsidRPr="002825DE">
        <w:rPr>
          <w:rFonts w:ascii="Arial" w:hAnsi="Arial" w:cs="Arial"/>
          <w:b/>
        </w:rPr>
        <w:lastRenderedPageBreak/>
        <w:t>SUPPLEMENTARY MATERIAL</w:t>
      </w:r>
    </w:p>
    <w:p w14:paraId="4B9CBBBC" w14:textId="188DADE0" w:rsidR="00BF3BD8" w:rsidRPr="002825DE" w:rsidRDefault="00BF3BD8" w:rsidP="008A0AA0">
      <w:pPr>
        <w:spacing w:after="0" w:line="480" w:lineRule="auto"/>
        <w:jc w:val="both"/>
        <w:rPr>
          <w:rFonts w:ascii="Arial" w:hAnsi="Arial" w:cs="Arial"/>
        </w:rPr>
      </w:pPr>
      <w:r w:rsidRPr="002825DE">
        <w:rPr>
          <w:rFonts w:ascii="Arial" w:hAnsi="Arial" w:cs="Arial"/>
          <w:b/>
        </w:rPr>
        <w:t xml:space="preserve">Supplementary </w:t>
      </w:r>
      <w:r w:rsidR="00D63B34" w:rsidRPr="002825DE">
        <w:rPr>
          <w:rFonts w:ascii="Arial" w:hAnsi="Arial" w:cs="Arial"/>
          <w:b/>
        </w:rPr>
        <w:t>Figure</w:t>
      </w:r>
      <w:r w:rsidRPr="002825DE">
        <w:rPr>
          <w:rFonts w:ascii="Arial" w:hAnsi="Arial" w:cs="Arial"/>
          <w:b/>
        </w:rPr>
        <w:t xml:space="preserve"> 1.</w:t>
      </w:r>
      <w:r w:rsidRPr="002825DE">
        <w:rPr>
          <w:rFonts w:ascii="Arial" w:hAnsi="Arial" w:cs="Arial"/>
        </w:rPr>
        <w:t xml:space="preserve"> Forest plot of patients suffering at least one thromboembolic events in all VKA reversal trials comparing PCC against FFP.</w:t>
      </w:r>
    </w:p>
    <w:p w14:paraId="56DB05B2" w14:textId="4B241036" w:rsidR="00BF3BD8" w:rsidRPr="002825DE" w:rsidRDefault="00BF3BD8" w:rsidP="008A0AA0">
      <w:pPr>
        <w:spacing w:after="0" w:line="480" w:lineRule="auto"/>
        <w:jc w:val="both"/>
        <w:rPr>
          <w:rFonts w:ascii="Arial" w:hAnsi="Arial" w:cs="Arial"/>
        </w:rPr>
      </w:pPr>
      <w:r w:rsidRPr="002825DE">
        <w:rPr>
          <w:rFonts w:ascii="Arial" w:hAnsi="Arial" w:cs="Arial"/>
          <w:b/>
        </w:rPr>
        <w:t xml:space="preserve">Supplementary </w:t>
      </w:r>
      <w:r w:rsidR="00D63B34" w:rsidRPr="002825DE">
        <w:rPr>
          <w:rFonts w:ascii="Arial" w:hAnsi="Arial" w:cs="Arial"/>
          <w:b/>
        </w:rPr>
        <w:t>Figure</w:t>
      </w:r>
      <w:r w:rsidRPr="002825DE">
        <w:rPr>
          <w:rFonts w:ascii="Arial" w:hAnsi="Arial" w:cs="Arial"/>
          <w:b/>
        </w:rPr>
        <w:t xml:space="preserve"> 2.</w:t>
      </w:r>
      <w:r w:rsidRPr="002825DE">
        <w:rPr>
          <w:rFonts w:ascii="Arial" w:hAnsi="Arial" w:cs="Arial"/>
        </w:rPr>
        <w:t xml:space="preserve"> Forest plot of patients requiring at least one RBC transfusion in all VKA reversal trials comparing PCC against FFP.</w:t>
      </w:r>
    </w:p>
    <w:p w14:paraId="2B7654CF" w14:textId="1FF910A4" w:rsidR="00BF3BD8" w:rsidRPr="002825DE" w:rsidRDefault="00934DFD" w:rsidP="008A0AA0">
      <w:pPr>
        <w:spacing w:after="0" w:line="480" w:lineRule="auto"/>
        <w:jc w:val="both"/>
        <w:rPr>
          <w:rFonts w:ascii="Arial" w:hAnsi="Arial" w:cs="Arial"/>
        </w:rPr>
      </w:pPr>
      <w:r w:rsidRPr="002825DE">
        <w:rPr>
          <w:rFonts w:ascii="Arial" w:hAnsi="Arial" w:cs="Arial"/>
          <w:b/>
        </w:rPr>
        <w:t xml:space="preserve">Supplementary </w:t>
      </w:r>
      <w:r w:rsidR="00D63B34" w:rsidRPr="002825DE">
        <w:rPr>
          <w:rFonts w:ascii="Arial" w:hAnsi="Arial" w:cs="Arial"/>
          <w:b/>
        </w:rPr>
        <w:t>Figure</w:t>
      </w:r>
      <w:r w:rsidRPr="002825DE">
        <w:rPr>
          <w:rFonts w:ascii="Arial" w:hAnsi="Arial" w:cs="Arial"/>
          <w:b/>
        </w:rPr>
        <w:t xml:space="preserve"> 3</w:t>
      </w:r>
      <w:r w:rsidR="00BF3BD8" w:rsidRPr="002825DE">
        <w:rPr>
          <w:rFonts w:ascii="Arial" w:hAnsi="Arial" w:cs="Arial"/>
          <w:b/>
        </w:rPr>
        <w:t>.</w:t>
      </w:r>
      <w:r w:rsidR="00BF3BD8" w:rsidRPr="002825DE">
        <w:rPr>
          <w:rFonts w:ascii="Arial" w:hAnsi="Arial" w:cs="Arial"/>
        </w:rPr>
        <w:t xml:space="preserve"> Mean difference in units of RBCs transfused in all VKA reversal trials comparing PCC to FFP.</w:t>
      </w:r>
    </w:p>
    <w:p w14:paraId="75A04630" w14:textId="6B5EC74F" w:rsidR="00BF3BD8" w:rsidRPr="002825DE" w:rsidRDefault="00BF3BD8" w:rsidP="008A0AA0">
      <w:pPr>
        <w:spacing w:after="0" w:line="480" w:lineRule="auto"/>
        <w:jc w:val="both"/>
        <w:rPr>
          <w:rFonts w:ascii="Arial" w:hAnsi="Arial" w:cs="Arial"/>
        </w:rPr>
      </w:pPr>
      <w:r w:rsidRPr="002825DE">
        <w:rPr>
          <w:rFonts w:ascii="Arial" w:hAnsi="Arial" w:cs="Arial"/>
          <w:b/>
        </w:rPr>
        <w:t xml:space="preserve">Supplementary </w:t>
      </w:r>
      <w:r w:rsidR="00D63B34" w:rsidRPr="002825DE">
        <w:rPr>
          <w:rFonts w:ascii="Arial" w:hAnsi="Arial" w:cs="Arial"/>
          <w:b/>
        </w:rPr>
        <w:t>Figure</w:t>
      </w:r>
      <w:r w:rsidRPr="002825DE">
        <w:rPr>
          <w:rFonts w:ascii="Arial" w:hAnsi="Arial" w:cs="Arial"/>
          <w:b/>
        </w:rPr>
        <w:t xml:space="preserve"> 4.</w:t>
      </w:r>
      <w:r w:rsidRPr="002825DE">
        <w:rPr>
          <w:rFonts w:ascii="Arial" w:hAnsi="Arial" w:cs="Arial"/>
        </w:rPr>
        <w:t xml:space="preserve"> Forest plot of patients having at least one adverse event in all VKA reversal trials comparing PCC against FFP </w:t>
      </w:r>
    </w:p>
    <w:p w14:paraId="20B19A19" w14:textId="5E26DC84" w:rsidR="00BF3BD8" w:rsidRPr="002825DE" w:rsidRDefault="00BF3BD8" w:rsidP="008A0AA0">
      <w:pPr>
        <w:spacing w:after="0" w:line="480" w:lineRule="auto"/>
        <w:jc w:val="both"/>
        <w:rPr>
          <w:rFonts w:ascii="Arial" w:hAnsi="Arial" w:cs="Arial"/>
        </w:rPr>
      </w:pPr>
      <w:r w:rsidRPr="002825DE">
        <w:rPr>
          <w:rFonts w:ascii="Arial" w:hAnsi="Arial" w:cs="Arial"/>
          <w:b/>
        </w:rPr>
        <w:t xml:space="preserve">Supplementary </w:t>
      </w:r>
      <w:r w:rsidR="00D63B34" w:rsidRPr="002825DE">
        <w:rPr>
          <w:rFonts w:ascii="Arial" w:hAnsi="Arial" w:cs="Arial"/>
          <w:b/>
        </w:rPr>
        <w:t>Figure</w:t>
      </w:r>
      <w:r w:rsidRPr="002825DE">
        <w:rPr>
          <w:rFonts w:ascii="Arial" w:hAnsi="Arial" w:cs="Arial"/>
          <w:b/>
        </w:rPr>
        <w:t xml:space="preserve"> 5.</w:t>
      </w:r>
      <w:r w:rsidRPr="002825DE">
        <w:rPr>
          <w:rFonts w:ascii="Arial" w:hAnsi="Arial" w:cs="Arial"/>
        </w:rPr>
        <w:t xml:space="preserve"> Forest plot comparing proportion of patients who had at least one fluid overload event in all VKA reversal trials comparing PCC against FFP. </w:t>
      </w:r>
    </w:p>
    <w:p w14:paraId="23952F1C" w14:textId="0E5EDBFB" w:rsidR="00B03E43" w:rsidRPr="002825DE" w:rsidRDefault="00BF3BD8" w:rsidP="008A0AA0">
      <w:pPr>
        <w:spacing w:after="0" w:line="480" w:lineRule="auto"/>
        <w:jc w:val="both"/>
        <w:rPr>
          <w:rFonts w:ascii="Arial" w:hAnsi="Arial" w:cs="Arial"/>
        </w:rPr>
      </w:pPr>
      <w:r w:rsidRPr="002825DE">
        <w:rPr>
          <w:rFonts w:ascii="Arial" w:hAnsi="Arial" w:cs="Arial"/>
          <w:b/>
        </w:rPr>
        <w:t xml:space="preserve">Supplementary </w:t>
      </w:r>
      <w:r w:rsidR="00D63B34" w:rsidRPr="002825DE">
        <w:rPr>
          <w:rFonts w:ascii="Arial" w:hAnsi="Arial" w:cs="Arial"/>
          <w:b/>
        </w:rPr>
        <w:t>Figure</w:t>
      </w:r>
      <w:r w:rsidR="00934DFD" w:rsidRPr="002825DE">
        <w:rPr>
          <w:rFonts w:ascii="Arial" w:hAnsi="Arial" w:cs="Arial"/>
          <w:b/>
        </w:rPr>
        <w:t xml:space="preserve"> 6</w:t>
      </w:r>
      <w:r w:rsidRPr="002825DE">
        <w:rPr>
          <w:rFonts w:ascii="Arial" w:hAnsi="Arial" w:cs="Arial"/>
          <w:b/>
        </w:rPr>
        <w:t>.</w:t>
      </w:r>
      <w:r w:rsidRPr="002825DE">
        <w:rPr>
          <w:rFonts w:ascii="Arial" w:hAnsi="Arial" w:cs="Arial"/>
        </w:rPr>
        <w:t xml:space="preserve"> A forest plot comparing mRS outcome (0-3) at 90 days or discharge in all VKA reversal trials for the treatment of ICH for PCC against FFP.</w:t>
      </w:r>
    </w:p>
    <w:p w14:paraId="69668410" w14:textId="77777777" w:rsidR="001E2DEE" w:rsidRPr="002825DE" w:rsidRDefault="001E2DEE" w:rsidP="001E2DEE">
      <w:pPr>
        <w:spacing w:after="0" w:line="480" w:lineRule="auto"/>
        <w:jc w:val="both"/>
        <w:rPr>
          <w:rFonts w:ascii="Arial" w:hAnsi="Arial" w:cs="Arial"/>
        </w:rPr>
      </w:pPr>
      <w:r w:rsidRPr="002825DE">
        <w:rPr>
          <w:rFonts w:ascii="Arial" w:hAnsi="Arial" w:cs="Arial"/>
          <w:b/>
        </w:rPr>
        <w:t>Supplementary Figure 7</w:t>
      </w:r>
      <w:r w:rsidRPr="002825DE">
        <w:rPr>
          <w:rFonts w:ascii="Arial" w:hAnsi="Arial" w:cs="Arial"/>
        </w:rPr>
        <w:t xml:space="preserve">. Funnel plots A-E for </w:t>
      </w:r>
      <w:r w:rsidRPr="002825DE">
        <w:rPr>
          <w:rFonts w:ascii="Arial" w:hAnsi="Arial" w:cs="Arial"/>
          <w:b/>
        </w:rPr>
        <w:t xml:space="preserve">Figures 2-6 </w:t>
      </w:r>
      <w:r w:rsidRPr="002825DE">
        <w:rPr>
          <w:rFonts w:ascii="Arial" w:hAnsi="Arial" w:cs="Arial"/>
        </w:rPr>
        <w:t>respectively</w:t>
      </w:r>
      <w:r w:rsidRPr="002825DE">
        <w:rPr>
          <w:rFonts w:ascii="Arial" w:hAnsi="Arial" w:cs="Arial"/>
          <w:b/>
        </w:rPr>
        <w:t>.</w:t>
      </w:r>
    </w:p>
    <w:p w14:paraId="402D02B8" w14:textId="074B6A59" w:rsidR="001E2DEE" w:rsidRPr="00A566EE" w:rsidRDefault="001E2DEE" w:rsidP="008A0AA0">
      <w:pPr>
        <w:spacing w:after="0" w:line="480" w:lineRule="auto"/>
        <w:jc w:val="both"/>
        <w:rPr>
          <w:rFonts w:ascii="Arial" w:hAnsi="Arial" w:cs="Arial"/>
        </w:rPr>
      </w:pPr>
      <w:r w:rsidRPr="002825DE">
        <w:rPr>
          <w:rFonts w:ascii="Arial" w:hAnsi="Arial" w:cs="Arial"/>
          <w:b/>
        </w:rPr>
        <w:t>Supplementary Figure 8</w:t>
      </w:r>
      <w:r w:rsidRPr="002825DE">
        <w:rPr>
          <w:rFonts w:ascii="Arial" w:hAnsi="Arial" w:cs="Arial"/>
        </w:rPr>
        <w:t>.</w:t>
      </w:r>
      <w:r w:rsidR="00A566EE" w:rsidRPr="002825DE">
        <w:rPr>
          <w:rFonts w:ascii="Arial" w:hAnsi="Arial" w:cs="Arial"/>
        </w:rPr>
        <w:t xml:space="preserve"> Forest plot </w:t>
      </w:r>
      <w:r w:rsidR="00537B8E" w:rsidRPr="002825DE">
        <w:rPr>
          <w:rFonts w:ascii="Arial" w:hAnsi="Arial" w:cs="Arial"/>
        </w:rPr>
        <w:t xml:space="preserve">of </w:t>
      </w:r>
      <w:r w:rsidR="00537B8E" w:rsidRPr="002825DE">
        <w:rPr>
          <w:rFonts w:ascii="Arial" w:hAnsi="Arial" w:cs="Arial"/>
          <w:color w:val="333333"/>
        </w:rPr>
        <w:t>90day all-</w:t>
      </w:r>
      <w:r w:rsidR="0025697A" w:rsidRPr="002825DE">
        <w:rPr>
          <w:rFonts w:ascii="Arial" w:hAnsi="Arial" w:cs="Arial"/>
          <w:color w:val="333333"/>
        </w:rPr>
        <w:t>cause mortality using only RCTs.</w:t>
      </w:r>
      <w:r w:rsidR="00A566EE" w:rsidRPr="00A566EE">
        <w:rPr>
          <w:rFonts w:ascii="Arial" w:hAnsi="Arial" w:cs="Arial"/>
        </w:rPr>
        <w:t xml:space="preserve"> </w:t>
      </w:r>
    </w:p>
    <w:sectPr w:rsidR="001E2DEE" w:rsidRPr="00A566EE">
      <w:headerReference w:type="default" r:id="rId77"/>
      <w:pgSz w:w="11906" w:h="16838"/>
      <w:pgMar w:top="1440" w:right="1797" w:bottom="1440" w:left="179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FFB14" w14:textId="77777777" w:rsidR="00005FC0" w:rsidRDefault="00005FC0">
      <w:pPr>
        <w:spacing w:after="0" w:line="240" w:lineRule="auto"/>
      </w:pPr>
      <w:r>
        <w:separator/>
      </w:r>
    </w:p>
  </w:endnote>
  <w:endnote w:type="continuationSeparator" w:id="0">
    <w:p w14:paraId="6C10DB34" w14:textId="77777777" w:rsidR="00005FC0" w:rsidRDefault="0000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calaLancetPro">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24BC4" w14:textId="77777777" w:rsidR="00005FC0" w:rsidRDefault="00005FC0">
      <w:pPr>
        <w:spacing w:after="0" w:line="240" w:lineRule="auto"/>
      </w:pPr>
      <w:r>
        <w:separator/>
      </w:r>
    </w:p>
  </w:footnote>
  <w:footnote w:type="continuationSeparator" w:id="0">
    <w:p w14:paraId="58F8D792" w14:textId="77777777" w:rsidR="00005FC0" w:rsidRDefault="00005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64175"/>
      <w:docPartObj>
        <w:docPartGallery w:val="Page Numbers (Top of Page)"/>
        <w:docPartUnique/>
      </w:docPartObj>
    </w:sdtPr>
    <w:sdtEndPr>
      <w:rPr>
        <w:noProof/>
      </w:rPr>
    </w:sdtEndPr>
    <w:sdtContent>
      <w:p w14:paraId="6F7FAC13" w14:textId="6768CAD6" w:rsidR="00397B68" w:rsidRDefault="00397B68">
        <w:pPr>
          <w:pStyle w:val="Header"/>
          <w:jc w:val="right"/>
        </w:pPr>
        <w:r>
          <w:fldChar w:fldCharType="begin"/>
        </w:r>
        <w:r>
          <w:instrText xml:space="preserve"> PAGE   \* MERGEFORMAT </w:instrText>
        </w:r>
        <w:r>
          <w:fldChar w:fldCharType="separate"/>
        </w:r>
        <w:r w:rsidR="00FD7965">
          <w:rPr>
            <w:noProof/>
          </w:rPr>
          <w:t>4</w:t>
        </w:r>
        <w:r>
          <w:rPr>
            <w:noProof/>
          </w:rPr>
          <w:fldChar w:fldCharType="end"/>
        </w:r>
      </w:p>
    </w:sdtContent>
  </w:sdt>
  <w:p w14:paraId="6E324313" w14:textId="77777777" w:rsidR="00397B68" w:rsidRDefault="00397B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A72A5"/>
    <w:multiLevelType w:val="hybridMultilevel"/>
    <w:tmpl w:val="DDA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CF"/>
    <w:rsid w:val="000052CA"/>
    <w:rsid w:val="00005A16"/>
    <w:rsid w:val="00005FC0"/>
    <w:rsid w:val="0001596E"/>
    <w:rsid w:val="00017057"/>
    <w:rsid w:val="000231CF"/>
    <w:rsid w:val="00032909"/>
    <w:rsid w:val="000373E3"/>
    <w:rsid w:val="000426BE"/>
    <w:rsid w:val="00042FE1"/>
    <w:rsid w:val="00044F73"/>
    <w:rsid w:val="00046911"/>
    <w:rsid w:val="00047607"/>
    <w:rsid w:val="00061874"/>
    <w:rsid w:val="000625B8"/>
    <w:rsid w:val="00065955"/>
    <w:rsid w:val="000701E3"/>
    <w:rsid w:val="00077F9D"/>
    <w:rsid w:val="0008239F"/>
    <w:rsid w:val="000A05C3"/>
    <w:rsid w:val="000A7939"/>
    <w:rsid w:val="000B72E1"/>
    <w:rsid w:val="000C0125"/>
    <w:rsid w:val="000D2CE8"/>
    <w:rsid w:val="000E156B"/>
    <w:rsid w:val="000E19BF"/>
    <w:rsid w:val="000E3465"/>
    <w:rsid w:val="000E799F"/>
    <w:rsid w:val="000E7F16"/>
    <w:rsid w:val="000F3AA0"/>
    <w:rsid w:val="000F5B3B"/>
    <w:rsid w:val="000F6E91"/>
    <w:rsid w:val="001050E6"/>
    <w:rsid w:val="001356DD"/>
    <w:rsid w:val="00141488"/>
    <w:rsid w:val="00175CA6"/>
    <w:rsid w:val="00197AEA"/>
    <w:rsid w:val="001A55C2"/>
    <w:rsid w:val="001C1963"/>
    <w:rsid w:val="001E2262"/>
    <w:rsid w:val="001E2DEE"/>
    <w:rsid w:val="001E567A"/>
    <w:rsid w:val="001E72C5"/>
    <w:rsid w:val="00202365"/>
    <w:rsid w:val="00203152"/>
    <w:rsid w:val="00203240"/>
    <w:rsid w:val="00203AE6"/>
    <w:rsid w:val="00207243"/>
    <w:rsid w:val="002109E9"/>
    <w:rsid w:val="00217D6A"/>
    <w:rsid w:val="0023169F"/>
    <w:rsid w:val="00234441"/>
    <w:rsid w:val="002353F6"/>
    <w:rsid w:val="002465A3"/>
    <w:rsid w:val="00252162"/>
    <w:rsid w:val="0025697A"/>
    <w:rsid w:val="002661C4"/>
    <w:rsid w:val="00271732"/>
    <w:rsid w:val="002825DE"/>
    <w:rsid w:val="00293892"/>
    <w:rsid w:val="00295136"/>
    <w:rsid w:val="002A61BD"/>
    <w:rsid w:val="002C20A8"/>
    <w:rsid w:val="002C2E89"/>
    <w:rsid w:val="002C7BAD"/>
    <w:rsid w:val="002D10F0"/>
    <w:rsid w:val="002D1548"/>
    <w:rsid w:val="002D5BEC"/>
    <w:rsid w:val="002D6A21"/>
    <w:rsid w:val="002E27B1"/>
    <w:rsid w:val="002E29DD"/>
    <w:rsid w:val="002E5972"/>
    <w:rsid w:val="002F1556"/>
    <w:rsid w:val="002F1A3C"/>
    <w:rsid w:val="00303A0B"/>
    <w:rsid w:val="00305CF2"/>
    <w:rsid w:val="00315AB7"/>
    <w:rsid w:val="00324853"/>
    <w:rsid w:val="003370BC"/>
    <w:rsid w:val="00340D6D"/>
    <w:rsid w:val="0034120B"/>
    <w:rsid w:val="00345F88"/>
    <w:rsid w:val="00354BBA"/>
    <w:rsid w:val="00356DA3"/>
    <w:rsid w:val="0036417A"/>
    <w:rsid w:val="00393981"/>
    <w:rsid w:val="003952F4"/>
    <w:rsid w:val="003960ED"/>
    <w:rsid w:val="003966DE"/>
    <w:rsid w:val="00396F41"/>
    <w:rsid w:val="00397B68"/>
    <w:rsid w:val="003A1968"/>
    <w:rsid w:val="003A7530"/>
    <w:rsid w:val="003B1529"/>
    <w:rsid w:val="003B3154"/>
    <w:rsid w:val="003B691D"/>
    <w:rsid w:val="003B69EF"/>
    <w:rsid w:val="003C2663"/>
    <w:rsid w:val="003C6353"/>
    <w:rsid w:val="003C7033"/>
    <w:rsid w:val="003D472F"/>
    <w:rsid w:val="003D63CC"/>
    <w:rsid w:val="003E0C41"/>
    <w:rsid w:val="003E3AB7"/>
    <w:rsid w:val="003F0BD9"/>
    <w:rsid w:val="0040596F"/>
    <w:rsid w:val="0041256C"/>
    <w:rsid w:val="00422853"/>
    <w:rsid w:val="004313B4"/>
    <w:rsid w:val="00432124"/>
    <w:rsid w:val="004324AA"/>
    <w:rsid w:val="0043350F"/>
    <w:rsid w:val="00433FD8"/>
    <w:rsid w:val="00437066"/>
    <w:rsid w:val="00443DC1"/>
    <w:rsid w:val="00451710"/>
    <w:rsid w:val="004534B6"/>
    <w:rsid w:val="0045476E"/>
    <w:rsid w:val="0045482B"/>
    <w:rsid w:val="00461D5A"/>
    <w:rsid w:val="004672A7"/>
    <w:rsid w:val="00480DC2"/>
    <w:rsid w:val="00482858"/>
    <w:rsid w:val="004878AE"/>
    <w:rsid w:val="004A0ED4"/>
    <w:rsid w:val="004B2CDE"/>
    <w:rsid w:val="004B4CF8"/>
    <w:rsid w:val="004C0593"/>
    <w:rsid w:val="004D141E"/>
    <w:rsid w:val="004D3F0C"/>
    <w:rsid w:val="004E5155"/>
    <w:rsid w:val="004F06E6"/>
    <w:rsid w:val="004F37B4"/>
    <w:rsid w:val="004F5995"/>
    <w:rsid w:val="004F7A63"/>
    <w:rsid w:val="00515A8E"/>
    <w:rsid w:val="00516E56"/>
    <w:rsid w:val="00531DDA"/>
    <w:rsid w:val="00536100"/>
    <w:rsid w:val="00537B8E"/>
    <w:rsid w:val="00543D12"/>
    <w:rsid w:val="00554383"/>
    <w:rsid w:val="0055674C"/>
    <w:rsid w:val="00565844"/>
    <w:rsid w:val="005805BE"/>
    <w:rsid w:val="00587EEC"/>
    <w:rsid w:val="005950E6"/>
    <w:rsid w:val="0059745E"/>
    <w:rsid w:val="005A51C6"/>
    <w:rsid w:val="005A6CBB"/>
    <w:rsid w:val="005B5EB6"/>
    <w:rsid w:val="005C582C"/>
    <w:rsid w:val="005F04D3"/>
    <w:rsid w:val="005F0B63"/>
    <w:rsid w:val="005F0CEE"/>
    <w:rsid w:val="005F1987"/>
    <w:rsid w:val="005F6F1D"/>
    <w:rsid w:val="005F73B1"/>
    <w:rsid w:val="00606CDE"/>
    <w:rsid w:val="00611495"/>
    <w:rsid w:val="00612EF6"/>
    <w:rsid w:val="00613163"/>
    <w:rsid w:val="0062396F"/>
    <w:rsid w:val="00637FC4"/>
    <w:rsid w:val="00640B86"/>
    <w:rsid w:val="006417E9"/>
    <w:rsid w:val="006535E5"/>
    <w:rsid w:val="00653742"/>
    <w:rsid w:val="00656296"/>
    <w:rsid w:val="0067265B"/>
    <w:rsid w:val="006739C8"/>
    <w:rsid w:val="00676DE9"/>
    <w:rsid w:val="00681C9B"/>
    <w:rsid w:val="00682EBD"/>
    <w:rsid w:val="006942AE"/>
    <w:rsid w:val="00696AB3"/>
    <w:rsid w:val="006A3F41"/>
    <w:rsid w:val="006B608D"/>
    <w:rsid w:val="006C339C"/>
    <w:rsid w:val="006E4655"/>
    <w:rsid w:val="006F77FB"/>
    <w:rsid w:val="00710D11"/>
    <w:rsid w:val="007136B5"/>
    <w:rsid w:val="0073262F"/>
    <w:rsid w:val="0073417E"/>
    <w:rsid w:val="00734370"/>
    <w:rsid w:val="00746D70"/>
    <w:rsid w:val="00754637"/>
    <w:rsid w:val="00754B08"/>
    <w:rsid w:val="00757FCF"/>
    <w:rsid w:val="00761324"/>
    <w:rsid w:val="007632A2"/>
    <w:rsid w:val="00765BBA"/>
    <w:rsid w:val="00767F4B"/>
    <w:rsid w:val="0078710C"/>
    <w:rsid w:val="00793058"/>
    <w:rsid w:val="00793F9A"/>
    <w:rsid w:val="0079659C"/>
    <w:rsid w:val="007A0E4C"/>
    <w:rsid w:val="007A668F"/>
    <w:rsid w:val="007B0C11"/>
    <w:rsid w:val="007B0C53"/>
    <w:rsid w:val="007B306C"/>
    <w:rsid w:val="007B5FD7"/>
    <w:rsid w:val="007B6847"/>
    <w:rsid w:val="007D0413"/>
    <w:rsid w:val="007D043F"/>
    <w:rsid w:val="007D0E22"/>
    <w:rsid w:val="007D52E6"/>
    <w:rsid w:val="007D595C"/>
    <w:rsid w:val="007D5F77"/>
    <w:rsid w:val="007E38E6"/>
    <w:rsid w:val="007E3981"/>
    <w:rsid w:val="007E53C3"/>
    <w:rsid w:val="007E66D7"/>
    <w:rsid w:val="007F16E1"/>
    <w:rsid w:val="00800E53"/>
    <w:rsid w:val="00811FED"/>
    <w:rsid w:val="00814E04"/>
    <w:rsid w:val="0081693D"/>
    <w:rsid w:val="00820916"/>
    <w:rsid w:val="00825D06"/>
    <w:rsid w:val="0083011D"/>
    <w:rsid w:val="0083123E"/>
    <w:rsid w:val="008322A9"/>
    <w:rsid w:val="0083231E"/>
    <w:rsid w:val="008329FA"/>
    <w:rsid w:val="00837A6D"/>
    <w:rsid w:val="0084061A"/>
    <w:rsid w:val="0084229B"/>
    <w:rsid w:val="00853590"/>
    <w:rsid w:val="008607CA"/>
    <w:rsid w:val="00875DEC"/>
    <w:rsid w:val="00876DB0"/>
    <w:rsid w:val="0089412B"/>
    <w:rsid w:val="008969A7"/>
    <w:rsid w:val="008A0608"/>
    <w:rsid w:val="008A0AA0"/>
    <w:rsid w:val="008A322B"/>
    <w:rsid w:val="008C16EF"/>
    <w:rsid w:val="008C6E09"/>
    <w:rsid w:val="008E3069"/>
    <w:rsid w:val="009017AF"/>
    <w:rsid w:val="00902D64"/>
    <w:rsid w:val="00904293"/>
    <w:rsid w:val="00915830"/>
    <w:rsid w:val="00916486"/>
    <w:rsid w:val="009239A1"/>
    <w:rsid w:val="009301A8"/>
    <w:rsid w:val="009306BA"/>
    <w:rsid w:val="00930AE4"/>
    <w:rsid w:val="009337BE"/>
    <w:rsid w:val="00934DFD"/>
    <w:rsid w:val="00937597"/>
    <w:rsid w:val="00940366"/>
    <w:rsid w:val="00941710"/>
    <w:rsid w:val="00943D29"/>
    <w:rsid w:val="009479F9"/>
    <w:rsid w:val="00953E1A"/>
    <w:rsid w:val="009713AE"/>
    <w:rsid w:val="009754B9"/>
    <w:rsid w:val="00980769"/>
    <w:rsid w:val="00981D83"/>
    <w:rsid w:val="00983621"/>
    <w:rsid w:val="0098589A"/>
    <w:rsid w:val="00991ECE"/>
    <w:rsid w:val="009A4149"/>
    <w:rsid w:val="009B31BF"/>
    <w:rsid w:val="009B6EED"/>
    <w:rsid w:val="009C7BC2"/>
    <w:rsid w:val="009D397E"/>
    <w:rsid w:val="009D5F75"/>
    <w:rsid w:val="009D793E"/>
    <w:rsid w:val="009E6A67"/>
    <w:rsid w:val="009F0606"/>
    <w:rsid w:val="009F1EFD"/>
    <w:rsid w:val="009F21E0"/>
    <w:rsid w:val="009F3D43"/>
    <w:rsid w:val="009F6267"/>
    <w:rsid w:val="00A0254B"/>
    <w:rsid w:val="00A0358F"/>
    <w:rsid w:val="00A03946"/>
    <w:rsid w:val="00A03A88"/>
    <w:rsid w:val="00A043F7"/>
    <w:rsid w:val="00A07A4A"/>
    <w:rsid w:val="00A1147D"/>
    <w:rsid w:val="00A11DC4"/>
    <w:rsid w:val="00A17567"/>
    <w:rsid w:val="00A238C1"/>
    <w:rsid w:val="00A24FBE"/>
    <w:rsid w:val="00A4305E"/>
    <w:rsid w:val="00A50C20"/>
    <w:rsid w:val="00A566EE"/>
    <w:rsid w:val="00A63BB0"/>
    <w:rsid w:val="00A71E69"/>
    <w:rsid w:val="00A760B9"/>
    <w:rsid w:val="00AA50A6"/>
    <w:rsid w:val="00AB7E87"/>
    <w:rsid w:val="00AC3EBC"/>
    <w:rsid w:val="00AC7DEB"/>
    <w:rsid w:val="00AD2FB6"/>
    <w:rsid w:val="00AE3495"/>
    <w:rsid w:val="00AF630B"/>
    <w:rsid w:val="00B02338"/>
    <w:rsid w:val="00B0351F"/>
    <w:rsid w:val="00B03E43"/>
    <w:rsid w:val="00B06660"/>
    <w:rsid w:val="00B16444"/>
    <w:rsid w:val="00B17077"/>
    <w:rsid w:val="00B21A42"/>
    <w:rsid w:val="00B27901"/>
    <w:rsid w:val="00B31564"/>
    <w:rsid w:val="00B40635"/>
    <w:rsid w:val="00B51EF7"/>
    <w:rsid w:val="00B54C31"/>
    <w:rsid w:val="00B6145C"/>
    <w:rsid w:val="00B62C1A"/>
    <w:rsid w:val="00B66AD8"/>
    <w:rsid w:val="00B76496"/>
    <w:rsid w:val="00B826E6"/>
    <w:rsid w:val="00B92884"/>
    <w:rsid w:val="00BA64BA"/>
    <w:rsid w:val="00BB08B4"/>
    <w:rsid w:val="00BB1D11"/>
    <w:rsid w:val="00BC3CEF"/>
    <w:rsid w:val="00BC4540"/>
    <w:rsid w:val="00BC7C94"/>
    <w:rsid w:val="00BD05BC"/>
    <w:rsid w:val="00BD15A4"/>
    <w:rsid w:val="00BE0982"/>
    <w:rsid w:val="00BF3BD8"/>
    <w:rsid w:val="00C033F3"/>
    <w:rsid w:val="00C071EB"/>
    <w:rsid w:val="00C073F1"/>
    <w:rsid w:val="00C10BF4"/>
    <w:rsid w:val="00C154C6"/>
    <w:rsid w:val="00C17DE8"/>
    <w:rsid w:val="00C27C31"/>
    <w:rsid w:val="00C44910"/>
    <w:rsid w:val="00C46E4E"/>
    <w:rsid w:val="00C47D1E"/>
    <w:rsid w:val="00C6016E"/>
    <w:rsid w:val="00C66FB7"/>
    <w:rsid w:val="00C703EF"/>
    <w:rsid w:val="00C750A8"/>
    <w:rsid w:val="00C7614F"/>
    <w:rsid w:val="00C81F1E"/>
    <w:rsid w:val="00CA5003"/>
    <w:rsid w:val="00CB2E1C"/>
    <w:rsid w:val="00CB384B"/>
    <w:rsid w:val="00CB7CEE"/>
    <w:rsid w:val="00CC1143"/>
    <w:rsid w:val="00CC44D7"/>
    <w:rsid w:val="00CD031B"/>
    <w:rsid w:val="00CD3278"/>
    <w:rsid w:val="00CD3617"/>
    <w:rsid w:val="00CD4628"/>
    <w:rsid w:val="00CE2F72"/>
    <w:rsid w:val="00CF23F3"/>
    <w:rsid w:val="00D02936"/>
    <w:rsid w:val="00D03248"/>
    <w:rsid w:val="00D03874"/>
    <w:rsid w:val="00D052CA"/>
    <w:rsid w:val="00D05571"/>
    <w:rsid w:val="00D11595"/>
    <w:rsid w:val="00D12A58"/>
    <w:rsid w:val="00D20194"/>
    <w:rsid w:val="00D235BE"/>
    <w:rsid w:val="00D27BA4"/>
    <w:rsid w:val="00D3703B"/>
    <w:rsid w:val="00D37CAD"/>
    <w:rsid w:val="00D40F4B"/>
    <w:rsid w:val="00D45B94"/>
    <w:rsid w:val="00D461E6"/>
    <w:rsid w:val="00D54963"/>
    <w:rsid w:val="00D60214"/>
    <w:rsid w:val="00D63B34"/>
    <w:rsid w:val="00D66217"/>
    <w:rsid w:val="00D70ABF"/>
    <w:rsid w:val="00D74E01"/>
    <w:rsid w:val="00D76C4D"/>
    <w:rsid w:val="00D8277B"/>
    <w:rsid w:val="00D91035"/>
    <w:rsid w:val="00D94E1C"/>
    <w:rsid w:val="00D9663C"/>
    <w:rsid w:val="00DA12AB"/>
    <w:rsid w:val="00DA25E0"/>
    <w:rsid w:val="00DA2B5D"/>
    <w:rsid w:val="00DB29CF"/>
    <w:rsid w:val="00DB3F09"/>
    <w:rsid w:val="00DB4EF1"/>
    <w:rsid w:val="00DB62BE"/>
    <w:rsid w:val="00DC199B"/>
    <w:rsid w:val="00DC25B1"/>
    <w:rsid w:val="00DC263B"/>
    <w:rsid w:val="00DC767D"/>
    <w:rsid w:val="00DD1FDC"/>
    <w:rsid w:val="00DD64AB"/>
    <w:rsid w:val="00DE1123"/>
    <w:rsid w:val="00DF6A79"/>
    <w:rsid w:val="00E017F9"/>
    <w:rsid w:val="00E05192"/>
    <w:rsid w:val="00E21B37"/>
    <w:rsid w:val="00E27D1C"/>
    <w:rsid w:val="00E300EB"/>
    <w:rsid w:val="00E3163C"/>
    <w:rsid w:val="00E331A0"/>
    <w:rsid w:val="00E332EC"/>
    <w:rsid w:val="00E507AE"/>
    <w:rsid w:val="00E50D56"/>
    <w:rsid w:val="00E553C8"/>
    <w:rsid w:val="00E55EAD"/>
    <w:rsid w:val="00E6287A"/>
    <w:rsid w:val="00E7603A"/>
    <w:rsid w:val="00E914B0"/>
    <w:rsid w:val="00EA1C1B"/>
    <w:rsid w:val="00EB0F63"/>
    <w:rsid w:val="00EB2777"/>
    <w:rsid w:val="00EB2858"/>
    <w:rsid w:val="00EB5FAE"/>
    <w:rsid w:val="00EB6A5F"/>
    <w:rsid w:val="00EB704C"/>
    <w:rsid w:val="00EB789E"/>
    <w:rsid w:val="00EC33B8"/>
    <w:rsid w:val="00EC4219"/>
    <w:rsid w:val="00EC64DE"/>
    <w:rsid w:val="00EC65A9"/>
    <w:rsid w:val="00ED3335"/>
    <w:rsid w:val="00ED61BB"/>
    <w:rsid w:val="00ED7F2C"/>
    <w:rsid w:val="00EE4465"/>
    <w:rsid w:val="00EE56F3"/>
    <w:rsid w:val="00EF255D"/>
    <w:rsid w:val="00F04FA1"/>
    <w:rsid w:val="00F06A19"/>
    <w:rsid w:val="00F0756A"/>
    <w:rsid w:val="00F10D22"/>
    <w:rsid w:val="00F1370E"/>
    <w:rsid w:val="00F1781F"/>
    <w:rsid w:val="00F2067F"/>
    <w:rsid w:val="00F20D09"/>
    <w:rsid w:val="00F23E33"/>
    <w:rsid w:val="00F3043E"/>
    <w:rsid w:val="00F367A5"/>
    <w:rsid w:val="00F45730"/>
    <w:rsid w:val="00F5166F"/>
    <w:rsid w:val="00F54B82"/>
    <w:rsid w:val="00F60F76"/>
    <w:rsid w:val="00F6236B"/>
    <w:rsid w:val="00F62B7F"/>
    <w:rsid w:val="00F65FDD"/>
    <w:rsid w:val="00F703FC"/>
    <w:rsid w:val="00F718D3"/>
    <w:rsid w:val="00F72F3B"/>
    <w:rsid w:val="00F76EB6"/>
    <w:rsid w:val="00F80371"/>
    <w:rsid w:val="00F825B6"/>
    <w:rsid w:val="00F925B0"/>
    <w:rsid w:val="00FA0EE9"/>
    <w:rsid w:val="00FA277B"/>
    <w:rsid w:val="00FB144D"/>
    <w:rsid w:val="00FB2804"/>
    <w:rsid w:val="00FB371A"/>
    <w:rsid w:val="00FC21A7"/>
    <w:rsid w:val="00FD2EC4"/>
    <w:rsid w:val="00FD7965"/>
    <w:rsid w:val="00FE39F5"/>
    <w:rsid w:val="00FE791A"/>
    <w:rsid w:val="00FF6AB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752E"/>
  <w15:docId w15:val="{6B02A098-65FA-4020-BE83-2CF0E0DD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SimSu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76" w:lineRule="auto"/>
    </w:pPr>
    <w:rPr>
      <w:sz w:val="24"/>
      <w:lang w:val="en-GB"/>
    </w:rPr>
  </w:style>
  <w:style w:type="paragraph" w:styleId="Heading1">
    <w:name w:val="heading 1"/>
    <w:basedOn w:val="Normal"/>
    <w:next w:val="Normal"/>
    <w:link w:val="Heading1Char"/>
    <w:uiPriority w:val="9"/>
    <w:qFormat/>
    <w:pPr>
      <w:keepNext/>
      <w:keepLines/>
      <w:spacing w:before="240"/>
      <w:outlineLvl w:val="0"/>
    </w:pPr>
    <w:rPr>
      <w:rFonts w:ascii="Calibri" w:eastAsia="MS Gothic" w:hAnsi="Calibri"/>
      <w:color w:val="365F91"/>
      <w:sz w:val="32"/>
      <w:szCs w:val="32"/>
    </w:rPr>
  </w:style>
  <w:style w:type="paragraph" w:styleId="Heading2">
    <w:name w:val="heading 2"/>
    <w:basedOn w:val="Normal"/>
    <w:next w:val="Normal"/>
    <w:link w:val="Heading2Char"/>
    <w:uiPriority w:val="9"/>
    <w:qFormat/>
    <w:pPr>
      <w:keepNext/>
      <w:keepLines/>
      <w:spacing w:before="40"/>
      <w:outlineLvl w:val="1"/>
    </w:pPr>
    <w:rPr>
      <w:rFonts w:ascii="Calibri" w:eastAsia="MS Gothic" w:hAnsi="Calibri"/>
      <w:color w:val="365F91"/>
      <w:sz w:val="26"/>
      <w:szCs w:val="26"/>
    </w:rPr>
  </w:style>
  <w:style w:type="paragraph" w:styleId="Heading3">
    <w:name w:val="heading 3"/>
    <w:basedOn w:val="Normal"/>
    <w:next w:val="Normal"/>
    <w:link w:val="Heading3Char"/>
    <w:uiPriority w:val="9"/>
    <w:qFormat/>
    <w:pPr>
      <w:keepNext/>
      <w:keepLines/>
      <w:spacing w:before="40"/>
      <w:outlineLvl w:val="2"/>
    </w:pPr>
    <w:rPr>
      <w:rFonts w:ascii="Calibri" w:eastAsia="MS Gothic" w:hAnsi="Calibri"/>
      <w:color w:val="243F60"/>
    </w:rPr>
  </w:style>
  <w:style w:type="paragraph" w:styleId="Heading4">
    <w:name w:val="heading 4"/>
    <w:basedOn w:val="Normal"/>
    <w:next w:val="Normal"/>
    <w:link w:val="Heading4Char"/>
    <w:uiPriority w:val="9"/>
    <w:qFormat/>
    <w:pPr>
      <w:keepNext/>
      <w:keepLines/>
      <w:spacing w:before="40"/>
      <w:outlineLvl w:val="3"/>
    </w:pPr>
    <w:rPr>
      <w:rFonts w:ascii="Calibri" w:eastAsia="MS Gothic" w:hAnsi="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Pr>
      <w:color w:val="0000FF"/>
      <w:u w:val="single"/>
    </w:rPr>
  </w:style>
  <w:style w:type="character" w:customStyle="1" w:styleId="Heading2Char">
    <w:name w:val="Heading 2 Char"/>
    <w:basedOn w:val="DefaultParagraphFont"/>
    <w:link w:val="Heading2"/>
    <w:uiPriority w:val="9"/>
    <w:qFormat/>
    <w:rPr>
      <w:rFonts w:ascii="Calibri" w:eastAsia="MS Gothic" w:hAnsi="Calibri" w:cs="SimSun"/>
      <w:color w:val="365F91"/>
      <w:sz w:val="26"/>
      <w:szCs w:val="26"/>
      <w:lang w:val="en-GB"/>
    </w:rPr>
  </w:style>
  <w:style w:type="character" w:customStyle="1" w:styleId="Heading1Char">
    <w:name w:val="Heading 1 Char"/>
    <w:basedOn w:val="DefaultParagraphFont"/>
    <w:link w:val="Heading1"/>
    <w:uiPriority w:val="9"/>
    <w:qFormat/>
    <w:rPr>
      <w:rFonts w:ascii="Calibri" w:eastAsia="MS Gothic" w:hAnsi="Calibri" w:cs="SimSun"/>
      <w:color w:val="365F91"/>
      <w:sz w:val="32"/>
      <w:szCs w:val="32"/>
      <w:lang w:val="en-GB"/>
    </w:rPr>
  </w:style>
  <w:style w:type="character" w:customStyle="1" w:styleId="Heading3Char">
    <w:name w:val="Heading 3 Char"/>
    <w:basedOn w:val="DefaultParagraphFont"/>
    <w:link w:val="Heading3"/>
    <w:uiPriority w:val="9"/>
    <w:qFormat/>
    <w:rPr>
      <w:rFonts w:ascii="Calibri" w:eastAsia="MS Gothic" w:hAnsi="Calibri" w:cs="SimSun"/>
      <w:color w:val="243F60"/>
      <w:lang w:val="en-GB"/>
    </w:rPr>
  </w:style>
  <w:style w:type="character" w:customStyle="1" w:styleId="Heading4Char">
    <w:name w:val="Heading 4 Char"/>
    <w:basedOn w:val="DefaultParagraphFont"/>
    <w:link w:val="Heading4"/>
    <w:uiPriority w:val="9"/>
    <w:qFormat/>
    <w:rPr>
      <w:rFonts w:ascii="Calibri" w:eastAsia="MS Gothic" w:hAnsi="Calibri" w:cs="SimSun"/>
      <w:i/>
      <w:iCs/>
      <w:color w:val="365F91"/>
      <w:lang w:val="en-GB"/>
    </w:rPr>
  </w:style>
  <w:style w:type="character" w:styleId="FollowedHyperlink">
    <w:name w:val="FollowedHyperlink"/>
    <w:basedOn w:val="DefaultParagraphFont"/>
    <w:uiPriority w:val="99"/>
    <w:qFormat/>
    <w:rPr>
      <w:color w:val="800080"/>
      <w:u w:val="single"/>
    </w:rPr>
  </w:style>
  <w:style w:type="character" w:customStyle="1" w:styleId="TitleChar">
    <w:name w:val="Title Char"/>
    <w:basedOn w:val="DefaultParagraphFont"/>
    <w:link w:val="Title"/>
    <w:uiPriority w:val="10"/>
    <w:qFormat/>
    <w:rPr>
      <w:rFonts w:ascii="Calibri" w:eastAsia="MS Gothic" w:hAnsi="Calibri" w:cs="SimSun"/>
      <w:spacing w:val="-10"/>
      <w:kern w:val="2"/>
      <w:sz w:val="56"/>
      <w:szCs w:val="56"/>
      <w:lang w:val="en-GB"/>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character" w:styleId="CommentReference">
    <w:name w:val="annotation reference"/>
    <w:basedOn w:val="DefaultParagraphFont"/>
    <w:uiPriority w:val="99"/>
    <w:qFormat/>
    <w:rPr>
      <w:sz w:val="16"/>
      <w:szCs w:val="16"/>
    </w:rPr>
  </w:style>
  <w:style w:type="character" w:customStyle="1" w:styleId="CommentTextChar">
    <w:name w:val="Comment Text Char"/>
    <w:basedOn w:val="DefaultParagraphFont"/>
    <w:link w:val="CommentText"/>
    <w:uiPriority w:val="99"/>
    <w:qFormat/>
    <w:rPr>
      <w:sz w:val="20"/>
      <w:szCs w:val="20"/>
      <w:lang w:val="en-GB"/>
    </w:rPr>
  </w:style>
  <w:style w:type="character" w:customStyle="1" w:styleId="CommentSubjectChar">
    <w:name w:val="Comment Subject Char"/>
    <w:basedOn w:val="CommentTextChar"/>
    <w:link w:val="CommentSubject"/>
    <w:uiPriority w:val="99"/>
    <w:qFormat/>
    <w:rPr>
      <w:b/>
      <w:bCs/>
      <w:sz w:val="20"/>
      <w:szCs w:val="20"/>
      <w:lang w:val="en-GB"/>
    </w:rPr>
  </w:style>
  <w:style w:type="character" w:customStyle="1" w:styleId="BalloonTextChar">
    <w:name w:val="Balloon Text Char"/>
    <w:basedOn w:val="DefaultParagraphFont"/>
    <w:link w:val="BalloonText"/>
    <w:uiPriority w:val="99"/>
    <w:qFormat/>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qFormat/>
    <w:rsid w:val="00F3603A"/>
    <w:rPr>
      <w:color w:val="808080"/>
      <w:shd w:val="clear" w:color="auto" w:fill="E6E6E6"/>
    </w:rPr>
  </w:style>
  <w:style w:type="character" w:customStyle="1" w:styleId="ListLabel1">
    <w:name w:val="ListLabel 1"/>
    <w:qFormat/>
    <w:rPr>
      <w:rFonts w:ascii="Arial" w:hAnsi="Arial" w:cs="Arial"/>
    </w:rPr>
  </w:style>
  <w:style w:type="character" w:customStyle="1" w:styleId="ListLabel2">
    <w:name w:val="ListLabel 2"/>
    <w:qFormat/>
  </w:style>
  <w:style w:type="character" w:customStyle="1" w:styleId="ListLabel3">
    <w:name w:val="ListLabel 3"/>
    <w:qFormat/>
    <w:rPr>
      <w:rFonts w:ascii="Arial" w:hAnsi="Arial" w:cs="Arial"/>
      <w:color w:val="002D64"/>
    </w:rPr>
  </w:style>
  <w:style w:type="character" w:customStyle="1" w:styleId="ListLabel4">
    <w:name w:val="ListLabel 4"/>
    <w:qFormat/>
    <w:rPr>
      <w:rFonts w:ascii="Arial" w:hAnsi="Arial" w:cs="Arial"/>
    </w:rPr>
  </w:style>
  <w:style w:type="character" w:customStyle="1" w:styleId="ListLabel5">
    <w:name w:val="ListLabel 5"/>
    <w:qFormat/>
    <w:rPr>
      <w:rFonts w:ascii="Arial" w:hAnsi="Arial" w:cs="Arial"/>
    </w:rPr>
  </w:style>
  <w:style w:type="character" w:customStyle="1" w:styleId="ListLabel6">
    <w:name w:val="ListLabel 6"/>
    <w:qFormat/>
    <w:rPr>
      <w:rFonts w:ascii="Arial" w:hAnsi="Arial" w:cs="Arial"/>
    </w:rPr>
  </w:style>
  <w:style w:type="character" w:customStyle="1" w:styleId="ListLabel7">
    <w:name w:val="ListLabel 7"/>
    <w:qFormat/>
    <w:rPr>
      <w:rFonts w:ascii="Arial" w:hAnsi="Arial" w:cs="Arial"/>
    </w:rPr>
  </w:style>
  <w:style w:type="character" w:customStyle="1" w:styleId="ListLabel8">
    <w:name w:val="ListLabel 8"/>
    <w:qFormat/>
    <w:rPr>
      <w:rFonts w:ascii="Arial" w:hAnsi="Arial" w:cs="Arial"/>
    </w:rPr>
  </w:style>
  <w:style w:type="character" w:customStyle="1" w:styleId="ListLabel9">
    <w:name w:val="ListLabel 9"/>
    <w:qFormat/>
    <w:rPr>
      <w:rFonts w:ascii="Arial" w:hAnsi="Arial" w:cs="Arial"/>
    </w:rPr>
  </w:style>
  <w:style w:type="character" w:customStyle="1" w:styleId="ListLabel10">
    <w:name w:val="ListLabel 10"/>
    <w:qFormat/>
    <w:rPr>
      <w:rFonts w:ascii="Arial" w:hAnsi="Arial" w:cs="Arial"/>
    </w:rPr>
  </w:style>
  <w:style w:type="paragraph" w:customStyle="1" w:styleId="Heading">
    <w:name w:val="Heading"/>
    <w:basedOn w:val="Normal"/>
    <w:next w:val="BodyText"/>
    <w:qFormat/>
    <w:pPr>
      <w:keepNext/>
      <w:spacing w:before="24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pPr>
    <w:rPr>
      <w:rFonts w:cs="Arial Unicode MS"/>
      <w:i/>
      <w:iCs/>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qFormat/>
    <w:pPr>
      <w:spacing w:beforeAutospacing="1" w:afterAutospacing="1"/>
    </w:pPr>
    <w:rPr>
      <w:rFonts w:ascii="Times New Roman" w:hAnsi="Times New Roman" w:cs="Times New Roman"/>
      <w:lang w:eastAsia="en-GB"/>
    </w:rPr>
  </w:style>
  <w:style w:type="paragraph" w:styleId="Title">
    <w:name w:val="Title"/>
    <w:basedOn w:val="Normal"/>
    <w:next w:val="Normal"/>
    <w:link w:val="TitleChar"/>
    <w:uiPriority w:val="10"/>
    <w:qFormat/>
    <w:pPr>
      <w:contextualSpacing/>
    </w:pPr>
    <w:rPr>
      <w:rFonts w:ascii="Calibri" w:eastAsia="MS Gothic" w:hAnsi="Calibri"/>
      <w:spacing w:val="-10"/>
      <w:kern w:val="2"/>
      <w:sz w:val="56"/>
      <w:szCs w:val="56"/>
    </w:rPr>
  </w:style>
  <w:style w:type="paragraph" w:styleId="Header">
    <w:name w:val="header"/>
    <w:basedOn w:val="Normal"/>
    <w:link w:val="HeaderChar"/>
    <w:uiPriority w:val="99"/>
    <w:pPr>
      <w:tabs>
        <w:tab w:val="center" w:pos="4513"/>
        <w:tab w:val="right" w:pos="9026"/>
      </w:tabs>
      <w:spacing w:after="0" w:line="240" w:lineRule="auto"/>
    </w:pPr>
  </w:style>
  <w:style w:type="paragraph" w:styleId="Footer">
    <w:name w:val="footer"/>
    <w:basedOn w:val="Normal"/>
    <w:link w:val="FooterChar"/>
    <w:uiPriority w:val="99"/>
    <w:pPr>
      <w:tabs>
        <w:tab w:val="center" w:pos="4513"/>
        <w:tab w:val="right" w:pos="9026"/>
      </w:tabs>
      <w:spacing w:after="0" w:line="240" w:lineRule="auto"/>
    </w:pPr>
  </w:style>
  <w:style w:type="paragraph" w:styleId="CommentText">
    <w:name w:val="annotation text"/>
    <w:basedOn w:val="Normal"/>
    <w:link w:val="CommentTextChar"/>
    <w:uiPriority w:val="99"/>
    <w:qFormat/>
    <w:pPr>
      <w:spacing w:line="240" w:lineRule="auto"/>
    </w:pPr>
    <w:rPr>
      <w:sz w:val="20"/>
      <w:szCs w:val="20"/>
    </w:rPr>
  </w:style>
  <w:style w:type="paragraph" w:styleId="CommentSubject">
    <w:name w:val="annotation subject"/>
    <w:basedOn w:val="CommentText"/>
    <w:next w:val="CommentText"/>
    <w:link w:val="CommentSubjectChar"/>
    <w:uiPriority w:val="99"/>
    <w:qFormat/>
    <w:rPr>
      <w:b/>
      <w:bCs/>
    </w:rPr>
  </w:style>
  <w:style w:type="paragraph" w:styleId="BalloonText">
    <w:name w:val="Balloon Text"/>
    <w:basedOn w:val="Normal"/>
    <w:link w:val="BalloonTextChar"/>
    <w:uiPriority w:val="99"/>
    <w:qFormat/>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36417A"/>
    <w:rPr>
      <w:color w:val="0000FF" w:themeColor="hyperlink"/>
      <w:u w:val="single"/>
    </w:rPr>
  </w:style>
  <w:style w:type="character" w:customStyle="1" w:styleId="UnresolvedMention2">
    <w:name w:val="Unresolved Mention2"/>
    <w:basedOn w:val="DefaultParagraphFont"/>
    <w:uiPriority w:val="99"/>
    <w:semiHidden/>
    <w:unhideWhenUsed/>
    <w:rsid w:val="0036417A"/>
    <w:rPr>
      <w:color w:val="808080"/>
      <w:shd w:val="clear" w:color="auto" w:fill="E6E6E6"/>
    </w:rPr>
  </w:style>
  <w:style w:type="table" w:styleId="TableGrid">
    <w:name w:val="Table Grid"/>
    <w:basedOn w:val="TableNormal"/>
    <w:uiPriority w:val="39"/>
    <w:rsid w:val="00A4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2326">
      <w:bodyDiv w:val="1"/>
      <w:marLeft w:val="0"/>
      <w:marRight w:val="0"/>
      <w:marTop w:val="0"/>
      <w:marBottom w:val="0"/>
      <w:divBdr>
        <w:top w:val="none" w:sz="0" w:space="0" w:color="auto"/>
        <w:left w:val="none" w:sz="0" w:space="0" w:color="auto"/>
        <w:bottom w:val="none" w:sz="0" w:space="0" w:color="auto"/>
        <w:right w:val="none" w:sz="0" w:space="0" w:color="auto"/>
      </w:divBdr>
    </w:div>
    <w:div w:id="40791944">
      <w:bodyDiv w:val="1"/>
      <w:marLeft w:val="0"/>
      <w:marRight w:val="0"/>
      <w:marTop w:val="0"/>
      <w:marBottom w:val="0"/>
      <w:divBdr>
        <w:top w:val="none" w:sz="0" w:space="0" w:color="auto"/>
        <w:left w:val="none" w:sz="0" w:space="0" w:color="auto"/>
        <w:bottom w:val="none" w:sz="0" w:space="0" w:color="auto"/>
        <w:right w:val="none" w:sz="0" w:space="0" w:color="auto"/>
      </w:divBdr>
    </w:div>
    <w:div w:id="63141788">
      <w:bodyDiv w:val="1"/>
      <w:marLeft w:val="0"/>
      <w:marRight w:val="0"/>
      <w:marTop w:val="0"/>
      <w:marBottom w:val="0"/>
      <w:divBdr>
        <w:top w:val="none" w:sz="0" w:space="0" w:color="auto"/>
        <w:left w:val="none" w:sz="0" w:space="0" w:color="auto"/>
        <w:bottom w:val="none" w:sz="0" w:space="0" w:color="auto"/>
        <w:right w:val="none" w:sz="0" w:space="0" w:color="auto"/>
      </w:divBdr>
    </w:div>
    <w:div w:id="76830617">
      <w:bodyDiv w:val="1"/>
      <w:marLeft w:val="0"/>
      <w:marRight w:val="0"/>
      <w:marTop w:val="0"/>
      <w:marBottom w:val="0"/>
      <w:divBdr>
        <w:top w:val="none" w:sz="0" w:space="0" w:color="auto"/>
        <w:left w:val="none" w:sz="0" w:space="0" w:color="auto"/>
        <w:bottom w:val="none" w:sz="0" w:space="0" w:color="auto"/>
        <w:right w:val="none" w:sz="0" w:space="0" w:color="auto"/>
      </w:divBdr>
    </w:div>
    <w:div w:id="88357653">
      <w:bodyDiv w:val="1"/>
      <w:marLeft w:val="0"/>
      <w:marRight w:val="0"/>
      <w:marTop w:val="0"/>
      <w:marBottom w:val="0"/>
      <w:divBdr>
        <w:top w:val="none" w:sz="0" w:space="0" w:color="auto"/>
        <w:left w:val="none" w:sz="0" w:space="0" w:color="auto"/>
        <w:bottom w:val="none" w:sz="0" w:space="0" w:color="auto"/>
        <w:right w:val="none" w:sz="0" w:space="0" w:color="auto"/>
      </w:divBdr>
    </w:div>
    <w:div w:id="99375662">
      <w:bodyDiv w:val="1"/>
      <w:marLeft w:val="0"/>
      <w:marRight w:val="0"/>
      <w:marTop w:val="0"/>
      <w:marBottom w:val="0"/>
      <w:divBdr>
        <w:top w:val="none" w:sz="0" w:space="0" w:color="auto"/>
        <w:left w:val="none" w:sz="0" w:space="0" w:color="auto"/>
        <w:bottom w:val="none" w:sz="0" w:space="0" w:color="auto"/>
        <w:right w:val="none" w:sz="0" w:space="0" w:color="auto"/>
      </w:divBdr>
    </w:div>
    <w:div w:id="124780604">
      <w:bodyDiv w:val="1"/>
      <w:marLeft w:val="0"/>
      <w:marRight w:val="0"/>
      <w:marTop w:val="0"/>
      <w:marBottom w:val="0"/>
      <w:divBdr>
        <w:top w:val="none" w:sz="0" w:space="0" w:color="auto"/>
        <w:left w:val="none" w:sz="0" w:space="0" w:color="auto"/>
        <w:bottom w:val="none" w:sz="0" w:space="0" w:color="auto"/>
        <w:right w:val="none" w:sz="0" w:space="0" w:color="auto"/>
      </w:divBdr>
    </w:div>
    <w:div w:id="144904304">
      <w:bodyDiv w:val="1"/>
      <w:marLeft w:val="0"/>
      <w:marRight w:val="0"/>
      <w:marTop w:val="0"/>
      <w:marBottom w:val="0"/>
      <w:divBdr>
        <w:top w:val="none" w:sz="0" w:space="0" w:color="auto"/>
        <w:left w:val="none" w:sz="0" w:space="0" w:color="auto"/>
        <w:bottom w:val="none" w:sz="0" w:space="0" w:color="auto"/>
        <w:right w:val="none" w:sz="0" w:space="0" w:color="auto"/>
      </w:divBdr>
    </w:div>
    <w:div w:id="156969268">
      <w:bodyDiv w:val="1"/>
      <w:marLeft w:val="0"/>
      <w:marRight w:val="0"/>
      <w:marTop w:val="0"/>
      <w:marBottom w:val="0"/>
      <w:divBdr>
        <w:top w:val="none" w:sz="0" w:space="0" w:color="auto"/>
        <w:left w:val="none" w:sz="0" w:space="0" w:color="auto"/>
        <w:bottom w:val="none" w:sz="0" w:space="0" w:color="auto"/>
        <w:right w:val="none" w:sz="0" w:space="0" w:color="auto"/>
      </w:divBdr>
    </w:div>
    <w:div w:id="168374799">
      <w:bodyDiv w:val="1"/>
      <w:marLeft w:val="0"/>
      <w:marRight w:val="0"/>
      <w:marTop w:val="0"/>
      <w:marBottom w:val="0"/>
      <w:divBdr>
        <w:top w:val="none" w:sz="0" w:space="0" w:color="auto"/>
        <w:left w:val="none" w:sz="0" w:space="0" w:color="auto"/>
        <w:bottom w:val="none" w:sz="0" w:space="0" w:color="auto"/>
        <w:right w:val="none" w:sz="0" w:space="0" w:color="auto"/>
      </w:divBdr>
    </w:div>
    <w:div w:id="170950483">
      <w:bodyDiv w:val="1"/>
      <w:marLeft w:val="0"/>
      <w:marRight w:val="0"/>
      <w:marTop w:val="0"/>
      <w:marBottom w:val="0"/>
      <w:divBdr>
        <w:top w:val="none" w:sz="0" w:space="0" w:color="auto"/>
        <w:left w:val="none" w:sz="0" w:space="0" w:color="auto"/>
        <w:bottom w:val="none" w:sz="0" w:space="0" w:color="auto"/>
        <w:right w:val="none" w:sz="0" w:space="0" w:color="auto"/>
      </w:divBdr>
    </w:div>
    <w:div w:id="227107033">
      <w:bodyDiv w:val="1"/>
      <w:marLeft w:val="0"/>
      <w:marRight w:val="0"/>
      <w:marTop w:val="0"/>
      <w:marBottom w:val="0"/>
      <w:divBdr>
        <w:top w:val="none" w:sz="0" w:space="0" w:color="auto"/>
        <w:left w:val="none" w:sz="0" w:space="0" w:color="auto"/>
        <w:bottom w:val="none" w:sz="0" w:space="0" w:color="auto"/>
        <w:right w:val="none" w:sz="0" w:space="0" w:color="auto"/>
      </w:divBdr>
    </w:div>
    <w:div w:id="236942668">
      <w:bodyDiv w:val="1"/>
      <w:marLeft w:val="0"/>
      <w:marRight w:val="0"/>
      <w:marTop w:val="0"/>
      <w:marBottom w:val="0"/>
      <w:divBdr>
        <w:top w:val="none" w:sz="0" w:space="0" w:color="auto"/>
        <w:left w:val="none" w:sz="0" w:space="0" w:color="auto"/>
        <w:bottom w:val="none" w:sz="0" w:space="0" w:color="auto"/>
        <w:right w:val="none" w:sz="0" w:space="0" w:color="auto"/>
      </w:divBdr>
    </w:div>
    <w:div w:id="261383009">
      <w:bodyDiv w:val="1"/>
      <w:marLeft w:val="0"/>
      <w:marRight w:val="0"/>
      <w:marTop w:val="0"/>
      <w:marBottom w:val="0"/>
      <w:divBdr>
        <w:top w:val="none" w:sz="0" w:space="0" w:color="auto"/>
        <w:left w:val="none" w:sz="0" w:space="0" w:color="auto"/>
        <w:bottom w:val="none" w:sz="0" w:space="0" w:color="auto"/>
        <w:right w:val="none" w:sz="0" w:space="0" w:color="auto"/>
      </w:divBdr>
    </w:div>
    <w:div w:id="270086025">
      <w:bodyDiv w:val="1"/>
      <w:marLeft w:val="0"/>
      <w:marRight w:val="0"/>
      <w:marTop w:val="0"/>
      <w:marBottom w:val="0"/>
      <w:divBdr>
        <w:top w:val="none" w:sz="0" w:space="0" w:color="auto"/>
        <w:left w:val="none" w:sz="0" w:space="0" w:color="auto"/>
        <w:bottom w:val="none" w:sz="0" w:space="0" w:color="auto"/>
        <w:right w:val="none" w:sz="0" w:space="0" w:color="auto"/>
      </w:divBdr>
    </w:div>
    <w:div w:id="285694920">
      <w:bodyDiv w:val="1"/>
      <w:marLeft w:val="0"/>
      <w:marRight w:val="0"/>
      <w:marTop w:val="0"/>
      <w:marBottom w:val="0"/>
      <w:divBdr>
        <w:top w:val="none" w:sz="0" w:space="0" w:color="auto"/>
        <w:left w:val="none" w:sz="0" w:space="0" w:color="auto"/>
        <w:bottom w:val="none" w:sz="0" w:space="0" w:color="auto"/>
        <w:right w:val="none" w:sz="0" w:space="0" w:color="auto"/>
      </w:divBdr>
    </w:div>
    <w:div w:id="286670562">
      <w:bodyDiv w:val="1"/>
      <w:marLeft w:val="0"/>
      <w:marRight w:val="0"/>
      <w:marTop w:val="0"/>
      <w:marBottom w:val="0"/>
      <w:divBdr>
        <w:top w:val="none" w:sz="0" w:space="0" w:color="auto"/>
        <w:left w:val="none" w:sz="0" w:space="0" w:color="auto"/>
        <w:bottom w:val="none" w:sz="0" w:space="0" w:color="auto"/>
        <w:right w:val="none" w:sz="0" w:space="0" w:color="auto"/>
      </w:divBdr>
    </w:div>
    <w:div w:id="354617379">
      <w:bodyDiv w:val="1"/>
      <w:marLeft w:val="0"/>
      <w:marRight w:val="0"/>
      <w:marTop w:val="0"/>
      <w:marBottom w:val="0"/>
      <w:divBdr>
        <w:top w:val="none" w:sz="0" w:space="0" w:color="auto"/>
        <w:left w:val="none" w:sz="0" w:space="0" w:color="auto"/>
        <w:bottom w:val="none" w:sz="0" w:space="0" w:color="auto"/>
        <w:right w:val="none" w:sz="0" w:space="0" w:color="auto"/>
      </w:divBdr>
    </w:div>
    <w:div w:id="369688598">
      <w:bodyDiv w:val="1"/>
      <w:marLeft w:val="0"/>
      <w:marRight w:val="0"/>
      <w:marTop w:val="0"/>
      <w:marBottom w:val="0"/>
      <w:divBdr>
        <w:top w:val="none" w:sz="0" w:space="0" w:color="auto"/>
        <w:left w:val="none" w:sz="0" w:space="0" w:color="auto"/>
        <w:bottom w:val="none" w:sz="0" w:space="0" w:color="auto"/>
        <w:right w:val="none" w:sz="0" w:space="0" w:color="auto"/>
      </w:divBdr>
    </w:div>
    <w:div w:id="371879997">
      <w:bodyDiv w:val="1"/>
      <w:marLeft w:val="0"/>
      <w:marRight w:val="0"/>
      <w:marTop w:val="0"/>
      <w:marBottom w:val="0"/>
      <w:divBdr>
        <w:top w:val="none" w:sz="0" w:space="0" w:color="auto"/>
        <w:left w:val="none" w:sz="0" w:space="0" w:color="auto"/>
        <w:bottom w:val="none" w:sz="0" w:space="0" w:color="auto"/>
        <w:right w:val="none" w:sz="0" w:space="0" w:color="auto"/>
      </w:divBdr>
    </w:div>
    <w:div w:id="472530901">
      <w:bodyDiv w:val="1"/>
      <w:marLeft w:val="0"/>
      <w:marRight w:val="0"/>
      <w:marTop w:val="0"/>
      <w:marBottom w:val="0"/>
      <w:divBdr>
        <w:top w:val="none" w:sz="0" w:space="0" w:color="auto"/>
        <w:left w:val="none" w:sz="0" w:space="0" w:color="auto"/>
        <w:bottom w:val="none" w:sz="0" w:space="0" w:color="auto"/>
        <w:right w:val="none" w:sz="0" w:space="0" w:color="auto"/>
      </w:divBdr>
    </w:div>
    <w:div w:id="479345613">
      <w:bodyDiv w:val="1"/>
      <w:marLeft w:val="0"/>
      <w:marRight w:val="0"/>
      <w:marTop w:val="0"/>
      <w:marBottom w:val="0"/>
      <w:divBdr>
        <w:top w:val="none" w:sz="0" w:space="0" w:color="auto"/>
        <w:left w:val="none" w:sz="0" w:space="0" w:color="auto"/>
        <w:bottom w:val="none" w:sz="0" w:space="0" w:color="auto"/>
        <w:right w:val="none" w:sz="0" w:space="0" w:color="auto"/>
      </w:divBdr>
    </w:div>
    <w:div w:id="515775108">
      <w:bodyDiv w:val="1"/>
      <w:marLeft w:val="0"/>
      <w:marRight w:val="0"/>
      <w:marTop w:val="0"/>
      <w:marBottom w:val="0"/>
      <w:divBdr>
        <w:top w:val="none" w:sz="0" w:space="0" w:color="auto"/>
        <w:left w:val="none" w:sz="0" w:space="0" w:color="auto"/>
        <w:bottom w:val="none" w:sz="0" w:space="0" w:color="auto"/>
        <w:right w:val="none" w:sz="0" w:space="0" w:color="auto"/>
      </w:divBdr>
    </w:div>
    <w:div w:id="533229942">
      <w:bodyDiv w:val="1"/>
      <w:marLeft w:val="0"/>
      <w:marRight w:val="0"/>
      <w:marTop w:val="0"/>
      <w:marBottom w:val="0"/>
      <w:divBdr>
        <w:top w:val="none" w:sz="0" w:space="0" w:color="auto"/>
        <w:left w:val="none" w:sz="0" w:space="0" w:color="auto"/>
        <w:bottom w:val="none" w:sz="0" w:space="0" w:color="auto"/>
        <w:right w:val="none" w:sz="0" w:space="0" w:color="auto"/>
      </w:divBdr>
    </w:div>
    <w:div w:id="583606517">
      <w:bodyDiv w:val="1"/>
      <w:marLeft w:val="0"/>
      <w:marRight w:val="0"/>
      <w:marTop w:val="0"/>
      <w:marBottom w:val="0"/>
      <w:divBdr>
        <w:top w:val="none" w:sz="0" w:space="0" w:color="auto"/>
        <w:left w:val="none" w:sz="0" w:space="0" w:color="auto"/>
        <w:bottom w:val="none" w:sz="0" w:space="0" w:color="auto"/>
        <w:right w:val="none" w:sz="0" w:space="0" w:color="auto"/>
      </w:divBdr>
    </w:div>
    <w:div w:id="594365792">
      <w:bodyDiv w:val="1"/>
      <w:marLeft w:val="0"/>
      <w:marRight w:val="0"/>
      <w:marTop w:val="0"/>
      <w:marBottom w:val="0"/>
      <w:divBdr>
        <w:top w:val="none" w:sz="0" w:space="0" w:color="auto"/>
        <w:left w:val="none" w:sz="0" w:space="0" w:color="auto"/>
        <w:bottom w:val="none" w:sz="0" w:space="0" w:color="auto"/>
        <w:right w:val="none" w:sz="0" w:space="0" w:color="auto"/>
      </w:divBdr>
    </w:div>
    <w:div w:id="629551141">
      <w:bodyDiv w:val="1"/>
      <w:marLeft w:val="0"/>
      <w:marRight w:val="0"/>
      <w:marTop w:val="0"/>
      <w:marBottom w:val="0"/>
      <w:divBdr>
        <w:top w:val="none" w:sz="0" w:space="0" w:color="auto"/>
        <w:left w:val="none" w:sz="0" w:space="0" w:color="auto"/>
        <w:bottom w:val="none" w:sz="0" w:space="0" w:color="auto"/>
        <w:right w:val="none" w:sz="0" w:space="0" w:color="auto"/>
      </w:divBdr>
    </w:div>
    <w:div w:id="631861871">
      <w:bodyDiv w:val="1"/>
      <w:marLeft w:val="0"/>
      <w:marRight w:val="0"/>
      <w:marTop w:val="0"/>
      <w:marBottom w:val="0"/>
      <w:divBdr>
        <w:top w:val="none" w:sz="0" w:space="0" w:color="auto"/>
        <w:left w:val="none" w:sz="0" w:space="0" w:color="auto"/>
        <w:bottom w:val="none" w:sz="0" w:space="0" w:color="auto"/>
        <w:right w:val="none" w:sz="0" w:space="0" w:color="auto"/>
      </w:divBdr>
    </w:div>
    <w:div w:id="661591054">
      <w:bodyDiv w:val="1"/>
      <w:marLeft w:val="0"/>
      <w:marRight w:val="0"/>
      <w:marTop w:val="0"/>
      <w:marBottom w:val="0"/>
      <w:divBdr>
        <w:top w:val="none" w:sz="0" w:space="0" w:color="auto"/>
        <w:left w:val="none" w:sz="0" w:space="0" w:color="auto"/>
        <w:bottom w:val="none" w:sz="0" w:space="0" w:color="auto"/>
        <w:right w:val="none" w:sz="0" w:space="0" w:color="auto"/>
      </w:divBdr>
    </w:div>
    <w:div w:id="876505579">
      <w:bodyDiv w:val="1"/>
      <w:marLeft w:val="0"/>
      <w:marRight w:val="0"/>
      <w:marTop w:val="0"/>
      <w:marBottom w:val="0"/>
      <w:divBdr>
        <w:top w:val="none" w:sz="0" w:space="0" w:color="auto"/>
        <w:left w:val="none" w:sz="0" w:space="0" w:color="auto"/>
        <w:bottom w:val="none" w:sz="0" w:space="0" w:color="auto"/>
        <w:right w:val="none" w:sz="0" w:space="0" w:color="auto"/>
      </w:divBdr>
    </w:div>
    <w:div w:id="931355332">
      <w:bodyDiv w:val="1"/>
      <w:marLeft w:val="0"/>
      <w:marRight w:val="0"/>
      <w:marTop w:val="0"/>
      <w:marBottom w:val="0"/>
      <w:divBdr>
        <w:top w:val="none" w:sz="0" w:space="0" w:color="auto"/>
        <w:left w:val="none" w:sz="0" w:space="0" w:color="auto"/>
        <w:bottom w:val="none" w:sz="0" w:space="0" w:color="auto"/>
        <w:right w:val="none" w:sz="0" w:space="0" w:color="auto"/>
      </w:divBdr>
    </w:div>
    <w:div w:id="945770447">
      <w:bodyDiv w:val="1"/>
      <w:marLeft w:val="0"/>
      <w:marRight w:val="0"/>
      <w:marTop w:val="0"/>
      <w:marBottom w:val="0"/>
      <w:divBdr>
        <w:top w:val="none" w:sz="0" w:space="0" w:color="auto"/>
        <w:left w:val="none" w:sz="0" w:space="0" w:color="auto"/>
        <w:bottom w:val="none" w:sz="0" w:space="0" w:color="auto"/>
        <w:right w:val="none" w:sz="0" w:space="0" w:color="auto"/>
      </w:divBdr>
    </w:div>
    <w:div w:id="996759883">
      <w:bodyDiv w:val="1"/>
      <w:marLeft w:val="0"/>
      <w:marRight w:val="0"/>
      <w:marTop w:val="0"/>
      <w:marBottom w:val="0"/>
      <w:divBdr>
        <w:top w:val="none" w:sz="0" w:space="0" w:color="auto"/>
        <w:left w:val="none" w:sz="0" w:space="0" w:color="auto"/>
        <w:bottom w:val="none" w:sz="0" w:space="0" w:color="auto"/>
        <w:right w:val="none" w:sz="0" w:space="0" w:color="auto"/>
      </w:divBdr>
    </w:div>
    <w:div w:id="1018118714">
      <w:bodyDiv w:val="1"/>
      <w:marLeft w:val="0"/>
      <w:marRight w:val="0"/>
      <w:marTop w:val="0"/>
      <w:marBottom w:val="0"/>
      <w:divBdr>
        <w:top w:val="none" w:sz="0" w:space="0" w:color="auto"/>
        <w:left w:val="none" w:sz="0" w:space="0" w:color="auto"/>
        <w:bottom w:val="none" w:sz="0" w:space="0" w:color="auto"/>
        <w:right w:val="none" w:sz="0" w:space="0" w:color="auto"/>
      </w:divBdr>
    </w:div>
    <w:div w:id="1021783322">
      <w:bodyDiv w:val="1"/>
      <w:marLeft w:val="0"/>
      <w:marRight w:val="0"/>
      <w:marTop w:val="0"/>
      <w:marBottom w:val="0"/>
      <w:divBdr>
        <w:top w:val="none" w:sz="0" w:space="0" w:color="auto"/>
        <w:left w:val="none" w:sz="0" w:space="0" w:color="auto"/>
        <w:bottom w:val="none" w:sz="0" w:space="0" w:color="auto"/>
        <w:right w:val="none" w:sz="0" w:space="0" w:color="auto"/>
      </w:divBdr>
    </w:div>
    <w:div w:id="1033573449">
      <w:bodyDiv w:val="1"/>
      <w:marLeft w:val="0"/>
      <w:marRight w:val="0"/>
      <w:marTop w:val="0"/>
      <w:marBottom w:val="0"/>
      <w:divBdr>
        <w:top w:val="none" w:sz="0" w:space="0" w:color="auto"/>
        <w:left w:val="none" w:sz="0" w:space="0" w:color="auto"/>
        <w:bottom w:val="none" w:sz="0" w:space="0" w:color="auto"/>
        <w:right w:val="none" w:sz="0" w:space="0" w:color="auto"/>
      </w:divBdr>
    </w:div>
    <w:div w:id="1060403703">
      <w:bodyDiv w:val="1"/>
      <w:marLeft w:val="0"/>
      <w:marRight w:val="0"/>
      <w:marTop w:val="0"/>
      <w:marBottom w:val="0"/>
      <w:divBdr>
        <w:top w:val="none" w:sz="0" w:space="0" w:color="auto"/>
        <w:left w:val="none" w:sz="0" w:space="0" w:color="auto"/>
        <w:bottom w:val="none" w:sz="0" w:space="0" w:color="auto"/>
        <w:right w:val="none" w:sz="0" w:space="0" w:color="auto"/>
      </w:divBdr>
    </w:div>
    <w:div w:id="1074744491">
      <w:bodyDiv w:val="1"/>
      <w:marLeft w:val="0"/>
      <w:marRight w:val="0"/>
      <w:marTop w:val="0"/>
      <w:marBottom w:val="0"/>
      <w:divBdr>
        <w:top w:val="none" w:sz="0" w:space="0" w:color="auto"/>
        <w:left w:val="none" w:sz="0" w:space="0" w:color="auto"/>
        <w:bottom w:val="none" w:sz="0" w:space="0" w:color="auto"/>
        <w:right w:val="none" w:sz="0" w:space="0" w:color="auto"/>
      </w:divBdr>
    </w:div>
    <w:div w:id="1077286660">
      <w:bodyDiv w:val="1"/>
      <w:marLeft w:val="0"/>
      <w:marRight w:val="0"/>
      <w:marTop w:val="0"/>
      <w:marBottom w:val="0"/>
      <w:divBdr>
        <w:top w:val="none" w:sz="0" w:space="0" w:color="auto"/>
        <w:left w:val="none" w:sz="0" w:space="0" w:color="auto"/>
        <w:bottom w:val="none" w:sz="0" w:space="0" w:color="auto"/>
        <w:right w:val="none" w:sz="0" w:space="0" w:color="auto"/>
      </w:divBdr>
    </w:div>
    <w:div w:id="1107458634">
      <w:bodyDiv w:val="1"/>
      <w:marLeft w:val="0"/>
      <w:marRight w:val="0"/>
      <w:marTop w:val="0"/>
      <w:marBottom w:val="0"/>
      <w:divBdr>
        <w:top w:val="none" w:sz="0" w:space="0" w:color="auto"/>
        <w:left w:val="none" w:sz="0" w:space="0" w:color="auto"/>
        <w:bottom w:val="none" w:sz="0" w:space="0" w:color="auto"/>
        <w:right w:val="none" w:sz="0" w:space="0" w:color="auto"/>
      </w:divBdr>
    </w:div>
    <w:div w:id="1156070088">
      <w:bodyDiv w:val="1"/>
      <w:marLeft w:val="0"/>
      <w:marRight w:val="0"/>
      <w:marTop w:val="0"/>
      <w:marBottom w:val="0"/>
      <w:divBdr>
        <w:top w:val="none" w:sz="0" w:space="0" w:color="auto"/>
        <w:left w:val="none" w:sz="0" w:space="0" w:color="auto"/>
        <w:bottom w:val="none" w:sz="0" w:space="0" w:color="auto"/>
        <w:right w:val="none" w:sz="0" w:space="0" w:color="auto"/>
      </w:divBdr>
    </w:div>
    <w:div w:id="1157455662">
      <w:bodyDiv w:val="1"/>
      <w:marLeft w:val="0"/>
      <w:marRight w:val="0"/>
      <w:marTop w:val="0"/>
      <w:marBottom w:val="0"/>
      <w:divBdr>
        <w:top w:val="none" w:sz="0" w:space="0" w:color="auto"/>
        <w:left w:val="none" w:sz="0" w:space="0" w:color="auto"/>
        <w:bottom w:val="none" w:sz="0" w:space="0" w:color="auto"/>
        <w:right w:val="none" w:sz="0" w:space="0" w:color="auto"/>
      </w:divBdr>
    </w:div>
    <w:div w:id="1174690929">
      <w:bodyDiv w:val="1"/>
      <w:marLeft w:val="0"/>
      <w:marRight w:val="0"/>
      <w:marTop w:val="0"/>
      <w:marBottom w:val="0"/>
      <w:divBdr>
        <w:top w:val="none" w:sz="0" w:space="0" w:color="auto"/>
        <w:left w:val="none" w:sz="0" w:space="0" w:color="auto"/>
        <w:bottom w:val="none" w:sz="0" w:space="0" w:color="auto"/>
        <w:right w:val="none" w:sz="0" w:space="0" w:color="auto"/>
      </w:divBdr>
    </w:div>
    <w:div w:id="1186556191">
      <w:bodyDiv w:val="1"/>
      <w:marLeft w:val="0"/>
      <w:marRight w:val="0"/>
      <w:marTop w:val="0"/>
      <w:marBottom w:val="0"/>
      <w:divBdr>
        <w:top w:val="none" w:sz="0" w:space="0" w:color="auto"/>
        <w:left w:val="none" w:sz="0" w:space="0" w:color="auto"/>
        <w:bottom w:val="none" w:sz="0" w:space="0" w:color="auto"/>
        <w:right w:val="none" w:sz="0" w:space="0" w:color="auto"/>
      </w:divBdr>
    </w:div>
    <w:div w:id="1226912163">
      <w:bodyDiv w:val="1"/>
      <w:marLeft w:val="0"/>
      <w:marRight w:val="0"/>
      <w:marTop w:val="0"/>
      <w:marBottom w:val="0"/>
      <w:divBdr>
        <w:top w:val="none" w:sz="0" w:space="0" w:color="auto"/>
        <w:left w:val="none" w:sz="0" w:space="0" w:color="auto"/>
        <w:bottom w:val="none" w:sz="0" w:space="0" w:color="auto"/>
        <w:right w:val="none" w:sz="0" w:space="0" w:color="auto"/>
      </w:divBdr>
    </w:div>
    <w:div w:id="1226992052">
      <w:bodyDiv w:val="1"/>
      <w:marLeft w:val="0"/>
      <w:marRight w:val="0"/>
      <w:marTop w:val="0"/>
      <w:marBottom w:val="0"/>
      <w:divBdr>
        <w:top w:val="none" w:sz="0" w:space="0" w:color="auto"/>
        <w:left w:val="none" w:sz="0" w:space="0" w:color="auto"/>
        <w:bottom w:val="none" w:sz="0" w:space="0" w:color="auto"/>
        <w:right w:val="none" w:sz="0" w:space="0" w:color="auto"/>
      </w:divBdr>
    </w:div>
    <w:div w:id="1240555867">
      <w:bodyDiv w:val="1"/>
      <w:marLeft w:val="0"/>
      <w:marRight w:val="0"/>
      <w:marTop w:val="0"/>
      <w:marBottom w:val="0"/>
      <w:divBdr>
        <w:top w:val="none" w:sz="0" w:space="0" w:color="auto"/>
        <w:left w:val="none" w:sz="0" w:space="0" w:color="auto"/>
        <w:bottom w:val="none" w:sz="0" w:space="0" w:color="auto"/>
        <w:right w:val="none" w:sz="0" w:space="0" w:color="auto"/>
      </w:divBdr>
    </w:div>
    <w:div w:id="1248616401">
      <w:bodyDiv w:val="1"/>
      <w:marLeft w:val="0"/>
      <w:marRight w:val="0"/>
      <w:marTop w:val="0"/>
      <w:marBottom w:val="0"/>
      <w:divBdr>
        <w:top w:val="none" w:sz="0" w:space="0" w:color="auto"/>
        <w:left w:val="none" w:sz="0" w:space="0" w:color="auto"/>
        <w:bottom w:val="none" w:sz="0" w:space="0" w:color="auto"/>
        <w:right w:val="none" w:sz="0" w:space="0" w:color="auto"/>
      </w:divBdr>
    </w:div>
    <w:div w:id="1279875309">
      <w:bodyDiv w:val="1"/>
      <w:marLeft w:val="0"/>
      <w:marRight w:val="0"/>
      <w:marTop w:val="0"/>
      <w:marBottom w:val="0"/>
      <w:divBdr>
        <w:top w:val="none" w:sz="0" w:space="0" w:color="auto"/>
        <w:left w:val="none" w:sz="0" w:space="0" w:color="auto"/>
        <w:bottom w:val="none" w:sz="0" w:space="0" w:color="auto"/>
        <w:right w:val="none" w:sz="0" w:space="0" w:color="auto"/>
      </w:divBdr>
    </w:div>
    <w:div w:id="1305701314">
      <w:bodyDiv w:val="1"/>
      <w:marLeft w:val="0"/>
      <w:marRight w:val="0"/>
      <w:marTop w:val="0"/>
      <w:marBottom w:val="0"/>
      <w:divBdr>
        <w:top w:val="none" w:sz="0" w:space="0" w:color="auto"/>
        <w:left w:val="none" w:sz="0" w:space="0" w:color="auto"/>
        <w:bottom w:val="none" w:sz="0" w:space="0" w:color="auto"/>
        <w:right w:val="none" w:sz="0" w:space="0" w:color="auto"/>
      </w:divBdr>
    </w:div>
    <w:div w:id="1313606595">
      <w:bodyDiv w:val="1"/>
      <w:marLeft w:val="0"/>
      <w:marRight w:val="0"/>
      <w:marTop w:val="0"/>
      <w:marBottom w:val="0"/>
      <w:divBdr>
        <w:top w:val="none" w:sz="0" w:space="0" w:color="auto"/>
        <w:left w:val="none" w:sz="0" w:space="0" w:color="auto"/>
        <w:bottom w:val="none" w:sz="0" w:space="0" w:color="auto"/>
        <w:right w:val="none" w:sz="0" w:space="0" w:color="auto"/>
      </w:divBdr>
    </w:div>
    <w:div w:id="1317303192">
      <w:bodyDiv w:val="1"/>
      <w:marLeft w:val="0"/>
      <w:marRight w:val="0"/>
      <w:marTop w:val="0"/>
      <w:marBottom w:val="0"/>
      <w:divBdr>
        <w:top w:val="none" w:sz="0" w:space="0" w:color="auto"/>
        <w:left w:val="none" w:sz="0" w:space="0" w:color="auto"/>
        <w:bottom w:val="none" w:sz="0" w:space="0" w:color="auto"/>
        <w:right w:val="none" w:sz="0" w:space="0" w:color="auto"/>
      </w:divBdr>
    </w:div>
    <w:div w:id="1324967091">
      <w:bodyDiv w:val="1"/>
      <w:marLeft w:val="0"/>
      <w:marRight w:val="0"/>
      <w:marTop w:val="0"/>
      <w:marBottom w:val="0"/>
      <w:divBdr>
        <w:top w:val="none" w:sz="0" w:space="0" w:color="auto"/>
        <w:left w:val="none" w:sz="0" w:space="0" w:color="auto"/>
        <w:bottom w:val="none" w:sz="0" w:space="0" w:color="auto"/>
        <w:right w:val="none" w:sz="0" w:space="0" w:color="auto"/>
      </w:divBdr>
    </w:div>
    <w:div w:id="1339233686">
      <w:bodyDiv w:val="1"/>
      <w:marLeft w:val="0"/>
      <w:marRight w:val="0"/>
      <w:marTop w:val="0"/>
      <w:marBottom w:val="0"/>
      <w:divBdr>
        <w:top w:val="none" w:sz="0" w:space="0" w:color="auto"/>
        <w:left w:val="none" w:sz="0" w:space="0" w:color="auto"/>
        <w:bottom w:val="none" w:sz="0" w:space="0" w:color="auto"/>
        <w:right w:val="none" w:sz="0" w:space="0" w:color="auto"/>
      </w:divBdr>
    </w:div>
    <w:div w:id="1369839988">
      <w:bodyDiv w:val="1"/>
      <w:marLeft w:val="0"/>
      <w:marRight w:val="0"/>
      <w:marTop w:val="0"/>
      <w:marBottom w:val="0"/>
      <w:divBdr>
        <w:top w:val="none" w:sz="0" w:space="0" w:color="auto"/>
        <w:left w:val="none" w:sz="0" w:space="0" w:color="auto"/>
        <w:bottom w:val="none" w:sz="0" w:space="0" w:color="auto"/>
        <w:right w:val="none" w:sz="0" w:space="0" w:color="auto"/>
      </w:divBdr>
    </w:div>
    <w:div w:id="1386371772">
      <w:bodyDiv w:val="1"/>
      <w:marLeft w:val="0"/>
      <w:marRight w:val="0"/>
      <w:marTop w:val="0"/>
      <w:marBottom w:val="0"/>
      <w:divBdr>
        <w:top w:val="none" w:sz="0" w:space="0" w:color="auto"/>
        <w:left w:val="none" w:sz="0" w:space="0" w:color="auto"/>
        <w:bottom w:val="none" w:sz="0" w:space="0" w:color="auto"/>
        <w:right w:val="none" w:sz="0" w:space="0" w:color="auto"/>
      </w:divBdr>
    </w:div>
    <w:div w:id="1431387998">
      <w:bodyDiv w:val="1"/>
      <w:marLeft w:val="0"/>
      <w:marRight w:val="0"/>
      <w:marTop w:val="0"/>
      <w:marBottom w:val="0"/>
      <w:divBdr>
        <w:top w:val="none" w:sz="0" w:space="0" w:color="auto"/>
        <w:left w:val="none" w:sz="0" w:space="0" w:color="auto"/>
        <w:bottom w:val="none" w:sz="0" w:space="0" w:color="auto"/>
        <w:right w:val="none" w:sz="0" w:space="0" w:color="auto"/>
      </w:divBdr>
    </w:div>
    <w:div w:id="1472938496">
      <w:bodyDiv w:val="1"/>
      <w:marLeft w:val="0"/>
      <w:marRight w:val="0"/>
      <w:marTop w:val="0"/>
      <w:marBottom w:val="0"/>
      <w:divBdr>
        <w:top w:val="none" w:sz="0" w:space="0" w:color="auto"/>
        <w:left w:val="none" w:sz="0" w:space="0" w:color="auto"/>
        <w:bottom w:val="none" w:sz="0" w:space="0" w:color="auto"/>
        <w:right w:val="none" w:sz="0" w:space="0" w:color="auto"/>
      </w:divBdr>
    </w:div>
    <w:div w:id="1496844118">
      <w:bodyDiv w:val="1"/>
      <w:marLeft w:val="0"/>
      <w:marRight w:val="0"/>
      <w:marTop w:val="0"/>
      <w:marBottom w:val="0"/>
      <w:divBdr>
        <w:top w:val="none" w:sz="0" w:space="0" w:color="auto"/>
        <w:left w:val="none" w:sz="0" w:space="0" w:color="auto"/>
        <w:bottom w:val="none" w:sz="0" w:space="0" w:color="auto"/>
        <w:right w:val="none" w:sz="0" w:space="0" w:color="auto"/>
      </w:divBdr>
    </w:div>
    <w:div w:id="1545407428">
      <w:bodyDiv w:val="1"/>
      <w:marLeft w:val="0"/>
      <w:marRight w:val="0"/>
      <w:marTop w:val="0"/>
      <w:marBottom w:val="0"/>
      <w:divBdr>
        <w:top w:val="none" w:sz="0" w:space="0" w:color="auto"/>
        <w:left w:val="none" w:sz="0" w:space="0" w:color="auto"/>
        <w:bottom w:val="none" w:sz="0" w:space="0" w:color="auto"/>
        <w:right w:val="none" w:sz="0" w:space="0" w:color="auto"/>
      </w:divBdr>
    </w:div>
    <w:div w:id="1560749791">
      <w:bodyDiv w:val="1"/>
      <w:marLeft w:val="0"/>
      <w:marRight w:val="0"/>
      <w:marTop w:val="0"/>
      <w:marBottom w:val="0"/>
      <w:divBdr>
        <w:top w:val="none" w:sz="0" w:space="0" w:color="auto"/>
        <w:left w:val="none" w:sz="0" w:space="0" w:color="auto"/>
        <w:bottom w:val="none" w:sz="0" w:space="0" w:color="auto"/>
        <w:right w:val="none" w:sz="0" w:space="0" w:color="auto"/>
      </w:divBdr>
    </w:div>
    <w:div w:id="1575355256">
      <w:bodyDiv w:val="1"/>
      <w:marLeft w:val="0"/>
      <w:marRight w:val="0"/>
      <w:marTop w:val="0"/>
      <w:marBottom w:val="0"/>
      <w:divBdr>
        <w:top w:val="none" w:sz="0" w:space="0" w:color="auto"/>
        <w:left w:val="none" w:sz="0" w:space="0" w:color="auto"/>
        <w:bottom w:val="none" w:sz="0" w:space="0" w:color="auto"/>
        <w:right w:val="none" w:sz="0" w:space="0" w:color="auto"/>
      </w:divBdr>
    </w:div>
    <w:div w:id="1575816236">
      <w:bodyDiv w:val="1"/>
      <w:marLeft w:val="0"/>
      <w:marRight w:val="0"/>
      <w:marTop w:val="0"/>
      <w:marBottom w:val="0"/>
      <w:divBdr>
        <w:top w:val="none" w:sz="0" w:space="0" w:color="auto"/>
        <w:left w:val="none" w:sz="0" w:space="0" w:color="auto"/>
        <w:bottom w:val="none" w:sz="0" w:space="0" w:color="auto"/>
        <w:right w:val="none" w:sz="0" w:space="0" w:color="auto"/>
      </w:divBdr>
    </w:div>
    <w:div w:id="1620331685">
      <w:bodyDiv w:val="1"/>
      <w:marLeft w:val="0"/>
      <w:marRight w:val="0"/>
      <w:marTop w:val="0"/>
      <w:marBottom w:val="0"/>
      <w:divBdr>
        <w:top w:val="none" w:sz="0" w:space="0" w:color="auto"/>
        <w:left w:val="none" w:sz="0" w:space="0" w:color="auto"/>
        <w:bottom w:val="none" w:sz="0" w:space="0" w:color="auto"/>
        <w:right w:val="none" w:sz="0" w:space="0" w:color="auto"/>
      </w:divBdr>
    </w:div>
    <w:div w:id="1640650234">
      <w:bodyDiv w:val="1"/>
      <w:marLeft w:val="0"/>
      <w:marRight w:val="0"/>
      <w:marTop w:val="0"/>
      <w:marBottom w:val="0"/>
      <w:divBdr>
        <w:top w:val="none" w:sz="0" w:space="0" w:color="auto"/>
        <w:left w:val="none" w:sz="0" w:space="0" w:color="auto"/>
        <w:bottom w:val="none" w:sz="0" w:space="0" w:color="auto"/>
        <w:right w:val="none" w:sz="0" w:space="0" w:color="auto"/>
      </w:divBdr>
    </w:div>
    <w:div w:id="1650818501">
      <w:bodyDiv w:val="1"/>
      <w:marLeft w:val="0"/>
      <w:marRight w:val="0"/>
      <w:marTop w:val="0"/>
      <w:marBottom w:val="0"/>
      <w:divBdr>
        <w:top w:val="none" w:sz="0" w:space="0" w:color="auto"/>
        <w:left w:val="none" w:sz="0" w:space="0" w:color="auto"/>
        <w:bottom w:val="none" w:sz="0" w:space="0" w:color="auto"/>
        <w:right w:val="none" w:sz="0" w:space="0" w:color="auto"/>
      </w:divBdr>
    </w:div>
    <w:div w:id="1691954076">
      <w:bodyDiv w:val="1"/>
      <w:marLeft w:val="0"/>
      <w:marRight w:val="0"/>
      <w:marTop w:val="0"/>
      <w:marBottom w:val="0"/>
      <w:divBdr>
        <w:top w:val="none" w:sz="0" w:space="0" w:color="auto"/>
        <w:left w:val="none" w:sz="0" w:space="0" w:color="auto"/>
        <w:bottom w:val="none" w:sz="0" w:space="0" w:color="auto"/>
        <w:right w:val="none" w:sz="0" w:space="0" w:color="auto"/>
      </w:divBdr>
    </w:div>
    <w:div w:id="1741096056">
      <w:bodyDiv w:val="1"/>
      <w:marLeft w:val="0"/>
      <w:marRight w:val="0"/>
      <w:marTop w:val="0"/>
      <w:marBottom w:val="0"/>
      <w:divBdr>
        <w:top w:val="none" w:sz="0" w:space="0" w:color="auto"/>
        <w:left w:val="none" w:sz="0" w:space="0" w:color="auto"/>
        <w:bottom w:val="none" w:sz="0" w:space="0" w:color="auto"/>
        <w:right w:val="none" w:sz="0" w:space="0" w:color="auto"/>
      </w:divBdr>
    </w:div>
    <w:div w:id="1749501626">
      <w:bodyDiv w:val="1"/>
      <w:marLeft w:val="0"/>
      <w:marRight w:val="0"/>
      <w:marTop w:val="0"/>
      <w:marBottom w:val="0"/>
      <w:divBdr>
        <w:top w:val="none" w:sz="0" w:space="0" w:color="auto"/>
        <w:left w:val="none" w:sz="0" w:space="0" w:color="auto"/>
        <w:bottom w:val="none" w:sz="0" w:space="0" w:color="auto"/>
        <w:right w:val="none" w:sz="0" w:space="0" w:color="auto"/>
      </w:divBdr>
    </w:div>
    <w:div w:id="1771001302">
      <w:bodyDiv w:val="1"/>
      <w:marLeft w:val="0"/>
      <w:marRight w:val="0"/>
      <w:marTop w:val="0"/>
      <w:marBottom w:val="0"/>
      <w:divBdr>
        <w:top w:val="none" w:sz="0" w:space="0" w:color="auto"/>
        <w:left w:val="none" w:sz="0" w:space="0" w:color="auto"/>
        <w:bottom w:val="none" w:sz="0" w:space="0" w:color="auto"/>
        <w:right w:val="none" w:sz="0" w:space="0" w:color="auto"/>
      </w:divBdr>
    </w:div>
    <w:div w:id="1860577804">
      <w:bodyDiv w:val="1"/>
      <w:marLeft w:val="0"/>
      <w:marRight w:val="0"/>
      <w:marTop w:val="0"/>
      <w:marBottom w:val="0"/>
      <w:divBdr>
        <w:top w:val="none" w:sz="0" w:space="0" w:color="auto"/>
        <w:left w:val="none" w:sz="0" w:space="0" w:color="auto"/>
        <w:bottom w:val="none" w:sz="0" w:space="0" w:color="auto"/>
        <w:right w:val="none" w:sz="0" w:space="0" w:color="auto"/>
      </w:divBdr>
    </w:div>
    <w:div w:id="1904949196">
      <w:bodyDiv w:val="1"/>
      <w:marLeft w:val="0"/>
      <w:marRight w:val="0"/>
      <w:marTop w:val="0"/>
      <w:marBottom w:val="0"/>
      <w:divBdr>
        <w:top w:val="none" w:sz="0" w:space="0" w:color="auto"/>
        <w:left w:val="none" w:sz="0" w:space="0" w:color="auto"/>
        <w:bottom w:val="none" w:sz="0" w:space="0" w:color="auto"/>
        <w:right w:val="none" w:sz="0" w:space="0" w:color="auto"/>
      </w:divBdr>
    </w:div>
    <w:div w:id="1981616958">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45904001">
      <w:bodyDiv w:val="1"/>
      <w:marLeft w:val="0"/>
      <w:marRight w:val="0"/>
      <w:marTop w:val="0"/>
      <w:marBottom w:val="0"/>
      <w:divBdr>
        <w:top w:val="none" w:sz="0" w:space="0" w:color="auto"/>
        <w:left w:val="none" w:sz="0" w:space="0" w:color="auto"/>
        <w:bottom w:val="none" w:sz="0" w:space="0" w:color="auto"/>
        <w:right w:val="none" w:sz="0" w:space="0" w:color="auto"/>
      </w:divBdr>
    </w:div>
    <w:div w:id="2051804023">
      <w:bodyDiv w:val="1"/>
      <w:marLeft w:val="0"/>
      <w:marRight w:val="0"/>
      <w:marTop w:val="0"/>
      <w:marBottom w:val="0"/>
      <w:divBdr>
        <w:top w:val="none" w:sz="0" w:space="0" w:color="auto"/>
        <w:left w:val="none" w:sz="0" w:space="0" w:color="auto"/>
        <w:bottom w:val="none" w:sz="0" w:space="0" w:color="auto"/>
        <w:right w:val="none" w:sz="0" w:space="0" w:color="auto"/>
      </w:divBdr>
    </w:div>
    <w:div w:id="2060090265">
      <w:bodyDiv w:val="1"/>
      <w:marLeft w:val="0"/>
      <w:marRight w:val="0"/>
      <w:marTop w:val="0"/>
      <w:marBottom w:val="0"/>
      <w:divBdr>
        <w:top w:val="none" w:sz="0" w:space="0" w:color="auto"/>
        <w:left w:val="none" w:sz="0" w:space="0" w:color="auto"/>
        <w:bottom w:val="none" w:sz="0" w:space="0" w:color="auto"/>
        <w:right w:val="none" w:sz="0" w:space="0" w:color="auto"/>
      </w:divBdr>
    </w:div>
    <w:div w:id="211570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hyperlink" Target="mailto:pankaj.sharma@rhul.ac.uk" TargetMode="External"/><Relationship Id="rId7" Type="http://schemas.openxmlformats.org/officeDocument/2006/relationships/customXml" Target="../customXml/item7.xml"/><Relationship Id="rId71"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footnotes" Target="footnotes.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webSettings" Target="webSetting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numbering" Target="numbering.xml"/><Relationship Id="rId75"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60.xml><?xml version="1.0" encoding="utf-8"?>
<mcd:customData xmlns="http://www.wps.cn/android/officeDocument/2013/mofficeCustomData" xmlns:mcd="http://www.wps.cn/android/officeDocument/2013/mofficeCustomData" version="2">
  <mcd:comments/>
</mcd:customData>
</file>

<file path=customXml/item61.xml><?xml version="1.0" encoding="utf-8"?>
<mcd:customData xmlns="http://www.wps.cn/android/officeDocument/2013/mofficeCustomData" xmlns:mcd="http://www.wps.cn/android/officeDocument/2013/mofficeCustomData" version="2">
  <mcd:comments/>
</mcd:customData>
</file>

<file path=customXml/item62.xml><?xml version="1.0" encoding="utf-8"?>
<mcd:customData xmlns="http://www.wps.cn/android/officeDocument/2013/mofficeCustomData" xmlns:mcd="http://www.wps.cn/android/officeDocument/2013/mofficeCustomData" version="2">
  <mcd:comments/>
</mcd:customData>
</file>

<file path=customXml/item63.xml><?xml version="1.0" encoding="utf-8"?>
<mcd:customData xmlns="http://www.wps.cn/android/officeDocument/2013/mofficeCustomData" xmlns:mcd="http://www.wps.cn/android/officeDocument/2013/mofficeCustomData" version="2">
  <mcd:comments/>
</mcd:customData>
</file>

<file path=customXml/item64.xml><?xml version="1.0" encoding="utf-8"?>
<mcd:customData xmlns="http://www.wps.cn/android/officeDocument/2013/mofficeCustomData" xmlns:mcd="http://www.wps.cn/android/officeDocument/2013/mofficeCustomData" version="2">
  <mcd:comments/>
</mcd:customData>
</file>

<file path=customXml/item65.xml><?xml version="1.0" encoding="utf-8"?>
<mcd:customData xmlns="http://www.wps.cn/android/officeDocument/2013/mofficeCustomData" xmlns:mcd="http://www.wps.cn/android/officeDocument/2013/mofficeCustomData" version="2">
  <mcd:comments/>
</mcd:customData>
</file>

<file path=customXml/item66.xml><?xml version="1.0" encoding="utf-8"?>
<mcd:customData xmlns="http://www.wps.cn/android/officeDocument/2013/mofficeCustomData" xmlns:mcd="http://www.wps.cn/android/officeDocument/2013/mofficeCustomData" version="2">
  <mcd:comments/>
</mcd:customData>
</file>

<file path=customXml/item67.xml><?xml version="1.0" encoding="utf-8"?>
<mcd:customData xmlns="http://www.wps.cn/android/officeDocument/2013/mofficeCustomData" xmlns:mcd="http://www.wps.cn/android/officeDocument/2013/mofficeCustomData" version="2">
  <mcd:comments/>
</mcd:customData>
</file>

<file path=customXml/item68.xml><?xml version="1.0" encoding="utf-8"?>
<mcd:customData xmlns="http://www.wps.cn/android/officeDocument/2013/mofficeCustomData" xmlns:mcd="http://www.wps.cn/android/officeDocument/2013/mofficeCustomData" version="2">
  <mcd:comments/>
</mcd:customData>
</file>

<file path=customXml/item69.xml><?xml version="1.0" encoding="utf-8"?>
<b:Sources xmlns:b="http://schemas.openxmlformats.org/officeDocument/2006/bibliography" xmlns="http://schemas.openxmlformats.org/officeDocument/2006/bibliography" SelectedStyle="\HarvardAnglia2008OfficeOnline.xsl" StyleName="Harvard - Anglia" Version="2008"/>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E3574D5-111E-48B6-9A27-4EC3F72FCB89}">
  <ds:schemaRefs>
    <ds:schemaRef ds:uri="http://www.wps.cn/android/officeDocument/2013/mofficeCustomData"/>
  </ds:schemaRefs>
</ds:datastoreItem>
</file>

<file path=customXml/itemProps10.xml><?xml version="1.0" encoding="utf-8"?>
<ds:datastoreItem xmlns:ds="http://schemas.openxmlformats.org/officeDocument/2006/customXml" ds:itemID="{AEBED688-26DF-42A8-9397-963586DD5C10}">
  <ds:schemaRefs>
    <ds:schemaRef ds:uri="http://www.wps.cn/android/officeDocument/2013/mofficeCustomData"/>
  </ds:schemaRefs>
</ds:datastoreItem>
</file>

<file path=customXml/itemProps11.xml><?xml version="1.0" encoding="utf-8"?>
<ds:datastoreItem xmlns:ds="http://schemas.openxmlformats.org/officeDocument/2006/customXml" ds:itemID="{65B0FC7F-41C8-4898-ACEC-E273195934E0}">
  <ds:schemaRefs>
    <ds:schemaRef ds:uri="http://www.wps.cn/android/officeDocument/2013/mofficeCustomData"/>
  </ds:schemaRefs>
</ds:datastoreItem>
</file>

<file path=customXml/itemProps12.xml><?xml version="1.0" encoding="utf-8"?>
<ds:datastoreItem xmlns:ds="http://schemas.openxmlformats.org/officeDocument/2006/customXml" ds:itemID="{3BA49698-7595-4963-AED9-F3B089774504}">
  <ds:schemaRefs>
    <ds:schemaRef ds:uri="http://www.wps.cn/android/officeDocument/2013/mofficeCustomData"/>
  </ds:schemaRefs>
</ds:datastoreItem>
</file>

<file path=customXml/itemProps13.xml><?xml version="1.0" encoding="utf-8"?>
<ds:datastoreItem xmlns:ds="http://schemas.openxmlformats.org/officeDocument/2006/customXml" ds:itemID="{A265702B-50BA-43BB-9D96-C82C2E39F168}">
  <ds:schemaRefs>
    <ds:schemaRef ds:uri="http://www.wps.cn/android/officeDocument/2013/mofficeCustomData"/>
  </ds:schemaRefs>
</ds:datastoreItem>
</file>

<file path=customXml/itemProps14.xml><?xml version="1.0" encoding="utf-8"?>
<ds:datastoreItem xmlns:ds="http://schemas.openxmlformats.org/officeDocument/2006/customXml" ds:itemID="{02771FEE-DD15-4E06-89FF-DFB835C41C98}">
  <ds:schemaRefs>
    <ds:schemaRef ds:uri="http://www.wps.cn/android/officeDocument/2013/mofficeCustomData"/>
  </ds:schemaRefs>
</ds:datastoreItem>
</file>

<file path=customXml/itemProps15.xml><?xml version="1.0" encoding="utf-8"?>
<ds:datastoreItem xmlns:ds="http://schemas.openxmlformats.org/officeDocument/2006/customXml" ds:itemID="{8A2805E9-BC79-436A-ADEA-6265BF3C8004}">
  <ds:schemaRefs>
    <ds:schemaRef ds:uri="http://www.wps.cn/android/officeDocument/2013/mofficeCustomData"/>
  </ds:schemaRefs>
</ds:datastoreItem>
</file>

<file path=customXml/itemProps16.xml><?xml version="1.0" encoding="utf-8"?>
<ds:datastoreItem xmlns:ds="http://schemas.openxmlformats.org/officeDocument/2006/customXml" ds:itemID="{5EA26F31-330E-4D40-ACA5-61CF2CD7F220}">
  <ds:schemaRefs>
    <ds:schemaRef ds:uri="http://www.wps.cn/android/officeDocument/2013/mofficeCustomData"/>
  </ds:schemaRefs>
</ds:datastoreItem>
</file>

<file path=customXml/itemProps17.xml><?xml version="1.0" encoding="utf-8"?>
<ds:datastoreItem xmlns:ds="http://schemas.openxmlformats.org/officeDocument/2006/customXml" ds:itemID="{C9B0CDC5-A0A2-4808-AD45-5033C4B99B17}">
  <ds:schemaRefs>
    <ds:schemaRef ds:uri="http://www.wps.cn/android/officeDocument/2013/mofficeCustomData"/>
  </ds:schemaRefs>
</ds:datastoreItem>
</file>

<file path=customXml/itemProps18.xml><?xml version="1.0" encoding="utf-8"?>
<ds:datastoreItem xmlns:ds="http://schemas.openxmlformats.org/officeDocument/2006/customXml" ds:itemID="{DD8E5F91-9259-4065-AEB6-BEF12ECBCEAF}">
  <ds:schemaRefs>
    <ds:schemaRef ds:uri="http://www.wps.cn/android/officeDocument/2013/mofficeCustomData"/>
  </ds:schemaRefs>
</ds:datastoreItem>
</file>

<file path=customXml/itemProps19.xml><?xml version="1.0" encoding="utf-8"?>
<ds:datastoreItem xmlns:ds="http://schemas.openxmlformats.org/officeDocument/2006/customXml" ds:itemID="{242F2C5E-2732-45EC-9D4C-F32930677CAF}">
  <ds:schemaRefs>
    <ds:schemaRef ds:uri="http://www.wps.cn/android/officeDocument/2013/mofficeCustomData"/>
  </ds:schemaRefs>
</ds:datastoreItem>
</file>

<file path=customXml/itemProps2.xml><?xml version="1.0" encoding="utf-8"?>
<ds:datastoreItem xmlns:ds="http://schemas.openxmlformats.org/officeDocument/2006/customXml" ds:itemID="{D47E3FFA-AB0B-4719-B656-448CB33F5CC9}">
  <ds:schemaRefs>
    <ds:schemaRef ds:uri="http://www.wps.cn/android/officeDocument/2013/mofficeCustomData"/>
  </ds:schemaRefs>
</ds:datastoreItem>
</file>

<file path=customXml/itemProps20.xml><?xml version="1.0" encoding="utf-8"?>
<ds:datastoreItem xmlns:ds="http://schemas.openxmlformats.org/officeDocument/2006/customXml" ds:itemID="{ABB8A590-6C64-44B8-9C1C-12B425F69080}">
  <ds:schemaRefs>
    <ds:schemaRef ds:uri="http://www.wps.cn/android/officeDocument/2013/mofficeCustomData"/>
  </ds:schemaRefs>
</ds:datastoreItem>
</file>

<file path=customXml/itemProps21.xml><?xml version="1.0" encoding="utf-8"?>
<ds:datastoreItem xmlns:ds="http://schemas.openxmlformats.org/officeDocument/2006/customXml" ds:itemID="{1B7C70B0-7298-4895-8096-9F697972E29F}">
  <ds:schemaRefs>
    <ds:schemaRef ds:uri="http://www.wps.cn/android/officeDocument/2013/mofficeCustomData"/>
  </ds:schemaRefs>
</ds:datastoreItem>
</file>

<file path=customXml/itemProps22.xml><?xml version="1.0" encoding="utf-8"?>
<ds:datastoreItem xmlns:ds="http://schemas.openxmlformats.org/officeDocument/2006/customXml" ds:itemID="{6791F6D7-D044-4B97-9F1A-D723956BFAA6}">
  <ds:schemaRefs>
    <ds:schemaRef ds:uri="http://www.wps.cn/android/officeDocument/2013/mofficeCustomData"/>
  </ds:schemaRefs>
</ds:datastoreItem>
</file>

<file path=customXml/itemProps23.xml><?xml version="1.0" encoding="utf-8"?>
<ds:datastoreItem xmlns:ds="http://schemas.openxmlformats.org/officeDocument/2006/customXml" ds:itemID="{B4DC4FBA-87D1-4F16-B128-BB6669737DAB}">
  <ds:schemaRefs>
    <ds:schemaRef ds:uri="http://www.wps.cn/android/officeDocument/2013/mofficeCustomData"/>
  </ds:schemaRefs>
</ds:datastoreItem>
</file>

<file path=customXml/itemProps24.xml><?xml version="1.0" encoding="utf-8"?>
<ds:datastoreItem xmlns:ds="http://schemas.openxmlformats.org/officeDocument/2006/customXml" ds:itemID="{1017D59B-E368-4446-80A9-72F52B2AF128}">
  <ds:schemaRefs>
    <ds:schemaRef ds:uri="http://www.wps.cn/android/officeDocument/2013/mofficeCustomData"/>
  </ds:schemaRefs>
</ds:datastoreItem>
</file>

<file path=customXml/itemProps25.xml><?xml version="1.0" encoding="utf-8"?>
<ds:datastoreItem xmlns:ds="http://schemas.openxmlformats.org/officeDocument/2006/customXml" ds:itemID="{E8359EDC-5CA6-4C00-8A0C-C955DB301C42}">
  <ds:schemaRefs>
    <ds:schemaRef ds:uri="http://www.wps.cn/android/officeDocument/2013/mofficeCustomData"/>
  </ds:schemaRefs>
</ds:datastoreItem>
</file>

<file path=customXml/itemProps26.xml><?xml version="1.0" encoding="utf-8"?>
<ds:datastoreItem xmlns:ds="http://schemas.openxmlformats.org/officeDocument/2006/customXml" ds:itemID="{695E9B91-8F43-4F3A-AB18-E8D059AC296E}">
  <ds:schemaRefs>
    <ds:schemaRef ds:uri="http://www.wps.cn/android/officeDocument/2013/mofficeCustomData"/>
  </ds:schemaRefs>
</ds:datastoreItem>
</file>

<file path=customXml/itemProps27.xml><?xml version="1.0" encoding="utf-8"?>
<ds:datastoreItem xmlns:ds="http://schemas.openxmlformats.org/officeDocument/2006/customXml" ds:itemID="{5CC40182-00B3-487A-BBBB-2D44F283C139}">
  <ds:schemaRefs>
    <ds:schemaRef ds:uri="http://www.wps.cn/android/officeDocument/2013/mofficeCustomData"/>
  </ds:schemaRefs>
</ds:datastoreItem>
</file>

<file path=customXml/itemProps28.xml><?xml version="1.0" encoding="utf-8"?>
<ds:datastoreItem xmlns:ds="http://schemas.openxmlformats.org/officeDocument/2006/customXml" ds:itemID="{C504B166-62AD-4918-8B91-485059DA593A}">
  <ds:schemaRefs>
    <ds:schemaRef ds:uri="http://www.wps.cn/android/officeDocument/2013/mofficeCustomData"/>
  </ds:schemaRefs>
</ds:datastoreItem>
</file>

<file path=customXml/itemProps29.xml><?xml version="1.0" encoding="utf-8"?>
<ds:datastoreItem xmlns:ds="http://schemas.openxmlformats.org/officeDocument/2006/customXml" ds:itemID="{CE7A7270-2C05-492D-BCDD-A5108135A4B3}">
  <ds:schemaRefs>
    <ds:schemaRef ds:uri="http://www.wps.cn/android/officeDocument/2013/mofficeCustomData"/>
  </ds:schemaRefs>
</ds:datastoreItem>
</file>

<file path=customXml/itemProps3.xml><?xml version="1.0" encoding="utf-8"?>
<ds:datastoreItem xmlns:ds="http://schemas.openxmlformats.org/officeDocument/2006/customXml" ds:itemID="{CF736D54-E9B8-4A67-943A-23EAB90B83C7}">
  <ds:schemaRefs>
    <ds:schemaRef ds:uri="http://www.wps.cn/android/officeDocument/2013/mofficeCustomData"/>
  </ds:schemaRefs>
</ds:datastoreItem>
</file>

<file path=customXml/itemProps30.xml><?xml version="1.0" encoding="utf-8"?>
<ds:datastoreItem xmlns:ds="http://schemas.openxmlformats.org/officeDocument/2006/customXml" ds:itemID="{FFDAF142-BF8C-41E5-8DB9-D426D50A76E1}">
  <ds:schemaRefs>
    <ds:schemaRef ds:uri="http://www.wps.cn/android/officeDocument/2013/mofficeCustomData"/>
  </ds:schemaRefs>
</ds:datastoreItem>
</file>

<file path=customXml/itemProps31.xml><?xml version="1.0" encoding="utf-8"?>
<ds:datastoreItem xmlns:ds="http://schemas.openxmlformats.org/officeDocument/2006/customXml" ds:itemID="{25B5F825-41F6-4121-AAE4-C2CF4F0AB131}">
  <ds:schemaRefs>
    <ds:schemaRef ds:uri="http://www.wps.cn/android/officeDocument/2013/mofficeCustomData"/>
  </ds:schemaRefs>
</ds:datastoreItem>
</file>

<file path=customXml/itemProps32.xml><?xml version="1.0" encoding="utf-8"?>
<ds:datastoreItem xmlns:ds="http://schemas.openxmlformats.org/officeDocument/2006/customXml" ds:itemID="{DF581D88-9D92-49DD-B69A-DB71D6ADC436}">
  <ds:schemaRefs>
    <ds:schemaRef ds:uri="http://www.wps.cn/android/officeDocument/2013/mofficeCustomData"/>
  </ds:schemaRefs>
</ds:datastoreItem>
</file>

<file path=customXml/itemProps33.xml><?xml version="1.0" encoding="utf-8"?>
<ds:datastoreItem xmlns:ds="http://schemas.openxmlformats.org/officeDocument/2006/customXml" ds:itemID="{2E953A41-3062-4737-861F-0B5CE3E36A25}">
  <ds:schemaRefs>
    <ds:schemaRef ds:uri="http://www.wps.cn/android/officeDocument/2013/mofficeCustomData"/>
  </ds:schemaRefs>
</ds:datastoreItem>
</file>

<file path=customXml/itemProps34.xml><?xml version="1.0" encoding="utf-8"?>
<ds:datastoreItem xmlns:ds="http://schemas.openxmlformats.org/officeDocument/2006/customXml" ds:itemID="{DE2A913E-83CA-4A5F-8264-03EFF2C4F2CE}">
  <ds:schemaRefs>
    <ds:schemaRef ds:uri="http://www.wps.cn/android/officeDocument/2013/mofficeCustomData"/>
  </ds:schemaRefs>
</ds:datastoreItem>
</file>

<file path=customXml/itemProps35.xml><?xml version="1.0" encoding="utf-8"?>
<ds:datastoreItem xmlns:ds="http://schemas.openxmlformats.org/officeDocument/2006/customXml" ds:itemID="{8BF27DB4-1ED9-4E80-8F4B-4E0BCA7EBFB6}">
  <ds:schemaRefs>
    <ds:schemaRef ds:uri="http://www.wps.cn/android/officeDocument/2013/mofficeCustomData"/>
  </ds:schemaRefs>
</ds:datastoreItem>
</file>

<file path=customXml/itemProps36.xml><?xml version="1.0" encoding="utf-8"?>
<ds:datastoreItem xmlns:ds="http://schemas.openxmlformats.org/officeDocument/2006/customXml" ds:itemID="{AD1380F6-0E4D-4E38-B24C-D4719867A9BF}">
  <ds:schemaRefs>
    <ds:schemaRef ds:uri="http://www.wps.cn/android/officeDocument/2013/mofficeCustomData"/>
  </ds:schemaRefs>
</ds:datastoreItem>
</file>

<file path=customXml/itemProps37.xml><?xml version="1.0" encoding="utf-8"?>
<ds:datastoreItem xmlns:ds="http://schemas.openxmlformats.org/officeDocument/2006/customXml" ds:itemID="{C3011991-4E36-4B40-A5F4-63751D7EBF55}">
  <ds:schemaRefs>
    <ds:schemaRef ds:uri="http://www.wps.cn/android/officeDocument/2013/mofficeCustomData"/>
  </ds:schemaRefs>
</ds:datastoreItem>
</file>

<file path=customXml/itemProps38.xml><?xml version="1.0" encoding="utf-8"?>
<ds:datastoreItem xmlns:ds="http://schemas.openxmlformats.org/officeDocument/2006/customXml" ds:itemID="{F51144C4-1815-4C57-9A0B-158210107955}">
  <ds:schemaRefs>
    <ds:schemaRef ds:uri="http://www.wps.cn/android/officeDocument/2013/mofficeCustomData"/>
  </ds:schemaRefs>
</ds:datastoreItem>
</file>

<file path=customXml/itemProps39.xml><?xml version="1.0" encoding="utf-8"?>
<ds:datastoreItem xmlns:ds="http://schemas.openxmlformats.org/officeDocument/2006/customXml" ds:itemID="{2A344FF0-D7BE-440B-AFA3-142DCA60CDD3}">
  <ds:schemaRefs>
    <ds:schemaRef ds:uri="http://www.wps.cn/android/officeDocument/2013/mofficeCustomData"/>
  </ds:schemaRefs>
</ds:datastoreItem>
</file>

<file path=customXml/itemProps4.xml><?xml version="1.0" encoding="utf-8"?>
<ds:datastoreItem xmlns:ds="http://schemas.openxmlformats.org/officeDocument/2006/customXml" ds:itemID="{6AC102D2-4479-4B6C-8071-796DF4D7C7E8}">
  <ds:schemaRefs>
    <ds:schemaRef ds:uri="http://www.wps.cn/android/officeDocument/2013/mofficeCustomData"/>
  </ds:schemaRefs>
</ds:datastoreItem>
</file>

<file path=customXml/itemProps40.xml><?xml version="1.0" encoding="utf-8"?>
<ds:datastoreItem xmlns:ds="http://schemas.openxmlformats.org/officeDocument/2006/customXml" ds:itemID="{BB164A2C-596A-4018-9C16-83AB7323660B}">
  <ds:schemaRefs>
    <ds:schemaRef ds:uri="http://www.wps.cn/android/officeDocument/2013/mofficeCustomData"/>
  </ds:schemaRefs>
</ds:datastoreItem>
</file>

<file path=customXml/itemProps41.xml><?xml version="1.0" encoding="utf-8"?>
<ds:datastoreItem xmlns:ds="http://schemas.openxmlformats.org/officeDocument/2006/customXml" ds:itemID="{0DF8F5A4-FDC6-43CE-A67B-4F678E144935}">
  <ds:schemaRefs>
    <ds:schemaRef ds:uri="http://www.wps.cn/android/officeDocument/2013/mofficeCustomData"/>
  </ds:schemaRefs>
</ds:datastoreItem>
</file>

<file path=customXml/itemProps42.xml><?xml version="1.0" encoding="utf-8"?>
<ds:datastoreItem xmlns:ds="http://schemas.openxmlformats.org/officeDocument/2006/customXml" ds:itemID="{018F919F-38AD-4B34-82DC-087D1DE2ED9A}">
  <ds:schemaRefs>
    <ds:schemaRef ds:uri="http://www.wps.cn/android/officeDocument/2013/mofficeCustomData"/>
  </ds:schemaRefs>
</ds:datastoreItem>
</file>

<file path=customXml/itemProps43.xml><?xml version="1.0" encoding="utf-8"?>
<ds:datastoreItem xmlns:ds="http://schemas.openxmlformats.org/officeDocument/2006/customXml" ds:itemID="{4E4676D8-2B05-4AA2-9BC0-63E15D63F2BE}">
  <ds:schemaRefs>
    <ds:schemaRef ds:uri="http://www.wps.cn/android/officeDocument/2013/mofficeCustomData"/>
  </ds:schemaRefs>
</ds:datastoreItem>
</file>

<file path=customXml/itemProps44.xml><?xml version="1.0" encoding="utf-8"?>
<ds:datastoreItem xmlns:ds="http://schemas.openxmlformats.org/officeDocument/2006/customXml" ds:itemID="{D1D0A351-46C1-499D-8425-37BAD9604FA9}">
  <ds:schemaRefs>
    <ds:schemaRef ds:uri="http://www.wps.cn/android/officeDocument/2013/mofficeCustomData"/>
  </ds:schemaRefs>
</ds:datastoreItem>
</file>

<file path=customXml/itemProps45.xml><?xml version="1.0" encoding="utf-8"?>
<ds:datastoreItem xmlns:ds="http://schemas.openxmlformats.org/officeDocument/2006/customXml" ds:itemID="{8FE489A1-BA12-40FC-998C-6803879D4919}">
  <ds:schemaRefs>
    <ds:schemaRef ds:uri="http://www.wps.cn/android/officeDocument/2013/mofficeCustomData"/>
  </ds:schemaRefs>
</ds:datastoreItem>
</file>

<file path=customXml/itemProps46.xml><?xml version="1.0" encoding="utf-8"?>
<ds:datastoreItem xmlns:ds="http://schemas.openxmlformats.org/officeDocument/2006/customXml" ds:itemID="{0C6106B8-01AD-4BC9-945C-D1D7225BCAA8}">
  <ds:schemaRefs>
    <ds:schemaRef ds:uri="http://www.wps.cn/android/officeDocument/2013/mofficeCustomData"/>
  </ds:schemaRefs>
</ds:datastoreItem>
</file>

<file path=customXml/itemProps47.xml><?xml version="1.0" encoding="utf-8"?>
<ds:datastoreItem xmlns:ds="http://schemas.openxmlformats.org/officeDocument/2006/customXml" ds:itemID="{36357FAB-6999-427D-A9D0-47D135D01AC8}">
  <ds:schemaRefs>
    <ds:schemaRef ds:uri="http://www.wps.cn/android/officeDocument/2013/mofficeCustomData"/>
  </ds:schemaRefs>
</ds:datastoreItem>
</file>

<file path=customXml/itemProps48.xml><?xml version="1.0" encoding="utf-8"?>
<ds:datastoreItem xmlns:ds="http://schemas.openxmlformats.org/officeDocument/2006/customXml" ds:itemID="{A67EC14B-A27C-4365-AB92-EFF961466D9C}">
  <ds:schemaRefs>
    <ds:schemaRef ds:uri="http://www.wps.cn/android/officeDocument/2013/mofficeCustomData"/>
  </ds:schemaRefs>
</ds:datastoreItem>
</file>

<file path=customXml/itemProps49.xml><?xml version="1.0" encoding="utf-8"?>
<ds:datastoreItem xmlns:ds="http://schemas.openxmlformats.org/officeDocument/2006/customXml" ds:itemID="{CF7B8E6D-956C-4090-9485-D2B212DAD5D4}">
  <ds:schemaRefs>
    <ds:schemaRef ds:uri="http://www.wps.cn/android/officeDocument/2013/mofficeCustomData"/>
  </ds:schemaRefs>
</ds:datastoreItem>
</file>

<file path=customXml/itemProps5.xml><?xml version="1.0" encoding="utf-8"?>
<ds:datastoreItem xmlns:ds="http://schemas.openxmlformats.org/officeDocument/2006/customXml" ds:itemID="{016D64B4-4511-479C-8FD5-943ED1B0BB4F}">
  <ds:schemaRefs>
    <ds:schemaRef ds:uri="http://www.wps.cn/android/officeDocument/2013/mofficeCustomData"/>
  </ds:schemaRefs>
</ds:datastoreItem>
</file>

<file path=customXml/itemProps50.xml><?xml version="1.0" encoding="utf-8"?>
<ds:datastoreItem xmlns:ds="http://schemas.openxmlformats.org/officeDocument/2006/customXml" ds:itemID="{9B0ED8C5-0F31-4A19-AE96-DA298228D5C2}">
  <ds:schemaRefs>
    <ds:schemaRef ds:uri="http://www.wps.cn/android/officeDocument/2013/mofficeCustomData"/>
  </ds:schemaRefs>
</ds:datastoreItem>
</file>

<file path=customXml/itemProps51.xml><?xml version="1.0" encoding="utf-8"?>
<ds:datastoreItem xmlns:ds="http://schemas.openxmlformats.org/officeDocument/2006/customXml" ds:itemID="{1378C71F-1E72-42E5-9E15-AEF9D9A3150A}">
  <ds:schemaRefs>
    <ds:schemaRef ds:uri="http://www.wps.cn/android/officeDocument/2013/mofficeCustomData"/>
  </ds:schemaRefs>
</ds:datastoreItem>
</file>

<file path=customXml/itemProps52.xml><?xml version="1.0" encoding="utf-8"?>
<ds:datastoreItem xmlns:ds="http://schemas.openxmlformats.org/officeDocument/2006/customXml" ds:itemID="{5B06B228-07E6-4A15-8598-D42977DCE8E0}">
  <ds:schemaRefs>
    <ds:schemaRef ds:uri="http://www.wps.cn/android/officeDocument/2013/mofficeCustomData"/>
  </ds:schemaRefs>
</ds:datastoreItem>
</file>

<file path=customXml/itemProps53.xml><?xml version="1.0" encoding="utf-8"?>
<ds:datastoreItem xmlns:ds="http://schemas.openxmlformats.org/officeDocument/2006/customXml" ds:itemID="{E2D14898-EB78-45B2-8B2D-242B7F0B92FD}">
  <ds:schemaRefs>
    <ds:schemaRef ds:uri="http://www.wps.cn/android/officeDocument/2013/mofficeCustomData"/>
  </ds:schemaRefs>
</ds:datastoreItem>
</file>

<file path=customXml/itemProps54.xml><?xml version="1.0" encoding="utf-8"?>
<ds:datastoreItem xmlns:ds="http://schemas.openxmlformats.org/officeDocument/2006/customXml" ds:itemID="{674F2F00-609D-4F1A-94B6-A7C054439BFF}">
  <ds:schemaRefs>
    <ds:schemaRef ds:uri="http://www.wps.cn/android/officeDocument/2013/mofficeCustomData"/>
  </ds:schemaRefs>
</ds:datastoreItem>
</file>

<file path=customXml/itemProps55.xml><?xml version="1.0" encoding="utf-8"?>
<ds:datastoreItem xmlns:ds="http://schemas.openxmlformats.org/officeDocument/2006/customXml" ds:itemID="{3B42F821-86B2-45C5-8EB2-6E68D4BA13C5}">
  <ds:schemaRefs>
    <ds:schemaRef ds:uri="http://www.wps.cn/android/officeDocument/2013/mofficeCustomData"/>
  </ds:schemaRefs>
</ds:datastoreItem>
</file>

<file path=customXml/itemProps56.xml><?xml version="1.0" encoding="utf-8"?>
<ds:datastoreItem xmlns:ds="http://schemas.openxmlformats.org/officeDocument/2006/customXml" ds:itemID="{1C23ADCB-166D-4BE2-9B3E-BA99A9462061}">
  <ds:schemaRefs>
    <ds:schemaRef ds:uri="http://www.wps.cn/android/officeDocument/2013/mofficeCustomData"/>
  </ds:schemaRefs>
</ds:datastoreItem>
</file>

<file path=customXml/itemProps57.xml><?xml version="1.0" encoding="utf-8"?>
<ds:datastoreItem xmlns:ds="http://schemas.openxmlformats.org/officeDocument/2006/customXml" ds:itemID="{401F03E9-A021-4937-95E4-8CB060141F6B}">
  <ds:schemaRefs>
    <ds:schemaRef ds:uri="http://www.wps.cn/android/officeDocument/2013/mofficeCustomData"/>
  </ds:schemaRefs>
</ds:datastoreItem>
</file>

<file path=customXml/itemProps58.xml><?xml version="1.0" encoding="utf-8"?>
<ds:datastoreItem xmlns:ds="http://schemas.openxmlformats.org/officeDocument/2006/customXml" ds:itemID="{17791EAF-E291-4E20-BDFA-F2809D7030DF}">
  <ds:schemaRefs>
    <ds:schemaRef ds:uri="http://www.wps.cn/android/officeDocument/2013/mofficeCustomData"/>
  </ds:schemaRefs>
</ds:datastoreItem>
</file>

<file path=customXml/itemProps59.xml><?xml version="1.0" encoding="utf-8"?>
<ds:datastoreItem xmlns:ds="http://schemas.openxmlformats.org/officeDocument/2006/customXml" ds:itemID="{954FD063-18FD-4BAC-B546-86ED32D857CB}">
  <ds:schemaRefs>
    <ds:schemaRef ds:uri="http://www.wps.cn/android/officeDocument/2013/mofficeCustomData"/>
  </ds:schemaRefs>
</ds:datastoreItem>
</file>

<file path=customXml/itemProps6.xml><?xml version="1.0" encoding="utf-8"?>
<ds:datastoreItem xmlns:ds="http://schemas.openxmlformats.org/officeDocument/2006/customXml" ds:itemID="{153CD2F8-5330-4DF2-BACE-49C2486F6A58}">
  <ds:schemaRefs>
    <ds:schemaRef ds:uri="http://www.wps.cn/android/officeDocument/2013/mofficeCustomData"/>
  </ds:schemaRefs>
</ds:datastoreItem>
</file>

<file path=customXml/itemProps60.xml><?xml version="1.0" encoding="utf-8"?>
<ds:datastoreItem xmlns:ds="http://schemas.openxmlformats.org/officeDocument/2006/customXml" ds:itemID="{77200BA7-55A0-4606-A844-8C3A7464AA1F}">
  <ds:schemaRefs>
    <ds:schemaRef ds:uri="http://www.wps.cn/android/officeDocument/2013/mofficeCustomData"/>
  </ds:schemaRefs>
</ds:datastoreItem>
</file>

<file path=customXml/itemProps61.xml><?xml version="1.0" encoding="utf-8"?>
<ds:datastoreItem xmlns:ds="http://schemas.openxmlformats.org/officeDocument/2006/customXml" ds:itemID="{9921B96D-A405-4D31-8EFF-302BEBEBC6CC}">
  <ds:schemaRefs>
    <ds:schemaRef ds:uri="http://www.wps.cn/android/officeDocument/2013/mofficeCustomData"/>
  </ds:schemaRefs>
</ds:datastoreItem>
</file>

<file path=customXml/itemProps62.xml><?xml version="1.0" encoding="utf-8"?>
<ds:datastoreItem xmlns:ds="http://schemas.openxmlformats.org/officeDocument/2006/customXml" ds:itemID="{B8C40307-147B-47A5-AB58-FFC08EA4B04F}">
  <ds:schemaRefs>
    <ds:schemaRef ds:uri="http://www.wps.cn/android/officeDocument/2013/mofficeCustomData"/>
  </ds:schemaRefs>
</ds:datastoreItem>
</file>

<file path=customXml/itemProps63.xml><?xml version="1.0" encoding="utf-8"?>
<ds:datastoreItem xmlns:ds="http://schemas.openxmlformats.org/officeDocument/2006/customXml" ds:itemID="{C5C419A5-5BCB-43B6-A024-3632E6047B9E}">
  <ds:schemaRefs>
    <ds:schemaRef ds:uri="http://www.wps.cn/android/officeDocument/2013/mofficeCustomData"/>
  </ds:schemaRefs>
</ds:datastoreItem>
</file>

<file path=customXml/itemProps64.xml><?xml version="1.0" encoding="utf-8"?>
<ds:datastoreItem xmlns:ds="http://schemas.openxmlformats.org/officeDocument/2006/customXml" ds:itemID="{75AA0837-D8C6-4CC1-838B-818B759D19E7}">
  <ds:schemaRefs>
    <ds:schemaRef ds:uri="http://www.wps.cn/android/officeDocument/2013/mofficeCustomData"/>
  </ds:schemaRefs>
</ds:datastoreItem>
</file>

<file path=customXml/itemProps65.xml><?xml version="1.0" encoding="utf-8"?>
<ds:datastoreItem xmlns:ds="http://schemas.openxmlformats.org/officeDocument/2006/customXml" ds:itemID="{9423A292-316F-491A-8232-D854CC9913F6}">
  <ds:schemaRefs>
    <ds:schemaRef ds:uri="http://www.wps.cn/android/officeDocument/2013/mofficeCustomData"/>
  </ds:schemaRefs>
</ds:datastoreItem>
</file>

<file path=customXml/itemProps66.xml><?xml version="1.0" encoding="utf-8"?>
<ds:datastoreItem xmlns:ds="http://schemas.openxmlformats.org/officeDocument/2006/customXml" ds:itemID="{789C2EA6-8C8B-4E3B-A9A2-DA1BBB938805}">
  <ds:schemaRefs>
    <ds:schemaRef ds:uri="http://www.wps.cn/android/officeDocument/2013/mofficeCustomData"/>
  </ds:schemaRefs>
</ds:datastoreItem>
</file>

<file path=customXml/itemProps67.xml><?xml version="1.0" encoding="utf-8"?>
<ds:datastoreItem xmlns:ds="http://schemas.openxmlformats.org/officeDocument/2006/customXml" ds:itemID="{F6264DC7-312E-4A25-8586-52729B6725A0}">
  <ds:schemaRefs>
    <ds:schemaRef ds:uri="http://www.wps.cn/android/officeDocument/2013/mofficeCustomData"/>
  </ds:schemaRefs>
</ds:datastoreItem>
</file>

<file path=customXml/itemProps68.xml><?xml version="1.0" encoding="utf-8"?>
<ds:datastoreItem xmlns:ds="http://schemas.openxmlformats.org/officeDocument/2006/customXml" ds:itemID="{87AC7FE2-7CE9-4EAF-B438-F7C785ECF37A}">
  <ds:schemaRefs>
    <ds:schemaRef ds:uri="http://www.wps.cn/android/officeDocument/2013/mofficeCustomData"/>
  </ds:schemaRefs>
</ds:datastoreItem>
</file>

<file path=customXml/itemProps69.xml><?xml version="1.0" encoding="utf-8"?>
<ds:datastoreItem xmlns:ds="http://schemas.openxmlformats.org/officeDocument/2006/customXml" ds:itemID="{C7AAA7BA-7812-4926-B8F2-D5365AEAC691}">
  <ds:schemaRefs>
    <ds:schemaRef ds:uri="http://schemas.openxmlformats.org/officeDocument/2006/bibliography"/>
  </ds:schemaRefs>
</ds:datastoreItem>
</file>

<file path=customXml/itemProps7.xml><?xml version="1.0" encoding="utf-8"?>
<ds:datastoreItem xmlns:ds="http://schemas.openxmlformats.org/officeDocument/2006/customXml" ds:itemID="{39724FBE-B10B-497E-AEC1-B9505D6FAC34}">
  <ds:schemaRefs>
    <ds:schemaRef ds:uri="http://www.wps.cn/android/officeDocument/2013/mofficeCustomData"/>
  </ds:schemaRefs>
</ds:datastoreItem>
</file>

<file path=customXml/itemProps8.xml><?xml version="1.0" encoding="utf-8"?>
<ds:datastoreItem xmlns:ds="http://schemas.openxmlformats.org/officeDocument/2006/customXml" ds:itemID="{03C08BB1-E9F4-42D4-BB37-F70536F51E78}">
  <ds:schemaRefs>
    <ds:schemaRef ds:uri="http://www.wps.cn/android/officeDocument/2013/mofficeCustomData"/>
  </ds:schemaRefs>
</ds:datastoreItem>
</file>

<file path=customXml/itemProps9.xml><?xml version="1.0" encoding="utf-8"?>
<ds:datastoreItem xmlns:ds="http://schemas.openxmlformats.org/officeDocument/2006/customXml" ds:itemID="{A7079CED-6014-4E3F-8DBF-3D841F0B8A16}">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Robert Hill</dc:creator>
  <cp:keywords/>
  <dc:description/>
  <cp:lastModifiedBy>Revan, Jade</cp:lastModifiedBy>
  <cp:revision>2</cp:revision>
  <cp:lastPrinted>2017-10-23T20:02:00Z</cp:lastPrinted>
  <dcterms:created xsi:type="dcterms:W3CDTF">2019-08-02T15:24:00Z</dcterms:created>
  <dcterms:modified xsi:type="dcterms:W3CDTF">2019-08-02T15:24:00Z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RWProductId">
    <vt:lpwstr>WnC</vt:lpwstr>
  </property>
  <property fmtid="{D5CDD505-2E9C-101B-9397-08002B2CF9AE}" pid="7" name="ScaleCrop">
    <vt:bool>false</vt:bool>
  </property>
  <property fmtid="{D5CDD505-2E9C-101B-9397-08002B2CF9AE}" pid="8" name="ShareDoc">
    <vt:bool>false</vt:bool>
  </property>
  <property fmtid="{D5CDD505-2E9C-101B-9397-08002B2CF9AE}" pid="9" name="WnC4Folder">
    <vt:lpwstr>Documents///Meta-analysis - PCC and VKA Final Draft 160219  presubmission - Square bracket references</vt:lpwstr>
  </property>
  <property fmtid="{D5CDD505-2E9C-101B-9397-08002B2CF9AE}" pid="10" name="WnCOutputStyleId">
    <vt:lpwstr>12895</vt:lpwstr>
  </property>
  <property fmtid="{D5CDD505-2E9C-101B-9397-08002B2CF9AE}" pid="11" name="WnCSubscriberId">
    <vt:lpwstr>3534</vt:lpwstr>
  </property>
  <property fmtid="{D5CDD505-2E9C-101B-9397-08002B2CF9AE}" pid="12" name="WnCUserId">
    <vt:lpwstr>30036</vt:lpwstr>
  </property>
</Properties>
</file>