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39C7" w14:textId="25589587" w:rsidR="00D942C4" w:rsidRDefault="00D6379F" w:rsidP="00200D29">
      <w:pPr>
        <w:rPr>
          <w:b/>
          <w:sz w:val="32"/>
          <w:szCs w:val="32"/>
          <w:vertAlign w:val="superscript"/>
        </w:rPr>
      </w:pPr>
      <w:r>
        <w:rPr>
          <w:b/>
          <w:sz w:val="32"/>
          <w:szCs w:val="32"/>
          <w:vertAlign w:val="superscript"/>
        </w:rPr>
        <w:t>Abstract</w:t>
      </w:r>
    </w:p>
    <w:p w14:paraId="5354F348" w14:textId="79BB64F1" w:rsidR="00D6379F" w:rsidRDefault="00D6379F" w:rsidP="00D6379F">
      <w:pPr>
        <w:jc w:val="both"/>
      </w:pPr>
      <w:r>
        <w:t xml:space="preserve">This paper traces the origins of the ‘brand’ of Corporate Social Responsibility (CSR) now commonplace at large-scale mines in sub-Saharan Africa.  Conceived within fortified </w:t>
      </w:r>
      <w:r w:rsidR="002550CF">
        <w:t xml:space="preserve">resource </w:t>
      </w:r>
      <w:r>
        <w:t xml:space="preserve">enclaves, the policies adopted and actions taken </w:t>
      </w:r>
      <w:r w:rsidR="000C26BB">
        <w:t>in the area of</w:t>
      </w:r>
      <w:r>
        <w:t xml:space="preserve"> the CSR front at many of the region’s large-scale mines </w:t>
      </w:r>
      <w:r w:rsidR="00FE249E">
        <w:t xml:space="preserve">today </w:t>
      </w:r>
      <w:r>
        <w:t xml:space="preserve">have had had minimal effect on community wellbeing. </w:t>
      </w:r>
      <w:r w:rsidR="00FE249E">
        <w:t xml:space="preserve"> Further examination reveals that contemporary CSR strategy in the region’s mining sector is often a ‘repackaging’ of foundational efforts made by major operators during the colonial period and formative years of country independence to pacify and engage local communities.  Today, this work is being championed as CSR but failing to deliver much change, its impact minimized by the economic and political forces in an era of globalization, during which extractive </w:t>
      </w:r>
      <w:r w:rsidR="002562A7">
        <w:t xml:space="preserve">industry </w:t>
      </w:r>
      <w:r w:rsidR="00FE249E">
        <w:t xml:space="preserve">enclaves that are disconnected from local economies are able to flourish, at times, relatively unimpeded.   </w:t>
      </w:r>
      <w:r w:rsidR="002550CF">
        <w:t xml:space="preserve">As case study of Ghana, long one of the largest </w:t>
      </w:r>
      <w:bookmarkStart w:id="0" w:name="_GoBack"/>
      <w:bookmarkEnd w:id="0"/>
      <w:r w:rsidR="002550CF">
        <w:t>gold mining economies in sub-Saharan Africa, is used to illustrate these points.</w:t>
      </w:r>
      <w:r>
        <w:t xml:space="preserve">  </w:t>
      </w:r>
    </w:p>
    <w:p w14:paraId="52B8179B" w14:textId="59470FC1" w:rsidR="00263042" w:rsidRDefault="00A86269" w:rsidP="00D6379F">
      <w:pPr>
        <w:rPr>
          <w:b/>
        </w:rPr>
      </w:pPr>
      <w:r>
        <w:rPr>
          <w:b/>
        </w:rPr>
        <w:t xml:space="preserve">Keywords: </w:t>
      </w:r>
      <w:r>
        <w:t>mining; sub-Saharan Africa; Corporate Social Responsibility (CSR); Ghana</w:t>
      </w:r>
      <w:r w:rsidR="00263042">
        <w:rPr>
          <w:b/>
        </w:rPr>
        <w:br w:type="page"/>
      </w:r>
    </w:p>
    <w:p w14:paraId="60C48A1C" w14:textId="77777777" w:rsidR="00F046F2" w:rsidRDefault="0039351E" w:rsidP="00F046F2">
      <w:pPr>
        <w:pStyle w:val="ListParagraph"/>
        <w:numPr>
          <w:ilvl w:val="0"/>
          <w:numId w:val="16"/>
        </w:numPr>
        <w:rPr>
          <w:b/>
        </w:rPr>
      </w:pPr>
      <w:r w:rsidRPr="00D942C4">
        <w:rPr>
          <w:b/>
        </w:rPr>
        <w:lastRenderedPageBreak/>
        <w:t>Introduction</w:t>
      </w:r>
    </w:p>
    <w:p w14:paraId="01D34FC2" w14:textId="3433490C" w:rsidR="00F046F2" w:rsidRDefault="00032BB8" w:rsidP="00F046F2">
      <w:pPr>
        <w:jc w:val="both"/>
        <w:rPr>
          <w:b/>
        </w:rPr>
      </w:pPr>
      <w:r>
        <w:t xml:space="preserve">The purpose of this paper is to </w:t>
      </w:r>
      <w:r w:rsidR="002550CF">
        <w:t xml:space="preserve">trace </w:t>
      </w:r>
      <w:r w:rsidR="003467FF">
        <w:t xml:space="preserve">the origins of the ‘brand’ of Corporate Social Responsibility (CSR) </w:t>
      </w:r>
      <w:r w:rsidR="00F50D31">
        <w:t xml:space="preserve">employed today </w:t>
      </w:r>
      <w:r w:rsidR="00E06FEF">
        <w:t>at most</w:t>
      </w:r>
      <w:r w:rsidR="003467FF">
        <w:t xml:space="preserve"> large-scale mines in sub-Saharan Africa.  It argues that</w:t>
      </w:r>
      <w:r w:rsidR="0028223A">
        <w:t xml:space="preserve"> </w:t>
      </w:r>
      <w:r w:rsidR="003467FF">
        <w:t xml:space="preserve">the ‘enclave’ nature of the region’s foreign-financed large-scale mines </w:t>
      </w:r>
      <w:r w:rsidR="00FC0C70">
        <w:t xml:space="preserve">(see Ferguson, 2006) </w:t>
      </w:r>
      <w:r w:rsidR="003467FF">
        <w:t xml:space="preserve">has cut management off </w:t>
      </w:r>
      <w:r w:rsidR="00F50D31">
        <w:t xml:space="preserve">from </w:t>
      </w:r>
      <w:r w:rsidR="003467FF">
        <w:t xml:space="preserve">the very communities that are typically the </w:t>
      </w:r>
      <w:r w:rsidR="003B3B1B">
        <w:t>target</w:t>
      </w:r>
      <w:r w:rsidR="003467FF">
        <w:t xml:space="preserve"> of CSR exercise</w:t>
      </w:r>
      <w:r w:rsidR="00F50D31">
        <w:t>s</w:t>
      </w:r>
      <w:r w:rsidR="002550CF">
        <w:t xml:space="preserve"> (</w:t>
      </w:r>
      <w:r w:rsidR="00F50D31">
        <w:t xml:space="preserve">after </w:t>
      </w:r>
      <w:r w:rsidR="002550CF">
        <w:t>Ackah-Baidoo, 2012)</w:t>
      </w:r>
      <w:r w:rsidR="003467FF">
        <w:t xml:space="preserve">.  This isolation, along with a general lack of pressure to </w:t>
      </w:r>
      <w:r w:rsidR="00FE249E">
        <w:t>reconnect with these communities</w:t>
      </w:r>
      <w:r w:rsidR="003467FF">
        <w:t xml:space="preserve">, in turn, has prevented innovative grassroots-oriented CSR programs from </w:t>
      </w:r>
      <w:r w:rsidR="002562A7">
        <w:t xml:space="preserve">emerging </w:t>
      </w:r>
      <w:r w:rsidR="003467FF">
        <w:t>in these settings.  Conceived within</w:t>
      </w:r>
      <w:r w:rsidR="00F50D31">
        <w:t xml:space="preserve"> </w:t>
      </w:r>
      <w:r w:rsidR="003467FF">
        <w:t xml:space="preserve">fortified enclaves, the policies </w:t>
      </w:r>
      <w:r w:rsidR="00FE249E">
        <w:t xml:space="preserve">recently </w:t>
      </w:r>
      <w:r w:rsidR="003467FF">
        <w:t xml:space="preserve">adopted and actions taken </w:t>
      </w:r>
      <w:r w:rsidR="006C00AF">
        <w:t xml:space="preserve">in the </w:t>
      </w:r>
      <w:r w:rsidR="003B3B1B">
        <w:t>name</w:t>
      </w:r>
      <w:r w:rsidR="006C00AF">
        <w:t xml:space="preserve"> of</w:t>
      </w:r>
      <w:r w:rsidR="003467FF">
        <w:t xml:space="preserve"> CSR at many of the region’s large-scale mines have </w:t>
      </w:r>
      <w:r w:rsidR="006C00AF">
        <w:t>had minimal impact</w:t>
      </w:r>
      <w:r w:rsidR="003467FF">
        <w:t xml:space="preserve">.  </w:t>
      </w:r>
    </w:p>
    <w:p w14:paraId="5038913D" w14:textId="21443B2F" w:rsidR="00192BD3" w:rsidRDefault="003467FF" w:rsidP="00192BD3">
      <w:pPr>
        <w:jc w:val="both"/>
      </w:pPr>
      <w:r>
        <w:t>Further examination</w:t>
      </w:r>
      <w:r w:rsidR="00E06FEF">
        <w:t xml:space="preserve"> </w:t>
      </w:r>
      <w:r w:rsidR="0028223A">
        <w:t>reveals</w:t>
      </w:r>
      <w:r>
        <w:t xml:space="preserve"> that contemporary CSR strategy in the region’s mining sector is often a ‘repackaging’ or ‘rebranding’ of foundational efforts made during the colonial period and formative years of country independence to pacify and engage local communities.</w:t>
      </w:r>
      <w:r w:rsidR="00F50D31">
        <w:t xml:space="preserve">  Being a part of – in many cases – initial forays </w:t>
      </w:r>
      <w:r w:rsidR="003520D0">
        <w:t xml:space="preserve">into </w:t>
      </w:r>
      <w:r w:rsidR="003F0BA6">
        <w:t xml:space="preserve">mineral-rich </w:t>
      </w:r>
      <w:r w:rsidR="003520D0">
        <w:t xml:space="preserve">sub-Saharan Africa, a large share of this work was undertaken out of necessity and therefore had a lasting impact.  </w:t>
      </w:r>
      <w:r w:rsidR="000572D6">
        <w:t>D</w:t>
      </w:r>
      <w:r w:rsidR="003520D0">
        <w:t>espite now being championed as CSR, similar work has failed to deliver</w:t>
      </w:r>
      <w:r w:rsidR="000572D6">
        <w:t xml:space="preserve"> </w:t>
      </w:r>
      <w:r w:rsidR="00F73D45">
        <w:t>comparative levels of</w:t>
      </w:r>
      <w:r w:rsidR="00FE249E">
        <w:t xml:space="preserve"> </w:t>
      </w:r>
      <w:r w:rsidR="000572D6">
        <w:t>change</w:t>
      </w:r>
      <w:r w:rsidR="00EB2FFF">
        <w:t xml:space="preserve"> at a time when</w:t>
      </w:r>
      <w:r w:rsidR="00F50D31">
        <w:t xml:space="preserve"> extractive </w:t>
      </w:r>
      <w:r w:rsidR="00D56340">
        <w:t xml:space="preserve">industry </w:t>
      </w:r>
      <w:r w:rsidR="00F50D31">
        <w:t xml:space="preserve">enclaves that are disconnected from local economies </w:t>
      </w:r>
      <w:r w:rsidR="00D56340">
        <w:t>have been</w:t>
      </w:r>
      <w:r w:rsidR="003520D0">
        <w:t xml:space="preserve"> able to </w:t>
      </w:r>
      <w:r w:rsidR="00F50D31">
        <w:t>flourish</w:t>
      </w:r>
      <w:r w:rsidR="003520D0">
        <w:t xml:space="preserve">, </w:t>
      </w:r>
      <w:r w:rsidR="00EB2FFF">
        <w:t>for the most part,</w:t>
      </w:r>
      <w:r w:rsidR="003520D0">
        <w:t xml:space="preserve"> unimpeded</w:t>
      </w:r>
      <w:r w:rsidR="00F50D31">
        <w:t xml:space="preserve">. </w:t>
      </w:r>
      <w:r w:rsidR="00A806BC">
        <w:t xml:space="preserve">  </w:t>
      </w:r>
      <w:r w:rsidR="00E06FEF">
        <w:t>After reviewing the literature</w:t>
      </w:r>
      <w:r w:rsidR="000572D6">
        <w:t xml:space="preserve"> </w:t>
      </w:r>
      <w:r w:rsidR="00F046F2">
        <w:t xml:space="preserve">in a bid </w:t>
      </w:r>
      <w:r w:rsidR="003520D0">
        <w:t xml:space="preserve">to explain how </w:t>
      </w:r>
      <w:r w:rsidR="000572D6">
        <w:t>CSR</w:t>
      </w:r>
      <w:r w:rsidR="003520D0">
        <w:t xml:space="preserve"> applies to, and has been </w:t>
      </w:r>
      <w:r w:rsidR="000572D6">
        <w:t xml:space="preserve">embraced </w:t>
      </w:r>
      <w:r w:rsidR="003520D0">
        <w:t xml:space="preserve">by, the mining sector </w:t>
      </w:r>
      <w:r w:rsidR="000572D6">
        <w:t xml:space="preserve">at its operations </w:t>
      </w:r>
      <w:r w:rsidR="003520D0">
        <w:t>in developing countries</w:t>
      </w:r>
      <w:r w:rsidR="00F046F2">
        <w:t>, the paper expands on these points</w:t>
      </w:r>
      <w:r w:rsidR="000572D6">
        <w:t xml:space="preserve">.  It concludes by sharing </w:t>
      </w:r>
      <w:r w:rsidR="00192BD3">
        <w:t xml:space="preserve">experiences from Ghana, which has long been </w:t>
      </w:r>
      <w:r w:rsidR="00EB2FFF">
        <w:t xml:space="preserve">the location </w:t>
      </w:r>
      <w:r w:rsidR="00192BD3">
        <w:t xml:space="preserve">of </w:t>
      </w:r>
      <w:r w:rsidR="00EB2FFF">
        <w:t xml:space="preserve">one of </w:t>
      </w:r>
      <w:r w:rsidR="00192BD3">
        <w:t xml:space="preserve">the largest gold mining </w:t>
      </w:r>
      <w:r w:rsidR="00EB2FFF">
        <w:t xml:space="preserve">industries </w:t>
      </w:r>
      <w:r w:rsidR="00192BD3">
        <w:t>in sub-Saharan Africa.</w:t>
      </w:r>
    </w:p>
    <w:p w14:paraId="4F8EE48C" w14:textId="6840C318" w:rsidR="003467FF" w:rsidRDefault="003467FF"/>
    <w:p w14:paraId="4E0745AD" w14:textId="6AE20774" w:rsidR="00656864" w:rsidRPr="00D942C4" w:rsidRDefault="001D52A7" w:rsidP="00D942C4">
      <w:pPr>
        <w:pStyle w:val="ListParagraph"/>
        <w:numPr>
          <w:ilvl w:val="0"/>
          <w:numId w:val="16"/>
        </w:numPr>
        <w:rPr>
          <w:b/>
        </w:rPr>
      </w:pPr>
      <w:r w:rsidRPr="00D942C4">
        <w:rPr>
          <w:b/>
        </w:rPr>
        <w:t>Corporate Social Responsibility</w:t>
      </w:r>
      <w:r w:rsidR="00D763AC" w:rsidRPr="00D942C4">
        <w:rPr>
          <w:b/>
        </w:rPr>
        <w:t>: Making Sense of Contemporary Debates in the Mining Sector</w:t>
      </w:r>
    </w:p>
    <w:p w14:paraId="292CDF3E" w14:textId="40451A4C" w:rsidR="00C1694B" w:rsidRDefault="00AD17B9" w:rsidP="009A3F34">
      <w:pPr>
        <w:jc w:val="both"/>
        <w:rPr>
          <w:rFonts w:cstheme="minorHAnsi"/>
        </w:rPr>
      </w:pPr>
      <w:r w:rsidRPr="00C66BC0">
        <w:rPr>
          <w:rFonts w:cstheme="minorHAnsi"/>
        </w:rPr>
        <w:t>The</w:t>
      </w:r>
      <w:r w:rsidR="005D2DCA" w:rsidRPr="00C66BC0">
        <w:rPr>
          <w:rFonts w:cstheme="minorHAnsi"/>
        </w:rPr>
        <w:t xml:space="preserve"> </w:t>
      </w:r>
      <w:r w:rsidR="005B6F48">
        <w:rPr>
          <w:rFonts w:cstheme="minorHAnsi"/>
        </w:rPr>
        <w:t>main</w:t>
      </w:r>
      <w:r w:rsidR="00DC6BB4">
        <w:rPr>
          <w:rFonts w:cstheme="minorHAnsi"/>
        </w:rPr>
        <w:t xml:space="preserve"> </w:t>
      </w:r>
      <w:r w:rsidR="00EB2FFF">
        <w:rPr>
          <w:rFonts w:cstheme="minorHAnsi"/>
        </w:rPr>
        <w:t>issue</w:t>
      </w:r>
      <w:r w:rsidR="005D2DCA" w:rsidRPr="00C66BC0">
        <w:rPr>
          <w:rFonts w:cstheme="minorHAnsi"/>
        </w:rPr>
        <w:t xml:space="preserve"> </w:t>
      </w:r>
      <w:r w:rsidR="005B6F48">
        <w:rPr>
          <w:rFonts w:cstheme="minorHAnsi"/>
        </w:rPr>
        <w:t>explor</w:t>
      </w:r>
      <w:r w:rsidR="002562A7">
        <w:rPr>
          <w:rFonts w:cstheme="minorHAnsi"/>
        </w:rPr>
        <w:t>ed</w:t>
      </w:r>
      <w:r w:rsidR="00AB768F" w:rsidRPr="00ED37D9">
        <w:rPr>
          <w:rFonts w:cstheme="minorHAnsi"/>
        </w:rPr>
        <w:t xml:space="preserve"> here is how</w:t>
      </w:r>
      <w:r w:rsidR="003E101F" w:rsidRPr="00ED37D9">
        <w:rPr>
          <w:rFonts w:cstheme="minorHAnsi"/>
        </w:rPr>
        <w:t xml:space="preserve"> </w:t>
      </w:r>
      <w:r w:rsidR="00650DD6" w:rsidRPr="00ED37D9">
        <w:rPr>
          <w:rFonts w:cstheme="minorHAnsi"/>
        </w:rPr>
        <w:t>the</w:t>
      </w:r>
      <w:r w:rsidR="003E101F" w:rsidRPr="00ED37D9">
        <w:rPr>
          <w:rFonts w:cstheme="minorHAnsi"/>
        </w:rPr>
        <w:t xml:space="preserve"> mining </w:t>
      </w:r>
      <w:r w:rsidR="00650DD6" w:rsidRPr="00ED37D9">
        <w:rPr>
          <w:rFonts w:cstheme="minorHAnsi"/>
        </w:rPr>
        <w:t>sector</w:t>
      </w:r>
      <w:r w:rsidR="003E101F" w:rsidRPr="00ED37D9">
        <w:rPr>
          <w:rFonts w:cstheme="minorHAnsi"/>
        </w:rPr>
        <w:t xml:space="preserve"> ha</w:t>
      </w:r>
      <w:r w:rsidR="00AB768F" w:rsidRPr="00ED37D9">
        <w:rPr>
          <w:rFonts w:cstheme="minorHAnsi"/>
        </w:rPr>
        <w:t>s</w:t>
      </w:r>
      <w:r w:rsidR="003E101F" w:rsidRPr="009E0576">
        <w:rPr>
          <w:rFonts w:cstheme="minorHAnsi"/>
        </w:rPr>
        <w:t xml:space="preserve"> interpreted</w:t>
      </w:r>
      <w:r w:rsidR="00DC6BB4">
        <w:rPr>
          <w:rFonts w:cstheme="minorHAnsi"/>
        </w:rPr>
        <w:t>,</w:t>
      </w:r>
      <w:r w:rsidR="003E101F" w:rsidRPr="00C66BC0">
        <w:rPr>
          <w:rFonts w:cstheme="minorHAnsi"/>
        </w:rPr>
        <w:t xml:space="preserve"> embraced </w:t>
      </w:r>
      <w:r w:rsidR="00DC6BB4">
        <w:rPr>
          <w:rFonts w:cstheme="minorHAnsi"/>
        </w:rPr>
        <w:t xml:space="preserve">and operationalized </w:t>
      </w:r>
      <w:r w:rsidR="003E101F" w:rsidRPr="00C66BC0">
        <w:rPr>
          <w:rFonts w:cstheme="minorHAnsi"/>
        </w:rPr>
        <w:t>CSR</w:t>
      </w:r>
      <w:r w:rsidR="00CC0277" w:rsidRPr="00C66BC0">
        <w:rPr>
          <w:rFonts w:cstheme="minorHAnsi"/>
        </w:rPr>
        <w:t>.</w:t>
      </w:r>
      <w:r w:rsidR="004D3151" w:rsidRPr="009A3F34">
        <w:rPr>
          <w:rFonts w:cstheme="minorHAnsi"/>
        </w:rPr>
        <w:t xml:space="preserve">  One</w:t>
      </w:r>
      <w:r w:rsidR="003F5B2E" w:rsidRPr="009A3F34">
        <w:rPr>
          <w:rFonts w:cstheme="minorHAnsi"/>
        </w:rPr>
        <w:t xml:space="preserve"> </w:t>
      </w:r>
      <w:r w:rsidR="00BD570F" w:rsidRPr="009A3F34">
        <w:rPr>
          <w:rFonts w:cstheme="minorHAnsi"/>
        </w:rPr>
        <w:t>reviewer</w:t>
      </w:r>
      <w:r w:rsidR="00B207B2" w:rsidRPr="009A3F34">
        <w:rPr>
          <w:rFonts w:cstheme="minorHAnsi"/>
        </w:rPr>
        <w:t xml:space="preserve"> of</w:t>
      </w:r>
      <w:r w:rsidR="003B3B1B">
        <w:rPr>
          <w:rFonts w:cstheme="minorHAnsi"/>
        </w:rPr>
        <w:t xml:space="preserve"> this</w:t>
      </w:r>
      <w:r w:rsidR="00C10CA0" w:rsidRPr="009A3F34">
        <w:rPr>
          <w:rFonts w:cstheme="minorHAnsi"/>
        </w:rPr>
        <w:t xml:space="preserve"> paper </w:t>
      </w:r>
      <w:r w:rsidR="00BB53AA">
        <w:rPr>
          <w:rFonts w:cstheme="minorHAnsi"/>
        </w:rPr>
        <w:t xml:space="preserve">seemed </w:t>
      </w:r>
      <w:r w:rsidR="00C10CA0" w:rsidRPr="009A3F34">
        <w:rPr>
          <w:rFonts w:cstheme="minorHAnsi"/>
        </w:rPr>
        <w:t xml:space="preserve">critical </w:t>
      </w:r>
      <w:r w:rsidR="00DC6BB4">
        <w:rPr>
          <w:rFonts w:cstheme="minorHAnsi"/>
        </w:rPr>
        <w:t xml:space="preserve">of </w:t>
      </w:r>
      <w:r w:rsidR="00C10CA0" w:rsidRPr="00C66BC0">
        <w:rPr>
          <w:rFonts w:cstheme="minorHAnsi"/>
        </w:rPr>
        <w:t xml:space="preserve">the effort made to </w:t>
      </w:r>
      <w:r w:rsidR="005B6F48">
        <w:rPr>
          <w:rFonts w:cstheme="minorHAnsi"/>
        </w:rPr>
        <w:t>achieve</w:t>
      </w:r>
      <w:r w:rsidR="00C10CA0" w:rsidRPr="00C66BC0">
        <w:rPr>
          <w:rFonts w:cstheme="minorHAnsi"/>
        </w:rPr>
        <w:t xml:space="preserve"> this</w:t>
      </w:r>
      <w:r w:rsidR="00B207B2" w:rsidRPr="009A3F34">
        <w:rPr>
          <w:rFonts w:cstheme="minorHAnsi"/>
        </w:rPr>
        <w:t>, arguing that it</w:t>
      </w:r>
      <w:r w:rsidR="00DC6BB4">
        <w:rPr>
          <w:rFonts w:cstheme="minorHAnsi"/>
        </w:rPr>
        <w:t xml:space="preserve"> (the paper)</w:t>
      </w:r>
      <w:r w:rsidR="00B207B2" w:rsidRPr="00C66BC0">
        <w:rPr>
          <w:rFonts w:cstheme="minorHAnsi"/>
        </w:rPr>
        <w:t xml:space="preserve"> fails to</w:t>
      </w:r>
      <w:r w:rsidR="00BD570F" w:rsidRPr="00C66BC0">
        <w:rPr>
          <w:rFonts w:cstheme="minorHAnsi"/>
        </w:rPr>
        <w:t xml:space="preserve"> </w:t>
      </w:r>
      <w:r w:rsidR="003F5B2E" w:rsidRPr="009A3F34">
        <w:rPr>
          <w:rFonts w:cstheme="minorHAnsi"/>
        </w:rPr>
        <w:t>‘tell us what benchmark it uses’</w:t>
      </w:r>
      <w:r w:rsidR="00C10CA0" w:rsidRPr="009A3F34">
        <w:rPr>
          <w:rFonts w:cstheme="minorHAnsi"/>
        </w:rPr>
        <w:t>;</w:t>
      </w:r>
      <w:r w:rsidR="00B207B2" w:rsidRPr="009A3F34">
        <w:rPr>
          <w:rFonts w:cstheme="minorHAnsi"/>
        </w:rPr>
        <w:t xml:space="preserve"> that </w:t>
      </w:r>
      <w:r w:rsidR="00BD570F" w:rsidRPr="009A3F34">
        <w:rPr>
          <w:rFonts w:cstheme="minorHAnsi"/>
        </w:rPr>
        <w:t>‘the authors fail to explain the concept of CSR’</w:t>
      </w:r>
      <w:r w:rsidR="00C10CA0" w:rsidRPr="009A3F34">
        <w:rPr>
          <w:rFonts w:cstheme="minorHAnsi"/>
        </w:rPr>
        <w:t>;</w:t>
      </w:r>
      <w:r w:rsidR="00BD570F" w:rsidRPr="009A3F34">
        <w:rPr>
          <w:rFonts w:cstheme="minorHAnsi"/>
        </w:rPr>
        <w:t xml:space="preserve"> that they ‘critique impacts of CSR but fail to tell us what benchmark it uses’, and that ‘Case studies can only be analysed if we do not understand what is different to the colonial past in terms of framework’.</w:t>
      </w:r>
      <w:r w:rsidR="00B207B2" w:rsidRPr="009A3F34">
        <w:rPr>
          <w:rFonts w:cstheme="minorHAnsi"/>
        </w:rPr>
        <w:t xml:space="preserve">  </w:t>
      </w:r>
      <w:r w:rsidR="005B6F48">
        <w:rPr>
          <w:rFonts w:cstheme="minorHAnsi"/>
        </w:rPr>
        <w:t xml:space="preserve">But </w:t>
      </w:r>
      <w:r w:rsidR="002562A7">
        <w:rPr>
          <w:rFonts w:cstheme="minorHAnsi"/>
        </w:rPr>
        <w:t xml:space="preserve">these tasks </w:t>
      </w:r>
      <w:r w:rsidR="005B6F48">
        <w:rPr>
          <w:rFonts w:cstheme="minorHAnsi"/>
        </w:rPr>
        <w:t xml:space="preserve">cannot </w:t>
      </w:r>
      <w:r w:rsidR="00AD0C11">
        <w:rPr>
          <w:rFonts w:cstheme="minorHAnsi"/>
        </w:rPr>
        <w:t xml:space="preserve">realistically </w:t>
      </w:r>
      <w:r w:rsidR="005B6F48">
        <w:rPr>
          <w:rFonts w:cstheme="minorHAnsi"/>
        </w:rPr>
        <w:t xml:space="preserve">be </w:t>
      </w:r>
      <w:r w:rsidR="00B138B0">
        <w:rPr>
          <w:rFonts w:cstheme="minorHAnsi"/>
        </w:rPr>
        <w:t>undertaken</w:t>
      </w:r>
      <w:r w:rsidR="00AD0C11">
        <w:rPr>
          <w:rFonts w:cstheme="minorHAnsi"/>
        </w:rPr>
        <w:t xml:space="preserve"> without a comprehensive analysis of the case – </w:t>
      </w:r>
      <w:r w:rsidR="00D94232">
        <w:rPr>
          <w:rFonts w:cstheme="minorHAnsi"/>
        </w:rPr>
        <w:t>namely,</w:t>
      </w:r>
      <w:r w:rsidR="00AD0C11">
        <w:rPr>
          <w:rFonts w:cstheme="minorHAnsi"/>
        </w:rPr>
        <w:t xml:space="preserve"> mining – in question because, </w:t>
      </w:r>
      <w:r w:rsidR="00C326FD" w:rsidRPr="009A3F34">
        <w:rPr>
          <w:rFonts w:cstheme="minorHAnsi"/>
        </w:rPr>
        <w:t>as McWilliams et al. (2006) explain, ‘Numerous definitions of CSR have been proposed and often no clear definition is given, making theoretical development and measurement difficult’ (p. 1</w:t>
      </w:r>
      <w:r w:rsidR="00C1694B">
        <w:rPr>
          <w:rFonts w:cstheme="minorHAnsi"/>
        </w:rPr>
        <w:t>)</w:t>
      </w:r>
      <w:r w:rsidR="00AD0C11">
        <w:rPr>
          <w:rFonts w:cstheme="minorHAnsi"/>
        </w:rPr>
        <w:t xml:space="preserve"> and, more broadly, due to </w:t>
      </w:r>
      <w:r w:rsidR="00014858" w:rsidRPr="009E0576">
        <w:rPr>
          <w:rFonts w:cstheme="minorHAnsi"/>
        </w:rPr>
        <w:t xml:space="preserve">there </w:t>
      </w:r>
      <w:r w:rsidR="00AD0C11">
        <w:rPr>
          <w:rFonts w:cstheme="minorHAnsi"/>
        </w:rPr>
        <w:t>being</w:t>
      </w:r>
      <w:r w:rsidR="00014858" w:rsidRPr="009E0576">
        <w:rPr>
          <w:rFonts w:cstheme="minorHAnsi"/>
        </w:rPr>
        <w:t xml:space="preserve"> </w:t>
      </w:r>
      <w:r w:rsidR="00AD0C11">
        <w:rPr>
          <w:rFonts w:cstheme="minorHAnsi"/>
        </w:rPr>
        <w:t>‘</w:t>
      </w:r>
      <w:r w:rsidR="00014858" w:rsidRPr="009E0576">
        <w:rPr>
          <w:rFonts w:cstheme="minorHAnsi"/>
        </w:rPr>
        <w:t>uncertainty as to how CSR should be defined</w:t>
      </w:r>
      <w:r w:rsidR="002562A7">
        <w:rPr>
          <w:rFonts w:cstheme="minorHAnsi"/>
        </w:rPr>
        <w:t>…</w:t>
      </w:r>
      <w:r w:rsidR="002562A7" w:rsidRPr="002562A7">
        <w:rPr>
          <w:rFonts w:cstheme="minorHAnsi"/>
        </w:rPr>
        <w:t xml:space="preserve"> </w:t>
      </w:r>
      <w:r w:rsidR="002562A7" w:rsidRPr="007E0417">
        <w:rPr>
          <w:rFonts w:cstheme="minorHAnsi"/>
        </w:rPr>
        <w:t>in both the corporate and the academic world</w:t>
      </w:r>
      <w:r w:rsidR="002562A7">
        <w:rPr>
          <w:rFonts w:cstheme="minorHAnsi"/>
        </w:rPr>
        <w:t>’</w:t>
      </w:r>
      <w:r w:rsidR="00AD0C11">
        <w:rPr>
          <w:rFonts w:cstheme="minorHAnsi"/>
        </w:rPr>
        <w:t xml:space="preserve"> (D</w:t>
      </w:r>
      <w:r w:rsidR="005B6F48" w:rsidRPr="009A3F34">
        <w:rPr>
          <w:rFonts w:cstheme="minorHAnsi"/>
        </w:rPr>
        <w:t>ahlsrud</w:t>
      </w:r>
      <w:r w:rsidR="00AD0C11">
        <w:rPr>
          <w:rFonts w:cstheme="minorHAnsi"/>
        </w:rPr>
        <w:t xml:space="preserve">, </w:t>
      </w:r>
      <w:r w:rsidR="005B6F48" w:rsidRPr="009A3F34">
        <w:rPr>
          <w:rFonts w:cstheme="minorHAnsi"/>
        </w:rPr>
        <w:t>2008)</w:t>
      </w:r>
      <w:r w:rsidR="00AD0C11">
        <w:rPr>
          <w:rFonts w:cstheme="minorHAnsi"/>
        </w:rPr>
        <w:t xml:space="preserve">. </w:t>
      </w:r>
      <w:r w:rsidR="00BB53AA">
        <w:rPr>
          <w:rFonts w:cstheme="minorHAnsi"/>
        </w:rPr>
        <w:t xml:space="preserve">  </w:t>
      </w:r>
      <w:r w:rsidR="00AD0C11">
        <w:rPr>
          <w:rFonts w:cstheme="minorHAnsi"/>
        </w:rPr>
        <w:t xml:space="preserve">If a ‘benchmark’ </w:t>
      </w:r>
      <w:r w:rsidR="00AD0C11" w:rsidRPr="009E0576">
        <w:rPr>
          <w:rFonts w:cstheme="minorHAnsi"/>
          <w:i/>
        </w:rPr>
        <w:t>had</w:t>
      </w:r>
      <w:r w:rsidR="00AD0C11">
        <w:rPr>
          <w:rFonts w:cstheme="minorHAnsi"/>
        </w:rPr>
        <w:t xml:space="preserve"> to be identified, </w:t>
      </w:r>
      <w:r w:rsidR="00920D2B">
        <w:rPr>
          <w:rFonts w:cstheme="minorHAnsi"/>
        </w:rPr>
        <w:t xml:space="preserve">as the reviewer </w:t>
      </w:r>
      <w:r w:rsidR="00BB53AA">
        <w:rPr>
          <w:rFonts w:cstheme="minorHAnsi"/>
        </w:rPr>
        <w:t>demands</w:t>
      </w:r>
      <w:r w:rsidR="00920D2B">
        <w:rPr>
          <w:rFonts w:cstheme="minorHAnsi"/>
        </w:rPr>
        <w:t xml:space="preserve">, </w:t>
      </w:r>
      <w:r w:rsidR="00D94232">
        <w:rPr>
          <w:rFonts w:cstheme="minorHAnsi"/>
        </w:rPr>
        <w:t xml:space="preserve">it would need to be constructed from the material contained in the formative literature CSR, the location of the </w:t>
      </w:r>
      <w:r w:rsidR="009F55BD">
        <w:rPr>
          <w:rFonts w:cstheme="minorHAnsi"/>
        </w:rPr>
        <w:t>relied-</w:t>
      </w:r>
      <w:r w:rsidR="00920D2B">
        <w:rPr>
          <w:rFonts w:cstheme="minorHAnsi"/>
        </w:rPr>
        <w:t>upon ideas</w:t>
      </w:r>
      <w:r w:rsidR="00D94232">
        <w:rPr>
          <w:rFonts w:cstheme="minorHAnsi"/>
        </w:rPr>
        <w:t xml:space="preserve"> on this contentious subject</w:t>
      </w:r>
      <w:r w:rsidR="00920D2B">
        <w:rPr>
          <w:rFonts w:cstheme="minorHAnsi"/>
        </w:rPr>
        <w:t>.  For example, m</w:t>
      </w:r>
      <w:r w:rsidR="004E3379" w:rsidRPr="009E0576">
        <w:rPr>
          <w:rFonts w:cstheme="minorHAnsi"/>
        </w:rPr>
        <w:t xml:space="preserve">ost </w:t>
      </w:r>
      <w:r w:rsidR="00920D2B">
        <w:rPr>
          <w:rFonts w:cstheme="minorHAnsi"/>
        </w:rPr>
        <w:t xml:space="preserve">scholars </w:t>
      </w:r>
      <w:r w:rsidR="004E3379" w:rsidRPr="009E0576">
        <w:rPr>
          <w:rFonts w:cstheme="minorHAnsi"/>
        </w:rPr>
        <w:t xml:space="preserve">would </w:t>
      </w:r>
      <w:r w:rsidR="00E03D7B">
        <w:rPr>
          <w:rFonts w:cstheme="minorHAnsi"/>
        </w:rPr>
        <w:t xml:space="preserve">likely </w:t>
      </w:r>
      <w:r w:rsidR="004E3379" w:rsidRPr="009E0576">
        <w:rPr>
          <w:rFonts w:cstheme="minorHAnsi"/>
        </w:rPr>
        <w:t xml:space="preserve">agree with </w:t>
      </w:r>
      <w:r w:rsidR="00FB7C6D">
        <w:rPr>
          <w:rFonts w:cstheme="minorHAnsi"/>
        </w:rPr>
        <w:t>claims made by</w:t>
      </w:r>
      <w:r w:rsidR="004E3379" w:rsidRPr="009E0576">
        <w:rPr>
          <w:rFonts w:cstheme="minorHAnsi"/>
        </w:rPr>
        <w:t xml:space="preserve"> Carroll (1979) four decades </w:t>
      </w:r>
      <w:r w:rsidR="00FB7C6D">
        <w:rPr>
          <w:rFonts w:cstheme="minorHAnsi"/>
        </w:rPr>
        <w:t>ago</w:t>
      </w:r>
      <w:r w:rsidR="004E3379" w:rsidRPr="009E0576">
        <w:rPr>
          <w:rFonts w:cstheme="minorHAnsi"/>
        </w:rPr>
        <w:t xml:space="preserve">: that </w:t>
      </w:r>
      <w:r w:rsidR="00BB53AA">
        <w:rPr>
          <w:rFonts w:cstheme="minorHAnsi"/>
        </w:rPr>
        <w:t xml:space="preserve">even today, </w:t>
      </w:r>
      <w:r w:rsidR="004E3379" w:rsidRPr="009E0576">
        <w:rPr>
          <w:rFonts w:cstheme="minorHAnsi"/>
        </w:rPr>
        <w:t>‘f</w:t>
      </w:r>
      <w:r w:rsidR="00342551" w:rsidRPr="009E0576">
        <w:rPr>
          <w:rFonts w:cstheme="minorHAnsi"/>
        </w:rPr>
        <w:t>or a definition of social responsibility to fully address the entire range of obligations business has to society, it must embody the economic, legal, ethical, and discretionary categories of business performance</w:t>
      </w:r>
      <w:r w:rsidR="004E3379" w:rsidRPr="009E0576">
        <w:rPr>
          <w:rFonts w:cstheme="minorHAnsi"/>
        </w:rPr>
        <w:t>’ (p. 499)</w:t>
      </w:r>
      <w:r w:rsidR="008F1B35" w:rsidRPr="00C66BC0">
        <w:rPr>
          <w:rFonts w:cstheme="minorHAnsi"/>
        </w:rPr>
        <w:t xml:space="preserve">.  </w:t>
      </w:r>
      <w:r w:rsidR="00BB53AA">
        <w:rPr>
          <w:rFonts w:cstheme="minorHAnsi"/>
        </w:rPr>
        <w:t>They would also likely agree with</w:t>
      </w:r>
      <w:r w:rsidR="008F1B35" w:rsidRPr="00C66BC0">
        <w:rPr>
          <w:rFonts w:cstheme="minorHAnsi"/>
        </w:rPr>
        <w:t xml:space="preserve"> </w:t>
      </w:r>
      <w:r w:rsidR="00FD59D5" w:rsidRPr="00C66BC0">
        <w:rPr>
          <w:rFonts w:cstheme="minorHAnsi"/>
        </w:rPr>
        <w:t>Matten and Moon (2008)</w:t>
      </w:r>
      <w:r w:rsidR="009A3F34" w:rsidRPr="00C66BC0">
        <w:rPr>
          <w:rFonts w:cstheme="minorHAnsi"/>
        </w:rPr>
        <w:t xml:space="preserve">, </w:t>
      </w:r>
      <w:r w:rsidR="00BB53AA">
        <w:rPr>
          <w:rFonts w:cstheme="minorHAnsi"/>
        </w:rPr>
        <w:t xml:space="preserve">who claim that </w:t>
      </w:r>
      <w:r w:rsidR="009A3F34" w:rsidRPr="00C66BC0">
        <w:rPr>
          <w:rFonts w:cstheme="minorHAnsi"/>
        </w:rPr>
        <w:t>‘</w:t>
      </w:r>
      <w:r w:rsidR="008F1B35" w:rsidRPr="009E0576">
        <w:rPr>
          <w:rFonts w:cstheme="minorHAnsi"/>
        </w:rPr>
        <w:t>CSR is the idea that it reflects</w:t>
      </w:r>
      <w:r w:rsidR="009A3F34" w:rsidRPr="009E0576">
        <w:rPr>
          <w:rFonts w:cstheme="minorHAnsi"/>
        </w:rPr>
        <w:t xml:space="preserve"> </w:t>
      </w:r>
      <w:r w:rsidR="008F1B35" w:rsidRPr="009E0576">
        <w:rPr>
          <w:rFonts w:cstheme="minorHAnsi"/>
        </w:rPr>
        <w:t>the social imperatives and the social consequences</w:t>
      </w:r>
      <w:r w:rsidR="009A3F34" w:rsidRPr="009E0576">
        <w:rPr>
          <w:rFonts w:cstheme="minorHAnsi"/>
        </w:rPr>
        <w:t xml:space="preserve"> </w:t>
      </w:r>
      <w:r w:rsidR="008F1B35" w:rsidRPr="009E0576">
        <w:rPr>
          <w:rFonts w:cstheme="minorHAnsi"/>
        </w:rPr>
        <w:t>of business success</w:t>
      </w:r>
      <w:r w:rsidR="009A3F34" w:rsidRPr="009E0576">
        <w:rPr>
          <w:rFonts w:cstheme="minorHAnsi"/>
        </w:rPr>
        <w:t>’, and therefore ‘</w:t>
      </w:r>
      <w:r w:rsidR="008F1B35" w:rsidRPr="009E0576">
        <w:rPr>
          <w:rFonts w:cstheme="minorHAnsi"/>
        </w:rPr>
        <w:t>empirically consists of clearly articulated</w:t>
      </w:r>
      <w:r w:rsidR="009A3F34" w:rsidRPr="009E0576">
        <w:rPr>
          <w:rFonts w:cstheme="minorHAnsi"/>
        </w:rPr>
        <w:t xml:space="preserve"> </w:t>
      </w:r>
      <w:r w:rsidR="008F1B35" w:rsidRPr="009E0576">
        <w:rPr>
          <w:rFonts w:cstheme="minorHAnsi"/>
        </w:rPr>
        <w:t>and communicated policies and practices</w:t>
      </w:r>
      <w:r w:rsidR="009A3F34" w:rsidRPr="009E0576">
        <w:rPr>
          <w:rFonts w:cstheme="minorHAnsi"/>
        </w:rPr>
        <w:t xml:space="preserve"> </w:t>
      </w:r>
      <w:r w:rsidR="008F1B35" w:rsidRPr="009E0576">
        <w:rPr>
          <w:rFonts w:cstheme="minorHAnsi"/>
        </w:rPr>
        <w:t>of corporations that reflect business responsibility</w:t>
      </w:r>
      <w:r w:rsidR="009A3F34" w:rsidRPr="009E0576">
        <w:rPr>
          <w:rFonts w:cstheme="minorHAnsi"/>
        </w:rPr>
        <w:t xml:space="preserve"> </w:t>
      </w:r>
      <w:r w:rsidR="008F1B35" w:rsidRPr="009E0576">
        <w:rPr>
          <w:rFonts w:cstheme="minorHAnsi"/>
        </w:rPr>
        <w:t>for some of the wider societal good</w:t>
      </w:r>
      <w:r w:rsidR="009A3F34" w:rsidRPr="009E0576">
        <w:rPr>
          <w:rFonts w:cstheme="minorHAnsi"/>
        </w:rPr>
        <w:t>’ (p. 4</w:t>
      </w:r>
      <w:r w:rsidR="004828C2">
        <w:rPr>
          <w:rFonts w:cstheme="minorHAnsi"/>
        </w:rPr>
        <w:t>0</w:t>
      </w:r>
      <w:r w:rsidR="00376DE6">
        <w:rPr>
          <w:rFonts w:cstheme="minorHAnsi"/>
        </w:rPr>
        <w:t>5</w:t>
      </w:r>
      <w:r w:rsidR="009A3F34" w:rsidRPr="009E0576">
        <w:rPr>
          <w:rFonts w:cstheme="minorHAnsi"/>
        </w:rPr>
        <w:t>)</w:t>
      </w:r>
      <w:r w:rsidR="008F1B35" w:rsidRPr="009E0576">
        <w:rPr>
          <w:rFonts w:cstheme="minorHAnsi"/>
        </w:rPr>
        <w:t>.</w:t>
      </w:r>
      <w:r w:rsidR="00C1694B">
        <w:rPr>
          <w:rFonts w:cstheme="minorHAnsi"/>
        </w:rPr>
        <w:t xml:space="preserve">  </w:t>
      </w:r>
    </w:p>
    <w:p w14:paraId="0FFBC834" w14:textId="658052B2" w:rsidR="009F28B9" w:rsidRDefault="009A3F34" w:rsidP="00583C48">
      <w:pPr>
        <w:jc w:val="both"/>
        <w:rPr>
          <w:rFonts w:cstheme="minorHAnsi"/>
        </w:rPr>
      </w:pPr>
      <w:r w:rsidRPr="009F28B9">
        <w:rPr>
          <w:rFonts w:cstheme="minorHAnsi"/>
        </w:rPr>
        <w:lastRenderedPageBreak/>
        <w:t>The contentious issue</w:t>
      </w:r>
      <w:r w:rsidR="00E03D7B">
        <w:rPr>
          <w:rFonts w:cstheme="minorHAnsi"/>
        </w:rPr>
        <w:t xml:space="preserve"> that remains</w:t>
      </w:r>
      <w:r w:rsidRPr="009F28B9">
        <w:rPr>
          <w:rFonts w:cstheme="minorHAnsi"/>
        </w:rPr>
        <w:t>, however, is</w:t>
      </w:r>
      <w:r w:rsidR="00C1694B">
        <w:rPr>
          <w:rFonts w:cstheme="minorHAnsi"/>
        </w:rPr>
        <w:t xml:space="preserve">, as van Marrewijk (2003) points out, </w:t>
      </w:r>
      <w:r w:rsidRPr="009F28B9">
        <w:rPr>
          <w:rFonts w:cstheme="minorHAnsi"/>
        </w:rPr>
        <w:t>that without a</w:t>
      </w:r>
      <w:r w:rsidR="00E03D7B">
        <w:rPr>
          <w:rFonts w:cstheme="minorHAnsi"/>
        </w:rPr>
        <w:t>n</w:t>
      </w:r>
      <w:r w:rsidRPr="009F28B9">
        <w:rPr>
          <w:rFonts w:cstheme="minorHAnsi"/>
        </w:rPr>
        <w:t xml:space="preserve"> agreed-upon ‘benchmark’ for CSR</w:t>
      </w:r>
      <w:r w:rsidR="004A78DD" w:rsidRPr="009F28B9">
        <w:rPr>
          <w:rFonts w:cstheme="minorHAnsi"/>
        </w:rPr>
        <w:t xml:space="preserve">, </w:t>
      </w:r>
      <w:r w:rsidR="00376DE6" w:rsidRPr="009E0576">
        <w:rPr>
          <w:rFonts w:cstheme="minorHAnsi"/>
        </w:rPr>
        <w:t>‘</w:t>
      </w:r>
      <w:r w:rsidR="00376DE6" w:rsidRPr="009E0576">
        <w:rPr>
          <w:rFonts w:cstheme="minorHAnsi"/>
          <w:color w:val="231F20"/>
        </w:rPr>
        <w:t>The current concepts and definitions are therefore often</w:t>
      </w:r>
      <w:r w:rsidR="00310155" w:rsidRPr="009E0576">
        <w:rPr>
          <w:rFonts w:cstheme="minorHAnsi"/>
          <w:color w:val="231F20"/>
        </w:rPr>
        <w:t xml:space="preserve"> </w:t>
      </w:r>
      <w:r w:rsidR="00376DE6" w:rsidRPr="009E0576">
        <w:rPr>
          <w:rFonts w:cstheme="minorHAnsi"/>
          <w:color w:val="231F20"/>
        </w:rPr>
        <w:t>biased towards specific interests</w:t>
      </w:r>
      <w:r w:rsidR="00310155" w:rsidRPr="009E0576">
        <w:rPr>
          <w:rFonts w:cstheme="minorHAnsi"/>
          <w:color w:val="231F20"/>
        </w:rPr>
        <w:t>’ (p. 96)</w:t>
      </w:r>
      <w:r w:rsidR="004A78DD" w:rsidRPr="009F28B9">
        <w:rPr>
          <w:rFonts w:cstheme="minorHAnsi"/>
          <w:color w:val="231F20"/>
        </w:rPr>
        <w:t xml:space="preserve"> whereby</w:t>
      </w:r>
      <w:r w:rsidR="00455757" w:rsidRPr="009F28B9">
        <w:rPr>
          <w:rFonts w:cstheme="minorHAnsi"/>
        </w:rPr>
        <w:t xml:space="preserve"> </w:t>
      </w:r>
      <w:r w:rsidRPr="009F28B9">
        <w:rPr>
          <w:rFonts w:cstheme="minorHAnsi"/>
        </w:rPr>
        <w:t>‘</w:t>
      </w:r>
      <w:r w:rsidRPr="009E0576">
        <w:rPr>
          <w:rFonts w:cstheme="minorHAnsi"/>
        </w:rPr>
        <w:t>the precise manifestation and direction of the responsibility lie at the discretion of the corporation</w:t>
      </w:r>
      <w:r w:rsidR="00455757" w:rsidRPr="009E0576">
        <w:rPr>
          <w:rFonts w:cstheme="minorHAnsi"/>
        </w:rPr>
        <w:t>’ (</w:t>
      </w:r>
      <w:r w:rsidR="004A78DD" w:rsidRPr="009E0576">
        <w:rPr>
          <w:rFonts w:cstheme="minorHAnsi"/>
        </w:rPr>
        <w:t xml:space="preserve">Matten and Moon, 2008, </w:t>
      </w:r>
      <w:r w:rsidR="00455757" w:rsidRPr="009E0576">
        <w:rPr>
          <w:rFonts w:cstheme="minorHAnsi"/>
        </w:rPr>
        <w:t>p. 4</w:t>
      </w:r>
      <w:r w:rsidR="004828C2" w:rsidRPr="009E0576">
        <w:rPr>
          <w:rFonts w:cstheme="minorHAnsi"/>
        </w:rPr>
        <w:t>0</w:t>
      </w:r>
      <w:r w:rsidR="00376DE6" w:rsidRPr="009E0576">
        <w:rPr>
          <w:rFonts w:cstheme="minorHAnsi"/>
        </w:rPr>
        <w:t>5</w:t>
      </w:r>
      <w:r w:rsidR="00455757" w:rsidRPr="009E0576">
        <w:rPr>
          <w:rFonts w:cstheme="minorHAnsi"/>
        </w:rPr>
        <w:t>)</w:t>
      </w:r>
      <w:r w:rsidRPr="009E0576">
        <w:rPr>
          <w:rFonts w:cstheme="minorHAnsi"/>
        </w:rPr>
        <w:t>.</w:t>
      </w:r>
      <w:r w:rsidR="009645BD" w:rsidRPr="009E0576">
        <w:rPr>
          <w:rFonts w:cstheme="minorHAnsi"/>
        </w:rPr>
        <w:t xml:space="preserve">  The mining sector</w:t>
      </w:r>
      <w:r w:rsidR="005416A7" w:rsidRPr="009E0576">
        <w:rPr>
          <w:rFonts w:cstheme="minorHAnsi"/>
        </w:rPr>
        <w:t xml:space="preserve">, which has </w:t>
      </w:r>
      <w:r w:rsidR="005D43F6" w:rsidRPr="009E0576">
        <w:rPr>
          <w:rFonts w:cstheme="minorHAnsi"/>
        </w:rPr>
        <w:t xml:space="preserve">long </w:t>
      </w:r>
      <w:r w:rsidR="005416A7" w:rsidRPr="009E0576">
        <w:rPr>
          <w:rFonts w:cstheme="minorHAnsi"/>
        </w:rPr>
        <w:t>been at the forefront of CSR debates,</w:t>
      </w:r>
      <w:r w:rsidR="009645BD" w:rsidRPr="009E0576">
        <w:rPr>
          <w:rFonts w:cstheme="minorHAnsi"/>
        </w:rPr>
        <w:t xml:space="preserve"> is no exception</w:t>
      </w:r>
      <w:r w:rsidR="001D417F" w:rsidRPr="009E0576">
        <w:rPr>
          <w:rFonts w:cstheme="minorHAnsi"/>
        </w:rPr>
        <w:t>.</w:t>
      </w:r>
      <w:r w:rsidR="005D43F6" w:rsidRPr="009E0576">
        <w:rPr>
          <w:rFonts w:cstheme="minorHAnsi"/>
        </w:rPr>
        <w:t xml:space="preserve">  </w:t>
      </w:r>
      <w:r w:rsidR="00ED7485" w:rsidRPr="009E0576">
        <w:rPr>
          <w:rFonts w:cstheme="minorHAnsi"/>
        </w:rPr>
        <w:t>T</w:t>
      </w:r>
      <w:r w:rsidR="005D43F6" w:rsidRPr="009E0576">
        <w:rPr>
          <w:rFonts w:cstheme="minorHAnsi"/>
        </w:rPr>
        <w:t xml:space="preserve">he ambiguities surrounding </w:t>
      </w:r>
      <w:r w:rsidR="00B76675" w:rsidRPr="009E0576">
        <w:rPr>
          <w:rFonts w:cstheme="minorHAnsi"/>
        </w:rPr>
        <w:t xml:space="preserve">how </w:t>
      </w:r>
      <w:r w:rsidR="00626997" w:rsidRPr="009E0576">
        <w:rPr>
          <w:rFonts w:cstheme="minorHAnsi"/>
        </w:rPr>
        <w:t>the industry</w:t>
      </w:r>
      <w:r w:rsidR="00B76675" w:rsidRPr="009E0576">
        <w:rPr>
          <w:rFonts w:cstheme="minorHAnsi"/>
        </w:rPr>
        <w:t xml:space="preserve"> define</w:t>
      </w:r>
      <w:r w:rsidR="00626997" w:rsidRPr="009E0576">
        <w:rPr>
          <w:rFonts w:cstheme="minorHAnsi"/>
        </w:rPr>
        <w:t>s the concept</w:t>
      </w:r>
      <w:r w:rsidR="00B76675" w:rsidRPr="009E0576">
        <w:rPr>
          <w:rFonts w:cstheme="minorHAnsi"/>
        </w:rPr>
        <w:t xml:space="preserve"> and applie</w:t>
      </w:r>
      <w:r w:rsidR="00626997" w:rsidRPr="009E0576">
        <w:rPr>
          <w:rFonts w:cstheme="minorHAnsi"/>
        </w:rPr>
        <w:t xml:space="preserve">s </w:t>
      </w:r>
      <w:r w:rsidR="00127C6F">
        <w:rPr>
          <w:rFonts w:cstheme="minorHAnsi"/>
        </w:rPr>
        <w:t>it</w:t>
      </w:r>
      <w:r w:rsidR="00626997" w:rsidRPr="009E0576">
        <w:rPr>
          <w:rFonts w:cstheme="minorHAnsi"/>
        </w:rPr>
        <w:t xml:space="preserve"> </w:t>
      </w:r>
      <w:r w:rsidR="00B76675" w:rsidRPr="009E0576">
        <w:rPr>
          <w:rFonts w:cstheme="minorHAnsi"/>
        </w:rPr>
        <w:t xml:space="preserve">in different </w:t>
      </w:r>
      <w:r w:rsidR="00127C6F">
        <w:rPr>
          <w:rFonts w:cstheme="minorHAnsi"/>
        </w:rPr>
        <w:t>settings</w:t>
      </w:r>
      <w:r w:rsidR="00B76675" w:rsidRPr="009E0576">
        <w:rPr>
          <w:rFonts w:cstheme="minorHAnsi"/>
        </w:rPr>
        <w:t xml:space="preserve"> provided the impetus for th</w:t>
      </w:r>
      <w:r w:rsidR="00C1694B">
        <w:rPr>
          <w:rFonts w:cstheme="minorHAnsi"/>
        </w:rPr>
        <w:t>is paper</w:t>
      </w:r>
      <w:r w:rsidR="00902F15" w:rsidRPr="009E0576">
        <w:rPr>
          <w:rFonts w:cstheme="minorHAnsi"/>
        </w:rPr>
        <w:t>.  I</w:t>
      </w:r>
      <w:r w:rsidR="00ED7485" w:rsidRPr="009E0576">
        <w:rPr>
          <w:rFonts w:cstheme="minorHAnsi"/>
        </w:rPr>
        <w:t>n response to the reviewer’s comments</w:t>
      </w:r>
      <w:r w:rsidR="00547A3D" w:rsidRPr="009E0576">
        <w:rPr>
          <w:rFonts w:cstheme="minorHAnsi"/>
        </w:rPr>
        <w:t>,</w:t>
      </w:r>
      <w:r w:rsidR="00ED7485" w:rsidRPr="009E0576">
        <w:rPr>
          <w:rFonts w:cstheme="minorHAnsi"/>
        </w:rPr>
        <w:t xml:space="preserve"> </w:t>
      </w:r>
      <w:r w:rsidR="00E03D7B">
        <w:rPr>
          <w:rFonts w:cstheme="minorHAnsi"/>
        </w:rPr>
        <w:t xml:space="preserve">therefore, </w:t>
      </w:r>
      <w:r w:rsidR="00902F15" w:rsidRPr="009E0576">
        <w:rPr>
          <w:rFonts w:cstheme="minorHAnsi"/>
        </w:rPr>
        <w:t xml:space="preserve">few </w:t>
      </w:r>
      <w:r w:rsidR="0051634A" w:rsidRPr="009E0576">
        <w:rPr>
          <w:rFonts w:cstheme="minorHAnsi"/>
        </w:rPr>
        <w:t>are in a position to</w:t>
      </w:r>
      <w:r w:rsidR="00EE680E" w:rsidRPr="009E0576">
        <w:rPr>
          <w:rFonts w:cstheme="minorHAnsi"/>
        </w:rPr>
        <w:t xml:space="preserve"> </w:t>
      </w:r>
      <w:r w:rsidR="009F116E" w:rsidRPr="009E0576">
        <w:rPr>
          <w:rFonts w:cstheme="minorHAnsi"/>
        </w:rPr>
        <w:t>‘explain the concept of CSR’</w:t>
      </w:r>
      <w:r w:rsidR="00C1694B">
        <w:rPr>
          <w:rFonts w:cstheme="minorHAnsi"/>
        </w:rPr>
        <w:t xml:space="preserve"> and</w:t>
      </w:r>
      <w:r w:rsidR="009F116E" w:rsidRPr="009E0576">
        <w:rPr>
          <w:rFonts w:cstheme="minorHAnsi"/>
        </w:rPr>
        <w:t xml:space="preserve"> ‘critique the impacts of CSR’, </w:t>
      </w:r>
      <w:r w:rsidR="00902F15" w:rsidRPr="009E0576">
        <w:rPr>
          <w:rFonts w:cstheme="minorHAnsi"/>
        </w:rPr>
        <w:t>much</w:t>
      </w:r>
      <w:r w:rsidR="009F116E" w:rsidRPr="009E0576">
        <w:rPr>
          <w:rFonts w:cstheme="minorHAnsi"/>
        </w:rPr>
        <w:t xml:space="preserve"> </w:t>
      </w:r>
      <w:r w:rsidR="00902F15" w:rsidRPr="009E0576">
        <w:rPr>
          <w:rFonts w:cstheme="minorHAnsi"/>
        </w:rPr>
        <w:t xml:space="preserve">less </w:t>
      </w:r>
      <w:r w:rsidR="009F116E" w:rsidRPr="009E0576">
        <w:rPr>
          <w:rFonts w:cstheme="minorHAnsi"/>
        </w:rPr>
        <w:t>provide a ‘framework’ through which the ‘Case studies can only be analysed’</w:t>
      </w:r>
      <w:r w:rsidR="00902F15" w:rsidRPr="009E0576">
        <w:rPr>
          <w:rFonts w:cstheme="minorHAnsi"/>
        </w:rPr>
        <w:t xml:space="preserve"> without a detailed understanding </w:t>
      </w:r>
      <w:r w:rsidR="00DC6BB4" w:rsidRPr="009E0576">
        <w:rPr>
          <w:rFonts w:cstheme="minorHAnsi"/>
        </w:rPr>
        <w:t xml:space="preserve">of </w:t>
      </w:r>
      <w:r w:rsidR="00902F15" w:rsidRPr="009E0576">
        <w:rPr>
          <w:rFonts w:cstheme="minorHAnsi"/>
        </w:rPr>
        <w:t xml:space="preserve">the </w:t>
      </w:r>
      <w:r w:rsidR="00DC6BB4" w:rsidRPr="009E0576">
        <w:rPr>
          <w:rFonts w:cstheme="minorHAnsi"/>
        </w:rPr>
        <w:t xml:space="preserve">way in which </w:t>
      </w:r>
      <w:r w:rsidR="009F28B9">
        <w:rPr>
          <w:rFonts w:cstheme="minorHAnsi"/>
        </w:rPr>
        <w:t>the sector in question</w:t>
      </w:r>
      <w:r w:rsidR="00902F15" w:rsidRPr="009E0576">
        <w:rPr>
          <w:rFonts w:cstheme="minorHAnsi"/>
        </w:rPr>
        <w:t xml:space="preserve"> – in this case, </w:t>
      </w:r>
      <w:r w:rsidR="00DC6BB4" w:rsidRPr="009E0576">
        <w:rPr>
          <w:rFonts w:cstheme="minorHAnsi"/>
        </w:rPr>
        <w:t xml:space="preserve">large-scale </w:t>
      </w:r>
      <w:r w:rsidR="00902F15" w:rsidRPr="009E0576">
        <w:rPr>
          <w:rFonts w:cstheme="minorHAnsi"/>
        </w:rPr>
        <w:t>mining</w:t>
      </w:r>
      <w:r w:rsidR="009F116E" w:rsidRPr="009E0576">
        <w:rPr>
          <w:rFonts w:cstheme="minorHAnsi"/>
        </w:rPr>
        <w:t xml:space="preserve"> </w:t>
      </w:r>
      <w:r w:rsidR="00902F15" w:rsidRPr="009E0576">
        <w:rPr>
          <w:rFonts w:cstheme="minorHAnsi"/>
        </w:rPr>
        <w:t xml:space="preserve">– </w:t>
      </w:r>
      <w:r w:rsidR="00E03D7B">
        <w:rPr>
          <w:rFonts w:cstheme="minorHAnsi"/>
        </w:rPr>
        <w:t>embraces</w:t>
      </w:r>
      <w:r w:rsidR="002A40B0" w:rsidRPr="009E0576">
        <w:rPr>
          <w:rFonts w:cstheme="minorHAnsi"/>
        </w:rPr>
        <w:t xml:space="preserve"> CSR and</w:t>
      </w:r>
      <w:r w:rsidR="0051634A" w:rsidRPr="009E0576">
        <w:rPr>
          <w:rFonts w:cstheme="minorHAnsi"/>
        </w:rPr>
        <w:t xml:space="preserve"> the rationale behind </w:t>
      </w:r>
      <w:r w:rsidR="009F28B9">
        <w:rPr>
          <w:rFonts w:cstheme="minorHAnsi"/>
        </w:rPr>
        <w:t>the</w:t>
      </w:r>
      <w:r w:rsidR="0051634A" w:rsidRPr="009E0576">
        <w:rPr>
          <w:rFonts w:cstheme="minorHAnsi"/>
        </w:rPr>
        <w:t xml:space="preserve"> decisions</w:t>
      </w:r>
      <w:r w:rsidR="009F28B9">
        <w:rPr>
          <w:rFonts w:cstheme="minorHAnsi"/>
        </w:rPr>
        <w:t xml:space="preserve"> it makes</w:t>
      </w:r>
      <w:r w:rsidR="00E03D7B">
        <w:rPr>
          <w:rFonts w:cstheme="minorHAnsi"/>
        </w:rPr>
        <w:t xml:space="preserve"> in this area</w:t>
      </w:r>
      <w:r w:rsidR="002A40B0" w:rsidRPr="009E0576">
        <w:rPr>
          <w:rFonts w:cstheme="minorHAnsi"/>
        </w:rPr>
        <w:t>.</w:t>
      </w:r>
      <w:r w:rsidR="009F28B9" w:rsidRPr="009E0576">
        <w:rPr>
          <w:rFonts w:cstheme="minorHAnsi"/>
        </w:rPr>
        <w:t xml:space="preserve">  </w:t>
      </w:r>
    </w:p>
    <w:p w14:paraId="67E8CF47" w14:textId="287B415E" w:rsidR="002F6E43" w:rsidRDefault="009F28B9" w:rsidP="00E44EC1">
      <w:pPr>
        <w:jc w:val="both"/>
      </w:pPr>
      <w:r w:rsidRPr="00DE415B">
        <w:rPr>
          <w:rFonts w:cstheme="minorHAnsi"/>
        </w:rPr>
        <w:t>What complicates matters even further is that the context in which these issues are explored – that is, sub-Saharan Africa – is contentious in itself.  As Visser (2005) explains, ‘The track record of big business in Africa is mixed at best’ because on the one hand, ‘</w:t>
      </w:r>
      <w:r w:rsidRPr="00ED37D9">
        <w:rPr>
          <w:rFonts w:cstheme="minorHAnsi"/>
        </w:rPr>
        <w:t>There is certainly no shortage of examples of corporate complicity in political corruption, environmental destruction, labour exploitation and social disruption, stretching back more than 100 years’, and on the other hand, ‘</w:t>
      </w:r>
      <w:r w:rsidRPr="009E0576">
        <w:rPr>
          <w:rFonts w:cstheme="minorHAnsi"/>
        </w:rPr>
        <w:t xml:space="preserve">there is voluminous evidence of the benefits of business bringing capital investment, job creation, skills’ (p. 1).  </w:t>
      </w:r>
      <w:r w:rsidR="00890FFC" w:rsidRPr="009E0576">
        <w:rPr>
          <w:rFonts w:cstheme="minorHAnsi"/>
        </w:rPr>
        <w:t>Detailed coverage of the former explains why, a</w:t>
      </w:r>
      <w:r w:rsidRPr="009E0576">
        <w:rPr>
          <w:rFonts w:cstheme="minorHAnsi"/>
        </w:rPr>
        <w:t>s Idemudia (2014) correctly points out, ‘A</w:t>
      </w:r>
      <w:r w:rsidR="00583C48" w:rsidRPr="009E0576">
        <w:rPr>
          <w:rFonts w:cstheme="minorHAnsi"/>
        </w:rPr>
        <w:t>t any rate, given the role of Transnational Corporations (TNCs) in the process of colonial</w:t>
      </w:r>
      <w:r w:rsidRPr="009E0576">
        <w:rPr>
          <w:rFonts w:cstheme="minorHAnsi"/>
        </w:rPr>
        <w:t xml:space="preserve"> </w:t>
      </w:r>
      <w:r w:rsidR="00583C48" w:rsidRPr="009E0576">
        <w:rPr>
          <w:rFonts w:cstheme="minorHAnsi"/>
        </w:rPr>
        <w:t>domination and exploitation in Africa, the notion of CSR for some scholars is just a euphemism</w:t>
      </w:r>
      <w:r w:rsidRPr="009E0576">
        <w:rPr>
          <w:rFonts w:cstheme="minorHAnsi"/>
        </w:rPr>
        <w:t xml:space="preserve"> </w:t>
      </w:r>
      <w:r w:rsidR="00583C48" w:rsidRPr="009E0576">
        <w:rPr>
          <w:rFonts w:cstheme="minorHAnsi"/>
        </w:rPr>
        <w:t xml:space="preserve">that has recently re-emerged to </w:t>
      </w:r>
      <w:r w:rsidRPr="009E0576">
        <w:rPr>
          <w:rFonts w:cstheme="minorHAnsi"/>
        </w:rPr>
        <w:t>“</w:t>
      </w:r>
      <w:r w:rsidR="00583C48" w:rsidRPr="009E0576">
        <w:rPr>
          <w:rFonts w:cstheme="minorHAnsi"/>
        </w:rPr>
        <w:t>sugar coat</w:t>
      </w:r>
      <w:r w:rsidRPr="009E0576">
        <w:rPr>
          <w:rFonts w:cstheme="minorHAnsi"/>
        </w:rPr>
        <w:t>”</w:t>
      </w:r>
      <w:r w:rsidR="00583C48" w:rsidRPr="009E0576">
        <w:rPr>
          <w:rFonts w:cstheme="minorHAnsi"/>
        </w:rPr>
        <w:t xml:space="preserve"> the pillage of Africa by TNCs that has lasted for</w:t>
      </w:r>
      <w:r w:rsidRPr="009E0576">
        <w:rPr>
          <w:rFonts w:cstheme="minorHAnsi"/>
        </w:rPr>
        <w:t xml:space="preserve"> </w:t>
      </w:r>
      <w:r w:rsidR="00583C48" w:rsidRPr="009E0576">
        <w:rPr>
          <w:rFonts w:cstheme="minorHAnsi"/>
        </w:rPr>
        <w:t>hundreds of years</w:t>
      </w:r>
      <w:r w:rsidRPr="009E0576">
        <w:rPr>
          <w:rFonts w:cstheme="minorHAnsi"/>
        </w:rPr>
        <w:t>’ (p. 422)</w:t>
      </w:r>
      <w:r w:rsidRPr="00DE415B">
        <w:rPr>
          <w:rFonts w:cstheme="minorHAnsi"/>
        </w:rPr>
        <w:t>.</w:t>
      </w:r>
      <w:r w:rsidR="00DE415B" w:rsidRPr="00DE415B">
        <w:rPr>
          <w:rFonts w:cstheme="minorHAnsi"/>
        </w:rPr>
        <w:t xml:space="preserve">  </w:t>
      </w:r>
      <w:r w:rsidR="009D6950">
        <w:rPr>
          <w:rFonts w:cstheme="minorHAnsi"/>
        </w:rPr>
        <w:t xml:space="preserve">For mining and the extractive industries more generally, however, </w:t>
      </w:r>
      <w:r w:rsidR="00346CA8" w:rsidRPr="009E0576">
        <w:rPr>
          <w:rFonts w:cstheme="minorHAnsi"/>
        </w:rPr>
        <w:t>there are dynamics and processes that give rise to these outcomes, made possible by the</w:t>
      </w:r>
      <w:r w:rsidR="00DE415B" w:rsidRPr="009E0576">
        <w:rPr>
          <w:rFonts w:cstheme="minorHAnsi"/>
        </w:rPr>
        <w:t xml:space="preserve"> manoeuvrability afforded to </w:t>
      </w:r>
      <w:r w:rsidR="009D6950">
        <w:rPr>
          <w:rFonts w:cstheme="minorHAnsi"/>
        </w:rPr>
        <w:t xml:space="preserve">the </w:t>
      </w:r>
      <w:r w:rsidR="00DE415B" w:rsidRPr="009E0576">
        <w:rPr>
          <w:rFonts w:cstheme="minorHAnsi"/>
        </w:rPr>
        <w:t>multinational</w:t>
      </w:r>
      <w:r w:rsidR="009D6950">
        <w:rPr>
          <w:rFonts w:cstheme="minorHAnsi"/>
        </w:rPr>
        <w:t xml:space="preserve"> corporations which dominate the sector in the region</w:t>
      </w:r>
      <w:r w:rsidR="00DE415B" w:rsidRPr="009E0576">
        <w:rPr>
          <w:rFonts w:cstheme="minorHAnsi"/>
        </w:rPr>
        <w:t>.</w:t>
      </w:r>
      <w:r w:rsidR="009D6950">
        <w:rPr>
          <w:rFonts w:cstheme="minorHAnsi"/>
        </w:rPr>
        <w:t xml:space="preserve">  Responding accurately to the reviewer’s concerns</w:t>
      </w:r>
      <w:r w:rsidR="00127C6F">
        <w:rPr>
          <w:rFonts w:cstheme="minorHAnsi"/>
        </w:rPr>
        <w:t>, therefore,</w:t>
      </w:r>
      <w:r w:rsidR="009D6950">
        <w:rPr>
          <w:rFonts w:cstheme="minorHAnsi"/>
        </w:rPr>
        <w:t xml:space="preserve"> requires a more nuanced understanding of this history</w:t>
      </w:r>
      <w:r w:rsidR="00BB723D">
        <w:rPr>
          <w:rFonts w:cstheme="minorHAnsi"/>
        </w:rPr>
        <w:t xml:space="preserve">.  </w:t>
      </w:r>
      <w:r w:rsidR="009D6950" w:rsidRPr="009E0576">
        <w:rPr>
          <w:rFonts w:cstheme="minorHAnsi"/>
        </w:rPr>
        <w:t xml:space="preserve">It also requires a greater appreciation of the </w:t>
      </w:r>
      <w:r w:rsidR="00BB723D">
        <w:rPr>
          <w:rFonts w:cstheme="minorHAnsi"/>
        </w:rPr>
        <w:t xml:space="preserve">very unique way in which mining projects evolve over time and the landscapes where they are sited.  Specifically, as a mergers and acquisitions industry, the mining sector is populated by </w:t>
      </w:r>
      <w:r w:rsidR="002F6E43">
        <w:rPr>
          <w:rFonts w:cstheme="minorHAnsi"/>
        </w:rPr>
        <w:t xml:space="preserve">some of the world’s largest companies </w:t>
      </w:r>
      <w:r w:rsidR="00BB723D">
        <w:rPr>
          <w:rFonts w:cstheme="minorHAnsi"/>
        </w:rPr>
        <w:t xml:space="preserve">which </w:t>
      </w:r>
      <w:r w:rsidR="00BB723D">
        <w:t>f</w:t>
      </w:r>
      <w:r w:rsidR="007D11DC">
        <w:t>inanc</w:t>
      </w:r>
      <w:r w:rsidR="00BB723D">
        <w:t>e</w:t>
      </w:r>
      <w:r w:rsidR="007D11DC">
        <w:t xml:space="preserve"> and control operations with lifecycles</w:t>
      </w:r>
      <w:r w:rsidR="002F6E43">
        <w:t xml:space="preserve"> which can</w:t>
      </w:r>
      <w:r w:rsidR="007D11DC">
        <w:t xml:space="preserve"> span </w:t>
      </w:r>
      <w:r w:rsidR="00905146">
        <w:t>several</w:t>
      </w:r>
      <w:r w:rsidR="007D11DC">
        <w:t xml:space="preserve"> decades</w:t>
      </w:r>
      <w:r w:rsidR="00BB723D">
        <w:t xml:space="preserve">. </w:t>
      </w:r>
      <w:r w:rsidR="002F6E43">
        <w:t xml:space="preserve"> Many major projects engage in mineral </w:t>
      </w:r>
      <w:r w:rsidR="00D13082">
        <w:t>extracti</w:t>
      </w:r>
      <w:r w:rsidR="002F6E43">
        <w:t>on</w:t>
      </w:r>
      <w:r w:rsidR="00D13082">
        <w:t>, processing and treat</w:t>
      </w:r>
      <w:r w:rsidR="002F6E43">
        <w:t>ment of</w:t>
      </w:r>
      <w:r w:rsidR="00D13082">
        <w:t xml:space="preserve"> ore </w:t>
      </w:r>
      <w:r w:rsidR="0002544E">
        <w:t xml:space="preserve">alongside </w:t>
      </w:r>
      <w:r w:rsidR="00506567">
        <w:t>rural communities</w:t>
      </w:r>
      <w:r w:rsidR="00887F13">
        <w:t xml:space="preserve"> </w:t>
      </w:r>
      <w:r w:rsidR="003A1A8C">
        <w:t>that are culturally-diverse</w:t>
      </w:r>
      <w:r w:rsidR="00506567">
        <w:t>,</w:t>
      </w:r>
      <w:r w:rsidR="007D11DC">
        <w:t xml:space="preserve"> </w:t>
      </w:r>
      <w:r w:rsidR="002F6E43">
        <w:t>which may explain why the industry</w:t>
      </w:r>
      <w:r w:rsidR="00506567">
        <w:t xml:space="preserve"> has been very </w:t>
      </w:r>
      <w:r w:rsidR="00C50BAD">
        <w:t>pro</w:t>
      </w:r>
      <w:r w:rsidR="00506567">
        <w:t>active, over the past three decades,</w:t>
      </w:r>
      <w:r w:rsidR="001A3E30">
        <w:t xml:space="preserve"> in c</w:t>
      </w:r>
      <w:r w:rsidR="0067531B">
        <w:t>ommunicating its position on social and environmental issues</w:t>
      </w:r>
      <w:r w:rsidR="007D11DC">
        <w:t>.</w:t>
      </w:r>
      <w:r w:rsidR="000F369C">
        <w:t xml:space="preserve">  </w:t>
      </w:r>
    </w:p>
    <w:p w14:paraId="4984824F" w14:textId="3A025E9D" w:rsidR="00741937" w:rsidRDefault="000F369C" w:rsidP="00E44EC1">
      <w:pPr>
        <w:jc w:val="both"/>
      </w:pPr>
      <w:r>
        <w:t xml:space="preserve">Although not </w:t>
      </w:r>
      <w:r w:rsidR="0002544E">
        <w:t>described</w:t>
      </w:r>
      <w:r w:rsidR="00630030">
        <w:t xml:space="preserve"> </w:t>
      </w:r>
      <w:r>
        <w:t xml:space="preserve">at the time as ‘CSR’, </w:t>
      </w:r>
      <w:r w:rsidR="001A3E30">
        <w:t xml:space="preserve">in the 1980s and 1990s, </w:t>
      </w:r>
      <w:r>
        <w:t>there w</w:t>
      </w:r>
      <w:r w:rsidR="002F6E43">
        <w:t xml:space="preserve">ere </w:t>
      </w:r>
      <w:r>
        <w:t xml:space="preserve">efforts made </w:t>
      </w:r>
      <w:r w:rsidR="001A3E30">
        <w:t>by individual mining companies</w:t>
      </w:r>
      <w:r>
        <w:t xml:space="preserve"> </w:t>
      </w:r>
      <w:r w:rsidR="001A3E30">
        <w:t xml:space="preserve">to </w:t>
      </w:r>
      <w:r>
        <w:t>address specific areas of environmental manageme</w:t>
      </w:r>
      <w:r w:rsidR="001A3E30">
        <w:t>nt at selected operations</w:t>
      </w:r>
      <w:r w:rsidR="00A95BE7">
        <w:t xml:space="preserve"> worldwide.  </w:t>
      </w:r>
      <w:r>
        <w:t>These developments</w:t>
      </w:r>
      <w:r w:rsidR="00A95BE7">
        <w:t>, which include</w:t>
      </w:r>
      <w:r w:rsidR="001A3E30">
        <w:t>d</w:t>
      </w:r>
      <w:r w:rsidR="00A95BE7">
        <w:t xml:space="preserve"> various auditing practices deemed state-of-the-art at the time, improved </w:t>
      </w:r>
      <w:r w:rsidR="001A3E30">
        <w:t xml:space="preserve">land </w:t>
      </w:r>
      <w:r w:rsidR="00A95BE7">
        <w:t xml:space="preserve">reclamation strategies and </w:t>
      </w:r>
      <w:r w:rsidR="00F73D45">
        <w:t>advanced</w:t>
      </w:r>
      <w:r w:rsidR="00A95BE7">
        <w:t xml:space="preserve"> environmental management systems, were </w:t>
      </w:r>
      <w:r>
        <w:t>captured at length</w:t>
      </w:r>
      <w:r w:rsidR="0002544E">
        <w:t xml:space="preserve"> and communicated very illustrative</w:t>
      </w:r>
      <w:r>
        <w:t>ly in a series of trade magazines and industry journals (</w:t>
      </w:r>
      <w:r w:rsidR="0002544E">
        <w:t xml:space="preserve">see </w:t>
      </w:r>
      <w:r w:rsidR="00A95BE7">
        <w:t xml:space="preserve">e.g. Krauss, 1990; Fraser, 1991; Mann, 1991; Warren, 1992; Johnstone, 1992).  </w:t>
      </w:r>
      <w:r w:rsidR="003F212C">
        <w:t>These, and complementary, efforts</w:t>
      </w:r>
      <w:r w:rsidR="00A95BE7">
        <w:t xml:space="preserve"> would be debated and explored further in the academic</w:t>
      </w:r>
      <w:r w:rsidR="00B23924">
        <w:t xml:space="preserve"> literature</w:t>
      </w:r>
      <w:r w:rsidR="003F212C">
        <w:t xml:space="preserve"> (Sanchez, 1998; Cragg, 1998; Sinding, 1999; Smith and Underwood, 2000), in many cases garnering considerable praise</w:t>
      </w:r>
      <w:r w:rsidR="001A3E30">
        <w:t xml:space="preserve"> from scholars</w:t>
      </w:r>
      <w:r w:rsidR="003F212C">
        <w:t>.</w:t>
      </w:r>
      <w:r w:rsidR="00832751">
        <w:t xml:space="preserve">  </w:t>
      </w:r>
      <w:r w:rsidR="00A95BE7">
        <w:t xml:space="preserve">  </w:t>
      </w:r>
      <w:r w:rsidR="000167E0">
        <w:t xml:space="preserve">It is unclear when, exactly, </w:t>
      </w:r>
      <w:r w:rsidR="005E2968">
        <w:t xml:space="preserve">the mining sector started to embrace </w:t>
      </w:r>
      <w:r w:rsidR="000167E0">
        <w:t>C</w:t>
      </w:r>
      <w:r w:rsidR="00310BF4">
        <w:t xml:space="preserve">SR </w:t>
      </w:r>
      <w:r w:rsidR="00F73D45">
        <w:t xml:space="preserve">explicitly </w:t>
      </w:r>
      <w:r w:rsidR="00310BF4">
        <w:t>but if the literature is any indication, it was towards the turn of the century (see e.g.</w:t>
      </w:r>
      <w:r w:rsidR="00FE07C9">
        <w:t xml:space="preserve"> Cragg and Greenbaum, 2002; Hamann, 2003; </w:t>
      </w:r>
      <w:r w:rsidR="00CD0A00">
        <w:t>Jen</w:t>
      </w:r>
      <w:r w:rsidR="0002544E">
        <w:t>kins, 2004)</w:t>
      </w:r>
      <w:r w:rsidR="00C50BAD">
        <w:t xml:space="preserve">. </w:t>
      </w:r>
      <w:r w:rsidR="00630030">
        <w:t xml:space="preserve">  </w:t>
      </w:r>
    </w:p>
    <w:p w14:paraId="7B87DB53" w14:textId="6F1C6233" w:rsidR="005736C0" w:rsidRDefault="001A3E30" w:rsidP="00E44EC1">
      <w:pPr>
        <w:jc w:val="both"/>
      </w:pPr>
      <w:r>
        <w:t>But</w:t>
      </w:r>
      <w:r w:rsidR="00630030">
        <w:t xml:space="preserve"> </w:t>
      </w:r>
      <w:r w:rsidR="00630030">
        <w:rPr>
          <w:i/>
        </w:rPr>
        <w:t>why</w:t>
      </w:r>
      <w:r w:rsidR="005736C0">
        <w:t>, exactly,</w:t>
      </w:r>
      <w:r w:rsidR="00630030">
        <w:t xml:space="preserve"> </w:t>
      </w:r>
      <w:r>
        <w:t xml:space="preserve">has </w:t>
      </w:r>
      <w:r w:rsidR="00630030">
        <w:t xml:space="preserve">the mining </w:t>
      </w:r>
      <w:r w:rsidR="00905146">
        <w:t>industry</w:t>
      </w:r>
      <w:r w:rsidR="00630030">
        <w:t xml:space="preserve"> </w:t>
      </w:r>
      <w:r>
        <w:t>decide</w:t>
      </w:r>
      <w:r w:rsidR="00741937">
        <w:t>d</w:t>
      </w:r>
      <w:r w:rsidR="00744B5F">
        <w:t xml:space="preserve"> to </w:t>
      </w:r>
      <w:r w:rsidR="003A1A8C">
        <w:t xml:space="preserve">outwardly </w:t>
      </w:r>
      <w:r w:rsidR="00744B5F">
        <w:t>embrace</w:t>
      </w:r>
      <w:r w:rsidR="004220C7">
        <w:t xml:space="preserve"> CSR</w:t>
      </w:r>
      <w:r w:rsidR="00744B5F">
        <w:t xml:space="preserve"> with the enthusiasm it has</w:t>
      </w:r>
      <w:r w:rsidR="00741937">
        <w:t xml:space="preserve">?  At first glance, given the sector’s orientation and organization, it </w:t>
      </w:r>
      <w:r w:rsidR="0002544E">
        <w:t>seems</w:t>
      </w:r>
      <w:r w:rsidR="005736C0">
        <w:t xml:space="preserve"> illogical</w:t>
      </w:r>
      <w:r w:rsidR="00741937">
        <w:t xml:space="preserve"> </w:t>
      </w:r>
      <w:r w:rsidR="0002544E">
        <w:t xml:space="preserve">for it to </w:t>
      </w:r>
      <w:r w:rsidR="005736C0">
        <w:t>do so</w:t>
      </w:r>
      <w:r w:rsidR="00741937">
        <w:t>.</w:t>
      </w:r>
      <w:r w:rsidR="00BB563C">
        <w:t xml:space="preserve">  Mining, like </w:t>
      </w:r>
      <w:r w:rsidR="00741937">
        <w:t>most</w:t>
      </w:r>
      <w:r w:rsidR="00BB563C">
        <w:t xml:space="preserve"> capital-intensive resource extraction, does not have a ‘face’</w:t>
      </w:r>
      <w:r w:rsidR="00C84D0A">
        <w:t xml:space="preserve"> on the High Street;</w:t>
      </w:r>
      <w:r w:rsidR="00BB563C">
        <w:t xml:space="preserve"> nor </w:t>
      </w:r>
      <w:r w:rsidR="00BB563C">
        <w:lastRenderedPageBreak/>
        <w:t>is it in direc</w:t>
      </w:r>
      <w:r w:rsidR="005736C0">
        <w:t>t contact with the public space.  This</w:t>
      </w:r>
      <w:r w:rsidR="00BB563C">
        <w:t xml:space="preserve"> means that consumers and lobby groups have little chance of </w:t>
      </w:r>
      <w:r w:rsidR="005736C0">
        <w:t xml:space="preserve">‘reaching’ individual companies to effect </w:t>
      </w:r>
      <w:r w:rsidR="00BB563C">
        <w:t xml:space="preserve">changes in </w:t>
      </w:r>
      <w:r w:rsidR="0002544E">
        <w:t>their operational strategies and</w:t>
      </w:r>
      <w:r w:rsidR="00BB563C">
        <w:t xml:space="preserve"> practices</w:t>
      </w:r>
      <w:r w:rsidR="00C83543">
        <w:t xml:space="preserve"> which they deem necessary</w:t>
      </w:r>
      <w:r w:rsidR="00BB563C">
        <w:t>.</w:t>
      </w:r>
      <w:r w:rsidR="0002544E">
        <w:t xml:space="preserve">  </w:t>
      </w:r>
      <w:r w:rsidR="00C83543">
        <w:t>But t</w:t>
      </w:r>
      <w:r w:rsidR="0002544E">
        <w:t>his has not stopped the world’s largest mining companies from cultivating a culture of CSR.  As Hilson (2011) explains, they have built their</w:t>
      </w:r>
      <w:r w:rsidR="00C74447">
        <w:t xml:space="preserve"> case</w:t>
      </w:r>
      <w:r w:rsidR="00947D8A">
        <w:t xml:space="preserve"> mostly on three </w:t>
      </w:r>
      <w:r w:rsidR="000E1D3C">
        <w:t>core ideas</w:t>
      </w:r>
      <w:r w:rsidR="00F54BBB">
        <w:t>, namely, what is referred to as a ‘Social License to Operate’</w:t>
      </w:r>
      <w:r w:rsidR="00741937">
        <w:t>;</w:t>
      </w:r>
      <w:r w:rsidR="00F54BBB">
        <w:t xml:space="preserve"> accountability</w:t>
      </w:r>
      <w:r w:rsidR="00A36640">
        <w:t>; and</w:t>
      </w:r>
      <w:r w:rsidR="00F54BBB">
        <w:t>, in tune with arguments which emerged in the 1980s, that doing so is good for business</w:t>
      </w:r>
      <w:r w:rsidR="00741937">
        <w:t xml:space="preserve"> (the ‘business case’)</w:t>
      </w:r>
      <w:r w:rsidR="00F54BBB">
        <w:t>.</w:t>
      </w:r>
      <w:r w:rsidR="00A36640">
        <w:t xml:space="preserve">  </w:t>
      </w:r>
      <w:r w:rsidR="0002544E">
        <w:t>Company officials</w:t>
      </w:r>
      <w:r w:rsidR="005736C0">
        <w:t xml:space="preserve"> have skilfully constructed the mining-CSR narrative </w:t>
      </w:r>
      <w:r w:rsidR="00905146">
        <w:t>using</w:t>
      </w:r>
      <w:r w:rsidR="005736C0">
        <w:t xml:space="preserve"> </w:t>
      </w:r>
      <w:r w:rsidR="00C74447">
        <w:t>experie</w:t>
      </w:r>
      <w:r w:rsidR="00905146">
        <w:t>nces from</w:t>
      </w:r>
      <w:r w:rsidR="004D6BCD">
        <w:t xml:space="preserve"> North America, South Africa, Europe and </w:t>
      </w:r>
      <w:r w:rsidR="00A36640">
        <w:t>Australia –</w:t>
      </w:r>
      <w:r w:rsidR="0002544E">
        <w:t xml:space="preserve"> the regions of the globe where their companies are headquartered and there are </w:t>
      </w:r>
      <w:r w:rsidR="00BD3B44">
        <w:t>lengthy and rich</w:t>
      </w:r>
      <w:r w:rsidR="00BB3C29">
        <w:t xml:space="preserve"> histories of </w:t>
      </w:r>
      <w:r w:rsidR="00905146">
        <w:t xml:space="preserve">mineral </w:t>
      </w:r>
      <w:r w:rsidR="0067531B">
        <w:t>extraction</w:t>
      </w:r>
      <w:r w:rsidR="0002544E">
        <w:t xml:space="preserve"> and processing</w:t>
      </w:r>
      <w:r w:rsidR="00BB3C29">
        <w:t>.  Perh</w:t>
      </w:r>
      <w:r w:rsidR="0067531B">
        <w:t xml:space="preserve">aps in </w:t>
      </w:r>
      <w:r w:rsidR="002F5863">
        <w:t xml:space="preserve">these environments, where </w:t>
      </w:r>
      <w:r w:rsidR="00BB3C29">
        <w:t>governme</w:t>
      </w:r>
      <w:r w:rsidR="0067531B">
        <w:t>nts</w:t>
      </w:r>
      <w:r w:rsidR="003A1A8C">
        <w:t xml:space="preserve"> tend to be more accountable to </w:t>
      </w:r>
      <w:r w:rsidR="002F5863">
        <w:t>their citizenries</w:t>
      </w:r>
      <w:r w:rsidR="0067531B">
        <w:t xml:space="preserve">, stringent regulations </w:t>
      </w:r>
      <w:r w:rsidR="00BB3C29">
        <w:t>are enforced and operations</w:t>
      </w:r>
      <w:r w:rsidR="003A1A8C">
        <w:t xml:space="preserve"> are monitored </w:t>
      </w:r>
      <w:r w:rsidR="002F5863">
        <w:t xml:space="preserve">fairly </w:t>
      </w:r>
      <w:r w:rsidR="003A1A8C">
        <w:t>consistently</w:t>
      </w:r>
      <w:r w:rsidR="00BB3C29">
        <w:t xml:space="preserve">, a </w:t>
      </w:r>
      <w:r w:rsidR="00BD3B44">
        <w:t xml:space="preserve">tangible </w:t>
      </w:r>
      <w:r w:rsidR="00BB3C29">
        <w:t xml:space="preserve">case for mining-CSR can be </w:t>
      </w:r>
      <w:r w:rsidR="00C83543">
        <w:t>made</w:t>
      </w:r>
      <w:r w:rsidR="00BB3C29">
        <w:t>.</w:t>
      </w:r>
    </w:p>
    <w:p w14:paraId="25F5FC0F" w14:textId="4F6D173B" w:rsidR="00054E24" w:rsidRDefault="00AD2807" w:rsidP="00E44EC1">
      <w:pPr>
        <w:jc w:val="both"/>
      </w:pPr>
      <w:r>
        <w:t xml:space="preserve">What is </w:t>
      </w:r>
      <w:r w:rsidR="00943471" w:rsidRPr="00AE5156">
        <w:rPr>
          <w:i/>
        </w:rPr>
        <w:t>not</w:t>
      </w:r>
      <w:r w:rsidR="00943471">
        <w:t xml:space="preserve"> </w:t>
      </w:r>
      <w:r>
        <w:t>clear</w:t>
      </w:r>
      <w:r w:rsidR="00943471">
        <w:t xml:space="preserve">, however, </w:t>
      </w:r>
      <w:r w:rsidR="00C83543">
        <w:t xml:space="preserve">and to elaborate on a point raised earlier, </w:t>
      </w:r>
      <w:r w:rsidR="00943471">
        <w:t>is how this</w:t>
      </w:r>
      <w:r w:rsidR="002F5863">
        <w:t xml:space="preserve"> </w:t>
      </w:r>
      <w:r w:rsidR="00C83543">
        <w:t xml:space="preserve">position </w:t>
      </w:r>
      <w:r w:rsidR="00BD3B44">
        <w:t>on</w:t>
      </w:r>
      <w:r w:rsidR="0040428C">
        <w:t xml:space="preserve"> CSR </w:t>
      </w:r>
      <w:r w:rsidR="00BD3B44">
        <w:t>ap</w:t>
      </w:r>
      <w:r w:rsidR="0040428C">
        <w:t xml:space="preserve">plies to </w:t>
      </w:r>
      <w:r w:rsidR="0040428C" w:rsidRPr="00943471">
        <w:rPr>
          <w:i/>
        </w:rPr>
        <w:t>developing countries</w:t>
      </w:r>
      <w:r w:rsidR="0040428C">
        <w:t xml:space="preserve">, or the ‘new frontiers’ where the </w:t>
      </w:r>
      <w:r w:rsidR="00BD3B44">
        <w:t xml:space="preserve">mining </w:t>
      </w:r>
      <w:r w:rsidR="0040428C">
        <w:t>sector’</w:t>
      </w:r>
      <w:r w:rsidR="00F40E0D">
        <w:t xml:space="preserve">s major players now consider </w:t>
      </w:r>
      <w:r w:rsidR="00914CAF">
        <w:t xml:space="preserve">to be </w:t>
      </w:r>
      <w:r w:rsidR="00F40E0D">
        <w:t xml:space="preserve">their most important and strategic </w:t>
      </w:r>
      <w:r w:rsidR="008B4F20">
        <w:t>areas of production</w:t>
      </w:r>
      <w:r w:rsidR="00F40E0D">
        <w:t>.</w:t>
      </w:r>
      <w:r w:rsidR="00914CAF">
        <w:t xml:space="preserve">  </w:t>
      </w:r>
      <w:r w:rsidR="00AC6C38">
        <w:t>M</w:t>
      </w:r>
      <w:r w:rsidR="00914CAF">
        <w:t>ultinational mini</w:t>
      </w:r>
      <w:r w:rsidR="00943471">
        <w:t xml:space="preserve">ng companies </w:t>
      </w:r>
      <w:r w:rsidR="002F5863">
        <w:t xml:space="preserve">seem to </w:t>
      </w:r>
      <w:r w:rsidR="00943471">
        <w:t>have ‘exported’ this</w:t>
      </w:r>
      <w:r w:rsidR="00914CAF">
        <w:t xml:space="preserve"> three-pillar </w:t>
      </w:r>
      <w:r w:rsidR="00C83543">
        <w:t xml:space="preserve">or a related </w:t>
      </w:r>
      <w:r w:rsidR="00914CAF">
        <w:t>blueprint to the likes of Ghana, Mali, Indonesia</w:t>
      </w:r>
      <w:r w:rsidR="00A723AB">
        <w:t>, Colombia and</w:t>
      </w:r>
      <w:r w:rsidR="00127D36">
        <w:t xml:space="preserve"> </w:t>
      </w:r>
      <w:r w:rsidR="00FB1361">
        <w:t>Peru, maintaining that the same ar</w:t>
      </w:r>
      <w:r w:rsidR="00991F5D">
        <w:t xml:space="preserve">guments apply, </w:t>
      </w:r>
      <w:r w:rsidR="00FB1361">
        <w:t xml:space="preserve">despite the excessive rent-seeking, </w:t>
      </w:r>
      <w:r w:rsidR="00991F5D">
        <w:t xml:space="preserve">corruption, lack of accountability and human rights abuses which persist in </w:t>
      </w:r>
      <w:r w:rsidR="00C83543">
        <w:t>these</w:t>
      </w:r>
      <w:r w:rsidR="00752216">
        <w:t xml:space="preserve"> </w:t>
      </w:r>
      <w:r w:rsidR="00991F5D">
        <w:t>settings.</w:t>
      </w:r>
      <w:r w:rsidR="00054E24">
        <w:t xml:space="preserve">  T</w:t>
      </w:r>
      <w:r w:rsidR="00570356">
        <w:t>hese</w:t>
      </w:r>
      <w:r w:rsidR="00AC6C38">
        <w:t xml:space="preserve"> </w:t>
      </w:r>
      <w:r w:rsidR="00054E24">
        <w:t xml:space="preserve">arguments </w:t>
      </w:r>
      <w:r w:rsidR="00AC6C38">
        <w:t>se</w:t>
      </w:r>
      <w:r w:rsidR="00054E24">
        <w:t>em inconceivable for</w:t>
      </w:r>
      <w:r w:rsidR="00570356">
        <w:t xml:space="preserve"> </w:t>
      </w:r>
      <w:r w:rsidR="00AC6C38">
        <w:t>sub-Saharan Africa</w:t>
      </w:r>
      <w:r w:rsidR="00054E24">
        <w:t xml:space="preserve"> in particular</w:t>
      </w:r>
      <w:r w:rsidR="00570356">
        <w:t xml:space="preserve">, </w:t>
      </w:r>
      <w:r w:rsidR="00350A8B">
        <w:t>a region of the globe</w:t>
      </w:r>
      <w:r w:rsidR="00054E24">
        <w:t xml:space="preserve"> </w:t>
      </w:r>
      <w:r w:rsidR="00570356">
        <w:t>which performs the lowest on most development indicators</w:t>
      </w:r>
      <w:r w:rsidR="0025325C">
        <w:t xml:space="preserve">, including </w:t>
      </w:r>
      <w:r w:rsidR="00054E24">
        <w:t xml:space="preserve">those used by the World Bank to ‘measure’ levels of </w:t>
      </w:r>
      <w:r w:rsidR="0025325C">
        <w:t>governance</w:t>
      </w:r>
      <w:r w:rsidR="00263042">
        <w:t>.</w:t>
      </w:r>
    </w:p>
    <w:p w14:paraId="68D39D7E" w14:textId="40AFC653" w:rsidR="005B6E80" w:rsidRDefault="007F0E3E" w:rsidP="00D52915">
      <w:pPr>
        <w:jc w:val="both"/>
      </w:pPr>
      <w:r>
        <w:t>Given these circumstances</w:t>
      </w:r>
      <w:r w:rsidR="00582AF7">
        <w:t xml:space="preserve">, it is unclear </w:t>
      </w:r>
      <w:r w:rsidR="00582AF7">
        <w:rPr>
          <w:i/>
        </w:rPr>
        <w:t>why</w:t>
      </w:r>
      <w:r w:rsidR="00582AF7">
        <w:t xml:space="preserve"> multinational mining firms entering sub-Saharan Africa would even consider embracing CSR.  </w:t>
      </w:r>
      <w:r w:rsidR="00D9578B">
        <w:t>Perhaps</w:t>
      </w:r>
      <w:r w:rsidR="00582AF7">
        <w:t xml:space="preserve">, given the </w:t>
      </w:r>
      <w:r>
        <w:t>relative ‘newness’</w:t>
      </w:r>
      <w:r w:rsidR="00582AF7">
        <w:t xml:space="preserve"> of </w:t>
      </w:r>
      <w:r w:rsidR="00752216">
        <w:t>the setting</w:t>
      </w:r>
      <w:r w:rsidR="008E2066">
        <w:t xml:space="preserve"> and the </w:t>
      </w:r>
      <w:r w:rsidR="0067531B">
        <w:t>unpredictability</w:t>
      </w:r>
      <w:r w:rsidR="008E2066">
        <w:t xml:space="preserve"> of its</w:t>
      </w:r>
      <w:r w:rsidR="00D9578B">
        <w:t xml:space="preserve"> political regimes, </w:t>
      </w:r>
      <w:r w:rsidR="00905146">
        <w:t xml:space="preserve">for </w:t>
      </w:r>
      <w:r w:rsidR="00D9578B">
        <w:t>officials from globalizing mining firms</w:t>
      </w:r>
      <w:r w:rsidR="008E2066">
        <w:t xml:space="preserve"> venturing into </w:t>
      </w:r>
      <w:r w:rsidR="00AE5156">
        <w:t>uncharted mineral-rich</w:t>
      </w:r>
      <w:r w:rsidR="008E2066">
        <w:t xml:space="preserve"> territory,</w:t>
      </w:r>
      <w:r w:rsidR="006F502E">
        <w:t xml:space="preserve"> </w:t>
      </w:r>
      <w:r w:rsidR="00D9578B">
        <w:t>clinging to</w:t>
      </w:r>
      <w:r w:rsidR="006F502E">
        <w:t xml:space="preserve"> conventional CSR narratives </w:t>
      </w:r>
      <w:r w:rsidR="00AE5156">
        <w:t>i</w:t>
      </w:r>
      <w:r w:rsidR="00752216">
        <w:t>s</w:t>
      </w:r>
      <w:r w:rsidR="00D9578B">
        <w:t xml:space="preserve"> </w:t>
      </w:r>
      <w:r w:rsidR="00AE5156">
        <w:t xml:space="preserve">considered </w:t>
      </w:r>
      <w:r w:rsidR="00D9578B">
        <w:t xml:space="preserve">the best course of action.  If the literature is even remotely accurate, however, </w:t>
      </w:r>
      <w:r w:rsidR="008E2066">
        <w:t xml:space="preserve">there is </w:t>
      </w:r>
      <w:r w:rsidR="00BD3B44">
        <w:t xml:space="preserve">now </w:t>
      </w:r>
      <w:r w:rsidR="008E2066">
        <w:t xml:space="preserve">a sizable – and growing – </w:t>
      </w:r>
      <w:r w:rsidR="00D603C0">
        <w:t>disparity</w:t>
      </w:r>
      <w:r w:rsidR="008E2066">
        <w:t xml:space="preserve"> between the messages that these companies are preaching about CSR on the one hand, and the </w:t>
      </w:r>
      <w:r w:rsidR="00D603C0">
        <w:t>impacts</w:t>
      </w:r>
      <w:r w:rsidR="00C21745">
        <w:t xml:space="preserve"> </w:t>
      </w:r>
      <w:r w:rsidR="00D603C0">
        <w:t>of the</w:t>
      </w:r>
      <w:r w:rsidR="008E2066">
        <w:t xml:space="preserve"> policies</w:t>
      </w:r>
      <w:r w:rsidR="009F33FF">
        <w:t xml:space="preserve"> and</w:t>
      </w:r>
      <w:r w:rsidR="00D603C0">
        <w:t xml:space="preserve"> programs they are implementing in</w:t>
      </w:r>
      <w:r w:rsidR="009F33FF">
        <w:t xml:space="preserve"> this area</w:t>
      </w:r>
      <w:r w:rsidR="008E2066">
        <w:t xml:space="preserve"> </w:t>
      </w:r>
      <w:r w:rsidR="00D603C0">
        <w:t>across sub-Saharan Africa</w:t>
      </w:r>
      <w:r w:rsidR="008E2066">
        <w:t xml:space="preserve"> on the other hand.</w:t>
      </w:r>
      <w:r w:rsidR="00183214">
        <w:t xml:space="preserve">  Just over a decade ago, Frynas (2005) reflected on the flimsiness of the ‘business case’ for CSR in oil-rich sub-Saharan Africa, </w:t>
      </w:r>
      <w:r w:rsidR="000D7ED0">
        <w:t>arguing that ‘it is no</w:t>
      </w:r>
      <w:r w:rsidR="00183214">
        <w:t>t surprising that many corporate social initiatives do not go beyond narrowly philanthropic gestures</w:t>
      </w:r>
      <w:r w:rsidR="00B911F8">
        <w:t xml:space="preserve">’ (p. </w:t>
      </w:r>
      <w:r w:rsidR="00183214">
        <w:t>586</w:t>
      </w:r>
      <w:r w:rsidR="00B911F8">
        <w:t>)</w:t>
      </w:r>
      <w:r w:rsidR="00BD3B44">
        <w:t xml:space="preserve">.  Few </w:t>
      </w:r>
      <w:r w:rsidR="00C83543">
        <w:t xml:space="preserve">CSR projects </w:t>
      </w:r>
      <w:r w:rsidR="00BD3B44">
        <w:t xml:space="preserve">have </w:t>
      </w:r>
      <w:r w:rsidR="00420298">
        <w:t>prove</w:t>
      </w:r>
      <w:r w:rsidR="00BD3B44">
        <w:t>d</w:t>
      </w:r>
      <w:r w:rsidR="00420298">
        <w:t xml:space="preserve"> effective in practice</w:t>
      </w:r>
      <w:r w:rsidR="00B911F8">
        <w:t xml:space="preserve">: </w:t>
      </w:r>
      <w:r w:rsidR="00420298">
        <w:t xml:space="preserve">how in </w:t>
      </w:r>
      <w:r w:rsidR="00183214">
        <w:t>Equatorial Guinea, ExxonMobil donated mosquito nets to the Health Minis</w:t>
      </w:r>
      <w:r w:rsidR="00420298">
        <w:t xml:space="preserve">try for malaria prevention, </w:t>
      </w:r>
      <w:r w:rsidR="00737E3F">
        <w:t xml:space="preserve">which </w:t>
      </w:r>
      <w:r w:rsidR="00183214">
        <w:t>officials then reportedly sold</w:t>
      </w:r>
      <w:r w:rsidR="00737E3F">
        <w:t>; i</w:t>
      </w:r>
      <w:r w:rsidR="00183214">
        <w:t xml:space="preserve">n Angola, </w:t>
      </w:r>
      <w:r w:rsidR="00737E3F">
        <w:t xml:space="preserve">where </w:t>
      </w:r>
      <w:r w:rsidR="00183214">
        <w:t>BP reportedly distributed Asian-made condoms as par</w:t>
      </w:r>
      <w:r w:rsidR="00BD3B44">
        <w:t>t of an anti-AIDS campaign that</w:t>
      </w:r>
      <w:r w:rsidR="00183214">
        <w:t xml:space="preserve"> turned out </w:t>
      </w:r>
      <w:r w:rsidR="00737E3F">
        <w:t>to be too small for African men; and i</w:t>
      </w:r>
      <w:r w:rsidR="00183214">
        <w:t xml:space="preserve">n Nigeria, </w:t>
      </w:r>
      <w:r w:rsidR="00BD3B44">
        <w:t>where there a</w:t>
      </w:r>
      <w:r w:rsidR="00737E3F">
        <w:t>re</w:t>
      </w:r>
      <w:r w:rsidR="00183214">
        <w:t xml:space="preserve"> many </w:t>
      </w:r>
      <w:r w:rsidR="00737E3F">
        <w:t>‘</w:t>
      </w:r>
      <w:r w:rsidR="00183214">
        <w:t>non-functioning white elephants</w:t>
      </w:r>
      <w:r w:rsidR="00737E3F">
        <w:t>’</w:t>
      </w:r>
      <w:r w:rsidR="00183214">
        <w:t>,</w:t>
      </w:r>
      <w:r w:rsidR="00B1456E">
        <w:t xml:space="preserve"> including unfinished</w:t>
      </w:r>
      <w:r w:rsidR="00183214">
        <w:t xml:space="preserve"> schools, water projects </w:t>
      </w:r>
      <w:r w:rsidR="00B1456E">
        <w:t>producing unclean water</w:t>
      </w:r>
      <w:r w:rsidR="00737E3F">
        <w:t>, and</w:t>
      </w:r>
      <w:r w:rsidR="00183214">
        <w:t xml:space="preserve"> </w:t>
      </w:r>
      <w:r w:rsidR="00B1456E">
        <w:t>health clinics that</w:t>
      </w:r>
      <w:r w:rsidR="00752216">
        <w:t xml:space="preserve"> lack</w:t>
      </w:r>
      <w:r w:rsidR="00183214">
        <w:t xml:space="preserve"> </w:t>
      </w:r>
      <w:r w:rsidR="00B1456E">
        <w:t>electricity</w:t>
      </w:r>
      <w:r w:rsidR="00183214">
        <w:t>, running water, basic equipment or staff</w:t>
      </w:r>
      <w:r w:rsidR="00737E3F">
        <w:t>.</w:t>
      </w:r>
      <w:r w:rsidR="003701C7">
        <w:t xml:space="preserve">   </w:t>
      </w:r>
    </w:p>
    <w:p w14:paraId="194DE702" w14:textId="34818E4C" w:rsidR="00005900" w:rsidRDefault="0001054C" w:rsidP="00D52915">
      <w:pPr>
        <w:jc w:val="both"/>
      </w:pPr>
      <w:r>
        <w:t xml:space="preserve">Much of the same </w:t>
      </w:r>
      <w:r w:rsidR="00922F55">
        <w:t xml:space="preserve">appears to </w:t>
      </w:r>
      <w:r w:rsidR="00C83543">
        <w:t>have unfolded</w:t>
      </w:r>
      <w:r>
        <w:t xml:space="preserve"> in the region’s mining sector, although ideas and policies in the area of CSR have manifested slightly differently, principally because</w:t>
      </w:r>
      <w:r w:rsidR="00366CAD">
        <w:t>, unlike offshore oil facilities, operations have a long-term, land-based presence</w:t>
      </w:r>
      <w:r w:rsidR="00B3754C">
        <w:t xml:space="preserve">.  Whilst also </w:t>
      </w:r>
      <w:r w:rsidR="00B905C9">
        <w:t>comfortably protected within a</w:t>
      </w:r>
      <w:r w:rsidR="00B3754C">
        <w:t xml:space="preserve"> fortified resource enclave, mine managers, likely </w:t>
      </w:r>
      <w:r w:rsidR="00DE562E">
        <w:t xml:space="preserve">more </w:t>
      </w:r>
      <w:r w:rsidR="00B3754C">
        <w:t>aware of their ever-prese</w:t>
      </w:r>
      <w:r w:rsidR="00B905C9">
        <w:t>nt neig</w:t>
      </w:r>
      <w:r w:rsidR="00A26706">
        <w:t>hbours and</w:t>
      </w:r>
      <w:r w:rsidR="00A24B7E">
        <w:t xml:space="preserve"> the </w:t>
      </w:r>
      <w:r w:rsidR="00A24B7E">
        <w:rPr>
          <w:i/>
        </w:rPr>
        <w:t xml:space="preserve">locale </w:t>
      </w:r>
      <w:r w:rsidR="00A24B7E">
        <w:t>more generally</w:t>
      </w:r>
      <w:r w:rsidR="003F7A8D">
        <w:t xml:space="preserve">, have tended to emphasize ‘communities affected by mining’ in their CSR programs and accompanying outreach.  </w:t>
      </w:r>
      <w:r w:rsidR="00E95AC3">
        <w:t>Yet, it is still</w:t>
      </w:r>
      <w:r w:rsidR="00A108E4">
        <w:t xml:space="preserve"> </w:t>
      </w:r>
      <w:r w:rsidR="00D64111">
        <w:t>unclear why,</w:t>
      </w:r>
      <w:r w:rsidR="003F7A8D">
        <w:t xml:space="preserve"> given the ‘rentier’ nature of host governments, the – at times – lackadaisical approach </w:t>
      </w:r>
      <w:r w:rsidR="00D64111">
        <w:t xml:space="preserve">taken </w:t>
      </w:r>
      <w:r w:rsidR="00C83543">
        <w:t>by host governments to regulate activities,</w:t>
      </w:r>
      <w:r w:rsidR="003F7A8D">
        <w:t xml:space="preserve"> and the </w:t>
      </w:r>
      <w:r w:rsidR="00922F55">
        <w:t>ove</w:t>
      </w:r>
      <w:r w:rsidR="005166FD">
        <w:t>ra</w:t>
      </w:r>
      <w:r w:rsidR="00D64111">
        <w:t>ll protection afforded by</w:t>
      </w:r>
      <w:r w:rsidR="005166FD">
        <w:t xml:space="preserve"> the enclave</w:t>
      </w:r>
      <w:r w:rsidR="00D64111">
        <w:t>,</w:t>
      </w:r>
      <w:r w:rsidR="00815A70">
        <w:t xml:space="preserve"> mine </w:t>
      </w:r>
      <w:r w:rsidR="00A108E4">
        <w:t xml:space="preserve">managers and executives </w:t>
      </w:r>
      <w:r w:rsidR="00E95AC3">
        <w:t>would choose</w:t>
      </w:r>
      <w:r w:rsidR="00A108E4">
        <w:t xml:space="preserve"> </w:t>
      </w:r>
      <w:r w:rsidR="002864B3">
        <w:t>to go</w:t>
      </w:r>
      <w:r w:rsidR="003F7A8D">
        <w:t xml:space="preserve"> to</w:t>
      </w:r>
      <w:r w:rsidR="00A108E4">
        <w:t xml:space="preserve"> </w:t>
      </w:r>
      <w:r w:rsidR="00815A70">
        <w:t>extreme lengths to portray</w:t>
      </w:r>
      <w:r w:rsidR="00D64111">
        <w:t xml:space="preserve"> </w:t>
      </w:r>
      <w:r w:rsidR="003F7A8D">
        <w:t xml:space="preserve">efforts </w:t>
      </w:r>
      <w:r w:rsidR="00D64111">
        <w:t xml:space="preserve">made </w:t>
      </w:r>
      <w:r w:rsidR="003F7A8D">
        <w:t xml:space="preserve">to engage with </w:t>
      </w:r>
      <w:r w:rsidR="00C83543">
        <w:t xml:space="preserve">the </w:t>
      </w:r>
      <w:r w:rsidR="003F7A8D">
        <w:t>communities</w:t>
      </w:r>
      <w:r w:rsidR="002864B3">
        <w:t xml:space="preserve"> located alongside</w:t>
      </w:r>
      <w:r w:rsidR="003F7A8D">
        <w:t xml:space="preserve"> </w:t>
      </w:r>
      <w:r w:rsidR="005F5B9B">
        <w:t xml:space="preserve">their </w:t>
      </w:r>
      <w:r w:rsidR="005F5B9B">
        <w:lastRenderedPageBreak/>
        <w:t xml:space="preserve">Africa-based </w:t>
      </w:r>
      <w:r w:rsidR="003F7A8D">
        <w:t xml:space="preserve">operations </w:t>
      </w:r>
      <w:r w:rsidR="002864B3">
        <w:t xml:space="preserve">in a </w:t>
      </w:r>
      <w:r w:rsidR="00B1456E">
        <w:t xml:space="preserve">such </w:t>
      </w:r>
      <w:r w:rsidR="002864B3">
        <w:t>positive light</w:t>
      </w:r>
      <w:r w:rsidR="003F7A8D">
        <w:t>.</w:t>
      </w:r>
      <w:r w:rsidR="00815A70">
        <w:t xml:space="preserve">  A possible</w:t>
      </w:r>
      <w:r w:rsidR="00EC5D44">
        <w:t xml:space="preserve"> reason</w:t>
      </w:r>
      <w:r w:rsidR="002864B3">
        <w:t xml:space="preserve"> </w:t>
      </w:r>
      <w:r w:rsidR="00607014">
        <w:t>why concerns</w:t>
      </w:r>
      <w:r w:rsidR="00EC5D44">
        <w:t xml:space="preserve"> </w:t>
      </w:r>
      <w:r w:rsidR="00D263C1">
        <w:t>financiers</w:t>
      </w:r>
      <w:r w:rsidR="004B397B">
        <w:t>’ demands for detailed</w:t>
      </w:r>
      <w:r w:rsidR="00EC5D44">
        <w:t xml:space="preserve"> information </w:t>
      </w:r>
      <w:r w:rsidR="006210DB">
        <w:t xml:space="preserve">about </w:t>
      </w:r>
      <w:r w:rsidR="00607014">
        <w:t xml:space="preserve">the political regimes, economic policies and social structures of </w:t>
      </w:r>
      <w:r w:rsidR="00EC5D44">
        <w:t>‘new frontiers’</w:t>
      </w:r>
      <w:r w:rsidR="005166FD">
        <w:t xml:space="preserve">, </w:t>
      </w:r>
      <w:r w:rsidR="00D64111">
        <w:t>a growing list headed by</w:t>
      </w:r>
      <w:r w:rsidR="00717AE6">
        <w:t xml:space="preserve"> many mineral-rich territories</w:t>
      </w:r>
      <w:r w:rsidR="00D64111">
        <w:t xml:space="preserve"> in</w:t>
      </w:r>
      <w:r w:rsidR="00EC5D44">
        <w:t xml:space="preserve"> sub-Saharan Africa.</w:t>
      </w:r>
      <w:r w:rsidR="005166FD">
        <w:t xml:space="preserve">  As few</w:t>
      </w:r>
      <w:r w:rsidR="00EC5D44">
        <w:t xml:space="preserve"> </w:t>
      </w:r>
      <w:r w:rsidR="00717AE6">
        <w:t xml:space="preserve">Western financial institutions </w:t>
      </w:r>
      <w:r w:rsidR="005166FD">
        <w:t>and donors</w:t>
      </w:r>
      <w:r w:rsidR="00CD3A2A">
        <w:t xml:space="preserve"> </w:t>
      </w:r>
      <w:r w:rsidR="00717AE6">
        <w:t>are in tune</w:t>
      </w:r>
      <w:r w:rsidR="005166FD">
        <w:t xml:space="preserve"> with</w:t>
      </w:r>
      <w:r w:rsidR="004F7025">
        <w:t xml:space="preserve"> these nuances, mine managers and executives </w:t>
      </w:r>
      <w:r w:rsidR="00C83543">
        <w:t>may be asked</w:t>
      </w:r>
      <w:r w:rsidR="004F7025">
        <w:t xml:space="preserve"> to </w:t>
      </w:r>
      <w:r w:rsidR="005166FD">
        <w:t>produce</w:t>
      </w:r>
      <w:r w:rsidR="000C0AF3">
        <w:t xml:space="preserve"> </w:t>
      </w:r>
      <w:r w:rsidR="00EB380F">
        <w:t>comprehensive</w:t>
      </w:r>
      <w:r w:rsidR="005166FD">
        <w:t>,</w:t>
      </w:r>
      <w:r w:rsidR="00CD3A2A">
        <w:t xml:space="preserve"> </w:t>
      </w:r>
      <w:r w:rsidR="00A50C9F">
        <w:t>elaborate</w:t>
      </w:r>
      <w:r w:rsidR="005166FD">
        <w:t xml:space="preserve"> and convincing stakeholder engagement </w:t>
      </w:r>
      <w:r w:rsidR="004F7025">
        <w:t xml:space="preserve">and mine </w:t>
      </w:r>
      <w:r w:rsidR="005166FD">
        <w:t>plans</w:t>
      </w:r>
      <w:r w:rsidR="00A50C9F">
        <w:t>.</w:t>
      </w:r>
      <w:r w:rsidR="00EC5D44">
        <w:t xml:space="preserve"> </w:t>
      </w:r>
    </w:p>
    <w:p w14:paraId="5CA3F158" w14:textId="693CBFE4" w:rsidR="00FA4DCB" w:rsidRDefault="00843DEA" w:rsidP="007F085F">
      <w:pPr>
        <w:jc w:val="both"/>
      </w:pPr>
      <w:r>
        <w:t>But w</w:t>
      </w:r>
      <w:r w:rsidR="00C27E76">
        <w:t xml:space="preserve">hilst </w:t>
      </w:r>
      <w:r w:rsidR="004F7025">
        <w:t>these efforts</w:t>
      </w:r>
      <w:r w:rsidR="005166FD">
        <w:t xml:space="preserve"> have proved</w:t>
      </w:r>
      <w:r w:rsidR="00FA4DCB">
        <w:t xml:space="preserve"> </w:t>
      </w:r>
      <w:r w:rsidR="00C27E76">
        <w:t>eff</w:t>
      </w:r>
      <w:r w:rsidR="005166FD">
        <w:t>ective in</w:t>
      </w:r>
      <w:r w:rsidR="00DA62F8">
        <w:t xml:space="preserve"> appeasing and </w:t>
      </w:r>
      <w:r w:rsidR="00A26706">
        <w:t>building confidence with</w:t>
      </w:r>
      <w:r w:rsidR="00DA62F8">
        <w:t xml:space="preserve"> lenders,</w:t>
      </w:r>
      <w:r w:rsidR="005166FD">
        <w:t xml:space="preserve"> the impact of the</w:t>
      </w:r>
      <w:r w:rsidR="008C3CE7">
        <w:t xml:space="preserve"> CSR programs a</w:t>
      </w:r>
      <w:r w:rsidR="007F3BC1">
        <w:t xml:space="preserve">nd policies </w:t>
      </w:r>
      <w:r w:rsidR="005166FD">
        <w:t xml:space="preserve">they have spawned </w:t>
      </w:r>
      <w:r w:rsidR="007F3BC1">
        <w:t>is open to debate</w:t>
      </w:r>
      <w:r w:rsidR="005B4C54">
        <w:t>.  On paper, m</w:t>
      </w:r>
      <w:r w:rsidR="005166FD">
        <w:t xml:space="preserve">ost </w:t>
      </w:r>
      <w:r w:rsidR="005B4C54">
        <w:t>broach</w:t>
      </w:r>
      <w:r w:rsidR="005166FD">
        <w:t xml:space="preserve"> </w:t>
      </w:r>
      <w:r w:rsidR="007F3BC1">
        <w:t>– for perhaps obvious reasons –</w:t>
      </w:r>
      <w:r w:rsidR="00A6136C">
        <w:t xml:space="preserve"> the theme of</w:t>
      </w:r>
      <w:r w:rsidR="007F3BC1">
        <w:t xml:space="preserve"> </w:t>
      </w:r>
      <w:r w:rsidR="00A6136C">
        <w:t>‘community’</w:t>
      </w:r>
      <w:r w:rsidR="005166FD">
        <w:t xml:space="preserve"> but</w:t>
      </w:r>
      <w:r w:rsidR="00A6136C">
        <w:t xml:space="preserve"> </w:t>
      </w:r>
      <w:r w:rsidR="00B1456E">
        <w:t xml:space="preserve">in practice, </w:t>
      </w:r>
      <w:r w:rsidR="00353864">
        <w:t xml:space="preserve">resemble very closely </w:t>
      </w:r>
      <w:r w:rsidR="00B1456E">
        <w:t>the actions taken at</w:t>
      </w:r>
      <w:r w:rsidR="00A6136C">
        <w:t xml:space="preserve"> individual mines dur</w:t>
      </w:r>
      <w:r w:rsidR="00353864">
        <w:t xml:space="preserve">ing the colonial period and </w:t>
      </w:r>
      <w:r w:rsidR="00A6136C">
        <w:t xml:space="preserve">early years of </w:t>
      </w:r>
      <w:r w:rsidR="00353864">
        <w:t xml:space="preserve">country </w:t>
      </w:r>
      <w:r w:rsidR="00A6136C">
        <w:t>independence</w:t>
      </w:r>
      <w:r w:rsidR="00353864">
        <w:t xml:space="preserve"> to </w:t>
      </w:r>
      <w:r w:rsidR="00977E4D">
        <w:t>catalyze</w:t>
      </w:r>
      <w:r w:rsidR="00353864">
        <w:t xml:space="preserve"> local development</w:t>
      </w:r>
      <w:r w:rsidR="00A6136C">
        <w:t>.</w:t>
      </w:r>
      <w:r>
        <w:t xml:space="preserve">  A possible</w:t>
      </w:r>
      <w:r w:rsidR="007F085F">
        <w:t xml:space="preserve"> reason why, in sub-Saharan Africa, t</w:t>
      </w:r>
      <w:r>
        <w:t>he</w:t>
      </w:r>
      <w:r w:rsidR="00C8650E">
        <w:t xml:space="preserve"> ‘[mining]</w:t>
      </w:r>
      <w:r w:rsidR="0019075F">
        <w:t xml:space="preserve"> pic</w:t>
      </w:r>
      <w:r w:rsidR="00C8650E">
        <w:t>ture has not changed much today’</w:t>
      </w:r>
      <w:r w:rsidR="0019075F">
        <w:t xml:space="preserve"> [</w:t>
      </w:r>
      <w:r w:rsidR="003D4A49">
        <w:t xml:space="preserve">Kabemba, 2014, </w:t>
      </w:r>
      <w:r w:rsidR="0019075F">
        <w:t>p. 2]</w:t>
      </w:r>
      <w:r w:rsidR="003D4A49">
        <w:t>, is</w:t>
      </w:r>
      <w:r w:rsidR="004F7025">
        <w:t>,</w:t>
      </w:r>
      <w:r w:rsidR="003D4A49">
        <w:t xml:space="preserve"> </w:t>
      </w:r>
      <w:r w:rsidR="007F085F">
        <w:t xml:space="preserve">as Butler (2011) explains, </w:t>
      </w:r>
      <w:r w:rsidR="004F7025">
        <w:t xml:space="preserve">that the </w:t>
      </w:r>
      <w:r w:rsidR="007F085F">
        <w:t>‘colonialist power relations’, which ‘facilitated primitive accumulation in the past’, continue to ‘persist in the present’ (p. 91)</w:t>
      </w:r>
      <w:r w:rsidR="00C83543">
        <w:t xml:space="preserve">, a point which, as noted above, </w:t>
      </w:r>
      <w:r w:rsidR="00C83543" w:rsidRPr="007E0417">
        <w:rPr>
          <w:rFonts w:cstheme="minorHAnsi"/>
        </w:rPr>
        <w:t>Idemudia</w:t>
      </w:r>
      <w:r w:rsidR="00C83543">
        <w:t xml:space="preserve"> (2014) broached.</w:t>
      </w:r>
      <w:r w:rsidR="007F085F">
        <w:t xml:space="preserve">  This</w:t>
      </w:r>
      <w:r w:rsidR="004F7025">
        <w:t>, the author correctly points out</w:t>
      </w:r>
      <w:r w:rsidR="007F085F">
        <w:t>, was first recognized by Ghana</w:t>
      </w:r>
      <w:r w:rsidR="00977E4D">
        <w:t>’s first</w:t>
      </w:r>
      <w:r w:rsidR="007F085F">
        <w:t xml:space="preserve"> president</w:t>
      </w:r>
      <w:r w:rsidR="00977E4D">
        <w:t>,</w:t>
      </w:r>
      <w:r w:rsidR="007F085F">
        <w:t xml:space="preserve"> Kwame Nkrumah</w:t>
      </w:r>
      <w:r w:rsidR="00977E4D">
        <w:t>,</w:t>
      </w:r>
      <w:r w:rsidR="007F085F">
        <w:t xml:space="preserve"> who, in 1965, ‘coined the term “neo-colonialism” in reference to continued European domination of the mining sector in sub-Saharan Africa’.  Initially, it was a </w:t>
      </w:r>
      <w:r w:rsidR="0057760A">
        <w:t>case of for</w:t>
      </w:r>
      <w:r w:rsidR="001F2AE9">
        <w:t>eign mining companies with interests in the likes of Zambia, Zaire and Ghana, having the freedom to continue operating from</w:t>
      </w:r>
      <w:r w:rsidR="008151DF">
        <w:t xml:space="preserve"> </w:t>
      </w:r>
      <w:r w:rsidR="001F2AE9">
        <w:t>their fortified enclaves</w:t>
      </w:r>
      <w:r w:rsidR="004F7025">
        <w:t>,</w:t>
      </w:r>
      <w:r w:rsidR="001F2AE9">
        <w:t xml:space="preserve"> expatriating</w:t>
      </w:r>
      <w:r w:rsidR="0057760A">
        <w:t xml:space="preserve"> substantial revenue</w:t>
      </w:r>
      <w:r w:rsidR="001F2AE9">
        <w:t xml:space="preserve"> (</w:t>
      </w:r>
      <w:r w:rsidR="00955B40">
        <w:t xml:space="preserve">Sklar, 1975; Lanning and Mueller, 1979; Roberts, 1986; </w:t>
      </w:r>
      <w:r w:rsidR="009F6DC4">
        <w:t>Dumett</w:t>
      </w:r>
      <w:r w:rsidR="00955B40">
        <w:t>, 1988</w:t>
      </w:r>
      <w:r w:rsidR="006D600C">
        <w:t>)</w:t>
      </w:r>
      <w:r w:rsidR="00F73D45">
        <w:t>.  U</w:t>
      </w:r>
      <w:r w:rsidR="001F2AE9">
        <w:t>nderstandably</w:t>
      </w:r>
      <w:r w:rsidR="006D600C">
        <w:t>,</w:t>
      </w:r>
      <w:r w:rsidR="001F2AE9">
        <w:t xml:space="preserve"> </w:t>
      </w:r>
      <w:r w:rsidR="00F73D45">
        <w:t xml:space="preserve">this </w:t>
      </w:r>
      <w:r w:rsidR="001F2AE9">
        <w:t>frustrated Afric</w:t>
      </w:r>
      <w:r>
        <w:t xml:space="preserve">a’s first </w:t>
      </w:r>
      <w:r w:rsidR="001F2AE9">
        <w:t>presidencies</w:t>
      </w:r>
      <w:r w:rsidR="00F73D45">
        <w:t>, many of which seemed</w:t>
      </w:r>
      <w:r w:rsidR="001F2AE9">
        <w:t xml:space="preserve"> </w:t>
      </w:r>
      <w:r w:rsidR="006D600C">
        <w:t>eager to bring about change</w:t>
      </w:r>
      <w:r w:rsidR="00FA4DCB">
        <w:t>.  T</w:t>
      </w:r>
      <w:r w:rsidR="006D600C">
        <w:t xml:space="preserve">he series of state interventions made to </w:t>
      </w:r>
      <w:r w:rsidR="004F7025">
        <w:t xml:space="preserve">change this and ultimately </w:t>
      </w:r>
      <w:r w:rsidR="006D600C">
        <w:t xml:space="preserve">gain control of mining operations, including a series of </w:t>
      </w:r>
      <w:r w:rsidR="00E95AC3">
        <w:t xml:space="preserve">questionable </w:t>
      </w:r>
      <w:r w:rsidR="007A6F33">
        <w:t xml:space="preserve">moves to </w:t>
      </w:r>
      <w:r w:rsidR="00E95AC3">
        <w:t>nationaliz</w:t>
      </w:r>
      <w:r w:rsidR="007A6F33">
        <w:t>e</w:t>
      </w:r>
      <w:r w:rsidR="006D600C">
        <w:t xml:space="preserve">, </w:t>
      </w:r>
      <w:r w:rsidR="00FA4DCB">
        <w:t xml:space="preserve">however, </w:t>
      </w:r>
      <w:r w:rsidR="00B1456E">
        <w:t>would fuel</w:t>
      </w:r>
      <w:r w:rsidR="005B4C54">
        <w:t xml:space="preserve"> a</w:t>
      </w:r>
      <w:r w:rsidR="004D7598">
        <w:t xml:space="preserve"> rapid exodus of</w:t>
      </w:r>
      <w:r w:rsidR="00FA4DCB">
        <w:t xml:space="preserve"> foreign co</w:t>
      </w:r>
      <w:r w:rsidR="005B4C54">
        <w:t>mpanies and</w:t>
      </w:r>
      <w:r w:rsidR="00FA4DCB">
        <w:t xml:space="preserve"> </w:t>
      </w:r>
      <w:r w:rsidR="00B1456E">
        <w:t>with it,</w:t>
      </w:r>
      <w:r w:rsidR="00E95AC3">
        <w:t xml:space="preserve"> the loss of</w:t>
      </w:r>
      <w:r w:rsidR="00B1456E">
        <w:t xml:space="preserve"> </w:t>
      </w:r>
      <w:r w:rsidR="00FA4DCB">
        <w:t>crucial source</w:t>
      </w:r>
      <w:r w:rsidR="005B4C54">
        <w:t>s</w:t>
      </w:r>
      <w:r w:rsidR="00FA4DCB">
        <w:t xml:space="preserve"> of</w:t>
      </w:r>
      <w:r w:rsidR="004F7025">
        <w:t xml:space="preserve"> investment.  They more importantly</w:t>
      </w:r>
      <w:r w:rsidR="006D600C">
        <w:t xml:space="preserve"> exp</w:t>
      </w:r>
      <w:r w:rsidR="004D7598">
        <w:t xml:space="preserve">osed how incapable </w:t>
      </w:r>
      <w:r w:rsidR="006D600C">
        <w:t>governments</w:t>
      </w:r>
      <w:r w:rsidR="00FA4DCB">
        <w:t xml:space="preserve"> in sub-Saharan Africa</w:t>
      </w:r>
      <w:r w:rsidR="006D600C">
        <w:t xml:space="preserve">, with their dearth of finance and skills, were to operate these large, </w:t>
      </w:r>
      <w:r w:rsidR="00FA4DCB">
        <w:t>sophisticated</w:t>
      </w:r>
      <w:r w:rsidR="006D600C">
        <w:t xml:space="preserve"> mining operations</w:t>
      </w:r>
      <w:r w:rsidR="004F7025">
        <w:t xml:space="preserve"> profitably</w:t>
      </w:r>
      <w:r w:rsidR="00DA60DD">
        <w:t xml:space="preserve"> on their own</w:t>
      </w:r>
      <w:r w:rsidR="006D600C">
        <w:t>.</w:t>
      </w:r>
      <w:r w:rsidR="00FA4DCB">
        <w:t xml:space="preserve">  </w:t>
      </w:r>
    </w:p>
    <w:p w14:paraId="68D38B5B" w14:textId="4E62D6B7" w:rsidR="00B92650" w:rsidRDefault="00FA4DCB" w:rsidP="007F085F">
      <w:pPr>
        <w:jc w:val="both"/>
      </w:pPr>
      <w:r>
        <w:t xml:space="preserve">Unable to continue </w:t>
      </w:r>
      <w:r w:rsidR="004F7025">
        <w:t>runn</w:t>
      </w:r>
      <w:r w:rsidR="00122410">
        <w:t>ing</w:t>
      </w:r>
      <w:r>
        <w:t xml:space="preserve"> these </w:t>
      </w:r>
      <w:r w:rsidR="004F7025">
        <w:t>projects</w:t>
      </w:r>
      <w:r>
        <w:t xml:space="preserve"> at a loss, </w:t>
      </w:r>
      <w:r w:rsidR="00122410">
        <w:t xml:space="preserve">and desperate for finance, </w:t>
      </w:r>
      <w:r w:rsidR="00F55EB6">
        <w:t>most</w:t>
      </w:r>
      <w:r>
        <w:t xml:space="preserve"> </w:t>
      </w:r>
      <w:r w:rsidR="004D7598">
        <w:t xml:space="preserve">elected to </w:t>
      </w:r>
      <w:r w:rsidR="000E3DA6">
        <w:t xml:space="preserve">liberalize their mining </w:t>
      </w:r>
      <w:r w:rsidR="00122410">
        <w:t>sector</w:t>
      </w:r>
      <w:r w:rsidR="00F11101">
        <w:t xml:space="preserve">s, with the sole objective of </w:t>
      </w:r>
      <w:r w:rsidR="005B4C54">
        <w:t>attracting</w:t>
      </w:r>
      <w:r w:rsidR="00122410">
        <w:t xml:space="preserve"> foreign investors.  The World Bank</w:t>
      </w:r>
      <w:r w:rsidR="004F7025">
        <w:t xml:space="preserve"> has played an </w:t>
      </w:r>
      <w:r w:rsidR="00F55EB6">
        <w:t xml:space="preserve">instrumental </w:t>
      </w:r>
      <w:r w:rsidR="004F7025">
        <w:t xml:space="preserve">role </w:t>
      </w:r>
      <w:r w:rsidR="00F55EB6">
        <w:t>in this process, awarding,</w:t>
      </w:r>
      <w:r w:rsidR="00122410">
        <w:t xml:space="preserve"> since 1990,</w:t>
      </w:r>
      <w:r w:rsidR="00F55EB6">
        <w:t xml:space="preserve"> </w:t>
      </w:r>
      <w:r w:rsidR="00122410">
        <w:t xml:space="preserve">more than </w:t>
      </w:r>
      <w:r w:rsidR="00F55EB6">
        <w:t>US</w:t>
      </w:r>
      <w:r w:rsidR="00122410">
        <w:t>$2.75 billion i</w:t>
      </w:r>
      <w:r w:rsidR="00F55EB6">
        <w:t xml:space="preserve">n loans and guarantees to the region to assist with the deregulation, direct financing and privatization of extractive industries </w:t>
      </w:r>
      <w:r w:rsidR="004F7025">
        <w:t xml:space="preserve">(Pegg, 2006).  </w:t>
      </w:r>
      <w:r w:rsidR="00B92650">
        <w:t>With the</w:t>
      </w:r>
      <w:r w:rsidR="003F434F">
        <w:t xml:space="preserve"> backing of</w:t>
      </w:r>
      <w:r w:rsidR="00BC6DB3">
        <w:t xml:space="preserve"> </w:t>
      </w:r>
      <w:r w:rsidR="00DA60DD">
        <w:t>the</w:t>
      </w:r>
      <w:r w:rsidR="00BC6DB3">
        <w:t xml:space="preserve"> Bank</w:t>
      </w:r>
      <w:r w:rsidR="00DA60DD">
        <w:t>, other donors</w:t>
      </w:r>
      <w:r w:rsidR="00BC6DB3">
        <w:t xml:space="preserve"> and powerful Western </w:t>
      </w:r>
      <w:r w:rsidR="00E95AC3">
        <w:t>finance institutions</w:t>
      </w:r>
      <w:r w:rsidR="00BC6DB3">
        <w:t xml:space="preserve">, </w:t>
      </w:r>
      <w:r w:rsidR="00B92650">
        <w:t>these companies</w:t>
      </w:r>
      <w:r w:rsidR="003F434F">
        <w:t xml:space="preserve"> find themselves</w:t>
      </w:r>
      <w:r w:rsidR="00BE47D4">
        <w:t xml:space="preserve"> </w:t>
      </w:r>
      <w:r w:rsidR="00A80BF3">
        <w:t>working in</w:t>
      </w:r>
      <w:r w:rsidR="00A402EC">
        <w:t xml:space="preserve"> rent-seeking</w:t>
      </w:r>
      <w:r w:rsidR="00D64644">
        <w:t xml:space="preserve"> environments where</w:t>
      </w:r>
      <w:r w:rsidR="00590AA1">
        <w:t xml:space="preserve"> </w:t>
      </w:r>
      <w:r w:rsidR="00A80BF3">
        <w:t xml:space="preserve">regimes </w:t>
      </w:r>
      <w:r w:rsidR="00DA60DD">
        <w:t xml:space="preserve">tend to </w:t>
      </w:r>
      <w:r w:rsidR="00590AA1">
        <w:t>prioritize the collection of royalties</w:t>
      </w:r>
      <w:r w:rsidR="007A6F33">
        <w:t xml:space="preserve"> from, and various taxes linked to, large-scale</w:t>
      </w:r>
      <w:r w:rsidR="00DA60DD">
        <w:t xml:space="preserve"> resource extraction</w:t>
      </w:r>
      <w:r w:rsidR="007A6F33">
        <w:t xml:space="preserve"> </w:t>
      </w:r>
      <w:r w:rsidR="00D64644">
        <w:t>and little else</w:t>
      </w:r>
      <w:r w:rsidR="00E95AC3">
        <w:t xml:space="preserve">.  These conditions </w:t>
      </w:r>
      <w:r w:rsidR="003F434F">
        <w:t>clearly favour</w:t>
      </w:r>
      <w:r w:rsidR="00E95AC3">
        <w:t xml:space="preserve"> the operator, and</w:t>
      </w:r>
      <w:r w:rsidR="005B4C54">
        <w:t xml:space="preserve"> have produced the</w:t>
      </w:r>
      <w:r w:rsidR="0066696D">
        <w:t xml:space="preserve"> ‘mineral-rich enclaves that are starkly disconnected from their national societies’</w:t>
      </w:r>
      <w:r w:rsidR="005B4C54">
        <w:t xml:space="preserve"> seen today</w:t>
      </w:r>
      <w:r w:rsidR="003F434F">
        <w:t>, complexes</w:t>
      </w:r>
      <w:r w:rsidR="00FD4749">
        <w:t xml:space="preserve"> which</w:t>
      </w:r>
      <w:r w:rsidR="003F434F">
        <w:t>, as</w:t>
      </w:r>
      <w:r w:rsidR="00FD4749">
        <w:t xml:space="preserve"> Ferguson (2005, p. 380) explains</w:t>
      </w:r>
      <w:r w:rsidR="003F434F">
        <w:t>,</w:t>
      </w:r>
      <w:r w:rsidR="00FD4749">
        <w:t xml:space="preserve"> ‘capital “hops”</w:t>
      </w:r>
      <w:r w:rsidR="003F434F">
        <w:t xml:space="preserve"> over “unusable Africa” to reach</w:t>
      </w:r>
      <w:r w:rsidR="00FD4749">
        <w:t xml:space="preserve">. </w:t>
      </w:r>
      <w:r w:rsidR="00B92650">
        <w:t xml:space="preserve">  </w:t>
      </w:r>
    </w:p>
    <w:p w14:paraId="698787BC" w14:textId="2B198117" w:rsidR="001F2AE9" w:rsidRDefault="005B4C54" w:rsidP="001F2AE9">
      <w:pPr>
        <w:jc w:val="both"/>
      </w:pPr>
      <w:r>
        <w:t>H</w:t>
      </w:r>
      <w:r w:rsidR="00FD4749">
        <w:t>ow</w:t>
      </w:r>
      <w:r w:rsidR="00DA60DD">
        <w:t xml:space="preserve"> </w:t>
      </w:r>
      <w:r w:rsidR="001F2AE9">
        <w:t xml:space="preserve">has CSR </w:t>
      </w:r>
      <w:r w:rsidR="00DA60DD">
        <w:t xml:space="preserve">in the mining sector </w:t>
      </w:r>
      <w:r w:rsidR="001F2AE9">
        <w:t xml:space="preserve">played out in these </w:t>
      </w:r>
      <w:r w:rsidR="00DA60DD">
        <w:t xml:space="preserve">very unique </w:t>
      </w:r>
      <w:r w:rsidR="001F2AE9">
        <w:t xml:space="preserve">settings?  The next section of the </w:t>
      </w:r>
      <w:r w:rsidR="007A6F33">
        <w:t>paper</w:t>
      </w:r>
      <w:r w:rsidR="001F2AE9">
        <w:t xml:space="preserve"> examines the types of </w:t>
      </w:r>
      <w:r w:rsidR="00DA60DD">
        <w:t>strategies being implemented</w:t>
      </w:r>
      <w:r w:rsidR="001F2AE9">
        <w:t>.</w:t>
      </w:r>
    </w:p>
    <w:p w14:paraId="0F6F243F" w14:textId="64352C2B" w:rsidR="001F2AE9" w:rsidRPr="00D942C4" w:rsidRDefault="001F2AE9" w:rsidP="00D942C4">
      <w:pPr>
        <w:pStyle w:val="ListParagraph"/>
        <w:numPr>
          <w:ilvl w:val="0"/>
          <w:numId w:val="16"/>
        </w:numPr>
        <w:jc w:val="both"/>
        <w:rPr>
          <w:b/>
        </w:rPr>
      </w:pPr>
      <w:r w:rsidRPr="00D942C4">
        <w:rPr>
          <w:b/>
        </w:rPr>
        <w:t>Corporate S</w:t>
      </w:r>
      <w:r w:rsidR="005B4C54" w:rsidRPr="00D942C4">
        <w:rPr>
          <w:b/>
        </w:rPr>
        <w:t xml:space="preserve">ocial Responsibility </w:t>
      </w:r>
      <w:r w:rsidR="00C50BAD">
        <w:rPr>
          <w:b/>
        </w:rPr>
        <w:t xml:space="preserve">in </w:t>
      </w:r>
      <w:r w:rsidRPr="00D942C4">
        <w:rPr>
          <w:b/>
        </w:rPr>
        <w:t>Mining Enclaves</w:t>
      </w:r>
      <w:r w:rsidR="005B4C54" w:rsidRPr="00D942C4">
        <w:rPr>
          <w:b/>
        </w:rPr>
        <w:t>: The Case of Sub-Saharan Africa</w:t>
      </w:r>
    </w:p>
    <w:p w14:paraId="35CE3C69" w14:textId="3C119A3C" w:rsidR="00C95A67" w:rsidRDefault="00A256A3" w:rsidP="00D52915">
      <w:pPr>
        <w:jc w:val="both"/>
      </w:pPr>
      <w:r>
        <w:t>Aside from perhaps featuring more obvious ‘community’ elements, the CSR programs and policies being implemented at large-scale mines a</w:t>
      </w:r>
      <w:r w:rsidR="005B4C54">
        <w:t xml:space="preserve">cross sub-Saharan Africa </w:t>
      </w:r>
      <w:r w:rsidR="003F434F">
        <w:t>are, in many ways, similar to the</w:t>
      </w:r>
      <w:r>
        <w:t xml:space="preserve"> initiatives and schemes in place in the region’s oil</w:t>
      </w:r>
      <w:r w:rsidR="003F434F">
        <w:t>-rich settings</w:t>
      </w:r>
      <w:r w:rsidR="00EA378F">
        <w:t xml:space="preserve"> (see Ackah-Baidoo, 2012)</w:t>
      </w:r>
      <w:r>
        <w:t xml:space="preserve">.  Like </w:t>
      </w:r>
      <w:r w:rsidR="003F434F">
        <w:t xml:space="preserve">many of </w:t>
      </w:r>
      <w:r>
        <w:t>these,</w:t>
      </w:r>
      <w:r w:rsidR="00EA378F">
        <w:t xml:space="preserve"> </w:t>
      </w:r>
      <w:r w:rsidR="003F434F">
        <w:t xml:space="preserve">there seems to be a sizable disconnect between the needs of affected communities on the one hand, and what mining companies believe to be </w:t>
      </w:r>
      <w:r w:rsidR="003F434F" w:rsidRPr="00DA60DD">
        <w:rPr>
          <w:i/>
        </w:rPr>
        <w:t>appropriate</w:t>
      </w:r>
      <w:r w:rsidR="003F434F">
        <w:t xml:space="preserve"> CSR and local development on the other hand.</w:t>
      </w:r>
      <w:r w:rsidR="00C95A67">
        <w:t xml:space="preserve">  </w:t>
      </w:r>
    </w:p>
    <w:p w14:paraId="01FCE85F" w14:textId="16EA1E37" w:rsidR="00FC4EDA" w:rsidRDefault="00B61FC9" w:rsidP="00E45610">
      <w:pPr>
        <w:jc w:val="both"/>
      </w:pPr>
      <w:r>
        <w:lastRenderedPageBreak/>
        <w:t>F</w:t>
      </w:r>
      <w:r w:rsidR="00C95A67">
        <w:t>rom</w:t>
      </w:r>
      <w:r w:rsidR="00EA378F">
        <w:t xml:space="preserve"> the safety of </w:t>
      </w:r>
      <w:r w:rsidR="003F434F">
        <w:t xml:space="preserve">mining </w:t>
      </w:r>
      <w:r w:rsidR="00A90462">
        <w:t>enclaves</w:t>
      </w:r>
      <w:r w:rsidR="00DA60DD">
        <w:t xml:space="preserve"> which, ideologically and operationally, are </w:t>
      </w:r>
      <w:r w:rsidR="00E95AC3">
        <w:t xml:space="preserve">disconnected from </w:t>
      </w:r>
      <w:r w:rsidR="00EA378F">
        <w:t xml:space="preserve">surrounding communities and </w:t>
      </w:r>
      <w:r w:rsidR="003F434F">
        <w:t>are</w:t>
      </w:r>
      <w:r w:rsidR="007213D7">
        <w:t xml:space="preserve"> backed and</w:t>
      </w:r>
      <w:r w:rsidR="003F434F">
        <w:t xml:space="preserve"> </w:t>
      </w:r>
      <w:r w:rsidR="00EA378F">
        <w:t>protected, to a large extent, by rent-seeking regimes</w:t>
      </w:r>
      <w:r w:rsidR="003474F2">
        <w:t xml:space="preserve">, </w:t>
      </w:r>
      <w:r w:rsidR="00E95AC3">
        <w:t xml:space="preserve">many </w:t>
      </w:r>
      <w:r w:rsidR="00C95A67">
        <w:t xml:space="preserve">managers </w:t>
      </w:r>
      <w:r w:rsidR="007A6F33">
        <w:t xml:space="preserve">appear to </w:t>
      </w:r>
      <w:r w:rsidR="003474F2">
        <w:t xml:space="preserve">have </w:t>
      </w:r>
      <w:r w:rsidR="00C95A67">
        <w:t>innovatively rebrand</w:t>
      </w:r>
      <w:r w:rsidR="003474F2">
        <w:t>ed</w:t>
      </w:r>
      <w:r w:rsidR="00EA378F">
        <w:t xml:space="preserve"> </w:t>
      </w:r>
      <w:r w:rsidR="003F434F">
        <w:rPr>
          <w:i/>
        </w:rPr>
        <w:t xml:space="preserve">existing </w:t>
      </w:r>
      <w:r w:rsidR="00DA60DD">
        <w:t xml:space="preserve">and </w:t>
      </w:r>
      <w:r w:rsidR="00DA60DD">
        <w:rPr>
          <w:i/>
        </w:rPr>
        <w:t xml:space="preserve">pre-existing </w:t>
      </w:r>
      <w:r w:rsidR="003F434F">
        <w:t>community development</w:t>
      </w:r>
      <w:r w:rsidR="00EA378F">
        <w:t xml:space="preserve"> strategies</w:t>
      </w:r>
      <w:r w:rsidR="003F434F">
        <w:t xml:space="preserve"> </w:t>
      </w:r>
      <w:r w:rsidR="00EA378F">
        <w:t>and policies</w:t>
      </w:r>
      <w:r w:rsidR="003474F2">
        <w:t>, as well as</w:t>
      </w:r>
      <w:r w:rsidR="003F434F">
        <w:t xml:space="preserve"> outreach</w:t>
      </w:r>
      <w:r w:rsidR="00DA60DD">
        <w:t>,</w:t>
      </w:r>
      <w:r w:rsidR="00EA378F">
        <w:t xml:space="preserve"> as ‘CSR’</w:t>
      </w:r>
      <w:r w:rsidR="00C95A67">
        <w:t>.</w:t>
      </w:r>
      <w:r w:rsidR="00EA378F">
        <w:t xml:space="preserve">  </w:t>
      </w:r>
      <w:r w:rsidR="00E45610">
        <w:t>This</w:t>
      </w:r>
      <w:r w:rsidR="00A72DD8">
        <w:t xml:space="preserve"> </w:t>
      </w:r>
      <w:r w:rsidR="003D4A49">
        <w:t>has been</w:t>
      </w:r>
      <w:r w:rsidR="00E45610">
        <w:t xml:space="preserve"> noticeable</w:t>
      </w:r>
      <w:r w:rsidR="000403D7">
        <w:t xml:space="preserve"> in three areas</w:t>
      </w:r>
      <w:r w:rsidR="009E1F36">
        <w:t xml:space="preserve"> in particular, the first being community dislocation</w:t>
      </w:r>
      <w:r w:rsidR="00C50CAE">
        <w:t xml:space="preserve"> and resettlement</w:t>
      </w:r>
      <w:r w:rsidR="009E1F36">
        <w:t>.</w:t>
      </w:r>
      <w:r w:rsidR="002A2225">
        <w:t xml:space="preserve">  </w:t>
      </w:r>
      <w:r w:rsidR="003F434F">
        <w:t>During</w:t>
      </w:r>
      <w:r w:rsidR="004D51EC">
        <w:t xml:space="preserve"> the colonial period, the</w:t>
      </w:r>
      <w:r w:rsidR="007A6F33">
        <w:t>re was no</w:t>
      </w:r>
      <w:r w:rsidR="004D51EC">
        <w:t xml:space="preserve"> </w:t>
      </w:r>
      <w:r w:rsidR="007A6F33">
        <w:t>international organization</w:t>
      </w:r>
      <w:r w:rsidR="004D51EC">
        <w:t xml:space="preserve"> or coalition of international </w:t>
      </w:r>
      <w:r w:rsidR="00E45610">
        <w:t xml:space="preserve">development </w:t>
      </w:r>
      <w:r w:rsidR="00DA60DD">
        <w:t>NGOs which w</w:t>
      </w:r>
      <w:r w:rsidR="004D51EC">
        <w:t>ould weigh in on</w:t>
      </w:r>
      <w:r>
        <w:t>,</w:t>
      </w:r>
      <w:r w:rsidR="00E95AC3">
        <w:t xml:space="preserve"> </w:t>
      </w:r>
      <w:r w:rsidR="00E45610">
        <w:t xml:space="preserve">and </w:t>
      </w:r>
      <w:r w:rsidR="007A6F33">
        <w:t xml:space="preserve">attempt </w:t>
      </w:r>
      <w:r w:rsidR="00E45610">
        <w:t>influence the behaviour of</w:t>
      </w:r>
      <w:r>
        <w:t>,</w:t>
      </w:r>
      <w:r w:rsidR="004D51EC">
        <w:t xml:space="preserve"> large</w:t>
      </w:r>
      <w:r w:rsidR="00E45610">
        <w:t xml:space="preserve"> companies.  With the </w:t>
      </w:r>
      <w:r w:rsidR="003474F2">
        <w:t xml:space="preserve">sole </w:t>
      </w:r>
      <w:r w:rsidR="00E45610">
        <w:t>objective</w:t>
      </w:r>
      <w:r w:rsidR="004D51EC">
        <w:t xml:space="preserve"> </w:t>
      </w:r>
      <w:r w:rsidR="00E45610">
        <w:t xml:space="preserve">of large-scale </w:t>
      </w:r>
      <w:r w:rsidR="004D51EC">
        <w:t xml:space="preserve">industrial activity in the colonies </w:t>
      </w:r>
      <w:r w:rsidR="00DA60DD">
        <w:t>being very different</w:t>
      </w:r>
      <w:r w:rsidR="004D51EC">
        <w:t xml:space="preserve"> – principally </w:t>
      </w:r>
      <w:r w:rsidR="00EA5AAF">
        <w:t>to enrich Western Europe –</w:t>
      </w:r>
      <w:r w:rsidR="003474F2">
        <w:t xml:space="preserve"> the priority was </w:t>
      </w:r>
      <w:r w:rsidR="00394BBC">
        <w:t>extraction of</w:t>
      </w:r>
      <w:r w:rsidR="007A6F33">
        <w:t xml:space="preserve"> </w:t>
      </w:r>
      <w:r w:rsidR="00394BBC">
        <w:t>coveted mineral resource</w:t>
      </w:r>
      <w:r w:rsidR="007A6F33">
        <w:t>s</w:t>
      </w:r>
      <w:r w:rsidR="00394BBC">
        <w:t xml:space="preserve">, </w:t>
      </w:r>
      <w:r w:rsidR="003474F2">
        <w:t>with very little emphasis</w:t>
      </w:r>
      <w:r w:rsidR="00394BBC">
        <w:t>, apart from what was deemed necessary, on local development</w:t>
      </w:r>
      <w:r w:rsidR="00EB0D04">
        <w:t xml:space="preserve"> (</w:t>
      </w:r>
      <w:r w:rsidR="00DA60DD">
        <w:t xml:space="preserve">see </w:t>
      </w:r>
      <w:r w:rsidR="00EB0D04">
        <w:t>Lanning and Mueller, 1979)</w:t>
      </w:r>
      <w:r w:rsidR="00394BBC">
        <w:t xml:space="preserve">.  </w:t>
      </w:r>
      <w:r w:rsidR="00560988">
        <w:t xml:space="preserve">To </w:t>
      </w:r>
      <w:r w:rsidR="00AB79FC">
        <w:t>‘accommodate’</w:t>
      </w:r>
      <w:r>
        <w:t xml:space="preserve"> mineral</w:t>
      </w:r>
      <w:r w:rsidR="00AB79FC">
        <w:t xml:space="preserve"> extraction in </w:t>
      </w:r>
      <w:r w:rsidR="00560988">
        <w:t xml:space="preserve">colonies, communities were routinely resettled, in some instances, to different locations altogether.  One of the more extreme cases </w:t>
      </w:r>
      <w:r>
        <w:t>took place</w:t>
      </w:r>
      <w:r w:rsidR="00DA60DD">
        <w:t xml:space="preserve"> </w:t>
      </w:r>
      <w:r>
        <w:t xml:space="preserve">in </w:t>
      </w:r>
      <w:r w:rsidR="00DA60DD">
        <w:t>the South Pacific in 1945.  Here,</w:t>
      </w:r>
      <w:r w:rsidR="004E7516">
        <w:t xml:space="preserve"> colonial authorities forcibly removed a community from Banaba Island 2000 miles across the Pacific to Northern Fiji in order to clear the way for phosphate mining (Edwards, 2013).</w:t>
      </w:r>
      <w:r w:rsidR="00AB79FC">
        <w:t xml:space="preserve">  Though it may have seemed unprecedented, such large-scale resettlement was not uncommon.</w:t>
      </w:r>
    </w:p>
    <w:p w14:paraId="5E6B2BB3" w14:textId="2E95DDAD" w:rsidR="002E03C7" w:rsidRDefault="00D740A5" w:rsidP="00E45610">
      <w:pPr>
        <w:jc w:val="both"/>
      </w:pPr>
      <w:r>
        <w:t xml:space="preserve">It was at </w:t>
      </w:r>
      <w:r w:rsidR="00AB79FC">
        <w:t xml:space="preserve">about </w:t>
      </w:r>
      <w:r>
        <w:t xml:space="preserve">this time that the word ‘compensation’ </w:t>
      </w:r>
      <w:r w:rsidR="002550B5">
        <w:t>began to find</w:t>
      </w:r>
      <w:r>
        <w:t xml:space="preserve"> its way into discussion</w:t>
      </w:r>
      <w:r w:rsidR="00D920B3">
        <w:t xml:space="preserve">s on </w:t>
      </w:r>
      <w:r w:rsidR="003F37BE">
        <w:t xml:space="preserve">mine </w:t>
      </w:r>
      <w:r w:rsidR="00D920B3">
        <w:t xml:space="preserve">dislocation and </w:t>
      </w:r>
      <w:r w:rsidR="003F37BE">
        <w:t>resettlement</w:t>
      </w:r>
      <w:r w:rsidR="00D920B3">
        <w:t>.</w:t>
      </w:r>
      <w:r w:rsidR="00222C4A">
        <w:t xml:space="preserve">  </w:t>
      </w:r>
      <w:r w:rsidR="00192032">
        <w:t>This</w:t>
      </w:r>
      <w:r w:rsidR="00222C4A">
        <w:t xml:space="preserve"> </w:t>
      </w:r>
      <w:r w:rsidR="00192032">
        <w:t xml:space="preserve">was </w:t>
      </w:r>
      <w:r w:rsidR="003F37BE">
        <w:t xml:space="preserve">likely </w:t>
      </w:r>
      <w:r w:rsidR="00F0791B">
        <w:t>unavoidable</w:t>
      </w:r>
      <w:r w:rsidR="00386037">
        <w:t>, given the</w:t>
      </w:r>
      <w:r w:rsidR="00192032">
        <w:t xml:space="preserve"> </w:t>
      </w:r>
      <w:r w:rsidR="00386037">
        <w:t>growing attention that was being paid globally to the</w:t>
      </w:r>
      <w:r w:rsidR="00192032">
        <w:t xml:space="preserve"> sector’s </w:t>
      </w:r>
      <w:r w:rsidR="00386037">
        <w:t>poor health and safety record</w:t>
      </w:r>
      <w:r w:rsidR="003F37BE">
        <w:t xml:space="preserve">, </w:t>
      </w:r>
      <w:r w:rsidR="00386037">
        <w:t>a dialogue</w:t>
      </w:r>
      <w:r w:rsidR="00434962">
        <w:t xml:space="preserve"> punctuated by </w:t>
      </w:r>
      <w:r w:rsidR="00AB79FC">
        <w:t xml:space="preserve">concerns over </w:t>
      </w:r>
      <w:r w:rsidR="00386037">
        <w:t>‘black lung’ disease in Appalachia’s coal mines (</w:t>
      </w:r>
      <w:r w:rsidR="00F0791B">
        <w:t>see e.g. Rasmussen, 1970; Arnold, 2016)</w:t>
      </w:r>
      <w:r w:rsidR="00386037">
        <w:t xml:space="preserve"> and silicosis in South Africa’s gold mines (</w:t>
      </w:r>
      <w:r w:rsidR="00F0791B">
        <w:t xml:space="preserve">see e.g. </w:t>
      </w:r>
      <w:r w:rsidR="00386037">
        <w:t>Ehrlich, 2011</w:t>
      </w:r>
      <w:r w:rsidR="00F0791B">
        <w:t xml:space="preserve">; Nelson et al., 2011).  </w:t>
      </w:r>
      <w:r w:rsidR="002A7217">
        <w:t>Whilst i</w:t>
      </w:r>
      <w:r w:rsidR="00200082">
        <w:t xml:space="preserve">t was only a matter of time before </w:t>
      </w:r>
      <w:r w:rsidR="00544469">
        <w:t>guidelines</w:t>
      </w:r>
      <w:r w:rsidR="002806FC">
        <w:t xml:space="preserve"> for compensating </w:t>
      </w:r>
      <w:r w:rsidR="004624B2">
        <w:t>communities</w:t>
      </w:r>
      <w:r w:rsidR="002806FC">
        <w:t xml:space="preserve"> affected by mining were enshrined in law</w:t>
      </w:r>
      <w:r w:rsidR="003474F2">
        <w:t>s</w:t>
      </w:r>
      <w:r w:rsidR="00AB79FC">
        <w:t>,</w:t>
      </w:r>
      <w:r w:rsidR="003474F2">
        <w:t xml:space="preserve"> and land/crop payment programs</w:t>
      </w:r>
      <w:r w:rsidR="002806FC">
        <w:t xml:space="preserve"> and resettlement packages</w:t>
      </w:r>
      <w:r w:rsidR="00544469">
        <w:t>,</w:t>
      </w:r>
      <w:r w:rsidR="002806FC">
        <w:t xml:space="preserve"> </w:t>
      </w:r>
      <w:r w:rsidR="002A7217">
        <w:t>conceived, i</w:t>
      </w:r>
      <w:r w:rsidR="003474F2">
        <w:t>n the contemporary</w:t>
      </w:r>
      <w:r w:rsidR="000D0761">
        <w:t xml:space="preserve"> neoliberal era, </w:t>
      </w:r>
      <w:r w:rsidR="00AB79FC">
        <w:t xml:space="preserve">many of </w:t>
      </w:r>
      <w:r w:rsidR="000D0761">
        <w:t>these chan</w:t>
      </w:r>
      <w:r w:rsidR="002A7217">
        <w:t xml:space="preserve">ges have been largely cosmetic.  Butler (2011) </w:t>
      </w:r>
      <w:r w:rsidR="007F085F">
        <w:t>explains why</w:t>
      </w:r>
      <w:r w:rsidR="003D4A49">
        <w:t>:</w:t>
      </w:r>
    </w:p>
    <w:p w14:paraId="50784BCB" w14:textId="77777777" w:rsidR="00544469" w:rsidRDefault="00544469" w:rsidP="003D4A49">
      <w:pPr>
        <w:ind w:left="567"/>
        <w:jc w:val="both"/>
      </w:pPr>
      <w:r>
        <w:t>In the context of the neo-liberal development model, foreign-investment-led industrial mining is understood to foster economic growth and thus contribute to poverty reduction. For such reasons, local population displacements are deemed a reasonable trade-off, given the economic benefits that are purported to accrue to the nation and the local region. The challenge then is to design effective methods for the movement of populations, resettlement, and compensation packages in orde</w:t>
      </w:r>
      <w:r w:rsidR="002A7217">
        <w:t>r to maintain a “social licence”</w:t>
      </w:r>
      <w:r>
        <w:t xml:space="preserve"> to operate. However, the empirical evidence demonstrating the incidence of increased impoverishment resulting from development-induced displacement has been sobering.</w:t>
      </w:r>
      <w:r w:rsidR="00ED37E1">
        <w:t xml:space="preserve"> [p. 91]</w:t>
      </w:r>
    </w:p>
    <w:p w14:paraId="32008C74" w14:textId="7981FB00" w:rsidR="00452545" w:rsidRDefault="003474F2" w:rsidP="00E45610">
      <w:pPr>
        <w:jc w:val="both"/>
      </w:pPr>
      <w:r>
        <w:t>In fact, i</w:t>
      </w:r>
      <w:r w:rsidR="00645FC4">
        <w:t xml:space="preserve">n an era of </w:t>
      </w:r>
      <w:r w:rsidR="00E95AC3">
        <w:t>globalization</w:t>
      </w:r>
      <w:r w:rsidR="00645FC4">
        <w:t xml:space="preserve"> </w:t>
      </w:r>
      <w:r w:rsidR="00C64A17">
        <w:t>in which</w:t>
      </w:r>
      <w:r w:rsidR="00645FC4">
        <w:t xml:space="preserve"> CSR</w:t>
      </w:r>
      <w:r w:rsidR="00C64A17">
        <w:t xml:space="preserve"> has fast emerged as a centrepiece of </w:t>
      </w:r>
      <w:r w:rsidR="00266329">
        <w:t>management</w:t>
      </w:r>
      <w:r w:rsidR="00C64A17">
        <w:t xml:space="preserve"> strategy,</w:t>
      </w:r>
      <w:r w:rsidR="00266329">
        <w:t xml:space="preserve"> multinational mining compa</w:t>
      </w:r>
      <w:r w:rsidR="00CF5CAC">
        <w:t xml:space="preserve">nies </w:t>
      </w:r>
      <w:r w:rsidR="00013B41">
        <w:t>operat</w:t>
      </w:r>
      <w:r w:rsidR="00AB79FC">
        <w:t>ing in sub-Saharan Africa seem</w:t>
      </w:r>
      <w:r w:rsidR="00013B41">
        <w:t xml:space="preserve"> to have changed their position on</w:t>
      </w:r>
      <w:r w:rsidR="00F52F24">
        <w:t xml:space="preserve">, and </w:t>
      </w:r>
      <w:r w:rsidR="005B68C2">
        <w:t>portrayal</w:t>
      </w:r>
      <w:r w:rsidR="00F52F24">
        <w:t xml:space="preserve"> of,</w:t>
      </w:r>
      <w:r w:rsidR="00013B41">
        <w:t xml:space="preserve"> resettlement.</w:t>
      </w:r>
      <w:r w:rsidR="002B37CD">
        <w:t xml:space="preserve">  </w:t>
      </w:r>
      <w:r w:rsidR="00361DE9">
        <w:t xml:space="preserve">Mine-induced </w:t>
      </w:r>
      <w:r w:rsidR="002B37CD">
        <w:t>displacement</w:t>
      </w:r>
      <w:r w:rsidR="00361DE9">
        <w:t>, whether voluntary or involuntary,</w:t>
      </w:r>
      <w:r w:rsidR="002B37CD">
        <w:t xml:space="preserve"> has long been</w:t>
      </w:r>
      <w:r w:rsidR="003A2235">
        <w:t xml:space="preserve"> recognized as </w:t>
      </w:r>
      <w:r w:rsidR="002B37CD">
        <w:t>destructive, causing</w:t>
      </w:r>
      <w:r w:rsidR="00CF5CAC">
        <w:t xml:space="preserve"> irreversible</w:t>
      </w:r>
      <w:r w:rsidR="00013B41">
        <w:t xml:space="preserve"> damage to </w:t>
      </w:r>
      <w:r w:rsidR="003A2235">
        <w:t xml:space="preserve">the social and cultural fabric of surrounding </w:t>
      </w:r>
      <w:r w:rsidR="00361DE9">
        <w:t>communities.  Yet,</w:t>
      </w:r>
      <w:r w:rsidR="003A2235">
        <w:t xml:space="preserve"> mine management</w:t>
      </w:r>
      <w:r w:rsidR="00503245">
        <w:t xml:space="preserve"> </w:t>
      </w:r>
      <w:r w:rsidR="007F7610">
        <w:t>today expends</w:t>
      </w:r>
      <w:r w:rsidR="00503245">
        <w:t xml:space="preserve"> </w:t>
      </w:r>
      <w:r w:rsidR="0001172B">
        <w:t>a considerable amount of energy p</w:t>
      </w:r>
      <w:r w:rsidR="007F7610">
        <w:t>ortraying</w:t>
      </w:r>
      <w:r w:rsidR="002B37CD">
        <w:t xml:space="preserve"> </w:t>
      </w:r>
      <w:r w:rsidR="0001172B">
        <w:t xml:space="preserve">the </w:t>
      </w:r>
      <w:r w:rsidR="007F7610">
        <w:t>inevitable</w:t>
      </w:r>
      <w:r w:rsidR="00FF61D6">
        <w:t xml:space="preserve"> </w:t>
      </w:r>
      <w:r w:rsidR="007F7610">
        <w:t xml:space="preserve">community </w:t>
      </w:r>
      <w:r w:rsidR="002B37CD">
        <w:t xml:space="preserve">resettlement </w:t>
      </w:r>
      <w:r w:rsidR="00AB79FC">
        <w:t xml:space="preserve">efforts </w:t>
      </w:r>
      <w:r w:rsidR="00361DE9">
        <w:t xml:space="preserve">and compensation exercises </w:t>
      </w:r>
      <w:r w:rsidR="002B37CD">
        <w:t>in a positive light.</w:t>
      </w:r>
      <w:r w:rsidR="00452545">
        <w:t xml:space="preserve">  </w:t>
      </w:r>
      <w:r w:rsidR="001319FB">
        <w:t xml:space="preserve">For example, on the subject of </w:t>
      </w:r>
      <w:r w:rsidR="00664829">
        <w:t>‘Resettlement and Compensation’</w:t>
      </w:r>
      <w:r w:rsidR="001319FB">
        <w:t xml:space="preserve">, </w:t>
      </w:r>
      <w:r w:rsidR="00452545">
        <w:t>Rio Tinto, which has major projects in Guinea, Mozambique, Madagascar</w:t>
      </w:r>
      <w:r w:rsidR="001319FB">
        <w:t>, Namibia and South Africa, states the following on its website:</w:t>
      </w:r>
    </w:p>
    <w:p w14:paraId="5A191295" w14:textId="76AD405C" w:rsidR="00E134A2" w:rsidRDefault="00452545" w:rsidP="00E134A2">
      <w:pPr>
        <w:spacing w:after="0"/>
        <w:ind w:left="567"/>
        <w:jc w:val="both"/>
      </w:pPr>
      <w:r w:rsidRPr="001319FB">
        <w:rPr>
          <w:rFonts w:cs="Arial"/>
          <w:shd w:val="clear" w:color="auto" w:fill="FFFFFF"/>
        </w:rPr>
        <w:t xml:space="preserve">We explore all viable alternative project designs in order to minimise the need to resettle individuals and communities. Only where it is unavoidable do we resettle people or displace existing economic activity. We do not view resettlement as a short-term relocation activity: our goal is to improve the livelihoods of those resettled and their future generations over the long </w:t>
      </w:r>
      <w:r w:rsidRPr="001319FB">
        <w:rPr>
          <w:rFonts w:cs="Arial"/>
          <w:shd w:val="clear" w:color="auto" w:fill="FFFFFF"/>
        </w:rPr>
        <w:lastRenderedPageBreak/>
        <w:t>term. Our intention is that resettled people will be better off over time as a result of resettlement – according to their own assessment and external expert review.</w:t>
      </w:r>
      <w:r w:rsidR="00664829">
        <w:rPr>
          <w:rStyle w:val="FootnoteReference"/>
        </w:rPr>
        <w:footnoteReference w:id="1"/>
      </w:r>
      <w:r w:rsidR="009C37EA" w:rsidRPr="001319FB">
        <w:t xml:space="preserve"> </w:t>
      </w:r>
    </w:p>
    <w:p w14:paraId="0EEAD32C" w14:textId="77777777" w:rsidR="00E134A2" w:rsidRDefault="00E134A2" w:rsidP="00E134A2">
      <w:pPr>
        <w:spacing w:after="0"/>
        <w:ind w:left="567"/>
        <w:jc w:val="both"/>
      </w:pPr>
    </w:p>
    <w:p w14:paraId="61B3E7D2" w14:textId="40D52C10" w:rsidR="00E134A2" w:rsidRDefault="00664829" w:rsidP="00E134A2">
      <w:pPr>
        <w:spacing w:after="0"/>
        <w:jc w:val="both"/>
        <w:rPr>
          <w:rFonts w:cs="Arial"/>
          <w:sz w:val="21"/>
          <w:szCs w:val="21"/>
          <w:shd w:val="clear" w:color="auto" w:fill="FFFFFF"/>
        </w:rPr>
      </w:pPr>
      <w:r w:rsidRPr="005E2BE6">
        <w:t>AngloGold</w:t>
      </w:r>
      <w:r w:rsidR="003474F2">
        <w:t xml:space="preserve"> Ashanti</w:t>
      </w:r>
      <w:r w:rsidRPr="005E2BE6">
        <w:t>, which has interest</w:t>
      </w:r>
      <w:r w:rsidR="00B87CC3" w:rsidRPr="005E2BE6">
        <w:t>s in Ghana, Tanzania, DR Congo, Guinea and Mali, has in place a similar policy</w:t>
      </w:r>
      <w:r w:rsidR="00503245">
        <w:t>,</w:t>
      </w:r>
      <w:r w:rsidR="005E2BE6" w:rsidRPr="005E2BE6">
        <w:t xml:space="preserve"> Ensuring Fair Resettlement and Compensation</w:t>
      </w:r>
      <w:r w:rsidR="00B87CC3" w:rsidRPr="005E2BE6">
        <w:t>.</w:t>
      </w:r>
      <w:r w:rsidR="00AB79FC">
        <w:t xml:space="preserve">  It</w:t>
      </w:r>
      <w:r w:rsidR="005E2BE6" w:rsidRPr="005E2BE6">
        <w:t xml:space="preserve"> </w:t>
      </w:r>
      <w:r w:rsidR="00E134A2">
        <w:t>states that</w:t>
      </w:r>
      <w:r w:rsidR="005E2BE6" w:rsidRPr="005E2BE6">
        <w:t xml:space="preserve"> ‘</w:t>
      </w:r>
      <w:r w:rsidRPr="005E2BE6">
        <w:rPr>
          <w:rFonts w:cs="Arial"/>
          <w:sz w:val="21"/>
          <w:szCs w:val="21"/>
          <w:shd w:val="clear" w:color="auto" w:fill="FFFFFF"/>
        </w:rPr>
        <w:t>The resettlement of any community is a complex and highly sensitive process that requires consideration of economic, social and cultural issues</w:t>
      </w:r>
      <w:r w:rsidR="005E2BE6" w:rsidRPr="005E2BE6">
        <w:rPr>
          <w:rFonts w:cs="Arial"/>
          <w:sz w:val="21"/>
          <w:szCs w:val="21"/>
          <w:shd w:val="clear" w:color="auto" w:fill="FFFFFF"/>
        </w:rPr>
        <w:t>’, and that</w:t>
      </w:r>
      <w:r w:rsidRPr="005E2BE6">
        <w:rPr>
          <w:rFonts w:cs="Arial"/>
          <w:sz w:val="21"/>
          <w:szCs w:val="21"/>
          <w:shd w:val="clear" w:color="auto" w:fill="FFFFFF"/>
        </w:rPr>
        <w:t xml:space="preserve"> </w:t>
      </w:r>
      <w:r w:rsidR="005E2BE6" w:rsidRPr="005E2BE6">
        <w:rPr>
          <w:rFonts w:cs="Arial"/>
          <w:sz w:val="21"/>
          <w:szCs w:val="21"/>
          <w:shd w:val="clear" w:color="auto" w:fill="FFFFFF"/>
        </w:rPr>
        <w:t>‘</w:t>
      </w:r>
      <w:r w:rsidRPr="005E2BE6">
        <w:rPr>
          <w:rFonts w:cs="Arial"/>
          <w:sz w:val="21"/>
          <w:szCs w:val="21"/>
          <w:shd w:val="clear" w:color="auto" w:fill="FFFFFF"/>
        </w:rPr>
        <w:t>For the resettlement process to be successful and conflict-free, it must be built around the needs and priorities of the community</w:t>
      </w:r>
      <w:r w:rsidR="005E2BE6" w:rsidRPr="005E2BE6">
        <w:rPr>
          <w:rFonts w:cs="Arial"/>
          <w:sz w:val="21"/>
          <w:szCs w:val="21"/>
          <w:shd w:val="clear" w:color="auto" w:fill="FFFFFF"/>
        </w:rPr>
        <w:t>’ and</w:t>
      </w:r>
      <w:r w:rsidRPr="005E2BE6">
        <w:rPr>
          <w:rFonts w:cs="Arial"/>
          <w:sz w:val="21"/>
          <w:szCs w:val="21"/>
          <w:shd w:val="clear" w:color="auto" w:fill="FFFFFF"/>
        </w:rPr>
        <w:t xml:space="preserve"> </w:t>
      </w:r>
      <w:r w:rsidR="005E2BE6" w:rsidRPr="005E2BE6">
        <w:rPr>
          <w:rFonts w:cs="Arial"/>
          <w:sz w:val="21"/>
          <w:szCs w:val="21"/>
          <w:shd w:val="clear" w:color="auto" w:fill="FFFFFF"/>
        </w:rPr>
        <w:t>‘</w:t>
      </w:r>
      <w:r w:rsidRPr="005E2BE6">
        <w:rPr>
          <w:rFonts w:cs="Arial"/>
          <w:sz w:val="21"/>
          <w:szCs w:val="21"/>
          <w:shd w:val="clear" w:color="auto" w:fill="FFFFFF"/>
        </w:rPr>
        <w:t>acknowledge the importance of engaging with affected communities throughout the process and work towards improving this aspect of our work</w:t>
      </w:r>
      <w:r w:rsidR="005E2BE6" w:rsidRPr="005E2BE6">
        <w:rPr>
          <w:rFonts w:cs="Arial"/>
          <w:sz w:val="21"/>
          <w:szCs w:val="21"/>
          <w:shd w:val="clear" w:color="auto" w:fill="FFFFFF"/>
        </w:rPr>
        <w:t>’</w:t>
      </w:r>
      <w:r w:rsidRPr="005E2BE6">
        <w:rPr>
          <w:rFonts w:cs="Arial"/>
          <w:sz w:val="21"/>
          <w:szCs w:val="21"/>
          <w:shd w:val="clear" w:color="auto" w:fill="FFFFFF"/>
        </w:rPr>
        <w:t>.</w:t>
      </w:r>
      <w:r w:rsidR="005E2BE6" w:rsidRPr="005E2BE6">
        <w:rPr>
          <w:rStyle w:val="FootnoteReference"/>
          <w:rFonts w:cs="Arial"/>
          <w:sz w:val="21"/>
          <w:szCs w:val="21"/>
          <w:shd w:val="clear" w:color="auto" w:fill="FFFFFF"/>
        </w:rPr>
        <w:footnoteReference w:id="2"/>
      </w:r>
    </w:p>
    <w:p w14:paraId="4DD13CE7" w14:textId="77777777" w:rsidR="00E134A2" w:rsidRDefault="00E134A2" w:rsidP="00E134A2">
      <w:pPr>
        <w:spacing w:after="0"/>
        <w:jc w:val="both"/>
        <w:rPr>
          <w:rFonts w:cs="Arial"/>
          <w:sz w:val="21"/>
          <w:szCs w:val="21"/>
          <w:shd w:val="clear" w:color="auto" w:fill="FFFFFF"/>
        </w:rPr>
      </w:pPr>
    </w:p>
    <w:p w14:paraId="6F1A4D0C" w14:textId="4D0828C5" w:rsidR="00FD1B01" w:rsidRDefault="009B2029" w:rsidP="00804F21">
      <w:pPr>
        <w:spacing w:after="0"/>
        <w:jc w:val="both"/>
      </w:pPr>
      <w:r>
        <w:rPr>
          <w:rFonts w:cs="Arial"/>
          <w:sz w:val="21"/>
          <w:szCs w:val="21"/>
          <w:shd w:val="clear" w:color="auto" w:fill="FFFFFF"/>
        </w:rPr>
        <w:t>But</w:t>
      </w:r>
      <w:r w:rsidR="00E134A2">
        <w:rPr>
          <w:rFonts w:cs="Arial"/>
          <w:sz w:val="21"/>
          <w:szCs w:val="21"/>
          <w:shd w:val="clear" w:color="auto" w:fill="FFFFFF"/>
        </w:rPr>
        <w:t xml:space="preserve"> </w:t>
      </w:r>
      <w:r w:rsidR="00AB79FC">
        <w:rPr>
          <w:rFonts w:cs="Arial"/>
          <w:sz w:val="21"/>
          <w:szCs w:val="21"/>
          <w:shd w:val="clear" w:color="auto" w:fill="FFFFFF"/>
        </w:rPr>
        <w:t xml:space="preserve">with </w:t>
      </w:r>
      <w:r w:rsidR="00E134A2">
        <w:rPr>
          <w:rFonts w:cs="Arial"/>
          <w:sz w:val="21"/>
          <w:szCs w:val="21"/>
          <w:shd w:val="clear" w:color="auto" w:fill="FFFFFF"/>
        </w:rPr>
        <w:t>so little knowledge about the dynamics, needs and aspirations of local populations</w:t>
      </w:r>
      <w:r>
        <w:rPr>
          <w:rFonts w:cs="Arial"/>
          <w:sz w:val="21"/>
          <w:szCs w:val="21"/>
          <w:shd w:val="clear" w:color="auto" w:fill="FFFFFF"/>
        </w:rPr>
        <w:t xml:space="preserve">, </w:t>
      </w:r>
      <w:r w:rsidR="00E134A2">
        <w:rPr>
          <w:rFonts w:cs="Arial"/>
          <w:sz w:val="21"/>
          <w:szCs w:val="21"/>
          <w:shd w:val="clear" w:color="auto" w:fill="FFFFFF"/>
        </w:rPr>
        <w:t xml:space="preserve">it is unclear how mine management </w:t>
      </w:r>
      <w:r w:rsidR="00804F21">
        <w:rPr>
          <w:rFonts w:cs="Arial"/>
          <w:sz w:val="21"/>
          <w:szCs w:val="21"/>
          <w:shd w:val="clear" w:color="auto" w:fill="FFFFFF"/>
        </w:rPr>
        <w:t>could possi</w:t>
      </w:r>
      <w:r w:rsidR="00AB79FC">
        <w:rPr>
          <w:rFonts w:cs="Arial"/>
          <w:sz w:val="21"/>
          <w:szCs w:val="21"/>
          <w:shd w:val="clear" w:color="auto" w:fill="FFFFFF"/>
        </w:rPr>
        <w:t>bly determine what</w:t>
      </w:r>
      <w:r w:rsidR="00804F21">
        <w:rPr>
          <w:rFonts w:cs="Arial"/>
          <w:sz w:val="21"/>
          <w:szCs w:val="21"/>
          <w:shd w:val="clear" w:color="auto" w:fill="FFFFFF"/>
        </w:rPr>
        <w:t xml:space="preserve"> constitute</w:t>
      </w:r>
      <w:r w:rsidR="00AB79FC">
        <w:rPr>
          <w:rFonts w:cs="Arial"/>
          <w:sz w:val="21"/>
          <w:szCs w:val="21"/>
          <w:shd w:val="clear" w:color="auto" w:fill="FFFFFF"/>
        </w:rPr>
        <w:t>s</w:t>
      </w:r>
      <w:r w:rsidR="00804F21">
        <w:rPr>
          <w:rFonts w:cs="Arial"/>
          <w:sz w:val="21"/>
          <w:szCs w:val="21"/>
          <w:shd w:val="clear" w:color="auto" w:fill="FFFFFF"/>
        </w:rPr>
        <w:t xml:space="preserve"> ‘better off’</w:t>
      </w:r>
      <w:r w:rsidR="00AB79FC">
        <w:rPr>
          <w:rFonts w:cs="Arial"/>
          <w:sz w:val="21"/>
          <w:szCs w:val="21"/>
          <w:shd w:val="clear" w:color="auto" w:fill="FFFFFF"/>
        </w:rPr>
        <w:t>, and</w:t>
      </w:r>
      <w:r w:rsidR="00804F21">
        <w:rPr>
          <w:rFonts w:cs="Arial"/>
          <w:sz w:val="21"/>
          <w:szCs w:val="21"/>
          <w:shd w:val="clear" w:color="auto" w:fill="FFFFFF"/>
        </w:rPr>
        <w:t xml:space="preserve"> whether a resettlement </w:t>
      </w:r>
      <w:r w:rsidR="00F73D45">
        <w:rPr>
          <w:rFonts w:cs="Arial"/>
          <w:sz w:val="21"/>
          <w:szCs w:val="21"/>
          <w:shd w:val="clear" w:color="auto" w:fill="FFFFFF"/>
        </w:rPr>
        <w:t>can be</w:t>
      </w:r>
      <w:r w:rsidR="00804F21">
        <w:rPr>
          <w:rFonts w:cs="Arial"/>
          <w:sz w:val="21"/>
          <w:szCs w:val="21"/>
          <w:shd w:val="clear" w:color="auto" w:fill="FFFFFF"/>
        </w:rPr>
        <w:t xml:space="preserve"> ‘successful’</w:t>
      </w:r>
      <w:r w:rsidR="00975E93">
        <w:rPr>
          <w:rFonts w:cs="Arial"/>
          <w:sz w:val="21"/>
          <w:szCs w:val="21"/>
          <w:shd w:val="clear" w:color="auto" w:fill="FFFFFF"/>
        </w:rPr>
        <w:t>.</w:t>
      </w:r>
      <w:r w:rsidR="00804F21">
        <w:rPr>
          <w:rFonts w:cs="Arial"/>
          <w:sz w:val="21"/>
          <w:szCs w:val="21"/>
          <w:shd w:val="clear" w:color="auto" w:fill="FFFFFF"/>
        </w:rPr>
        <w:t xml:space="preserve">   This could explain why, in sub-Saharan Africa, </w:t>
      </w:r>
      <w:r>
        <w:rPr>
          <w:rFonts w:cs="Arial"/>
          <w:sz w:val="21"/>
          <w:szCs w:val="21"/>
          <w:shd w:val="clear" w:color="auto" w:fill="FFFFFF"/>
        </w:rPr>
        <w:t>most</w:t>
      </w:r>
      <w:r w:rsidR="00804F21">
        <w:t xml:space="preserve"> mine-induced displacement</w:t>
      </w:r>
      <w:r>
        <w:t>s</w:t>
      </w:r>
      <w:r w:rsidR="00804F21">
        <w:t xml:space="preserve"> and resettlement</w:t>
      </w:r>
      <w:r>
        <w:t>s</w:t>
      </w:r>
      <w:r w:rsidR="00804F21">
        <w:t>, from Sadiola in Mali to Benga in Mozambique</w:t>
      </w:r>
      <w:r w:rsidR="00A76D83">
        <w:t xml:space="preserve"> (</w:t>
      </w:r>
      <w:r w:rsidR="005C5463">
        <w:t>Jul-Larsen et al., 2006;</w:t>
      </w:r>
      <w:r w:rsidR="004420DF">
        <w:t xml:space="preserve"> Lillywhite et al., 2015</w:t>
      </w:r>
      <w:r w:rsidR="004339E2">
        <w:t>; Adam et al., 2015</w:t>
      </w:r>
      <w:r w:rsidR="00A76D83">
        <w:t>)</w:t>
      </w:r>
      <w:r w:rsidR="00804F21">
        <w:t xml:space="preserve">, </w:t>
      </w:r>
      <w:r>
        <w:t>have</w:t>
      </w:r>
      <w:r w:rsidR="00804F21">
        <w:t xml:space="preserve"> experienced </w:t>
      </w:r>
      <w:r w:rsidR="00AB79FC">
        <w:t>their</w:t>
      </w:r>
      <w:r w:rsidR="00804F21">
        <w:t xml:space="preserve"> share o</w:t>
      </w:r>
      <w:r>
        <w:t>f well-docum</w:t>
      </w:r>
      <w:r w:rsidR="00263042">
        <w:t>ented complications (see Table 1</w:t>
      </w:r>
      <w:r>
        <w:t>).</w:t>
      </w:r>
      <w:r w:rsidR="00EE59BF">
        <w:t xml:space="preserve">  </w:t>
      </w:r>
      <w:r w:rsidR="00730D8B">
        <w:t>It appears that mine managers and executives, s</w:t>
      </w:r>
      <w:r>
        <w:t>hielded</w:t>
      </w:r>
      <w:r w:rsidR="00730D8B">
        <w:t xml:space="preserve"> </w:t>
      </w:r>
      <w:r>
        <w:t>by</w:t>
      </w:r>
      <w:r w:rsidR="00EE59BF">
        <w:t xml:space="preserve"> a</w:t>
      </w:r>
      <w:r>
        <w:t xml:space="preserve"> bevy of newly-minted international acts, codes of practices and agreements that have emerged in the area of communi</w:t>
      </w:r>
      <w:r w:rsidR="00E510AA">
        <w:t>ty development and protection, as well as the International Council on Min</w:t>
      </w:r>
      <w:r w:rsidR="00EE59BF">
        <w:t xml:space="preserve">ing and Metals, </w:t>
      </w:r>
      <w:r w:rsidR="00E510AA">
        <w:t xml:space="preserve">the </w:t>
      </w:r>
      <w:r w:rsidR="00EE59BF">
        <w:t xml:space="preserve">industry’s </w:t>
      </w:r>
      <w:r w:rsidR="00E510AA">
        <w:t xml:space="preserve">mouthpiece </w:t>
      </w:r>
      <w:r w:rsidR="00EE59BF">
        <w:t>on</w:t>
      </w:r>
      <w:r w:rsidR="00E510AA">
        <w:t xml:space="preserve"> sustainable development issues</w:t>
      </w:r>
      <w:r w:rsidR="00A76D83">
        <w:t xml:space="preserve"> (</w:t>
      </w:r>
      <w:r w:rsidR="005E25F3">
        <w:t>Sethi, 2005; Seth</w:t>
      </w:r>
      <w:r w:rsidR="00882BE7">
        <w:t>i and Emelianova 2006; Jarvie-Eggart, 2013</w:t>
      </w:r>
      <w:r w:rsidR="00A76D83">
        <w:t>)</w:t>
      </w:r>
      <w:r w:rsidR="00B67208">
        <w:t xml:space="preserve">, </w:t>
      </w:r>
      <w:r w:rsidR="00730D8B">
        <w:t>have not felt compelled nor pressured to make wholesale changes to mine resettlement strategy at their Africa-based projects.  Certainly, m</w:t>
      </w:r>
      <w:r w:rsidR="00E510AA">
        <w:t xml:space="preserve">ost have outwardly pledged to </w:t>
      </w:r>
      <w:r w:rsidR="006128E9">
        <w:t>fulfilling</w:t>
      </w:r>
      <w:r w:rsidR="001F4B90">
        <w:t xml:space="preserve"> </w:t>
      </w:r>
      <w:r w:rsidR="003C48CA">
        <w:t>the requirements of a</w:t>
      </w:r>
      <w:r w:rsidR="00942B2D">
        <w:t xml:space="preserve"> number</w:t>
      </w:r>
      <w:r w:rsidR="001F4B90">
        <w:t xml:space="preserve"> of these </w:t>
      </w:r>
      <w:r w:rsidR="00942B2D">
        <w:t>policies and pacts</w:t>
      </w:r>
      <w:r w:rsidR="00F07AC2">
        <w:t xml:space="preserve">, using community development jargon </w:t>
      </w:r>
      <w:r w:rsidR="00730D8B">
        <w:t>creatively</w:t>
      </w:r>
      <w:r w:rsidR="00503245">
        <w:t>,</w:t>
      </w:r>
      <w:r w:rsidR="00730D8B">
        <w:t xml:space="preserve"> </w:t>
      </w:r>
      <w:r w:rsidR="00503245">
        <w:t>and</w:t>
      </w:r>
      <w:r w:rsidR="00730D8B">
        <w:t xml:space="preserve"> CSR </w:t>
      </w:r>
      <w:r w:rsidR="00F07AC2">
        <w:t>rhetoric and phrases</w:t>
      </w:r>
      <w:r w:rsidR="00503245">
        <w:t xml:space="preserve"> frequently</w:t>
      </w:r>
      <w:r w:rsidR="00F07AC2">
        <w:t>.</w:t>
      </w:r>
      <w:r w:rsidR="00503245">
        <w:t xml:space="preserve">  Consider, once again,</w:t>
      </w:r>
      <w:r w:rsidR="00FD1B01">
        <w:t xml:space="preserve"> the cases of </w:t>
      </w:r>
      <w:r w:rsidR="00975E93">
        <w:t xml:space="preserve">the aforementioned </w:t>
      </w:r>
      <w:r w:rsidR="00503245">
        <w:t xml:space="preserve">Rio Tinto and AngloGold Ashanti.  Management at </w:t>
      </w:r>
      <w:r w:rsidR="00FD1B01">
        <w:t>the former claim that ‘resettlement is avoided where possible, and where unavoidable proceeds in compliance with the IFC Performance Standard 5 on “Land Acquisition and Involuntary Resettlement”’,</w:t>
      </w:r>
      <w:r w:rsidR="00FD1B01">
        <w:rPr>
          <w:rStyle w:val="FootnoteReference"/>
        </w:rPr>
        <w:footnoteReference w:id="3"/>
      </w:r>
      <w:r w:rsidR="00FD1B01">
        <w:t xml:space="preserve"> whilst officials at the latter stipulate that ‘All assessment, land access and acquisition and resettlement activities must be carried out in accordance with host country policies and regulations; and embody the principles, observe the provisions and comply with the IFC’s Performance Standard 1 (Social and Environmental Assessment and Management Systems) and Performance Standard 5 (Land Acquisition and Involuntary Resettlement)’.</w:t>
      </w:r>
      <w:r w:rsidR="00975E93">
        <w:rPr>
          <w:rStyle w:val="FootnoteReference"/>
        </w:rPr>
        <w:footnoteReference w:id="4"/>
      </w:r>
      <w:r w:rsidR="00975E93">
        <w:t xml:space="preserve">  Overall, the mining industry has repackaged dislocation and resettlement as pos</w:t>
      </w:r>
      <w:r w:rsidR="008D4AC9">
        <w:t>itive undertaki</w:t>
      </w:r>
      <w:r w:rsidR="00503245">
        <w:t>ngs, forging</w:t>
      </w:r>
      <w:r w:rsidR="008D4AC9">
        <w:t xml:space="preserve"> ahead with exercises that mirror</w:t>
      </w:r>
      <w:r w:rsidR="00975E93">
        <w:t xml:space="preserve"> </w:t>
      </w:r>
      <w:r w:rsidR="008D4AC9">
        <w:t>those pursued during the colonial period</w:t>
      </w:r>
      <w:r w:rsidR="00975E93">
        <w:t xml:space="preserve"> </w:t>
      </w:r>
      <w:r w:rsidR="008D4AC9">
        <w:t>and early years of country independence</w:t>
      </w:r>
      <w:r w:rsidR="00DA677F">
        <w:t xml:space="preserve"> to accommodate economic interests</w:t>
      </w:r>
      <w:r w:rsidR="008D4AC9">
        <w:t>.</w:t>
      </w:r>
      <w:r w:rsidR="00975E93">
        <w:t xml:space="preserve">  </w:t>
      </w:r>
    </w:p>
    <w:p w14:paraId="02D6B0AF" w14:textId="48FF0D17" w:rsidR="00823E02" w:rsidRDefault="00823E02" w:rsidP="00804F21">
      <w:pPr>
        <w:spacing w:after="0"/>
        <w:jc w:val="both"/>
      </w:pPr>
    </w:p>
    <w:p w14:paraId="0DD65268" w14:textId="722412A8" w:rsidR="00581CCE" w:rsidRDefault="00581CCE" w:rsidP="00804F21">
      <w:pPr>
        <w:spacing w:after="0"/>
        <w:jc w:val="both"/>
      </w:pPr>
    </w:p>
    <w:p w14:paraId="6CEC9DAE" w14:textId="4C6A16B8" w:rsidR="00581CCE" w:rsidRDefault="00581CCE" w:rsidP="00804F21">
      <w:pPr>
        <w:spacing w:after="0"/>
        <w:jc w:val="both"/>
      </w:pPr>
    </w:p>
    <w:p w14:paraId="1CF66A16" w14:textId="77777777" w:rsidR="00581CCE" w:rsidRDefault="00581CCE" w:rsidP="00804F21">
      <w:pPr>
        <w:spacing w:after="0"/>
        <w:jc w:val="both"/>
      </w:pPr>
    </w:p>
    <w:p w14:paraId="34F7FF4B" w14:textId="196880D6" w:rsidR="00350A8B" w:rsidRDefault="00263042" w:rsidP="009E0576">
      <w:r>
        <w:rPr>
          <w:b/>
        </w:rPr>
        <w:t>Table 1</w:t>
      </w:r>
      <w:r w:rsidR="00350A8B">
        <w:rPr>
          <w:b/>
        </w:rPr>
        <w:t xml:space="preserve">: </w:t>
      </w:r>
      <w:r w:rsidR="00350A8B">
        <w:t>Selected mine-induced displacements in sub-Saharan Africa</w:t>
      </w:r>
    </w:p>
    <w:p w14:paraId="5923564D" w14:textId="77777777" w:rsidR="00A67653" w:rsidRDefault="00A67653" w:rsidP="00804F21">
      <w:pPr>
        <w:spacing w:after="0"/>
        <w:jc w:val="both"/>
      </w:pPr>
    </w:p>
    <w:tbl>
      <w:tblPr>
        <w:tblStyle w:val="TableGrid"/>
        <w:tblW w:w="9900" w:type="dxa"/>
        <w:tblInd w:w="-275" w:type="dxa"/>
        <w:tblLook w:val="04A0" w:firstRow="1" w:lastRow="0" w:firstColumn="1" w:lastColumn="0" w:noHBand="0" w:noVBand="1"/>
      </w:tblPr>
      <w:tblGrid>
        <w:gridCol w:w="1170"/>
        <w:gridCol w:w="899"/>
        <w:gridCol w:w="1916"/>
        <w:gridCol w:w="1596"/>
        <w:gridCol w:w="4319"/>
      </w:tblGrid>
      <w:tr w:rsidR="00263042" w:rsidRPr="00E2524C" w14:paraId="7142722F" w14:textId="77777777" w:rsidTr="00466CBC">
        <w:trPr>
          <w:trHeight w:val="575"/>
        </w:trPr>
        <w:tc>
          <w:tcPr>
            <w:tcW w:w="1170" w:type="dxa"/>
          </w:tcPr>
          <w:p w14:paraId="730195C2" w14:textId="77777777" w:rsidR="00263042" w:rsidRPr="00263042" w:rsidRDefault="00263042" w:rsidP="00053537">
            <w:pPr>
              <w:pStyle w:val="xmsonormal"/>
              <w:contextualSpacing/>
              <w:jc w:val="both"/>
              <w:rPr>
                <w:rFonts w:asciiTheme="minorHAnsi" w:hAnsiTheme="minorHAnsi"/>
                <w:b/>
                <w:sz w:val="22"/>
                <w:szCs w:val="22"/>
              </w:rPr>
            </w:pPr>
            <w:r w:rsidRPr="00263042">
              <w:rPr>
                <w:rFonts w:asciiTheme="minorHAnsi" w:hAnsiTheme="minorHAnsi"/>
                <w:b/>
                <w:sz w:val="22"/>
                <w:szCs w:val="22"/>
              </w:rPr>
              <w:t>Country</w:t>
            </w:r>
          </w:p>
        </w:tc>
        <w:tc>
          <w:tcPr>
            <w:tcW w:w="899" w:type="dxa"/>
          </w:tcPr>
          <w:p w14:paraId="1EDB1BEE" w14:textId="77777777" w:rsidR="00263042" w:rsidRPr="00263042" w:rsidRDefault="00263042" w:rsidP="00053537">
            <w:pPr>
              <w:pStyle w:val="xmsonormal"/>
              <w:contextualSpacing/>
              <w:jc w:val="both"/>
              <w:rPr>
                <w:rFonts w:asciiTheme="minorHAnsi" w:hAnsiTheme="minorHAnsi"/>
                <w:b/>
                <w:sz w:val="22"/>
                <w:szCs w:val="22"/>
              </w:rPr>
            </w:pPr>
            <w:r w:rsidRPr="00263042">
              <w:rPr>
                <w:rFonts w:asciiTheme="minorHAnsi" w:hAnsiTheme="minorHAnsi"/>
                <w:b/>
                <w:sz w:val="22"/>
                <w:szCs w:val="22"/>
              </w:rPr>
              <w:t>Year</w:t>
            </w:r>
          </w:p>
        </w:tc>
        <w:tc>
          <w:tcPr>
            <w:tcW w:w="1916" w:type="dxa"/>
          </w:tcPr>
          <w:p w14:paraId="56CB3507" w14:textId="77777777" w:rsidR="00263042" w:rsidRPr="00263042" w:rsidRDefault="00263042" w:rsidP="00053537">
            <w:pPr>
              <w:pStyle w:val="xmsonormal"/>
              <w:contextualSpacing/>
              <w:jc w:val="both"/>
              <w:rPr>
                <w:rFonts w:asciiTheme="minorHAnsi" w:hAnsiTheme="minorHAnsi"/>
                <w:b/>
                <w:sz w:val="22"/>
                <w:szCs w:val="22"/>
              </w:rPr>
            </w:pPr>
            <w:r w:rsidRPr="00263042">
              <w:rPr>
                <w:rFonts w:asciiTheme="minorHAnsi" w:hAnsiTheme="minorHAnsi"/>
                <w:b/>
                <w:sz w:val="22"/>
                <w:szCs w:val="22"/>
              </w:rPr>
              <w:t>Mining company</w:t>
            </w:r>
          </w:p>
        </w:tc>
        <w:tc>
          <w:tcPr>
            <w:tcW w:w="1596" w:type="dxa"/>
          </w:tcPr>
          <w:p w14:paraId="4CBE36E4" w14:textId="77777777" w:rsidR="00263042" w:rsidRPr="00263042" w:rsidRDefault="00263042" w:rsidP="00053537">
            <w:pPr>
              <w:pStyle w:val="xmsonormal"/>
              <w:contextualSpacing/>
              <w:jc w:val="both"/>
              <w:rPr>
                <w:rFonts w:asciiTheme="minorHAnsi" w:hAnsiTheme="minorHAnsi"/>
                <w:b/>
                <w:sz w:val="22"/>
                <w:szCs w:val="22"/>
              </w:rPr>
            </w:pPr>
            <w:r w:rsidRPr="00263042">
              <w:rPr>
                <w:rFonts w:asciiTheme="minorHAnsi" w:hAnsiTheme="minorHAnsi"/>
                <w:b/>
                <w:sz w:val="22"/>
                <w:szCs w:val="22"/>
              </w:rPr>
              <w:t xml:space="preserve">Mine </w:t>
            </w:r>
          </w:p>
        </w:tc>
        <w:tc>
          <w:tcPr>
            <w:tcW w:w="4319" w:type="dxa"/>
          </w:tcPr>
          <w:p w14:paraId="384CB181" w14:textId="77777777" w:rsidR="00263042" w:rsidRPr="00263042" w:rsidRDefault="00263042" w:rsidP="00053537">
            <w:pPr>
              <w:pStyle w:val="xmsonormal"/>
              <w:contextualSpacing/>
              <w:jc w:val="both"/>
              <w:rPr>
                <w:rFonts w:asciiTheme="minorHAnsi" w:hAnsiTheme="minorHAnsi"/>
                <w:b/>
                <w:sz w:val="22"/>
                <w:szCs w:val="22"/>
              </w:rPr>
            </w:pPr>
            <w:r w:rsidRPr="00263042">
              <w:rPr>
                <w:rFonts w:asciiTheme="minorHAnsi" w:hAnsiTheme="minorHAnsi"/>
                <w:b/>
                <w:sz w:val="22"/>
                <w:szCs w:val="22"/>
              </w:rPr>
              <w:t xml:space="preserve">Details </w:t>
            </w:r>
          </w:p>
        </w:tc>
      </w:tr>
      <w:tr w:rsidR="00263042" w:rsidRPr="00125FCE" w14:paraId="5828A6ED" w14:textId="77777777" w:rsidTr="00466CBC">
        <w:trPr>
          <w:trHeight w:val="251"/>
        </w:trPr>
        <w:tc>
          <w:tcPr>
            <w:tcW w:w="1170" w:type="dxa"/>
          </w:tcPr>
          <w:p w14:paraId="1D236A7D" w14:textId="77777777"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Ghana</w:t>
            </w:r>
          </w:p>
        </w:tc>
        <w:tc>
          <w:tcPr>
            <w:tcW w:w="899" w:type="dxa"/>
          </w:tcPr>
          <w:p w14:paraId="72B90929" w14:textId="77777777"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2006</w:t>
            </w:r>
          </w:p>
          <w:p w14:paraId="3FA15C3C" w14:textId="77777777" w:rsidR="00263042" w:rsidRPr="00263042" w:rsidRDefault="00263042" w:rsidP="00053537">
            <w:pPr>
              <w:pStyle w:val="xmsonormal"/>
              <w:contextualSpacing/>
              <w:jc w:val="both"/>
              <w:rPr>
                <w:rFonts w:asciiTheme="minorHAnsi" w:hAnsiTheme="minorHAnsi"/>
                <w:sz w:val="22"/>
                <w:szCs w:val="22"/>
              </w:rPr>
            </w:pPr>
          </w:p>
          <w:p w14:paraId="2C5C4AD5" w14:textId="77777777" w:rsidR="00263042" w:rsidRPr="00263042" w:rsidRDefault="00263042" w:rsidP="00053537">
            <w:pPr>
              <w:pStyle w:val="xmsonormal"/>
              <w:contextualSpacing/>
              <w:jc w:val="both"/>
              <w:rPr>
                <w:rFonts w:asciiTheme="minorHAnsi" w:hAnsiTheme="minorHAnsi"/>
                <w:sz w:val="22"/>
                <w:szCs w:val="22"/>
              </w:rPr>
            </w:pPr>
          </w:p>
          <w:p w14:paraId="6BAF8978" w14:textId="77777777" w:rsidR="00263042" w:rsidRPr="00263042" w:rsidRDefault="00263042" w:rsidP="00053537">
            <w:pPr>
              <w:pStyle w:val="xmsonormal"/>
              <w:contextualSpacing/>
              <w:jc w:val="both"/>
              <w:rPr>
                <w:rFonts w:asciiTheme="minorHAnsi" w:hAnsiTheme="minorHAnsi"/>
                <w:sz w:val="22"/>
                <w:szCs w:val="22"/>
              </w:rPr>
            </w:pPr>
          </w:p>
          <w:p w14:paraId="4839B45C" w14:textId="77777777" w:rsidR="00263042" w:rsidRPr="00263042" w:rsidRDefault="00263042" w:rsidP="00053537">
            <w:pPr>
              <w:pStyle w:val="xmsonormal"/>
              <w:contextualSpacing/>
              <w:jc w:val="both"/>
              <w:rPr>
                <w:rFonts w:asciiTheme="minorHAnsi" w:hAnsiTheme="minorHAnsi"/>
                <w:sz w:val="22"/>
                <w:szCs w:val="22"/>
              </w:rPr>
            </w:pPr>
          </w:p>
          <w:p w14:paraId="19BD3186" w14:textId="77777777" w:rsidR="00263042" w:rsidRDefault="00263042" w:rsidP="00053537">
            <w:pPr>
              <w:pStyle w:val="xmsonormal"/>
              <w:contextualSpacing/>
              <w:jc w:val="both"/>
              <w:rPr>
                <w:rFonts w:asciiTheme="minorHAnsi" w:hAnsiTheme="minorHAnsi"/>
                <w:sz w:val="22"/>
                <w:szCs w:val="22"/>
              </w:rPr>
            </w:pPr>
          </w:p>
          <w:p w14:paraId="4521D42D" w14:textId="77777777" w:rsidR="00263042" w:rsidRDefault="00263042" w:rsidP="00053537">
            <w:pPr>
              <w:pStyle w:val="xmsonormal"/>
              <w:contextualSpacing/>
              <w:jc w:val="both"/>
              <w:rPr>
                <w:rFonts w:asciiTheme="minorHAnsi" w:hAnsiTheme="minorHAnsi"/>
                <w:sz w:val="22"/>
                <w:szCs w:val="22"/>
              </w:rPr>
            </w:pPr>
          </w:p>
          <w:p w14:paraId="68C8F952" w14:textId="0A219370"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2012</w:t>
            </w:r>
          </w:p>
          <w:p w14:paraId="0111BF12" w14:textId="77777777" w:rsidR="00263042" w:rsidRPr="00263042" w:rsidRDefault="00263042" w:rsidP="00053537">
            <w:pPr>
              <w:pStyle w:val="xmsonormal"/>
              <w:contextualSpacing/>
              <w:jc w:val="both"/>
              <w:rPr>
                <w:rFonts w:asciiTheme="minorHAnsi" w:hAnsiTheme="minorHAnsi"/>
                <w:sz w:val="22"/>
                <w:szCs w:val="22"/>
              </w:rPr>
            </w:pPr>
          </w:p>
          <w:p w14:paraId="20DBC7D1" w14:textId="77777777" w:rsidR="00263042" w:rsidRPr="00263042" w:rsidRDefault="00263042" w:rsidP="00053537">
            <w:pPr>
              <w:pStyle w:val="xmsonormal"/>
              <w:contextualSpacing/>
              <w:jc w:val="both"/>
              <w:rPr>
                <w:rFonts w:asciiTheme="minorHAnsi" w:hAnsiTheme="minorHAnsi"/>
                <w:sz w:val="22"/>
                <w:szCs w:val="22"/>
              </w:rPr>
            </w:pPr>
          </w:p>
          <w:p w14:paraId="2A8D7232" w14:textId="77777777" w:rsidR="00263042" w:rsidRPr="00263042" w:rsidRDefault="00263042" w:rsidP="00053537">
            <w:pPr>
              <w:pStyle w:val="xmsonormal"/>
              <w:contextualSpacing/>
              <w:jc w:val="both"/>
              <w:rPr>
                <w:rFonts w:asciiTheme="minorHAnsi" w:hAnsiTheme="minorHAnsi"/>
                <w:sz w:val="22"/>
                <w:szCs w:val="22"/>
              </w:rPr>
            </w:pPr>
          </w:p>
          <w:p w14:paraId="497930B8" w14:textId="77777777" w:rsidR="00263042" w:rsidRDefault="00263042" w:rsidP="00053537">
            <w:pPr>
              <w:pStyle w:val="xmsonormal"/>
              <w:contextualSpacing/>
              <w:jc w:val="both"/>
              <w:rPr>
                <w:rFonts w:asciiTheme="minorHAnsi" w:hAnsiTheme="minorHAnsi"/>
                <w:sz w:val="22"/>
                <w:szCs w:val="22"/>
              </w:rPr>
            </w:pPr>
          </w:p>
          <w:p w14:paraId="5B7D34AD" w14:textId="77777777" w:rsidR="00263042" w:rsidRDefault="00263042" w:rsidP="00053537">
            <w:pPr>
              <w:pStyle w:val="xmsonormal"/>
              <w:contextualSpacing/>
              <w:jc w:val="both"/>
              <w:rPr>
                <w:rFonts w:asciiTheme="minorHAnsi" w:hAnsiTheme="minorHAnsi"/>
                <w:sz w:val="22"/>
                <w:szCs w:val="22"/>
              </w:rPr>
            </w:pPr>
          </w:p>
          <w:p w14:paraId="4C585C55" w14:textId="77777777" w:rsidR="00263042" w:rsidRDefault="00263042" w:rsidP="00053537">
            <w:pPr>
              <w:pStyle w:val="xmsonormal"/>
              <w:contextualSpacing/>
              <w:jc w:val="both"/>
              <w:rPr>
                <w:rFonts w:asciiTheme="minorHAnsi" w:hAnsiTheme="minorHAnsi"/>
                <w:sz w:val="22"/>
                <w:szCs w:val="22"/>
              </w:rPr>
            </w:pPr>
          </w:p>
          <w:p w14:paraId="0F62C245" w14:textId="6D5AB82C"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2015</w:t>
            </w:r>
          </w:p>
          <w:p w14:paraId="5AC38195" w14:textId="77777777" w:rsidR="00263042" w:rsidRPr="00263042" w:rsidRDefault="00263042" w:rsidP="00053537">
            <w:pPr>
              <w:pStyle w:val="xmsonormal"/>
              <w:contextualSpacing/>
              <w:jc w:val="both"/>
              <w:rPr>
                <w:rFonts w:asciiTheme="minorHAnsi" w:hAnsiTheme="minorHAnsi"/>
                <w:sz w:val="22"/>
                <w:szCs w:val="22"/>
              </w:rPr>
            </w:pPr>
          </w:p>
          <w:p w14:paraId="194F0F47" w14:textId="77777777" w:rsidR="00263042" w:rsidRPr="00263042" w:rsidRDefault="00263042" w:rsidP="00053537">
            <w:pPr>
              <w:pStyle w:val="xmsonormal"/>
              <w:contextualSpacing/>
              <w:jc w:val="both"/>
              <w:rPr>
                <w:rFonts w:asciiTheme="minorHAnsi" w:hAnsiTheme="minorHAnsi"/>
                <w:sz w:val="22"/>
                <w:szCs w:val="22"/>
              </w:rPr>
            </w:pPr>
          </w:p>
          <w:p w14:paraId="0909E65F" w14:textId="77777777" w:rsidR="00263042" w:rsidRPr="00263042" w:rsidRDefault="00263042" w:rsidP="00053537">
            <w:pPr>
              <w:pStyle w:val="xmsonormal"/>
              <w:contextualSpacing/>
              <w:jc w:val="both"/>
              <w:rPr>
                <w:rFonts w:asciiTheme="minorHAnsi" w:hAnsiTheme="minorHAnsi"/>
                <w:sz w:val="22"/>
                <w:szCs w:val="22"/>
              </w:rPr>
            </w:pPr>
          </w:p>
          <w:p w14:paraId="0A6FAF7B" w14:textId="77777777"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2014</w:t>
            </w:r>
          </w:p>
        </w:tc>
        <w:tc>
          <w:tcPr>
            <w:tcW w:w="1916" w:type="dxa"/>
          </w:tcPr>
          <w:p w14:paraId="79ABC4BE" w14:textId="77777777"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 xml:space="preserve">Newmont Gold Ghana Limited </w:t>
            </w:r>
          </w:p>
          <w:p w14:paraId="4DA79CAB" w14:textId="77777777" w:rsidR="00263042" w:rsidRPr="00263042" w:rsidRDefault="00263042" w:rsidP="00053537">
            <w:pPr>
              <w:pStyle w:val="xmsonormal"/>
              <w:contextualSpacing/>
              <w:jc w:val="both"/>
              <w:rPr>
                <w:rFonts w:asciiTheme="minorHAnsi" w:hAnsiTheme="minorHAnsi"/>
                <w:sz w:val="22"/>
                <w:szCs w:val="22"/>
              </w:rPr>
            </w:pPr>
          </w:p>
          <w:p w14:paraId="32321879" w14:textId="77777777" w:rsidR="00263042" w:rsidRPr="00263042" w:rsidRDefault="00263042" w:rsidP="00053537">
            <w:pPr>
              <w:pStyle w:val="xmsonormal"/>
              <w:contextualSpacing/>
              <w:jc w:val="both"/>
              <w:rPr>
                <w:rFonts w:asciiTheme="minorHAnsi" w:hAnsiTheme="minorHAnsi"/>
                <w:sz w:val="22"/>
                <w:szCs w:val="22"/>
              </w:rPr>
            </w:pPr>
          </w:p>
          <w:p w14:paraId="46E1B751" w14:textId="77777777" w:rsidR="00263042" w:rsidRPr="00263042" w:rsidRDefault="00263042" w:rsidP="00053537">
            <w:pPr>
              <w:pStyle w:val="xmsonormal"/>
              <w:contextualSpacing/>
              <w:jc w:val="both"/>
              <w:rPr>
                <w:rFonts w:asciiTheme="minorHAnsi" w:hAnsiTheme="minorHAnsi"/>
                <w:sz w:val="22"/>
                <w:szCs w:val="22"/>
              </w:rPr>
            </w:pPr>
          </w:p>
          <w:p w14:paraId="109FE8E3" w14:textId="77777777" w:rsidR="00263042" w:rsidRDefault="00263042" w:rsidP="00053537">
            <w:pPr>
              <w:pStyle w:val="xmsonormal"/>
              <w:contextualSpacing/>
              <w:jc w:val="both"/>
              <w:rPr>
                <w:rFonts w:asciiTheme="minorHAnsi" w:hAnsiTheme="minorHAnsi"/>
                <w:sz w:val="22"/>
                <w:szCs w:val="22"/>
              </w:rPr>
            </w:pPr>
          </w:p>
          <w:p w14:paraId="1FD4DEF5" w14:textId="77777777" w:rsidR="00263042" w:rsidRDefault="00263042" w:rsidP="00053537">
            <w:pPr>
              <w:pStyle w:val="xmsonormal"/>
              <w:contextualSpacing/>
              <w:jc w:val="both"/>
              <w:rPr>
                <w:rFonts w:asciiTheme="minorHAnsi" w:hAnsiTheme="minorHAnsi"/>
                <w:sz w:val="22"/>
                <w:szCs w:val="22"/>
              </w:rPr>
            </w:pPr>
          </w:p>
          <w:p w14:paraId="5C4284B4" w14:textId="61B60B1A"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Newmont Golden  Ridge Resources Limited</w:t>
            </w:r>
          </w:p>
          <w:p w14:paraId="7EE9C4E7" w14:textId="77777777" w:rsidR="00263042" w:rsidRPr="00263042" w:rsidRDefault="00263042" w:rsidP="00053537">
            <w:pPr>
              <w:pStyle w:val="xmsonormal"/>
              <w:contextualSpacing/>
              <w:jc w:val="both"/>
              <w:rPr>
                <w:rFonts w:asciiTheme="minorHAnsi" w:hAnsiTheme="minorHAnsi"/>
                <w:sz w:val="22"/>
                <w:szCs w:val="22"/>
              </w:rPr>
            </w:pPr>
          </w:p>
          <w:p w14:paraId="6933D81D" w14:textId="77777777" w:rsidR="00263042" w:rsidRPr="00263042" w:rsidRDefault="00263042" w:rsidP="00053537">
            <w:pPr>
              <w:pStyle w:val="xmsonormal"/>
              <w:contextualSpacing/>
              <w:jc w:val="both"/>
              <w:rPr>
                <w:rFonts w:asciiTheme="minorHAnsi" w:hAnsiTheme="minorHAnsi"/>
                <w:sz w:val="22"/>
                <w:szCs w:val="22"/>
              </w:rPr>
            </w:pPr>
          </w:p>
          <w:p w14:paraId="363E7A93" w14:textId="77777777" w:rsidR="00263042" w:rsidRDefault="00263042" w:rsidP="00053537">
            <w:pPr>
              <w:pStyle w:val="xmsonormal"/>
              <w:contextualSpacing/>
              <w:jc w:val="both"/>
              <w:rPr>
                <w:rFonts w:asciiTheme="minorHAnsi" w:hAnsiTheme="minorHAnsi"/>
                <w:sz w:val="22"/>
                <w:szCs w:val="22"/>
              </w:rPr>
            </w:pPr>
          </w:p>
          <w:p w14:paraId="5F1CDC27" w14:textId="77777777" w:rsidR="00263042" w:rsidRDefault="00263042" w:rsidP="00053537">
            <w:pPr>
              <w:pStyle w:val="xmsonormal"/>
              <w:contextualSpacing/>
              <w:jc w:val="both"/>
              <w:rPr>
                <w:rFonts w:asciiTheme="minorHAnsi" w:hAnsiTheme="minorHAnsi"/>
                <w:sz w:val="22"/>
                <w:szCs w:val="22"/>
              </w:rPr>
            </w:pPr>
          </w:p>
          <w:p w14:paraId="04F6B6AB" w14:textId="15F124C8"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Adamus Resources Limited</w:t>
            </w:r>
          </w:p>
          <w:p w14:paraId="274BFF97" w14:textId="77777777" w:rsidR="00263042" w:rsidRPr="00263042" w:rsidRDefault="00263042" w:rsidP="00053537">
            <w:pPr>
              <w:pStyle w:val="xmsonormal"/>
              <w:contextualSpacing/>
              <w:jc w:val="both"/>
              <w:rPr>
                <w:rFonts w:asciiTheme="minorHAnsi" w:hAnsiTheme="minorHAnsi"/>
                <w:sz w:val="22"/>
                <w:szCs w:val="22"/>
              </w:rPr>
            </w:pPr>
          </w:p>
          <w:p w14:paraId="29990C8A" w14:textId="77777777" w:rsidR="00263042" w:rsidRPr="00263042" w:rsidRDefault="00263042" w:rsidP="00053537">
            <w:pPr>
              <w:pStyle w:val="xmsonormal"/>
              <w:contextualSpacing/>
              <w:jc w:val="both"/>
              <w:rPr>
                <w:rFonts w:asciiTheme="minorHAnsi" w:hAnsiTheme="minorHAnsi"/>
                <w:sz w:val="22"/>
                <w:szCs w:val="22"/>
              </w:rPr>
            </w:pPr>
          </w:p>
          <w:p w14:paraId="6F82C4F3" w14:textId="77777777"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 xml:space="preserve">AngloGold Ashanti </w:t>
            </w:r>
          </w:p>
        </w:tc>
        <w:tc>
          <w:tcPr>
            <w:tcW w:w="1596" w:type="dxa"/>
          </w:tcPr>
          <w:p w14:paraId="06CA8EAC" w14:textId="77777777"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 xml:space="preserve">Ahafo Mine </w:t>
            </w:r>
          </w:p>
          <w:p w14:paraId="23D021A5" w14:textId="77777777" w:rsidR="00263042" w:rsidRPr="00263042" w:rsidRDefault="00263042" w:rsidP="00053537">
            <w:pPr>
              <w:pStyle w:val="xmsonormal"/>
              <w:contextualSpacing/>
              <w:jc w:val="both"/>
              <w:rPr>
                <w:rFonts w:asciiTheme="minorHAnsi" w:hAnsiTheme="minorHAnsi"/>
                <w:sz w:val="22"/>
                <w:szCs w:val="22"/>
              </w:rPr>
            </w:pPr>
          </w:p>
          <w:p w14:paraId="02A78386" w14:textId="77777777" w:rsidR="00263042" w:rsidRPr="00263042" w:rsidRDefault="00263042" w:rsidP="00053537">
            <w:pPr>
              <w:pStyle w:val="xmsonormal"/>
              <w:contextualSpacing/>
              <w:jc w:val="both"/>
              <w:rPr>
                <w:rFonts w:asciiTheme="minorHAnsi" w:hAnsiTheme="minorHAnsi"/>
                <w:sz w:val="22"/>
                <w:szCs w:val="22"/>
              </w:rPr>
            </w:pPr>
          </w:p>
          <w:p w14:paraId="6F6D5137" w14:textId="77777777" w:rsidR="00263042" w:rsidRPr="00263042" w:rsidRDefault="00263042" w:rsidP="00053537">
            <w:pPr>
              <w:pStyle w:val="xmsonormal"/>
              <w:contextualSpacing/>
              <w:jc w:val="both"/>
              <w:rPr>
                <w:rFonts w:asciiTheme="minorHAnsi" w:hAnsiTheme="minorHAnsi"/>
                <w:sz w:val="22"/>
                <w:szCs w:val="22"/>
              </w:rPr>
            </w:pPr>
          </w:p>
          <w:p w14:paraId="4FD1AB42" w14:textId="77777777" w:rsidR="00263042" w:rsidRPr="00263042" w:rsidRDefault="00263042" w:rsidP="00053537">
            <w:pPr>
              <w:pStyle w:val="xmsonormal"/>
              <w:contextualSpacing/>
              <w:jc w:val="both"/>
              <w:rPr>
                <w:rFonts w:asciiTheme="minorHAnsi" w:hAnsiTheme="minorHAnsi"/>
                <w:sz w:val="22"/>
                <w:szCs w:val="22"/>
              </w:rPr>
            </w:pPr>
          </w:p>
          <w:p w14:paraId="4E3D7C7D" w14:textId="77777777" w:rsidR="00263042" w:rsidRDefault="00263042" w:rsidP="00053537">
            <w:pPr>
              <w:pStyle w:val="xmsonormal"/>
              <w:contextualSpacing/>
              <w:jc w:val="both"/>
              <w:rPr>
                <w:rFonts w:asciiTheme="minorHAnsi" w:hAnsiTheme="minorHAnsi"/>
                <w:sz w:val="22"/>
                <w:szCs w:val="22"/>
              </w:rPr>
            </w:pPr>
          </w:p>
          <w:p w14:paraId="7C32606A" w14:textId="77777777" w:rsidR="00263042" w:rsidRDefault="00263042" w:rsidP="00053537">
            <w:pPr>
              <w:pStyle w:val="xmsonormal"/>
              <w:contextualSpacing/>
              <w:jc w:val="both"/>
              <w:rPr>
                <w:rFonts w:asciiTheme="minorHAnsi" w:hAnsiTheme="minorHAnsi"/>
                <w:sz w:val="22"/>
                <w:szCs w:val="22"/>
              </w:rPr>
            </w:pPr>
          </w:p>
          <w:p w14:paraId="39A3F2B2" w14:textId="27DD9F3B"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Akyem Mines</w:t>
            </w:r>
          </w:p>
          <w:p w14:paraId="61A269D5" w14:textId="77777777" w:rsidR="00263042" w:rsidRPr="00263042" w:rsidRDefault="00263042" w:rsidP="00053537">
            <w:pPr>
              <w:pStyle w:val="xmsonormal"/>
              <w:contextualSpacing/>
              <w:jc w:val="both"/>
              <w:rPr>
                <w:rFonts w:asciiTheme="minorHAnsi" w:hAnsiTheme="minorHAnsi"/>
                <w:sz w:val="22"/>
                <w:szCs w:val="22"/>
              </w:rPr>
            </w:pPr>
          </w:p>
          <w:p w14:paraId="2EC3020C" w14:textId="77777777" w:rsidR="00263042" w:rsidRPr="00263042" w:rsidRDefault="00263042" w:rsidP="00053537">
            <w:pPr>
              <w:pStyle w:val="xmsonormal"/>
              <w:contextualSpacing/>
              <w:jc w:val="both"/>
              <w:rPr>
                <w:rFonts w:asciiTheme="minorHAnsi" w:hAnsiTheme="minorHAnsi"/>
                <w:sz w:val="22"/>
                <w:szCs w:val="22"/>
              </w:rPr>
            </w:pPr>
          </w:p>
          <w:p w14:paraId="0A324EE5" w14:textId="77777777" w:rsidR="00263042" w:rsidRPr="00263042" w:rsidRDefault="00263042" w:rsidP="00053537">
            <w:pPr>
              <w:pStyle w:val="xmsonormal"/>
              <w:contextualSpacing/>
              <w:jc w:val="both"/>
              <w:rPr>
                <w:rFonts w:asciiTheme="minorHAnsi" w:eastAsia="Times New Roman" w:hAnsiTheme="minorHAnsi"/>
                <w:sz w:val="22"/>
                <w:szCs w:val="22"/>
              </w:rPr>
            </w:pPr>
          </w:p>
          <w:p w14:paraId="6FFC682F" w14:textId="77777777" w:rsidR="00263042" w:rsidRDefault="00263042" w:rsidP="00053537">
            <w:pPr>
              <w:pStyle w:val="xmsonormal"/>
              <w:contextualSpacing/>
              <w:jc w:val="both"/>
              <w:rPr>
                <w:rFonts w:asciiTheme="minorHAnsi" w:eastAsia="Times New Roman" w:hAnsiTheme="minorHAnsi"/>
                <w:sz w:val="22"/>
                <w:szCs w:val="22"/>
              </w:rPr>
            </w:pPr>
          </w:p>
          <w:p w14:paraId="4950389B" w14:textId="77777777" w:rsidR="00263042" w:rsidRDefault="00263042" w:rsidP="00053537">
            <w:pPr>
              <w:pStyle w:val="xmsonormal"/>
              <w:contextualSpacing/>
              <w:jc w:val="both"/>
              <w:rPr>
                <w:rFonts w:asciiTheme="minorHAnsi" w:eastAsia="Times New Roman" w:hAnsiTheme="minorHAnsi"/>
                <w:sz w:val="22"/>
                <w:szCs w:val="22"/>
              </w:rPr>
            </w:pPr>
          </w:p>
          <w:p w14:paraId="63995E0D" w14:textId="77777777" w:rsidR="00263042" w:rsidRDefault="00263042" w:rsidP="00053537">
            <w:pPr>
              <w:pStyle w:val="xmsonormal"/>
              <w:contextualSpacing/>
              <w:jc w:val="both"/>
              <w:rPr>
                <w:rFonts w:asciiTheme="minorHAnsi" w:eastAsia="Times New Roman" w:hAnsiTheme="minorHAnsi"/>
                <w:sz w:val="22"/>
                <w:szCs w:val="22"/>
              </w:rPr>
            </w:pPr>
          </w:p>
          <w:p w14:paraId="47095413" w14:textId="25986CF9" w:rsidR="00263042" w:rsidRPr="00263042" w:rsidRDefault="00263042" w:rsidP="00053537">
            <w:pPr>
              <w:pStyle w:val="xmsonormal"/>
              <w:contextualSpacing/>
              <w:jc w:val="both"/>
              <w:rPr>
                <w:rFonts w:asciiTheme="minorHAnsi" w:eastAsia="Times New Roman" w:hAnsiTheme="minorHAnsi"/>
                <w:sz w:val="22"/>
                <w:szCs w:val="22"/>
              </w:rPr>
            </w:pPr>
            <w:r w:rsidRPr="00263042">
              <w:rPr>
                <w:rFonts w:asciiTheme="minorHAnsi" w:eastAsia="Times New Roman" w:hAnsiTheme="minorHAnsi"/>
                <w:sz w:val="22"/>
                <w:szCs w:val="22"/>
              </w:rPr>
              <w:t>Nzema Gold Mine</w:t>
            </w:r>
          </w:p>
          <w:p w14:paraId="0F0A3548" w14:textId="77777777" w:rsidR="00263042" w:rsidRDefault="00263042" w:rsidP="00053537">
            <w:pPr>
              <w:contextualSpacing/>
              <w:jc w:val="both"/>
              <w:rPr>
                <w:rFonts w:eastAsia="Times New Roman"/>
              </w:rPr>
            </w:pPr>
          </w:p>
          <w:p w14:paraId="59F113C2" w14:textId="74DAF587" w:rsidR="00263042" w:rsidRPr="00263042" w:rsidRDefault="00263042" w:rsidP="00053537">
            <w:pPr>
              <w:contextualSpacing/>
              <w:jc w:val="both"/>
              <w:rPr>
                <w:rFonts w:eastAsia="Times New Roman"/>
              </w:rPr>
            </w:pPr>
            <w:r w:rsidRPr="00263042">
              <w:rPr>
                <w:rFonts w:eastAsia="Times New Roman"/>
              </w:rPr>
              <w:t xml:space="preserve">Iduapriem Mines </w:t>
            </w:r>
          </w:p>
        </w:tc>
        <w:tc>
          <w:tcPr>
            <w:tcW w:w="4319" w:type="dxa"/>
          </w:tcPr>
          <w:p w14:paraId="108FD86A" w14:textId="77777777" w:rsidR="00263042" w:rsidRPr="00263042" w:rsidRDefault="00263042" w:rsidP="00053537">
            <w:pPr>
              <w:pStyle w:val="xmsonormal"/>
              <w:contextualSpacing/>
              <w:jc w:val="both"/>
              <w:rPr>
                <w:rFonts w:asciiTheme="minorHAnsi" w:eastAsia="Times New Roman" w:hAnsiTheme="minorHAnsi"/>
                <w:sz w:val="22"/>
                <w:szCs w:val="22"/>
              </w:rPr>
            </w:pPr>
            <w:r w:rsidRPr="00263042">
              <w:rPr>
                <w:rFonts w:asciiTheme="minorHAnsi" w:eastAsia="Times New Roman" w:hAnsiTheme="minorHAnsi"/>
                <w:sz w:val="22"/>
                <w:szCs w:val="22"/>
              </w:rPr>
              <w:t>512 households relocated to two new Resettlement Villages at a cost of $14 million</w:t>
            </w:r>
          </w:p>
          <w:p w14:paraId="796E134D" w14:textId="77777777" w:rsidR="00263042" w:rsidRPr="00263042" w:rsidRDefault="00263042" w:rsidP="00053537">
            <w:pPr>
              <w:pStyle w:val="xmsonormal"/>
              <w:contextualSpacing/>
              <w:jc w:val="both"/>
              <w:rPr>
                <w:rFonts w:asciiTheme="minorHAnsi" w:eastAsia="Times New Roman" w:hAnsiTheme="minorHAnsi"/>
                <w:sz w:val="22"/>
                <w:szCs w:val="22"/>
              </w:rPr>
            </w:pPr>
            <w:r w:rsidRPr="00263042">
              <w:rPr>
                <w:rFonts w:asciiTheme="minorHAnsi" w:eastAsia="Times New Roman" w:hAnsiTheme="minorHAnsi"/>
                <w:sz w:val="22"/>
                <w:szCs w:val="22"/>
              </w:rPr>
              <w:t>Created an Agriculture Improvement &amp; Land Access (AILAP) program to supply resettled farmers with seeds, fertilizers, and assistance with land clearing.</w:t>
            </w:r>
          </w:p>
          <w:p w14:paraId="0EE7650A" w14:textId="77777777" w:rsidR="00263042" w:rsidRPr="00263042" w:rsidRDefault="00263042" w:rsidP="00053537">
            <w:pPr>
              <w:pStyle w:val="xmsonormal"/>
              <w:contextualSpacing/>
              <w:jc w:val="both"/>
              <w:rPr>
                <w:rFonts w:asciiTheme="minorHAnsi" w:eastAsia="Times New Roman" w:hAnsiTheme="minorHAnsi"/>
                <w:sz w:val="22"/>
                <w:szCs w:val="22"/>
              </w:rPr>
            </w:pPr>
          </w:p>
          <w:p w14:paraId="5E1BF20B" w14:textId="77777777" w:rsidR="00263042" w:rsidRPr="00263042" w:rsidRDefault="00263042" w:rsidP="00053537">
            <w:pPr>
              <w:pStyle w:val="xmsonormal"/>
              <w:contextualSpacing/>
              <w:jc w:val="both"/>
              <w:rPr>
                <w:rFonts w:asciiTheme="minorHAnsi" w:eastAsia="Times New Roman" w:hAnsiTheme="minorHAnsi"/>
                <w:sz w:val="22"/>
                <w:szCs w:val="22"/>
              </w:rPr>
            </w:pPr>
            <w:r w:rsidRPr="00263042">
              <w:rPr>
                <w:rFonts w:asciiTheme="minorHAnsi" w:eastAsia="Times New Roman" w:hAnsiTheme="minorHAnsi"/>
                <w:sz w:val="22"/>
                <w:szCs w:val="22"/>
              </w:rPr>
              <w:t>Resettlement Village for 222 households. 19 households opted for cash compensation</w:t>
            </w:r>
          </w:p>
          <w:p w14:paraId="71217FC9" w14:textId="77777777" w:rsidR="00263042" w:rsidRPr="00263042" w:rsidRDefault="00263042" w:rsidP="00053537">
            <w:pPr>
              <w:pStyle w:val="xmsonormal"/>
              <w:contextualSpacing/>
              <w:jc w:val="both"/>
              <w:rPr>
                <w:rFonts w:asciiTheme="minorHAnsi" w:eastAsia="Times New Roman" w:hAnsiTheme="minorHAnsi"/>
                <w:sz w:val="22"/>
                <w:szCs w:val="22"/>
              </w:rPr>
            </w:pPr>
            <w:r w:rsidRPr="00263042">
              <w:rPr>
                <w:rFonts w:asciiTheme="minorHAnsi" w:eastAsia="Times New Roman" w:hAnsiTheme="minorHAnsi"/>
                <w:sz w:val="22"/>
                <w:szCs w:val="22"/>
              </w:rPr>
              <w:t>Including construction of 3 churches, 1 model school, 5 teachers’ bungalows, community center and football pitch.</w:t>
            </w:r>
          </w:p>
          <w:p w14:paraId="2D304286" w14:textId="77777777" w:rsidR="00263042" w:rsidRPr="00263042" w:rsidRDefault="00263042" w:rsidP="00053537">
            <w:pPr>
              <w:contextualSpacing/>
              <w:jc w:val="both"/>
              <w:rPr>
                <w:rFonts w:eastAsia="Times New Roman"/>
              </w:rPr>
            </w:pPr>
          </w:p>
          <w:p w14:paraId="2F74D5F0" w14:textId="77777777" w:rsidR="00263042" w:rsidRPr="00263042" w:rsidRDefault="00263042" w:rsidP="00053537">
            <w:pPr>
              <w:contextualSpacing/>
              <w:jc w:val="both"/>
              <w:rPr>
                <w:rFonts w:eastAsia="Times New Roman"/>
              </w:rPr>
            </w:pPr>
            <w:r w:rsidRPr="00263042">
              <w:rPr>
                <w:rFonts w:eastAsia="Times New Roman"/>
              </w:rPr>
              <w:t>Resettled 2,200 residents of communities near the mine at Salman Resettlement Village at a cost $29 million.</w:t>
            </w:r>
          </w:p>
          <w:p w14:paraId="30402810" w14:textId="77777777" w:rsidR="00263042" w:rsidRPr="00263042" w:rsidRDefault="00263042" w:rsidP="00053537">
            <w:pPr>
              <w:contextualSpacing/>
              <w:jc w:val="both"/>
              <w:rPr>
                <w:rFonts w:eastAsia="Times New Roman"/>
              </w:rPr>
            </w:pPr>
          </w:p>
          <w:p w14:paraId="284DB96B" w14:textId="77777777" w:rsidR="00263042" w:rsidRPr="00263042" w:rsidRDefault="00263042" w:rsidP="00053537">
            <w:pPr>
              <w:contextualSpacing/>
              <w:jc w:val="both"/>
              <w:rPr>
                <w:rFonts w:eastAsia="Times New Roman"/>
              </w:rPr>
            </w:pPr>
            <w:r w:rsidRPr="00263042">
              <w:rPr>
                <w:rFonts w:eastAsia="Times New Roman"/>
              </w:rPr>
              <w:t>Constructed a total of 706 structures including 461 residential facilities, 143 detached kitchens, 10 religious facilities, and 17 commercial structures.</w:t>
            </w:r>
          </w:p>
          <w:p w14:paraId="48CEFBE9" w14:textId="77777777" w:rsidR="00263042" w:rsidRPr="00263042" w:rsidRDefault="00263042" w:rsidP="00053537">
            <w:pPr>
              <w:contextualSpacing/>
              <w:jc w:val="both"/>
              <w:rPr>
                <w:rFonts w:eastAsia="Times New Roman"/>
              </w:rPr>
            </w:pPr>
          </w:p>
          <w:p w14:paraId="663251C1" w14:textId="77777777" w:rsidR="00263042" w:rsidRDefault="00263042" w:rsidP="00053537">
            <w:pPr>
              <w:contextualSpacing/>
              <w:jc w:val="both"/>
              <w:rPr>
                <w:rStyle w:val="storytext1"/>
                <w:rFonts w:eastAsia="Times New Roman"/>
              </w:rPr>
            </w:pPr>
            <w:r w:rsidRPr="00263042">
              <w:rPr>
                <w:rStyle w:val="storytext1"/>
                <w:rFonts w:eastAsia="Times New Roman"/>
              </w:rPr>
              <w:t>Livelihood Restoration Program for 500 farmers impacted by project and scholarship for students from project-affected communities</w:t>
            </w:r>
            <w:r>
              <w:rPr>
                <w:rStyle w:val="storytext1"/>
                <w:rFonts w:eastAsia="Times New Roman"/>
              </w:rPr>
              <w:t>.</w:t>
            </w:r>
          </w:p>
          <w:p w14:paraId="47A302C5" w14:textId="51CAA53F" w:rsidR="00263042" w:rsidRPr="00263042" w:rsidRDefault="00263042" w:rsidP="00053537">
            <w:pPr>
              <w:contextualSpacing/>
              <w:jc w:val="both"/>
              <w:rPr>
                <w:rStyle w:val="storytext1"/>
                <w:rFonts w:eastAsia="Times New Roman"/>
              </w:rPr>
            </w:pPr>
            <w:r w:rsidRPr="00263042">
              <w:rPr>
                <w:rStyle w:val="storytext1"/>
                <w:rFonts w:eastAsia="Times New Roman"/>
              </w:rPr>
              <w:t xml:space="preserve"> </w:t>
            </w:r>
          </w:p>
          <w:p w14:paraId="53AE1356" w14:textId="77777777" w:rsidR="00263042" w:rsidRPr="00263042" w:rsidRDefault="00263042" w:rsidP="00053537">
            <w:pPr>
              <w:contextualSpacing/>
              <w:jc w:val="both"/>
              <w:rPr>
                <w:rFonts w:eastAsia="Times New Roman"/>
              </w:rPr>
            </w:pPr>
            <w:r w:rsidRPr="00263042">
              <w:rPr>
                <w:rFonts w:eastAsia="Times New Roman"/>
              </w:rPr>
              <w:t xml:space="preserve">Mankessim Resettlement Project: 66 of 70 houses completed and furnished with amenities (water, electricity and roads). Livelihood restoration project for residents in the form of aquaculture and fertilizers for famers.  </w:t>
            </w:r>
          </w:p>
        </w:tc>
      </w:tr>
      <w:tr w:rsidR="00263042" w:rsidRPr="00125FCE" w14:paraId="5D720CE2" w14:textId="77777777" w:rsidTr="00466CBC">
        <w:trPr>
          <w:trHeight w:val="251"/>
        </w:trPr>
        <w:tc>
          <w:tcPr>
            <w:tcW w:w="1170" w:type="dxa"/>
          </w:tcPr>
          <w:p w14:paraId="2A98C663" w14:textId="77777777"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Kenya</w:t>
            </w:r>
          </w:p>
        </w:tc>
        <w:tc>
          <w:tcPr>
            <w:tcW w:w="899" w:type="dxa"/>
          </w:tcPr>
          <w:p w14:paraId="41FF9A35" w14:textId="77777777"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2006</w:t>
            </w:r>
          </w:p>
        </w:tc>
        <w:tc>
          <w:tcPr>
            <w:tcW w:w="1916" w:type="dxa"/>
          </w:tcPr>
          <w:p w14:paraId="05CBBFB8" w14:textId="77777777"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 xml:space="preserve">Base Titanium </w:t>
            </w:r>
          </w:p>
        </w:tc>
        <w:tc>
          <w:tcPr>
            <w:tcW w:w="1596" w:type="dxa"/>
          </w:tcPr>
          <w:p w14:paraId="7486AEDC" w14:textId="77777777" w:rsidR="00263042" w:rsidRPr="00263042" w:rsidRDefault="00263042" w:rsidP="00053537">
            <w:pPr>
              <w:pStyle w:val="xmsonormal"/>
              <w:contextualSpacing/>
              <w:jc w:val="both"/>
              <w:rPr>
                <w:rFonts w:asciiTheme="minorHAnsi" w:eastAsia="Times New Roman" w:hAnsiTheme="minorHAnsi"/>
                <w:sz w:val="22"/>
                <w:szCs w:val="22"/>
              </w:rPr>
            </w:pPr>
            <w:r w:rsidRPr="00263042">
              <w:rPr>
                <w:rFonts w:asciiTheme="minorHAnsi" w:eastAsia="Times New Roman" w:hAnsiTheme="minorHAnsi"/>
                <w:sz w:val="22"/>
                <w:szCs w:val="22"/>
              </w:rPr>
              <w:t xml:space="preserve">Kwele Mine </w:t>
            </w:r>
          </w:p>
        </w:tc>
        <w:tc>
          <w:tcPr>
            <w:tcW w:w="4319" w:type="dxa"/>
          </w:tcPr>
          <w:p w14:paraId="6DEF36E3" w14:textId="77777777" w:rsidR="00263042" w:rsidRPr="00263042" w:rsidRDefault="00263042" w:rsidP="00053537">
            <w:pPr>
              <w:pStyle w:val="NormalWeb"/>
              <w:contextualSpacing/>
              <w:jc w:val="both"/>
              <w:rPr>
                <w:rFonts w:asciiTheme="minorHAnsi" w:hAnsiTheme="minorHAnsi"/>
                <w:sz w:val="22"/>
                <w:szCs w:val="22"/>
              </w:rPr>
            </w:pPr>
            <w:r w:rsidRPr="00263042">
              <w:rPr>
                <w:rFonts w:asciiTheme="minorHAnsi" w:hAnsiTheme="minorHAnsi"/>
                <w:sz w:val="22"/>
                <w:szCs w:val="22"/>
              </w:rPr>
              <w:t>486 affected households relocated. 255 graves were exhumed and reinterred in a specially created cemetery. Compensation was paid for land, agricultural crops, forest trees, structures and graves.</w:t>
            </w:r>
          </w:p>
          <w:p w14:paraId="00015FC6" w14:textId="77777777" w:rsidR="00263042" w:rsidRDefault="00263042" w:rsidP="00053537">
            <w:pPr>
              <w:pStyle w:val="NormalWeb"/>
              <w:contextualSpacing/>
              <w:jc w:val="both"/>
              <w:rPr>
                <w:rFonts w:asciiTheme="minorHAnsi" w:hAnsiTheme="minorHAnsi"/>
                <w:sz w:val="22"/>
                <w:szCs w:val="22"/>
              </w:rPr>
            </w:pPr>
          </w:p>
          <w:p w14:paraId="65F0AEE2" w14:textId="685D1EEB" w:rsidR="00263042" w:rsidRPr="00263042" w:rsidRDefault="00263042" w:rsidP="00053537">
            <w:pPr>
              <w:pStyle w:val="NormalWeb"/>
              <w:contextualSpacing/>
              <w:jc w:val="both"/>
              <w:rPr>
                <w:rFonts w:asciiTheme="minorHAnsi" w:hAnsiTheme="minorHAnsi"/>
                <w:sz w:val="22"/>
                <w:szCs w:val="22"/>
              </w:rPr>
            </w:pPr>
            <w:r w:rsidRPr="00263042">
              <w:rPr>
                <w:rFonts w:asciiTheme="minorHAnsi" w:hAnsiTheme="minorHAnsi"/>
                <w:sz w:val="22"/>
                <w:szCs w:val="22"/>
              </w:rPr>
              <w:t>Program packaged under the Livelihood Replacement Strategy in partnership with NGO, Business for Development (B4D) to implement skills training through collaborative sports, enterprise development and Village Savings and Loans Association (VSLA) schemes</w:t>
            </w:r>
            <w:r w:rsidR="00053537">
              <w:rPr>
                <w:rFonts w:asciiTheme="minorHAnsi" w:hAnsiTheme="minorHAnsi"/>
                <w:sz w:val="22"/>
                <w:szCs w:val="22"/>
              </w:rPr>
              <w:t>.</w:t>
            </w:r>
          </w:p>
        </w:tc>
      </w:tr>
      <w:tr w:rsidR="00263042" w:rsidRPr="00125FCE" w14:paraId="670E095B" w14:textId="77777777" w:rsidTr="00466CBC">
        <w:trPr>
          <w:trHeight w:val="251"/>
        </w:trPr>
        <w:tc>
          <w:tcPr>
            <w:tcW w:w="1170" w:type="dxa"/>
          </w:tcPr>
          <w:p w14:paraId="7B6532CF" w14:textId="77777777"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lastRenderedPageBreak/>
              <w:t>Tanzania</w:t>
            </w:r>
          </w:p>
        </w:tc>
        <w:tc>
          <w:tcPr>
            <w:tcW w:w="899" w:type="dxa"/>
          </w:tcPr>
          <w:p w14:paraId="745B20F0" w14:textId="77777777"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2014</w:t>
            </w:r>
          </w:p>
        </w:tc>
        <w:tc>
          <w:tcPr>
            <w:tcW w:w="1916" w:type="dxa"/>
          </w:tcPr>
          <w:p w14:paraId="670B8D33" w14:textId="77777777"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AngloGold Ashanti</w:t>
            </w:r>
          </w:p>
        </w:tc>
        <w:tc>
          <w:tcPr>
            <w:tcW w:w="1596" w:type="dxa"/>
          </w:tcPr>
          <w:p w14:paraId="4134BAAA" w14:textId="77777777" w:rsidR="00263042" w:rsidRPr="00263042" w:rsidRDefault="00263042" w:rsidP="00053537">
            <w:pPr>
              <w:pStyle w:val="xmsonormal"/>
              <w:contextualSpacing/>
              <w:jc w:val="both"/>
              <w:rPr>
                <w:rFonts w:asciiTheme="minorHAnsi" w:eastAsia="Times New Roman" w:hAnsiTheme="minorHAnsi"/>
                <w:sz w:val="22"/>
                <w:szCs w:val="22"/>
              </w:rPr>
            </w:pPr>
            <w:r w:rsidRPr="00263042">
              <w:rPr>
                <w:rFonts w:asciiTheme="minorHAnsi" w:eastAsia="Times New Roman" w:hAnsiTheme="minorHAnsi"/>
                <w:sz w:val="22"/>
                <w:szCs w:val="22"/>
              </w:rPr>
              <w:t>Geita Mine</w:t>
            </w:r>
          </w:p>
        </w:tc>
        <w:tc>
          <w:tcPr>
            <w:tcW w:w="4319" w:type="dxa"/>
          </w:tcPr>
          <w:p w14:paraId="0CD51EDF" w14:textId="34DA102C" w:rsidR="00263042" w:rsidRPr="00053537" w:rsidRDefault="00263042" w:rsidP="00053537">
            <w:pPr>
              <w:contextualSpacing/>
              <w:jc w:val="both"/>
              <w:rPr>
                <w:rFonts w:eastAsia="Times New Roman"/>
              </w:rPr>
            </w:pPr>
            <w:r w:rsidRPr="00263042">
              <w:rPr>
                <w:rFonts w:eastAsia="Times New Roman"/>
              </w:rPr>
              <w:t xml:space="preserve">Relocation of 18 households to new housing in Tarzan Valley. </w:t>
            </w:r>
          </w:p>
        </w:tc>
      </w:tr>
      <w:tr w:rsidR="00263042" w:rsidRPr="00125FCE" w14:paraId="0836F6F2" w14:textId="77777777" w:rsidTr="00466CBC">
        <w:trPr>
          <w:trHeight w:val="251"/>
        </w:trPr>
        <w:tc>
          <w:tcPr>
            <w:tcW w:w="1170" w:type="dxa"/>
          </w:tcPr>
          <w:p w14:paraId="2089D8AE" w14:textId="77777777"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Zambia</w:t>
            </w:r>
          </w:p>
        </w:tc>
        <w:tc>
          <w:tcPr>
            <w:tcW w:w="899" w:type="dxa"/>
          </w:tcPr>
          <w:p w14:paraId="634A3EE9" w14:textId="77777777"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2015</w:t>
            </w:r>
          </w:p>
        </w:tc>
        <w:tc>
          <w:tcPr>
            <w:tcW w:w="1916" w:type="dxa"/>
          </w:tcPr>
          <w:p w14:paraId="325C5739" w14:textId="77777777" w:rsidR="00263042" w:rsidRPr="00263042" w:rsidRDefault="00263042" w:rsidP="00053537">
            <w:pPr>
              <w:pStyle w:val="xmsonormal"/>
              <w:contextualSpacing/>
              <w:jc w:val="both"/>
              <w:rPr>
                <w:rFonts w:asciiTheme="minorHAnsi" w:hAnsiTheme="minorHAnsi"/>
                <w:sz w:val="22"/>
                <w:szCs w:val="22"/>
              </w:rPr>
            </w:pPr>
            <w:r w:rsidRPr="00263042">
              <w:rPr>
                <w:rFonts w:asciiTheme="minorHAnsi" w:hAnsiTheme="minorHAnsi"/>
                <w:sz w:val="22"/>
                <w:szCs w:val="22"/>
              </w:rPr>
              <w:t xml:space="preserve">First Quantum Minerals </w:t>
            </w:r>
          </w:p>
        </w:tc>
        <w:tc>
          <w:tcPr>
            <w:tcW w:w="1596" w:type="dxa"/>
          </w:tcPr>
          <w:p w14:paraId="1B8AF2BC" w14:textId="77777777" w:rsidR="00263042" w:rsidRPr="00263042" w:rsidRDefault="00263042" w:rsidP="00053537">
            <w:pPr>
              <w:pStyle w:val="xmsonormal"/>
              <w:contextualSpacing/>
              <w:jc w:val="both"/>
              <w:rPr>
                <w:rFonts w:asciiTheme="minorHAnsi" w:eastAsia="Times New Roman" w:hAnsiTheme="minorHAnsi"/>
                <w:sz w:val="22"/>
                <w:szCs w:val="22"/>
              </w:rPr>
            </w:pPr>
            <w:r w:rsidRPr="00263042">
              <w:rPr>
                <w:rFonts w:asciiTheme="minorHAnsi" w:eastAsia="Times New Roman" w:hAnsiTheme="minorHAnsi"/>
                <w:sz w:val="22"/>
                <w:szCs w:val="22"/>
              </w:rPr>
              <w:t xml:space="preserve">Kansashi Mine </w:t>
            </w:r>
          </w:p>
        </w:tc>
        <w:tc>
          <w:tcPr>
            <w:tcW w:w="4319" w:type="dxa"/>
          </w:tcPr>
          <w:p w14:paraId="3C8EE5A5" w14:textId="77777777" w:rsidR="00263042" w:rsidRPr="00263042" w:rsidRDefault="00263042" w:rsidP="00053537">
            <w:pPr>
              <w:contextualSpacing/>
              <w:jc w:val="both"/>
              <w:rPr>
                <w:rFonts w:eastAsia="Times New Roman"/>
              </w:rPr>
            </w:pPr>
            <w:r w:rsidRPr="00263042">
              <w:rPr>
                <w:rFonts w:eastAsia="Times New Roman"/>
              </w:rPr>
              <w:t xml:space="preserve">Resettled 573 of 579 families covered by </w:t>
            </w:r>
          </w:p>
          <w:p w14:paraId="510CD27E" w14:textId="77777777" w:rsidR="00263042" w:rsidRPr="00263042" w:rsidRDefault="00263042" w:rsidP="00053537">
            <w:pPr>
              <w:contextualSpacing/>
              <w:jc w:val="both"/>
              <w:rPr>
                <w:rFonts w:eastAsia="Times New Roman"/>
              </w:rPr>
            </w:pPr>
            <w:r w:rsidRPr="00263042">
              <w:rPr>
                <w:rFonts w:eastAsia="Times New Roman"/>
              </w:rPr>
              <w:t xml:space="preserve">the Resettlement Action Plan (RAP). </w:t>
            </w:r>
          </w:p>
          <w:p w14:paraId="73F406A9" w14:textId="33D5B5D3" w:rsidR="00263042" w:rsidRPr="00263042" w:rsidRDefault="00263042" w:rsidP="00053537">
            <w:pPr>
              <w:contextualSpacing/>
              <w:jc w:val="both"/>
              <w:rPr>
                <w:rFonts w:eastAsia="Times New Roman"/>
              </w:rPr>
            </w:pPr>
            <w:r w:rsidRPr="00263042">
              <w:rPr>
                <w:rFonts w:eastAsia="Times New Roman"/>
              </w:rPr>
              <w:t xml:space="preserve">Also compensated to 1,384 and 95 beekeepers through Livelihood Restoration Programme including training in crop cultivation, supply of livestock, hive training, hive </w:t>
            </w:r>
          </w:p>
          <w:p w14:paraId="73B067E5" w14:textId="77777777" w:rsidR="00263042" w:rsidRPr="00263042" w:rsidRDefault="00263042" w:rsidP="00053537">
            <w:pPr>
              <w:contextualSpacing/>
              <w:jc w:val="both"/>
              <w:rPr>
                <w:rFonts w:eastAsia="Times New Roman"/>
              </w:rPr>
            </w:pPr>
            <w:r w:rsidRPr="00263042">
              <w:rPr>
                <w:rFonts w:eastAsia="Times New Roman"/>
              </w:rPr>
              <w:t xml:space="preserve">upgrades and helping provide connections to the international honey market </w:t>
            </w:r>
          </w:p>
          <w:p w14:paraId="518EA89D" w14:textId="77777777" w:rsidR="00263042" w:rsidRPr="00263042" w:rsidRDefault="00263042" w:rsidP="00053537">
            <w:pPr>
              <w:contextualSpacing/>
              <w:jc w:val="both"/>
              <w:rPr>
                <w:rFonts w:eastAsia="Times New Roman"/>
              </w:rPr>
            </w:pPr>
          </w:p>
          <w:p w14:paraId="7BF885EE" w14:textId="4EAEE57D" w:rsidR="00263042" w:rsidRPr="00263042" w:rsidRDefault="00263042" w:rsidP="00053537">
            <w:pPr>
              <w:contextualSpacing/>
              <w:jc w:val="both"/>
              <w:rPr>
                <w:rFonts w:eastAsia="Times New Roman"/>
              </w:rPr>
            </w:pPr>
            <w:r w:rsidRPr="00263042">
              <w:rPr>
                <w:rFonts w:eastAsia="Times New Roman"/>
              </w:rPr>
              <w:t xml:space="preserve">Estimated cost of resettlement US $13 million. </w:t>
            </w:r>
          </w:p>
        </w:tc>
      </w:tr>
    </w:tbl>
    <w:p w14:paraId="0CB34E64" w14:textId="10B767B2" w:rsidR="00053537" w:rsidRPr="00053537" w:rsidRDefault="00053537" w:rsidP="00053537">
      <w:pPr>
        <w:pStyle w:val="Heading1"/>
        <w:spacing w:before="0" w:beforeAutospacing="0" w:after="0" w:afterAutospacing="0"/>
        <w:contextualSpacing/>
        <w:jc w:val="both"/>
        <w:rPr>
          <w:rFonts w:ascii="Calibri" w:hAnsi="Calibri"/>
          <w:b w:val="0"/>
          <w:sz w:val="22"/>
          <w:szCs w:val="22"/>
        </w:rPr>
      </w:pPr>
      <w:r w:rsidRPr="00053537">
        <w:rPr>
          <w:rFonts w:ascii="Calibri" w:hAnsi="Calibri"/>
          <w:b w:val="0"/>
          <w:i/>
          <w:sz w:val="22"/>
          <w:szCs w:val="22"/>
        </w:rPr>
        <w:t>Sources</w:t>
      </w:r>
      <w:r w:rsidRPr="00053537">
        <w:rPr>
          <w:rFonts w:ascii="Calibri" w:hAnsi="Calibri"/>
          <w:b w:val="0"/>
          <w:sz w:val="22"/>
          <w:szCs w:val="22"/>
        </w:rPr>
        <w:t xml:space="preserve">: </w:t>
      </w:r>
      <w:r w:rsidR="00D942C4">
        <w:rPr>
          <w:rFonts w:ascii="Calibri" w:hAnsi="Calibri"/>
          <w:b w:val="0"/>
          <w:sz w:val="22"/>
          <w:szCs w:val="22"/>
        </w:rPr>
        <w:t xml:space="preserve">Data extracted from </w:t>
      </w:r>
      <w:r w:rsidRPr="00053537">
        <w:rPr>
          <w:rFonts w:ascii="Calibri" w:hAnsi="Calibri"/>
          <w:b w:val="0"/>
          <w:sz w:val="22"/>
          <w:szCs w:val="22"/>
        </w:rPr>
        <w:t>Endeavo</w:t>
      </w:r>
      <w:r w:rsidR="00882BE7">
        <w:rPr>
          <w:rFonts w:ascii="Calibri" w:hAnsi="Calibri"/>
          <w:b w:val="0"/>
          <w:sz w:val="22"/>
          <w:szCs w:val="22"/>
        </w:rPr>
        <w:t>u</w:t>
      </w:r>
      <w:r w:rsidRPr="00053537">
        <w:rPr>
          <w:rFonts w:ascii="Calibri" w:hAnsi="Calibri"/>
          <w:b w:val="0"/>
          <w:sz w:val="22"/>
          <w:szCs w:val="22"/>
        </w:rPr>
        <w:t xml:space="preserve">r Mining Corporation, 2016; First Quantum Minerals Limited, 2016; Newmont Mining Corporation, 2016a; 2011; AngloGold Ashanti, 2014; </w:t>
      </w:r>
      <w:r w:rsidR="00E05523">
        <w:rPr>
          <w:rFonts w:ascii="Calibri" w:hAnsi="Calibri"/>
          <w:b w:val="0"/>
          <w:sz w:val="22"/>
          <w:szCs w:val="22"/>
        </w:rPr>
        <w:t>BHRCH</w:t>
      </w:r>
      <w:r w:rsidRPr="00053537">
        <w:rPr>
          <w:rFonts w:ascii="Calibri" w:hAnsi="Calibri"/>
          <w:b w:val="0"/>
          <w:sz w:val="22"/>
          <w:szCs w:val="22"/>
        </w:rPr>
        <w:t>, 2011; Base Titanum Limited, 2010; Kapstein and Kim, 2011. Espang, 2011</w:t>
      </w:r>
    </w:p>
    <w:p w14:paraId="501E8CEA" w14:textId="77777777" w:rsidR="00A67653" w:rsidRDefault="00A67653" w:rsidP="00804F21">
      <w:pPr>
        <w:spacing w:after="0"/>
        <w:jc w:val="both"/>
      </w:pPr>
    </w:p>
    <w:p w14:paraId="375344C9" w14:textId="3E19320D" w:rsidR="00114799" w:rsidRDefault="00967F24" w:rsidP="00804F21">
      <w:pPr>
        <w:spacing w:after="0"/>
        <w:jc w:val="both"/>
      </w:pPr>
      <w:r w:rsidRPr="006C514F">
        <w:t>A</w:t>
      </w:r>
      <w:r w:rsidR="00503245">
        <w:t xml:space="preserve"> second area </w:t>
      </w:r>
      <w:r w:rsidR="008D4AC9" w:rsidRPr="006C514F">
        <w:t>which international mining companies ope</w:t>
      </w:r>
      <w:r w:rsidR="00EC639A">
        <w:t>rating in sub-Saharan Africa have</w:t>
      </w:r>
      <w:r w:rsidR="008D4AC9" w:rsidRPr="006C514F">
        <w:t xml:space="preserve"> rebranded as ‘CSR’ is local employment.</w:t>
      </w:r>
      <w:r w:rsidR="00147FB5">
        <w:t xml:space="preserve">  There has always been a heavy demand for – mostly unskilled – ‘black’ labour at the region’s mines.  The </w:t>
      </w:r>
      <w:r w:rsidR="0097516E" w:rsidRPr="006C514F">
        <w:t>sizable literature</w:t>
      </w:r>
      <w:r w:rsidR="00147FB5">
        <w:t xml:space="preserve"> on the recruitment of local mine labourers during the colonial period,</w:t>
      </w:r>
      <w:r w:rsidR="0097516E" w:rsidRPr="006C514F">
        <w:t xml:space="preserve"> </w:t>
      </w:r>
      <w:r w:rsidR="00147FB5">
        <w:t>rich</w:t>
      </w:r>
      <w:r w:rsidR="00B87DDD" w:rsidRPr="006C514F">
        <w:t xml:space="preserve"> accounts of</w:t>
      </w:r>
      <w:r w:rsidR="0097516E" w:rsidRPr="006C514F">
        <w:t xml:space="preserve"> </w:t>
      </w:r>
      <w:r w:rsidR="00147FB5">
        <w:t xml:space="preserve">experiences in the like </w:t>
      </w:r>
      <w:r w:rsidR="003F109E">
        <w:t xml:space="preserve">of Rhodesia, South Africa </w:t>
      </w:r>
      <w:r w:rsidR="00111F14" w:rsidRPr="006C514F">
        <w:t>and</w:t>
      </w:r>
      <w:r w:rsidR="00147FB5">
        <w:t xml:space="preserve"> Tanyganika (</w:t>
      </w:r>
      <w:r w:rsidR="003F109E">
        <w:t>e.g</w:t>
      </w:r>
      <w:r w:rsidR="00314897">
        <w:t>. Phimister, 1994; Money, 2015</w:t>
      </w:r>
      <w:r w:rsidR="00147FB5">
        <w:t>), focuses</w:t>
      </w:r>
      <w:r w:rsidR="00111F14" w:rsidRPr="006C514F">
        <w:t xml:space="preserve"> </w:t>
      </w:r>
      <w:r w:rsidR="00147FB5">
        <w:t>mostly on</w:t>
      </w:r>
      <w:r w:rsidR="00571186" w:rsidRPr="006C514F">
        <w:t xml:space="preserve"> </w:t>
      </w:r>
      <w:r w:rsidR="00147FB5">
        <w:t xml:space="preserve">conditions and class structures.  But at the same time, </w:t>
      </w:r>
      <w:r w:rsidR="00B846E0" w:rsidRPr="006C514F">
        <w:t>this body of analysis</w:t>
      </w:r>
      <w:r w:rsidR="00114799" w:rsidRPr="006C514F">
        <w:t xml:space="preserve"> </w:t>
      </w:r>
      <w:r w:rsidR="00B846E0" w:rsidRPr="006C514F">
        <w:t>illustrate</w:t>
      </w:r>
      <w:r w:rsidR="00147FB5">
        <w:t xml:space="preserve">s </w:t>
      </w:r>
      <w:r w:rsidR="00B846E0" w:rsidRPr="006C514F">
        <w:t>how dependent these mining</w:t>
      </w:r>
      <w:r w:rsidR="00DB5A5E" w:rsidRPr="006C514F">
        <w:t xml:space="preserve"> projects were on local labour.  </w:t>
      </w:r>
      <w:r w:rsidR="00DC6DD1" w:rsidRPr="006C514F">
        <w:t xml:space="preserve">Initially, </w:t>
      </w:r>
      <w:r w:rsidR="001C608F" w:rsidRPr="006C514F">
        <w:t xml:space="preserve">unskilled </w:t>
      </w:r>
      <w:r w:rsidR="00DC6DD1" w:rsidRPr="006C514F">
        <w:t>labourers were recruited</w:t>
      </w:r>
      <w:r w:rsidR="001C608F" w:rsidRPr="006C514F">
        <w:t xml:space="preserve"> from acros</w:t>
      </w:r>
      <w:r w:rsidR="00503245">
        <w:t>s sub-Saharan Africa</w:t>
      </w:r>
      <w:r w:rsidR="00881718">
        <w:t xml:space="preserve">.  They were </w:t>
      </w:r>
      <w:r w:rsidR="00DC6DD1" w:rsidRPr="006C514F">
        <w:t xml:space="preserve">provided </w:t>
      </w:r>
      <w:r w:rsidR="001C608F" w:rsidRPr="006C514F">
        <w:t xml:space="preserve">basic accommodation; paid wages much higher than elsewhere (e.g. on the railways and in the sawmills); and </w:t>
      </w:r>
      <w:r w:rsidR="006C514F" w:rsidRPr="006C514F">
        <w:t xml:space="preserve">in some cases, such as the </w:t>
      </w:r>
      <w:r w:rsidR="006C514F" w:rsidRPr="006C514F">
        <w:rPr>
          <w:rStyle w:val="Emphasis"/>
          <w:rFonts w:cs="Arial"/>
          <w:bCs/>
          <w:i w:val="0"/>
          <w:iCs w:val="0"/>
          <w:shd w:val="clear" w:color="auto" w:fill="FFFFFF"/>
        </w:rPr>
        <w:t>Forminière</w:t>
      </w:r>
      <w:r w:rsidR="006C514F" w:rsidRPr="006C514F">
        <w:t xml:space="preserve"> </w:t>
      </w:r>
      <w:r w:rsidR="006C514F">
        <w:t xml:space="preserve">in the Belgian Congo, offered </w:t>
      </w:r>
      <w:r w:rsidR="00503245">
        <w:t>goods such as shoes and clothing</w:t>
      </w:r>
      <w:r w:rsidR="006C514F">
        <w:t xml:space="preserve"> at subsidized prices (Daniel, 1979; Cleveland, 2015).</w:t>
      </w:r>
      <w:r w:rsidR="00881718">
        <w:t xml:space="preserve">  As explained at the time, the recruitment was far-reaching:</w:t>
      </w:r>
      <w:r w:rsidR="00BA610F">
        <w:t xml:space="preserve">  </w:t>
      </w:r>
      <w:r w:rsidR="007F0EDB">
        <w:t xml:space="preserve">  </w:t>
      </w:r>
      <w:r w:rsidR="00C21BDF">
        <w:t xml:space="preserve">   </w:t>
      </w:r>
      <w:r w:rsidR="00697C44">
        <w:t xml:space="preserve">  </w:t>
      </w:r>
      <w:r w:rsidR="006C514F">
        <w:t xml:space="preserve">  </w:t>
      </w:r>
    </w:p>
    <w:p w14:paraId="3468B854" w14:textId="77777777" w:rsidR="00190CC2" w:rsidRDefault="00190CC2" w:rsidP="00BA610F">
      <w:pPr>
        <w:spacing w:after="0"/>
        <w:ind w:left="567"/>
        <w:jc w:val="both"/>
      </w:pPr>
    </w:p>
    <w:p w14:paraId="01BDD39F" w14:textId="0CCDB3EA" w:rsidR="00147FB5" w:rsidRPr="006C514F" w:rsidRDefault="00147FB5" w:rsidP="00BA610F">
      <w:pPr>
        <w:spacing w:after="0"/>
        <w:ind w:left="567"/>
        <w:jc w:val="both"/>
      </w:pPr>
      <w:r>
        <w:t>Southern Rhodesia imports labour from Northern Rhodesia, Nyasaland (non-recruited) and Portuguese East Africa. Northern Rhodesian labour has also been widely used in the Belgian Congo, while the movement to Southern Rhodesia still remains, and in addition the new copper mines of the territory attract labour</w:t>
      </w:r>
      <w:r w:rsidR="00BA610F">
        <w:t xml:space="preserve">. [ILO, 1935, p. </w:t>
      </w:r>
      <w:r>
        <w:t>27</w:t>
      </w:r>
      <w:r w:rsidR="00BA610F">
        <w:t>]</w:t>
      </w:r>
    </w:p>
    <w:p w14:paraId="6A6C3068" w14:textId="77777777" w:rsidR="00DC6DD1" w:rsidRDefault="00DC6DD1" w:rsidP="00804F21">
      <w:pPr>
        <w:spacing w:after="0"/>
        <w:jc w:val="both"/>
      </w:pPr>
    </w:p>
    <w:p w14:paraId="49C858F8" w14:textId="4B6E64A1" w:rsidR="00A86DA9" w:rsidRDefault="00E80040" w:rsidP="00804F21">
      <w:pPr>
        <w:spacing w:after="0"/>
        <w:jc w:val="both"/>
      </w:pPr>
      <w:r>
        <w:t>As t</w:t>
      </w:r>
      <w:r w:rsidR="000C3530">
        <w:t>he literature</w:t>
      </w:r>
      <w:r w:rsidR="00803E3B">
        <w:t xml:space="preserve"> correctly points out</w:t>
      </w:r>
      <w:r>
        <w:t>, initially,</w:t>
      </w:r>
      <w:r w:rsidR="00803E3B">
        <w:t xml:space="preserve"> </w:t>
      </w:r>
      <w:r w:rsidR="000C3530">
        <w:t>recruited ‘black’ mine labourers in colonial Africa</w:t>
      </w:r>
      <w:r w:rsidR="00803E3B">
        <w:t xml:space="preserve"> </w:t>
      </w:r>
      <w:r>
        <w:t xml:space="preserve">endured very </w:t>
      </w:r>
      <w:r w:rsidR="00803E3B">
        <w:t xml:space="preserve">difficult </w:t>
      </w:r>
      <w:r>
        <w:t xml:space="preserve">work and living </w:t>
      </w:r>
      <w:r w:rsidR="00803E3B">
        <w:t>conditions</w:t>
      </w:r>
      <w:r w:rsidR="000C3530">
        <w:t>,</w:t>
      </w:r>
      <w:r>
        <w:t xml:space="preserve"> </w:t>
      </w:r>
      <w:r w:rsidR="00581CCE">
        <w:t>such as the</w:t>
      </w:r>
      <w:r>
        <w:t xml:space="preserve"> communal sanitary arrangements</w:t>
      </w:r>
      <w:r w:rsidR="00DA677F">
        <w:t xml:space="preserve">, </w:t>
      </w:r>
      <w:r w:rsidR="00C16385">
        <w:t xml:space="preserve">dearth of educational facilities (for children) and shared accommodation </w:t>
      </w:r>
      <w:r w:rsidR="006A2D81">
        <w:t>seen</w:t>
      </w:r>
      <w:r w:rsidR="00C16385">
        <w:t xml:space="preserve"> in the Copperbelt in the 1930s (Daniel, 1979).</w:t>
      </w:r>
      <w:r w:rsidR="0023608B">
        <w:t xml:space="preserve">  It was only a matter of time, however, that the negotiating position of ‘black’ labourers would</w:t>
      </w:r>
      <w:r w:rsidR="00833317">
        <w:t xml:space="preserve"> </w:t>
      </w:r>
      <w:r w:rsidR="00135FE8">
        <w:t xml:space="preserve">improve, given their </w:t>
      </w:r>
      <w:r w:rsidR="00190CC2">
        <w:t xml:space="preserve">relatively </w:t>
      </w:r>
      <w:r w:rsidR="00135FE8">
        <w:t>monopolistic position</w:t>
      </w:r>
      <w:r w:rsidR="00C756F4">
        <w:t xml:space="preserve"> as low-skilled assistance.  </w:t>
      </w:r>
      <w:r w:rsidR="00FE48EF">
        <w:t xml:space="preserve">The </w:t>
      </w:r>
      <w:r w:rsidR="007F70F7">
        <w:t>establishment</w:t>
      </w:r>
      <w:r w:rsidR="00FE48EF">
        <w:t xml:space="preserve"> of </w:t>
      </w:r>
      <w:r w:rsidR="00F00007">
        <w:t xml:space="preserve">smaller </w:t>
      </w:r>
      <w:r w:rsidR="00FE48EF">
        <w:t>associations</w:t>
      </w:r>
      <w:r w:rsidR="00F00007">
        <w:t xml:space="preserve"> </w:t>
      </w:r>
      <w:r w:rsidR="00A86DA9">
        <w:t>which</w:t>
      </w:r>
      <w:r w:rsidR="00F00007">
        <w:t xml:space="preserve"> help</w:t>
      </w:r>
      <w:r w:rsidR="00A86DA9">
        <w:t>ed</w:t>
      </w:r>
      <w:r w:rsidR="00F00007">
        <w:t xml:space="preserve"> workers cope with </w:t>
      </w:r>
      <w:r w:rsidR="00A86DA9">
        <w:t>the</w:t>
      </w:r>
      <w:r w:rsidR="00AC7B61">
        <w:t>ir</w:t>
      </w:r>
      <w:r w:rsidR="00A86DA9">
        <w:t xml:space="preserve"> </w:t>
      </w:r>
      <w:r w:rsidR="00F00007">
        <w:t xml:space="preserve">challenging </w:t>
      </w:r>
      <w:r w:rsidR="00AC7B61">
        <w:t>lifestyles</w:t>
      </w:r>
      <w:r w:rsidR="00A86DA9">
        <w:t xml:space="preserve"> and ultimately pressure</w:t>
      </w:r>
      <w:r w:rsidR="00AC7B61">
        <w:t>d</w:t>
      </w:r>
      <w:r w:rsidR="00A86DA9">
        <w:t xml:space="preserve"> </w:t>
      </w:r>
      <w:r w:rsidR="00203BE3">
        <w:t xml:space="preserve">mine </w:t>
      </w:r>
      <w:r w:rsidR="00A86DA9">
        <w:t>management to improve working conditions</w:t>
      </w:r>
      <w:r w:rsidR="00FE48EF">
        <w:t>,</w:t>
      </w:r>
      <w:r w:rsidR="00A86DA9">
        <w:t xml:space="preserve"> </w:t>
      </w:r>
      <w:r w:rsidR="00DA677F">
        <w:t>provided a f</w:t>
      </w:r>
      <w:r w:rsidR="00AC7B61">
        <w:t xml:space="preserve">oundation for </w:t>
      </w:r>
      <w:r w:rsidR="00A86DA9">
        <w:t>local</w:t>
      </w:r>
      <w:r w:rsidR="00F00007">
        <w:t xml:space="preserve"> </w:t>
      </w:r>
      <w:r w:rsidR="00DE1B4D">
        <w:t xml:space="preserve">uprisings </w:t>
      </w:r>
      <w:r w:rsidR="00A86DA9">
        <w:t>and protests</w:t>
      </w:r>
      <w:r w:rsidR="00DA677F">
        <w:t>.  It also</w:t>
      </w:r>
      <w:r w:rsidR="00DE1B4D">
        <w:t xml:space="preserve"> </w:t>
      </w:r>
      <w:r w:rsidR="00AC7B61">
        <w:t xml:space="preserve">facilitated </w:t>
      </w:r>
      <w:r w:rsidR="00DE1B4D">
        <w:t>the eventual passing of safety and health-related legislation</w:t>
      </w:r>
      <w:r w:rsidR="0034345D">
        <w:t xml:space="preserve"> that</w:t>
      </w:r>
      <w:r w:rsidR="00DE1B4D">
        <w:t xml:space="preserve"> would gradually </w:t>
      </w:r>
      <w:r w:rsidR="007F70F7">
        <w:t>lead to</w:t>
      </w:r>
      <w:r w:rsidR="00DE1B4D">
        <w:t xml:space="preserve"> improved working conditions for ‘black’ labourers (Phim</w:t>
      </w:r>
      <w:r w:rsidR="00314897">
        <w:t>ister, 1974</w:t>
      </w:r>
      <w:r w:rsidR="00AC5962">
        <w:t xml:space="preserve">; </w:t>
      </w:r>
      <w:r w:rsidR="00DE1B4D">
        <w:t>Perrings, 1977; Makambe, 1994).</w:t>
      </w:r>
      <w:r w:rsidR="00983237">
        <w:t xml:space="preserve">  One scholar (Hochschild, 1956) described these </w:t>
      </w:r>
      <w:r w:rsidR="00881718">
        <w:t>“</w:t>
      </w:r>
      <w:r w:rsidR="00983237">
        <w:t>improved</w:t>
      </w:r>
      <w:r w:rsidR="00881718">
        <w:t>”</w:t>
      </w:r>
      <w:r w:rsidR="00983237">
        <w:t xml:space="preserve"> living conditions</w:t>
      </w:r>
      <w:r w:rsidR="00881718">
        <w:t xml:space="preserve"> at the time</w:t>
      </w:r>
      <w:r w:rsidR="00983237">
        <w:t>:</w:t>
      </w:r>
    </w:p>
    <w:p w14:paraId="54317F4A" w14:textId="77777777" w:rsidR="00190CC2" w:rsidRDefault="00190CC2" w:rsidP="00804F21">
      <w:pPr>
        <w:spacing w:after="0"/>
        <w:jc w:val="both"/>
      </w:pPr>
    </w:p>
    <w:p w14:paraId="2609FBA3" w14:textId="6F90FB93" w:rsidR="00A86DA9" w:rsidRDefault="00983237" w:rsidP="00983237">
      <w:pPr>
        <w:spacing w:after="0"/>
        <w:ind w:left="567"/>
        <w:jc w:val="both"/>
      </w:pPr>
      <w:r>
        <w:t>…</w:t>
      </w:r>
      <w:r w:rsidR="00A86DA9">
        <w:t>the African mineworkers, too, have for many years enjoyed pay and living and working conditions which, by African standards, are so high a</w:t>
      </w:r>
      <w:r>
        <w:t>s to at</w:t>
      </w:r>
      <w:r w:rsidR="00A86DA9">
        <w:t>tract them to these mines without any recruitment</w:t>
      </w:r>
      <w:r w:rsidR="00881718">
        <w:t>…</w:t>
      </w:r>
      <w:r w:rsidR="00A86DA9">
        <w:t>the Afr</w:t>
      </w:r>
      <w:r>
        <w:t>ican coming to work on the Cop</w:t>
      </w:r>
      <w:r w:rsidR="00A86DA9">
        <w:t xml:space="preserve">perbelt can bring his family to live with </w:t>
      </w:r>
      <w:r w:rsidR="00A86DA9">
        <w:lastRenderedPageBreak/>
        <w:t>him in a rent-free brick house equipped with electric light, running water, and modern sewerage. The Africans are fed by the companies or reimbursed for the cost of their food; they have medical facilities as good as those serving most people in the United Kingdom; and for their entertainment there are well-buil</w:t>
      </w:r>
      <w:r>
        <w:t>t cinemas, libraries, recreation clubs, and sports grounds. [p. 44-45]</w:t>
      </w:r>
    </w:p>
    <w:p w14:paraId="68075203" w14:textId="77777777" w:rsidR="00983237" w:rsidRDefault="00983237" w:rsidP="00804F21">
      <w:pPr>
        <w:spacing w:after="0"/>
        <w:jc w:val="both"/>
      </w:pPr>
    </w:p>
    <w:p w14:paraId="7BE226F6" w14:textId="6517627B" w:rsidR="004D069B" w:rsidRDefault="009E1C65" w:rsidP="00E13AD1">
      <w:pPr>
        <w:spacing w:after="0"/>
        <w:jc w:val="both"/>
        <w:rPr>
          <w:rFonts w:cs="Times-Roman"/>
        </w:rPr>
      </w:pPr>
      <w:r w:rsidRPr="00E13AD1">
        <w:t>Whilst</w:t>
      </w:r>
      <w:r w:rsidR="00F231CF" w:rsidRPr="00E13AD1">
        <w:t xml:space="preserve"> </w:t>
      </w:r>
      <w:r w:rsidR="00AC7B61">
        <w:t>perhaps an exaggerated assessment</w:t>
      </w:r>
      <w:r w:rsidRPr="00E13AD1">
        <w:t>, there i</w:t>
      </w:r>
      <w:r w:rsidR="004676D5" w:rsidRPr="00E13AD1">
        <w:t xml:space="preserve">s little disputing that both </w:t>
      </w:r>
      <w:r w:rsidRPr="00E13AD1">
        <w:t>African mine labourers and managers</w:t>
      </w:r>
      <w:r w:rsidR="00C41A6E" w:rsidRPr="00E13AD1">
        <w:t xml:space="preserve"> were</w:t>
      </w:r>
      <w:r w:rsidRPr="00E13AD1">
        <w:t xml:space="preserve"> </w:t>
      </w:r>
      <w:r w:rsidR="00C41A6E" w:rsidRPr="00E13AD1">
        <w:t xml:space="preserve">aware of the indispensable function played by the </w:t>
      </w:r>
      <w:r w:rsidRPr="00E13AD1">
        <w:t>former</w:t>
      </w:r>
      <w:r w:rsidR="00C41A6E" w:rsidRPr="00E13AD1">
        <w:t xml:space="preserve"> at the time, growing recognition of which</w:t>
      </w:r>
      <w:r w:rsidRPr="00E13AD1">
        <w:t xml:space="preserve"> improved</w:t>
      </w:r>
      <w:r w:rsidR="00C41A6E" w:rsidRPr="00E13AD1">
        <w:t xml:space="preserve"> the</w:t>
      </w:r>
      <w:r w:rsidRPr="00E13AD1">
        <w:t>ir</w:t>
      </w:r>
      <w:r w:rsidR="00C41A6E" w:rsidRPr="00E13AD1">
        <w:t xml:space="preserve"> terms for negotiation and ultimately </w:t>
      </w:r>
      <w:r w:rsidR="00BD3CAC">
        <w:t>led to</w:t>
      </w:r>
      <w:r w:rsidR="00C41A6E" w:rsidRPr="00E13AD1">
        <w:t xml:space="preserve"> marked changes in </w:t>
      </w:r>
      <w:r w:rsidRPr="00E13AD1">
        <w:t xml:space="preserve">their </w:t>
      </w:r>
      <w:r w:rsidR="00C41A6E" w:rsidRPr="00E13AD1">
        <w:t>working conditions.</w:t>
      </w:r>
      <w:r w:rsidRPr="00E13AD1">
        <w:t xml:space="preserve">  </w:t>
      </w:r>
      <w:r w:rsidR="00071592" w:rsidRPr="00E13AD1">
        <w:t xml:space="preserve">By the 1920s </w:t>
      </w:r>
      <w:r w:rsidR="00D3169F" w:rsidRPr="00E13AD1">
        <w:t xml:space="preserve">and 1930s, </w:t>
      </w:r>
      <w:r w:rsidR="00F13C3B">
        <w:t>‘blacks’</w:t>
      </w:r>
      <w:r w:rsidR="00D3169F" w:rsidRPr="00E13AD1">
        <w:t xml:space="preserve"> had </w:t>
      </w:r>
      <w:r w:rsidR="00AC7B61">
        <w:t>become</w:t>
      </w:r>
      <w:r w:rsidR="00EC171D">
        <w:t xml:space="preserve"> a</w:t>
      </w:r>
      <w:r w:rsidRPr="00E13AD1">
        <w:t xml:space="preserve"> sizable and </w:t>
      </w:r>
      <w:r w:rsidR="00D3169F" w:rsidRPr="00E13AD1">
        <w:t>influ</w:t>
      </w:r>
      <w:r w:rsidRPr="00E13AD1">
        <w:t>ential segment of the mine</w:t>
      </w:r>
      <w:r w:rsidR="00D3169F" w:rsidRPr="00E13AD1">
        <w:t xml:space="preserve"> labour force in </w:t>
      </w:r>
      <w:r w:rsidRPr="00E13AD1">
        <w:t xml:space="preserve">all corners of </w:t>
      </w:r>
      <w:r w:rsidR="00D3169F" w:rsidRPr="00E13AD1">
        <w:t xml:space="preserve">sub-Saharan Africa (See Table </w:t>
      </w:r>
      <w:r w:rsidR="00263042">
        <w:t>2</w:t>
      </w:r>
      <w:r w:rsidR="00D3169F" w:rsidRPr="00E13AD1">
        <w:t>).</w:t>
      </w:r>
      <w:r w:rsidR="004B0D2E" w:rsidRPr="00E13AD1">
        <w:t xml:space="preserve">  </w:t>
      </w:r>
      <w:r w:rsidR="007F3353" w:rsidRPr="00E13AD1">
        <w:t>They had also proved themselves adaptable to industrial processes</w:t>
      </w:r>
      <w:r w:rsidR="00F13C3B">
        <w:t>.  I</w:t>
      </w:r>
      <w:r w:rsidRPr="00E13AD1">
        <w:t>t was realized, at</w:t>
      </w:r>
      <w:r w:rsidR="00D6494B" w:rsidRPr="00E13AD1">
        <w:t xml:space="preserve"> this time, that, in areas such as the </w:t>
      </w:r>
      <w:r w:rsidR="00221DF5">
        <w:t xml:space="preserve">present-day Zambian </w:t>
      </w:r>
      <w:r w:rsidR="00D6494B" w:rsidRPr="00E13AD1">
        <w:t>Copperbelt, ‘if given adequate training’, Africans ‘would become competitive with the lower grades of European workmen’, which, ‘in the Belgian Congo mines, just a few miles away across the border’, was already happening (</w:t>
      </w:r>
      <w:r w:rsidR="006A4DDA" w:rsidRPr="00E13AD1">
        <w:t>Hochschild, 1956, p. 45).</w:t>
      </w:r>
      <w:r w:rsidR="00F13C3B">
        <w:t xml:space="preserve">  These developments</w:t>
      </w:r>
      <w:r w:rsidR="003739E0" w:rsidRPr="00E13AD1">
        <w:t xml:space="preserve"> mirrored what seemed to be </w:t>
      </w:r>
      <w:r w:rsidR="00F13C3B">
        <w:t xml:space="preserve">the norm in the mining sector </w:t>
      </w:r>
      <w:r w:rsidR="003739E0" w:rsidRPr="00E13AD1">
        <w:t xml:space="preserve">at the time: as Harvey’s (1981) seminal work on Rio Tinto revealed, </w:t>
      </w:r>
      <w:r w:rsidR="002D1EA9" w:rsidRPr="00E13AD1">
        <w:t>as early as the late-1880s, at its operation in</w:t>
      </w:r>
      <w:r w:rsidR="003739E0" w:rsidRPr="00E13AD1">
        <w:t xml:space="preserve"> Spain</w:t>
      </w:r>
      <w:r w:rsidR="002D1EA9" w:rsidRPr="00E13AD1">
        <w:t>, the company had educat</w:t>
      </w:r>
      <w:r w:rsidR="002D1EA9" w:rsidRPr="00E13AD1">
        <w:rPr>
          <w:rFonts w:cs="Times-Roman"/>
        </w:rPr>
        <w:t>ed more than 1</w:t>
      </w:r>
      <w:r w:rsidR="004D069B" w:rsidRPr="00E13AD1">
        <w:rPr>
          <w:rFonts w:cs="Times-Roman"/>
        </w:rPr>
        <w:t>200 c</w:t>
      </w:r>
      <w:r w:rsidR="002D1EA9" w:rsidRPr="00E13AD1">
        <w:rPr>
          <w:rFonts w:cs="Times-Roman"/>
        </w:rPr>
        <w:t xml:space="preserve">hildren free of charge across seven </w:t>
      </w:r>
      <w:r w:rsidR="004D069B" w:rsidRPr="00E13AD1">
        <w:rPr>
          <w:rFonts w:cs="Times-Roman"/>
        </w:rPr>
        <w:t>schools with a</w:t>
      </w:r>
      <w:r w:rsidR="002D1EA9" w:rsidRPr="00E13AD1">
        <w:rPr>
          <w:rFonts w:cs="Times-Roman"/>
        </w:rPr>
        <w:t xml:space="preserve"> staff of 25 q</w:t>
      </w:r>
      <w:r w:rsidR="00E13AD1" w:rsidRPr="00E13AD1">
        <w:rPr>
          <w:rFonts w:cs="Times-Roman"/>
        </w:rPr>
        <w:t xml:space="preserve">ualified teachers, after which, local educational </w:t>
      </w:r>
      <w:r w:rsidR="004D069B" w:rsidRPr="00E13AD1">
        <w:rPr>
          <w:rFonts w:cs="Times-Roman"/>
        </w:rPr>
        <w:t>facilities were expanded to meet the need</w:t>
      </w:r>
      <w:r w:rsidR="00E13AD1" w:rsidRPr="00E13AD1">
        <w:rPr>
          <w:rFonts w:cs="Times-Roman"/>
        </w:rPr>
        <w:t>s</w:t>
      </w:r>
      <w:r w:rsidR="004D069B" w:rsidRPr="00E13AD1">
        <w:rPr>
          <w:rFonts w:cs="Times-Roman"/>
        </w:rPr>
        <w:t xml:space="preserve"> of a </w:t>
      </w:r>
      <w:r w:rsidR="00E13AD1" w:rsidRPr="00E13AD1">
        <w:rPr>
          <w:rFonts w:cs="Times-Roman"/>
        </w:rPr>
        <w:t xml:space="preserve">growing population, and </w:t>
      </w:r>
      <w:r w:rsidR="009C3590">
        <w:rPr>
          <w:rFonts w:cs="Times-Roman"/>
        </w:rPr>
        <w:t>later recruited the b</w:t>
      </w:r>
      <w:r w:rsidR="00EC171D">
        <w:rPr>
          <w:rFonts w:cs="Times-Roman"/>
        </w:rPr>
        <w:t>est</w:t>
      </w:r>
      <w:r w:rsidR="00E13AD1" w:rsidRPr="00E13AD1">
        <w:rPr>
          <w:rFonts w:cs="Times-Roman"/>
        </w:rPr>
        <w:t xml:space="preserve">-performing students </w:t>
      </w:r>
      <w:r w:rsidR="00EC171D">
        <w:rPr>
          <w:rFonts w:cs="Times-Roman"/>
        </w:rPr>
        <w:t>to fill</w:t>
      </w:r>
      <w:r w:rsidR="00E13AD1" w:rsidRPr="00E13AD1">
        <w:rPr>
          <w:rFonts w:cs="Times-Roman"/>
        </w:rPr>
        <w:t xml:space="preserve"> top positions at the mine.</w:t>
      </w:r>
    </w:p>
    <w:p w14:paraId="3F01D68E" w14:textId="4490ED70" w:rsidR="00350A8B" w:rsidRDefault="00350A8B" w:rsidP="00E13AD1">
      <w:pPr>
        <w:spacing w:after="0"/>
        <w:jc w:val="both"/>
        <w:rPr>
          <w:rFonts w:cs="Times-Roman"/>
        </w:rPr>
      </w:pPr>
    </w:p>
    <w:p w14:paraId="06F1C918" w14:textId="09C16369" w:rsidR="00350A8B" w:rsidRPr="00350A8B" w:rsidRDefault="00263042" w:rsidP="00E13AD1">
      <w:pPr>
        <w:spacing w:after="0"/>
        <w:jc w:val="both"/>
        <w:rPr>
          <w:rFonts w:cs="Times-Roman"/>
        </w:rPr>
      </w:pPr>
      <w:r>
        <w:rPr>
          <w:rFonts w:cs="Times-Roman"/>
          <w:b/>
        </w:rPr>
        <w:t>Table 2</w:t>
      </w:r>
      <w:r w:rsidR="00350A8B">
        <w:rPr>
          <w:rFonts w:cs="Times-Roman"/>
          <w:b/>
        </w:rPr>
        <w:t xml:space="preserve">: </w:t>
      </w:r>
      <w:r w:rsidR="00350A8B">
        <w:rPr>
          <w:rFonts w:cs="Times-Roman"/>
        </w:rPr>
        <w:t>Mine labour forces in selected African colonies</w:t>
      </w:r>
    </w:p>
    <w:tbl>
      <w:tblPr>
        <w:tblStyle w:val="TableGrid"/>
        <w:tblW w:w="0" w:type="auto"/>
        <w:tblLook w:val="04A0" w:firstRow="1" w:lastRow="0" w:firstColumn="1" w:lastColumn="0" w:noHBand="0" w:noVBand="1"/>
      </w:tblPr>
      <w:tblGrid>
        <w:gridCol w:w="2314"/>
        <w:gridCol w:w="2114"/>
        <w:gridCol w:w="2323"/>
      </w:tblGrid>
      <w:tr w:rsidR="00263042" w14:paraId="049D2198" w14:textId="77777777" w:rsidTr="002A224A">
        <w:tc>
          <w:tcPr>
            <w:tcW w:w="2314" w:type="dxa"/>
          </w:tcPr>
          <w:p w14:paraId="0A1217CE" w14:textId="027B950B" w:rsidR="00263042" w:rsidRPr="002A224A" w:rsidRDefault="00263042" w:rsidP="00263042">
            <w:pPr>
              <w:jc w:val="both"/>
              <w:rPr>
                <w:b/>
              </w:rPr>
            </w:pPr>
            <w:r w:rsidRPr="00125FCE">
              <w:rPr>
                <w:rFonts w:ascii="Calibri" w:hAnsi="Calibri" w:cs="Times New Roman"/>
                <w:b/>
                <w:bCs/>
                <w:color w:val="191919"/>
              </w:rPr>
              <w:t>Colony</w:t>
            </w:r>
          </w:p>
        </w:tc>
        <w:tc>
          <w:tcPr>
            <w:tcW w:w="2114" w:type="dxa"/>
          </w:tcPr>
          <w:p w14:paraId="21393A7E" w14:textId="68CB65B4" w:rsidR="00263042" w:rsidRPr="002A224A" w:rsidRDefault="00263042" w:rsidP="00263042">
            <w:pPr>
              <w:jc w:val="both"/>
              <w:rPr>
                <w:b/>
              </w:rPr>
            </w:pPr>
            <w:r w:rsidRPr="00125FCE">
              <w:rPr>
                <w:rFonts w:ascii="Calibri" w:hAnsi="Calibri" w:cs="Times New Roman"/>
                <w:b/>
                <w:bCs/>
                <w:color w:val="191919"/>
              </w:rPr>
              <w:t>Year</w:t>
            </w:r>
          </w:p>
        </w:tc>
        <w:tc>
          <w:tcPr>
            <w:tcW w:w="2323" w:type="dxa"/>
          </w:tcPr>
          <w:p w14:paraId="5C74B6FE" w14:textId="2F72EDFA" w:rsidR="00263042" w:rsidRPr="002A224A" w:rsidRDefault="00263042" w:rsidP="00263042">
            <w:pPr>
              <w:jc w:val="both"/>
              <w:rPr>
                <w:b/>
              </w:rPr>
            </w:pPr>
            <w:r w:rsidRPr="00125FCE">
              <w:rPr>
                <w:rFonts w:ascii="Calibri" w:hAnsi="Calibri" w:cs="Times New Roman"/>
                <w:b/>
                <w:bCs/>
                <w:color w:val="191919"/>
              </w:rPr>
              <w:t>Size of African Labour Force</w:t>
            </w:r>
          </w:p>
        </w:tc>
      </w:tr>
      <w:tr w:rsidR="00263042" w14:paraId="2A89A2D5" w14:textId="77777777" w:rsidTr="002A224A">
        <w:tc>
          <w:tcPr>
            <w:tcW w:w="2314" w:type="dxa"/>
          </w:tcPr>
          <w:p w14:paraId="1B1E663D" w14:textId="67205367" w:rsidR="00263042" w:rsidRDefault="00263042" w:rsidP="00263042">
            <w:pPr>
              <w:jc w:val="both"/>
            </w:pPr>
            <w:r w:rsidRPr="00125FCE">
              <w:rPr>
                <w:rFonts w:ascii="Calibri" w:hAnsi="Calibri" w:cs="Times New Roman"/>
                <w:bCs/>
                <w:color w:val="191919"/>
              </w:rPr>
              <w:t xml:space="preserve">Union of South Africa </w:t>
            </w:r>
          </w:p>
        </w:tc>
        <w:tc>
          <w:tcPr>
            <w:tcW w:w="2114" w:type="dxa"/>
          </w:tcPr>
          <w:p w14:paraId="5E2C907A" w14:textId="77777777" w:rsidR="00263042" w:rsidRPr="00125FCE" w:rsidRDefault="00263042" w:rsidP="00263042">
            <w:pPr>
              <w:widowControl w:val="0"/>
              <w:autoSpaceDE w:val="0"/>
              <w:autoSpaceDN w:val="0"/>
              <w:adjustRightInd w:val="0"/>
              <w:jc w:val="both"/>
              <w:rPr>
                <w:rFonts w:ascii="Calibri" w:hAnsi="Calibri" w:cs="Times New Roman"/>
                <w:bCs/>
                <w:color w:val="191919"/>
              </w:rPr>
            </w:pPr>
            <w:r w:rsidRPr="00125FCE">
              <w:rPr>
                <w:rFonts w:ascii="Calibri" w:hAnsi="Calibri" w:cs="Times New Roman"/>
                <w:bCs/>
                <w:color w:val="191919"/>
              </w:rPr>
              <w:t>1895</w:t>
            </w:r>
          </w:p>
          <w:p w14:paraId="4228EB84" w14:textId="6EAF6E09" w:rsidR="00263042" w:rsidRDefault="00263042" w:rsidP="00263042">
            <w:pPr>
              <w:jc w:val="both"/>
            </w:pPr>
            <w:r w:rsidRPr="00125FCE">
              <w:rPr>
                <w:rFonts w:ascii="Calibri" w:hAnsi="Calibri" w:cs="Times New Roman"/>
                <w:bCs/>
                <w:color w:val="191919"/>
              </w:rPr>
              <w:t>1934</w:t>
            </w:r>
          </w:p>
        </w:tc>
        <w:tc>
          <w:tcPr>
            <w:tcW w:w="2323" w:type="dxa"/>
          </w:tcPr>
          <w:p w14:paraId="5B1D47AE" w14:textId="77777777" w:rsidR="00263042" w:rsidRPr="00125FCE" w:rsidRDefault="00263042" w:rsidP="00263042">
            <w:pPr>
              <w:widowControl w:val="0"/>
              <w:autoSpaceDE w:val="0"/>
              <w:autoSpaceDN w:val="0"/>
              <w:adjustRightInd w:val="0"/>
              <w:spacing w:after="240"/>
              <w:contextualSpacing/>
              <w:rPr>
                <w:rFonts w:ascii="Calibri" w:hAnsi="Calibri" w:cs="Times New Roman"/>
              </w:rPr>
            </w:pPr>
            <w:r w:rsidRPr="00125FCE">
              <w:rPr>
                <w:rFonts w:ascii="Calibri" w:hAnsi="Calibri" w:cs="Times New Roman"/>
              </w:rPr>
              <w:t xml:space="preserve">40, 000 </w:t>
            </w:r>
          </w:p>
          <w:p w14:paraId="08D6911C" w14:textId="0D53B428" w:rsidR="00263042" w:rsidRDefault="00263042" w:rsidP="00263042">
            <w:pPr>
              <w:jc w:val="both"/>
            </w:pPr>
            <w:r w:rsidRPr="00125FCE">
              <w:rPr>
                <w:rFonts w:ascii="Calibri" w:hAnsi="Calibri" w:cs="Times New Roman"/>
              </w:rPr>
              <w:t xml:space="preserve">244,262 </w:t>
            </w:r>
          </w:p>
        </w:tc>
      </w:tr>
      <w:tr w:rsidR="00263042" w14:paraId="2992FE56" w14:textId="77777777" w:rsidTr="002A224A">
        <w:tc>
          <w:tcPr>
            <w:tcW w:w="2314" w:type="dxa"/>
          </w:tcPr>
          <w:p w14:paraId="041E69CD" w14:textId="5F33231E" w:rsidR="00263042" w:rsidRDefault="00263042" w:rsidP="00263042">
            <w:pPr>
              <w:jc w:val="both"/>
            </w:pPr>
            <w:r w:rsidRPr="00125FCE">
              <w:rPr>
                <w:rFonts w:ascii="Calibri" w:hAnsi="Calibri" w:cs="Times New Roman"/>
                <w:color w:val="191919"/>
              </w:rPr>
              <w:t> </w:t>
            </w:r>
            <w:r w:rsidRPr="00125FCE">
              <w:rPr>
                <w:rFonts w:ascii="Calibri" w:hAnsi="Calibri" w:cs="Times New Roman"/>
              </w:rPr>
              <w:t xml:space="preserve">Basutoland </w:t>
            </w:r>
          </w:p>
        </w:tc>
        <w:tc>
          <w:tcPr>
            <w:tcW w:w="2114" w:type="dxa"/>
          </w:tcPr>
          <w:p w14:paraId="4A93DD08" w14:textId="47D725C4" w:rsidR="00263042" w:rsidRDefault="00263042" w:rsidP="00263042">
            <w:pPr>
              <w:jc w:val="both"/>
            </w:pPr>
            <w:r w:rsidRPr="00125FCE">
              <w:rPr>
                <w:rFonts w:ascii="Calibri" w:hAnsi="Calibri" w:cs="Times New Roman"/>
                <w:color w:val="191919"/>
              </w:rPr>
              <w:t>1933</w:t>
            </w:r>
          </w:p>
        </w:tc>
        <w:tc>
          <w:tcPr>
            <w:tcW w:w="2323" w:type="dxa"/>
          </w:tcPr>
          <w:p w14:paraId="719CDB39" w14:textId="23D0B150" w:rsidR="00263042" w:rsidRDefault="00263042" w:rsidP="00263042">
            <w:pPr>
              <w:jc w:val="both"/>
            </w:pPr>
            <w:r w:rsidRPr="00125FCE">
              <w:rPr>
                <w:rFonts w:ascii="Calibri" w:hAnsi="Calibri" w:cs="Times New Roman"/>
                <w:color w:val="191919"/>
              </w:rPr>
              <w:t> 25,803</w:t>
            </w:r>
          </w:p>
        </w:tc>
      </w:tr>
      <w:tr w:rsidR="00263042" w14:paraId="468FED68" w14:textId="77777777" w:rsidTr="002A224A">
        <w:tc>
          <w:tcPr>
            <w:tcW w:w="2314" w:type="dxa"/>
          </w:tcPr>
          <w:p w14:paraId="073400FD" w14:textId="182F0D20" w:rsidR="00263042" w:rsidRDefault="00263042" w:rsidP="00263042">
            <w:pPr>
              <w:jc w:val="both"/>
            </w:pPr>
            <w:r w:rsidRPr="00125FCE">
              <w:rPr>
                <w:rFonts w:ascii="Calibri" w:hAnsi="Calibri" w:cs="Times New Roman"/>
              </w:rPr>
              <w:t xml:space="preserve"> Bechuanaland</w:t>
            </w:r>
          </w:p>
        </w:tc>
        <w:tc>
          <w:tcPr>
            <w:tcW w:w="2114" w:type="dxa"/>
          </w:tcPr>
          <w:p w14:paraId="60174DE7" w14:textId="77777777" w:rsidR="00263042" w:rsidRPr="00125FCE" w:rsidRDefault="00263042" w:rsidP="00263042">
            <w:pPr>
              <w:widowControl w:val="0"/>
              <w:autoSpaceDE w:val="0"/>
              <w:autoSpaceDN w:val="0"/>
              <w:adjustRightInd w:val="0"/>
              <w:rPr>
                <w:rFonts w:ascii="Calibri" w:hAnsi="Calibri" w:cs="Times New Roman"/>
                <w:color w:val="191919"/>
              </w:rPr>
            </w:pPr>
            <w:r w:rsidRPr="00125FCE">
              <w:rPr>
                <w:rFonts w:ascii="Calibri" w:hAnsi="Calibri" w:cs="Times New Roman"/>
                <w:color w:val="191919"/>
              </w:rPr>
              <w:t>1927</w:t>
            </w:r>
          </w:p>
          <w:p w14:paraId="1E61C82D" w14:textId="7914897B" w:rsidR="00263042" w:rsidRDefault="00263042" w:rsidP="00263042">
            <w:pPr>
              <w:jc w:val="both"/>
            </w:pPr>
            <w:r w:rsidRPr="00125FCE">
              <w:rPr>
                <w:rFonts w:ascii="Calibri" w:hAnsi="Calibri" w:cs="Times New Roman"/>
                <w:color w:val="191919"/>
              </w:rPr>
              <w:t>1932</w:t>
            </w:r>
          </w:p>
        </w:tc>
        <w:tc>
          <w:tcPr>
            <w:tcW w:w="2323" w:type="dxa"/>
          </w:tcPr>
          <w:p w14:paraId="23EB2979" w14:textId="77777777" w:rsidR="00263042" w:rsidRPr="00125FCE" w:rsidRDefault="00263042" w:rsidP="00263042">
            <w:pPr>
              <w:widowControl w:val="0"/>
              <w:autoSpaceDE w:val="0"/>
              <w:autoSpaceDN w:val="0"/>
              <w:adjustRightInd w:val="0"/>
              <w:rPr>
                <w:rFonts w:ascii="Calibri" w:hAnsi="Calibri" w:cs="Times New Roman"/>
                <w:color w:val="191919"/>
              </w:rPr>
            </w:pPr>
            <w:r w:rsidRPr="00125FCE">
              <w:rPr>
                <w:rFonts w:ascii="Calibri" w:hAnsi="Calibri" w:cs="Times New Roman"/>
                <w:color w:val="191919"/>
              </w:rPr>
              <w:t>1,800</w:t>
            </w:r>
          </w:p>
          <w:p w14:paraId="09E8E46D" w14:textId="0FA2CF1E" w:rsidR="00263042" w:rsidRDefault="00263042" w:rsidP="00263042">
            <w:pPr>
              <w:jc w:val="both"/>
            </w:pPr>
            <w:r w:rsidRPr="00125FCE">
              <w:rPr>
                <w:rFonts w:ascii="Calibri" w:hAnsi="Calibri" w:cs="Times New Roman"/>
                <w:color w:val="191919"/>
              </w:rPr>
              <w:t>4,300</w:t>
            </w:r>
          </w:p>
        </w:tc>
      </w:tr>
      <w:tr w:rsidR="00263042" w14:paraId="08CF6E34" w14:textId="77777777" w:rsidTr="002A224A">
        <w:tc>
          <w:tcPr>
            <w:tcW w:w="2314" w:type="dxa"/>
          </w:tcPr>
          <w:p w14:paraId="3691D6A7" w14:textId="73F0624D" w:rsidR="00263042" w:rsidRDefault="00263042" w:rsidP="00263042">
            <w:pPr>
              <w:jc w:val="both"/>
            </w:pPr>
            <w:r w:rsidRPr="00125FCE">
              <w:rPr>
                <w:rFonts w:ascii="Calibri" w:hAnsi="Calibri" w:cs="Times New Roman"/>
                <w:color w:val="191919"/>
              </w:rPr>
              <w:t> Swaziland</w:t>
            </w:r>
          </w:p>
        </w:tc>
        <w:tc>
          <w:tcPr>
            <w:tcW w:w="2114" w:type="dxa"/>
          </w:tcPr>
          <w:p w14:paraId="197E8DA9" w14:textId="67F80AD9" w:rsidR="00263042" w:rsidRDefault="00263042" w:rsidP="00263042">
            <w:pPr>
              <w:jc w:val="both"/>
            </w:pPr>
            <w:r w:rsidRPr="00125FCE">
              <w:rPr>
                <w:rFonts w:ascii="Calibri" w:hAnsi="Calibri" w:cs="Times New Roman"/>
                <w:color w:val="191919"/>
              </w:rPr>
              <w:t>1930</w:t>
            </w:r>
          </w:p>
        </w:tc>
        <w:tc>
          <w:tcPr>
            <w:tcW w:w="2323" w:type="dxa"/>
          </w:tcPr>
          <w:p w14:paraId="4209B0C6" w14:textId="31C50FCF" w:rsidR="00263042" w:rsidRDefault="00263042" w:rsidP="00263042">
            <w:pPr>
              <w:jc w:val="both"/>
            </w:pPr>
            <w:r w:rsidRPr="00125FCE">
              <w:rPr>
                <w:rFonts w:ascii="Calibri" w:hAnsi="Calibri" w:cs="Times New Roman"/>
                <w:color w:val="191919"/>
              </w:rPr>
              <w:t> 5,280</w:t>
            </w:r>
          </w:p>
        </w:tc>
      </w:tr>
      <w:tr w:rsidR="00263042" w14:paraId="3FC0BF43" w14:textId="77777777" w:rsidTr="002A224A">
        <w:tc>
          <w:tcPr>
            <w:tcW w:w="2314" w:type="dxa"/>
          </w:tcPr>
          <w:p w14:paraId="18C3854E" w14:textId="6FFC3E08" w:rsidR="00263042" w:rsidRDefault="00263042" w:rsidP="00263042">
            <w:pPr>
              <w:jc w:val="both"/>
            </w:pPr>
            <w:r w:rsidRPr="00125FCE">
              <w:rPr>
                <w:rFonts w:ascii="Calibri" w:hAnsi="Calibri" w:cs="Times New Roman"/>
                <w:color w:val="191919"/>
              </w:rPr>
              <w:t> Southern Rhodesia</w:t>
            </w:r>
          </w:p>
        </w:tc>
        <w:tc>
          <w:tcPr>
            <w:tcW w:w="2114" w:type="dxa"/>
          </w:tcPr>
          <w:p w14:paraId="3AE49DD6" w14:textId="77777777" w:rsidR="00263042" w:rsidRPr="00125FCE" w:rsidRDefault="00263042" w:rsidP="00263042">
            <w:pPr>
              <w:widowControl w:val="0"/>
              <w:autoSpaceDE w:val="0"/>
              <w:autoSpaceDN w:val="0"/>
              <w:adjustRightInd w:val="0"/>
              <w:rPr>
                <w:rFonts w:ascii="Calibri" w:hAnsi="Calibri" w:cs="Times New Roman"/>
                <w:color w:val="191919"/>
              </w:rPr>
            </w:pPr>
            <w:r w:rsidRPr="00125FCE">
              <w:rPr>
                <w:rFonts w:ascii="Calibri" w:hAnsi="Calibri" w:cs="Times New Roman"/>
                <w:color w:val="191919"/>
              </w:rPr>
              <w:t>1931</w:t>
            </w:r>
          </w:p>
          <w:p w14:paraId="443DE9D4" w14:textId="6F87E7FE" w:rsidR="00263042" w:rsidRDefault="00263042" w:rsidP="00263042">
            <w:pPr>
              <w:jc w:val="both"/>
            </w:pPr>
            <w:r w:rsidRPr="00125FCE">
              <w:rPr>
                <w:rFonts w:ascii="Calibri" w:hAnsi="Calibri" w:cs="Times New Roman"/>
                <w:color w:val="191919"/>
              </w:rPr>
              <w:t>1333</w:t>
            </w:r>
          </w:p>
        </w:tc>
        <w:tc>
          <w:tcPr>
            <w:tcW w:w="2323" w:type="dxa"/>
          </w:tcPr>
          <w:p w14:paraId="4BDBDF87" w14:textId="77777777" w:rsidR="00263042" w:rsidRPr="00125FCE" w:rsidRDefault="00263042" w:rsidP="00263042">
            <w:pPr>
              <w:widowControl w:val="0"/>
              <w:autoSpaceDE w:val="0"/>
              <w:autoSpaceDN w:val="0"/>
              <w:adjustRightInd w:val="0"/>
              <w:spacing w:after="240"/>
              <w:contextualSpacing/>
              <w:rPr>
                <w:rFonts w:ascii="Calibri" w:hAnsi="Calibri" w:cs="Times New Roman"/>
              </w:rPr>
            </w:pPr>
            <w:r w:rsidRPr="00125FCE">
              <w:rPr>
                <w:rFonts w:ascii="Calibri" w:hAnsi="Calibri" w:cs="Times New Roman"/>
              </w:rPr>
              <w:t xml:space="preserve">38,463 </w:t>
            </w:r>
          </w:p>
          <w:p w14:paraId="167FCBF9" w14:textId="4D1B1961" w:rsidR="00263042" w:rsidRDefault="00263042" w:rsidP="00263042">
            <w:pPr>
              <w:jc w:val="both"/>
            </w:pPr>
            <w:r w:rsidRPr="00125FCE">
              <w:rPr>
                <w:rFonts w:ascii="Calibri" w:hAnsi="Calibri" w:cs="Times New Roman"/>
              </w:rPr>
              <w:t xml:space="preserve">42,452 </w:t>
            </w:r>
          </w:p>
        </w:tc>
      </w:tr>
    </w:tbl>
    <w:p w14:paraId="6F7EA792" w14:textId="5FCC38E0" w:rsidR="00053537" w:rsidRPr="00D942C4" w:rsidRDefault="00053537" w:rsidP="00053537">
      <w:pPr>
        <w:pStyle w:val="Heading1"/>
        <w:spacing w:before="0" w:beforeAutospacing="0" w:after="0" w:afterAutospacing="0"/>
        <w:rPr>
          <w:rFonts w:ascii="Calibri" w:hAnsi="Calibri"/>
          <w:b w:val="0"/>
          <w:sz w:val="22"/>
          <w:szCs w:val="22"/>
        </w:rPr>
      </w:pPr>
      <w:r w:rsidRPr="00D942C4">
        <w:rPr>
          <w:rFonts w:ascii="Calibri" w:hAnsi="Calibri"/>
          <w:b w:val="0"/>
          <w:i/>
          <w:sz w:val="22"/>
          <w:szCs w:val="22"/>
        </w:rPr>
        <w:t>Source</w:t>
      </w:r>
      <w:r w:rsidRPr="00D942C4">
        <w:rPr>
          <w:rFonts w:ascii="Calibri" w:hAnsi="Calibri"/>
          <w:b w:val="0"/>
          <w:sz w:val="22"/>
          <w:szCs w:val="22"/>
        </w:rPr>
        <w:t>: International Labour Office, 1935; Daniel, 1979</w:t>
      </w:r>
    </w:p>
    <w:p w14:paraId="0887685B" w14:textId="5B40382B" w:rsidR="002A224A" w:rsidRDefault="002A224A" w:rsidP="00804F21">
      <w:pPr>
        <w:spacing w:after="0"/>
        <w:jc w:val="both"/>
      </w:pPr>
    </w:p>
    <w:p w14:paraId="3C52C327" w14:textId="684A240A" w:rsidR="008E1155" w:rsidRDefault="005E3391" w:rsidP="00222B07">
      <w:pPr>
        <w:spacing w:after="0"/>
        <w:jc w:val="both"/>
        <w:rPr>
          <w:rFonts w:cs="Arial"/>
        </w:rPr>
      </w:pPr>
      <w:r>
        <w:rPr>
          <w:rFonts w:cs="Arial"/>
        </w:rPr>
        <w:t>T</w:t>
      </w:r>
      <w:r w:rsidR="00222B07">
        <w:rPr>
          <w:rFonts w:cs="Arial"/>
        </w:rPr>
        <w:t>h</w:t>
      </w:r>
      <w:r w:rsidR="006077F0">
        <w:rPr>
          <w:rFonts w:cs="Arial"/>
        </w:rPr>
        <w:t xml:space="preserve">e </w:t>
      </w:r>
      <w:r w:rsidR="00D243BD" w:rsidRPr="00222B07">
        <w:rPr>
          <w:rFonts w:cs="Arial"/>
        </w:rPr>
        <w:t xml:space="preserve">foreign </w:t>
      </w:r>
      <w:r w:rsidR="008449F1" w:rsidRPr="00222B07">
        <w:rPr>
          <w:rFonts w:cs="Arial"/>
        </w:rPr>
        <w:t xml:space="preserve">mining companies </w:t>
      </w:r>
      <w:r w:rsidR="009F51C6">
        <w:rPr>
          <w:rFonts w:cs="Arial"/>
        </w:rPr>
        <w:t>that ha</w:t>
      </w:r>
      <w:r>
        <w:rPr>
          <w:rFonts w:cs="Arial"/>
        </w:rPr>
        <w:t>ve</w:t>
      </w:r>
      <w:r w:rsidR="009F51C6">
        <w:rPr>
          <w:rFonts w:cs="Arial"/>
        </w:rPr>
        <w:t xml:space="preserve"> arrived in sub-Saharan Africa</w:t>
      </w:r>
      <w:r>
        <w:rPr>
          <w:rFonts w:cs="Arial"/>
        </w:rPr>
        <w:t xml:space="preserve"> over the past three decades</w:t>
      </w:r>
      <w:r w:rsidR="009F51C6">
        <w:rPr>
          <w:rFonts w:cs="Arial"/>
        </w:rPr>
        <w:t xml:space="preserve"> </w:t>
      </w:r>
      <w:r w:rsidR="0087248B">
        <w:rPr>
          <w:rFonts w:cs="Arial"/>
        </w:rPr>
        <w:t>relied</w:t>
      </w:r>
      <w:r w:rsidR="00D427B5" w:rsidRPr="00222B07">
        <w:rPr>
          <w:rFonts w:cs="Arial"/>
        </w:rPr>
        <w:t xml:space="preserve"> heavily on local populations</w:t>
      </w:r>
      <w:r w:rsidR="00BE2E2A" w:rsidRPr="00222B07">
        <w:rPr>
          <w:rFonts w:cs="Arial"/>
        </w:rPr>
        <w:t xml:space="preserve"> </w:t>
      </w:r>
      <w:r w:rsidR="006A45E4" w:rsidRPr="00222B07">
        <w:rPr>
          <w:rFonts w:cs="Arial"/>
        </w:rPr>
        <w:t>to fill – mostly</w:t>
      </w:r>
      <w:r w:rsidR="00BE2E2A" w:rsidRPr="00222B07">
        <w:rPr>
          <w:rFonts w:cs="Arial"/>
        </w:rPr>
        <w:t xml:space="preserve"> unskilled </w:t>
      </w:r>
      <w:r w:rsidR="00EC171D">
        <w:rPr>
          <w:rFonts w:cs="Arial"/>
        </w:rPr>
        <w:t>– work positions.  R</w:t>
      </w:r>
      <w:r w:rsidR="006A45E4" w:rsidRPr="00222B07">
        <w:rPr>
          <w:rFonts w:cs="Arial"/>
        </w:rPr>
        <w:t>arely</w:t>
      </w:r>
      <w:r w:rsidR="00EC171D">
        <w:rPr>
          <w:rFonts w:cs="Arial"/>
        </w:rPr>
        <w:t>, however,</w:t>
      </w:r>
      <w:r w:rsidR="006A45E4" w:rsidRPr="00222B07">
        <w:rPr>
          <w:rFonts w:cs="Arial"/>
        </w:rPr>
        <w:t xml:space="preserve"> have</w:t>
      </w:r>
      <w:r w:rsidR="00BE2E2A" w:rsidRPr="00222B07">
        <w:rPr>
          <w:rFonts w:cs="Arial"/>
        </w:rPr>
        <w:t xml:space="preserve"> managers and </w:t>
      </w:r>
      <w:r w:rsidR="002C4DB8" w:rsidRPr="00222B07">
        <w:rPr>
          <w:rFonts w:cs="Arial"/>
        </w:rPr>
        <w:t>executives</w:t>
      </w:r>
      <w:r w:rsidR="00BE2E2A" w:rsidRPr="00222B07">
        <w:rPr>
          <w:rFonts w:cs="Arial"/>
        </w:rPr>
        <w:t xml:space="preserve"> </w:t>
      </w:r>
      <w:r w:rsidR="006A45E4" w:rsidRPr="00222B07">
        <w:rPr>
          <w:rFonts w:cs="Arial"/>
        </w:rPr>
        <w:t>acknowledged</w:t>
      </w:r>
      <w:r w:rsidR="00BE2E2A" w:rsidRPr="00222B07">
        <w:rPr>
          <w:rFonts w:cs="Arial"/>
        </w:rPr>
        <w:t xml:space="preserve"> the </w:t>
      </w:r>
      <w:r w:rsidR="00970F18" w:rsidRPr="00222B07">
        <w:rPr>
          <w:rFonts w:cs="Arial"/>
        </w:rPr>
        <w:t>century-old, region-wide,</w:t>
      </w:r>
      <w:r w:rsidR="00BE2E2A" w:rsidRPr="00222B07">
        <w:rPr>
          <w:rFonts w:cs="Arial"/>
        </w:rPr>
        <w:t xml:space="preserve"> local recruitment </w:t>
      </w:r>
      <w:r w:rsidR="006A45E4" w:rsidRPr="00222B07">
        <w:rPr>
          <w:rFonts w:cs="Arial"/>
        </w:rPr>
        <w:t>networks cultivated by their predecessors</w:t>
      </w:r>
      <w:r w:rsidR="003B07E9" w:rsidRPr="00222B07">
        <w:rPr>
          <w:rFonts w:cs="Arial"/>
        </w:rPr>
        <w:t xml:space="preserve">.  Rio Tinto, for example, </w:t>
      </w:r>
      <w:r w:rsidR="00221DF5">
        <w:rPr>
          <w:rFonts w:cs="Arial"/>
        </w:rPr>
        <w:t xml:space="preserve">which </w:t>
      </w:r>
      <w:r w:rsidR="003B07E9" w:rsidRPr="00222B07">
        <w:rPr>
          <w:rFonts w:cs="Arial"/>
        </w:rPr>
        <w:t>report</w:t>
      </w:r>
      <w:r w:rsidR="00221DF5">
        <w:rPr>
          <w:rFonts w:cs="Arial"/>
        </w:rPr>
        <w:t>ed</w:t>
      </w:r>
      <w:r w:rsidR="003B07E9" w:rsidRPr="00222B07">
        <w:rPr>
          <w:rFonts w:cs="Arial"/>
        </w:rPr>
        <w:t xml:space="preserve"> that in 201</w:t>
      </w:r>
      <w:r w:rsidR="00D1043A">
        <w:rPr>
          <w:rFonts w:cs="Arial"/>
        </w:rPr>
        <w:t>5</w:t>
      </w:r>
      <w:r w:rsidR="003B07E9" w:rsidRPr="00222B07">
        <w:rPr>
          <w:rFonts w:cs="Arial"/>
        </w:rPr>
        <w:t>, it employed 7000 Africans</w:t>
      </w:r>
      <w:r w:rsidR="00D1043A">
        <w:rPr>
          <w:rFonts w:cs="Arial"/>
        </w:rPr>
        <w:t xml:space="preserve"> (Rio Tinto</w:t>
      </w:r>
      <w:r w:rsidR="00636AF7" w:rsidRPr="00222B07">
        <w:rPr>
          <w:rFonts w:cs="Arial"/>
        </w:rPr>
        <w:t>,</w:t>
      </w:r>
      <w:r w:rsidR="00D1043A">
        <w:rPr>
          <w:rFonts w:cs="Arial"/>
        </w:rPr>
        <w:t xml:space="preserve"> 2015),</w:t>
      </w:r>
      <w:r w:rsidR="00636AF7" w:rsidRPr="00222B07">
        <w:rPr>
          <w:rFonts w:cs="Arial"/>
        </w:rPr>
        <w:t xml:space="preserve"> highlight</w:t>
      </w:r>
      <w:r w:rsidR="00A86EDE">
        <w:rPr>
          <w:rFonts w:cs="Arial"/>
        </w:rPr>
        <w:t>s</w:t>
      </w:r>
      <w:r w:rsidR="00636AF7" w:rsidRPr="00222B07">
        <w:rPr>
          <w:rFonts w:cs="Arial"/>
        </w:rPr>
        <w:t xml:space="preserve"> how, at its Richards Bay Minerals project </w:t>
      </w:r>
      <w:r w:rsidR="009C3590">
        <w:rPr>
          <w:rFonts w:cs="Arial"/>
        </w:rPr>
        <w:t>in South Africa, it enrolled</w:t>
      </w:r>
      <w:r w:rsidR="00636AF7" w:rsidRPr="00222B07">
        <w:rPr>
          <w:rFonts w:cs="Arial"/>
        </w:rPr>
        <w:t xml:space="preserve"> 81 individuals from </w:t>
      </w:r>
      <w:r w:rsidR="00CD106F" w:rsidRPr="00222B07">
        <w:rPr>
          <w:rFonts w:cs="Arial"/>
        </w:rPr>
        <w:t>four co</w:t>
      </w:r>
      <w:r w:rsidR="00636AF7" w:rsidRPr="00222B07">
        <w:rPr>
          <w:rFonts w:cs="Arial"/>
        </w:rPr>
        <w:t>mmunities near the mine</w:t>
      </w:r>
      <w:r w:rsidR="00CD106F" w:rsidRPr="00222B07">
        <w:rPr>
          <w:rFonts w:cs="Arial"/>
        </w:rPr>
        <w:t xml:space="preserve"> </w:t>
      </w:r>
      <w:r w:rsidR="009C3590">
        <w:rPr>
          <w:rFonts w:cs="Arial"/>
        </w:rPr>
        <w:t xml:space="preserve">on </w:t>
      </w:r>
      <w:r w:rsidR="00CD106F" w:rsidRPr="00222B07">
        <w:rPr>
          <w:rFonts w:cs="Arial"/>
        </w:rPr>
        <w:t>short-cour</w:t>
      </w:r>
      <w:r w:rsidR="00636AF7" w:rsidRPr="00222B07">
        <w:rPr>
          <w:rFonts w:cs="Arial"/>
        </w:rPr>
        <w:t xml:space="preserve">se construction </w:t>
      </w:r>
      <w:r w:rsidR="006A45E4" w:rsidRPr="00222B07">
        <w:rPr>
          <w:rFonts w:cs="Arial"/>
        </w:rPr>
        <w:t xml:space="preserve">skills training, </w:t>
      </w:r>
      <w:r w:rsidR="00221DF5">
        <w:rPr>
          <w:rFonts w:cs="Arial"/>
        </w:rPr>
        <w:t>where</w:t>
      </w:r>
      <w:r w:rsidR="006A45E4" w:rsidRPr="00222B07">
        <w:rPr>
          <w:rFonts w:cs="Arial"/>
        </w:rPr>
        <w:t xml:space="preserve"> ‘</w:t>
      </w:r>
      <w:r w:rsidR="00CD106F" w:rsidRPr="00222B07">
        <w:rPr>
          <w:rFonts w:cs="Arial"/>
        </w:rPr>
        <w:t>Hundreds more young people are expected to undergo training over the next few years</w:t>
      </w:r>
      <w:r w:rsidR="006A45E4" w:rsidRPr="00222B07">
        <w:rPr>
          <w:rFonts w:cs="Arial"/>
        </w:rPr>
        <w:t>’</w:t>
      </w:r>
      <w:r w:rsidR="00E13AD1" w:rsidRPr="00222B07">
        <w:rPr>
          <w:rFonts w:cs="Arial"/>
        </w:rPr>
        <w:t xml:space="preserve"> (Davies, 2016)</w:t>
      </w:r>
      <w:r w:rsidR="00CD106F" w:rsidRPr="00222B07">
        <w:rPr>
          <w:rFonts w:cs="Arial"/>
        </w:rPr>
        <w:t>.</w:t>
      </w:r>
      <w:r w:rsidR="00A670FB" w:rsidRPr="00222B07">
        <w:rPr>
          <w:rFonts w:cs="Arial"/>
        </w:rPr>
        <w:t xml:space="preserve">  Similarly, </w:t>
      </w:r>
      <w:r w:rsidR="00221DF5">
        <w:rPr>
          <w:rFonts w:cs="Arial"/>
        </w:rPr>
        <w:t>Acacia Mining (majority owned by Barrick Gold)</w:t>
      </w:r>
      <w:r w:rsidR="00A670FB" w:rsidRPr="00222B07">
        <w:rPr>
          <w:rFonts w:cs="Arial"/>
        </w:rPr>
        <w:t>, has reported that</w:t>
      </w:r>
      <w:r w:rsidR="00222B07" w:rsidRPr="00222B07">
        <w:rPr>
          <w:rFonts w:cs="Arial"/>
        </w:rPr>
        <w:t>, at its North Mara Mine in Tanzania,</w:t>
      </w:r>
      <w:r w:rsidR="00A670FB" w:rsidRPr="00222B07">
        <w:rPr>
          <w:rFonts w:cs="Arial"/>
        </w:rPr>
        <w:t xml:space="preserve"> </w:t>
      </w:r>
      <w:r w:rsidR="00222B07" w:rsidRPr="00222B07">
        <w:rPr>
          <w:rFonts w:cs="Arial"/>
        </w:rPr>
        <w:t>it is working to ‘d</w:t>
      </w:r>
      <w:r w:rsidR="00E13AD1" w:rsidRPr="00222B07">
        <w:rPr>
          <w:rFonts w:cs="Arial"/>
        </w:rPr>
        <w:t>evelop the skills of ABG’s 4,800 employees (90 per cent of whom are Tanzanian) as well as other Tanzanians to work in mining or become i</w:t>
      </w:r>
      <w:r w:rsidR="00222B07" w:rsidRPr="00222B07">
        <w:rPr>
          <w:rFonts w:cs="Arial"/>
        </w:rPr>
        <w:t>ndustry suppliers’, along with ‘providing over 1,000 jobs’.</w:t>
      </w:r>
      <w:r w:rsidR="00222B07">
        <w:rPr>
          <w:rStyle w:val="FootnoteReference"/>
          <w:rFonts w:cs="Arial"/>
        </w:rPr>
        <w:footnoteReference w:id="5"/>
      </w:r>
      <w:r w:rsidR="009F51C6">
        <w:rPr>
          <w:rFonts w:cs="Arial"/>
        </w:rPr>
        <w:t xml:space="preserve">  </w:t>
      </w:r>
      <w:r w:rsidR="009C3590">
        <w:rPr>
          <w:rFonts w:cs="Arial"/>
        </w:rPr>
        <w:t>From these, and related, ex</w:t>
      </w:r>
      <w:r w:rsidR="00EC171D">
        <w:rPr>
          <w:rFonts w:cs="Arial"/>
        </w:rPr>
        <w:t xml:space="preserve">amples, it appears that </w:t>
      </w:r>
      <w:r>
        <w:rPr>
          <w:rFonts w:cs="Arial"/>
        </w:rPr>
        <w:lastRenderedPageBreak/>
        <w:t>the hiring of local people</w:t>
      </w:r>
      <w:r w:rsidR="009F51C6">
        <w:rPr>
          <w:rFonts w:cs="Arial"/>
        </w:rPr>
        <w:t xml:space="preserve">, which, </w:t>
      </w:r>
      <w:r w:rsidR="008E19DF">
        <w:rPr>
          <w:rFonts w:cs="Arial"/>
        </w:rPr>
        <w:t xml:space="preserve">despite being </w:t>
      </w:r>
      <w:r w:rsidR="009C3590">
        <w:rPr>
          <w:rFonts w:cs="Arial"/>
        </w:rPr>
        <w:t>a hallmark</w:t>
      </w:r>
      <w:r w:rsidR="009F51C6">
        <w:rPr>
          <w:rFonts w:cs="Arial"/>
        </w:rPr>
        <w:t xml:space="preserve"> of mine management strategy in sub-Saharan Africa for more than 100 years, has </w:t>
      </w:r>
      <w:r>
        <w:rPr>
          <w:rFonts w:cs="Arial"/>
        </w:rPr>
        <w:t xml:space="preserve">today, </w:t>
      </w:r>
      <w:r w:rsidR="009F51C6">
        <w:rPr>
          <w:rFonts w:cs="Arial"/>
        </w:rPr>
        <w:t xml:space="preserve">been strategically </w:t>
      </w:r>
      <w:r w:rsidR="008E19DF">
        <w:rPr>
          <w:rFonts w:cs="Arial"/>
        </w:rPr>
        <w:t>re</w:t>
      </w:r>
      <w:r w:rsidR="00221DF5">
        <w:rPr>
          <w:rFonts w:cs="Arial"/>
        </w:rPr>
        <w:t>branded</w:t>
      </w:r>
      <w:r w:rsidR="008E19DF">
        <w:rPr>
          <w:rFonts w:cs="Arial"/>
        </w:rPr>
        <w:t xml:space="preserve"> as</w:t>
      </w:r>
      <w:r w:rsidR="009F51C6">
        <w:rPr>
          <w:rFonts w:cs="Arial"/>
        </w:rPr>
        <w:t xml:space="preserve"> ‘community development’ or </w:t>
      </w:r>
      <w:r w:rsidR="00941156">
        <w:rPr>
          <w:rFonts w:cs="Arial"/>
        </w:rPr>
        <w:t>placed under</w:t>
      </w:r>
      <w:r w:rsidR="009F51C6">
        <w:rPr>
          <w:rFonts w:cs="Arial"/>
        </w:rPr>
        <w:t xml:space="preserve"> </w:t>
      </w:r>
      <w:r w:rsidR="00221DF5">
        <w:rPr>
          <w:rFonts w:cs="Arial"/>
        </w:rPr>
        <w:t>similar</w:t>
      </w:r>
      <w:r w:rsidR="009F51C6">
        <w:rPr>
          <w:rFonts w:cs="Arial"/>
        </w:rPr>
        <w:t xml:space="preserve"> banner</w:t>
      </w:r>
      <w:r w:rsidR="00941156">
        <w:rPr>
          <w:rFonts w:cs="Arial"/>
        </w:rPr>
        <w:t>s</w:t>
      </w:r>
      <w:r w:rsidR="008E19DF">
        <w:rPr>
          <w:rFonts w:cs="Arial"/>
        </w:rPr>
        <w:t xml:space="preserve"> by the industry’s largest companies</w:t>
      </w:r>
      <w:r w:rsidR="009F51C6">
        <w:rPr>
          <w:rFonts w:cs="Arial"/>
        </w:rPr>
        <w:t>.</w:t>
      </w:r>
      <w:r w:rsidR="008E19DF">
        <w:rPr>
          <w:rFonts w:cs="Arial"/>
        </w:rPr>
        <w:t xml:space="preserve">  </w:t>
      </w:r>
    </w:p>
    <w:p w14:paraId="2BF39ADD" w14:textId="77777777" w:rsidR="008E1155" w:rsidRDefault="008E1155" w:rsidP="00222B07">
      <w:pPr>
        <w:spacing w:after="0"/>
        <w:jc w:val="both"/>
        <w:rPr>
          <w:rFonts w:cs="Arial"/>
        </w:rPr>
      </w:pPr>
    </w:p>
    <w:p w14:paraId="0C394132" w14:textId="6928B752" w:rsidR="00587705" w:rsidRDefault="00A86EDE" w:rsidP="00222B07">
      <w:pPr>
        <w:spacing w:after="0"/>
        <w:jc w:val="both"/>
      </w:pPr>
      <w:r>
        <w:rPr>
          <w:rFonts w:cs="Arial"/>
        </w:rPr>
        <w:t>Today</w:t>
      </w:r>
      <w:r w:rsidR="008E19DF">
        <w:rPr>
          <w:rFonts w:cs="Arial"/>
        </w:rPr>
        <w:t>, it is becoming increasingly apparent that large-scale mining is no longer the employment engine it perhaps once was</w:t>
      </w:r>
      <w:r w:rsidR="002D2A6F">
        <w:rPr>
          <w:rFonts w:cs="Arial"/>
        </w:rPr>
        <w:t>.</w:t>
      </w:r>
      <w:r w:rsidR="00867784">
        <w:rPr>
          <w:rFonts w:cs="Arial"/>
        </w:rPr>
        <w:t xml:space="preserve">  Record levels of investment and booming min</w:t>
      </w:r>
      <w:r w:rsidR="005E3391">
        <w:rPr>
          <w:rFonts w:cs="Arial"/>
        </w:rPr>
        <w:t xml:space="preserve">eral extraction and exploration </w:t>
      </w:r>
      <w:r w:rsidR="00867784">
        <w:rPr>
          <w:rFonts w:cs="Arial"/>
        </w:rPr>
        <w:t xml:space="preserve">have failed to </w:t>
      </w:r>
      <w:r w:rsidR="003F34A4">
        <w:rPr>
          <w:rFonts w:cs="Arial"/>
        </w:rPr>
        <w:t>generate</w:t>
      </w:r>
      <w:r w:rsidR="009C3590">
        <w:rPr>
          <w:rFonts w:cs="Arial"/>
        </w:rPr>
        <w:t xml:space="preserve"> substantial employment, </w:t>
      </w:r>
      <w:r w:rsidR="00563A9D">
        <w:rPr>
          <w:rFonts w:cs="Arial"/>
        </w:rPr>
        <w:t>largely because of the</w:t>
      </w:r>
      <w:r w:rsidR="00867784">
        <w:rPr>
          <w:rFonts w:cs="Arial"/>
        </w:rPr>
        <w:t xml:space="preserve"> mechani</w:t>
      </w:r>
      <w:r w:rsidR="00563A9D">
        <w:rPr>
          <w:rFonts w:cs="Arial"/>
        </w:rPr>
        <w:t>ze</w:t>
      </w:r>
      <w:r w:rsidR="00C06935">
        <w:rPr>
          <w:rFonts w:cs="Arial"/>
        </w:rPr>
        <w:t>d nature of activities.  Specifically,</w:t>
      </w:r>
      <w:r w:rsidR="008B7648">
        <w:rPr>
          <w:rFonts w:cs="Arial"/>
        </w:rPr>
        <w:t xml:space="preserve"> whilst</w:t>
      </w:r>
      <w:r w:rsidR="00867784">
        <w:rPr>
          <w:rFonts w:cs="Arial"/>
        </w:rPr>
        <w:t xml:space="preserve"> reforms</w:t>
      </w:r>
      <w:r w:rsidR="00563A9D">
        <w:rPr>
          <w:rFonts w:cs="Arial"/>
        </w:rPr>
        <w:t xml:space="preserve"> </w:t>
      </w:r>
      <w:r w:rsidR="00AF6F27">
        <w:rPr>
          <w:rFonts w:cs="Arial"/>
        </w:rPr>
        <w:t xml:space="preserve">may </w:t>
      </w:r>
      <w:r w:rsidR="00563A9D">
        <w:rPr>
          <w:rFonts w:cs="Arial"/>
        </w:rPr>
        <w:t>have catalyzed</w:t>
      </w:r>
      <w:r w:rsidR="008363F9">
        <w:rPr>
          <w:rFonts w:cs="Arial"/>
        </w:rPr>
        <w:t xml:space="preserve"> investmen</w:t>
      </w:r>
      <w:r w:rsidR="00563A9D">
        <w:rPr>
          <w:rFonts w:cs="Arial"/>
        </w:rPr>
        <w:t xml:space="preserve">t and </w:t>
      </w:r>
      <w:r w:rsidR="009C3590">
        <w:rPr>
          <w:rFonts w:cs="Arial"/>
        </w:rPr>
        <w:t xml:space="preserve">facilitated technological development </w:t>
      </w:r>
      <w:r w:rsidR="00EC171D">
        <w:rPr>
          <w:rFonts w:cs="Arial"/>
        </w:rPr>
        <w:t>in</w:t>
      </w:r>
      <w:r w:rsidR="005E3391">
        <w:rPr>
          <w:rFonts w:cs="Arial"/>
        </w:rPr>
        <w:t>,</w:t>
      </w:r>
      <w:r w:rsidR="00EC171D">
        <w:rPr>
          <w:rFonts w:cs="Arial"/>
        </w:rPr>
        <w:t xml:space="preserve"> </w:t>
      </w:r>
      <w:r w:rsidR="00563A9D">
        <w:rPr>
          <w:rFonts w:cs="Arial"/>
        </w:rPr>
        <w:t>and in the process</w:t>
      </w:r>
      <w:r w:rsidR="00867784">
        <w:rPr>
          <w:rFonts w:cs="Arial"/>
        </w:rPr>
        <w:t xml:space="preserve"> transformed</w:t>
      </w:r>
      <w:r w:rsidR="005E3391">
        <w:rPr>
          <w:rFonts w:cs="Arial"/>
        </w:rPr>
        <w:t>,</w:t>
      </w:r>
      <w:r w:rsidR="00867784">
        <w:rPr>
          <w:rFonts w:cs="Arial"/>
        </w:rPr>
        <w:t xml:space="preserve"> countries such as Ghana, Mali and Tanzania into world-class gold producers, </w:t>
      </w:r>
      <w:r w:rsidR="001C6836">
        <w:rPr>
          <w:rFonts w:cs="Arial"/>
        </w:rPr>
        <w:t xml:space="preserve">turned </w:t>
      </w:r>
      <w:r w:rsidR="00867784">
        <w:rPr>
          <w:rFonts w:cs="Arial"/>
        </w:rPr>
        <w:t>Mozambique into a significant aluminium miner, and</w:t>
      </w:r>
      <w:r w:rsidR="001C6836">
        <w:rPr>
          <w:rFonts w:cs="Arial"/>
        </w:rPr>
        <w:t xml:space="preserve"> put</w:t>
      </w:r>
      <w:r w:rsidR="00867784">
        <w:rPr>
          <w:rFonts w:cs="Arial"/>
        </w:rPr>
        <w:t xml:space="preserve"> Mauritania</w:t>
      </w:r>
      <w:r w:rsidR="001C6836">
        <w:rPr>
          <w:rFonts w:cs="Arial"/>
        </w:rPr>
        <w:t>’s</w:t>
      </w:r>
      <w:r w:rsidR="00867784">
        <w:rPr>
          <w:rFonts w:cs="Arial"/>
        </w:rPr>
        <w:t xml:space="preserve"> iron ore </w:t>
      </w:r>
      <w:r w:rsidR="001C6836">
        <w:rPr>
          <w:rFonts w:cs="Arial"/>
        </w:rPr>
        <w:t>on the map, the</w:t>
      </w:r>
      <w:r w:rsidR="00563A9D">
        <w:rPr>
          <w:rFonts w:cs="Arial"/>
        </w:rPr>
        <w:t xml:space="preserve"> number of jobs created by the resulting</w:t>
      </w:r>
      <w:r w:rsidR="009C3590">
        <w:rPr>
          <w:rFonts w:cs="Arial"/>
        </w:rPr>
        <w:t xml:space="preserve"> resource booms</w:t>
      </w:r>
      <w:r w:rsidR="001C6836">
        <w:rPr>
          <w:rFonts w:cs="Arial"/>
        </w:rPr>
        <w:t xml:space="preserve"> has been disappoint</w:t>
      </w:r>
      <w:r w:rsidR="008363F9">
        <w:rPr>
          <w:rFonts w:cs="Arial"/>
        </w:rPr>
        <w:t xml:space="preserve">ingly low.  The mine workforces </w:t>
      </w:r>
      <w:r w:rsidR="00EA72A8">
        <w:rPr>
          <w:rFonts w:cs="Arial"/>
        </w:rPr>
        <w:t>in</w:t>
      </w:r>
      <w:r w:rsidR="00563A9D">
        <w:rPr>
          <w:rFonts w:cs="Arial"/>
        </w:rPr>
        <w:t xml:space="preserve"> these</w:t>
      </w:r>
      <w:r w:rsidR="008B7648">
        <w:rPr>
          <w:rFonts w:cs="Arial"/>
        </w:rPr>
        <w:t>, and other</w:t>
      </w:r>
      <w:r w:rsidR="00EA72A8">
        <w:rPr>
          <w:rFonts w:cs="Arial"/>
        </w:rPr>
        <w:t>,</w:t>
      </w:r>
      <w:r w:rsidR="008B7648">
        <w:rPr>
          <w:rFonts w:cs="Arial"/>
        </w:rPr>
        <w:t xml:space="preserve"> African countries, </w:t>
      </w:r>
      <w:r w:rsidR="00563A9D">
        <w:rPr>
          <w:rFonts w:cs="Arial"/>
        </w:rPr>
        <w:t>only number i</w:t>
      </w:r>
      <w:r w:rsidR="00263042">
        <w:rPr>
          <w:rFonts w:cs="Arial"/>
        </w:rPr>
        <w:t>n the tens of thousands</w:t>
      </w:r>
      <w:r w:rsidR="00563A9D">
        <w:rPr>
          <w:rFonts w:cs="Arial"/>
        </w:rPr>
        <w:t>, and as illustrated very clearly by the gold mining sector</w:t>
      </w:r>
      <w:r w:rsidR="00DB165C">
        <w:rPr>
          <w:rFonts w:cs="Arial"/>
        </w:rPr>
        <w:t xml:space="preserve"> (Table 3</w:t>
      </w:r>
      <w:r w:rsidR="00563A9D">
        <w:rPr>
          <w:rFonts w:cs="Arial"/>
        </w:rPr>
        <w:t xml:space="preserve">).  </w:t>
      </w:r>
      <w:r w:rsidR="00587705">
        <w:rPr>
          <w:rFonts w:cs="Arial"/>
        </w:rPr>
        <w:t>Surveyed</w:t>
      </w:r>
      <w:r w:rsidR="008B7648">
        <w:rPr>
          <w:rFonts w:cs="Arial"/>
        </w:rPr>
        <w:t xml:space="preserve"> data</w:t>
      </w:r>
      <w:r w:rsidR="00587705">
        <w:rPr>
          <w:rFonts w:cs="Arial"/>
        </w:rPr>
        <w:t xml:space="preserve"> also reveal </w:t>
      </w:r>
      <w:r w:rsidR="00EA72A8">
        <w:rPr>
          <w:rFonts w:cs="Arial"/>
        </w:rPr>
        <w:t xml:space="preserve">that there is </w:t>
      </w:r>
      <w:r w:rsidR="00C06935">
        <w:rPr>
          <w:rFonts w:cs="Arial"/>
        </w:rPr>
        <w:t xml:space="preserve">a fairly sizable discrepancy between the average salaries of Africans </w:t>
      </w:r>
      <w:r w:rsidR="00587705">
        <w:rPr>
          <w:rFonts w:cs="Arial"/>
        </w:rPr>
        <w:t xml:space="preserve">on the one hand, </w:t>
      </w:r>
      <w:r w:rsidR="00C06935">
        <w:rPr>
          <w:rFonts w:cs="Arial"/>
        </w:rPr>
        <w:t>and</w:t>
      </w:r>
      <w:r w:rsidR="007B32ED">
        <w:rPr>
          <w:rFonts w:cs="Arial"/>
        </w:rPr>
        <w:t xml:space="preserve"> expatriate workers</w:t>
      </w:r>
      <w:r w:rsidR="00DB165C">
        <w:rPr>
          <w:rFonts w:cs="Arial"/>
        </w:rPr>
        <w:t xml:space="preserve"> on the other hand (Table 4</w:t>
      </w:r>
      <w:r w:rsidR="00587705">
        <w:rPr>
          <w:rFonts w:cs="Arial"/>
        </w:rPr>
        <w:t xml:space="preserve">).  The recent proliferation of </w:t>
      </w:r>
      <w:r w:rsidR="003F34A4">
        <w:rPr>
          <w:rFonts w:cs="Arial"/>
        </w:rPr>
        <w:t>L</w:t>
      </w:r>
      <w:r w:rsidR="00587705">
        <w:rPr>
          <w:rFonts w:cs="Arial"/>
        </w:rPr>
        <w:t>ocal content policies, deliberate moves made to ‘g</w:t>
      </w:r>
      <w:r w:rsidR="00587705">
        <w:t>ive local stakeholders access to economic opportunities, whether they are related to employment, participation in supply chains or the provision of other related support service</w:t>
      </w:r>
      <w:r w:rsidR="00AF6F27">
        <w:t>s’ (Esteves et al., 2013, p. 2)</w:t>
      </w:r>
      <w:r w:rsidR="00587705">
        <w:t xml:space="preserve"> </w:t>
      </w:r>
      <w:r w:rsidR="00A12969">
        <w:t xml:space="preserve">across sub-Saharan Africa (see </w:t>
      </w:r>
      <w:r w:rsidR="00AD3B6B">
        <w:t xml:space="preserve">Esteves et al., 2011; </w:t>
      </w:r>
      <w:r w:rsidR="00A12969">
        <w:t xml:space="preserve">Nwapi, 2015; Dietsche, 2016) </w:t>
      </w:r>
      <w:r w:rsidR="00CD07D3">
        <w:t>are seen here</w:t>
      </w:r>
      <w:r w:rsidR="00A12969">
        <w:t xml:space="preserve"> as an admission</w:t>
      </w:r>
      <w:r w:rsidR="001052C2">
        <w:t xml:space="preserve"> of a</w:t>
      </w:r>
      <w:r w:rsidR="00A12969">
        <w:t xml:space="preserve"> reformed mining sector’s inability </w:t>
      </w:r>
      <w:r w:rsidR="00AF6F27">
        <w:t xml:space="preserve">to create </w:t>
      </w:r>
      <w:r w:rsidR="00A12969">
        <w:t>jobs.</w:t>
      </w:r>
    </w:p>
    <w:p w14:paraId="58A65042" w14:textId="77777777" w:rsidR="00350A8B" w:rsidRDefault="00350A8B"/>
    <w:p w14:paraId="04853599" w14:textId="0EB8B095" w:rsidR="007A421C" w:rsidRDefault="00DB165C" w:rsidP="00DB165C">
      <w:pPr>
        <w:spacing w:after="0" w:line="240" w:lineRule="auto"/>
      </w:pPr>
      <w:r>
        <w:rPr>
          <w:b/>
        </w:rPr>
        <w:t>Table 3</w:t>
      </w:r>
      <w:r w:rsidR="00350A8B">
        <w:rPr>
          <w:b/>
        </w:rPr>
        <w:t xml:space="preserve">: </w:t>
      </w:r>
      <w:r w:rsidR="00350A8B">
        <w:t>Mine employment in selected countries in sub-Saharan Africa</w:t>
      </w:r>
    </w:p>
    <w:tbl>
      <w:tblPr>
        <w:tblpPr w:leftFromText="180" w:rightFromText="180" w:vertAnchor="text" w:horzAnchor="margin" w:tblpY="169"/>
        <w:tblW w:w="8288" w:type="dxa"/>
        <w:tblBorders>
          <w:top w:val="nil"/>
          <w:left w:val="nil"/>
          <w:right w:val="nil"/>
        </w:tblBorders>
        <w:tblLayout w:type="fixed"/>
        <w:tblLook w:val="0000" w:firstRow="0" w:lastRow="0" w:firstColumn="0" w:lastColumn="0" w:noHBand="0" w:noVBand="0"/>
      </w:tblPr>
      <w:tblGrid>
        <w:gridCol w:w="2072"/>
        <w:gridCol w:w="1832"/>
        <w:gridCol w:w="2192"/>
        <w:gridCol w:w="2192"/>
      </w:tblGrid>
      <w:tr w:rsidR="00214433" w:rsidRPr="00125FCE" w14:paraId="4A5F3D22" w14:textId="77777777" w:rsidTr="009E0576">
        <w:trPr>
          <w:trHeight w:val="857"/>
        </w:trPr>
        <w:tc>
          <w:tcPr>
            <w:tcW w:w="2072"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1EE570BE" w14:textId="77777777" w:rsidR="00214433" w:rsidRPr="00125FCE" w:rsidRDefault="00214433" w:rsidP="00263042">
            <w:pPr>
              <w:widowControl w:val="0"/>
              <w:autoSpaceDE w:val="0"/>
              <w:autoSpaceDN w:val="0"/>
              <w:adjustRightInd w:val="0"/>
              <w:rPr>
                <w:rFonts w:ascii="Calibri" w:hAnsi="Calibri"/>
                <w:b/>
                <w:color w:val="000000" w:themeColor="text1"/>
              </w:rPr>
            </w:pPr>
            <w:r w:rsidRPr="00125FCE">
              <w:rPr>
                <w:rFonts w:ascii="Calibri" w:hAnsi="Calibri"/>
                <w:b/>
                <w:bCs/>
                <w:color w:val="000000" w:themeColor="text1"/>
              </w:rPr>
              <w:t>Mine and Location</w:t>
            </w:r>
          </w:p>
        </w:tc>
        <w:tc>
          <w:tcPr>
            <w:tcW w:w="1832" w:type="dxa"/>
            <w:tcBorders>
              <w:top w:val="single" w:sz="10" w:space="0" w:color="000000"/>
              <w:bottom w:val="single" w:sz="10" w:space="0" w:color="000000"/>
              <w:right w:val="single" w:sz="10" w:space="0" w:color="000000"/>
            </w:tcBorders>
            <w:tcMar>
              <w:top w:w="144" w:type="nil"/>
              <w:right w:w="144" w:type="nil"/>
            </w:tcMar>
          </w:tcPr>
          <w:p w14:paraId="6322E1F8" w14:textId="77777777" w:rsidR="00214433" w:rsidRPr="00125FCE" w:rsidRDefault="00214433" w:rsidP="00263042">
            <w:pPr>
              <w:widowControl w:val="0"/>
              <w:autoSpaceDE w:val="0"/>
              <w:autoSpaceDN w:val="0"/>
              <w:adjustRightInd w:val="0"/>
              <w:jc w:val="both"/>
              <w:rPr>
                <w:rFonts w:ascii="Calibri" w:hAnsi="Calibri"/>
                <w:b/>
                <w:color w:val="000000" w:themeColor="text1"/>
              </w:rPr>
            </w:pPr>
            <w:r w:rsidRPr="00125FCE">
              <w:rPr>
                <w:rFonts w:ascii="Calibri" w:hAnsi="Calibri"/>
                <w:b/>
                <w:bCs/>
                <w:color w:val="000000" w:themeColor="text1"/>
              </w:rPr>
              <w:t>Company</w:t>
            </w:r>
          </w:p>
        </w:tc>
        <w:tc>
          <w:tcPr>
            <w:tcW w:w="2192" w:type="dxa"/>
            <w:tcBorders>
              <w:top w:val="single" w:sz="10" w:space="0" w:color="000000"/>
              <w:bottom w:val="single" w:sz="10" w:space="0" w:color="000000"/>
              <w:right w:val="single" w:sz="10" w:space="0" w:color="000000"/>
            </w:tcBorders>
            <w:tcMar>
              <w:top w:w="144" w:type="nil"/>
              <w:right w:w="144" w:type="nil"/>
            </w:tcMar>
          </w:tcPr>
          <w:p w14:paraId="4C43C2BB" w14:textId="77777777" w:rsidR="00214433" w:rsidRPr="00125FCE" w:rsidRDefault="00214433" w:rsidP="00263042">
            <w:pPr>
              <w:widowControl w:val="0"/>
              <w:autoSpaceDE w:val="0"/>
              <w:autoSpaceDN w:val="0"/>
              <w:adjustRightInd w:val="0"/>
              <w:rPr>
                <w:rFonts w:ascii="Calibri" w:hAnsi="Calibri"/>
                <w:b/>
                <w:color w:val="000000" w:themeColor="text1"/>
              </w:rPr>
            </w:pPr>
            <w:r w:rsidRPr="00125FCE">
              <w:rPr>
                <w:rFonts w:ascii="Calibri" w:hAnsi="Calibri"/>
                <w:b/>
                <w:bCs/>
                <w:color w:val="000000" w:themeColor="text1"/>
              </w:rPr>
              <w:t>Production (Oz) and Year</w:t>
            </w:r>
          </w:p>
        </w:tc>
        <w:tc>
          <w:tcPr>
            <w:tcW w:w="2192" w:type="dxa"/>
            <w:tcBorders>
              <w:top w:val="single" w:sz="10" w:space="0" w:color="000000"/>
              <w:bottom w:val="single" w:sz="10" w:space="0" w:color="000000"/>
              <w:right w:val="single" w:sz="10" w:space="0" w:color="000000"/>
            </w:tcBorders>
            <w:tcMar>
              <w:top w:w="144" w:type="nil"/>
              <w:right w:w="144" w:type="nil"/>
            </w:tcMar>
          </w:tcPr>
          <w:p w14:paraId="5E925F64" w14:textId="77777777" w:rsidR="00214433" w:rsidRPr="00125FCE" w:rsidRDefault="00214433" w:rsidP="00263042">
            <w:pPr>
              <w:widowControl w:val="0"/>
              <w:autoSpaceDE w:val="0"/>
              <w:autoSpaceDN w:val="0"/>
              <w:adjustRightInd w:val="0"/>
              <w:rPr>
                <w:rFonts w:ascii="Calibri" w:hAnsi="Calibri"/>
                <w:b/>
                <w:color w:val="000000" w:themeColor="text1"/>
              </w:rPr>
            </w:pPr>
            <w:r w:rsidRPr="00125FCE">
              <w:rPr>
                <w:rFonts w:ascii="Calibri" w:hAnsi="Calibri"/>
                <w:b/>
                <w:bCs/>
                <w:color w:val="000000" w:themeColor="text1"/>
              </w:rPr>
              <w:t>Number of Employees (exc. Contractors)</w:t>
            </w:r>
          </w:p>
        </w:tc>
      </w:tr>
      <w:tr w:rsidR="00214433" w:rsidRPr="00125FCE" w14:paraId="0848A204" w14:textId="77777777" w:rsidTr="009E0576">
        <w:tblPrEx>
          <w:tblBorders>
            <w:top w:val="none" w:sz="0" w:space="0" w:color="auto"/>
          </w:tblBorders>
        </w:tblPrEx>
        <w:tc>
          <w:tcPr>
            <w:tcW w:w="2072" w:type="dxa"/>
            <w:tcBorders>
              <w:left w:val="single" w:sz="10" w:space="0" w:color="000000"/>
              <w:bottom w:val="single" w:sz="10" w:space="0" w:color="000000"/>
              <w:right w:val="single" w:sz="10" w:space="0" w:color="000000"/>
            </w:tcBorders>
            <w:tcMar>
              <w:top w:w="144" w:type="nil"/>
              <w:right w:w="144" w:type="nil"/>
            </w:tcMar>
          </w:tcPr>
          <w:p w14:paraId="42B92BAD" w14:textId="77777777" w:rsidR="00214433" w:rsidRPr="00125FCE" w:rsidRDefault="00214433" w:rsidP="00263042">
            <w:pPr>
              <w:widowControl w:val="0"/>
              <w:autoSpaceDE w:val="0"/>
              <w:autoSpaceDN w:val="0"/>
              <w:adjustRightInd w:val="0"/>
              <w:rPr>
                <w:rFonts w:ascii="Calibri" w:hAnsi="Calibri"/>
                <w:color w:val="000000" w:themeColor="text1"/>
              </w:rPr>
            </w:pPr>
            <w:r w:rsidRPr="00125FCE">
              <w:rPr>
                <w:rFonts w:ascii="Calibri" w:hAnsi="Calibri"/>
                <w:color w:val="000000" w:themeColor="text1"/>
              </w:rPr>
              <w:t>North Mara, Tanzania</w:t>
            </w:r>
          </w:p>
        </w:tc>
        <w:tc>
          <w:tcPr>
            <w:tcW w:w="1832" w:type="dxa"/>
            <w:tcBorders>
              <w:bottom w:val="single" w:sz="10" w:space="0" w:color="000000"/>
              <w:right w:val="single" w:sz="10" w:space="0" w:color="000000"/>
            </w:tcBorders>
            <w:tcMar>
              <w:top w:w="144" w:type="nil"/>
              <w:right w:w="144" w:type="nil"/>
            </w:tcMar>
          </w:tcPr>
          <w:p w14:paraId="54CD5C05" w14:textId="77777777" w:rsidR="00214433" w:rsidRPr="00125FCE" w:rsidRDefault="00214433" w:rsidP="00263042">
            <w:pPr>
              <w:widowControl w:val="0"/>
              <w:autoSpaceDE w:val="0"/>
              <w:autoSpaceDN w:val="0"/>
              <w:adjustRightInd w:val="0"/>
              <w:rPr>
                <w:rFonts w:ascii="Calibri" w:hAnsi="Calibri"/>
                <w:color w:val="000000" w:themeColor="text1"/>
              </w:rPr>
            </w:pPr>
            <w:r w:rsidRPr="00125FCE">
              <w:rPr>
                <w:rFonts w:ascii="Calibri" w:hAnsi="Calibri"/>
                <w:color w:val="000000" w:themeColor="text1"/>
              </w:rPr>
              <w:t>African Barrick Gold</w:t>
            </w:r>
          </w:p>
        </w:tc>
        <w:tc>
          <w:tcPr>
            <w:tcW w:w="2192" w:type="dxa"/>
            <w:tcBorders>
              <w:bottom w:val="single" w:sz="10" w:space="0" w:color="000000"/>
              <w:right w:val="single" w:sz="10" w:space="0" w:color="000000"/>
            </w:tcBorders>
            <w:tcMar>
              <w:top w:w="144" w:type="nil"/>
              <w:right w:w="144" w:type="nil"/>
            </w:tcMar>
          </w:tcPr>
          <w:p w14:paraId="6550134A" w14:textId="77777777" w:rsidR="00214433" w:rsidRPr="00125FCE" w:rsidRDefault="00214433" w:rsidP="00263042">
            <w:pPr>
              <w:widowControl w:val="0"/>
              <w:autoSpaceDE w:val="0"/>
              <w:autoSpaceDN w:val="0"/>
              <w:adjustRightInd w:val="0"/>
              <w:rPr>
                <w:rFonts w:ascii="Calibri" w:hAnsi="Calibri"/>
                <w:color w:val="000000" w:themeColor="text1"/>
              </w:rPr>
            </w:pPr>
            <w:r w:rsidRPr="00125FCE">
              <w:rPr>
                <w:rFonts w:ascii="Calibri" w:hAnsi="Calibri"/>
                <w:color w:val="000000" w:themeColor="text1"/>
              </w:rPr>
              <w:t xml:space="preserve"> </w:t>
            </w:r>
            <w:r w:rsidRPr="00125FCE">
              <w:rPr>
                <w:rFonts w:ascii="Calibri" w:hAnsi="Calibri"/>
                <w:bCs/>
                <w:color w:val="000000" w:themeColor="text1"/>
              </w:rPr>
              <w:t>287,188 </w:t>
            </w:r>
          </w:p>
          <w:p w14:paraId="4C00F82A" w14:textId="77777777" w:rsidR="00214433" w:rsidRPr="00125FCE" w:rsidRDefault="00214433" w:rsidP="00263042">
            <w:pPr>
              <w:widowControl w:val="0"/>
              <w:autoSpaceDE w:val="0"/>
              <w:autoSpaceDN w:val="0"/>
              <w:adjustRightInd w:val="0"/>
              <w:rPr>
                <w:rFonts w:ascii="Calibri" w:hAnsi="Calibri"/>
                <w:color w:val="000000" w:themeColor="text1"/>
              </w:rPr>
            </w:pPr>
            <w:r w:rsidRPr="00125FCE">
              <w:rPr>
                <w:rFonts w:ascii="Calibri" w:hAnsi="Calibri"/>
                <w:color w:val="000000" w:themeColor="text1"/>
              </w:rPr>
              <w:t xml:space="preserve"> 2015</w:t>
            </w:r>
          </w:p>
        </w:tc>
        <w:tc>
          <w:tcPr>
            <w:tcW w:w="2192" w:type="dxa"/>
            <w:tcBorders>
              <w:bottom w:val="single" w:sz="10" w:space="0" w:color="000000"/>
              <w:right w:val="single" w:sz="10" w:space="0" w:color="000000"/>
            </w:tcBorders>
            <w:tcMar>
              <w:top w:w="144" w:type="nil"/>
              <w:right w:w="144" w:type="nil"/>
            </w:tcMar>
          </w:tcPr>
          <w:p w14:paraId="5C3D4DE1" w14:textId="77777777" w:rsidR="00214433" w:rsidRPr="00125FCE" w:rsidRDefault="00214433" w:rsidP="00263042">
            <w:pPr>
              <w:widowControl w:val="0"/>
              <w:autoSpaceDE w:val="0"/>
              <w:autoSpaceDN w:val="0"/>
              <w:adjustRightInd w:val="0"/>
              <w:rPr>
                <w:rFonts w:ascii="Calibri" w:hAnsi="Calibri"/>
                <w:color w:val="000000" w:themeColor="text1"/>
              </w:rPr>
            </w:pPr>
            <w:r w:rsidRPr="00125FCE">
              <w:rPr>
                <w:rFonts w:ascii="Calibri" w:hAnsi="Calibri"/>
                <w:color w:val="000000" w:themeColor="text1"/>
              </w:rPr>
              <w:t> 1, 648</w:t>
            </w:r>
          </w:p>
        </w:tc>
      </w:tr>
      <w:tr w:rsidR="00214433" w:rsidRPr="00125FCE" w14:paraId="66B85643" w14:textId="77777777" w:rsidTr="009E0576">
        <w:tblPrEx>
          <w:tblBorders>
            <w:top w:val="none" w:sz="0" w:space="0" w:color="auto"/>
          </w:tblBorders>
        </w:tblPrEx>
        <w:tc>
          <w:tcPr>
            <w:tcW w:w="2072" w:type="dxa"/>
            <w:tcBorders>
              <w:left w:val="single" w:sz="10" w:space="0" w:color="000000"/>
              <w:bottom w:val="single" w:sz="10" w:space="0" w:color="000000"/>
              <w:right w:val="single" w:sz="10" w:space="0" w:color="000000"/>
            </w:tcBorders>
            <w:tcMar>
              <w:top w:w="144" w:type="nil"/>
              <w:right w:w="144" w:type="nil"/>
            </w:tcMar>
          </w:tcPr>
          <w:p w14:paraId="657C2282"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Bulyanhulu Mine, Tanzania</w:t>
            </w:r>
          </w:p>
        </w:tc>
        <w:tc>
          <w:tcPr>
            <w:tcW w:w="1832" w:type="dxa"/>
            <w:tcBorders>
              <w:bottom w:val="single" w:sz="10" w:space="0" w:color="000000"/>
              <w:right w:val="single" w:sz="10" w:space="0" w:color="000000"/>
            </w:tcBorders>
            <w:tcMar>
              <w:top w:w="144" w:type="nil"/>
              <w:right w:w="144" w:type="nil"/>
            </w:tcMar>
          </w:tcPr>
          <w:p w14:paraId="6644B1C3"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African Barrick Gold</w:t>
            </w:r>
          </w:p>
        </w:tc>
        <w:tc>
          <w:tcPr>
            <w:tcW w:w="2192" w:type="dxa"/>
            <w:tcBorders>
              <w:bottom w:val="single" w:sz="10" w:space="0" w:color="000000"/>
              <w:right w:val="single" w:sz="10" w:space="0" w:color="000000"/>
            </w:tcBorders>
            <w:tcMar>
              <w:top w:w="144" w:type="nil"/>
              <w:right w:w="144" w:type="nil"/>
            </w:tcMar>
          </w:tcPr>
          <w:p w14:paraId="74646C30" w14:textId="77777777" w:rsidR="00214433" w:rsidRPr="00125FCE" w:rsidRDefault="00214433" w:rsidP="00263042">
            <w:pPr>
              <w:pStyle w:val="NormalWeb"/>
              <w:contextualSpacing/>
              <w:rPr>
                <w:rFonts w:ascii="Calibri" w:hAnsi="Calibri"/>
                <w:color w:val="000000" w:themeColor="text1"/>
              </w:rPr>
            </w:pPr>
            <w:r w:rsidRPr="00125FCE">
              <w:rPr>
                <w:rFonts w:ascii="Calibri" w:hAnsi="Calibri"/>
                <w:color w:val="000000" w:themeColor="text1"/>
              </w:rPr>
              <w:t xml:space="preserve">273,552 </w:t>
            </w:r>
          </w:p>
          <w:p w14:paraId="4B977249" w14:textId="77777777" w:rsidR="00214433" w:rsidRPr="00125FCE" w:rsidRDefault="00214433" w:rsidP="00263042">
            <w:pPr>
              <w:pStyle w:val="NormalWeb"/>
              <w:contextualSpacing/>
              <w:rPr>
                <w:rFonts w:ascii="Calibri" w:hAnsi="Calibri"/>
                <w:color w:val="000000" w:themeColor="text1"/>
              </w:rPr>
            </w:pPr>
            <w:r w:rsidRPr="00125FCE">
              <w:rPr>
                <w:rFonts w:ascii="Calibri" w:hAnsi="Calibri"/>
                <w:color w:val="000000" w:themeColor="text1"/>
              </w:rPr>
              <w:t>2015</w:t>
            </w:r>
          </w:p>
        </w:tc>
        <w:tc>
          <w:tcPr>
            <w:tcW w:w="2192" w:type="dxa"/>
            <w:tcBorders>
              <w:bottom w:val="single" w:sz="10" w:space="0" w:color="000000"/>
              <w:right w:val="single" w:sz="10" w:space="0" w:color="000000"/>
            </w:tcBorders>
            <w:tcMar>
              <w:top w:w="144" w:type="nil"/>
              <w:right w:w="144" w:type="nil"/>
            </w:tcMar>
          </w:tcPr>
          <w:p w14:paraId="0C08364F"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 1, 190</w:t>
            </w:r>
          </w:p>
        </w:tc>
      </w:tr>
      <w:tr w:rsidR="00214433" w:rsidRPr="00125FCE" w14:paraId="127D49F6" w14:textId="77777777" w:rsidTr="009E0576">
        <w:tblPrEx>
          <w:tblBorders>
            <w:top w:val="none" w:sz="0" w:space="0" w:color="auto"/>
          </w:tblBorders>
        </w:tblPrEx>
        <w:tc>
          <w:tcPr>
            <w:tcW w:w="2072" w:type="dxa"/>
            <w:tcBorders>
              <w:left w:val="single" w:sz="10" w:space="0" w:color="000000"/>
              <w:bottom w:val="single" w:sz="10" w:space="0" w:color="000000"/>
              <w:right w:val="single" w:sz="10" w:space="0" w:color="000000"/>
            </w:tcBorders>
            <w:tcMar>
              <w:top w:w="144" w:type="nil"/>
              <w:right w:w="144" w:type="nil"/>
            </w:tcMar>
          </w:tcPr>
          <w:p w14:paraId="48D246AB"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Buzwagi Gold Mine, Tanzania</w:t>
            </w:r>
          </w:p>
        </w:tc>
        <w:tc>
          <w:tcPr>
            <w:tcW w:w="1832" w:type="dxa"/>
            <w:tcBorders>
              <w:bottom w:val="single" w:sz="10" w:space="0" w:color="000000"/>
              <w:right w:val="single" w:sz="10" w:space="0" w:color="000000"/>
            </w:tcBorders>
            <w:tcMar>
              <w:top w:w="144" w:type="nil"/>
              <w:right w:w="144" w:type="nil"/>
            </w:tcMar>
          </w:tcPr>
          <w:p w14:paraId="45EDF167"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African Barrick Gold</w:t>
            </w:r>
          </w:p>
        </w:tc>
        <w:tc>
          <w:tcPr>
            <w:tcW w:w="2192" w:type="dxa"/>
            <w:tcBorders>
              <w:bottom w:val="single" w:sz="10" w:space="0" w:color="000000"/>
              <w:right w:val="single" w:sz="10" w:space="0" w:color="000000"/>
            </w:tcBorders>
            <w:tcMar>
              <w:top w:w="144" w:type="nil"/>
              <w:right w:w="144" w:type="nil"/>
            </w:tcMar>
          </w:tcPr>
          <w:p w14:paraId="5452C9BE" w14:textId="77777777" w:rsidR="00214433" w:rsidRPr="00125FCE" w:rsidRDefault="00214433" w:rsidP="00263042">
            <w:pPr>
              <w:pStyle w:val="NormalWeb"/>
              <w:contextualSpacing/>
              <w:rPr>
                <w:rFonts w:ascii="Calibri" w:hAnsi="Calibri"/>
                <w:color w:val="000000" w:themeColor="text1"/>
              </w:rPr>
            </w:pPr>
            <w:r w:rsidRPr="00125FCE">
              <w:rPr>
                <w:rFonts w:ascii="Calibri" w:hAnsi="Calibri"/>
                <w:color w:val="000000" w:themeColor="text1"/>
              </w:rPr>
              <w:t xml:space="preserve">171,172  </w:t>
            </w:r>
          </w:p>
          <w:p w14:paraId="07126940" w14:textId="77777777" w:rsidR="00214433" w:rsidRPr="00125FCE" w:rsidRDefault="00214433" w:rsidP="00263042">
            <w:pPr>
              <w:pStyle w:val="NormalWeb"/>
              <w:contextualSpacing/>
              <w:rPr>
                <w:rFonts w:ascii="Calibri" w:hAnsi="Calibri"/>
                <w:color w:val="000000" w:themeColor="text1"/>
              </w:rPr>
            </w:pPr>
            <w:r w:rsidRPr="00125FCE">
              <w:rPr>
                <w:rFonts w:ascii="Calibri" w:hAnsi="Calibri"/>
                <w:color w:val="000000" w:themeColor="text1"/>
              </w:rPr>
              <w:t>2015</w:t>
            </w:r>
          </w:p>
        </w:tc>
        <w:tc>
          <w:tcPr>
            <w:tcW w:w="2192" w:type="dxa"/>
            <w:tcBorders>
              <w:bottom w:val="single" w:sz="10" w:space="0" w:color="000000"/>
              <w:right w:val="single" w:sz="10" w:space="0" w:color="000000"/>
            </w:tcBorders>
            <w:tcMar>
              <w:top w:w="144" w:type="nil"/>
              <w:right w:w="144" w:type="nil"/>
            </w:tcMar>
          </w:tcPr>
          <w:p w14:paraId="685C6CF4"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 355</w:t>
            </w:r>
          </w:p>
        </w:tc>
      </w:tr>
      <w:tr w:rsidR="00214433" w:rsidRPr="00125FCE" w14:paraId="02E9F703" w14:textId="77777777" w:rsidTr="009E0576">
        <w:tblPrEx>
          <w:tblBorders>
            <w:top w:val="none" w:sz="0" w:space="0" w:color="auto"/>
          </w:tblBorders>
        </w:tblPrEx>
        <w:tc>
          <w:tcPr>
            <w:tcW w:w="2072" w:type="dxa"/>
            <w:tcBorders>
              <w:left w:val="single" w:sz="10" w:space="0" w:color="000000"/>
              <w:bottom w:val="single" w:sz="10" w:space="0" w:color="000000"/>
              <w:right w:val="single" w:sz="10" w:space="0" w:color="000000"/>
            </w:tcBorders>
            <w:tcMar>
              <w:top w:w="144" w:type="nil"/>
              <w:right w:w="144" w:type="nil"/>
            </w:tcMar>
          </w:tcPr>
          <w:p w14:paraId="6B8B22BA"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Geita, Tanzania</w:t>
            </w:r>
          </w:p>
        </w:tc>
        <w:tc>
          <w:tcPr>
            <w:tcW w:w="1832" w:type="dxa"/>
            <w:tcBorders>
              <w:bottom w:val="single" w:sz="10" w:space="0" w:color="000000"/>
              <w:right w:val="single" w:sz="10" w:space="0" w:color="000000"/>
            </w:tcBorders>
            <w:tcMar>
              <w:top w:w="144" w:type="nil"/>
              <w:right w:w="144" w:type="nil"/>
            </w:tcMar>
          </w:tcPr>
          <w:p w14:paraId="53C03AE5"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AngloGold Ashanti</w:t>
            </w:r>
          </w:p>
        </w:tc>
        <w:tc>
          <w:tcPr>
            <w:tcW w:w="2192" w:type="dxa"/>
            <w:tcBorders>
              <w:bottom w:val="single" w:sz="10" w:space="0" w:color="000000"/>
              <w:right w:val="single" w:sz="10" w:space="0" w:color="000000"/>
            </w:tcBorders>
            <w:tcMar>
              <w:top w:w="144" w:type="nil"/>
              <w:right w:w="144" w:type="nil"/>
            </w:tcMar>
          </w:tcPr>
          <w:p w14:paraId="10A050D1" w14:textId="77777777" w:rsidR="00214433" w:rsidRPr="00125FCE" w:rsidRDefault="00214433" w:rsidP="00263042">
            <w:pPr>
              <w:widowControl w:val="0"/>
              <w:autoSpaceDE w:val="0"/>
              <w:autoSpaceDN w:val="0"/>
              <w:adjustRightInd w:val="0"/>
              <w:spacing w:after="240" w:line="280" w:lineRule="atLeast"/>
              <w:contextualSpacing/>
              <w:rPr>
                <w:rFonts w:ascii="Calibri" w:hAnsi="Calibri"/>
                <w:color w:val="000000" w:themeColor="text1"/>
              </w:rPr>
            </w:pPr>
            <w:r w:rsidRPr="00125FCE">
              <w:rPr>
                <w:rFonts w:ascii="Calibri" w:hAnsi="Calibri"/>
                <w:color w:val="000000" w:themeColor="text1"/>
              </w:rPr>
              <w:t xml:space="preserve">531,000 </w:t>
            </w:r>
          </w:p>
          <w:p w14:paraId="71490B6F"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2012</w:t>
            </w:r>
          </w:p>
        </w:tc>
        <w:tc>
          <w:tcPr>
            <w:tcW w:w="2192" w:type="dxa"/>
            <w:tcBorders>
              <w:bottom w:val="single" w:sz="10" w:space="0" w:color="000000"/>
              <w:right w:val="single" w:sz="10" w:space="0" w:color="000000"/>
            </w:tcBorders>
            <w:tcMar>
              <w:top w:w="144" w:type="nil"/>
              <w:right w:w="144" w:type="nil"/>
            </w:tcMar>
          </w:tcPr>
          <w:p w14:paraId="1A48934B" w14:textId="77777777" w:rsidR="00214433" w:rsidRPr="00125FCE" w:rsidRDefault="00214433" w:rsidP="00263042">
            <w:pPr>
              <w:widowControl w:val="0"/>
              <w:autoSpaceDE w:val="0"/>
              <w:autoSpaceDN w:val="0"/>
              <w:adjustRightInd w:val="0"/>
              <w:spacing w:after="240" w:line="280" w:lineRule="atLeast"/>
              <w:contextualSpacing/>
              <w:rPr>
                <w:rFonts w:ascii="Calibri" w:hAnsi="Calibri"/>
                <w:color w:val="000000" w:themeColor="text1"/>
              </w:rPr>
            </w:pPr>
            <w:r w:rsidRPr="00125FCE">
              <w:rPr>
                <w:rFonts w:ascii="Calibri" w:hAnsi="Calibri"/>
                <w:color w:val="000000" w:themeColor="text1"/>
              </w:rPr>
              <w:t xml:space="preserve"> 1,618 </w:t>
            </w:r>
          </w:p>
          <w:p w14:paraId="6D47625C" w14:textId="77777777" w:rsidR="00214433" w:rsidRPr="00125FCE" w:rsidRDefault="00214433" w:rsidP="00263042">
            <w:pPr>
              <w:widowControl w:val="0"/>
              <w:autoSpaceDE w:val="0"/>
              <w:autoSpaceDN w:val="0"/>
              <w:adjustRightInd w:val="0"/>
              <w:contextualSpacing/>
              <w:rPr>
                <w:rFonts w:ascii="Calibri" w:hAnsi="Calibri"/>
                <w:color w:val="000000" w:themeColor="text1"/>
              </w:rPr>
            </w:pPr>
          </w:p>
        </w:tc>
      </w:tr>
      <w:tr w:rsidR="00214433" w:rsidRPr="00125FCE" w14:paraId="6D6085DE" w14:textId="77777777" w:rsidTr="009E0576">
        <w:tblPrEx>
          <w:tblBorders>
            <w:top w:val="none" w:sz="0" w:space="0" w:color="auto"/>
          </w:tblBorders>
        </w:tblPrEx>
        <w:tc>
          <w:tcPr>
            <w:tcW w:w="2072" w:type="dxa"/>
            <w:tcBorders>
              <w:left w:val="single" w:sz="10" w:space="0" w:color="000000"/>
              <w:bottom w:val="single" w:sz="10" w:space="0" w:color="000000"/>
              <w:right w:val="single" w:sz="10" w:space="0" w:color="000000"/>
            </w:tcBorders>
            <w:tcMar>
              <w:top w:w="144" w:type="nil"/>
              <w:right w:w="144" w:type="nil"/>
            </w:tcMar>
          </w:tcPr>
          <w:p w14:paraId="64B5D221"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Kibali, Democratic Republic of Congo</w:t>
            </w:r>
          </w:p>
        </w:tc>
        <w:tc>
          <w:tcPr>
            <w:tcW w:w="1832" w:type="dxa"/>
            <w:tcBorders>
              <w:bottom w:val="single" w:sz="10" w:space="0" w:color="000000"/>
              <w:right w:val="single" w:sz="10" w:space="0" w:color="000000"/>
            </w:tcBorders>
            <w:tcMar>
              <w:top w:w="144" w:type="nil"/>
              <w:right w:w="144" w:type="nil"/>
            </w:tcMar>
          </w:tcPr>
          <w:p w14:paraId="2E4B23FE"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AngloGold Ashanti and Randgold</w:t>
            </w:r>
          </w:p>
        </w:tc>
        <w:tc>
          <w:tcPr>
            <w:tcW w:w="2192" w:type="dxa"/>
            <w:tcBorders>
              <w:bottom w:val="single" w:sz="10" w:space="0" w:color="000000"/>
              <w:right w:val="single" w:sz="10" w:space="0" w:color="000000"/>
            </w:tcBorders>
            <w:tcMar>
              <w:top w:w="144" w:type="nil"/>
              <w:right w:w="144" w:type="nil"/>
            </w:tcMar>
          </w:tcPr>
          <w:p w14:paraId="13B09640" w14:textId="77777777" w:rsidR="00214433" w:rsidRPr="00125FCE" w:rsidRDefault="00214433" w:rsidP="00263042">
            <w:pPr>
              <w:pStyle w:val="NormalWeb"/>
              <w:contextualSpacing/>
              <w:rPr>
                <w:rFonts w:ascii="Calibri" w:hAnsi="Calibri"/>
                <w:color w:val="000000" w:themeColor="text1"/>
              </w:rPr>
            </w:pPr>
            <w:r w:rsidRPr="00125FCE">
              <w:rPr>
                <w:rFonts w:ascii="Calibri" w:hAnsi="Calibri"/>
                <w:color w:val="000000" w:themeColor="text1"/>
              </w:rPr>
              <w:t xml:space="preserve">236 982  </w:t>
            </w:r>
          </w:p>
          <w:p w14:paraId="7880D9F5" w14:textId="77777777" w:rsidR="00214433" w:rsidRPr="00125FCE" w:rsidRDefault="00214433" w:rsidP="00263042">
            <w:pPr>
              <w:pStyle w:val="NormalWeb"/>
              <w:contextualSpacing/>
              <w:rPr>
                <w:rFonts w:ascii="Calibri" w:hAnsi="Calibri"/>
                <w:color w:val="000000" w:themeColor="text1"/>
              </w:rPr>
            </w:pPr>
            <w:r w:rsidRPr="00125FCE">
              <w:rPr>
                <w:rFonts w:ascii="Calibri" w:hAnsi="Calibri"/>
                <w:color w:val="000000" w:themeColor="text1"/>
              </w:rPr>
              <w:t>2014</w:t>
            </w:r>
          </w:p>
        </w:tc>
        <w:tc>
          <w:tcPr>
            <w:tcW w:w="2192" w:type="dxa"/>
            <w:tcBorders>
              <w:bottom w:val="single" w:sz="10" w:space="0" w:color="000000"/>
              <w:right w:val="single" w:sz="10" w:space="0" w:color="000000"/>
            </w:tcBorders>
            <w:tcMar>
              <w:top w:w="144" w:type="nil"/>
              <w:right w:w="144" w:type="nil"/>
            </w:tcMar>
          </w:tcPr>
          <w:p w14:paraId="02367B80"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 701</w:t>
            </w:r>
          </w:p>
        </w:tc>
      </w:tr>
      <w:tr w:rsidR="00214433" w:rsidRPr="00125FCE" w14:paraId="2F54339C" w14:textId="77777777" w:rsidTr="009E0576">
        <w:tblPrEx>
          <w:tblBorders>
            <w:top w:val="none" w:sz="0" w:space="0" w:color="auto"/>
          </w:tblBorders>
        </w:tblPrEx>
        <w:tc>
          <w:tcPr>
            <w:tcW w:w="2072" w:type="dxa"/>
            <w:tcBorders>
              <w:left w:val="single" w:sz="10" w:space="0" w:color="000000"/>
              <w:bottom w:val="single" w:sz="10" w:space="0" w:color="000000"/>
              <w:right w:val="single" w:sz="10" w:space="0" w:color="000000"/>
            </w:tcBorders>
            <w:tcMar>
              <w:top w:w="144" w:type="nil"/>
              <w:right w:w="144" w:type="nil"/>
            </w:tcMar>
          </w:tcPr>
          <w:p w14:paraId="2AFC9A7F"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Sadiola, Mali</w:t>
            </w:r>
          </w:p>
        </w:tc>
        <w:tc>
          <w:tcPr>
            <w:tcW w:w="1832" w:type="dxa"/>
            <w:tcBorders>
              <w:bottom w:val="single" w:sz="10" w:space="0" w:color="000000"/>
              <w:right w:val="single" w:sz="10" w:space="0" w:color="000000"/>
            </w:tcBorders>
            <w:tcMar>
              <w:top w:w="144" w:type="nil"/>
              <w:right w:w="144" w:type="nil"/>
            </w:tcMar>
          </w:tcPr>
          <w:p w14:paraId="37BFD5ED"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AngloGold Ashanti and Iamgold</w:t>
            </w:r>
          </w:p>
        </w:tc>
        <w:tc>
          <w:tcPr>
            <w:tcW w:w="2192" w:type="dxa"/>
            <w:tcBorders>
              <w:bottom w:val="single" w:sz="10" w:space="0" w:color="000000"/>
              <w:right w:val="single" w:sz="10" w:space="0" w:color="000000"/>
            </w:tcBorders>
            <w:tcMar>
              <w:top w:w="144" w:type="nil"/>
              <w:right w:w="144" w:type="nil"/>
            </w:tcMar>
          </w:tcPr>
          <w:p w14:paraId="557EAC21" w14:textId="77777777" w:rsidR="00214433" w:rsidRPr="00125FCE" w:rsidRDefault="00214433" w:rsidP="00263042">
            <w:pPr>
              <w:widowControl w:val="0"/>
              <w:autoSpaceDE w:val="0"/>
              <w:autoSpaceDN w:val="0"/>
              <w:adjustRightInd w:val="0"/>
              <w:spacing w:after="240" w:line="280" w:lineRule="atLeast"/>
              <w:contextualSpacing/>
              <w:rPr>
                <w:rFonts w:ascii="Calibri" w:hAnsi="Calibri"/>
                <w:color w:val="000000" w:themeColor="text1"/>
              </w:rPr>
            </w:pPr>
            <w:r w:rsidRPr="00125FCE">
              <w:rPr>
                <w:rFonts w:ascii="Calibri" w:hAnsi="Calibri"/>
                <w:color w:val="000000" w:themeColor="text1"/>
              </w:rPr>
              <w:t xml:space="preserve">100,000 </w:t>
            </w:r>
          </w:p>
          <w:p w14:paraId="779E4F51"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2012</w:t>
            </w:r>
          </w:p>
        </w:tc>
        <w:tc>
          <w:tcPr>
            <w:tcW w:w="2192" w:type="dxa"/>
            <w:tcBorders>
              <w:bottom w:val="single" w:sz="10" w:space="0" w:color="000000"/>
              <w:right w:val="single" w:sz="10" w:space="0" w:color="000000"/>
            </w:tcBorders>
            <w:tcMar>
              <w:top w:w="144" w:type="nil"/>
              <w:right w:w="144" w:type="nil"/>
            </w:tcMar>
          </w:tcPr>
          <w:p w14:paraId="0F55D4C2" w14:textId="77777777" w:rsidR="00214433" w:rsidRPr="00125FCE" w:rsidRDefault="00214433" w:rsidP="00263042">
            <w:pPr>
              <w:widowControl w:val="0"/>
              <w:autoSpaceDE w:val="0"/>
              <w:autoSpaceDN w:val="0"/>
              <w:adjustRightInd w:val="0"/>
              <w:spacing w:after="240" w:line="280" w:lineRule="atLeast"/>
              <w:contextualSpacing/>
              <w:rPr>
                <w:rFonts w:ascii="Calibri" w:hAnsi="Calibri"/>
                <w:color w:val="000000" w:themeColor="text1"/>
              </w:rPr>
            </w:pPr>
            <w:r w:rsidRPr="00125FCE">
              <w:rPr>
                <w:rFonts w:ascii="Calibri" w:hAnsi="Calibri"/>
                <w:color w:val="000000" w:themeColor="text1"/>
              </w:rPr>
              <w:t xml:space="preserve"> 863 </w:t>
            </w:r>
          </w:p>
          <w:p w14:paraId="6ACFD38A" w14:textId="77777777" w:rsidR="00214433" w:rsidRPr="00125FCE" w:rsidRDefault="00214433" w:rsidP="00263042">
            <w:pPr>
              <w:widowControl w:val="0"/>
              <w:autoSpaceDE w:val="0"/>
              <w:autoSpaceDN w:val="0"/>
              <w:adjustRightInd w:val="0"/>
              <w:contextualSpacing/>
              <w:rPr>
                <w:rFonts w:ascii="Calibri" w:hAnsi="Calibri"/>
                <w:color w:val="000000" w:themeColor="text1"/>
              </w:rPr>
            </w:pPr>
          </w:p>
        </w:tc>
      </w:tr>
      <w:tr w:rsidR="00214433" w:rsidRPr="00125FCE" w14:paraId="31FE6784" w14:textId="77777777" w:rsidTr="009E0576">
        <w:tc>
          <w:tcPr>
            <w:tcW w:w="2072" w:type="dxa"/>
            <w:tcBorders>
              <w:left w:val="single" w:sz="10" w:space="0" w:color="000000"/>
              <w:bottom w:val="single" w:sz="10" w:space="0" w:color="000000"/>
              <w:right w:val="single" w:sz="10" w:space="0" w:color="000000"/>
            </w:tcBorders>
            <w:tcMar>
              <w:top w:w="144" w:type="nil"/>
              <w:right w:w="144" w:type="nil"/>
            </w:tcMar>
          </w:tcPr>
          <w:p w14:paraId="4C4CA710"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Otjikoto Mine, Namibia</w:t>
            </w:r>
          </w:p>
        </w:tc>
        <w:tc>
          <w:tcPr>
            <w:tcW w:w="1832" w:type="dxa"/>
            <w:tcBorders>
              <w:bottom w:val="single" w:sz="10" w:space="0" w:color="000000"/>
              <w:right w:val="single" w:sz="10" w:space="0" w:color="000000"/>
            </w:tcBorders>
            <w:tcMar>
              <w:top w:w="144" w:type="nil"/>
              <w:right w:w="144" w:type="nil"/>
            </w:tcMar>
          </w:tcPr>
          <w:p w14:paraId="33B1DDEA"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B2Gold</w:t>
            </w:r>
          </w:p>
        </w:tc>
        <w:tc>
          <w:tcPr>
            <w:tcW w:w="2192" w:type="dxa"/>
            <w:tcBorders>
              <w:bottom w:val="single" w:sz="10" w:space="0" w:color="000000"/>
              <w:right w:val="single" w:sz="10" w:space="0" w:color="000000"/>
            </w:tcBorders>
            <w:tcMar>
              <w:top w:w="144" w:type="nil"/>
              <w:right w:w="144" w:type="nil"/>
            </w:tcMar>
          </w:tcPr>
          <w:p w14:paraId="499B3053"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 36,172</w:t>
            </w:r>
          </w:p>
          <w:p w14:paraId="6199C395"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(2016: 2</w:t>
            </w:r>
            <w:r w:rsidRPr="00125FCE">
              <w:rPr>
                <w:rFonts w:ascii="Calibri" w:hAnsi="Calibri"/>
                <w:color w:val="000000" w:themeColor="text1"/>
                <w:vertAlign w:val="superscript"/>
              </w:rPr>
              <w:t>nd</w:t>
            </w:r>
            <w:r w:rsidRPr="00125FCE">
              <w:rPr>
                <w:rFonts w:ascii="Calibri" w:hAnsi="Calibri"/>
                <w:color w:val="000000" w:themeColor="text1"/>
              </w:rPr>
              <w:t xml:space="preserve"> quarter)</w:t>
            </w:r>
          </w:p>
        </w:tc>
        <w:tc>
          <w:tcPr>
            <w:tcW w:w="2192" w:type="dxa"/>
            <w:tcBorders>
              <w:bottom w:val="single" w:sz="10" w:space="0" w:color="000000"/>
              <w:right w:val="single" w:sz="10" w:space="0" w:color="000000"/>
            </w:tcBorders>
            <w:tcMar>
              <w:top w:w="144" w:type="nil"/>
              <w:right w:w="144" w:type="nil"/>
            </w:tcMar>
          </w:tcPr>
          <w:p w14:paraId="62F10664" w14:textId="77777777" w:rsidR="00214433" w:rsidRPr="00125FCE" w:rsidRDefault="00214433" w:rsidP="00263042">
            <w:pPr>
              <w:widowControl w:val="0"/>
              <w:autoSpaceDE w:val="0"/>
              <w:autoSpaceDN w:val="0"/>
              <w:adjustRightInd w:val="0"/>
              <w:contextualSpacing/>
              <w:rPr>
                <w:rFonts w:ascii="Calibri" w:hAnsi="Calibri"/>
                <w:color w:val="000000" w:themeColor="text1"/>
              </w:rPr>
            </w:pPr>
            <w:r w:rsidRPr="00125FCE">
              <w:rPr>
                <w:rFonts w:ascii="Calibri" w:hAnsi="Calibri"/>
                <w:color w:val="000000" w:themeColor="text1"/>
              </w:rPr>
              <w:t> 507</w:t>
            </w:r>
          </w:p>
        </w:tc>
      </w:tr>
    </w:tbl>
    <w:p w14:paraId="0D23D781" w14:textId="6E269B60" w:rsidR="00DB165C" w:rsidRDefault="00DB165C" w:rsidP="00DB165C">
      <w:pPr>
        <w:pStyle w:val="Heading1"/>
        <w:jc w:val="both"/>
        <w:rPr>
          <w:rFonts w:ascii="Calibri" w:hAnsi="Calibri"/>
          <w:b w:val="0"/>
          <w:sz w:val="22"/>
          <w:szCs w:val="22"/>
        </w:rPr>
      </w:pPr>
      <w:r w:rsidRPr="00D942C4">
        <w:rPr>
          <w:rFonts w:ascii="Calibri" w:hAnsi="Calibri"/>
          <w:b w:val="0"/>
          <w:i/>
          <w:sz w:val="22"/>
          <w:szCs w:val="22"/>
        </w:rPr>
        <w:t>Sources</w:t>
      </w:r>
      <w:r w:rsidRPr="00D942C4">
        <w:rPr>
          <w:rFonts w:ascii="Calibri" w:hAnsi="Calibri"/>
          <w:b w:val="0"/>
          <w:sz w:val="22"/>
          <w:szCs w:val="22"/>
        </w:rPr>
        <w:t>: Barrick Gold Corporation, 2016; B2Gold Corporation, 2016; IamGold Corporation, 2016; AngloGold Ashanti, 2014</w:t>
      </w:r>
    </w:p>
    <w:p w14:paraId="649E2B79" w14:textId="2348DF7C" w:rsidR="007A421C" w:rsidRPr="007A5DB0" w:rsidRDefault="00DB165C">
      <w:r>
        <w:rPr>
          <w:b/>
        </w:rPr>
        <w:lastRenderedPageBreak/>
        <w:t>Table 4</w:t>
      </w:r>
      <w:r w:rsidR="007A5DB0">
        <w:rPr>
          <w:b/>
        </w:rPr>
        <w:t xml:space="preserve">: </w:t>
      </w:r>
      <w:r w:rsidR="007A5DB0">
        <w:t>Salary disparities in mine labour in selected countries in sub-Saharan Africa</w:t>
      </w:r>
    </w:p>
    <w:tbl>
      <w:tblPr>
        <w:tblStyle w:val="TableGrid"/>
        <w:tblW w:w="0" w:type="auto"/>
        <w:tblLook w:val="04A0" w:firstRow="1" w:lastRow="0" w:firstColumn="1" w:lastColumn="0" w:noHBand="0" w:noVBand="1"/>
      </w:tblPr>
      <w:tblGrid>
        <w:gridCol w:w="3005"/>
        <w:gridCol w:w="3005"/>
        <w:gridCol w:w="3006"/>
      </w:tblGrid>
      <w:tr w:rsidR="007A421C" w14:paraId="0BC9DB3C" w14:textId="77777777" w:rsidTr="00C6785F">
        <w:tc>
          <w:tcPr>
            <w:tcW w:w="3005" w:type="dxa"/>
          </w:tcPr>
          <w:p w14:paraId="7E3CA813" w14:textId="77777777" w:rsidR="007A421C" w:rsidRPr="00587705" w:rsidRDefault="007A421C" w:rsidP="00C6785F">
            <w:pPr>
              <w:jc w:val="both"/>
              <w:rPr>
                <w:rFonts w:cs="Arial"/>
                <w:b/>
              </w:rPr>
            </w:pPr>
            <w:r>
              <w:rPr>
                <w:rFonts w:cs="Arial"/>
                <w:b/>
              </w:rPr>
              <w:t>Country</w:t>
            </w:r>
          </w:p>
        </w:tc>
        <w:tc>
          <w:tcPr>
            <w:tcW w:w="3005" w:type="dxa"/>
          </w:tcPr>
          <w:p w14:paraId="7808D291" w14:textId="77777777" w:rsidR="007A421C" w:rsidRPr="00587705" w:rsidRDefault="007A421C" w:rsidP="00C6785F">
            <w:pPr>
              <w:jc w:val="both"/>
              <w:rPr>
                <w:rFonts w:cs="Arial"/>
                <w:b/>
              </w:rPr>
            </w:pPr>
            <w:r>
              <w:rPr>
                <w:rFonts w:cs="Arial"/>
                <w:b/>
              </w:rPr>
              <w:t>Local average annual salary (US$)</w:t>
            </w:r>
          </w:p>
        </w:tc>
        <w:tc>
          <w:tcPr>
            <w:tcW w:w="3006" w:type="dxa"/>
          </w:tcPr>
          <w:p w14:paraId="0582F3A6" w14:textId="77777777" w:rsidR="007A421C" w:rsidRPr="00587705" w:rsidRDefault="007A421C" w:rsidP="00C6785F">
            <w:pPr>
              <w:jc w:val="both"/>
              <w:rPr>
                <w:rFonts w:cs="Arial"/>
                <w:b/>
              </w:rPr>
            </w:pPr>
            <w:r w:rsidRPr="00587705">
              <w:rPr>
                <w:rFonts w:cs="Arial"/>
                <w:b/>
              </w:rPr>
              <w:t>Imported average annual salary</w:t>
            </w:r>
            <w:r>
              <w:rPr>
                <w:rFonts w:cs="Arial"/>
                <w:b/>
              </w:rPr>
              <w:t xml:space="preserve"> (US$)</w:t>
            </w:r>
          </w:p>
        </w:tc>
      </w:tr>
      <w:tr w:rsidR="007A421C" w14:paraId="1BEB7032" w14:textId="77777777" w:rsidTr="00C6785F">
        <w:tc>
          <w:tcPr>
            <w:tcW w:w="3005" w:type="dxa"/>
          </w:tcPr>
          <w:p w14:paraId="59EC3B8D" w14:textId="77777777" w:rsidR="007A421C" w:rsidRDefault="007A421C" w:rsidP="00C6785F">
            <w:pPr>
              <w:jc w:val="both"/>
              <w:rPr>
                <w:rFonts w:cs="Arial"/>
              </w:rPr>
            </w:pPr>
            <w:r>
              <w:rPr>
                <w:rFonts w:cs="Arial"/>
              </w:rPr>
              <w:t>Angola</w:t>
            </w:r>
          </w:p>
        </w:tc>
        <w:tc>
          <w:tcPr>
            <w:tcW w:w="3005" w:type="dxa"/>
          </w:tcPr>
          <w:p w14:paraId="56B5773F" w14:textId="77777777" w:rsidR="007A421C" w:rsidRDefault="007A421C" w:rsidP="00C6785F">
            <w:pPr>
              <w:jc w:val="both"/>
              <w:rPr>
                <w:rFonts w:cs="Arial"/>
              </w:rPr>
            </w:pPr>
            <w:r>
              <w:rPr>
                <w:rFonts w:cs="Arial"/>
              </w:rPr>
              <w:t>40,800</w:t>
            </w:r>
          </w:p>
        </w:tc>
        <w:tc>
          <w:tcPr>
            <w:tcW w:w="3006" w:type="dxa"/>
          </w:tcPr>
          <w:p w14:paraId="0AACA2BA" w14:textId="77777777" w:rsidR="007A421C" w:rsidRDefault="007A421C" w:rsidP="00C6785F">
            <w:pPr>
              <w:jc w:val="both"/>
              <w:rPr>
                <w:rFonts w:cs="Arial"/>
              </w:rPr>
            </w:pPr>
            <w:r>
              <w:rPr>
                <w:rFonts w:cs="Arial"/>
              </w:rPr>
              <w:t>135,700</w:t>
            </w:r>
          </w:p>
        </w:tc>
      </w:tr>
      <w:tr w:rsidR="007A421C" w14:paraId="024B7EFF" w14:textId="77777777" w:rsidTr="00C6785F">
        <w:tc>
          <w:tcPr>
            <w:tcW w:w="3005" w:type="dxa"/>
          </w:tcPr>
          <w:p w14:paraId="323BF19A" w14:textId="77777777" w:rsidR="007A421C" w:rsidRDefault="007A421C" w:rsidP="00C6785F">
            <w:pPr>
              <w:jc w:val="both"/>
              <w:rPr>
                <w:rFonts w:cs="Arial"/>
              </w:rPr>
            </w:pPr>
            <w:r>
              <w:rPr>
                <w:rFonts w:cs="Arial"/>
              </w:rPr>
              <w:t>DR Congo</w:t>
            </w:r>
          </w:p>
        </w:tc>
        <w:tc>
          <w:tcPr>
            <w:tcW w:w="3005" w:type="dxa"/>
          </w:tcPr>
          <w:p w14:paraId="40B066B4" w14:textId="77777777" w:rsidR="007A421C" w:rsidRDefault="007A421C" w:rsidP="00C6785F">
            <w:pPr>
              <w:jc w:val="both"/>
              <w:rPr>
                <w:rFonts w:cs="Arial"/>
              </w:rPr>
            </w:pPr>
            <w:r>
              <w:rPr>
                <w:rFonts w:cs="Arial"/>
              </w:rPr>
              <w:t>53,000</w:t>
            </w:r>
          </w:p>
        </w:tc>
        <w:tc>
          <w:tcPr>
            <w:tcW w:w="3006" w:type="dxa"/>
          </w:tcPr>
          <w:p w14:paraId="4A60E55A" w14:textId="77777777" w:rsidR="007A421C" w:rsidRDefault="007A421C" w:rsidP="00C6785F">
            <w:pPr>
              <w:jc w:val="both"/>
              <w:rPr>
                <w:rFonts w:cs="Arial"/>
              </w:rPr>
            </w:pPr>
            <w:r>
              <w:rPr>
                <w:rFonts w:cs="Arial"/>
              </w:rPr>
              <w:t>104,500</w:t>
            </w:r>
          </w:p>
        </w:tc>
      </w:tr>
      <w:tr w:rsidR="007A421C" w14:paraId="00F8A4C8" w14:textId="77777777" w:rsidTr="00C6785F">
        <w:tc>
          <w:tcPr>
            <w:tcW w:w="3005" w:type="dxa"/>
          </w:tcPr>
          <w:p w14:paraId="2553B330" w14:textId="77777777" w:rsidR="007A421C" w:rsidRDefault="007A421C" w:rsidP="00C6785F">
            <w:pPr>
              <w:jc w:val="both"/>
              <w:rPr>
                <w:rFonts w:cs="Arial"/>
              </w:rPr>
            </w:pPr>
            <w:r>
              <w:rPr>
                <w:rFonts w:cs="Arial"/>
              </w:rPr>
              <w:t>Ghana</w:t>
            </w:r>
          </w:p>
        </w:tc>
        <w:tc>
          <w:tcPr>
            <w:tcW w:w="3005" w:type="dxa"/>
          </w:tcPr>
          <w:p w14:paraId="170DF4E9" w14:textId="77777777" w:rsidR="007A421C" w:rsidRDefault="007A421C" w:rsidP="00C6785F">
            <w:pPr>
              <w:jc w:val="both"/>
              <w:rPr>
                <w:rFonts w:cs="Arial"/>
              </w:rPr>
            </w:pPr>
            <w:r>
              <w:rPr>
                <w:rFonts w:cs="Arial"/>
              </w:rPr>
              <w:t>39,200</w:t>
            </w:r>
          </w:p>
        </w:tc>
        <w:tc>
          <w:tcPr>
            <w:tcW w:w="3006" w:type="dxa"/>
          </w:tcPr>
          <w:p w14:paraId="0D79492B" w14:textId="77777777" w:rsidR="007A421C" w:rsidRDefault="007A421C" w:rsidP="00C6785F">
            <w:pPr>
              <w:jc w:val="both"/>
              <w:rPr>
                <w:rFonts w:cs="Arial"/>
              </w:rPr>
            </w:pPr>
            <w:r>
              <w:rPr>
                <w:rFonts w:cs="Arial"/>
              </w:rPr>
              <w:t>152,100</w:t>
            </w:r>
          </w:p>
        </w:tc>
      </w:tr>
      <w:tr w:rsidR="007A421C" w14:paraId="4A834D46" w14:textId="77777777" w:rsidTr="00C6785F">
        <w:tc>
          <w:tcPr>
            <w:tcW w:w="3005" w:type="dxa"/>
          </w:tcPr>
          <w:p w14:paraId="5DD63BEF" w14:textId="77777777" w:rsidR="007A421C" w:rsidRDefault="007A421C" w:rsidP="00C6785F">
            <w:pPr>
              <w:jc w:val="both"/>
              <w:rPr>
                <w:rFonts w:cs="Arial"/>
              </w:rPr>
            </w:pPr>
            <w:r>
              <w:rPr>
                <w:rFonts w:cs="Arial"/>
              </w:rPr>
              <w:t>Mozambique</w:t>
            </w:r>
          </w:p>
        </w:tc>
        <w:tc>
          <w:tcPr>
            <w:tcW w:w="3005" w:type="dxa"/>
          </w:tcPr>
          <w:p w14:paraId="7EC63143" w14:textId="77777777" w:rsidR="007A421C" w:rsidRDefault="007A421C" w:rsidP="00C6785F">
            <w:pPr>
              <w:jc w:val="both"/>
              <w:rPr>
                <w:rFonts w:cs="Arial"/>
              </w:rPr>
            </w:pPr>
            <w:r>
              <w:rPr>
                <w:rFonts w:cs="Arial"/>
              </w:rPr>
              <w:t>45,100</w:t>
            </w:r>
          </w:p>
        </w:tc>
        <w:tc>
          <w:tcPr>
            <w:tcW w:w="3006" w:type="dxa"/>
          </w:tcPr>
          <w:p w14:paraId="145CE329" w14:textId="77777777" w:rsidR="007A421C" w:rsidRDefault="007A421C" w:rsidP="00C6785F">
            <w:pPr>
              <w:jc w:val="both"/>
              <w:rPr>
                <w:rFonts w:cs="Arial"/>
              </w:rPr>
            </w:pPr>
            <w:r>
              <w:rPr>
                <w:rFonts w:cs="Arial"/>
              </w:rPr>
              <w:t>116,700</w:t>
            </w:r>
          </w:p>
        </w:tc>
      </w:tr>
      <w:tr w:rsidR="007A421C" w14:paraId="143FC5ED" w14:textId="77777777" w:rsidTr="00C6785F">
        <w:tc>
          <w:tcPr>
            <w:tcW w:w="3005" w:type="dxa"/>
          </w:tcPr>
          <w:p w14:paraId="2A3844CE" w14:textId="77777777" w:rsidR="007A421C" w:rsidRDefault="007A421C" w:rsidP="00C6785F">
            <w:pPr>
              <w:jc w:val="both"/>
              <w:rPr>
                <w:rFonts w:cs="Arial"/>
              </w:rPr>
            </w:pPr>
            <w:r>
              <w:rPr>
                <w:rFonts w:cs="Arial"/>
              </w:rPr>
              <w:t>Namibia</w:t>
            </w:r>
          </w:p>
        </w:tc>
        <w:tc>
          <w:tcPr>
            <w:tcW w:w="3005" w:type="dxa"/>
          </w:tcPr>
          <w:p w14:paraId="4BB46C86" w14:textId="77777777" w:rsidR="007A421C" w:rsidRDefault="007A421C" w:rsidP="00C6785F">
            <w:pPr>
              <w:jc w:val="both"/>
              <w:rPr>
                <w:rFonts w:cs="Arial"/>
              </w:rPr>
            </w:pPr>
            <w:r>
              <w:rPr>
                <w:rFonts w:cs="Arial"/>
              </w:rPr>
              <w:t>47,700</w:t>
            </w:r>
          </w:p>
        </w:tc>
        <w:tc>
          <w:tcPr>
            <w:tcW w:w="3006" w:type="dxa"/>
          </w:tcPr>
          <w:p w14:paraId="63B43AC7" w14:textId="77777777" w:rsidR="007A421C" w:rsidRDefault="007A421C" w:rsidP="00C6785F">
            <w:pPr>
              <w:jc w:val="both"/>
              <w:rPr>
                <w:rFonts w:cs="Arial"/>
              </w:rPr>
            </w:pPr>
            <w:r>
              <w:rPr>
                <w:rFonts w:cs="Arial"/>
              </w:rPr>
              <w:t>93,700</w:t>
            </w:r>
          </w:p>
        </w:tc>
      </w:tr>
      <w:tr w:rsidR="007A421C" w14:paraId="047894B5" w14:textId="77777777" w:rsidTr="00C6785F">
        <w:tc>
          <w:tcPr>
            <w:tcW w:w="3005" w:type="dxa"/>
          </w:tcPr>
          <w:p w14:paraId="6D98E292" w14:textId="77777777" w:rsidR="007A421C" w:rsidRDefault="007A421C" w:rsidP="00C6785F">
            <w:pPr>
              <w:jc w:val="both"/>
              <w:rPr>
                <w:rFonts w:cs="Arial"/>
              </w:rPr>
            </w:pPr>
            <w:r>
              <w:rPr>
                <w:rFonts w:cs="Arial"/>
              </w:rPr>
              <w:t>Zambia</w:t>
            </w:r>
          </w:p>
        </w:tc>
        <w:tc>
          <w:tcPr>
            <w:tcW w:w="3005" w:type="dxa"/>
          </w:tcPr>
          <w:p w14:paraId="1D38F433" w14:textId="77777777" w:rsidR="007A421C" w:rsidRDefault="007A421C" w:rsidP="00C6785F">
            <w:pPr>
              <w:jc w:val="both"/>
              <w:rPr>
                <w:rFonts w:cs="Arial"/>
              </w:rPr>
            </w:pPr>
            <w:r>
              <w:rPr>
                <w:rFonts w:cs="Arial"/>
              </w:rPr>
              <w:t>48,600</w:t>
            </w:r>
          </w:p>
        </w:tc>
        <w:tc>
          <w:tcPr>
            <w:tcW w:w="3006" w:type="dxa"/>
          </w:tcPr>
          <w:p w14:paraId="2CFD176E" w14:textId="77777777" w:rsidR="007A421C" w:rsidRDefault="007A421C" w:rsidP="00C6785F">
            <w:pPr>
              <w:jc w:val="both"/>
              <w:rPr>
                <w:rFonts w:cs="Arial"/>
              </w:rPr>
            </w:pPr>
            <w:r>
              <w:rPr>
                <w:rFonts w:cs="Arial"/>
              </w:rPr>
              <w:t>127,000</w:t>
            </w:r>
          </w:p>
        </w:tc>
      </w:tr>
      <w:tr w:rsidR="007A421C" w14:paraId="5883A5B0" w14:textId="77777777" w:rsidTr="00C6785F">
        <w:tc>
          <w:tcPr>
            <w:tcW w:w="3005" w:type="dxa"/>
          </w:tcPr>
          <w:p w14:paraId="20ED8AA5" w14:textId="77777777" w:rsidR="007A421C" w:rsidRDefault="007A421C" w:rsidP="00C6785F">
            <w:pPr>
              <w:jc w:val="both"/>
              <w:rPr>
                <w:rFonts w:cs="Arial"/>
              </w:rPr>
            </w:pPr>
            <w:r>
              <w:rPr>
                <w:rFonts w:cs="Arial"/>
              </w:rPr>
              <w:t>Zimbabwe</w:t>
            </w:r>
          </w:p>
        </w:tc>
        <w:tc>
          <w:tcPr>
            <w:tcW w:w="3005" w:type="dxa"/>
          </w:tcPr>
          <w:p w14:paraId="53EC99D5" w14:textId="77777777" w:rsidR="007A421C" w:rsidRDefault="007A421C" w:rsidP="00C6785F">
            <w:pPr>
              <w:jc w:val="both"/>
              <w:rPr>
                <w:rFonts w:cs="Arial"/>
              </w:rPr>
            </w:pPr>
            <w:r>
              <w:rPr>
                <w:rFonts w:cs="Arial"/>
              </w:rPr>
              <w:t>41,200</w:t>
            </w:r>
          </w:p>
        </w:tc>
        <w:tc>
          <w:tcPr>
            <w:tcW w:w="3006" w:type="dxa"/>
          </w:tcPr>
          <w:p w14:paraId="36D65B91" w14:textId="77777777" w:rsidR="007A421C" w:rsidRDefault="007A421C" w:rsidP="00C6785F">
            <w:pPr>
              <w:jc w:val="both"/>
              <w:rPr>
                <w:rFonts w:cs="Arial"/>
              </w:rPr>
            </w:pPr>
            <w:r>
              <w:rPr>
                <w:rFonts w:cs="Arial"/>
              </w:rPr>
              <w:t>113,500</w:t>
            </w:r>
          </w:p>
        </w:tc>
      </w:tr>
    </w:tbl>
    <w:p w14:paraId="4D782CE0" w14:textId="1DBCBF49" w:rsidR="007A421C" w:rsidRDefault="007A421C" w:rsidP="007A421C">
      <w:pPr>
        <w:spacing w:after="0"/>
        <w:jc w:val="both"/>
        <w:rPr>
          <w:rFonts w:cs="Arial"/>
        </w:rPr>
      </w:pPr>
      <w:r>
        <w:rPr>
          <w:rFonts w:cs="Arial"/>
          <w:i/>
        </w:rPr>
        <w:t>Source</w:t>
      </w:r>
      <w:r>
        <w:rPr>
          <w:rFonts w:cs="Arial"/>
        </w:rPr>
        <w:t>: Hays, 2013</w:t>
      </w:r>
    </w:p>
    <w:p w14:paraId="6D031EAC" w14:textId="2BBC8D71" w:rsidR="007A5DB0" w:rsidRDefault="007A5DB0" w:rsidP="007A421C">
      <w:pPr>
        <w:spacing w:after="0"/>
        <w:jc w:val="both"/>
        <w:rPr>
          <w:rFonts w:cs="Arial"/>
        </w:rPr>
      </w:pPr>
    </w:p>
    <w:p w14:paraId="4BEBBC37" w14:textId="0D4F2BAE" w:rsidR="00C5449F" w:rsidRDefault="003F773B" w:rsidP="009E0CAD">
      <w:pPr>
        <w:jc w:val="both"/>
        <w:rPr>
          <w:rFonts w:cs="Arial"/>
        </w:rPr>
      </w:pPr>
      <w:r>
        <w:rPr>
          <w:rFonts w:cs="Arial"/>
        </w:rPr>
        <w:t xml:space="preserve">This </w:t>
      </w:r>
      <w:r w:rsidR="00AC7857">
        <w:rPr>
          <w:rFonts w:cs="Arial"/>
        </w:rPr>
        <w:t>links to</w:t>
      </w:r>
      <w:r>
        <w:rPr>
          <w:rFonts w:cs="Arial"/>
        </w:rPr>
        <w:t xml:space="preserve"> a third area that is often ‘rebranded’ </w:t>
      </w:r>
      <w:r w:rsidR="00AC7857">
        <w:rPr>
          <w:rFonts w:cs="Arial"/>
        </w:rPr>
        <w:t xml:space="preserve">by mining companies </w:t>
      </w:r>
      <w:r>
        <w:rPr>
          <w:rFonts w:cs="Arial"/>
        </w:rPr>
        <w:t>as CSR: loc</w:t>
      </w:r>
      <w:r w:rsidR="00123C0A">
        <w:rPr>
          <w:rFonts w:cs="Arial"/>
        </w:rPr>
        <w:t xml:space="preserve">al </w:t>
      </w:r>
      <w:r w:rsidR="00FB4A95">
        <w:rPr>
          <w:rFonts w:cs="Arial"/>
        </w:rPr>
        <w:t xml:space="preserve">economic </w:t>
      </w:r>
      <w:r w:rsidR="00123C0A">
        <w:rPr>
          <w:rFonts w:cs="Arial"/>
        </w:rPr>
        <w:t xml:space="preserve">development.  </w:t>
      </w:r>
      <w:r w:rsidR="003523FC">
        <w:rPr>
          <w:rFonts w:cs="Arial"/>
        </w:rPr>
        <w:t xml:space="preserve"> </w:t>
      </w:r>
      <w:r w:rsidR="00B27291">
        <w:rPr>
          <w:rFonts w:cs="Arial"/>
        </w:rPr>
        <w:t>During the colonial period,</w:t>
      </w:r>
      <w:r w:rsidR="003C5B3D">
        <w:rPr>
          <w:rFonts w:cs="Arial"/>
        </w:rPr>
        <w:t xml:space="preserve"> </w:t>
      </w:r>
      <w:r w:rsidR="00CB2906">
        <w:rPr>
          <w:rFonts w:cs="Arial"/>
        </w:rPr>
        <w:t>because of their remoteness</w:t>
      </w:r>
      <w:r w:rsidR="00C22A9A">
        <w:rPr>
          <w:rFonts w:cs="Arial"/>
        </w:rPr>
        <w:t xml:space="preserve"> and needs</w:t>
      </w:r>
      <w:r w:rsidR="00CB2906">
        <w:rPr>
          <w:rFonts w:cs="Arial"/>
        </w:rPr>
        <w:t xml:space="preserve">, the mines </w:t>
      </w:r>
      <w:r w:rsidR="003523FC">
        <w:rPr>
          <w:rFonts w:cs="Arial"/>
        </w:rPr>
        <w:t>that had surfaced</w:t>
      </w:r>
      <w:r w:rsidR="00281FE6">
        <w:rPr>
          <w:rFonts w:cs="Arial"/>
        </w:rPr>
        <w:t xml:space="preserve"> </w:t>
      </w:r>
      <w:r w:rsidR="000301FF">
        <w:rPr>
          <w:rFonts w:cs="Arial"/>
        </w:rPr>
        <w:t>were tru</w:t>
      </w:r>
      <w:r w:rsidR="00EA72A8">
        <w:rPr>
          <w:rFonts w:cs="Arial"/>
        </w:rPr>
        <w:t>e</w:t>
      </w:r>
      <w:r w:rsidR="00547BDC">
        <w:rPr>
          <w:rFonts w:cs="Arial"/>
        </w:rPr>
        <w:t xml:space="preserve"> ‘growth poles’</w:t>
      </w:r>
      <w:r w:rsidR="003523FC">
        <w:rPr>
          <w:rFonts w:cs="Arial"/>
        </w:rPr>
        <w:t>,</w:t>
      </w:r>
      <w:r w:rsidR="00C5449F">
        <w:rPr>
          <w:rFonts w:cs="Arial"/>
        </w:rPr>
        <w:t xml:space="preserve"> </w:t>
      </w:r>
      <w:r w:rsidR="00B6364C">
        <w:rPr>
          <w:rFonts w:cs="Arial"/>
        </w:rPr>
        <w:t xml:space="preserve">clusters of industrial development capable of fostering economic </w:t>
      </w:r>
      <w:r w:rsidR="00AF6F27">
        <w:rPr>
          <w:rFonts w:cs="Arial"/>
        </w:rPr>
        <w:t>development</w:t>
      </w:r>
      <w:r w:rsidR="00B6364C">
        <w:rPr>
          <w:rFonts w:cs="Arial"/>
        </w:rPr>
        <w:t>.</w:t>
      </w:r>
      <w:r w:rsidR="000301FF">
        <w:rPr>
          <w:rFonts w:cs="Arial"/>
        </w:rPr>
        <w:t xml:space="preserve">  Katzenell</w:t>
      </w:r>
      <w:r w:rsidR="00FB2AE9">
        <w:rPr>
          <w:rFonts w:cs="Arial"/>
        </w:rPr>
        <w:t>en</w:t>
      </w:r>
      <w:r w:rsidR="000301FF">
        <w:rPr>
          <w:rFonts w:cs="Arial"/>
        </w:rPr>
        <w:t>bogen (</w:t>
      </w:r>
      <w:r w:rsidR="004D2508">
        <w:rPr>
          <w:rFonts w:cs="Arial"/>
        </w:rPr>
        <w:t>1975</w:t>
      </w:r>
      <w:r w:rsidR="00C5449F">
        <w:rPr>
          <w:rFonts w:cs="Arial"/>
        </w:rPr>
        <w:t>) provides a particularly insightful explanation</w:t>
      </w:r>
      <w:r w:rsidR="00EA72A8">
        <w:rPr>
          <w:rFonts w:cs="Arial"/>
        </w:rPr>
        <w:t>:</w:t>
      </w:r>
    </w:p>
    <w:p w14:paraId="2F4AD371" w14:textId="0B5103A8" w:rsidR="00C5449F" w:rsidRDefault="00FA015A" w:rsidP="00555A35">
      <w:pPr>
        <w:spacing w:after="0"/>
        <w:ind w:left="567"/>
        <w:jc w:val="both"/>
        <w:rPr>
          <w:rFonts w:cs="Arial"/>
        </w:rPr>
      </w:pPr>
      <w:r>
        <w:rPr>
          <w:rFonts w:cs="Arial"/>
        </w:rPr>
        <w:t>In order to attract to Africa the skilled men required – and in the late nineteenth and early twentieth centuries Africa was quite justifiably regarded as a dangerous place in which to work – the mining companies not only had to provide sufficiently high salaries and fringe benefits; they also had to mobilize and train thousands of unskilled and semi-skilled workers.  It was soon realized that in order to maintain an efficient labour force, it was necessary to create permanent townships, complete with housing, health services, water supplies, sanitation, training and recreational facilities and so on.  Mining also required a host of ancillary enterprises – repair shops, smelting plan and facilities for the manufacture of iron and steel, cement and many other products – as well as service industries such as electricity-generating.  The towns that grew up around the mines created a demand for food, clothing, fuel, housing and other supplies and services that entrepreneurs were eager to meet.  Trading stores and banks opening their doors, while many craftsmen</w:t>
      </w:r>
      <w:r w:rsidR="00555A35">
        <w:rPr>
          <w:rFonts w:cs="Arial"/>
        </w:rPr>
        <w:t>, such as bicycle repairers, motor mechanics and photographers, found employment.  Mines also supplied substantial public revenues through taxation, license fees, and, in some cases, the colonial government’s shareholding in an enterprise, thereby helping to finance various state services or to subsidize other sectors of the economy.  In general terms, mining was one of the fundamental multiplier-accelerators of economic growth. [p. 361]</w:t>
      </w:r>
    </w:p>
    <w:p w14:paraId="7F1F0A11" w14:textId="6EA8E2B7" w:rsidR="00C5449F" w:rsidRDefault="00C5449F" w:rsidP="00222B07">
      <w:pPr>
        <w:spacing w:after="0"/>
        <w:jc w:val="both"/>
        <w:rPr>
          <w:rFonts w:cs="Arial"/>
        </w:rPr>
      </w:pPr>
    </w:p>
    <w:p w14:paraId="11378124" w14:textId="5552D4FE" w:rsidR="005B049D" w:rsidRDefault="009F6D29" w:rsidP="00222B07">
      <w:pPr>
        <w:spacing w:after="0"/>
        <w:jc w:val="both"/>
        <w:rPr>
          <w:rFonts w:cs="Arial"/>
        </w:rPr>
      </w:pPr>
      <w:r>
        <w:rPr>
          <w:rFonts w:cs="Arial"/>
        </w:rPr>
        <w:t>Although t</w:t>
      </w:r>
      <w:r w:rsidR="001B36F1">
        <w:rPr>
          <w:rFonts w:cs="Arial"/>
        </w:rPr>
        <w:t xml:space="preserve">he </w:t>
      </w:r>
      <w:r w:rsidR="0000438E">
        <w:rPr>
          <w:rFonts w:cs="Arial"/>
        </w:rPr>
        <w:t xml:space="preserve">investment </w:t>
      </w:r>
      <w:r w:rsidR="001B36F1">
        <w:rPr>
          <w:rFonts w:cs="Arial"/>
        </w:rPr>
        <w:t>landscape</w:t>
      </w:r>
      <w:r w:rsidR="0000438E">
        <w:rPr>
          <w:rFonts w:cs="Arial"/>
        </w:rPr>
        <w:t xml:space="preserve"> </w:t>
      </w:r>
      <w:r w:rsidR="00AF6F27">
        <w:rPr>
          <w:rFonts w:cs="Arial"/>
        </w:rPr>
        <w:t xml:space="preserve">of sub-Saharan Africa </w:t>
      </w:r>
      <w:r w:rsidR="0000438E">
        <w:rPr>
          <w:rFonts w:cs="Arial"/>
        </w:rPr>
        <w:t>h</w:t>
      </w:r>
      <w:r w:rsidR="00AF6F27">
        <w:rPr>
          <w:rFonts w:cs="Arial"/>
        </w:rPr>
        <w:t>as since changed dramatically</w:t>
      </w:r>
      <w:r>
        <w:rPr>
          <w:rFonts w:cs="Arial"/>
        </w:rPr>
        <w:t xml:space="preserve">, </w:t>
      </w:r>
      <w:r w:rsidR="00060777">
        <w:rPr>
          <w:rFonts w:cs="Arial"/>
        </w:rPr>
        <w:t>the</w:t>
      </w:r>
      <w:r w:rsidR="004030B9">
        <w:rPr>
          <w:rFonts w:cs="Arial"/>
        </w:rPr>
        <w:t xml:space="preserve"> </w:t>
      </w:r>
      <w:r w:rsidR="00060777">
        <w:rPr>
          <w:rFonts w:cs="Arial"/>
        </w:rPr>
        <w:t xml:space="preserve">view that </w:t>
      </w:r>
      <w:r w:rsidR="004030B9">
        <w:rPr>
          <w:rFonts w:cs="Arial"/>
        </w:rPr>
        <w:t>‘growth poles’</w:t>
      </w:r>
      <w:r>
        <w:rPr>
          <w:rFonts w:cs="Arial"/>
        </w:rPr>
        <w:t xml:space="preserve"> </w:t>
      </w:r>
      <w:r w:rsidR="00EA72A8">
        <w:rPr>
          <w:rFonts w:cs="Arial"/>
        </w:rPr>
        <w:t>can</w:t>
      </w:r>
      <w:r w:rsidR="004030B9">
        <w:rPr>
          <w:rFonts w:cs="Arial"/>
        </w:rPr>
        <w:t xml:space="preserve"> </w:t>
      </w:r>
      <w:r w:rsidR="00B3014C">
        <w:rPr>
          <w:rFonts w:cs="Arial"/>
        </w:rPr>
        <w:t xml:space="preserve">deliver </w:t>
      </w:r>
      <w:r>
        <w:rPr>
          <w:rFonts w:cs="Arial"/>
        </w:rPr>
        <w:t xml:space="preserve">crucial injections of investment and facilitate </w:t>
      </w:r>
      <w:r w:rsidR="00B3014C">
        <w:rPr>
          <w:rFonts w:cs="Arial"/>
        </w:rPr>
        <w:t xml:space="preserve">much-needed economic development </w:t>
      </w:r>
      <w:r w:rsidR="00281FE6">
        <w:rPr>
          <w:rFonts w:cs="Arial"/>
        </w:rPr>
        <w:t>has not.  I</w:t>
      </w:r>
      <w:r w:rsidR="008B0E5A">
        <w:rPr>
          <w:rFonts w:cs="Arial"/>
        </w:rPr>
        <w:t>t</w:t>
      </w:r>
      <w:r>
        <w:rPr>
          <w:rFonts w:cs="Arial"/>
        </w:rPr>
        <w:t xml:space="preserve"> continues to be championed</w:t>
      </w:r>
      <w:r w:rsidR="008B0E5A">
        <w:rPr>
          <w:rFonts w:cs="Arial"/>
        </w:rPr>
        <w:t xml:space="preserve"> </w:t>
      </w:r>
      <w:r w:rsidR="001052C2">
        <w:rPr>
          <w:rFonts w:cs="Arial"/>
        </w:rPr>
        <w:t xml:space="preserve">by donors </w:t>
      </w:r>
      <w:r w:rsidR="008B0E5A">
        <w:rPr>
          <w:rFonts w:cs="Arial"/>
        </w:rPr>
        <w:t xml:space="preserve">as a </w:t>
      </w:r>
      <w:r w:rsidR="00EA72A8">
        <w:rPr>
          <w:rFonts w:cs="Arial"/>
        </w:rPr>
        <w:t>developmental solution to</w:t>
      </w:r>
      <w:r w:rsidR="008B0E5A">
        <w:rPr>
          <w:rFonts w:cs="Arial"/>
        </w:rPr>
        <w:t xml:space="preserve"> the region’s economic woes</w:t>
      </w:r>
      <w:r>
        <w:rPr>
          <w:rFonts w:cs="Arial"/>
        </w:rPr>
        <w:t xml:space="preserve">.  </w:t>
      </w:r>
    </w:p>
    <w:p w14:paraId="7F6DF0E2" w14:textId="77777777" w:rsidR="005B049D" w:rsidRDefault="005B049D" w:rsidP="00222B07">
      <w:pPr>
        <w:spacing w:after="0"/>
        <w:jc w:val="both"/>
        <w:rPr>
          <w:rFonts w:cs="Arial"/>
        </w:rPr>
      </w:pPr>
    </w:p>
    <w:p w14:paraId="0A83B90B" w14:textId="2D8BDC27" w:rsidR="003F6002" w:rsidRDefault="009F6D29" w:rsidP="00222B07">
      <w:pPr>
        <w:spacing w:after="0"/>
        <w:jc w:val="both"/>
      </w:pPr>
      <w:r>
        <w:rPr>
          <w:rFonts w:cs="Arial"/>
        </w:rPr>
        <w:t>The big</w:t>
      </w:r>
      <w:r w:rsidR="00FF0738">
        <w:rPr>
          <w:rFonts w:cs="Arial"/>
        </w:rPr>
        <w:t xml:space="preserve">gest proponent of this strategy </w:t>
      </w:r>
      <w:r>
        <w:rPr>
          <w:rFonts w:cs="Arial"/>
        </w:rPr>
        <w:t>is the World Bank</w:t>
      </w:r>
      <w:r w:rsidR="00AE4451">
        <w:rPr>
          <w:rFonts w:cs="Arial"/>
        </w:rPr>
        <w:t xml:space="preserve">, the chief architect of mining sector reform and </w:t>
      </w:r>
      <w:r w:rsidR="0053112F">
        <w:rPr>
          <w:rFonts w:cs="Arial"/>
        </w:rPr>
        <w:t xml:space="preserve">ultimately the main force behind the </w:t>
      </w:r>
      <w:r w:rsidR="00ED6BC3">
        <w:rPr>
          <w:rFonts w:cs="Arial"/>
        </w:rPr>
        <w:t xml:space="preserve">establishment </w:t>
      </w:r>
      <w:r w:rsidR="0053112F">
        <w:rPr>
          <w:rFonts w:cs="Arial"/>
        </w:rPr>
        <w:t>of</w:t>
      </w:r>
      <w:r w:rsidR="00AE4451">
        <w:rPr>
          <w:rFonts w:cs="Arial"/>
        </w:rPr>
        <w:t xml:space="preserve"> </w:t>
      </w:r>
      <w:r w:rsidR="0053112F">
        <w:rPr>
          <w:rFonts w:cs="Arial"/>
        </w:rPr>
        <w:t>resource enclaves in sub-Saharan Africa.</w:t>
      </w:r>
      <w:r w:rsidR="00AE4451">
        <w:rPr>
          <w:rFonts w:cs="Arial"/>
        </w:rPr>
        <w:t xml:space="preserve"> </w:t>
      </w:r>
      <w:r w:rsidR="00B3014C">
        <w:rPr>
          <w:rFonts w:cs="Arial"/>
        </w:rPr>
        <w:t xml:space="preserve"> </w:t>
      </w:r>
      <w:r w:rsidR="008B0E5A">
        <w:rPr>
          <w:rFonts w:cs="Arial"/>
        </w:rPr>
        <w:t xml:space="preserve"> </w:t>
      </w:r>
      <w:r w:rsidR="00ED6BC3">
        <w:rPr>
          <w:rFonts w:cs="Arial"/>
        </w:rPr>
        <w:t>T</w:t>
      </w:r>
      <w:r w:rsidR="001F2EC3">
        <w:rPr>
          <w:rFonts w:cs="Arial"/>
        </w:rPr>
        <w:t xml:space="preserve">he Bank </w:t>
      </w:r>
      <w:r w:rsidR="00ED6BC3">
        <w:rPr>
          <w:rFonts w:cs="Arial"/>
        </w:rPr>
        <w:t xml:space="preserve">recently </w:t>
      </w:r>
      <w:r w:rsidR="00FF0738">
        <w:rPr>
          <w:rFonts w:cs="Arial"/>
        </w:rPr>
        <w:t>implement</w:t>
      </w:r>
      <w:r w:rsidR="001F2EC3">
        <w:rPr>
          <w:rFonts w:cs="Arial"/>
        </w:rPr>
        <w:t xml:space="preserve">ed a series of </w:t>
      </w:r>
      <w:r w:rsidR="009133CA">
        <w:rPr>
          <w:rFonts w:cs="Arial"/>
        </w:rPr>
        <w:t>‘Growth Poles Projects’ launched specifically ‘t</w:t>
      </w:r>
      <w:r w:rsidR="001F2EC3">
        <w:t>o help African countries deploy a critical mass of reforms, infrastructure investments, and skills building for the industries and locations of highest potential</w:t>
      </w:r>
      <w:r w:rsidR="00914488">
        <w:t>’ (World Bank, 2011, p. 11)</w:t>
      </w:r>
      <w:r w:rsidR="001F2EC3">
        <w:t>.</w:t>
      </w:r>
      <w:r w:rsidR="001A2132">
        <w:t xml:space="preserve">  </w:t>
      </w:r>
      <w:r w:rsidR="002D761B">
        <w:t xml:space="preserve">The </w:t>
      </w:r>
      <w:r w:rsidR="00834079">
        <w:t>impact of</w:t>
      </w:r>
      <w:r w:rsidR="002D761B">
        <w:t xml:space="preserve"> m</w:t>
      </w:r>
      <w:r w:rsidR="001A2132">
        <w:t>ining</w:t>
      </w:r>
      <w:r w:rsidR="002D761B">
        <w:t>, a centrepiece of most of</w:t>
      </w:r>
      <w:r w:rsidR="003F6002">
        <w:t xml:space="preserve"> these</w:t>
      </w:r>
      <w:r w:rsidR="005B049D">
        <w:t xml:space="preserve"> projects</w:t>
      </w:r>
      <w:r w:rsidR="002D761B">
        <w:t>,</w:t>
      </w:r>
      <w:r w:rsidR="00281FE6">
        <w:t xml:space="preserve"> </w:t>
      </w:r>
      <w:r w:rsidR="002D761B">
        <w:t>ha</w:t>
      </w:r>
      <w:r w:rsidR="00834079">
        <w:t xml:space="preserve">s been negligible </w:t>
      </w:r>
      <w:r w:rsidR="002D761B">
        <w:t xml:space="preserve">at best, although </w:t>
      </w:r>
      <w:r w:rsidR="00281FE6">
        <w:t>c</w:t>
      </w:r>
      <w:r w:rsidR="00BE3F8C">
        <w:t>l</w:t>
      </w:r>
      <w:r w:rsidR="00AC7340">
        <w:t xml:space="preserve">aims made </w:t>
      </w:r>
      <w:r w:rsidR="0041723C">
        <w:t xml:space="preserve">by </w:t>
      </w:r>
      <w:r w:rsidR="004C054D">
        <w:t>company</w:t>
      </w:r>
      <w:r w:rsidR="0041723C">
        <w:t xml:space="preserve"> executives</w:t>
      </w:r>
      <w:r w:rsidR="00AC7340">
        <w:t xml:space="preserve"> suggest otherwise</w:t>
      </w:r>
      <w:r w:rsidR="00BE3F8C">
        <w:t xml:space="preserve">.  </w:t>
      </w:r>
      <w:r w:rsidR="00492504">
        <w:t>They have</w:t>
      </w:r>
      <w:r w:rsidR="0089288A">
        <w:t xml:space="preserve"> </w:t>
      </w:r>
      <w:r w:rsidR="00492504">
        <w:t xml:space="preserve">showcased examples such as </w:t>
      </w:r>
      <w:r w:rsidR="00BE3F8C">
        <w:t xml:space="preserve">North Mara, </w:t>
      </w:r>
      <w:r w:rsidR="00B35EF8">
        <w:t xml:space="preserve">Tanzania, </w:t>
      </w:r>
      <w:r w:rsidR="00492504">
        <w:t xml:space="preserve">where reportedly, </w:t>
      </w:r>
      <w:r w:rsidR="00BE3F8C">
        <w:t xml:space="preserve">‘For every one Acacia employee, 11 jobs are created elsewhere in the Tanzanian economy’ </w:t>
      </w:r>
      <w:r w:rsidR="00BE3F8C">
        <w:lastRenderedPageBreak/>
        <w:t>and that overall, ‘Acacia supported 53,943 jobs in Tanzania in 2014’.</w:t>
      </w:r>
      <w:r w:rsidR="00BE3F8C">
        <w:rPr>
          <w:rStyle w:val="FootnoteReference"/>
        </w:rPr>
        <w:footnoteReference w:id="6"/>
      </w:r>
      <w:r w:rsidR="00BE3F8C">
        <w:t xml:space="preserve">  </w:t>
      </w:r>
      <w:r w:rsidR="00492504">
        <w:t xml:space="preserve">Such cases, </w:t>
      </w:r>
      <w:r w:rsidR="00281FE6">
        <w:t>however,</w:t>
      </w:r>
      <w:r w:rsidR="005E17DF">
        <w:t xml:space="preserve"> </w:t>
      </w:r>
      <w:r w:rsidR="0089288A">
        <w:t>are</w:t>
      </w:r>
      <w:r w:rsidR="00C84A6E">
        <w:t xml:space="preserve"> </w:t>
      </w:r>
      <w:r w:rsidR="00492504">
        <w:t>the</w:t>
      </w:r>
      <w:r w:rsidR="005E17DF">
        <w:t xml:space="preserve"> e</w:t>
      </w:r>
      <w:r w:rsidR="00E22AC0">
        <w:t>xception rather than the rule</w:t>
      </w:r>
      <w:r w:rsidR="0089288A">
        <w:t xml:space="preserve">.  As </w:t>
      </w:r>
      <w:r w:rsidR="001052C2">
        <w:t xml:space="preserve">World </w:t>
      </w:r>
      <w:r w:rsidR="00E22AC0">
        <w:t xml:space="preserve">Bank officials </w:t>
      </w:r>
      <w:r w:rsidR="0089288A">
        <w:t>argue</w:t>
      </w:r>
      <w:r w:rsidR="00E22AC0">
        <w:t>, ‘C</w:t>
      </w:r>
      <w:r w:rsidR="009137D3">
        <w:t>entral to the growth pole is a group of dynamic industries that are connect</w:t>
      </w:r>
      <w:r w:rsidR="00E22AC0">
        <w:t xml:space="preserve">ed around a particular resource…[,] </w:t>
      </w:r>
      <w:r w:rsidR="009137D3">
        <w:t xml:space="preserve">constellated industries </w:t>
      </w:r>
      <w:r w:rsidR="00E22AC0">
        <w:t xml:space="preserve">[which] </w:t>
      </w:r>
      <w:r w:rsidR="009137D3">
        <w:t>are—by virtue of their dimension or negotiation strength—expected to have the capacity to innovate and adapt to market conditions</w:t>
      </w:r>
      <w:r w:rsidR="00E22AC0">
        <w:t>’ (</w:t>
      </w:r>
      <w:r w:rsidR="00E514A8">
        <w:t>Speakman and Koivisto</w:t>
      </w:r>
      <w:r w:rsidR="00E22AC0">
        <w:t>, 2013, p. 95)</w:t>
      </w:r>
      <w:r w:rsidR="009137D3">
        <w:t>.</w:t>
      </w:r>
      <w:r w:rsidR="00E22AC0">
        <w:t xml:space="preserve">  </w:t>
      </w:r>
      <w:r w:rsidR="008F594D">
        <w:t>But these dynamics rarely come to fruition</w:t>
      </w:r>
      <w:r w:rsidR="00917611">
        <w:t xml:space="preserve"> because the remote</w:t>
      </w:r>
      <w:r w:rsidR="008F594D">
        <w:t xml:space="preserve"> </w:t>
      </w:r>
      <w:r w:rsidR="005C2F4D">
        <w:t>geographical locations</w:t>
      </w:r>
      <w:r w:rsidR="00A652CE">
        <w:t xml:space="preserve"> in which </w:t>
      </w:r>
      <w:r w:rsidR="00917611">
        <w:t xml:space="preserve">large-scale mines </w:t>
      </w:r>
      <w:r w:rsidR="00811A34">
        <w:t xml:space="preserve">are </w:t>
      </w:r>
      <w:r w:rsidR="00A652CE">
        <w:t xml:space="preserve">found </w:t>
      </w:r>
      <w:r w:rsidR="00917611">
        <w:t xml:space="preserve">today </w:t>
      </w:r>
      <w:r w:rsidR="00A652CE">
        <w:t>are</w:t>
      </w:r>
      <w:r w:rsidR="005C2F4D">
        <w:t xml:space="preserve"> </w:t>
      </w:r>
      <w:r w:rsidR="005943F4">
        <w:t xml:space="preserve">now </w:t>
      </w:r>
      <w:r w:rsidR="005C2F4D">
        <w:t>connected via complex transport and communications links</w:t>
      </w:r>
      <w:r w:rsidR="00E75C47">
        <w:t>,</w:t>
      </w:r>
      <w:r w:rsidR="005943F4">
        <w:t xml:space="preserve"> and</w:t>
      </w:r>
      <w:r w:rsidR="00B35EF8">
        <w:t>,</w:t>
      </w:r>
      <w:r w:rsidR="005943F4">
        <w:t xml:space="preserve"> therefore, there is </w:t>
      </w:r>
      <w:r w:rsidR="00917611">
        <w:t>not much</w:t>
      </w:r>
      <w:r w:rsidR="005943F4">
        <w:t xml:space="preserve"> of a need</w:t>
      </w:r>
      <w:r w:rsidR="002B3B61">
        <w:t xml:space="preserve"> to procure locally.</w:t>
      </w:r>
      <w:r w:rsidR="00160639">
        <w:t xml:space="preserve">  </w:t>
      </w:r>
    </w:p>
    <w:p w14:paraId="542895E1" w14:textId="77777777" w:rsidR="003F6002" w:rsidRDefault="003F6002" w:rsidP="00222B07">
      <w:pPr>
        <w:spacing w:after="0"/>
        <w:jc w:val="both"/>
      </w:pPr>
    </w:p>
    <w:p w14:paraId="7374D9D4" w14:textId="4E3DE339" w:rsidR="00811A34" w:rsidRDefault="009E0867" w:rsidP="00222B07">
      <w:pPr>
        <w:spacing w:after="0"/>
        <w:jc w:val="both"/>
      </w:pPr>
      <w:r>
        <w:t>To s</w:t>
      </w:r>
      <w:r w:rsidR="00160639">
        <w:t xml:space="preserve">upport fully the view that, under these circumstances, mines are capable of </w:t>
      </w:r>
      <w:r w:rsidR="003F6002">
        <w:t>being</w:t>
      </w:r>
      <w:r w:rsidR="00160639">
        <w:t xml:space="preserve"> ‘growth poles’ in remote areas of sub-Saharan Africa</w:t>
      </w:r>
      <w:r w:rsidR="002B3B61">
        <w:t xml:space="preserve"> </w:t>
      </w:r>
      <w:r w:rsidR="00160639">
        <w:t xml:space="preserve">would be to </w:t>
      </w:r>
      <w:r w:rsidR="00672C7C">
        <w:t xml:space="preserve">deny that resource enclavity </w:t>
      </w:r>
      <w:r>
        <w:t>exists</w:t>
      </w:r>
      <w:r w:rsidR="00672C7C">
        <w:t>.</w:t>
      </w:r>
      <w:r w:rsidR="00811A34">
        <w:t xml:space="preserve">  Gajigo et al. (2012) casts important light on why, </w:t>
      </w:r>
      <w:r w:rsidR="00C8749A">
        <w:t>focusing</w:t>
      </w:r>
      <w:r w:rsidR="00811A34">
        <w:t xml:space="preserve"> on experiences from the gold mining sector:</w:t>
      </w:r>
    </w:p>
    <w:p w14:paraId="0363AC21" w14:textId="4F791704" w:rsidR="002B3B61" w:rsidRDefault="00811A34" w:rsidP="00222B07">
      <w:pPr>
        <w:spacing w:after="0"/>
        <w:jc w:val="both"/>
      </w:pPr>
      <w:r>
        <w:t xml:space="preserve">  </w:t>
      </w:r>
      <w:r w:rsidR="00AF3583">
        <w:t xml:space="preserve">  </w:t>
      </w:r>
      <w:r w:rsidR="000438A0">
        <w:t xml:space="preserve">  </w:t>
      </w:r>
      <w:r w:rsidR="00672C7C">
        <w:t xml:space="preserve"> </w:t>
      </w:r>
    </w:p>
    <w:p w14:paraId="7D2E4175" w14:textId="0848191D" w:rsidR="00811A34" w:rsidRDefault="0043092C" w:rsidP="0043092C">
      <w:pPr>
        <w:spacing w:after="0" w:line="240" w:lineRule="auto"/>
        <w:ind w:left="567"/>
        <w:jc w:val="both"/>
      </w:pPr>
      <w:r>
        <w:t>…</w:t>
      </w:r>
      <w:r w:rsidR="00811A34">
        <w:t>most gold mines in Africa are economic enclaves having limited linkages with the rest of the economy…The capital-intensive nature of mining suggests that limited linkages are likely to remain a fact of the industry…</w:t>
      </w:r>
      <w:r w:rsidR="00811A34" w:rsidRPr="00811A34">
        <w:t xml:space="preserve"> </w:t>
      </w:r>
      <w:r w:rsidR="00811A34">
        <w:t>there are almost no forward linkages for the local economies from gold mining…Backward linkages with other sectors of the economy are created when the activity concerned creates a demand for local goods and services. In the case of gold mining, this could include local contractors for associated infrastructure components or manufacturers of materials such as explosives, chemicals and fuel; and providers of services including transportation, legal and financial services. For most gold producing African countries, few of these goods and services are sourced locally. For example, adequate machinery and equipment are prerequisites in the capital-intensive gold mining industry and almost all of these are imported (except for operations in South Africa). Consumables such as fuel, explosives and chemicals (cyanide, mercury, ammonium nitrate, etc.) are also usually imported. This means that almost all hardware is imported, and only a few non-tradable services are sourced locally</w:t>
      </w:r>
      <w:r w:rsidR="00A500CE">
        <w:t>…</w:t>
      </w:r>
      <w:r>
        <w:t>[p. 13]</w:t>
      </w:r>
    </w:p>
    <w:p w14:paraId="6CB2832C" w14:textId="77777777" w:rsidR="00811A34" w:rsidRDefault="00811A34" w:rsidP="00222B07">
      <w:pPr>
        <w:spacing w:after="0"/>
        <w:jc w:val="both"/>
      </w:pPr>
    </w:p>
    <w:p w14:paraId="5876D62F" w14:textId="006FDF1F" w:rsidR="00AE1A90" w:rsidRDefault="005C73E8" w:rsidP="0058514B">
      <w:pPr>
        <w:spacing w:after="0"/>
        <w:jc w:val="both"/>
      </w:pPr>
      <w:r>
        <w:t xml:space="preserve">In most countries in sub-Saharan Africa, the duties on </w:t>
      </w:r>
      <w:r w:rsidR="003D6808">
        <w:t xml:space="preserve">these </w:t>
      </w:r>
      <w:r>
        <w:t xml:space="preserve">supplies and </w:t>
      </w:r>
      <w:r w:rsidR="003D6808">
        <w:t xml:space="preserve">this </w:t>
      </w:r>
      <w:r>
        <w:t xml:space="preserve">equipment are </w:t>
      </w:r>
      <w:r w:rsidR="003F6002">
        <w:t xml:space="preserve">typically </w:t>
      </w:r>
      <w:r>
        <w:t xml:space="preserve">waived as a means of enticing </w:t>
      </w:r>
      <w:r w:rsidR="008C639D">
        <w:t>international mining companies</w:t>
      </w:r>
      <w:r>
        <w:t xml:space="preserve"> to the region </w:t>
      </w:r>
      <w:r w:rsidR="008C639D">
        <w:t xml:space="preserve">(Campbell, 2003).  </w:t>
      </w:r>
      <w:r w:rsidR="003D6808">
        <w:t>A</w:t>
      </w:r>
      <w:r w:rsidR="008C44F7">
        <w:t>t the same time, this stifles efforts to</w:t>
      </w:r>
      <w:r w:rsidR="009C58F9">
        <w:t xml:space="preserve"> dev</w:t>
      </w:r>
      <w:r w:rsidR="00B21F12">
        <w:t>elop local mine services companies</w:t>
      </w:r>
      <w:r w:rsidR="004F5463">
        <w:t xml:space="preserve">, as these tax breaks create a ‘space’ for established international </w:t>
      </w:r>
      <w:r w:rsidR="00B21F12">
        <w:t>equipment suppliers to flood the local market. The ease with which to source this equipment and other quality mine services no doubt factors into a company</w:t>
      </w:r>
      <w:r w:rsidR="00B35EF8">
        <w:t xml:space="preserve">’s decision to finance a </w:t>
      </w:r>
      <w:r w:rsidR="00B21F12">
        <w:t>project in sub-Saharan Africa or elsewhere.</w:t>
      </w:r>
      <w:r w:rsidR="00456B7A">
        <w:t xml:space="preserve">  Do proponents of ‘growth poles’ expect local companies to emer</w:t>
      </w:r>
      <w:r w:rsidR="0071649A">
        <w:t>ge and compete with established,</w:t>
      </w:r>
      <w:r w:rsidR="00456B7A">
        <w:t xml:space="preserve"> well-networked </w:t>
      </w:r>
      <w:r w:rsidR="0071649A">
        <w:t xml:space="preserve">and in some cases, listed, </w:t>
      </w:r>
      <w:r w:rsidR="00456B7A">
        <w:t>suppliers and service providers</w:t>
      </w:r>
      <w:r w:rsidR="000E2AFD">
        <w:t>, as well as their local distributers and partners?  This would require, for example, dethroning the Mantric Group,</w:t>
      </w:r>
      <w:r w:rsidR="0071649A">
        <w:t xml:space="preserve"> </w:t>
      </w:r>
      <w:r w:rsidR="000E2AFD">
        <w:t>a Caterpillar dealer in Ghana, Kenya, Sierra Leone, Tanzania and Uganda;</w:t>
      </w:r>
      <w:r w:rsidR="000E2AFD">
        <w:rPr>
          <w:rStyle w:val="FootnoteReference"/>
        </w:rPr>
        <w:footnoteReference w:id="7"/>
      </w:r>
      <w:r w:rsidR="000E2AFD">
        <w:t xml:space="preserve"> JA Delmas, present in the </w:t>
      </w:r>
      <w:r w:rsidR="00766E22">
        <w:t xml:space="preserve">African market for 160 years and a Caterpillar dealer since 1932 </w:t>
      </w:r>
      <w:r w:rsidR="00C8749A">
        <w:t xml:space="preserve">in </w:t>
      </w:r>
      <w:r w:rsidR="00766E22">
        <w:t>11 countries in West Africa;</w:t>
      </w:r>
      <w:r w:rsidR="00766E22">
        <w:rPr>
          <w:rStyle w:val="FootnoteReference"/>
        </w:rPr>
        <w:footnoteReference w:id="8"/>
      </w:r>
      <w:r w:rsidR="00766E22">
        <w:t xml:space="preserve"> and Barloworld Equipment, which </w:t>
      </w:r>
      <w:r w:rsidR="0071649A">
        <w:t>began distributing</w:t>
      </w:r>
      <w:r w:rsidR="00766E22">
        <w:t xml:space="preserve"> Caterpillar equipment in the Natal and Transvaal regions</w:t>
      </w:r>
      <w:r w:rsidR="0071649A">
        <w:t xml:space="preserve"> </w:t>
      </w:r>
      <w:r w:rsidR="00766E22">
        <w:t>in 1927.</w:t>
      </w:r>
      <w:r w:rsidR="00766E22">
        <w:rPr>
          <w:rStyle w:val="FootnoteReference"/>
        </w:rPr>
        <w:footnoteReference w:id="9"/>
      </w:r>
      <w:r w:rsidR="00E605BF">
        <w:t xml:space="preserve">  </w:t>
      </w:r>
    </w:p>
    <w:p w14:paraId="42652778" w14:textId="77777777" w:rsidR="00AE1A90" w:rsidRDefault="00AE1A90" w:rsidP="0058514B">
      <w:pPr>
        <w:spacing w:after="0"/>
        <w:jc w:val="both"/>
      </w:pPr>
    </w:p>
    <w:p w14:paraId="013C40EE" w14:textId="5B867F45" w:rsidR="00D2240B" w:rsidRDefault="00E605BF" w:rsidP="0058514B">
      <w:pPr>
        <w:spacing w:after="0"/>
        <w:jc w:val="both"/>
      </w:pPr>
      <w:r>
        <w:t xml:space="preserve">With an established network of support services already in place, therefore, new mines no longer catalyze the downstream and upstream linkages they once did.  </w:t>
      </w:r>
      <w:r w:rsidR="00AE1A90">
        <w:t xml:space="preserve"> It</w:t>
      </w:r>
      <w:r w:rsidR="003D6808">
        <w:t xml:space="preserve"> appears that</w:t>
      </w:r>
      <w:r w:rsidR="00AE1A90">
        <w:t>,</w:t>
      </w:r>
      <w:r w:rsidR="00C8749A">
        <w:t xml:space="preserve"> </w:t>
      </w:r>
      <w:r w:rsidR="003D6808">
        <w:t xml:space="preserve">and </w:t>
      </w:r>
      <w:r w:rsidR="00C8749A">
        <w:t xml:space="preserve">as already </w:t>
      </w:r>
      <w:r w:rsidR="00C8749A">
        <w:lastRenderedPageBreak/>
        <w:t>suggested,</w:t>
      </w:r>
      <w:r w:rsidR="00AE1A90">
        <w:t xml:space="preserve"> the</w:t>
      </w:r>
      <w:r>
        <w:t xml:space="preserve"> surging interest in, and actions taken in the area of, local content </w:t>
      </w:r>
      <w:r w:rsidR="00AE1A90">
        <w:t xml:space="preserve">across sub-Saharan Africa is </w:t>
      </w:r>
      <w:r w:rsidR="00C8749A">
        <w:t xml:space="preserve">a reflection </w:t>
      </w:r>
      <w:r w:rsidR="00AE1A90">
        <w:t>of this.</w:t>
      </w:r>
      <w:r w:rsidR="002C3D02">
        <w:t xml:space="preserve">  Although initially and mostly unveiled in sub-Saharan Africa in the oil and gas sector, local content has </w:t>
      </w:r>
      <w:r w:rsidR="00286460">
        <w:t>fast</w:t>
      </w:r>
      <w:r w:rsidR="002C3D02">
        <w:t xml:space="preserve"> become a centrepiece of the region’s mining industry, </w:t>
      </w:r>
      <w:r w:rsidR="00C8749A">
        <w:t xml:space="preserve">and is </w:t>
      </w:r>
      <w:r w:rsidR="002C3D02">
        <w:t>enshrined in the Africa Mining Vision.</w:t>
      </w:r>
      <w:r w:rsidR="001218FC">
        <w:rPr>
          <w:rStyle w:val="FootnoteReference"/>
        </w:rPr>
        <w:footnoteReference w:id="10"/>
      </w:r>
      <w:r w:rsidR="00286460">
        <w:t xml:space="preserve">  Whilst unrealistic to expect incoming mining companies to ‘create’ markets for local populations, as well as support and nurture the development of indigenous service providers to a level </w:t>
      </w:r>
      <w:r w:rsidR="001218FC">
        <w:t>where</w:t>
      </w:r>
      <w:r w:rsidR="00286460">
        <w:t xml:space="preserve"> they are capable of competing with the likes of Caterpillar or Boart Longyear, many have responded quite positively to newly-minted local content policies</w:t>
      </w:r>
      <w:r w:rsidR="00B35EF8">
        <w:t xml:space="preserve"> at selected sites.  These are</w:t>
      </w:r>
      <w:r w:rsidR="003A4DFA">
        <w:t xml:space="preserve"> cert</w:t>
      </w:r>
      <w:r w:rsidR="00B35EF8">
        <w:t>ainly positive developments but</w:t>
      </w:r>
      <w:r w:rsidR="00481ECA">
        <w:t xml:space="preserve"> their impact is unlikely to be significant, and certainly not</w:t>
      </w:r>
      <w:r w:rsidR="003A4DFA">
        <w:t xml:space="preserve"> transformative </w:t>
      </w:r>
      <w:r w:rsidR="00481ECA">
        <w:t>in the way in which proponents of ‘growth poles’ believe.</w:t>
      </w:r>
      <w:r w:rsidR="00034829">
        <w:t xml:space="preserve">  Perhaps most significantly, </w:t>
      </w:r>
      <w:r w:rsidR="00FC7478">
        <w:t xml:space="preserve">without </w:t>
      </w:r>
      <w:r w:rsidR="00254720">
        <w:t xml:space="preserve">local content policies, </w:t>
      </w:r>
      <w:r w:rsidR="00741914">
        <w:t xml:space="preserve">it is unlikely that </w:t>
      </w:r>
      <w:r w:rsidR="00034829">
        <w:t>these activities</w:t>
      </w:r>
      <w:r w:rsidR="00741914">
        <w:t xml:space="preserve"> would</w:t>
      </w:r>
      <w:r w:rsidR="00034829">
        <w:t xml:space="preserve"> have materialized</w:t>
      </w:r>
      <w:r w:rsidR="00B35EF8">
        <w:t xml:space="preserve"> altogether</w:t>
      </w:r>
      <w:r w:rsidR="00254720">
        <w:t>.</w:t>
      </w:r>
      <w:r w:rsidR="00034829">
        <w:t xml:space="preserve">   </w:t>
      </w:r>
      <w:r w:rsidR="00741914">
        <w:t xml:space="preserve">Nevertheless, multinational mining companies have gone to considerable lengths to </w:t>
      </w:r>
      <w:r w:rsidR="00D2240B">
        <w:t xml:space="preserve">publicize and </w:t>
      </w:r>
      <w:r w:rsidR="00741914">
        <w:t>r</w:t>
      </w:r>
      <w:r w:rsidR="00D2240B">
        <w:t>aise awareness of these efforts,</w:t>
      </w:r>
      <w:r w:rsidR="00741914">
        <w:t xml:space="preserve"> along with the host o</w:t>
      </w:r>
      <w:r w:rsidR="00D2240B">
        <w:t>f infrastructural projects they have financed in the rural sections of sub-Saharan Africa where</w:t>
      </w:r>
      <w:r w:rsidR="003C754A">
        <w:t xml:space="preserve"> they currently operate (Table </w:t>
      </w:r>
      <w:r w:rsidR="00DB165C">
        <w:t>5</w:t>
      </w:r>
      <w:r w:rsidR="00D2240B">
        <w:t xml:space="preserve">).  For the region’s mining enclaves, therefore, the ‘face’ of local economic development has become </w:t>
      </w:r>
      <w:r w:rsidR="00C8749A">
        <w:t>a combination of these menial</w:t>
      </w:r>
      <w:r w:rsidR="00D2240B">
        <w:t xml:space="preserve"> income-earning activities, the long-term sustainability of which is </w:t>
      </w:r>
      <w:r w:rsidR="00C8749A">
        <w:t>open to debate, and</w:t>
      </w:r>
      <w:r w:rsidR="00D2240B">
        <w:t xml:space="preserve"> basic infrastructure</w:t>
      </w:r>
      <w:r w:rsidR="00C8749A">
        <w:t xml:space="preserve"> constructed for communities</w:t>
      </w:r>
      <w:r w:rsidR="00D2240B">
        <w:t>, efforts buoyed by unsubstantiated rhetoric about growth poles.</w:t>
      </w:r>
    </w:p>
    <w:p w14:paraId="5EA5C045" w14:textId="77777777" w:rsidR="00D2240B" w:rsidRDefault="00D2240B" w:rsidP="0058514B">
      <w:pPr>
        <w:spacing w:after="0"/>
        <w:jc w:val="both"/>
      </w:pPr>
    </w:p>
    <w:p w14:paraId="6777A9A9" w14:textId="67E91972" w:rsidR="007A5DB0" w:rsidRDefault="003C754A" w:rsidP="0058514B">
      <w:pPr>
        <w:spacing w:after="0"/>
        <w:jc w:val="both"/>
      </w:pPr>
      <w:r>
        <w:rPr>
          <w:b/>
        </w:rPr>
        <w:t>Ta</w:t>
      </w:r>
      <w:r w:rsidR="00DB165C">
        <w:rPr>
          <w:b/>
        </w:rPr>
        <w:t>ble 5</w:t>
      </w:r>
      <w:r w:rsidR="007A5DB0">
        <w:rPr>
          <w:b/>
        </w:rPr>
        <w:t xml:space="preserve">: </w:t>
      </w:r>
      <w:r w:rsidR="007A5DB0">
        <w:t>Local economic development at selected mines in sub-Saharan Africa</w:t>
      </w:r>
    </w:p>
    <w:tbl>
      <w:tblPr>
        <w:tblStyle w:val="TableGrid"/>
        <w:tblW w:w="0" w:type="auto"/>
        <w:tblLook w:val="04A0" w:firstRow="1" w:lastRow="0" w:firstColumn="1" w:lastColumn="0" w:noHBand="0" w:noVBand="1"/>
      </w:tblPr>
      <w:tblGrid>
        <w:gridCol w:w="2254"/>
        <w:gridCol w:w="2254"/>
        <w:gridCol w:w="2254"/>
        <w:gridCol w:w="2254"/>
      </w:tblGrid>
      <w:tr w:rsidR="003C754A" w14:paraId="587DADA8" w14:textId="77777777" w:rsidTr="007A5DB0">
        <w:tc>
          <w:tcPr>
            <w:tcW w:w="2254" w:type="dxa"/>
          </w:tcPr>
          <w:p w14:paraId="74F3AC7A" w14:textId="7F6D49DB" w:rsidR="003C754A" w:rsidRPr="007A5DB0" w:rsidRDefault="003C754A" w:rsidP="003C754A">
            <w:pPr>
              <w:jc w:val="both"/>
              <w:rPr>
                <w:b/>
              </w:rPr>
            </w:pPr>
            <w:r w:rsidRPr="00125FCE">
              <w:rPr>
                <w:rFonts w:ascii="Calibri" w:hAnsi="Calibri" w:cs="Times New Roman"/>
                <w:b/>
                <w:bCs/>
                <w:color w:val="000000" w:themeColor="text1"/>
              </w:rPr>
              <w:t>Mine</w:t>
            </w:r>
          </w:p>
        </w:tc>
        <w:tc>
          <w:tcPr>
            <w:tcW w:w="2254" w:type="dxa"/>
          </w:tcPr>
          <w:p w14:paraId="432CAD72" w14:textId="7838233A" w:rsidR="003C754A" w:rsidRPr="007A5DB0" w:rsidRDefault="003C754A" w:rsidP="003C754A">
            <w:pPr>
              <w:jc w:val="both"/>
              <w:rPr>
                <w:b/>
              </w:rPr>
            </w:pPr>
            <w:r w:rsidRPr="00125FCE">
              <w:rPr>
                <w:rFonts w:ascii="Calibri" w:hAnsi="Calibri" w:cs="Times New Roman"/>
                <w:b/>
                <w:bCs/>
                <w:color w:val="000000" w:themeColor="text1"/>
              </w:rPr>
              <w:t>Location</w:t>
            </w:r>
          </w:p>
        </w:tc>
        <w:tc>
          <w:tcPr>
            <w:tcW w:w="2254" w:type="dxa"/>
          </w:tcPr>
          <w:p w14:paraId="2406C243" w14:textId="19212588" w:rsidR="003C754A" w:rsidRPr="007A5DB0" w:rsidRDefault="003C754A" w:rsidP="003C754A">
            <w:pPr>
              <w:jc w:val="both"/>
              <w:rPr>
                <w:b/>
              </w:rPr>
            </w:pPr>
            <w:r w:rsidRPr="00125FCE">
              <w:rPr>
                <w:rFonts w:ascii="Calibri" w:hAnsi="Calibri" w:cs="Times New Roman"/>
                <w:b/>
                <w:bCs/>
                <w:color w:val="000000" w:themeColor="text1"/>
              </w:rPr>
              <w:t>Local Content</w:t>
            </w:r>
          </w:p>
        </w:tc>
        <w:tc>
          <w:tcPr>
            <w:tcW w:w="2254" w:type="dxa"/>
          </w:tcPr>
          <w:p w14:paraId="325741A2" w14:textId="30AF7C2D" w:rsidR="003C754A" w:rsidRPr="007A5DB0" w:rsidRDefault="003C754A" w:rsidP="003C754A">
            <w:pPr>
              <w:jc w:val="both"/>
              <w:rPr>
                <w:b/>
              </w:rPr>
            </w:pPr>
            <w:r w:rsidRPr="00125FCE">
              <w:rPr>
                <w:rFonts w:ascii="Calibri" w:hAnsi="Calibri" w:cs="Times New Roman"/>
                <w:b/>
                <w:bCs/>
                <w:color w:val="000000" w:themeColor="text1"/>
              </w:rPr>
              <w:t>Local Economic Development</w:t>
            </w:r>
          </w:p>
        </w:tc>
      </w:tr>
      <w:tr w:rsidR="003C754A" w14:paraId="7AEA5FA1" w14:textId="77777777" w:rsidTr="007A5DB0">
        <w:tc>
          <w:tcPr>
            <w:tcW w:w="2254" w:type="dxa"/>
          </w:tcPr>
          <w:p w14:paraId="687BDCA5" w14:textId="573B9460" w:rsidR="003C754A" w:rsidRDefault="003C754A" w:rsidP="003C754A">
            <w:pPr>
              <w:jc w:val="both"/>
            </w:pPr>
            <w:r w:rsidRPr="00125FCE">
              <w:rPr>
                <w:rFonts w:ascii="Calibri" w:hAnsi="Calibri" w:cs="Times New Roman"/>
                <w:color w:val="000000" w:themeColor="text1"/>
              </w:rPr>
              <w:t xml:space="preserve">Rio Tinto- Simandou Mines </w:t>
            </w:r>
          </w:p>
        </w:tc>
        <w:tc>
          <w:tcPr>
            <w:tcW w:w="2254" w:type="dxa"/>
          </w:tcPr>
          <w:p w14:paraId="72CCA53E" w14:textId="23B81266" w:rsidR="003C754A" w:rsidRDefault="003C754A" w:rsidP="003C754A">
            <w:pPr>
              <w:jc w:val="both"/>
            </w:pPr>
            <w:r w:rsidRPr="00125FCE">
              <w:rPr>
                <w:rFonts w:ascii="Calibri" w:hAnsi="Calibri" w:cs="Times New Roman"/>
                <w:color w:val="000000" w:themeColor="text1"/>
              </w:rPr>
              <w:t xml:space="preserve"> Guinea </w:t>
            </w:r>
          </w:p>
        </w:tc>
        <w:tc>
          <w:tcPr>
            <w:tcW w:w="2254" w:type="dxa"/>
          </w:tcPr>
          <w:p w14:paraId="67A69FA1" w14:textId="77777777" w:rsidR="003C754A" w:rsidRPr="00125FCE" w:rsidRDefault="003C754A" w:rsidP="003C754A">
            <w:pPr>
              <w:widowControl w:val="0"/>
              <w:autoSpaceDE w:val="0"/>
              <w:autoSpaceDN w:val="0"/>
              <w:adjustRightInd w:val="0"/>
              <w:spacing w:after="240" w:line="280" w:lineRule="atLeast"/>
              <w:rPr>
                <w:rFonts w:ascii="Calibri" w:hAnsi="Calibri" w:cs="Times New Roman"/>
                <w:iCs/>
                <w:color w:val="000000" w:themeColor="text1"/>
              </w:rPr>
            </w:pPr>
            <w:r w:rsidRPr="00125FCE">
              <w:rPr>
                <w:rFonts w:ascii="Calibri" w:hAnsi="Calibri" w:cs="Times New Roman"/>
                <w:iCs/>
                <w:color w:val="000000" w:themeColor="text1"/>
              </w:rPr>
              <w:t>The Simandou Project utilises labour, goods and services originating from within Guinea, and includes skills and/or technology transfer from international partners to local suppliers.</w:t>
            </w:r>
          </w:p>
          <w:p w14:paraId="2FEC2CAB" w14:textId="7A8B5E05" w:rsidR="003C754A" w:rsidRDefault="003C754A" w:rsidP="00DB165C">
            <w:pPr>
              <w:widowControl w:val="0"/>
              <w:autoSpaceDE w:val="0"/>
              <w:autoSpaceDN w:val="0"/>
              <w:adjustRightInd w:val="0"/>
              <w:spacing w:after="240" w:line="280" w:lineRule="atLeast"/>
            </w:pPr>
            <w:r w:rsidRPr="00125FCE">
              <w:rPr>
                <w:rFonts w:ascii="Calibri" w:hAnsi="Calibri" w:cs="Times New Roman"/>
                <w:iCs/>
                <w:color w:val="000000" w:themeColor="text1"/>
              </w:rPr>
              <w:t xml:space="preserve">The </w:t>
            </w:r>
            <w:r w:rsidRPr="00125FCE">
              <w:rPr>
                <w:rFonts w:ascii="Calibri" w:hAnsi="Calibri" w:cs="Times New Roman"/>
                <w:color w:val="000000" w:themeColor="text1"/>
              </w:rPr>
              <w:t xml:space="preserve">focus is on training </w:t>
            </w:r>
            <w:r w:rsidRPr="00125FCE">
              <w:rPr>
                <w:rFonts w:ascii="Calibri" w:hAnsi="Calibri" w:cs="Times New Roman"/>
                <w:iCs/>
                <w:color w:val="000000" w:themeColor="text1"/>
              </w:rPr>
              <w:t xml:space="preserve">and mentoring of local labour to create skills transfer and skills development and capacity building of local suppliers and communities. </w:t>
            </w:r>
          </w:p>
        </w:tc>
        <w:tc>
          <w:tcPr>
            <w:tcW w:w="2254" w:type="dxa"/>
          </w:tcPr>
          <w:p w14:paraId="087D1030" w14:textId="77777777" w:rsidR="003C754A" w:rsidRPr="00125FCE" w:rsidRDefault="003C754A" w:rsidP="003C754A">
            <w:pPr>
              <w:widowControl w:val="0"/>
              <w:autoSpaceDE w:val="0"/>
              <w:autoSpaceDN w:val="0"/>
              <w:adjustRightInd w:val="0"/>
              <w:rPr>
                <w:rFonts w:ascii="Calibri" w:hAnsi="Calibri" w:cs="Times New Roman"/>
                <w:color w:val="000000" w:themeColor="text1"/>
              </w:rPr>
            </w:pPr>
            <w:r w:rsidRPr="00125FCE">
              <w:rPr>
                <w:rFonts w:ascii="Calibri" w:hAnsi="Calibri" w:cs="Times New Roman"/>
                <w:color w:val="000000" w:themeColor="text1"/>
              </w:rPr>
              <w:t xml:space="preserve">Provision of infrastructure through construction of access roads through project communities such as the 128km Beyla-to-Nzérékoré road and pgrading of two airports in Beyla and Faranah to support transportation of goods and services. </w:t>
            </w:r>
          </w:p>
          <w:p w14:paraId="40E2B06B" w14:textId="77777777" w:rsidR="003C754A" w:rsidRPr="00125FCE" w:rsidRDefault="003C754A" w:rsidP="003C754A">
            <w:pPr>
              <w:widowControl w:val="0"/>
              <w:autoSpaceDE w:val="0"/>
              <w:autoSpaceDN w:val="0"/>
              <w:adjustRightInd w:val="0"/>
              <w:rPr>
                <w:rFonts w:ascii="Calibri" w:hAnsi="Calibri" w:cs="Times New Roman"/>
                <w:color w:val="000000" w:themeColor="text1"/>
              </w:rPr>
            </w:pPr>
          </w:p>
          <w:p w14:paraId="5396CE70" w14:textId="77777777" w:rsidR="003C754A" w:rsidRPr="00125FCE" w:rsidRDefault="003C754A" w:rsidP="003C754A">
            <w:pPr>
              <w:widowControl w:val="0"/>
              <w:autoSpaceDE w:val="0"/>
              <w:autoSpaceDN w:val="0"/>
              <w:adjustRightInd w:val="0"/>
              <w:rPr>
                <w:rFonts w:ascii="Calibri" w:hAnsi="Calibri" w:cs="Times New Roman"/>
                <w:color w:val="000000" w:themeColor="text1"/>
              </w:rPr>
            </w:pPr>
            <w:r w:rsidRPr="00125FCE">
              <w:rPr>
                <w:rFonts w:ascii="Calibri" w:hAnsi="Calibri" w:cs="Times New Roman"/>
                <w:color w:val="000000" w:themeColor="text1"/>
              </w:rPr>
              <w:t xml:space="preserve">Simandou Capacity-Building Project in Forécariah which </w:t>
            </w:r>
          </w:p>
          <w:p w14:paraId="127A5A64" w14:textId="5B7A8929" w:rsidR="003C754A" w:rsidRDefault="003C754A" w:rsidP="003C754A">
            <w:pPr>
              <w:jc w:val="both"/>
            </w:pPr>
            <w:r w:rsidRPr="00125FCE">
              <w:rPr>
                <w:rFonts w:ascii="Calibri" w:hAnsi="Calibri" w:cs="Times New Roman"/>
                <w:color w:val="000000" w:themeColor="text1"/>
              </w:rPr>
              <w:t xml:space="preserve">involves skills training of 41,630 people, 23,684 of whom are women. </w:t>
            </w:r>
          </w:p>
        </w:tc>
      </w:tr>
      <w:tr w:rsidR="003C754A" w14:paraId="5FE684A1" w14:textId="77777777" w:rsidTr="007A5DB0">
        <w:tc>
          <w:tcPr>
            <w:tcW w:w="2254" w:type="dxa"/>
          </w:tcPr>
          <w:p w14:paraId="0C639143" w14:textId="7478F1A8" w:rsidR="003C754A" w:rsidRDefault="003C754A" w:rsidP="003C754A">
            <w:pPr>
              <w:jc w:val="both"/>
            </w:pPr>
            <w:r w:rsidRPr="00125FCE">
              <w:rPr>
                <w:rFonts w:ascii="Calibri" w:hAnsi="Calibri" w:cs="Times New Roman"/>
                <w:color w:val="000000" w:themeColor="text1"/>
              </w:rPr>
              <w:t>Geita Mines (</w:t>
            </w:r>
            <w:r w:rsidR="00142FE0" w:rsidRPr="00125FCE">
              <w:rPr>
                <w:rFonts w:ascii="Calibri" w:hAnsi="Calibri" w:cs="Times New Roman"/>
                <w:color w:val="000000" w:themeColor="text1"/>
              </w:rPr>
              <w:t>AngloGold</w:t>
            </w:r>
            <w:r w:rsidRPr="00125FCE">
              <w:rPr>
                <w:rFonts w:ascii="Calibri" w:hAnsi="Calibri" w:cs="Times New Roman"/>
                <w:color w:val="000000" w:themeColor="text1"/>
              </w:rPr>
              <w:t xml:space="preserve"> Ashanti)</w:t>
            </w:r>
          </w:p>
        </w:tc>
        <w:tc>
          <w:tcPr>
            <w:tcW w:w="2254" w:type="dxa"/>
          </w:tcPr>
          <w:p w14:paraId="62C86EDC" w14:textId="44C1AD99" w:rsidR="003C754A" w:rsidRDefault="003C754A" w:rsidP="003C754A">
            <w:pPr>
              <w:jc w:val="both"/>
            </w:pPr>
            <w:r w:rsidRPr="00125FCE">
              <w:rPr>
                <w:rFonts w:ascii="Calibri" w:hAnsi="Calibri" w:cs="Times New Roman"/>
                <w:color w:val="000000" w:themeColor="text1"/>
              </w:rPr>
              <w:t> Tanzania</w:t>
            </w:r>
          </w:p>
        </w:tc>
        <w:tc>
          <w:tcPr>
            <w:tcW w:w="2254" w:type="dxa"/>
          </w:tcPr>
          <w:p w14:paraId="3E51DE9D" w14:textId="081EE122" w:rsidR="003C754A" w:rsidRDefault="003C754A" w:rsidP="003C754A">
            <w:pPr>
              <w:jc w:val="both"/>
            </w:pPr>
            <w:r w:rsidRPr="00125FCE">
              <w:rPr>
                <w:rFonts w:ascii="Calibri" w:hAnsi="Calibri"/>
                <w:color w:val="000000" w:themeColor="text1"/>
              </w:rPr>
              <w:t xml:space="preserve"> In Partnership with Acacia Mining plc and the </w:t>
            </w:r>
            <w:r w:rsidR="00142FE0" w:rsidRPr="00125FCE">
              <w:rPr>
                <w:rFonts w:ascii="Calibri" w:hAnsi="Calibri"/>
                <w:color w:val="000000" w:themeColor="text1"/>
              </w:rPr>
              <w:t>government we</w:t>
            </w:r>
            <w:r w:rsidRPr="00125FCE">
              <w:rPr>
                <w:rFonts w:ascii="Calibri" w:hAnsi="Calibri"/>
                <w:color w:val="000000" w:themeColor="text1"/>
              </w:rPr>
              <w:t xml:space="preserve"> are working to address the specific need for </w:t>
            </w:r>
            <w:r w:rsidRPr="00125FCE">
              <w:rPr>
                <w:rFonts w:ascii="Calibri" w:hAnsi="Calibri"/>
                <w:color w:val="000000" w:themeColor="text1"/>
              </w:rPr>
              <w:lastRenderedPageBreak/>
              <w:t>technical vocational skills. In 2008, an Integrated Mine Technical Training (IMTT) Programme was created to offer world-class training to the local population</w:t>
            </w:r>
            <w:r w:rsidR="00142FE0">
              <w:rPr>
                <w:rFonts w:ascii="Calibri" w:hAnsi="Calibri"/>
                <w:color w:val="000000" w:themeColor="text1"/>
              </w:rPr>
              <w:t>.</w:t>
            </w:r>
            <w:r w:rsidRPr="00125FCE">
              <w:rPr>
                <w:rFonts w:ascii="Calibri" w:hAnsi="Calibri"/>
                <w:color w:val="000000" w:themeColor="text1"/>
              </w:rPr>
              <w:t xml:space="preserve"> </w:t>
            </w:r>
          </w:p>
        </w:tc>
        <w:tc>
          <w:tcPr>
            <w:tcW w:w="2254" w:type="dxa"/>
          </w:tcPr>
          <w:p w14:paraId="65D60E11" w14:textId="66F1B4FA" w:rsidR="003C754A" w:rsidRDefault="003C754A" w:rsidP="003C754A">
            <w:pPr>
              <w:jc w:val="both"/>
            </w:pPr>
            <w:r w:rsidRPr="00125FCE">
              <w:rPr>
                <w:rFonts w:ascii="Calibri" w:hAnsi="Calibri" w:cs="Times New Roman"/>
                <w:color w:val="000000" w:themeColor="text1"/>
              </w:rPr>
              <w:lastRenderedPageBreak/>
              <w:t xml:space="preserve"> Completion of $6 Million Geita Water Project, which benefits more than 150 000 </w:t>
            </w:r>
            <w:r w:rsidRPr="00125FCE">
              <w:rPr>
                <w:rFonts w:ascii="Calibri" w:hAnsi="Calibri" w:cs="Times New Roman"/>
                <w:color w:val="000000" w:themeColor="text1"/>
              </w:rPr>
              <w:lastRenderedPageBreak/>
              <w:t xml:space="preserve">people within mine </w:t>
            </w:r>
            <w:r w:rsidR="00142FE0" w:rsidRPr="00125FCE">
              <w:rPr>
                <w:rFonts w:ascii="Calibri" w:hAnsi="Calibri" w:cs="Times New Roman"/>
                <w:color w:val="000000" w:themeColor="text1"/>
              </w:rPr>
              <w:t>catchment area</w:t>
            </w:r>
            <w:r w:rsidR="00142FE0">
              <w:rPr>
                <w:rFonts w:ascii="Calibri" w:hAnsi="Calibri" w:cs="Times New Roman"/>
                <w:color w:val="000000" w:themeColor="text1"/>
              </w:rPr>
              <w:t>.</w:t>
            </w:r>
          </w:p>
        </w:tc>
      </w:tr>
      <w:tr w:rsidR="003C754A" w14:paraId="3D7AA2D2" w14:textId="77777777" w:rsidTr="007A5DB0">
        <w:tc>
          <w:tcPr>
            <w:tcW w:w="2254" w:type="dxa"/>
          </w:tcPr>
          <w:p w14:paraId="297B0841" w14:textId="79B0B336" w:rsidR="003C754A" w:rsidRDefault="003C754A" w:rsidP="003C754A">
            <w:pPr>
              <w:jc w:val="both"/>
            </w:pPr>
            <w:r w:rsidRPr="00125FCE">
              <w:rPr>
                <w:rFonts w:ascii="Calibri" w:hAnsi="Calibri" w:cs="Times New Roman"/>
                <w:color w:val="000000" w:themeColor="text1"/>
              </w:rPr>
              <w:lastRenderedPageBreak/>
              <w:t xml:space="preserve"> Newmont Ahafo Mine </w:t>
            </w:r>
          </w:p>
        </w:tc>
        <w:tc>
          <w:tcPr>
            <w:tcW w:w="2254" w:type="dxa"/>
          </w:tcPr>
          <w:p w14:paraId="6FF87170" w14:textId="0AD81FB9" w:rsidR="003C754A" w:rsidRDefault="003C754A" w:rsidP="003C754A">
            <w:pPr>
              <w:jc w:val="both"/>
            </w:pPr>
            <w:r w:rsidRPr="00125FCE">
              <w:rPr>
                <w:rFonts w:ascii="Calibri" w:hAnsi="Calibri" w:cs="Times New Roman"/>
                <w:color w:val="000000" w:themeColor="text1"/>
              </w:rPr>
              <w:t> Ghana</w:t>
            </w:r>
          </w:p>
        </w:tc>
        <w:tc>
          <w:tcPr>
            <w:tcW w:w="2254" w:type="dxa"/>
          </w:tcPr>
          <w:p w14:paraId="2045AE7C" w14:textId="77777777" w:rsidR="003C754A" w:rsidRPr="00125FCE" w:rsidRDefault="003C754A" w:rsidP="003C754A">
            <w:pPr>
              <w:pStyle w:val="NormalWeb"/>
              <w:rPr>
                <w:rFonts w:ascii="Calibri" w:hAnsi="Calibri"/>
                <w:color w:val="000000" w:themeColor="text1"/>
              </w:rPr>
            </w:pPr>
            <w:r w:rsidRPr="00125FCE">
              <w:rPr>
                <w:rFonts w:ascii="Calibri" w:eastAsia="Calibri" w:hAnsi="Calibri"/>
                <w:color w:val="000000" w:themeColor="text1"/>
              </w:rPr>
              <w:t xml:space="preserve">Newmont Ghana is committed to have a minimum of 35% local employees through a policy that require sourcing all unskilled jobs and direct supplies from those living in communities within the Mining Lease Area. </w:t>
            </w:r>
          </w:p>
          <w:p w14:paraId="2924CF00" w14:textId="2C43A051" w:rsidR="003C754A" w:rsidRDefault="003C754A" w:rsidP="003C754A">
            <w:pPr>
              <w:jc w:val="both"/>
            </w:pPr>
            <w:r w:rsidRPr="00125FCE">
              <w:rPr>
                <w:rFonts w:ascii="Calibri" w:hAnsi="Calibri" w:cs="Times New Roman"/>
                <w:color w:val="000000" w:themeColor="text1"/>
              </w:rPr>
              <w:t xml:space="preserve">Newmont’s commitment to improve the economic conditions of host communities through capacity building programs for selected local Micro, Small, and Medium Scale Enterprises so they are well positioned to secure contracts from the Ahafo Mine </w:t>
            </w:r>
          </w:p>
        </w:tc>
        <w:tc>
          <w:tcPr>
            <w:tcW w:w="2254" w:type="dxa"/>
          </w:tcPr>
          <w:p w14:paraId="396A1207" w14:textId="77777777" w:rsidR="003C754A" w:rsidRPr="00125FCE" w:rsidRDefault="003C754A" w:rsidP="003C754A">
            <w:pPr>
              <w:widowControl w:val="0"/>
              <w:autoSpaceDE w:val="0"/>
              <w:autoSpaceDN w:val="0"/>
              <w:adjustRightInd w:val="0"/>
              <w:rPr>
                <w:rFonts w:ascii="Calibri" w:eastAsia="Calibri" w:hAnsi="Calibri" w:cs="Times New Roman"/>
                <w:color w:val="000000" w:themeColor="text1"/>
              </w:rPr>
            </w:pPr>
            <w:r w:rsidRPr="00125FCE">
              <w:rPr>
                <w:rFonts w:ascii="Calibri" w:hAnsi="Calibri" w:cs="Times New Roman"/>
                <w:color w:val="000000" w:themeColor="text1"/>
              </w:rPr>
              <w:t> </w:t>
            </w:r>
            <w:r w:rsidRPr="00125FCE">
              <w:rPr>
                <w:rFonts w:ascii="Calibri" w:eastAsia="Calibri" w:hAnsi="Calibri" w:cs="Times New Roman"/>
                <w:color w:val="000000" w:themeColor="text1"/>
              </w:rPr>
              <w:t>A number of infrastructure projects including construction of 6-Unit classroom block with Library for Kenyasi No. 2, fully furnished 4 Unit Teachers quarters</w:t>
            </w:r>
          </w:p>
          <w:p w14:paraId="35425EC6" w14:textId="77777777" w:rsidR="003C754A" w:rsidRPr="00125FCE" w:rsidRDefault="003C754A" w:rsidP="003C754A">
            <w:pPr>
              <w:widowControl w:val="0"/>
              <w:autoSpaceDE w:val="0"/>
              <w:autoSpaceDN w:val="0"/>
              <w:adjustRightInd w:val="0"/>
              <w:rPr>
                <w:rFonts w:ascii="Calibri" w:hAnsi="Calibri" w:cs="Times New Roman"/>
                <w:color w:val="000000" w:themeColor="text1"/>
              </w:rPr>
            </w:pPr>
          </w:p>
          <w:p w14:paraId="0425E97A" w14:textId="4E3AAFAA" w:rsidR="003C754A" w:rsidRDefault="003C754A" w:rsidP="003C754A">
            <w:pPr>
              <w:jc w:val="both"/>
            </w:pPr>
            <w:r w:rsidRPr="00125FCE">
              <w:rPr>
                <w:rFonts w:ascii="Calibri" w:eastAsia="Calibri" w:hAnsi="Calibri" w:cs="Times New Roman"/>
                <w:color w:val="000000" w:themeColor="text1"/>
              </w:rPr>
              <w:t>Newmont Ahafo Mines distributed 1250 solar lamps to basic school pupils living in its resettlement communities and undertook apprenticeship programme for 520 youths in Ahafo Catchment Area.</w:t>
            </w:r>
          </w:p>
        </w:tc>
      </w:tr>
      <w:tr w:rsidR="003C754A" w14:paraId="0F69B057" w14:textId="77777777" w:rsidTr="007A5DB0">
        <w:tc>
          <w:tcPr>
            <w:tcW w:w="2254" w:type="dxa"/>
          </w:tcPr>
          <w:p w14:paraId="24C5204B" w14:textId="6E9B8273" w:rsidR="003C754A" w:rsidRDefault="003C754A" w:rsidP="003C754A">
            <w:pPr>
              <w:jc w:val="both"/>
            </w:pPr>
            <w:r w:rsidRPr="00125FCE">
              <w:rPr>
                <w:rFonts w:ascii="Calibri" w:hAnsi="Calibri" w:cs="Times New Roman"/>
                <w:color w:val="000000" w:themeColor="text1"/>
              </w:rPr>
              <w:t>AngloGold Ashanti Vaal River and</w:t>
            </w:r>
            <w:r w:rsidR="00142FE0">
              <w:rPr>
                <w:rFonts w:ascii="Calibri" w:hAnsi="Calibri" w:cs="Times New Roman"/>
                <w:color w:val="000000" w:themeColor="text1"/>
              </w:rPr>
              <w:t xml:space="preserve"> West Wits</w:t>
            </w:r>
            <w:r w:rsidRPr="00125FCE">
              <w:rPr>
                <w:rFonts w:ascii="Calibri" w:hAnsi="Calibri" w:cs="Times New Roman"/>
                <w:color w:val="000000" w:themeColor="text1"/>
              </w:rPr>
              <w:t xml:space="preserve"> Mines </w:t>
            </w:r>
          </w:p>
        </w:tc>
        <w:tc>
          <w:tcPr>
            <w:tcW w:w="2254" w:type="dxa"/>
          </w:tcPr>
          <w:p w14:paraId="39749418" w14:textId="79FE5DDC" w:rsidR="003C754A" w:rsidRDefault="003C754A" w:rsidP="003C754A">
            <w:pPr>
              <w:jc w:val="both"/>
            </w:pPr>
            <w:r w:rsidRPr="00125FCE">
              <w:rPr>
                <w:rFonts w:ascii="Calibri" w:hAnsi="Calibri" w:cs="Times New Roman"/>
                <w:color w:val="000000" w:themeColor="text1"/>
              </w:rPr>
              <w:t> South Africa</w:t>
            </w:r>
          </w:p>
        </w:tc>
        <w:tc>
          <w:tcPr>
            <w:tcW w:w="2254" w:type="dxa"/>
          </w:tcPr>
          <w:p w14:paraId="2E63C8FE" w14:textId="77777777" w:rsidR="003C754A" w:rsidRPr="00125FCE" w:rsidRDefault="003C754A" w:rsidP="003C754A">
            <w:pPr>
              <w:widowControl w:val="0"/>
              <w:autoSpaceDE w:val="0"/>
              <w:autoSpaceDN w:val="0"/>
              <w:adjustRightInd w:val="0"/>
              <w:rPr>
                <w:rFonts w:ascii="Calibri" w:hAnsi="Calibri" w:cs="Times New Roman"/>
                <w:color w:val="000000" w:themeColor="text1"/>
              </w:rPr>
            </w:pPr>
            <w:r w:rsidRPr="00125FCE">
              <w:rPr>
                <w:rFonts w:ascii="Calibri" w:hAnsi="Calibri" w:cs="Times New Roman"/>
                <w:color w:val="000000" w:themeColor="text1"/>
              </w:rPr>
              <w:t xml:space="preserve">In South Africa, Through the implementation of the Enterprise Development Centres programme (EDC), business hubs are designed to provide tender information, supply opportunities, and training facilities such as computers and internet access to aspiring suppliers. </w:t>
            </w:r>
          </w:p>
          <w:p w14:paraId="45228CB8" w14:textId="77777777" w:rsidR="003C754A" w:rsidRPr="00125FCE" w:rsidRDefault="003C754A" w:rsidP="003C754A">
            <w:pPr>
              <w:widowControl w:val="0"/>
              <w:autoSpaceDE w:val="0"/>
              <w:autoSpaceDN w:val="0"/>
              <w:adjustRightInd w:val="0"/>
              <w:rPr>
                <w:rFonts w:ascii="Calibri" w:hAnsi="Calibri" w:cs="Times New Roman"/>
                <w:color w:val="000000" w:themeColor="text1"/>
              </w:rPr>
            </w:pPr>
          </w:p>
          <w:p w14:paraId="597D3D84" w14:textId="77777777" w:rsidR="003C754A" w:rsidRPr="00125FCE" w:rsidRDefault="003C754A" w:rsidP="003C754A">
            <w:pPr>
              <w:widowControl w:val="0"/>
              <w:autoSpaceDE w:val="0"/>
              <w:autoSpaceDN w:val="0"/>
              <w:adjustRightInd w:val="0"/>
              <w:spacing w:after="240" w:line="280" w:lineRule="atLeast"/>
              <w:rPr>
                <w:rFonts w:ascii="Calibri" w:hAnsi="Calibri" w:cs="Times New Roman"/>
                <w:color w:val="000000" w:themeColor="text1"/>
              </w:rPr>
            </w:pPr>
            <w:r w:rsidRPr="00125FCE">
              <w:rPr>
                <w:rFonts w:ascii="Calibri" w:hAnsi="Calibri" w:cs="Times New Roman"/>
                <w:color w:val="000000" w:themeColor="text1"/>
              </w:rPr>
              <w:t xml:space="preserve">The intention is not </w:t>
            </w:r>
            <w:r w:rsidRPr="00125FCE">
              <w:rPr>
                <w:rFonts w:ascii="Calibri" w:hAnsi="Calibri" w:cs="Times New Roman"/>
                <w:color w:val="000000" w:themeColor="text1"/>
              </w:rPr>
              <w:lastRenderedPageBreak/>
              <w:t xml:space="preserve">only to enable businesses to supply AngloGold Ashanti, but also to provide broader access to alternative markets and customers in the sub-region. </w:t>
            </w:r>
          </w:p>
          <w:p w14:paraId="34ADE684" w14:textId="77777777" w:rsidR="003C754A" w:rsidRPr="00125FCE" w:rsidRDefault="003C754A" w:rsidP="003C754A">
            <w:pPr>
              <w:widowControl w:val="0"/>
              <w:autoSpaceDE w:val="0"/>
              <w:autoSpaceDN w:val="0"/>
              <w:adjustRightInd w:val="0"/>
              <w:rPr>
                <w:rFonts w:ascii="Calibri" w:hAnsi="Calibri" w:cs="Times New Roman"/>
                <w:color w:val="000000" w:themeColor="text1"/>
              </w:rPr>
            </w:pPr>
          </w:p>
          <w:p w14:paraId="0E712F92" w14:textId="77777777" w:rsidR="003C754A" w:rsidRPr="00125FCE" w:rsidRDefault="003C754A" w:rsidP="003C754A">
            <w:pPr>
              <w:widowControl w:val="0"/>
              <w:autoSpaceDE w:val="0"/>
              <w:autoSpaceDN w:val="0"/>
              <w:adjustRightInd w:val="0"/>
              <w:rPr>
                <w:rFonts w:ascii="Calibri" w:hAnsi="Calibri" w:cs="Times New Roman"/>
                <w:color w:val="000000" w:themeColor="text1"/>
              </w:rPr>
            </w:pPr>
          </w:p>
          <w:p w14:paraId="273AB0CF" w14:textId="77777777" w:rsidR="003C754A" w:rsidRPr="00125FCE" w:rsidRDefault="003C754A" w:rsidP="003C754A">
            <w:pPr>
              <w:widowControl w:val="0"/>
              <w:autoSpaceDE w:val="0"/>
              <w:autoSpaceDN w:val="0"/>
              <w:adjustRightInd w:val="0"/>
              <w:rPr>
                <w:rFonts w:ascii="Calibri" w:hAnsi="Calibri" w:cs="Times New Roman"/>
                <w:color w:val="000000" w:themeColor="text1"/>
              </w:rPr>
            </w:pPr>
          </w:p>
          <w:p w14:paraId="4862350F" w14:textId="77777777" w:rsidR="003C754A" w:rsidRDefault="003C754A" w:rsidP="003C754A">
            <w:pPr>
              <w:jc w:val="both"/>
            </w:pPr>
          </w:p>
        </w:tc>
        <w:tc>
          <w:tcPr>
            <w:tcW w:w="2254" w:type="dxa"/>
          </w:tcPr>
          <w:p w14:paraId="119DB497" w14:textId="77777777" w:rsidR="003C754A" w:rsidRPr="00125FCE" w:rsidRDefault="003C754A" w:rsidP="003C754A">
            <w:pPr>
              <w:widowControl w:val="0"/>
              <w:autoSpaceDE w:val="0"/>
              <w:autoSpaceDN w:val="0"/>
              <w:adjustRightInd w:val="0"/>
              <w:spacing w:after="240" w:line="280" w:lineRule="atLeast"/>
              <w:rPr>
                <w:rFonts w:ascii="Calibri" w:hAnsi="Calibri" w:cs="Times New Roman"/>
                <w:color w:val="000000" w:themeColor="text1"/>
              </w:rPr>
            </w:pPr>
            <w:r w:rsidRPr="00125FCE">
              <w:rPr>
                <w:rFonts w:ascii="Calibri" w:hAnsi="Calibri" w:cs="Times New Roman"/>
                <w:color w:val="000000" w:themeColor="text1"/>
              </w:rPr>
              <w:lastRenderedPageBreak/>
              <w:t>Ongoing implementation</w:t>
            </w:r>
            <w:r w:rsidRPr="00125FCE">
              <w:rPr>
                <w:rFonts w:ascii="MS Mincho" w:eastAsia="MS Mincho" w:hAnsi="MS Mincho" w:cs="MS Mincho"/>
                <w:color w:val="000000" w:themeColor="text1"/>
              </w:rPr>
              <w:t> </w:t>
            </w:r>
            <w:r w:rsidRPr="00125FCE">
              <w:rPr>
                <w:rFonts w:ascii="Calibri" w:hAnsi="Calibri" w:cs="Times New Roman"/>
                <w:color w:val="000000" w:themeColor="text1"/>
              </w:rPr>
              <w:t xml:space="preserve">of EDCs is underway in the Merafong and Matlosana municipalities, where we have worked closely with suppliers, advising them on capacity building and raising business standards in order to qualify them as potential vendors. </w:t>
            </w:r>
          </w:p>
          <w:p w14:paraId="7A9A6034" w14:textId="6A25D1F4" w:rsidR="003C754A" w:rsidRDefault="003C754A" w:rsidP="003C754A">
            <w:pPr>
              <w:jc w:val="both"/>
            </w:pPr>
            <w:r w:rsidRPr="00125FCE">
              <w:rPr>
                <w:rFonts w:ascii="Calibri" w:hAnsi="Calibri" w:cs="Times New Roman"/>
                <w:color w:val="000000" w:themeColor="text1"/>
              </w:rPr>
              <w:lastRenderedPageBreak/>
              <w:t xml:space="preserve">The company continued to make a positive impact on youth development through the Youth Technical Skills Development Programme, where 750 youth from Tambo Municipality were trained in skills such as welding, bricklaying, plumbing and carpentry. </w:t>
            </w:r>
          </w:p>
        </w:tc>
      </w:tr>
      <w:tr w:rsidR="003C754A" w14:paraId="70BC1D0A" w14:textId="77777777" w:rsidTr="007A5DB0">
        <w:tc>
          <w:tcPr>
            <w:tcW w:w="2254" w:type="dxa"/>
          </w:tcPr>
          <w:p w14:paraId="649EC069" w14:textId="47F47A52" w:rsidR="003C754A" w:rsidRDefault="003C754A" w:rsidP="003C754A">
            <w:pPr>
              <w:jc w:val="both"/>
            </w:pPr>
            <w:r w:rsidRPr="00125FCE">
              <w:rPr>
                <w:rFonts w:ascii="Calibri" w:hAnsi="Calibri" w:cs="Times New Roman"/>
                <w:color w:val="000000" w:themeColor="text1"/>
              </w:rPr>
              <w:lastRenderedPageBreak/>
              <w:t xml:space="preserve">Barrick Gold-Lumwana Mine </w:t>
            </w:r>
          </w:p>
        </w:tc>
        <w:tc>
          <w:tcPr>
            <w:tcW w:w="2254" w:type="dxa"/>
          </w:tcPr>
          <w:p w14:paraId="39486EEF" w14:textId="09057F39" w:rsidR="003C754A" w:rsidRDefault="003C754A" w:rsidP="003C754A">
            <w:pPr>
              <w:jc w:val="both"/>
            </w:pPr>
            <w:r w:rsidRPr="00125FCE">
              <w:rPr>
                <w:rFonts w:ascii="Calibri" w:hAnsi="Calibri" w:cs="Times New Roman"/>
                <w:color w:val="000000" w:themeColor="text1"/>
              </w:rPr>
              <w:t>Zambia</w:t>
            </w:r>
          </w:p>
        </w:tc>
        <w:tc>
          <w:tcPr>
            <w:tcW w:w="2254" w:type="dxa"/>
          </w:tcPr>
          <w:p w14:paraId="32EE629C" w14:textId="092559AA" w:rsidR="003C754A" w:rsidRPr="00125FCE" w:rsidRDefault="003C754A" w:rsidP="003C754A">
            <w:pPr>
              <w:widowControl w:val="0"/>
              <w:autoSpaceDE w:val="0"/>
              <w:autoSpaceDN w:val="0"/>
              <w:adjustRightInd w:val="0"/>
              <w:rPr>
                <w:rFonts w:ascii="Calibri" w:hAnsi="Calibri" w:cs="Times New Roman"/>
                <w:color w:val="000000" w:themeColor="text1"/>
              </w:rPr>
            </w:pPr>
            <w:r w:rsidRPr="00125FCE">
              <w:rPr>
                <w:rFonts w:ascii="Calibri" w:hAnsi="Calibri" w:cs="Times New Roman"/>
                <w:color w:val="000000" w:themeColor="text1"/>
              </w:rPr>
              <w:t xml:space="preserve">The development of recruitment and retention programs targeted specifically at local communities has helped </w:t>
            </w:r>
            <w:r w:rsidR="00142FE0" w:rsidRPr="00125FCE">
              <w:rPr>
                <w:rFonts w:ascii="Calibri" w:hAnsi="Calibri" w:cs="Times New Roman"/>
                <w:color w:val="000000" w:themeColor="text1"/>
              </w:rPr>
              <w:t>us to</w:t>
            </w:r>
            <w:r w:rsidRPr="00125FCE">
              <w:rPr>
                <w:rFonts w:ascii="Calibri" w:hAnsi="Calibri" w:cs="Times New Roman"/>
                <w:color w:val="000000" w:themeColor="text1"/>
              </w:rPr>
              <w:t xml:space="preserve"> employ local </w:t>
            </w:r>
            <w:r w:rsidR="00142FE0" w:rsidRPr="00125FCE">
              <w:rPr>
                <w:rFonts w:ascii="Calibri" w:hAnsi="Calibri" w:cs="Times New Roman"/>
                <w:color w:val="000000" w:themeColor="text1"/>
              </w:rPr>
              <w:t>people whenever</w:t>
            </w:r>
            <w:r w:rsidRPr="00125FCE">
              <w:rPr>
                <w:rFonts w:ascii="Calibri" w:hAnsi="Calibri" w:cs="Times New Roman"/>
                <w:color w:val="000000" w:themeColor="text1"/>
              </w:rPr>
              <w:t xml:space="preserve"> possible and created a culturally appropriate work environment.</w:t>
            </w:r>
          </w:p>
          <w:p w14:paraId="7E49B749" w14:textId="77777777" w:rsidR="003C754A" w:rsidRPr="00125FCE" w:rsidRDefault="003C754A" w:rsidP="003C754A">
            <w:pPr>
              <w:widowControl w:val="0"/>
              <w:autoSpaceDE w:val="0"/>
              <w:autoSpaceDN w:val="0"/>
              <w:adjustRightInd w:val="0"/>
              <w:rPr>
                <w:rFonts w:ascii="Calibri" w:hAnsi="Calibri" w:cs="Times New Roman"/>
                <w:color w:val="000000" w:themeColor="text1"/>
              </w:rPr>
            </w:pPr>
          </w:p>
          <w:p w14:paraId="6D0969B2" w14:textId="0928808D" w:rsidR="003C754A" w:rsidRPr="00125FCE" w:rsidRDefault="003C754A" w:rsidP="003C754A">
            <w:pPr>
              <w:widowControl w:val="0"/>
              <w:autoSpaceDE w:val="0"/>
              <w:autoSpaceDN w:val="0"/>
              <w:adjustRightInd w:val="0"/>
              <w:rPr>
                <w:rFonts w:ascii="Calibri" w:hAnsi="Calibri" w:cs="Times New Roman"/>
                <w:color w:val="000000" w:themeColor="text1"/>
              </w:rPr>
            </w:pPr>
            <w:r w:rsidRPr="00125FCE">
              <w:rPr>
                <w:rFonts w:ascii="Calibri" w:hAnsi="Calibri" w:cs="Times New Roman"/>
                <w:color w:val="000000" w:themeColor="text1"/>
              </w:rPr>
              <w:t xml:space="preserve">To stimulate the economic growth in Zambia, the company has instituted </w:t>
            </w:r>
            <w:r w:rsidR="00142FE0" w:rsidRPr="00125FCE">
              <w:rPr>
                <w:rFonts w:ascii="Calibri" w:hAnsi="Calibri" w:cs="Times New Roman"/>
                <w:color w:val="000000" w:themeColor="text1"/>
              </w:rPr>
              <w:t>the Local</w:t>
            </w:r>
            <w:r w:rsidRPr="00125FCE">
              <w:rPr>
                <w:rFonts w:ascii="Calibri" w:hAnsi="Calibri" w:cs="Times New Roman"/>
                <w:color w:val="000000" w:themeColor="text1"/>
              </w:rPr>
              <w:t xml:space="preserve"> Contractor Development (LCD) programme to train local contractors in procurement practices and standards that meet Barrick’s standards. </w:t>
            </w:r>
          </w:p>
          <w:p w14:paraId="2AD4AB28" w14:textId="1D28CD60" w:rsidR="003C754A" w:rsidRDefault="003C754A" w:rsidP="003C754A">
            <w:pPr>
              <w:jc w:val="both"/>
            </w:pPr>
            <w:r w:rsidRPr="00125FCE">
              <w:rPr>
                <w:rFonts w:ascii="Calibri" w:hAnsi="Calibri" w:cs="Times New Roman"/>
                <w:color w:val="000000" w:themeColor="text1"/>
              </w:rPr>
              <w:t>As local entrepreneurs began to upgrade their capabilities through the LCD program, they began winning increasingly larger and more complex contracts from the mine.</w:t>
            </w:r>
          </w:p>
        </w:tc>
        <w:tc>
          <w:tcPr>
            <w:tcW w:w="2254" w:type="dxa"/>
          </w:tcPr>
          <w:p w14:paraId="415B8B28" w14:textId="03FCCC46" w:rsidR="003C754A" w:rsidRPr="00125FCE" w:rsidRDefault="003C754A" w:rsidP="003C754A">
            <w:pPr>
              <w:widowControl w:val="0"/>
              <w:autoSpaceDE w:val="0"/>
              <w:autoSpaceDN w:val="0"/>
              <w:adjustRightInd w:val="0"/>
              <w:rPr>
                <w:rFonts w:ascii="Calibri" w:hAnsi="Calibri" w:cs="Times New Roman"/>
                <w:color w:val="000000" w:themeColor="text1"/>
              </w:rPr>
            </w:pPr>
            <w:r w:rsidRPr="00125FCE">
              <w:rPr>
                <w:rFonts w:ascii="Calibri" w:hAnsi="Calibri" w:cs="Times New Roman"/>
                <w:color w:val="000000" w:themeColor="text1"/>
              </w:rPr>
              <w:t xml:space="preserve">In partnership with </w:t>
            </w:r>
            <w:r w:rsidR="00142FE0" w:rsidRPr="00125FCE">
              <w:rPr>
                <w:rFonts w:ascii="Calibri" w:hAnsi="Calibri" w:cs="Times New Roman"/>
                <w:color w:val="000000" w:themeColor="text1"/>
              </w:rPr>
              <w:t>the Lumwana</w:t>
            </w:r>
            <w:r w:rsidRPr="00125FCE">
              <w:rPr>
                <w:rFonts w:ascii="Calibri" w:hAnsi="Calibri" w:cs="Times New Roman"/>
                <w:color w:val="000000" w:themeColor="text1"/>
              </w:rPr>
              <w:t xml:space="preserve"> Property Development Company, Barrick constructed a new town adjacent the mine, comprising around 1,000 houses, commercial and retail areas, schools as well as sporting and healthcare facilities to accommodate 5000 mine employees and their families.</w:t>
            </w:r>
          </w:p>
          <w:p w14:paraId="6FF6489B" w14:textId="77777777" w:rsidR="003C754A" w:rsidRPr="00125FCE" w:rsidRDefault="003C754A" w:rsidP="003C754A">
            <w:pPr>
              <w:widowControl w:val="0"/>
              <w:autoSpaceDE w:val="0"/>
              <w:autoSpaceDN w:val="0"/>
              <w:adjustRightInd w:val="0"/>
              <w:rPr>
                <w:rFonts w:ascii="Calibri" w:hAnsi="Calibri" w:cs="Times New Roman"/>
                <w:color w:val="000000" w:themeColor="text1"/>
              </w:rPr>
            </w:pPr>
          </w:p>
          <w:p w14:paraId="564C62A9" w14:textId="77777777" w:rsidR="003C754A" w:rsidRPr="00125FCE" w:rsidRDefault="003C754A" w:rsidP="003C754A">
            <w:pPr>
              <w:widowControl w:val="0"/>
              <w:autoSpaceDE w:val="0"/>
              <w:autoSpaceDN w:val="0"/>
              <w:adjustRightInd w:val="0"/>
              <w:rPr>
                <w:rFonts w:ascii="Calibri" w:hAnsi="Calibri" w:cs="Times New Roman"/>
                <w:color w:val="000000" w:themeColor="text1"/>
              </w:rPr>
            </w:pPr>
            <w:r w:rsidRPr="00125FCE">
              <w:rPr>
                <w:rFonts w:ascii="Calibri" w:hAnsi="Calibri" w:cs="Times New Roman"/>
                <w:color w:val="000000" w:themeColor="text1"/>
              </w:rPr>
              <w:t>Through the Lumwana Development Trust Fund</w:t>
            </w:r>
          </w:p>
          <w:p w14:paraId="3BB6D953" w14:textId="632E2F90" w:rsidR="003C754A" w:rsidRDefault="003C754A" w:rsidP="003C754A">
            <w:pPr>
              <w:jc w:val="both"/>
            </w:pPr>
            <w:r w:rsidRPr="00125FCE">
              <w:rPr>
                <w:rFonts w:ascii="Calibri" w:hAnsi="Calibri" w:cs="Times New Roman"/>
                <w:color w:val="000000" w:themeColor="text1"/>
              </w:rPr>
              <w:t xml:space="preserve">Barrick formally unveiled 22 </w:t>
            </w:r>
            <w:r w:rsidR="00142FE0" w:rsidRPr="00125FCE">
              <w:rPr>
                <w:rFonts w:ascii="Calibri" w:hAnsi="Calibri" w:cs="Times New Roman"/>
                <w:color w:val="000000" w:themeColor="text1"/>
              </w:rPr>
              <w:t>projects which</w:t>
            </w:r>
            <w:r w:rsidRPr="00125FCE">
              <w:rPr>
                <w:rFonts w:ascii="Calibri" w:hAnsi="Calibri" w:cs="Times New Roman"/>
                <w:color w:val="000000" w:themeColor="text1"/>
              </w:rPr>
              <w:t xml:space="preserve"> include schools, staff houses, rural health </w:t>
            </w:r>
            <w:r w:rsidR="00142FE0" w:rsidRPr="00125FCE">
              <w:rPr>
                <w:rFonts w:ascii="Calibri" w:hAnsi="Calibri" w:cs="Times New Roman"/>
                <w:color w:val="000000" w:themeColor="text1"/>
              </w:rPr>
              <w:t>centres</w:t>
            </w:r>
            <w:r w:rsidRPr="00125FCE">
              <w:rPr>
                <w:rFonts w:ascii="Calibri" w:hAnsi="Calibri" w:cs="Times New Roman"/>
                <w:color w:val="000000" w:themeColor="text1"/>
              </w:rPr>
              <w:t xml:space="preserve"> and several production </w:t>
            </w:r>
            <w:r w:rsidR="00142FE0" w:rsidRPr="00125FCE">
              <w:rPr>
                <w:rFonts w:ascii="Calibri" w:hAnsi="Calibri" w:cs="Times New Roman"/>
                <w:color w:val="000000" w:themeColor="text1"/>
              </w:rPr>
              <w:t>centres</w:t>
            </w:r>
            <w:r w:rsidRPr="00125FCE">
              <w:rPr>
                <w:rFonts w:ascii="Calibri" w:hAnsi="Calibri" w:cs="Times New Roman"/>
                <w:color w:val="000000" w:themeColor="text1"/>
              </w:rPr>
              <w:t xml:space="preserve"> that provide employment opportunities to women.</w:t>
            </w:r>
          </w:p>
        </w:tc>
      </w:tr>
    </w:tbl>
    <w:p w14:paraId="7174D745" w14:textId="00EB09E9" w:rsidR="0011289E" w:rsidRPr="0011289E" w:rsidRDefault="0011289E" w:rsidP="0011289E">
      <w:pPr>
        <w:pStyle w:val="Heading1"/>
        <w:spacing w:before="0" w:beforeAutospacing="0" w:after="0" w:afterAutospacing="0"/>
        <w:jc w:val="both"/>
        <w:rPr>
          <w:rFonts w:ascii="Calibri" w:hAnsi="Calibri"/>
          <w:b w:val="0"/>
          <w:sz w:val="22"/>
          <w:szCs w:val="22"/>
        </w:rPr>
      </w:pPr>
      <w:r w:rsidRPr="0011289E">
        <w:rPr>
          <w:rFonts w:ascii="Calibri" w:hAnsi="Calibri"/>
          <w:b w:val="0"/>
          <w:i/>
          <w:sz w:val="22"/>
          <w:szCs w:val="22"/>
        </w:rPr>
        <w:t>Sources</w:t>
      </w:r>
      <w:r w:rsidRPr="0011289E">
        <w:rPr>
          <w:rFonts w:ascii="Calibri" w:hAnsi="Calibri"/>
          <w:b w:val="0"/>
          <w:sz w:val="22"/>
          <w:szCs w:val="22"/>
        </w:rPr>
        <w:t xml:space="preserve">: </w:t>
      </w:r>
      <w:r w:rsidR="00D942C4">
        <w:rPr>
          <w:rFonts w:ascii="Calibri" w:hAnsi="Calibri"/>
          <w:b w:val="0"/>
          <w:sz w:val="22"/>
          <w:szCs w:val="22"/>
        </w:rPr>
        <w:t xml:space="preserve">Data extracted from </w:t>
      </w:r>
      <w:r w:rsidRPr="0011289E">
        <w:rPr>
          <w:rFonts w:ascii="Calibri" w:hAnsi="Calibri"/>
          <w:b w:val="0"/>
          <w:sz w:val="22"/>
          <w:szCs w:val="22"/>
        </w:rPr>
        <w:t>Acacia Mining Plc, 2016; Barrick Gold Corporation, 2016; B2Gold Corporation, 2016; IamGold Corporation, 2016; Newmont Mining Corporation, 2016b; AngloGold Ashanti, 2014, 2015; Espang, 2014; Centre for International Studies and Corporation, 2012</w:t>
      </w:r>
    </w:p>
    <w:p w14:paraId="3B742323" w14:textId="77777777" w:rsidR="0011289E" w:rsidRPr="007A5DB0" w:rsidRDefault="0011289E" w:rsidP="0058514B">
      <w:pPr>
        <w:spacing w:after="0"/>
        <w:jc w:val="both"/>
      </w:pPr>
    </w:p>
    <w:p w14:paraId="6332A9EC" w14:textId="19A9F9E5" w:rsidR="00011110" w:rsidRDefault="00011110" w:rsidP="0058514B">
      <w:pPr>
        <w:spacing w:after="0"/>
        <w:jc w:val="both"/>
      </w:pPr>
      <w:r>
        <w:t xml:space="preserve">The next section of the </w:t>
      </w:r>
      <w:r w:rsidR="001218FC">
        <w:t>paper</w:t>
      </w:r>
      <w:r>
        <w:t xml:space="preserve"> builds on these points, drawing on </w:t>
      </w:r>
      <w:r w:rsidR="00B35EF8">
        <w:t xml:space="preserve">the case of </w:t>
      </w:r>
      <w:r>
        <w:t>Ghana.</w:t>
      </w:r>
    </w:p>
    <w:p w14:paraId="0650AE93" w14:textId="77777777" w:rsidR="00011110" w:rsidRPr="00D942C4" w:rsidRDefault="00011110" w:rsidP="0058514B">
      <w:pPr>
        <w:spacing w:after="0"/>
        <w:jc w:val="both"/>
        <w:rPr>
          <w:b/>
        </w:rPr>
      </w:pPr>
    </w:p>
    <w:p w14:paraId="68DEBA56" w14:textId="0960F748" w:rsidR="001E5762" w:rsidRPr="00D942C4" w:rsidRDefault="001E5762" w:rsidP="00D942C4">
      <w:pPr>
        <w:pStyle w:val="ListParagraph"/>
        <w:numPr>
          <w:ilvl w:val="0"/>
          <w:numId w:val="16"/>
        </w:numPr>
        <w:spacing w:after="0"/>
        <w:jc w:val="both"/>
        <w:rPr>
          <w:b/>
        </w:rPr>
      </w:pPr>
      <w:r w:rsidRPr="00D942C4">
        <w:rPr>
          <w:b/>
        </w:rPr>
        <w:t xml:space="preserve">The Case of Ghana      </w:t>
      </w:r>
    </w:p>
    <w:p w14:paraId="3000F0C0" w14:textId="77777777" w:rsidR="006F79CA" w:rsidRDefault="006F79CA" w:rsidP="001E5762">
      <w:pPr>
        <w:spacing w:after="0"/>
        <w:jc w:val="both"/>
      </w:pPr>
    </w:p>
    <w:p w14:paraId="5408CD5A" w14:textId="4D67A1B7" w:rsidR="00AD3ED8" w:rsidRDefault="000A4844" w:rsidP="001E5762">
      <w:pPr>
        <w:spacing w:after="0"/>
        <w:jc w:val="both"/>
      </w:pPr>
      <w:r>
        <w:t xml:space="preserve">Ghana has long been a major mineral producer.  Apart from hosting rich reserves of manganese and bauxite, </w:t>
      </w:r>
      <w:r w:rsidR="00C031C3">
        <w:t>to date, it has produced more</w:t>
      </w:r>
      <w:r>
        <w:t xml:space="preserve"> rough diamonds</w:t>
      </w:r>
      <w:r w:rsidR="00C031C3">
        <w:t xml:space="preserve"> than any other country in West Africa.  It has, however,</w:t>
      </w:r>
      <w:r>
        <w:t xml:space="preserve"> been </w:t>
      </w:r>
      <w:r w:rsidR="00C031C3">
        <w:t xml:space="preserve">mostly </w:t>
      </w:r>
      <w:r>
        <w:t xml:space="preserve">associated with the mining of gold, and today, </w:t>
      </w:r>
      <w:r w:rsidR="00AD3ED8">
        <w:t>ranks as</w:t>
      </w:r>
      <w:r>
        <w:t xml:space="preserve"> the second largest producer of the metal in sub-Saharan Africa and </w:t>
      </w:r>
      <w:r w:rsidR="00AD3ED8">
        <w:t xml:space="preserve">tenth </w:t>
      </w:r>
      <w:r>
        <w:t xml:space="preserve">largest </w:t>
      </w:r>
      <w:r w:rsidR="00B35EF8">
        <w:t xml:space="preserve">producer </w:t>
      </w:r>
      <w:r w:rsidR="00AD3ED8">
        <w:t>in the world</w:t>
      </w:r>
      <w:r>
        <w:t>.</w:t>
      </w:r>
      <w:r w:rsidR="000113CF">
        <w:t xml:space="preserve">  </w:t>
      </w:r>
    </w:p>
    <w:p w14:paraId="07C39CE4" w14:textId="76669B9C" w:rsidR="000113CF" w:rsidRDefault="000113CF" w:rsidP="001E5762">
      <w:pPr>
        <w:spacing w:after="0"/>
        <w:jc w:val="both"/>
      </w:pPr>
    </w:p>
    <w:p w14:paraId="4A90B6EA" w14:textId="108E7DE1" w:rsidR="00837EBE" w:rsidRPr="008A2D84" w:rsidRDefault="00C45241" w:rsidP="001E5762">
      <w:pPr>
        <w:spacing w:after="0"/>
        <w:jc w:val="both"/>
      </w:pPr>
      <w:r>
        <w:t xml:space="preserve">These achievements are owed largely to a series of tax breaks, enshrined initially in the </w:t>
      </w:r>
      <w:r>
        <w:rPr>
          <w:i/>
        </w:rPr>
        <w:t xml:space="preserve">Minerals and Mining Law </w:t>
      </w:r>
      <w:r>
        <w:t xml:space="preserve">(PNDCL 153), 1986.  </w:t>
      </w:r>
      <w:r w:rsidR="00C031C3">
        <w:t>Under the guidance of the World Bank and IMF and implemented alongside an ambitious Economic Recov</w:t>
      </w:r>
      <w:r w:rsidR="004B242C">
        <w:t xml:space="preserve">ery Program, the law sought to revitalize Ghana’s </w:t>
      </w:r>
      <w:r w:rsidR="004B242C">
        <w:rPr>
          <w:i/>
        </w:rPr>
        <w:t xml:space="preserve">hitherto </w:t>
      </w:r>
      <w:r w:rsidR="004B242C">
        <w:t>deteriorating</w:t>
      </w:r>
      <w:r w:rsidR="006F79CA">
        <w:t xml:space="preserve"> mining sector.  I</w:t>
      </w:r>
      <w:r w:rsidR="004B242C">
        <w:t xml:space="preserve">ts designers </w:t>
      </w:r>
      <w:r w:rsidR="00B35EF8">
        <w:t xml:space="preserve">believed </w:t>
      </w:r>
      <w:r w:rsidR="004B242C">
        <w:t xml:space="preserve">that these generous investment incentives would lure </w:t>
      </w:r>
      <w:r>
        <w:t>foreign multinational mining and mineral exp</w:t>
      </w:r>
      <w:r w:rsidR="004B242C">
        <w:t xml:space="preserve">loration companies to the country’s shores.  Success was instantaneous: </w:t>
      </w:r>
      <w:r w:rsidR="00C455EB">
        <w:t>according to government records, during the period 1983-1998</w:t>
      </w:r>
      <w:r w:rsidR="00403BB8">
        <w:t xml:space="preserve"> alone</w:t>
      </w:r>
      <w:r w:rsidR="00C455EB">
        <w:t>, US$4 billion in private investment capital was injected into the mining sector for mineral exploration, and for the establishment of new mines as well as in the expansion and rehabilitation of already existing operations</w:t>
      </w:r>
      <w:r w:rsidR="004B792C">
        <w:t xml:space="preserve"> (Aryee, 2001)</w:t>
      </w:r>
      <w:r w:rsidR="00C455EB">
        <w:t>.</w:t>
      </w:r>
      <w:r w:rsidR="00403BB8">
        <w:t xml:space="preserve">  </w:t>
      </w:r>
      <w:r w:rsidR="004A333E">
        <w:t>In 2006, the country</w:t>
      </w:r>
      <w:r w:rsidR="00357BC9">
        <w:t xml:space="preserve"> implemented a more comprehensive piece of mining legislation, </w:t>
      </w:r>
      <w:r w:rsidR="00837EBE">
        <w:rPr>
          <w:i/>
        </w:rPr>
        <w:t xml:space="preserve">The </w:t>
      </w:r>
      <w:r w:rsidR="009A42CF">
        <w:rPr>
          <w:i/>
        </w:rPr>
        <w:t xml:space="preserve">Minerals and </w:t>
      </w:r>
      <w:r w:rsidR="00837EBE">
        <w:rPr>
          <w:i/>
        </w:rPr>
        <w:t xml:space="preserve">Mining </w:t>
      </w:r>
      <w:r w:rsidR="009A42CF">
        <w:rPr>
          <w:i/>
        </w:rPr>
        <w:t>Act</w:t>
      </w:r>
      <w:r w:rsidR="00837EBE">
        <w:t xml:space="preserve">, and </w:t>
      </w:r>
      <w:r w:rsidR="00B63FE7">
        <w:t>more recently</w:t>
      </w:r>
      <w:r w:rsidR="00837EBE">
        <w:t xml:space="preserve">, </w:t>
      </w:r>
      <w:r w:rsidR="00B63FE7">
        <w:t xml:space="preserve">passed </w:t>
      </w:r>
      <w:r w:rsidR="00837EBE">
        <w:t xml:space="preserve">the </w:t>
      </w:r>
      <w:r w:rsidR="008A2D84">
        <w:rPr>
          <w:i/>
        </w:rPr>
        <w:t>Minerals and Mining Amendment Act 2010</w:t>
      </w:r>
      <w:r w:rsidR="004F36E3">
        <w:t>.  T</w:t>
      </w:r>
      <w:r w:rsidR="00C81B17">
        <w:t>he</w:t>
      </w:r>
      <w:r w:rsidR="004F36E3">
        <w:t xml:space="preserve"> </w:t>
      </w:r>
      <w:r w:rsidR="00C81B17">
        <w:t xml:space="preserve">latter </w:t>
      </w:r>
      <w:r w:rsidR="004F36E3">
        <w:t>raised</w:t>
      </w:r>
      <w:r w:rsidR="00C81B17">
        <w:t xml:space="preserve"> the royalty on profits from 3 to 5 percent</w:t>
      </w:r>
      <w:r w:rsidR="00FD6D1F">
        <w:t xml:space="preserve">.  </w:t>
      </w:r>
      <w:r w:rsidR="002F4AF5">
        <w:t>A</w:t>
      </w:r>
      <w:r w:rsidR="00F90324">
        <w:t>t the time of writing, there</w:t>
      </w:r>
      <w:r w:rsidR="00EF0D56">
        <w:t xml:space="preserve"> were 11 operational gold mines and 230 </w:t>
      </w:r>
      <w:r w:rsidR="006F79CA">
        <w:t>active prospecting</w:t>
      </w:r>
      <w:r w:rsidR="00EF0D56">
        <w:t xml:space="preserve"> licenses</w:t>
      </w:r>
      <w:r w:rsidR="006F79CA">
        <w:t>.</w:t>
      </w:r>
    </w:p>
    <w:p w14:paraId="534EA2E0" w14:textId="1F6A42C8" w:rsidR="00C455EB" w:rsidRDefault="00357BC9" w:rsidP="001E5762">
      <w:pPr>
        <w:spacing w:after="0"/>
        <w:jc w:val="both"/>
      </w:pPr>
      <w:r>
        <w:t xml:space="preserve">                                  </w:t>
      </w:r>
    </w:p>
    <w:p w14:paraId="28A0DC12" w14:textId="1FF601FC" w:rsidR="00C455EB" w:rsidRPr="009A42CF" w:rsidRDefault="009A42CF" w:rsidP="001E5762">
      <w:pPr>
        <w:spacing w:after="0"/>
        <w:jc w:val="both"/>
      </w:pPr>
      <w:r w:rsidRPr="009A42CF">
        <w:t>The focus here</w:t>
      </w:r>
      <w:r w:rsidR="002F4AF5">
        <w:t xml:space="preserve"> is</w:t>
      </w:r>
      <w:r w:rsidR="006F79CA" w:rsidRPr="009A42CF">
        <w:t xml:space="preserve"> on actions taken in </w:t>
      </w:r>
      <w:r w:rsidR="004F36E3">
        <w:t>the</w:t>
      </w:r>
      <w:r w:rsidR="006F79CA" w:rsidRPr="009A42CF">
        <w:t xml:space="preserve"> CSR </w:t>
      </w:r>
      <w:r w:rsidR="004F36E3">
        <w:t xml:space="preserve">sphere </w:t>
      </w:r>
      <w:r w:rsidR="006F79CA" w:rsidRPr="009A42CF">
        <w:t>at the country’s gold mines, specifically, how their managers have conceptualized</w:t>
      </w:r>
      <w:r w:rsidR="002F4AF5">
        <w:t xml:space="preserve"> and</w:t>
      </w:r>
      <w:r w:rsidR="004F36E3">
        <w:t xml:space="preserve"> </w:t>
      </w:r>
      <w:r w:rsidR="006F79CA" w:rsidRPr="009A42CF">
        <w:t>‘operationalized’ it in recent decades.  It follows the points raised in the previous section, illustrating further how experiences in the colonial period helped to cultivate the current culture of CSR in the country’s mining sector.</w:t>
      </w:r>
      <w:r w:rsidRPr="009A42CF">
        <w:t xml:space="preserve">  In doing so, it focuses on two </w:t>
      </w:r>
      <w:r w:rsidR="001052C2">
        <w:t xml:space="preserve">of the aforementioned </w:t>
      </w:r>
      <w:r w:rsidRPr="009A42CF">
        <w:t>areas: local employment and local economic development.</w:t>
      </w:r>
    </w:p>
    <w:p w14:paraId="4035B428" w14:textId="113C347A" w:rsidR="005F1DF8" w:rsidRDefault="005F1DF8" w:rsidP="001E5762">
      <w:pPr>
        <w:spacing w:after="0"/>
        <w:jc w:val="both"/>
      </w:pPr>
    </w:p>
    <w:p w14:paraId="4096212C" w14:textId="78EDE745" w:rsidR="006F79CA" w:rsidRPr="00D942C4" w:rsidRDefault="006F79CA" w:rsidP="00D942C4">
      <w:pPr>
        <w:pStyle w:val="ListParagraph"/>
        <w:numPr>
          <w:ilvl w:val="1"/>
          <w:numId w:val="16"/>
        </w:numPr>
        <w:spacing w:after="0"/>
        <w:jc w:val="both"/>
        <w:rPr>
          <w:b/>
          <w:i/>
        </w:rPr>
      </w:pPr>
      <w:r w:rsidRPr="00D942C4">
        <w:rPr>
          <w:b/>
          <w:i/>
        </w:rPr>
        <w:t xml:space="preserve">Large-scale mining as </w:t>
      </w:r>
      <w:r w:rsidR="00135AE3" w:rsidRPr="00D942C4">
        <w:rPr>
          <w:b/>
          <w:i/>
        </w:rPr>
        <w:t>an employment engine</w:t>
      </w:r>
    </w:p>
    <w:p w14:paraId="1D44CC28" w14:textId="77777777" w:rsidR="00583FA5" w:rsidRDefault="00583FA5" w:rsidP="001E5762">
      <w:pPr>
        <w:spacing w:after="0"/>
        <w:jc w:val="both"/>
      </w:pPr>
    </w:p>
    <w:p w14:paraId="554E10E4" w14:textId="40B094BC" w:rsidR="004A3E65" w:rsidRPr="005439D1" w:rsidRDefault="00E14625" w:rsidP="001E5762">
      <w:pPr>
        <w:spacing w:after="0"/>
        <w:jc w:val="both"/>
      </w:pPr>
      <w:r w:rsidRPr="005439D1">
        <w:t>Ghana’s major gold mine operators have not shied away from communicating publicly their efforts to facili</w:t>
      </w:r>
      <w:r w:rsidR="002151CB" w:rsidRPr="005439D1">
        <w:t xml:space="preserve">tate local economic development.  Media coverage of schemes and policies implemented by mining companies aimed at improving the infrastructure </w:t>
      </w:r>
      <w:r w:rsidR="005439D1" w:rsidRPr="009E0576">
        <w:t xml:space="preserve">in, </w:t>
      </w:r>
      <w:r w:rsidR="002151CB" w:rsidRPr="005439D1">
        <w:t xml:space="preserve">and economic prospects </w:t>
      </w:r>
      <w:r w:rsidR="005439D1" w:rsidRPr="009E0576">
        <w:t>for,</w:t>
      </w:r>
      <w:r w:rsidR="002151CB" w:rsidRPr="005439D1">
        <w:t xml:space="preserve"> surrounding localities began </w:t>
      </w:r>
      <w:r w:rsidR="009D65B3" w:rsidRPr="005439D1">
        <w:t xml:space="preserve">to intensify in the mid-2000s.  It was </w:t>
      </w:r>
      <w:r w:rsidR="004F36E3" w:rsidRPr="005439D1">
        <w:t xml:space="preserve">at </w:t>
      </w:r>
      <w:r w:rsidR="009D65B3" w:rsidRPr="005439D1">
        <w:t xml:space="preserve">about this time that the price of gold began to </w:t>
      </w:r>
      <w:r w:rsidR="00FD16D4" w:rsidRPr="005439D1">
        <w:t>rise</w:t>
      </w:r>
      <w:r w:rsidR="009D65B3" w:rsidRPr="005439D1">
        <w:t>, fuelling marked increases in m</w:t>
      </w:r>
      <w:r w:rsidR="00CD3BAD" w:rsidRPr="005439D1">
        <w:t>ine production across</w:t>
      </w:r>
      <w:r w:rsidR="009D65B3" w:rsidRPr="005439D1">
        <w:t xml:space="preserve"> the globe.</w:t>
      </w:r>
      <w:r w:rsidR="00CD3BAD" w:rsidRPr="005439D1">
        <w:t xml:space="preserve">  Ghana benefitted enormously from the increased gold price</w:t>
      </w:r>
      <w:r w:rsidR="00BA5F37" w:rsidRPr="005439D1">
        <w:t xml:space="preserve">: its Chirano Mine, now owned by Canadian-based Kinross, </w:t>
      </w:r>
      <w:r w:rsidR="004A3E65" w:rsidRPr="005439D1">
        <w:t>opened</w:t>
      </w:r>
      <w:r w:rsidR="00BA5F37" w:rsidRPr="005439D1">
        <w:t xml:space="preserve"> in 2005; Newmont’s flagship Ahafo Mine began production in 2006; and AngloGold Ashanti’s Obuasi </w:t>
      </w:r>
      <w:r w:rsidR="004A3E65" w:rsidRPr="005439D1">
        <w:t xml:space="preserve">Mine, which, because of its underground design, has always </w:t>
      </w:r>
      <w:r w:rsidR="004F36E3" w:rsidRPr="005439D1">
        <w:t>had</w:t>
      </w:r>
      <w:r w:rsidR="004A3E65" w:rsidRPr="005439D1">
        <w:t xml:space="preserve"> high operational costs, experienced a surge in profits.</w:t>
      </w:r>
      <w:r w:rsidR="00C72E02" w:rsidRPr="005439D1">
        <w:t xml:space="preserve">  </w:t>
      </w:r>
      <w:r w:rsidR="00A67653" w:rsidRPr="005439D1">
        <w:t>The</w:t>
      </w:r>
      <w:r w:rsidR="00C72E02" w:rsidRPr="005439D1">
        <w:t xml:space="preserve"> increase in production at this time was pronounced, and despite having stabilization agreements in place with both Newmont and AngloGold Ashanti, negotiated </w:t>
      </w:r>
      <w:r w:rsidR="009A42CF" w:rsidRPr="005439D1">
        <w:t xml:space="preserve">at a time </w:t>
      </w:r>
      <w:r w:rsidR="00C72E02" w:rsidRPr="005439D1">
        <w:t xml:space="preserve">when the gold price was very low, the </w:t>
      </w:r>
      <w:r w:rsidR="00F80329" w:rsidRPr="005439D1">
        <w:t>quantity</w:t>
      </w:r>
      <w:r w:rsidR="00C72E02" w:rsidRPr="005439D1">
        <w:t xml:space="preserve"> of royalties collected by the government </w:t>
      </w:r>
      <w:r w:rsidR="00F80329" w:rsidRPr="005439D1">
        <w:t xml:space="preserve">rose precipitously.  This was a pivotal time because it set the stage for what has been, for the most part, a rather unimpressive period of </w:t>
      </w:r>
      <w:r w:rsidR="009A42CF" w:rsidRPr="005439D1">
        <w:t xml:space="preserve">mining </w:t>
      </w:r>
      <w:r w:rsidR="00F80329" w:rsidRPr="005439D1">
        <w:t xml:space="preserve">CSR </w:t>
      </w:r>
      <w:r w:rsidR="009A42CF" w:rsidRPr="005439D1">
        <w:t>in Ghana</w:t>
      </w:r>
      <w:r w:rsidR="00F80329" w:rsidRPr="005439D1">
        <w:t>.</w:t>
      </w:r>
    </w:p>
    <w:p w14:paraId="46E25867" w14:textId="746636EA" w:rsidR="00F80329" w:rsidRDefault="00F80329" w:rsidP="001E5762">
      <w:pPr>
        <w:spacing w:after="0"/>
        <w:jc w:val="both"/>
      </w:pPr>
    </w:p>
    <w:p w14:paraId="336118E2" w14:textId="2180CC83" w:rsidR="003E7DA3" w:rsidRDefault="00FC5816" w:rsidP="001E5762">
      <w:pPr>
        <w:spacing w:after="0"/>
        <w:jc w:val="both"/>
      </w:pPr>
      <w:r>
        <w:t>This differs markedly</w:t>
      </w:r>
      <w:r w:rsidR="007863FE">
        <w:t xml:space="preserve"> from </w:t>
      </w:r>
      <w:r w:rsidR="00E713CC">
        <w:t xml:space="preserve">what </w:t>
      </w:r>
      <w:r>
        <w:t>had reportedly</w:t>
      </w:r>
      <w:r w:rsidR="00E713CC">
        <w:t xml:space="preserve"> taken place in the former Gold Coast Colony </w:t>
      </w:r>
      <w:r>
        <w:t xml:space="preserve">and </w:t>
      </w:r>
      <w:r w:rsidR="004F36E3">
        <w:t>during the years following country independence</w:t>
      </w:r>
      <w:r w:rsidR="00634CD5">
        <w:t xml:space="preserve">, although the </w:t>
      </w:r>
      <w:r w:rsidR="007863FE">
        <w:t>circumstances were, understandably,</w:t>
      </w:r>
      <w:r w:rsidR="00634CD5">
        <w:t xml:space="preserve"> very different.  T</w:t>
      </w:r>
      <w:r w:rsidR="00586F30">
        <w:t xml:space="preserve">he </w:t>
      </w:r>
      <w:r w:rsidR="00192362">
        <w:t>newly-established mines in the locality of Tarkwa in the Western Region and Obuasi in the Ashanti Region of the</w:t>
      </w:r>
      <w:r w:rsidR="00586F30">
        <w:t xml:space="preserve"> Gold Coast</w:t>
      </w:r>
      <w:r w:rsidR="005439D1">
        <w:t xml:space="preserve"> had acute</w:t>
      </w:r>
      <w:r w:rsidR="00586F30">
        <w:t xml:space="preserve"> labour</w:t>
      </w:r>
      <w:r w:rsidR="004F36E3">
        <w:t xml:space="preserve"> shortages</w:t>
      </w:r>
      <w:r w:rsidR="00586F30">
        <w:t>.</w:t>
      </w:r>
      <w:r w:rsidR="003E7DA3">
        <w:t xml:space="preserve">  This problem, or what </w:t>
      </w:r>
      <w:r w:rsidR="003E7DA3">
        <w:lastRenderedPageBreak/>
        <w:t>was fittingly labelled the ‘labour question’</w:t>
      </w:r>
      <w:r w:rsidR="00634CD5">
        <w:t xml:space="preserve">, </w:t>
      </w:r>
      <w:r w:rsidR="004F36E3">
        <w:t>had</w:t>
      </w:r>
      <w:r w:rsidR="00C6785F">
        <w:t>, as Crisp</w:t>
      </w:r>
      <w:r w:rsidR="003E7DA3">
        <w:t xml:space="preserve"> </w:t>
      </w:r>
      <w:r w:rsidR="00C6785F">
        <w:t>(1984) explains,</w:t>
      </w:r>
      <w:r w:rsidR="003E7DA3">
        <w:t xml:space="preserve"> be</w:t>
      </w:r>
      <w:r w:rsidR="004F36E3">
        <w:t>come</w:t>
      </w:r>
      <w:r w:rsidR="003E7DA3">
        <w:t xml:space="preserve"> </w:t>
      </w:r>
      <w:r w:rsidR="004F36E3">
        <w:t>visible</w:t>
      </w:r>
      <w:r w:rsidR="003E7DA3">
        <w:t xml:space="preserve"> during the </w:t>
      </w:r>
      <w:r w:rsidR="00634CD5">
        <w:t xml:space="preserve">colony’s </w:t>
      </w:r>
      <w:r w:rsidR="003E7DA3">
        <w:t>‘jungle boom’ of the 1880s.</w:t>
      </w:r>
    </w:p>
    <w:p w14:paraId="13D472BF" w14:textId="1B451E1D" w:rsidR="00034E06" w:rsidRDefault="003E7DA3" w:rsidP="001E5762">
      <w:pPr>
        <w:spacing w:after="0"/>
        <w:jc w:val="both"/>
      </w:pPr>
      <w:r>
        <w:t xml:space="preserve"> </w:t>
      </w:r>
      <w:r w:rsidR="00034E06">
        <w:t xml:space="preserve">  </w:t>
      </w:r>
    </w:p>
    <w:p w14:paraId="627EA5DA" w14:textId="60D35E58" w:rsidR="00C6785F" w:rsidRDefault="00645F6E" w:rsidP="00730BAC">
      <w:pPr>
        <w:spacing w:after="0" w:line="240" w:lineRule="auto"/>
        <w:ind w:left="567"/>
        <w:jc w:val="both"/>
        <w:rPr>
          <w:rFonts w:eastAsia="TimesNewRoman" w:cs="TimesNewRoman"/>
        </w:rPr>
      </w:pPr>
      <w:r w:rsidRPr="00E82A4B">
        <w:t xml:space="preserve">A </w:t>
      </w:r>
      <w:r w:rsidRPr="00E82A4B">
        <w:rPr>
          <w:rFonts w:eastAsia="TimesNewRoman" w:cs="TimesNewRoman"/>
        </w:rPr>
        <w:t xml:space="preserve">number of obstacles confronted the first mining companies…The most important obstacle to the development of modern mining was what became known amongst British entrepreneurs and investors as the 'labour question'…What exactly was the labour question?...mining capital wanted three things: a regular and adequate supply of native workers; a labour force that was </w:t>
      </w:r>
      <w:r w:rsidR="00E82A4B" w:rsidRPr="00E82A4B">
        <w:rPr>
          <w:rFonts w:eastAsia="TimesNewRoman" w:cs="TimesNewRoman"/>
        </w:rPr>
        <w:t xml:space="preserve">efficient and reliable, and one </w:t>
      </w:r>
      <w:r w:rsidRPr="00E82A4B">
        <w:rPr>
          <w:rFonts w:eastAsia="TimesNewRoman" w:cs="TimesNewRoman"/>
        </w:rPr>
        <w:t>that was willing to work for lo</w:t>
      </w:r>
      <w:r w:rsidR="00E82A4B" w:rsidRPr="00E82A4B">
        <w:rPr>
          <w:rFonts w:eastAsia="TimesNewRoman" w:cs="TimesNewRoman"/>
        </w:rPr>
        <w:t xml:space="preserve">w wages. These demands, and the </w:t>
      </w:r>
      <w:r w:rsidRPr="00E82A4B">
        <w:rPr>
          <w:rFonts w:eastAsia="TimesNewRoman" w:cs="TimesNewRoman"/>
        </w:rPr>
        <w:t>failure of the mining industry t</w:t>
      </w:r>
      <w:r w:rsidR="00E82A4B" w:rsidRPr="00E82A4B">
        <w:rPr>
          <w:rFonts w:eastAsia="TimesNewRoman" w:cs="TimesNewRoman"/>
        </w:rPr>
        <w:t xml:space="preserve">o satisfy them, constituted the </w:t>
      </w:r>
      <w:r w:rsidRPr="00E82A4B">
        <w:rPr>
          <w:rFonts w:eastAsia="TimesNewRoman" w:cs="TimesNewRoman"/>
        </w:rPr>
        <w:t>labour question of the late 19th Centur</w:t>
      </w:r>
      <w:r w:rsidR="00E82A4B" w:rsidRPr="00E82A4B">
        <w:rPr>
          <w:rFonts w:eastAsia="TimesNewRoman" w:cs="TimesNewRoman"/>
        </w:rPr>
        <w:t>y…[p. 19-20]</w:t>
      </w:r>
    </w:p>
    <w:p w14:paraId="27D7471D" w14:textId="08CFE1A8" w:rsidR="00E144E7" w:rsidRDefault="00E144E7" w:rsidP="00730BAC">
      <w:pPr>
        <w:spacing w:after="0" w:line="240" w:lineRule="auto"/>
        <w:ind w:left="567"/>
        <w:jc w:val="both"/>
        <w:rPr>
          <w:rFonts w:eastAsia="TimesNewRoman" w:cs="TimesNewRoman"/>
        </w:rPr>
      </w:pPr>
    </w:p>
    <w:p w14:paraId="6C164C87" w14:textId="65328B70" w:rsidR="005C1ECA" w:rsidRDefault="00EA6628" w:rsidP="00E144E7">
      <w:pPr>
        <w:spacing w:after="0" w:line="240" w:lineRule="auto"/>
        <w:jc w:val="both"/>
        <w:rPr>
          <w:rFonts w:eastAsia="TimesNewRoman" w:cs="TimesNewRoman"/>
        </w:rPr>
      </w:pPr>
      <w:r>
        <w:rPr>
          <w:rFonts w:eastAsia="TimesNewRoman" w:cs="TimesNewRoman"/>
        </w:rPr>
        <w:t>By the turn of the centur</w:t>
      </w:r>
      <w:r w:rsidR="009456D5">
        <w:rPr>
          <w:rFonts w:eastAsia="TimesNewRoman" w:cs="TimesNewRoman"/>
        </w:rPr>
        <w:t xml:space="preserve">y, the </w:t>
      </w:r>
      <w:r w:rsidR="00634CD5">
        <w:rPr>
          <w:rFonts w:eastAsia="TimesNewRoman" w:cs="TimesNewRoman"/>
        </w:rPr>
        <w:t>problem</w:t>
      </w:r>
      <w:r w:rsidR="009456D5">
        <w:rPr>
          <w:rFonts w:eastAsia="TimesNewRoman" w:cs="TimesNewRoman"/>
        </w:rPr>
        <w:t xml:space="preserve"> was very real.  Pioneering industrialists and supporters of the mining sector believed that an additional 12,000 labourers, as well as laws, compounds and a Native Labour Association capable of recruiting workers, was needed.</w:t>
      </w:r>
      <w:r w:rsidR="004C6792">
        <w:rPr>
          <w:rFonts w:eastAsia="TimesNewRoman" w:cs="TimesNewRoman"/>
        </w:rPr>
        <w:t xml:space="preserve">  In line with the general literature on mining in sub-Saharan Africa during the colon</w:t>
      </w:r>
      <w:r w:rsidR="00634CD5">
        <w:rPr>
          <w:rFonts w:eastAsia="TimesNewRoman" w:cs="TimesNewRoman"/>
        </w:rPr>
        <w:t>ial period, scholarship on the Gold C</w:t>
      </w:r>
      <w:r w:rsidR="004C6792">
        <w:rPr>
          <w:rFonts w:eastAsia="TimesNewRoman" w:cs="TimesNewRoman"/>
        </w:rPr>
        <w:t>oast tends to focus on labour structures, work condit</w:t>
      </w:r>
      <w:r w:rsidR="00634CD5">
        <w:rPr>
          <w:rFonts w:eastAsia="TimesNewRoman" w:cs="TimesNewRoman"/>
        </w:rPr>
        <w:t xml:space="preserve">ions for ‘natives’ and </w:t>
      </w:r>
      <w:r w:rsidR="001052C2">
        <w:rPr>
          <w:rFonts w:eastAsia="TimesNewRoman" w:cs="TimesNewRoman"/>
        </w:rPr>
        <w:t xml:space="preserve">employee </w:t>
      </w:r>
      <w:r w:rsidR="00634CD5">
        <w:rPr>
          <w:rFonts w:eastAsia="TimesNewRoman" w:cs="TimesNewRoman"/>
        </w:rPr>
        <w:t>strikes</w:t>
      </w:r>
      <w:r w:rsidR="004C6792">
        <w:rPr>
          <w:rFonts w:eastAsia="TimesNewRoman" w:cs="TimesNewRoman"/>
        </w:rPr>
        <w:t xml:space="preserve">.  But when </w:t>
      </w:r>
      <w:r w:rsidR="005C1ECA">
        <w:rPr>
          <w:rFonts w:eastAsia="TimesNewRoman" w:cs="TimesNewRoman"/>
        </w:rPr>
        <w:t xml:space="preserve">the challenge of assembling a workforce </w:t>
      </w:r>
      <w:r w:rsidR="004C6792">
        <w:rPr>
          <w:rFonts w:eastAsia="TimesNewRoman" w:cs="TimesNewRoman"/>
        </w:rPr>
        <w:t>is viewed through a longitudinal CSR ‘lens’,</w:t>
      </w:r>
      <w:r w:rsidR="005C1ECA">
        <w:rPr>
          <w:rFonts w:eastAsia="TimesNewRoman" w:cs="TimesNewRoman"/>
        </w:rPr>
        <w:t xml:space="preserve"> it becomes clear how, in cases where they are unable to dictate the terms, companies are forced to address local concerns with greater precision.</w:t>
      </w:r>
      <w:r w:rsidR="00634CD5">
        <w:rPr>
          <w:rFonts w:eastAsia="TimesNewRoman" w:cs="TimesNewRoman"/>
        </w:rPr>
        <w:t xml:space="preserve">  This is </w:t>
      </w:r>
      <w:r w:rsidR="004F36E3">
        <w:rPr>
          <w:rFonts w:eastAsia="TimesNewRoman" w:cs="TimesNewRoman"/>
        </w:rPr>
        <w:t>rarely</w:t>
      </w:r>
      <w:r w:rsidR="00634CD5">
        <w:rPr>
          <w:rFonts w:eastAsia="TimesNewRoman" w:cs="TimesNewRoman"/>
        </w:rPr>
        <w:t xml:space="preserve"> the case today.</w:t>
      </w:r>
      <w:r w:rsidR="005C1ECA">
        <w:rPr>
          <w:rFonts w:eastAsia="TimesNewRoman" w:cs="TimesNewRoman"/>
        </w:rPr>
        <w:t xml:space="preserve">  </w:t>
      </w:r>
    </w:p>
    <w:p w14:paraId="687AAC65" w14:textId="77777777" w:rsidR="005C1ECA" w:rsidRDefault="005C1ECA" w:rsidP="00E144E7">
      <w:pPr>
        <w:spacing w:after="0" w:line="240" w:lineRule="auto"/>
        <w:jc w:val="both"/>
        <w:rPr>
          <w:rFonts w:eastAsia="TimesNewRoman" w:cs="TimesNewRoman"/>
        </w:rPr>
      </w:pPr>
    </w:p>
    <w:p w14:paraId="7FAE55CE" w14:textId="5F1C3D53" w:rsidR="00D641B7" w:rsidRDefault="00CF40CD" w:rsidP="00E144E7">
      <w:pPr>
        <w:spacing w:after="0" w:line="240" w:lineRule="auto"/>
        <w:jc w:val="both"/>
        <w:rPr>
          <w:rFonts w:eastAsia="TimesNewRoman" w:cs="TimesNewRoman"/>
        </w:rPr>
      </w:pPr>
      <w:r>
        <w:rPr>
          <w:rFonts w:eastAsia="TimesNewRoman" w:cs="TimesNewRoman"/>
        </w:rPr>
        <w:t xml:space="preserve">The challenge facing the mines </w:t>
      </w:r>
      <w:r w:rsidR="00845C3E">
        <w:rPr>
          <w:rFonts w:eastAsia="TimesNewRoman" w:cs="TimesNewRoman"/>
        </w:rPr>
        <w:t xml:space="preserve">at the time </w:t>
      </w:r>
      <w:r>
        <w:rPr>
          <w:rFonts w:eastAsia="TimesNewRoman" w:cs="TimesNewRoman"/>
        </w:rPr>
        <w:t>was, as Ofosu-Mensah (2011) explains, ‘how to maintain a labour force for the dangerous and unpleasant underground work’ (p. 14).  The initial s</w:t>
      </w:r>
      <w:r w:rsidR="005439D1">
        <w:rPr>
          <w:rFonts w:eastAsia="TimesNewRoman" w:cs="TimesNewRoman"/>
        </w:rPr>
        <w:t>trategy</w:t>
      </w:r>
      <w:r>
        <w:rPr>
          <w:rFonts w:eastAsia="TimesNewRoman" w:cs="TimesNewRoman"/>
        </w:rPr>
        <w:t xml:space="preserve"> pursued was w</w:t>
      </w:r>
      <w:r w:rsidR="005C1ECA">
        <w:rPr>
          <w:rFonts w:eastAsia="TimesNewRoman" w:cs="TimesNewRoman"/>
        </w:rPr>
        <w:t xml:space="preserve">hat Crisp (1984) </w:t>
      </w:r>
      <w:r w:rsidR="00845C3E">
        <w:rPr>
          <w:rFonts w:eastAsia="TimesNewRoman" w:cs="TimesNewRoman"/>
        </w:rPr>
        <w:t>labelled</w:t>
      </w:r>
      <w:r w:rsidR="005C1ECA">
        <w:rPr>
          <w:rFonts w:eastAsia="TimesNewRoman" w:cs="TimesNewRoman"/>
        </w:rPr>
        <w:t xml:space="preserve"> ‘The Northern Territories Labour Experiment’</w:t>
      </w:r>
      <w:r>
        <w:rPr>
          <w:rFonts w:eastAsia="TimesNewRoman" w:cs="TimesNewRoman"/>
        </w:rPr>
        <w:t xml:space="preserve">, </w:t>
      </w:r>
      <w:r w:rsidR="00634CD5">
        <w:rPr>
          <w:rFonts w:eastAsia="TimesNewRoman" w:cs="TimesNewRoman"/>
        </w:rPr>
        <w:t xml:space="preserve">or </w:t>
      </w:r>
      <w:r>
        <w:rPr>
          <w:rFonts w:eastAsia="TimesNewRoman" w:cs="TimesNewRoman"/>
        </w:rPr>
        <w:t xml:space="preserve">the belief that people in the </w:t>
      </w:r>
      <w:r w:rsidR="004F36E3">
        <w:rPr>
          <w:rFonts w:eastAsia="TimesNewRoman" w:cs="TimesNewRoman"/>
        </w:rPr>
        <w:t>Gold Coast C</w:t>
      </w:r>
      <w:r>
        <w:rPr>
          <w:rFonts w:eastAsia="TimesNewRoman" w:cs="TimesNewRoman"/>
        </w:rPr>
        <w:t>olony’s Northern Territories could fill the labour gap at the mines and elsewhere in the south, and would likely eagerly</w:t>
      </w:r>
      <w:r w:rsidR="007D0B2C">
        <w:rPr>
          <w:rFonts w:eastAsia="TimesNewRoman" w:cs="TimesNewRoman"/>
        </w:rPr>
        <w:t xml:space="preserve"> do so because they ha</w:t>
      </w:r>
      <w:r w:rsidR="004F36E3">
        <w:rPr>
          <w:rFonts w:eastAsia="TimesNewRoman" w:cs="TimesNewRoman"/>
        </w:rPr>
        <w:t>d</w:t>
      </w:r>
      <w:r w:rsidR="007D0B2C">
        <w:rPr>
          <w:rFonts w:eastAsia="TimesNewRoman" w:cs="TimesNewRoman"/>
        </w:rPr>
        <w:t xml:space="preserve"> few income-earning opportunities outside of subsistence farming</w:t>
      </w:r>
      <w:r w:rsidR="005C1ECA">
        <w:rPr>
          <w:rFonts w:eastAsia="TimesNewRoman" w:cs="TimesNewRoman"/>
        </w:rPr>
        <w:t>.</w:t>
      </w:r>
      <w:r>
        <w:rPr>
          <w:rFonts w:eastAsia="TimesNewRoman" w:cs="TimesNewRoman"/>
        </w:rPr>
        <w:t xml:space="preserve">  Tarkwa mine managers made their first request for</w:t>
      </w:r>
      <w:r w:rsidR="007D0B2C">
        <w:rPr>
          <w:rFonts w:eastAsia="TimesNewRoman" w:cs="TimesNewRoman"/>
        </w:rPr>
        <w:t xml:space="preserve"> Northern Territories labour to the Chief Commissioner of the Protectorate, who would bring to the attention of hundreds of chiefs the opportunities available (Thomas,</w:t>
      </w:r>
      <w:r w:rsidR="00634CD5">
        <w:rPr>
          <w:rFonts w:eastAsia="TimesNewRoman" w:cs="TimesNewRoman"/>
        </w:rPr>
        <w:t xml:space="preserve"> 1973).  </w:t>
      </w:r>
      <w:r w:rsidR="001052C2">
        <w:rPr>
          <w:rFonts w:eastAsia="TimesNewRoman" w:cs="TimesNewRoman"/>
        </w:rPr>
        <w:t>But a</w:t>
      </w:r>
      <w:r w:rsidR="00634CD5">
        <w:rPr>
          <w:rFonts w:eastAsia="TimesNewRoman" w:cs="TimesNewRoman"/>
        </w:rPr>
        <w:t>ttempts made by m</w:t>
      </w:r>
      <w:r w:rsidR="00300804">
        <w:rPr>
          <w:rFonts w:eastAsia="TimesNewRoman" w:cs="TimesNewRoman"/>
        </w:rPr>
        <w:t xml:space="preserve">ine managers in Tarkwa and Obuasi </w:t>
      </w:r>
      <w:r w:rsidR="004734F4">
        <w:rPr>
          <w:rFonts w:eastAsia="TimesNewRoman" w:cs="TimesNewRoman"/>
        </w:rPr>
        <w:t>to bond incoming labourers to this work</w:t>
      </w:r>
      <w:r w:rsidR="00845C3E">
        <w:rPr>
          <w:rFonts w:eastAsia="TimesNewRoman" w:cs="TimesNewRoman"/>
        </w:rPr>
        <w:t xml:space="preserve">, </w:t>
      </w:r>
      <w:r w:rsidR="00C67872">
        <w:rPr>
          <w:rFonts w:eastAsia="TimesNewRoman" w:cs="TimesNewRoman"/>
        </w:rPr>
        <w:t xml:space="preserve">and </w:t>
      </w:r>
      <w:r w:rsidR="00845C3E">
        <w:rPr>
          <w:rFonts w:eastAsia="TimesNewRoman" w:cs="TimesNewRoman"/>
        </w:rPr>
        <w:t>implemen</w:t>
      </w:r>
      <w:r w:rsidR="00634CD5">
        <w:rPr>
          <w:rFonts w:eastAsia="TimesNewRoman" w:cs="TimesNewRoman"/>
        </w:rPr>
        <w:t>t regimented work schedules, failed for a number of reasons.  These included the</w:t>
      </w:r>
      <w:r w:rsidR="00AE2B65">
        <w:rPr>
          <w:rFonts w:eastAsia="TimesNewRoman" w:cs="TimesNewRoman"/>
        </w:rPr>
        <w:t xml:space="preserve"> </w:t>
      </w:r>
      <w:r w:rsidR="004F36E3">
        <w:rPr>
          <w:rFonts w:eastAsia="TimesNewRoman" w:cs="TimesNewRoman"/>
        </w:rPr>
        <w:t xml:space="preserve">fact that </w:t>
      </w:r>
      <w:r w:rsidR="00AE2B65">
        <w:rPr>
          <w:rFonts w:eastAsia="TimesNewRoman" w:cs="TimesNewRoman"/>
        </w:rPr>
        <w:t xml:space="preserve">contractors constructing the railway extension from </w:t>
      </w:r>
      <w:r w:rsidR="004F36E3">
        <w:rPr>
          <w:rFonts w:eastAsia="TimesNewRoman" w:cs="TimesNewRoman"/>
        </w:rPr>
        <w:t xml:space="preserve">the nearby town of </w:t>
      </w:r>
      <w:r w:rsidR="00AE2B65">
        <w:rPr>
          <w:rFonts w:eastAsia="TimesNewRoman" w:cs="TimesNewRoman"/>
        </w:rPr>
        <w:t xml:space="preserve">Prestea to Tarkwa </w:t>
      </w:r>
      <w:r w:rsidR="004F36E3">
        <w:rPr>
          <w:rFonts w:eastAsia="TimesNewRoman" w:cs="TimesNewRoman"/>
        </w:rPr>
        <w:t xml:space="preserve">were </w:t>
      </w:r>
      <w:r w:rsidR="00AE2B65">
        <w:rPr>
          <w:rFonts w:eastAsia="TimesNewRoman" w:cs="TimesNewRoman"/>
        </w:rPr>
        <w:t xml:space="preserve">competing for </w:t>
      </w:r>
      <w:r w:rsidR="001052C2">
        <w:rPr>
          <w:rFonts w:eastAsia="TimesNewRoman" w:cs="TimesNewRoman"/>
        </w:rPr>
        <w:t xml:space="preserve">this </w:t>
      </w:r>
      <w:r w:rsidR="00AE2B65">
        <w:rPr>
          <w:rFonts w:eastAsia="TimesNewRoman" w:cs="TimesNewRoman"/>
        </w:rPr>
        <w:t xml:space="preserve">labour; the reluctance of chiefs to mobilize ‘able bodied men’ during the farming season; the tendency of Northern migrants to move from ‘mine to mine’ and </w:t>
      </w:r>
      <w:r w:rsidR="00634CD5">
        <w:rPr>
          <w:rFonts w:eastAsia="TimesNewRoman" w:cs="TimesNewRoman"/>
        </w:rPr>
        <w:t xml:space="preserve">the </w:t>
      </w:r>
      <w:r w:rsidR="00AE2B65">
        <w:rPr>
          <w:rFonts w:eastAsia="TimesNewRoman" w:cs="TimesNewRoman"/>
        </w:rPr>
        <w:t xml:space="preserve">struggle to quickly replace vacated posts with Southern </w:t>
      </w:r>
      <w:r w:rsidR="00AE2B65">
        <w:rPr>
          <w:rFonts w:eastAsia="TimesNewRoman" w:cs="TimesNewRoman"/>
          <w:i/>
        </w:rPr>
        <w:t>Akans</w:t>
      </w:r>
      <w:r w:rsidR="00AE2B65">
        <w:rPr>
          <w:rFonts w:eastAsia="TimesNewRoman" w:cs="TimesNewRoman"/>
        </w:rPr>
        <w:t xml:space="preserve">, who resented underground </w:t>
      </w:r>
      <w:r w:rsidR="004F36E3">
        <w:rPr>
          <w:rFonts w:eastAsia="TimesNewRoman" w:cs="TimesNewRoman"/>
        </w:rPr>
        <w:t xml:space="preserve">mine </w:t>
      </w:r>
      <w:r w:rsidR="00AE2B65">
        <w:rPr>
          <w:rFonts w:eastAsia="TimesNewRoman" w:cs="TimesNewRoman"/>
        </w:rPr>
        <w:t>work; and the lack of influence of local chiefs, whom the British use</w:t>
      </w:r>
      <w:r w:rsidR="00634CD5">
        <w:rPr>
          <w:rFonts w:eastAsia="TimesNewRoman" w:cs="TimesNewRoman"/>
        </w:rPr>
        <w:t>d to enforce laws in the colony,</w:t>
      </w:r>
      <w:r w:rsidR="00AE2B65">
        <w:rPr>
          <w:rFonts w:eastAsia="TimesNewRoman" w:cs="TimesNewRoman"/>
        </w:rPr>
        <w:t xml:space="preserve"> to </w:t>
      </w:r>
      <w:r w:rsidR="001052C2">
        <w:rPr>
          <w:rFonts w:eastAsia="TimesNewRoman" w:cs="TimesNewRoman"/>
        </w:rPr>
        <w:t>control</w:t>
      </w:r>
      <w:r w:rsidR="00AE2B65">
        <w:rPr>
          <w:rFonts w:eastAsia="TimesNewRoman" w:cs="TimesNewRoman"/>
        </w:rPr>
        <w:t xml:space="preserve"> settlers, whose allegiances to traditional authorities did not extend beyond their hometowns </w:t>
      </w:r>
      <w:r w:rsidR="000C4DEE">
        <w:rPr>
          <w:rFonts w:eastAsia="TimesNewRoman" w:cs="TimesNewRoman"/>
        </w:rPr>
        <w:t>(Colonial Reports, 1939; Thomas, 1973, Crisp, 1984; Dumett, 1998)</w:t>
      </w:r>
      <w:r w:rsidR="00125BC7">
        <w:rPr>
          <w:rFonts w:eastAsia="TimesNewRoman" w:cs="TimesNewRoman"/>
        </w:rPr>
        <w:t xml:space="preserve">.  </w:t>
      </w:r>
    </w:p>
    <w:p w14:paraId="5EA87B22" w14:textId="77777777" w:rsidR="00D641B7" w:rsidRDefault="00D641B7" w:rsidP="00E144E7">
      <w:pPr>
        <w:spacing w:after="0" w:line="240" w:lineRule="auto"/>
        <w:jc w:val="both"/>
        <w:rPr>
          <w:rFonts w:eastAsia="TimesNewRoman" w:cs="TimesNewRoman"/>
        </w:rPr>
      </w:pPr>
    </w:p>
    <w:p w14:paraId="5D417478" w14:textId="00C71A5D" w:rsidR="00D87915" w:rsidRDefault="00125BC7" w:rsidP="00E144E7">
      <w:pPr>
        <w:spacing w:after="0" w:line="240" w:lineRule="auto"/>
        <w:jc w:val="both"/>
        <w:rPr>
          <w:rFonts w:eastAsia="TimesNewRoman" w:cs="TimesNewRoman"/>
        </w:rPr>
      </w:pPr>
      <w:r>
        <w:rPr>
          <w:rFonts w:eastAsia="TimesNewRoman" w:cs="TimesNewRoman"/>
        </w:rPr>
        <w:t>Whilst companies were reluctant to oblige with workers’ demands, it is likely because of th</w:t>
      </w:r>
      <w:r w:rsidR="00D641B7">
        <w:rPr>
          <w:rFonts w:eastAsia="TimesNewRoman" w:cs="TimesNewRoman"/>
        </w:rPr>
        <w:t>e acute shortage of mine labour that the</w:t>
      </w:r>
      <w:r>
        <w:rPr>
          <w:rFonts w:eastAsia="TimesNewRoman" w:cs="TimesNewRoman"/>
        </w:rPr>
        <w:t xml:space="preserve"> </w:t>
      </w:r>
      <w:r w:rsidR="00D641B7">
        <w:rPr>
          <w:rFonts w:eastAsia="TimesNewRoman" w:cs="TimesNewRoman"/>
        </w:rPr>
        <w:t xml:space="preserve">strikes and protests by even </w:t>
      </w:r>
      <w:r>
        <w:rPr>
          <w:rFonts w:eastAsia="TimesNewRoman" w:cs="TimesNewRoman"/>
        </w:rPr>
        <w:t xml:space="preserve">the </w:t>
      </w:r>
      <w:r w:rsidR="00D641B7">
        <w:rPr>
          <w:rFonts w:eastAsia="TimesNewRoman" w:cs="TimesNewRoman"/>
        </w:rPr>
        <w:t xml:space="preserve">most </w:t>
      </w:r>
      <w:r>
        <w:rPr>
          <w:rFonts w:eastAsia="TimesNewRoman" w:cs="TimesNewRoman"/>
        </w:rPr>
        <w:t xml:space="preserve">unskilled masses had significant effect.  This </w:t>
      </w:r>
      <w:r w:rsidR="00C72931">
        <w:rPr>
          <w:rFonts w:eastAsia="TimesNewRoman" w:cs="TimesNewRoman"/>
        </w:rPr>
        <w:t xml:space="preserve">was perhaps best reflected in the salaries of unskilled African labourers, </w:t>
      </w:r>
      <w:r w:rsidR="00135AE3">
        <w:rPr>
          <w:rFonts w:eastAsia="TimesNewRoman" w:cs="TimesNewRoman"/>
        </w:rPr>
        <w:t>which Dumett (1998) examine</w:t>
      </w:r>
      <w:r w:rsidR="004A18A4">
        <w:rPr>
          <w:rFonts w:eastAsia="TimesNewRoman" w:cs="TimesNewRoman"/>
        </w:rPr>
        <w:t>d</w:t>
      </w:r>
      <w:r w:rsidR="00135AE3">
        <w:rPr>
          <w:rFonts w:eastAsia="TimesNewRoman" w:cs="TimesNewRoman"/>
        </w:rPr>
        <w:t xml:space="preserve"> at considerable length.  Drawing on archival material, the author report</w:t>
      </w:r>
      <w:r w:rsidR="0017282A">
        <w:rPr>
          <w:rFonts w:eastAsia="TimesNewRoman" w:cs="TimesNewRoman"/>
        </w:rPr>
        <w:t>ed</w:t>
      </w:r>
      <w:r w:rsidR="00135AE3">
        <w:rPr>
          <w:rFonts w:eastAsia="TimesNewRoman" w:cs="TimesNewRoman"/>
        </w:rPr>
        <w:t xml:space="preserve"> that</w:t>
      </w:r>
      <w:r w:rsidR="00784BD1">
        <w:rPr>
          <w:rFonts w:eastAsia="TimesNewRoman" w:cs="TimesNewRoman"/>
        </w:rPr>
        <w:t>, in the early-1900s</w:t>
      </w:r>
      <w:r w:rsidR="00135AE3">
        <w:rPr>
          <w:rFonts w:eastAsia="TimesNewRoman" w:cs="TimesNewRoman"/>
        </w:rPr>
        <w:t xml:space="preserve"> ‘a glance at the ordinary scale of wages paid to unskilled Akan mine workers…shows that “starting pay</w:t>
      </w:r>
      <w:r w:rsidR="00784BD1">
        <w:rPr>
          <w:rFonts w:eastAsia="TimesNewRoman" w:cs="TimesNewRoman"/>
        </w:rPr>
        <w:t>”</w:t>
      </w:r>
      <w:r w:rsidR="00135AE3">
        <w:rPr>
          <w:rFonts w:eastAsia="TimesNewRoman" w:cs="TimesNewRoman"/>
        </w:rPr>
        <w:t xml:space="preserve"> rates for underground men – average about one shilling per day – was higher than that paid by some coastal merchants for men willing to work as porters, warehousemen, and other unskilled positions of the same period</w:t>
      </w:r>
      <w:r w:rsidR="00784BD1">
        <w:rPr>
          <w:rFonts w:eastAsia="TimesNewRoman" w:cs="TimesNewRoman"/>
        </w:rPr>
        <w:t>’</w:t>
      </w:r>
      <w:r w:rsidR="00A95E7D">
        <w:rPr>
          <w:rFonts w:eastAsia="TimesNewRoman" w:cs="TimesNewRoman"/>
        </w:rPr>
        <w:t xml:space="preserve"> (p. 229).  Although managers did everything possible to avoid doing so, the payment of these high salaries, which for some </w:t>
      </w:r>
      <w:r w:rsidR="005F3445">
        <w:rPr>
          <w:rFonts w:eastAsia="TimesNewRoman" w:cs="TimesNewRoman"/>
        </w:rPr>
        <w:t>projects, a</w:t>
      </w:r>
      <w:r w:rsidR="0017282A">
        <w:rPr>
          <w:rFonts w:eastAsia="TimesNewRoman" w:cs="TimesNewRoman"/>
        </w:rPr>
        <w:t>m</w:t>
      </w:r>
      <w:r w:rsidR="005F3445">
        <w:rPr>
          <w:rFonts w:eastAsia="TimesNewRoman" w:cs="TimesNewRoman"/>
        </w:rPr>
        <w:t>ount</w:t>
      </w:r>
      <w:r w:rsidR="00A95E7D">
        <w:rPr>
          <w:rFonts w:eastAsia="TimesNewRoman" w:cs="TimesNewRoman"/>
        </w:rPr>
        <w:t>ed to</w:t>
      </w:r>
      <w:r w:rsidR="005F3445">
        <w:rPr>
          <w:rFonts w:eastAsia="TimesNewRoman" w:cs="TimesNewRoman"/>
        </w:rPr>
        <w:t xml:space="preserve"> three-quarters of </w:t>
      </w:r>
      <w:r w:rsidR="00D641B7">
        <w:rPr>
          <w:rFonts w:eastAsia="TimesNewRoman" w:cs="TimesNewRoman"/>
        </w:rPr>
        <w:t xml:space="preserve">a project’s </w:t>
      </w:r>
      <w:r w:rsidR="005F3445">
        <w:rPr>
          <w:rFonts w:eastAsia="TimesNewRoman" w:cs="TimesNewRoman"/>
        </w:rPr>
        <w:t>operational costs</w:t>
      </w:r>
      <w:r w:rsidR="00A95E7D">
        <w:rPr>
          <w:rFonts w:eastAsia="TimesNewRoman" w:cs="TimesNewRoman"/>
        </w:rPr>
        <w:t>, underscored the seriousness of the labour problem in the Gold</w:t>
      </w:r>
      <w:r w:rsidR="00D87915">
        <w:rPr>
          <w:rFonts w:eastAsia="TimesNewRoman" w:cs="TimesNewRoman"/>
        </w:rPr>
        <w:t xml:space="preserve"> </w:t>
      </w:r>
      <w:r w:rsidR="00A95E7D">
        <w:rPr>
          <w:rFonts w:eastAsia="TimesNewRoman" w:cs="TimesNewRoman"/>
        </w:rPr>
        <w:t>Coast Colony’s mining sector.</w:t>
      </w:r>
    </w:p>
    <w:p w14:paraId="4B61ACF7" w14:textId="77777777" w:rsidR="0011289E" w:rsidRDefault="0011289E" w:rsidP="00E144E7">
      <w:pPr>
        <w:spacing w:after="0" w:line="240" w:lineRule="auto"/>
        <w:jc w:val="both"/>
        <w:rPr>
          <w:rFonts w:eastAsia="TimesNewRoman" w:cs="TimesNewRoman"/>
        </w:rPr>
      </w:pPr>
    </w:p>
    <w:p w14:paraId="45B1F315" w14:textId="6F59301E" w:rsidR="001435CE" w:rsidRPr="009E0576" w:rsidRDefault="005F3445" w:rsidP="001435CE">
      <w:pPr>
        <w:spacing w:after="0" w:line="240" w:lineRule="auto"/>
        <w:jc w:val="both"/>
        <w:rPr>
          <w:rFonts w:eastAsia="TimesNewRoman" w:cstheme="minorHAnsi"/>
        </w:rPr>
      </w:pPr>
      <w:r w:rsidRPr="00ED37D9">
        <w:rPr>
          <w:rFonts w:eastAsia="TimesNewRoman" w:cstheme="minorHAnsi"/>
        </w:rPr>
        <w:t xml:space="preserve">Today, </w:t>
      </w:r>
      <w:r w:rsidR="0017282A" w:rsidRPr="00ED37D9">
        <w:rPr>
          <w:rFonts w:eastAsia="TimesNewRoman" w:cstheme="minorHAnsi"/>
        </w:rPr>
        <w:t xml:space="preserve">as noted, </w:t>
      </w:r>
      <w:r w:rsidRPr="00ED37D9">
        <w:rPr>
          <w:rFonts w:eastAsia="TimesNewRoman" w:cstheme="minorHAnsi"/>
        </w:rPr>
        <w:t xml:space="preserve">the managers of the multinationals operating Ghana’s major gold mines make a concerted effort to ‘hire </w:t>
      </w:r>
      <w:r w:rsidR="00D641B7" w:rsidRPr="009E0576">
        <w:rPr>
          <w:rFonts w:eastAsia="TimesNewRoman" w:cstheme="minorHAnsi"/>
        </w:rPr>
        <w:t>locally’, and have made this a main focus</w:t>
      </w:r>
      <w:r w:rsidRPr="009E0576">
        <w:rPr>
          <w:rFonts w:eastAsia="TimesNewRoman" w:cstheme="minorHAnsi"/>
        </w:rPr>
        <w:t xml:space="preserve"> of CSR programs.  </w:t>
      </w:r>
      <w:r w:rsidR="00D641B7" w:rsidRPr="009E0576">
        <w:rPr>
          <w:rFonts w:eastAsia="TimesNewRoman" w:cstheme="minorHAnsi"/>
        </w:rPr>
        <w:t>For example, t</w:t>
      </w:r>
      <w:r w:rsidR="00237878" w:rsidRPr="009E0576">
        <w:rPr>
          <w:rFonts w:eastAsia="TimesNewRoman" w:cstheme="minorHAnsi"/>
        </w:rPr>
        <w:t xml:space="preserve">he </w:t>
      </w:r>
      <w:r w:rsidR="00237878" w:rsidRPr="009E0576">
        <w:rPr>
          <w:rFonts w:eastAsia="TimesNewRoman" w:cstheme="minorHAnsi"/>
        </w:rPr>
        <w:lastRenderedPageBreak/>
        <w:t>hiring strategy of Newmont, which has two mines in Ghana, Ahafo in the Eastern Region and Akyem in the Eastern Region,</w:t>
      </w:r>
      <w:r w:rsidR="000B6421" w:rsidRPr="009E0576">
        <w:rPr>
          <w:rFonts w:eastAsia="TimesNewRoman" w:cstheme="minorHAnsi"/>
        </w:rPr>
        <w:t xml:space="preserve"> is committed to ‘</w:t>
      </w:r>
      <w:r w:rsidR="000B6421" w:rsidRPr="009E0576">
        <w:rPr>
          <w:rFonts w:cstheme="minorHAnsi"/>
          <w:shd w:val="clear" w:color="auto" w:fill="FFFFFF"/>
        </w:rPr>
        <w:t>Hiring locally and sourcing from local supplier</w:t>
      </w:r>
      <w:r w:rsidR="00C83328">
        <w:rPr>
          <w:rFonts w:cstheme="minorHAnsi"/>
          <w:shd w:val="clear" w:color="auto" w:fill="FFFFFF"/>
        </w:rPr>
        <w:t>’</w:t>
      </w:r>
      <w:r w:rsidR="000B6421" w:rsidRPr="009E0576">
        <w:rPr>
          <w:rFonts w:cstheme="minorHAnsi"/>
          <w:shd w:val="clear" w:color="auto" w:fill="FFFFFF"/>
        </w:rPr>
        <w:t>,</w:t>
      </w:r>
      <w:r w:rsidR="00030B27">
        <w:rPr>
          <w:rFonts w:cstheme="minorHAnsi"/>
          <w:shd w:val="clear" w:color="auto" w:fill="FFFFFF"/>
        </w:rPr>
        <w:t xml:space="preserve"> guided by its </w:t>
      </w:r>
      <w:r w:rsidR="00030B27">
        <w:rPr>
          <w:rFonts w:cstheme="minorHAnsi"/>
          <w:i/>
          <w:shd w:val="clear" w:color="auto" w:fill="FFFFFF"/>
        </w:rPr>
        <w:t xml:space="preserve">People Policy </w:t>
      </w:r>
      <w:r w:rsidR="00030B27">
        <w:rPr>
          <w:rFonts w:cstheme="minorHAnsi"/>
          <w:shd w:val="clear" w:color="auto" w:fill="FFFFFF"/>
        </w:rPr>
        <w:t xml:space="preserve">and </w:t>
      </w:r>
      <w:r w:rsidR="00030B27">
        <w:rPr>
          <w:rFonts w:cstheme="minorHAnsi"/>
          <w:i/>
          <w:shd w:val="clear" w:color="auto" w:fill="FFFFFF"/>
        </w:rPr>
        <w:t>Sustainability and Stakeholder Engagement Policy</w:t>
      </w:r>
      <w:r w:rsidR="00030B27">
        <w:rPr>
          <w:rFonts w:cstheme="minorHAnsi"/>
          <w:shd w:val="clear" w:color="auto" w:fill="FFFFFF"/>
        </w:rPr>
        <w:t>.</w:t>
      </w:r>
      <w:r w:rsidR="00030B27">
        <w:rPr>
          <w:rStyle w:val="FootnoteReference"/>
          <w:rFonts w:cstheme="minorHAnsi"/>
          <w:shd w:val="clear" w:color="auto" w:fill="FFFFFF"/>
        </w:rPr>
        <w:footnoteReference w:id="11"/>
      </w:r>
      <w:r w:rsidR="000B6421" w:rsidRPr="009E0576">
        <w:rPr>
          <w:rFonts w:cstheme="minorHAnsi"/>
          <w:shd w:val="clear" w:color="auto" w:fill="FFFFFF"/>
        </w:rPr>
        <w:t xml:space="preserve"> </w:t>
      </w:r>
      <w:r w:rsidR="000B6421" w:rsidRPr="009E0576">
        <w:rPr>
          <w:rFonts w:cstheme="minorHAnsi" w:hint="eastAsia"/>
          <w:shd w:val="clear" w:color="auto" w:fill="FFFFFF"/>
        </w:rPr>
        <w:t> </w:t>
      </w:r>
      <w:r w:rsidR="006518C7">
        <w:rPr>
          <w:rFonts w:cs="Arial"/>
          <w:shd w:val="clear" w:color="auto" w:fill="FFFFFF"/>
        </w:rPr>
        <w:t>Gold Fields has in place a similar Communit</w:t>
      </w:r>
      <w:r w:rsidR="00F16C99">
        <w:rPr>
          <w:rFonts w:cs="Arial"/>
          <w:shd w:val="clear" w:color="auto" w:fill="FFFFFF"/>
        </w:rPr>
        <w:t>y Policy Statement, which highlights the company’s</w:t>
      </w:r>
      <w:r w:rsidR="006518C7">
        <w:rPr>
          <w:rFonts w:cs="Arial"/>
          <w:shd w:val="clear" w:color="auto" w:fill="FFFFFF"/>
        </w:rPr>
        <w:t xml:space="preserve"> </w:t>
      </w:r>
      <w:r w:rsidR="00F16C99">
        <w:rPr>
          <w:rFonts w:cs="Arial"/>
          <w:shd w:val="clear" w:color="auto" w:fill="FFFFFF"/>
        </w:rPr>
        <w:t>commitment</w:t>
      </w:r>
      <w:r w:rsidR="006518C7">
        <w:rPr>
          <w:rFonts w:cs="Arial"/>
          <w:shd w:val="clear" w:color="auto" w:fill="FFFFFF"/>
        </w:rPr>
        <w:t xml:space="preserve"> to ‘prioritising local procurement and employment and measuring our contribution to local economic development’.</w:t>
      </w:r>
      <w:r w:rsidR="003865F1">
        <w:rPr>
          <w:rStyle w:val="FootnoteReference"/>
          <w:rFonts w:cs="Arial"/>
          <w:shd w:val="clear" w:color="auto" w:fill="FFFFFF"/>
        </w:rPr>
        <w:footnoteReference w:id="12"/>
      </w:r>
      <w:r w:rsidR="006518C7">
        <w:rPr>
          <w:rFonts w:cs="Arial"/>
          <w:shd w:val="clear" w:color="auto" w:fill="FFFFFF"/>
        </w:rPr>
        <w:t xml:space="preserve">  </w:t>
      </w:r>
      <w:r w:rsidR="00F16C99">
        <w:rPr>
          <w:rFonts w:cs="Arial"/>
          <w:shd w:val="clear" w:color="auto" w:fill="FFFFFF"/>
        </w:rPr>
        <w:t>T</w:t>
      </w:r>
      <w:r w:rsidR="003E6556">
        <w:rPr>
          <w:rFonts w:cs="Arial"/>
          <w:shd w:val="clear" w:color="auto" w:fill="FFFFFF"/>
        </w:rPr>
        <w:t>he</w:t>
      </w:r>
      <w:r w:rsidR="00F16C99">
        <w:rPr>
          <w:rFonts w:cs="Arial"/>
          <w:shd w:val="clear" w:color="auto" w:fill="FFFFFF"/>
        </w:rPr>
        <w:t xml:space="preserve"> employment</w:t>
      </w:r>
      <w:r w:rsidR="003E6556">
        <w:rPr>
          <w:rFonts w:cs="Arial"/>
          <w:shd w:val="clear" w:color="auto" w:fill="FFFFFF"/>
        </w:rPr>
        <w:t xml:space="preserve"> data</w:t>
      </w:r>
      <w:r w:rsidR="00F16C99">
        <w:rPr>
          <w:rFonts w:cs="Arial"/>
          <w:shd w:val="clear" w:color="auto" w:fill="FFFFFF"/>
        </w:rPr>
        <w:t xml:space="preserve"> certainly support these claims</w:t>
      </w:r>
      <w:r w:rsidR="003E6556">
        <w:rPr>
          <w:rFonts w:cs="Arial"/>
          <w:shd w:val="clear" w:color="auto" w:fill="FFFFFF"/>
        </w:rPr>
        <w:t xml:space="preserve">.  </w:t>
      </w:r>
      <w:r w:rsidR="001435CE">
        <w:rPr>
          <w:rFonts w:cs="Arial"/>
          <w:shd w:val="clear" w:color="auto" w:fill="FFFFFF"/>
        </w:rPr>
        <w:t xml:space="preserve">The former reports that at the end of 2015, </w:t>
      </w:r>
      <w:r w:rsidR="001435CE">
        <w:t xml:space="preserve">42 percent and 46 percent of the total workforce (inclusive of contractors) </w:t>
      </w:r>
      <w:r w:rsidR="00F16C99">
        <w:t xml:space="preserve">were recruited from local communities </w:t>
      </w:r>
      <w:r w:rsidR="001435CE">
        <w:t>at its Ahafo and Akyem, projects, respectively.</w:t>
      </w:r>
      <w:r w:rsidR="000A1FD3">
        <w:rPr>
          <w:rStyle w:val="FootnoteReference"/>
          <w:rFonts w:cs="Arial"/>
          <w:shd w:val="clear" w:color="auto" w:fill="FFFFFF"/>
        </w:rPr>
        <w:footnoteReference w:id="13"/>
      </w:r>
      <w:r w:rsidR="001435CE">
        <w:t xml:space="preserve"> </w:t>
      </w:r>
      <w:r w:rsidR="00F16C99">
        <w:rPr>
          <w:rFonts w:cs="Arial"/>
          <w:shd w:val="clear" w:color="auto" w:fill="FFFFFF"/>
        </w:rPr>
        <w:t xml:space="preserve">At </w:t>
      </w:r>
      <w:r w:rsidR="001052C2">
        <w:rPr>
          <w:rFonts w:cs="Arial"/>
          <w:shd w:val="clear" w:color="auto" w:fill="FFFFFF"/>
        </w:rPr>
        <w:t xml:space="preserve">the </w:t>
      </w:r>
      <w:r w:rsidR="00F16C99">
        <w:rPr>
          <w:rFonts w:cs="Arial"/>
          <w:shd w:val="clear" w:color="auto" w:fill="FFFFFF"/>
        </w:rPr>
        <w:t>Gold Fields</w:t>
      </w:r>
      <w:r w:rsidR="001435CE">
        <w:rPr>
          <w:rFonts w:cs="Arial"/>
          <w:shd w:val="clear" w:color="auto" w:fill="FFFFFF"/>
        </w:rPr>
        <w:t xml:space="preserve"> Damang mine, </w:t>
      </w:r>
      <w:r w:rsidR="00F16C99">
        <w:rPr>
          <w:rFonts w:cs="Arial"/>
          <w:shd w:val="clear" w:color="auto" w:fill="FFFFFF"/>
        </w:rPr>
        <w:t xml:space="preserve">which is </w:t>
      </w:r>
      <w:r w:rsidR="001435CE">
        <w:rPr>
          <w:rFonts w:cs="Arial"/>
          <w:shd w:val="clear" w:color="auto" w:fill="FFFFFF"/>
        </w:rPr>
        <w:t>a very mature operation, there are 153 people, of whom 152 are Ghanaian, working in exploration and production, and 343 additional individuals, of whom 336 are Ghanaian, employed via contractor.</w:t>
      </w:r>
      <w:r w:rsidR="001435CE">
        <w:rPr>
          <w:rStyle w:val="FootnoteReference"/>
          <w:rFonts w:cs="Arial"/>
          <w:shd w:val="clear" w:color="auto" w:fill="FFFFFF"/>
        </w:rPr>
        <w:footnoteReference w:id="14"/>
      </w:r>
      <w:r w:rsidR="00CB0284">
        <w:rPr>
          <w:rFonts w:cs="Arial"/>
          <w:shd w:val="clear" w:color="auto" w:fill="FFFFFF"/>
        </w:rPr>
        <w:t xml:space="preserve">  According to the</w:t>
      </w:r>
      <w:r w:rsidR="0033708A">
        <w:rPr>
          <w:rFonts w:cs="Arial"/>
          <w:shd w:val="clear" w:color="auto" w:fill="FFFFFF"/>
        </w:rPr>
        <w:t xml:space="preserve"> Ghana Chamber of Mines, </w:t>
      </w:r>
      <w:r w:rsidR="001052C2">
        <w:rPr>
          <w:rFonts w:cs="Arial"/>
          <w:shd w:val="clear" w:color="auto" w:fill="FFFFFF"/>
        </w:rPr>
        <w:t xml:space="preserve">today, </w:t>
      </w:r>
      <w:r w:rsidR="0033708A">
        <w:rPr>
          <w:rFonts w:cs="Arial"/>
          <w:shd w:val="clear" w:color="auto" w:fill="FFFFFF"/>
        </w:rPr>
        <w:t xml:space="preserve">a staggering 98 percent of the 9,939 </w:t>
      </w:r>
      <w:r w:rsidR="00F16C99">
        <w:rPr>
          <w:rFonts w:cs="Arial"/>
          <w:shd w:val="clear" w:color="auto" w:fill="FFFFFF"/>
        </w:rPr>
        <w:t xml:space="preserve">persons </w:t>
      </w:r>
      <w:r w:rsidR="0033708A">
        <w:rPr>
          <w:rFonts w:cs="Arial"/>
          <w:shd w:val="clear" w:color="auto" w:fill="FFFFFF"/>
        </w:rPr>
        <w:t>who make up the combined workforce of its members are of Ghanaian nationality.</w:t>
      </w:r>
      <w:r w:rsidR="0033708A">
        <w:rPr>
          <w:rStyle w:val="FootnoteReference"/>
          <w:rFonts w:cs="Arial"/>
          <w:shd w:val="clear" w:color="auto" w:fill="FFFFFF"/>
        </w:rPr>
        <w:footnoteReference w:id="15"/>
      </w:r>
    </w:p>
    <w:p w14:paraId="236B5D8D" w14:textId="68F0B6DF" w:rsidR="0033708A" w:rsidRDefault="0033708A" w:rsidP="001435CE">
      <w:pPr>
        <w:spacing w:after="0" w:line="240" w:lineRule="auto"/>
        <w:jc w:val="both"/>
        <w:rPr>
          <w:rFonts w:cs="Arial"/>
          <w:shd w:val="clear" w:color="auto" w:fill="FFFFFF"/>
        </w:rPr>
      </w:pPr>
    </w:p>
    <w:p w14:paraId="60DDBB94" w14:textId="7D30E2C2" w:rsidR="00F16C99" w:rsidRDefault="00193B94" w:rsidP="00851FB3">
      <w:pPr>
        <w:spacing w:after="0"/>
        <w:jc w:val="both"/>
      </w:pPr>
      <w:r>
        <w:t>But what thes</w:t>
      </w:r>
      <w:r w:rsidR="00F16C99">
        <w:t>e companies’ glossy CSR reports,</w:t>
      </w:r>
      <w:r>
        <w:t xml:space="preserve"> and their catchy and engaging community development phrases such as ‘beyond the mine’</w:t>
      </w:r>
      <w:r w:rsidR="000D4747">
        <w:t xml:space="preserve"> and ‘the global leader in sustainable gold mining’</w:t>
      </w:r>
      <w:r w:rsidR="007E73F1">
        <w:t xml:space="preserve"> cannot mask compl</w:t>
      </w:r>
      <w:r w:rsidR="000D4747">
        <w:t>etely is the true character of the</w:t>
      </w:r>
      <w:r w:rsidR="007E73F1">
        <w:t xml:space="preserve"> large-scale mine</w:t>
      </w:r>
      <w:r w:rsidR="000D4747">
        <w:t xml:space="preserve"> in an era of </w:t>
      </w:r>
      <w:r w:rsidR="00F16C99">
        <w:t>globalization</w:t>
      </w:r>
      <w:r w:rsidR="00C83328">
        <w:t>: how i</w:t>
      </w:r>
      <w:r w:rsidR="00F16C99">
        <w:t>t is a</w:t>
      </w:r>
      <w:r w:rsidR="000D4747">
        <w:t xml:space="preserve"> capital-intensive</w:t>
      </w:r>
      <w:r w:rsidR="007E73F1">
        <w:t xml:space="preserve"> </w:t>
      </w:r>
      <w:r w:rsidR="00F16C99">
        <w:t xml:space="preserve">resource enclave, </w:t>
      </w:r>
      <w:r w:rsidR="000D4747">
        <w:t xml:space="preserve">and </w:t>
      </w:r>
      <w:r w:rsidR="000D4747">
        <w:rPr>
          <w:i/>
        </w:rPr>
        <w:t>not</w:t>
      </w:r>
      <w:r w:rsidR="000D4747">
        <w:t xml:space="preserve"> the employment engine advertised.</w:t>
      </w:r>
      <w:r w:rsidR="00AC3687">
        <w:t xml:space="preserve"> Despite boasting a population of close to 30 million people and, as noted</w:t>
      </w:r>
      <w:r w:rsidR="00F16C99">
        <w:t xml:space="preserve"> earlier</w:t>
      </w:r>
      <w:r w:rsidR="00AC3687">
        <w:t>, being the 10</w:t>
      </w:r>
      <w:r w:rsidR="00AC3687" w:rsidRPr="00AC3687">
        <w:rPr>
          <w:vertAlign w:val="superscript"/>
        </w:rPr>
        <w:t>th</w:t>
      </w:r>
      <w:r w:rsidR="00AC3687">
        <w:t xml:space="preserve"> largest gold producer in the world, Ghana’s industrial mine workforce is</w:t>
      </w:r>
      <w:r w:rsidR="00F16C99">
        <w:t>, at its peak,</w:t>
      </w:r>
      <w:r w:rsidR="00AC3687">
        <w:t xml:space="preserve"> only in the range of 20,000 peop</w:t>
      </w:r>
      <w:r w:rsidR="00F16C99">
        <w:t>le;</w:t>
      </w:r>
      <w:r w:rsidR="00884647">
        <w:t xml:space="preserve"> large-scale</w:t>
      </w:r>
      <w:r w:rsidR="00F16C99">
        <w:t xml:space="preserve"> mining employs a small share</w:t>
      </w:r>
      <w:r w:rsidR="00DB4429">
        <w:t xml:space="preserve"> </w:t>
      </w:r>
      <w:r w:rsidR="00F16C99">
        <w:t>(</w:t>
      </w:r>
      <w:r w:rsidR="00DB4429">
        <w:t>1.3 percent</w:t>
      </w:r>
      <w:r w:rsidR="00F16C99">
        <w:t>)</w:t>
      </w:r>
      <w:r w:rsidR="00DB4429">
        <w:t xml:space="preserve"> of the country’s workforce </w:t>
      </w:r>
      <w:r w:rsidR="00AC3687">
        <w:t>(Ayee et al., 2011</w:t>
      </w:r>
      <w:r w:rsidR="00061383">
        <w:t xml:space="preserve">; </w:t>
      </w:r>
      <w:r w:rsidR="000E01FA">
        <w:t>Ministry of Finance, 2015</w:t>
      </w:r>
      <w:r w:rsidR="00AC3687">
        <w:t>).</w:t>
      </w:r>
      <w:r w:rsidR="00D51ACB">
        <w:t xml:space="preserve">  This is a marked </w:t>
      </w:r>
      <w:r w:rsidR="00D51ACB">
        <w:rPr>
          <w:i/>
        </w:rPr>
        <w:t>decrease</w:t>
      </w:r>
      <w:r w:rsidR="00061383">
        <w:rPr>
          <w:i/>
        </w:rPr>
        <w:t xml:space="preserve"> </w:t>
      </w:r>
      <w:r w:rsidR="003B21A2">
        <w:t xml:space="preserve">in the figures recorded </w:t>
      </w:r>
      <w:r w:rsidR="00F16C99">
        <w:t>during the colonial</w:t>
      </w:r>
      <w:r w:rsidR="003B21A2">
        <w:t xml:space="preserve"> period</w:t>
      </w:r>
      <w:r w:rsidR="00061383">
        <w:t>, and a true indication of the</w:t>
      </w:r>
      <w:r w:rsidR="003B21A2">
        <w:t xml:space="preserve"> extent to which mining has mechanized in Ghana</w:t>
      </w:r>
      <w:r w:rsidR="00061383">
        <w:t xml:space="preserve"> and </w:t>
      </w:r>
      <w:r w:rsidR="003B21A2">
        <w:t xml:space="preserve">its </w:t>
      </w:r>
      <w:r w:rsidR="00061383">
        <w:t>limited capacity to create jobs.</w:t>
      </w:r>
      <w:r w:rsidR="003C0E36">
        <w:t xml:space="preserve">  In 1919, for example, at a time when the colony’s estimated population was just over four million people, the number of African mine </w:t>
      </w:r>
      <w:r w:rsidR="009B1403">
        <w:t>labourers exceeded</w:t>
      </w:r>
      <w:r w:rsidR="003C0E36">
        <w:t xml:space="preserve"> 17,000</w:t>
      </w:r>
      <w:r w:rsidR="009B1403">
        <w:t>, a figure which would reach 41,000 by 1939 (Gold Coast Report</w:t>
      </w:r>
      <w:r w:rsidR="00A94B4E">
        <w:t>s</w:t>
      </w:r>
      <w:r w:rsidR="009B1403">
        <w:t xml:space="preserve">, 1939; Austin, 2007). </w:t>
      </w:r>
      <w:r w:rsidR="00F16C99">
        <w:t xml:space="preserve"> </w:t>
      </w:r>
    </w:p>
    <w:p w14:paraId="717B798E" w14:textId="77777777" w:rsidR="00F16C99" w:rsidRDefault="00F16C99" w:rsidP="00851FB3">
      <w:pPr>
        <w:spacing w:after="0"/>
        <w:jc w:val="both"/>
      </w:pPr>
    </w:p>
    <w:p w14:paraId="64EC7974" w14:textId="577835D2" w:rsidR="004F5CCC" w:rsidRDefault="00DF55DF" w:rsidP="00851FB3">
      <w:pPr>
        <w:spacing w:after="0"/>
        <w:jc w:val="both"/>
      </w:pPr>
      <w:r>
        <w:t>On the subject of employment strategy in Ghana’s gold mining enclaves, there are three additional points worth nothing here.</w:t>
      </w:r>
      <w:r w:rsidR="00F16C99">
        <w:t xml:space="preserve">  </w:t>
      </w:r>
      <w:r w:rsidR="00D661B9">
        <w:t>The first is that although</w:t>
      </w:r>
      <w:r w:rsidR="004F5CCC">
        <w:t xml:space="preserve"> Ghana’s main gold mine operators have not shied away from broadcasting their local hiring policies, the strategies they are </w:t>
      </w:r>
      <w:r w:rsidR="00C83328">
        <w:t>adopted</w:t>
      </w:r>
      <w:r w:rsidR="004F5CCC">
        <w:t xml:space="preserve"> </w:t>
      </w:r>
      <w:r w:rsidR="003B38D4">
        <w:t>are not new.  They are</w:t>
      </w:r>
      <w:r w:rsidR="00F16C99">
        <w:t xml:space="preserve">, in the spirit of the discussion presented in the previous section of the </w:t>
      </w:r>
      <w:r w:rsidR="00FB7114">
        <w:t>paper</w:t>
      </w:r>
      <w:r w:rsidR="00F16C99">
        <w:t>,</w:t>
      </w:r>
      <w:r w:rsidR="003B38D4">
        <w:t xml:space="preserve"> rather </w:t>
      </w:r>
      <w:r w:rsidR="00F16C99">
        <w:t>an extension of</w:t>
      </w:r>
      <w:r w:rsidR="003B38D4">
        <w:t xml:space="preserve"> a long </w:t>
      </w:r>
      <w:r w:rsidR="00F16C99">
        <w:t xml:space="preserve">and well-established </w:t>
      </w:r>
      <w:r w:rsidR="003B38D4">
        <w:t>tradition of local recruitment which began during the formative years of British-led mineral exploration and development in the Gold Coast</w:t>
      </w:r>
      <w:r w:rsidR="00C83328">
        <w:t xml:space="preserve"> Colony</w:t>
      </w:r>
      <w:r w:rsidR="003B38D4">
        <w:t>.  The ‘labour question’ was initially addressed using recruited Kru, Bassa and Grebo men from Liberia</w:t>
      </w:r>
      <w:r w:rsidR="00B366DE">
        <w:t xml:space="preserve">, as well as local </w:t>
      </w:r>
      <w:r w:rsidR="00B366DE">
        <w:rPr>
          <w:i/>
        </w:rPr>
        <w:t>Akans</w:t>
      </w:r>
      <w:r w:rsidR="00FB7114">
        <w:t xml:space="preserve"> (Southern Ghanaians)</w:t>
      </w:r>
      <w:r w:rsidR="00B366DE">
        <w:t>.  But as operations</w:t>
      </w:r>
      <w:r w:rsidR="00B7255B">
        <w:t xml:space="preserve"> </w:t>
      </w:r>
      <w:r w:rsidR="00B366DE">
        <w:t xml:space="preserve">developed, local recruitment strategy </w:t>
      </w:r>
      <w:r w:rsidR="00851FB3">
        <w:t xml:space="preserve">would </w:t>
      </w:r>
      <w:r w:rsidR="00B366DE">
        <w:t>b</w:t>
      </w:r>
      <w:r w:rsidR="00851FB3">
        <w:t>eco</w:t>
      </w:r>
      <w:r w:rsidR="00B366DE">
        <w:t>me more sophisticated, targeting Africans to fill skilled positions, in most case</w:t>
      </w:r>
      <w:r w:rsidR="00851FB3">
        <w:t xml:space="preserve">s from outside of gold mining districts.  </w:t>
      </w:r>
      <w:r w:rsidR="00DB19B0">
        <w:t xml:space="preserve">For example, </w:t>
      </w:r>
      <w:r w:rsidR="00851FB3">
        <w:t xml:space="preserve">men </w:t>
      </w:r>
      <w:r w:rsidR="00DB19B0">
        <w:t xml:space="preserve">were recruited </w:t>
      </w:r>
      <w:r w:rsidR="00851FB3">
        <w:t>from Freetown</w:t>
      </w:r>
      <w:r w:rsidR="00DB19B0">
        <w:t xml:space="preserve"> (</w:t>
      </w:r>
      <w:r w:rsidR="00851FB3">
        <w:t>Sierra Leone</w:t>
      </w:r>
      <w:r w:rsidR="00DB19B0">
        <w:t>),</w:t>
      </w:r>
      <w:r w:rsidR="00851FB3">
        <w:t xml:space="preserve"> and </w:t>
      </w:r>
      <w:r w:rsidR="00F16C99">
        <w:t xml:space="preserve">in Ghana, </w:t>
      </w:r>
      <w:r w:rsidR="00DB19B0">
        <w:t xml:space="preserve">Accra and Akuapem, </w:t>
      </w:r>
      <w:r w:rsidR="00F16C99">
        <w:t xml:space="preserve">locations </w:t>
      </w:r>
      <w:r w:rsidR="00DB19B0">
        <w:t xml:space="preserve">believed to have some of the best carpenters, stone masons </w:t>
      </w:r>
      <w:r w:rsidR="00F16C99">
        <w:t>and blacksmiths at the time.  C</w:t>
      </w:r>
      <w:r w:rsidR="004C030F">
        <w:t>oastal towns such as Cape Coa</w:t>
      </w:r>
      <w:r w:rsidR="00DB19B0">
        <w:t>st, Saltpond and Elimina</w:t>
      </w:r>
      <w:r w:rsidR="00F16C99">
        <w:t>, which had educated masses,</w:t>
      </w:r>
      <w:r w:rsidR="00DB19B0">
        <w:t xml:space="preserve"> </w:t>
      </w:r>
      <w:r w:rsidR="00F16C99">
        <w:t xml:space="preserve">were targeted </w:t>
      </w:r>
      <w:r w:rsidR="00DB19B0">
        <w:t>to fill machine operator, office and chemicals management posts (</w:t>
      </w:r>
      <w:r w:rsidR="009F6DC4">
        <w:t>Dumett</w:t>
      </w:r>
      <w:r w:rsidR="00DB19B0">
        <w:t>, 1998).</w:t>
      </w:r>
      <w:r w:rsidR="004C030F">
        <w:t xml:space="preserve">  </w:t>
      </w:r>
      <w:r w:rsidR="00F16C99">
        <w:t>T</w:t>
      </w:r>
      <w:r w:rsidR="00C972CA">
        <w:t xml:space="preserve">oday’s </w:t>
      </w:r>
      <w:r w:rsidR="00C972CA">
        <w:lastRenderedPageBreak/>
        <w:t>gold mine operators have done little more than absorb this</w:t>
      </w:r>
      <w:r w:rsidR="004C030F">
        <w:t xml:space="preserve"> </w:t>
      </w:r>
      <w:r w:rsidR="00F16C99">
        <w:t>strategy</w:t>
      </w:r>
      <w:r w:rsidR="00C972CA">
        <w:t xml:space="preserve"> of </w:t>
      </w:r>
      <w:r w:rsidR="004C030F">
        <w:t>recruitment</w:t>
      </w:r>
      <w:r w:rsidR="00F16C99">
        <w:t xml:space="preserve"> and brand it ‘CSR’, the only difference being that</w:t>
      </w:r>
      <w:r w:rsidR="00C972CA">
        <w:t xml:space="preserve"> the scale of recruitment is far less than what it was. </w:t>
      </w:r>
      <w:r w:rsidR="004C030F">
        <w:t xml:space="preserve"> </w:t>
      </w:r>
      <w:r w:rsidR="00DB19B0">
        <w:t xml:space="preserve"> </w:t>
      </w:r>
    </w:p>
    <w:p w14:paraId="0C7253A9" w14:textId="77777777" w:rsidR="003B38D4" w:rsidRDefault="003B38D4" w:rsidP="00D661B9">
      <w:pPr>
        <w:pStyle w:val="PlainText"/>
      </w:pPr>
    </w:p>
    <w:p w14:paraId="0D1BCA78" w14:textId="0AFAFF6F" w:rsidR="00326039" w:rsidRDefault="00C972CA" w:rsidP="00793D82">
      <w:pPr>
        <w:pStyle w:val="PlainText"/>
        <w:jc w:val="both"/>
      </w:pPr>
      <w:r>
        <w:t xml:space="preserve">Second, </w:t>
      </w:r>
      <w:r w:rsidR="00FE196F">
        <w:t xml:space="preserve">and a subject that </w:t>
      </w:r>
      <w:r w:rsidR="00F16C99">
        <w:t>is</w:t>
      </w:r>
      <w:r w:rsidR="00FE196F">
        <w:t xml:space="preserve"> often </w:t>
      </w:r>
      <w:r w:rsidR="00F16C99">
        <w:t>overlooked</w:t>
      </w:r>
      <w:r w:rsidR="00FE196F">
        <w:t xml:space="preserve"> amid the euphoria of a local recruitment campaign in Ghana’s gold mining sector, is the fluidity and insecurity of the </w:t>
      </w:r>
      <w:r w:rsidR="00F16C99">
        <w:t xml:space="preserve">hired </w:t>
      </w:r>
      <w:r w:rsidR="00FE196F">
        <w:t xml:space="preserve">labour itself.  </w:t>
      </w:r>
      <w:r w:rsidR="00C83328">
        <w:t>A</w:t>
      </w:r>
      <w:r w:rsidR="00FE196F">
        <w:t xml:space="preserve">part from very specific skilled positions such as engineers and geologists, there is no longer a ‘labour question’ in </w:t>
      </w:r>
      <w:r w:rsidR="00F16C99">
        <w:t>Ghana’s gold mining sector. T</w:t>
      </w:r>
      <w:r w:rsidR="00FE196F">
        <w:t xml:space="preserve">he pendulum has shifted away from the local masses to the companies, which, because of the flexibility they </w:t>
      </w:r>
      <w:r w:rsidR="00F16C99">
        <w:t xml:space="preserve">now </w:t>
      </w:r>
      <w:r w:rsidR="00FE196F">
        <w:t>enjoy</w:t>
      </w:r>
      <w:r w:rsidR="00C83328">
        <w:t xml:space="preserve"> in an era of globalization</w:t>
      </w:r>
      <w:r w:rsidR="00FE196F">
        <w:t xml:space="preserve">, </w:t>
      </w:r>
      <w:r w:rsidR="00C83328">
        <w:t xml:space="preserve">now </w:t>
      </w:r>
      <w:r w:rsidR="00FE196F">
        <w:t xml:space="preserve">dictate </w:t>
      </w:r>
      <w:r w:rsidR="00C83328">
        <w:t xml:space="preserve">the </w:t>
      </w:r>
      <w:r w:rsidR="00FE196F">
        <w:t xml:space="preserve">terms and </w:t>
      </w:r>
      <w:r w:rsidR="00E31245">
        <w:t xml:space="preserve">influence negotiations </w:t>
      </w:r>
      <w:r w:rsidR="00C83328">
        <w:t xml:space="preserve">in </w:t>
      </w:r>
      <w:r w:rsidR="00E31245">
        <w:t xml:space="preserve">labour-related </w:t>
      </w:r>
      <w:r w:rsidR="00C83328">
        <w:t>matters</w:t>
      </w:r>
      <w:r w:rsidR="00E31245">
        <w:t xml:space="preserve">.  </w:t>
      </w:r>
      <w:r w:rsidR="007562B1">
        <w:t xml:space="preserve">With no real obligation to </w:t>
      </w:r>
      <w:r w:rsidR="008D5864">
        <w:t xml:space="preserve">retain these labourers, they become expendable during </w:t>
      </w:r>
      <w:r w:rsidR="00643CA4">
        <w:t xml:space="preserve">depressed economic periods, a phenomenon witnessed in Ghana in recent years due to sharp declines in the price of gold.  Forced to </w:t>
      </w:r>
      <w:r w:rsidR="00996C5E">
        <w:t>lower their</w:t>
      </w:r>
      <w:r w:rsidR="00643CA4">
        <w:t xml:space="preserve"> operating costs, Ghana’s gold mine operators have slashed </w:t>
      </w:r>
      <w:r w:rsidR="00996C5E">
        <w:t>a number of</w:t>
      </w:r>
      <w:r w:rsidR="00643CA4">
        <w:t xml:space="preserve"> jobs.</w:t>
      </w:r>
      <w:r w:rsidR="00996C5E">
        <w:t xml:space="preserve">  At the time of writing, Newmont reported that, due to plans to downsize, it has had to reduce its workforce in Ghana by cutting 600 posts; it had slashed in the range of 240 jobs in 2015.</w:t>
      </w:r>
      <w:r w:rsidR="00996C5E">
        <w:rPr>
          <w:rStyle w:val="FootnoteReference"/>
        </w:rPr>
        <w:footnoteReference w:id="16"/>
      </w:r>
      <w:r w:rsidR="00724C42">
        <w:t xml:space="preserve">  In Obuasi, the effects have been particularly severe because of </w:t>
      </w:r>
      <w:r w:rsidR="00F44478">
        <w:t>the</w:t>
      </w:r>
      <w:r w:rsidR="00724C42">
        <w:t xml:space="preserve"> underground design and therefore particularly high operational costs of the mine.  Here, AngloGold </w:t>
      </w:r>
      <w:r w:rsidR="009B7855">
        <w:t xml:space="preserve">Ashanti </w:t>
      </w:r>
      <w:r w:rsidR="00724C42">
        <w:t xml:space="preserve">has, since 2013, trimmed the Obuasi mine’s workforce, the most significant move being the dismissal of 5000 employees as part of a US$220 </w:t>
      </w:r>
      <w:r w:rsidR="001052C2">
        <w:t xml:space="preserve">million </w:t>
      </w:r>
      <w:r w:rsidR="00724C42">
        <w:t>retrenchment program.</w:t>
      </w:r>
      <w:r w:rsidR="00724C42">
        <w:rPr>
          <w:rStyle w:val="FootnoteReference"/>
        </w:rPr>
        <w:footnoteReference w:id="17"/>
      </w:r>
      <w:r w:rsidR="00724C42">
        <w:t xml:space="preserve">  According to the Ghana Mine Workers Union, over 10,000 mineworkers – most of them Ghanaian – have lost their jobs.</w:t>
      </w:r>
      <w:r w:rsidR="00724C42">
        <w:rPr>
          <w:rStyle w:val="FootnoteReference"/>
        </w:rPr>
        <w:footnoteReference w:id="18"/>
      </w:r>
      <w:r w:rsidR="00326039">
        <w:t xml:space="preserve"> </w:t>
      </w:r>
    </w:p>
    <w:p w14:paraId="0B7B4AAD" w14:textId="77777777" w:rsidR="00326039" w:rsidRDefault="00326039" w:rsidP="00793D82">
      <w:pPr>
        <w:pStyle w:val="PlainText"/>
        <w:jc w:val="both"/>
      </w:pPr>
    </w:p>
    <w:p w14:paraId="7EA56C8C" w14:textId="462D9D9D" w:rsidR="000E3253" w:rsidRDefault="00326039" w:rsidP="00326039">
      <w:pPr>
        <w:pStyle w:val="PlainText"/>
        <w:jc w:val="both"/>
      </w:pPr>
      <w:r>
        <w:t xml:space="preserve">The third and final point concerns the limited </w:t>
      </w:r>
      <w:r w:rsidR="003B46B7">
        <w:t>capacity</w:t>
      </w:r>
      <w:r w:rsidR="003B46B7" w:rsidRPr="001C46AC">
        <w:t xml:space="preserve"> </w:t>
      </w:r>
      <w:r w:rsidRPr="001C46AC">
        <w:t xml:space="preserve">of companies to </w:t>
      </w:r>
      <w:r w:rsidRPr="001C46AC">
        <w:rPr>
          <w:i/>
        </w:rPr>
        <w:t>create</w:t>
      </w:r>
      <w:r w:rsidRPr="001C46AC">
        <w:t xml:space="preserve"> employment</w:t>
      </w:r>
      <w:r w:rsidR="00742FE2" w:rsidRPr="001C46AC">
        <w:t xml:space="preserve">.  </w:t>
      </w:r>
      <w:r w:rsidR="00742FE2" w:rsidRPr="001C46AC">
        <w:rPr>
          <w:rFonts w:eastAsia="TimesNewRoman" w:cs="TimesNewRoman"/>
        </w:rPr>
        <w:t>Whilst their drive to recruit – in this case, Ghanaian – worker</w:t>
      </w:r>
      <w:r w:rsidR="00F44478">
        <w:rPr>
          <w:rFonts w:eastAsia="TimesNewRoman" w:cs="TimesNewRoman"/>
        </w:rPr>
        <w:t>s to fill important vacancies has been</w:t>
      </w:r>
      <w:r w:rsidR="00742FE2" w:rsidRPr="001C46AC">
        <w:rPr>
          <w:rFonts w:eastAsia="TimesNewRoman" w:cs="TimesNewRoman"/>
        </w:rPr>
        <w:t xml:space="preserve"> impressive, the narrative of ‘local’ has changed significantly with the maturity of a reformed gold mining sector, the growing expectation being to target individuals from settlements located around their operations.    </w:t>
      </w:r>
      <w:r w:rsidR="00D52DD5" w:rsidRPr="001C46AC">
        <w:t>After more than a century of gold mining, the notion</w:t>
      </w:r>
      <w:r w:rsidR="00D52DD5">
        <w:t xml:space="preserve"> </w:t>
      </w:r>
      <w:r w:rsidR="00F44478">
        <w:t>of ‘local development’ is today</w:t>
      </w:r>
      <w:r w:rsidR="00D52DD5">
        <w:t xml:space="preserve"> far more nuanced.</w:t>
      </w:r>
      <w:r w:rsidR="00AC7DF8">
        <w:t xml:space="preserve">  In the late-1800s,</w:t>
      </w:r>
      <w:r w:rsidR="00D52DD5">
        <w:t xml:space="preserve"> most of Ghana’s mining towns were</w:t>
      </w:r>
      <w:r w:rsidR="00AC7DF8">
        <w:t xml:space="preserve"> populated by migrants and had only a few thousand people, the majority of whom resided in temporary accommodation.  </w:t>
      </w:r>
      <w:r w:rsidR="00BB653B">
        <w:t xml:space="preserve">But today, towns such as Tarkwa and Obuasi are permanent, densely populated settlements, each </w:t>
      </w:r>
      <w:r w:rsidR="003B46B7">
        <w:t xml:space="preserve">inhabited by thousands of </w:t>
      </w:r>
      <w:r w:rsidR="00FF750D">
        <w:t xml:space="preserve">families </w:t>
      </w:r>
      <w:r w:rsidR="001052C2">
        <w:t>which</w:t>
      </w:r>
      <w:r w:rsidR="00FF750D">
        <w:t xml:space="preserve"> have been rooted for many generations.</w:t>
      </w:r>
      <w:r w:rsidR="006D61D0">
        <w:t xml:space="preserve">  The growing expectation in such towns is that residents should be the </w:t>
      </w:r>
      <w:r w:rsidR="00065487">
        <w:t>target</w:t>
      </w:r>
      <w:r w:rsidR="006D61D0">
        <w:t xml:space="preserve"> of these recruitment</w:t>
      </w:r>
      <w:r w:rsidR="00065487">
        <w:t xml:space="preserve"> camp</w:t>
      </w:r>
      <w:r w:rsidR="000A5C5A">
        <w:t xml:space="preserve">aigns.  But whilst Tarkwa is now the location of a well-resourced mining university, the University of Mines and Technology, which is producing world-class surveyors, geologists and </w:t>
      </w:r>
      <w:r w:rsidR="000031C4">
        <w:t>engineers</w:t>
      </w:r>
      <w:r w:rsidR="00F44478">
        <w:t>, companies operating elsewhere will struggle with demands to hire locally.  Specifically,</w:t>
      </w:r>
      <w:r w:rsidR="000031C4">
        <w:t xml:space="preserve"> in towns such as Obuasi, Kenyasi, Chirano and New Abirem, there are no such facilities capable of </w:t>
      </w:r>
      <w:r w:rsidR="000E3253">
        <w:t xml:space="preserve">equipping individuals with skills and </w:t>
      </w:r>
      <w:r w:rsidR="000031C4">
        <w:t>producing ‘mine ready’</w:t>
      </w:r>
      <w:r w:rsidR="008A44CD">
        <w:t xml:space="preserve"> labour.  In these environments, even the most ambitious of companies, such as Newmont, </w:t>
      </w:r>
      <w:r w:rsidR="003B46B7">
        <w:t>will</w:t>
      </w:r>
      <w:r w:rsidR="008A44CD">
        <w:t xml:space="preserve"> struggle to meet their local recruitment targets.</w:t>
      </w:r>
    </w:p>
    <w:p w14:paraId="5BE40E08" w14:textId="56FB3148" w:rsidR="000070F9" w:rsidRDefault="000070F9" w:rsidP="00326039">
      <w:pPr>
        <w:pStyle w:val="PlainText"/>
        <w:jc w:val="both"/>
      </w:pPr>
    </w:p>
    <w:p w14:paraId="16136D29" w14:textId="2FDE1A85" w:rsidR="003716A3" w:rsidRDefault="000070F9" w:rsidP="00B547EA">
      <w:pPr>
        <w:pStyle w:val="PlainText"/>
        <w:jc w:val="both"/>
      </w:pPr>
      <w:r>
        <w:t>There</w:t>
      </w:r>
      <w:r w:rsidR="00F44478">
        <w:t xml:space="preserve"> is also the</w:t>
      </w:r>
      <w:r>
        <w:t xml:space="preserve"> issue of the mining company’s ‘mindset’</w:t>
      </w:r>
      <w:r w:rsidR="00F44478">
        <w:t xml:space="preserve"> that must be considered</w:t>
      </w:r>
      <w:r w:rsidR="00E44253">
        <w:t>.  Would</w:t>
      </w:r>
      <w:r>
        <w:t xml:space="preserve"> </w:t>
      </w:r>
      <w:r w:rsidR="00E44253">
        <w:t>mining companies</w:t>
      </w:r>
      <w:r>
        <w:t xml:space="preserve"> </w:t>
      </w:r>
      <w:r w:rsidR="00E44253">
        <w:t>recruit locally solely for their Ghana</w:t>
      </w:r>
      <w:r w:rsidR="00F44478">
        <w:t xml:space="preserve"> operations?  Most detail</w:t>
      </w:r>
      <w:r w:rsidR="00F361F4">
        <w:t xml:space="preserve"> their </w:t>
      </w:r>
      <w:r w:rsidR="00F44478">
        <w:t xml:space="preserve">recruitment </w:t>
      </w:r>
      <w:r w:rsidR="0058739B">
        <w:t>strategies</w:t>
      </w:r>
      <w:r w:rsidR="00F361F4">
        <w:t xml:space="preserve"> on company</w:t>
      </w:r>
      <w:r w:rsidR="00F44478">
        <w:t xml:space="preserve"> websites.  One of the more</w:t>
      </w:r>
      <w:r w:rsidR="0058739B">
        <w:t xml:space="preserve"> comprehensive efforts </w:t>
      </w:r>
      <w:r w:rsidR="005B332C">
        <w:t xml:space="preserve">made </w:t>
      </w:r>
      <w:r w:rsidR="0058739B">
        <w:t>is Toronto-based Golden Star Resources, which</w:t>
      </w:r>
      <w:r w:rsidR="00F361F4">
        <w:t xml:space="preserve"> </w:t>
      </w:r>
      <w:r w:rsidR="0058739B">
        <w:t xml:space="preserve">has two </w:t>
      </w:r>
      <w:r w:rsidR="001052C2">
        <w:t>projects</w:t>
      </w:r>
      <w:r w:rsidR="0058739B">
        <w:t xml:space="preserve"> in Ghana</w:t>
      </w:r>
      <w:r w:rsidR="00B547EA">
        <w:t>.  It states, ‘At our mines, senior female employees: manage the Community Affairs department, are mining engineers, safety training officers, exploration geologists, metallurgists, metallurgical shift supervisors and senior environmental officers, as well as working in more traditional administrat</w:t>
      </w:r>
      <w:r w:rsidR="005B332C">
        <w:t>ive roles’.  It furthermore states</w:t>
      </w:r>
      <w:r w:rsidR="00B547EA">
        <w:t xml:space="preserve"> that ‘The corporate Legal and Compliance Manager in Ghana is a British trained and experienced attorney, and the CEO of GSOPP is </w:t>
      </w:r>
      <w:r w:rsidR="00B547EA">
        <w:lastRenderedPageBreak/>
        <w:t>a well-known former Ghanaian Member of Parliament’.</w:t>
      </w:r>
      <w:r w:rsidR="00B547EA">
        <w:rPr>
          <w:rStyle w:val="FootnoteReference"/>
        </w:rPr>
        <w:footnoteReference w:id="19"/>
      </w:r>
      <w:r w:rsidR="0034706D">
        <w:t xml:space="preserve">  </w:t>
      </w:r>
      <w:r w:rsidR="005B332C">
        <w:t>Although</w:t>
      </w:r>
      <w:r w:rsidR="000F0232">
        <w:t xml:space="preserve"> an issue</w:t>
      </w:r>
      <w:r w:rsidR="005B332C">
        <w:t xml:space="preserve"> beyond the scope of this analysis,</w:t>
      </w:r>
      <w:r w:rsidR="0034706D">
        <w:t xml:space="preserve"> would these staff members </w:t>
      </w:r>
      <w:r w:rsidR="0079001B">
        <w:t xml:space="preserve">potentially </w:t>
      </w:r>
      <w:r w:rsidR="0034706D">
        <w:t>be relocated to other sites should Gold Star Resou</w:t>
      </w:r>
      <w:r w:rsidR="0079001B">
        <w:t>rces begin operating elsewhere?</w:t>
      </w:r>
      <w:r w:rsidR="004C4656">
        <w:t xml:space="preserve">  </w:t>
      </w:r>
      <w:r w:rsidR="005B332C">
        <w:t xml:space="preserve">Do </w:t>
      </w:r>
      <w:r w:rsidR="009E04C9">
        <w:t xml:space="preserve">company </w:t>
      </w:r>
      <w:r w:rsidR="005B332C">
        <w:t>managers train and/or recruit locally with this in mind?  A</w:t>
      </w:r>
      <w:r w:rsidR="000B14A1">
        <w:t xml:space="preserve"> quick glance around the offices of Ghana’s </w:t>
      </w:r>
      <w:r w:rsidR="005B332C">
        <w:t xml:space="preserve">major </w:t>
      </w:r>
      <w:r w:rsidR="000B14A1">
        <w:t xml:space="preserve">mine operations would </w:t>
      </w:r>
      <w:r w:rsidR="005B332C">
        <w:t>confirm that there are, indeed, employees</w:t>
      </w:r>
      <w:r w:rsidR="000B14A1">
        <w:t xml:space="preserve"> of many nationalities.  </w:t>
      </w:r>
      <w:r w:rsidR="003716A3">
        <w:t xml:space="preserve">Moreover, </w:t>
      </w:r>
      <w:r w:rsidR="008776CB">
        <w:t>several</w:t>
      </w:r>
      <w:r w:rsidR="003716A3">
        <w:t xml:space="preserve"> Ghana-trained graduates can be found in the head offices of the country’s </w:t>
      </w:r>
      <w:r w:rsidR="005B332C">
        <w:t xml:space="preserve">major gold </w:t>
      </w:r>
      <w:r w:rsidR="003716A3">
        <w:t>mine operators, including Denver, Johannesburg and Toronto.</w:t>
      </w:r>
      <w:r w:rsidR="007655F8">
        <w:t xml:space="preserve">  In an era of globalization, the multinational mining company is not confined to operating in the country in which it is headquartered; it is boundless, free to expand to all corners of the globe</w:t>
      </w:r>
      <w:r w:rsidR="003B46B7">
        <w:t xml:space="preserve"> and to</w:t>
      </w:r>
      <w:r w:rsidR="009F3BE0">
        <w:t xml:space="preserve"> </w:t>
      </w:r>
      <w:r w:rsidR="005B332C">
        <w:t>transfer</w:t>
      </w:r>
      <w:r w:rsidR="009F3BE0">
        <w:t xml:space="preserve"> technological and human resources from site-to-site.</w:t>
      </w:r>
      <w:r w:rsidR="00476F56">
        <w:t xml:space="preserve">  In summary, there is no guarantee that efforts to hire local people will contribute to the long</w:t>
      </w:r>
      <w:r w:rsidR="005B332C">
        <w:t>-term development of Ghana</w:t>
      </w:r>
      <w:r w:rsidR="00476F56">
        <w:t xml:space="preserve"> through an infusion of skills.</w:t>
      </w:r>
      <w:r w:rsidR="00BB6F30">
        <w:t xml:space="preserve"> </w:t>
      </w:r>
    </w:p>
    <w:p w14:paraId="3DD6CE83" w14:textId="77777777" w:rsidR="003716A3" w:rsidRDefault="003716A3" w:rsidP="00B547EA">
      <w:pPr>
        <w:pStyle w:val="PlainText"/>
        <w:jc w:val="both"/>
      </w:pPr>
    </w:p>
    <w:p w14:paraId="34A374C7" w14:textId="77777777" w:rsidR="009E04C9" w:rsidRDefault="009E04C9" w:rsidP="009E04C9">
      <w:pPr>
        <w:pStyle w:val="PlainText"/>
        <w:ind w:left="720"/>
        <w:jc w:val="both"/>
        <w:rPr>
          <w:b/>
          <w:i/>
        </w:rPr>
      </w:pPr>
    </w:p>
    <w:p w14:paraId="170B6208" w14:textId="20C81910" w:rsidR="003716A3" w:rsidRDefault="00F81725" w:rsidP="009E0576">
      <w:pPr>
        <w:pStyle w:val="PlainText"/>
        <w:jc w:val="both"/>
        <w:rPr>
          <w:b/>
          <w:i/>
        </w:rPr>
      </w:pPr>
      <w:r>
        <w:rPr>
          <w:b/>
          <w:i/>
        </w:rPr>
        <w:t xml:space="preserve">4.2 </w:t>
      </w:r>
      <w:r w:rsidR="0026189B">
        <w:rPr>
          <w:b/>
          <w:i/>
        </w:rPr>
        <w:t>Local Economic Development</w:t>
      </w:r>
    </w:p>
    <w:p w14:paraId="2058F5F4" w14:textId="71365B2B" w:rsidR="003716A3" w:rsidRDefault="003716A3" w:rsidP="00B547EA">
      <w:pPr>
        <w:pStyle w:val="PlainText"/>
        <w:jc w:val="both"/>
      </w:pPr>
    </w:p>
    <w:p w14:paraId="5FB6F9D1" w14:textId="2A589A7A" w:rsidR="007A6E26" w:rsidRDefault="00FC0854" w:rsidP="00B547EA">
      <w:pPr>
        <w:pStyle w:val="PlainText"/>
        <w:jc w:val="both"/>
        <w:rPr>
          <w:rFonts w:asciiTheme="minorHAnsi" w:hAnsiTheme="minorHAnsi" w:cs="Arial"/>
          <w:shd w:val="clear" w:color="auto" w:fill="FFFFFF"/>
        </w:rPr>
      </w:pPr>
      <w:r w:rsidRPr="0023330B">
        <w:rPr>
          <w:rFonts w:asciiTheme="minorHAnsi" w:hAnsiTheme="minorHAnsi" w:cs="Arial"/>
          <w:shd w:val="clear" w:color="auto" w:fill="FFFFFF"/>
        </w:rPr>
        <w:t xml:space="preserve">The gold mining </w:t>
      </w:r>
      <w:r w:rsidR="0026189B">
        <w:rPr>
          <w:rFonts w:asciiTheme="minorHAnsi" w:hAnsiTheme="minorHAnsi" w:cs="Arial"/>
          <w:shd w:val="clear" w:color="auto" w:fill="FFFFFF"/>
        </w:rPr>
        <w:t xml:space="preserve">sector </w:t>
      </w:r>
      <w:r w:rsidRPr="0023330B">
        <w:rPr>
          <w:rFonts w:asciiTheme="minorHAnsi" w:hAnsiTheme="minorHAnsi" w:cs="Arial"/>
          <w:shd w:val="clear" w:color="auto" w:fill="FFFFFF"/>
        </w:rPr>
        <w:t>in Ghana today is a radical departure from what it was during the colonial perio</w:t>
      </w:r>
      <w:r w:rsidR="0026189B">
        <w:rPr>
          <w:rFonts w:asciiTheme="minorHAnsi" w:hAnsiTheme="minorHAnsi" w:cs="Arial"/>
          <w:shd w:val="clear" w:color="auto" w:fill="FFFFFF"/>
        </w:rPr>
        <w:t xml:space="preserve">d.  </w:t>
      </w:r>
      <w:r w:rsidR="003B46B7">
        <w:rPr>
          <w:rFonts w:asciiTheme="minorHAnsi" w:hAnsiTheme="minorHAnsi" w:cs="Arial"/>
          <w:shd w:val="clear" w:color="auto" w:fill="FFFFFF"/>
        </w:rPr>
        <w:t>A century ago, the sector</w:t>
      </w:r>
      <w:r w:rsidR="001628DA">
        <w:rPr>
          <w:rFonts w:asciiTheme="minorHAnsi" w:hAnsiTheme="minorHAnsi" w:cs="Arial"/>
          <w:shd w:val="clear" w:color="auto" w:fill="FFFFFF"/>
        </w:rPr>
        <w:t xml:space="preserve"> had the look of </w:t>
      </w:r>
      <w:r w:rsidR="003B46B7">
        <w:rPr>
          <w:rFonts w:asciiTheme="minorHAnsi" w:hAnsiTheme="minorHAnsi" w:cs="Arial"/>
          <w:shd w:val="clear" w:color="auto" w:fill="FFFFFF"/>
        </w:rPr>
        <w:t>the</w:t>
      </w:r>
      <w:r w:rsidRPr="0023330B">
        <w:rPr>
          <w:rFonts w:asciiTheme="minorHAnsi" w:hAnsiTheme="minorHAnsi" w:cs="Arial"/>
          <w:shd w:val="clear" w:color="auto" w:fill="FFFFFF"/>
        </w:rPr>
        <w:t xml:space="preserve"> growth pole which officials in the donor community inexplicably contest it is today.</w:t>
      </w:r>
      <w:r w:rsidR="00886617" w:rsidRPr="0023330B">
        <w:rPr>
          <w:rFonts w:asciiTheme="minorHAnsi" w:hAnsiTheme="minorHAnsi" w:cs="Arial"/>
          <w:shd w:val="clear" w:color="auto" w:fill="FFFFFF"/>
        </w:rPr>
        <w:t xml:space="preserve">  </w:t>
      </w:r>
      <w:r w:rsidR="001628DA">
        <w:rPr>
          <w:rFonts w:asciiTheme="minorHAnsi" w:hAnsiTheme="minorHAnsi" w:cs="Arial"/>
          <w:shd w:val="clear" w:color="auto" w:fill="FFFFFF"/>
        </w:rPr>
        <w:t>It</w:t>
      </w:r>
      <w:r w:rsidR="0023330B">
        <w:rPr>
          <w:rFonts w:asciiTheme="minorHAnsi" w:hAnsiTheme="minorHAnsi" w:cs="Arial"/>
          <w:shd w:val="clear" w:color="auto" w:fill="FFFFFF"/>
        </w:rPr>
        <w:t xml:space="preserve"> was inextricably </w:t>
      </w:r>
      <w:r w:rsidR="00886617" w:rsidRPr="0023330B">
        <w:rPr>
          <w:rFonts w:asciiTheme="minorHAnsi" w:hAnsiTheme="minorHAnsi" w:cs="Arial"/>
          <w:shd w:val="clear" w:color="auto" w:fill="FFFFFF"/>
        </w:rPr>
        <w:t>tied to the expansion of the colony’s railways and harbours, the establishmen</w:t>
      </w:r>
      <w:r w:rsidR="007A6E26">
        <w:rPr>
          <w:rFonts w:asciiTheme="minorHAnsi" w:hAnsiTheme="minorHAnsi" w:cs="Arial"/>
          <w:shd w:val="clear" w:color="auto" w:fill="FFFFFF"/>
        </w:rPr>
        <w:t xml:space="preserve">t of which helped to resolve what </w:t>
      </w:r>
      <w:r w:rsidR="009F6DC4">
        <w:rPr>
          <w:rFonts w:asciiTheme="minorHAnsi" w:hAnsiTheme="minorHAnsi" w:cs="Arial"/>
          <w:shd w:val="clear" w:color="auto" w:fill="FFFFFF"/>
        </w:rPr>
        <w:t>Dumett</w:t>
      </w:r>
      <w:r w:rsidR="007A6E26">
        <w:rPr>
          <w:rFonts w:asciiTheme="minorHAnsi" w:hAnsiTheme="minorHAnsi" w:cs="Arial"/>
          <w:shd w:val="clear" w:color="auto" w:fill="FFFFFF"/>
        </w:rPr>
        <w:t xml:space="preserve"> (1998) refers to as the</w:t>
      </w:r>
      <w:r w:rsidR="00886617" w:rsidRPr="0023330B">
        <w:rPr>
          <w:rFonts w:asciiTheme="minorHAnsi" w:hAnsiTheme="minorHAnsi" w:cs="Arial"/>
          <w:shd w:val="clear" w:color="auto" w:fill="FFFFFF"/>
        </w:rPr>
        <w:t xml:space="preserve"> ‘transportation problem’</w:t>
      </w:r>
      <w:r w:rsidR="007A6E26">
        <w:rPr>
          <w:rFonts w:asciiTheme="minorHAnsi" w:hAnsiTheme="minorHAnsi" w:cs="Arial"/>
          <w:shd w:val="clear" w:color="auto" w:fill="FFFFFF"/>
        </w:rPr>
        <w:t>:</w:t>
      </w:r>
    </w:p>
    <w:p w14:paraId="0CEDFE2F" w14:textId="77777777" w:rsidR="007A6E26" w:rsidRDefault="007A6E26" w:rsidP="00B547EA">
      <w:pPr>
        <w:pStyle w:val="PlainText"/>
        <w:jc w:val="both"/>
        <w:rPr>
          <w:rFonts w:asciiTheme="minorHAnsi" w:hAnsiTheme="minorHAnsi" w:cs="Arial"/>
          <w:shd w:val="clear" w:color="auto" w:fill="FFFFFF"/>
        </w:rPr>
      </w:pPr>
    </w:p>
    <w:p w14:paraId="09D6DBC8" w14:textId="7B87AB15" w:rsidR="00E115C4" w:rsidRPr="0023330B" w:rsidRDefault="0023330B" w:rsidP="0026189B">
      <w:pPr>
        <w:pStyle w:val="PlainText"/>
        <w:ind w:left="567"/>
        <w:jc w:val="both"/>
        <w:rPr>
          <w:rFonts w:asciiTheme="minorHAnsi" w:hAnsiTheme="minorHAnsi" w:cs="Arial"/>
          <w:shd w:val="clear" w:color="auto" w:fill="FFFFFF"/>
        </w:rPr>
      </w:pPr>
      <w:r w:rsidRPr="0023330B">
        <w:rPr>
          <w:rFonts w:asciiTheme="minorHAnsi" w:hAnsiTheme="minorHAnsi" w:cs="Arial"/>
          <w:shd w:val="clear" w:color="auto" w:fill="FFFFFF"/>
        </w:rPr>
        <w:t xml:space="preserve"> </w:t>
      </w:r>
      <w:r w:rsidR="007A6E26">
        <w:rPr>
          <w:rFonts w:asciiTheme="minorHAnsi" w:hAnsiTheme="minorHAnsi" w:cs="Arial"/>
          <w:shd w:val="clear" w:color="auto" w:fill="FFFFFF"/>
        </w:rPr>
        <w:t>…transportation continued as the most serious barrier to mining success in the prerailway age.  So long as heavy machinery had to be lifted on to canoes or surfboards</w:t>
      </w:r>
      <w:r w:rsidR="0026189B">
        <w:rPr>
          <w:rFonts w:asciiTheme="minorHAnsi" w:hAnsiTheme="minorHAnsi" w:cs="Arial"/>
          <w:shd w:val="clear" w:color="auto" w:fill="FFFFFF"/>
        </w:rPr>
        <w:t xml:space="preserve"> for river transport and then headloaded in pieces by porters over narrow, circuitous woodland trails to the mines, there was no way that complex extraction machines could be emplaced in effective working order.</w:t>
      </w:r>
      <w:r w:rsidR="007A6E26">
        <w:rPr>
          <w:rFonts w:asciiTheme="minorHAnsi" w:hAnsiTheme="minorHAnsi" w:cs="Arial"/>
          <w:shd w:val="clear" w:color="auto" w:fill="FFFFFF"/>
        </w:rPr>
        <w:t xml:space="preserve"> </w:t>
      </w:r>
      <w:r w:rsidR="0026189B">
        <w:rPr>
          <w:rFonts w:asciiTheme="minorHAnsi" w:hAnsiTheme="minorHAnsi" w:cs="Arial"/>
          <w:shd w:val="clear" w:color="auto" w:fill="FFFFFF"/>
        </w:rPr>
        <w:t>[p. 154]</w:t>
      </w:r>
    </w:p>
    <w:p w14:paraId="42230889" w14:textId="59882BAB" w:rsidR="00886617" w:rsidRDefault="00886617" w:rsidP="00B547EA">
      <w:pPr>
        <w:pStyle w:val="PlainText"/>
        <w:jc w:val="both"/>
        <w:rPr>
          <w:rFonts w:asciiTheme="minorHAnsi" w:hAnsiTheme="minorHAnsi" w:cs="Arial"/>
          <w:color w:val="262626"/>
          <w:shd w:val="clear" w:color="auto" w:fill="FFFFFF"/>
        </w:rPr>
      </w:pPr>
    </w:p>
    <w:p w14:paraId="58001B5B" w14:textId="0704C25A" w:rsidR="001628DA" w:rsidRPr="0072512A" w:rsidRDefault="001628DA" w:rsidP="00B547EA">
      <w:pPr>
        <w:pStyle w:val="PlainText"/>
        <w:jc w:val="both"/>
        <w:rPr>
          <w:rFonts w:asciiTheme="minorHAnsi" w:hAnsiTheme="minorHAnsi" w:cs="Arial"/>
          <w:shd w:val="clear" w:color="auto" w:fill="FFFFFF"/>
        </w:rPr>
      </w:pPr>
      <w:r w:rsidRPr="0072512A">
        <w:rPr>
          <w:rFonts w:asciiTheme="minorHAnsi" w:hAnsiTheme="minorHAnsi" w:cs="Arial"/>
          <w:shd w:val="clear" w:color="auto" w:fill="FFFFFF"/>
        </w:rPr>
        <w:t>Without railways or serviceable roads, machinery had to be carried on the heads of porters from the nearest body of water to the mines, which was extremely c</w:t>
      </w:r>
      <w:r w:rsidR="00F66352">
        <w:rPr>
          <w:rFonts w:asciiTheme="minorHAnsi" w:hAnsiTheme="minorHAnsi" w:cs="Arial"/>
          <w:shd w:val="clear" w:color="auto" w:fill="FFFFFF"/>
        </w:rPr>
        <w:t>ostly.  Moreover,</w:t>
      </w:r>
      <w:r w:rsidRPr="0072512A">
        <w:rPr>
          <w:rFonts w:asciiTheme="minorHAnsi" w:hAnsiTheme="minorHAnsi" w:cs="Arial"/>
          <w:shd w:val="clear" w:color="auto" w:fill="FFFFFF"/>
        </w:rPr>
        <w:t xml:space="preserve"> given the need to travel vast distances along rivers such as the Bonsah, delays </w:t>
      </w:r>
      <w:r w:rsidR="00D06EF6" w:rsidRPr="0072512A">
        <w:rPr>
          <w:rFonts w:asciiTheme="minorHAnsi" w:hAnsiTheme="minorHAnsi" w:cs="Arial"/>
          <w:shd w:val="clear" w:color="auto" w:fill="FFFFFF"/>
        </w:rPr>
        <w:t xml:space="preserve">in production due to lengthy wait for parts </w:t>
      </w:r>
      <w:r w:rsidRPr="0072512A">
        <w:rPr>
          <w:rFonts w:asciiTheme="minorHAnsi" w:hAnsiTheme="minorHAnsi" w:cs="Arial"/>
          <w:shd w:val="clear" w:color="auto" w:fill="FFFFFF"/>
        </w:rPr>
        <w:t>were inevitabl</w:t>
      </w:r>
      <w:r w:rsidR="00D06EF6" w:rsidRPr="0072512A">
        <w:rPr>
          <w:rFonts w:asciiTheme="minorHAnsi" w:hAnsiTheme="minorHAnsi" w:cs="Arial"/>
          <w:shd w:val="clear" w:color="auto" w:fill="FFFFFF"/>
        </w:rPr>
        <w:t>e</w:t>
      </w:r>
      <w:r w:rsidRPr="0072512A">
        <w:rPr>
          <w:rFonts w:asciiTheme="minorHAnsi" w:hAnsiTheme="minorHAnsi" w:cs="Arial"/>
          <w:shd w:val="clear" w:color="auto" w:fill="FFFFFF"/>
        </w:rPr>
        <w:t xml:space="preserve"> (Allen, 1958).</w:t>
      </w:r>
    </w:p>
    <w:p w14:paraId="5A80126A" w14:textId="24EFBF5B" w:rsidR="001628DA" w:rsidRDefault="001628DA" w:rsidP="00B547EA">
      <w:pPr>
        <w:pStyle w:val="PlainText"/>
        <w:jc w:val="both"/>
        <w:rPr>
          <w:rFonts w:asciiTheme="minorHAnsi" w:hAnsiTheme="minorHAnsi" w:cs="Arial"/>
          <w:color w:val="262626"/>
          <w:shd w:val="clear" w:color="auto" w:fill="FFFFFF"/>
        </w:rPr>
      </w:pPr>
    </w:p>
    <w:p w14:paraId="4901D9AE" w14:textId="5E11C1A5" w:rsidR="00F14DF9" w:rsidRPr="0072512A" w:rsidRDefault="00D06EF6" w:rsidP="00F14DF9">
      <w:pPr>
        <w:pStyle w:val="PlainText"/>
        <w:jc w:val="both"/>
      </w:pPr>
      <w:r w:rsidRPr="00F14DF9">
        <w:rPr>
          <w:rFonts w:asciiTheme="minorHAnsi" w:hAnsiTheme="minorHAnsi" w:cs="Arial"/>
          <w:color w:val="262626"/>
          <w:shd w:val="clear" w:color="auto" w:fill="FFFFFF"/>
        </w:rPr>
        <w:t xml:space="preserve">Whilst the specific </w:t>
      </w:r>
      <w:r w:rsidR="00F66352">
        <w:rPr>
          <w:rFonts w:asciiTheme="minorHAnsi" w:hAnsiTheme="minorHAnsi" w:cs="Arial"/>
          <w:color w:val="262626"/>
          <w:shd w:val="clear" w:color="auto" w:fill="FFFFFF"/>
        </w:rPr>
        <w:t xml:space="preserve">role </w:t>
      </w:r>
      <w:r w:rsidRPr="00F14DF9">
        <w:rPr>
          <w:rFonts w:asciiTheme="minorHAnsi" w:hAnsiTheme="minorHAnsi" w:cs="Arial"/>
          <w:color w:val="262626"/>
          <w:shd w:val="clear" w:color="auto" w:fill="FFFFFF"/>
        </w:rPr>
        <w:t xml:space="preserve">gold mining </w:t>
      </w:r>
      <w:r w:rsidR="00F66352">
        <w:rPr>
          <w:rFonts w:asciiTheme="minorHAnsi" w:hAnsiTheme="minorHAnsi" w:cs="Arial"/>
          <w:color w:val="262626"/>
          <w:shd w:val="clear" w:color="auto" w:fill="FFFFFF"/>
        </w:rPr>
        <w:t>played in the development of</w:t>
      </w:r>
      <w:r w:rsidRPr="00F14DF9">
        <w:rPr>
          <w:rFonts w:asciiTheme="minorHAnsi" w:hAnsiTheme="minorHAnsi" w:cs="Arial"/>
          <w:color w:val="262626"/>
          <w:shd w:val="clear" w:color="auto" w:fill="FFFFFF"/>
        </w:rPr>
        <w:t xml:space="preserve"> the Gold Coast Colony</w:t>
      </w:r>
      <w:r w:rsidR="00F66352">
        <w:rPr>
          <w:rFonts w:asciiTheme="minorHAnsi" w:hAnsiTheme="minorHAnsi" w:cs="Arial"/>
          <w:color w:val="262626"/>
          <w:shd w:val="clear" w:color="auto" w:fill="FFFFFF"/>
        </w:rPr>
        <w:t xml:space="preserve"> has been contested, what an analysis of the sector’s expansion </w:t>
      </w:r>
      <w:r w:rsidRPr="00F14DF9">
        <w:rPr>
          <w:rFonts w:asciiTheme="minorHAnsi" w:hAnsiTheme="minorHAnsi" w:cs="Arial"/>
          <w:color w:val="262626"/>
          <w:shd w:val="clear" w:color="auto" w:fill="FFFFFF"/>
        </w:rPr>
        <w:t xml:space="preserve">does reveal is </w:t>
      </w:r>
      <w:r w:rsidR="00F66352">
        <w:rPr>
          <w:rFonts w:asciiTheme="minorHAnsi" w:hAnsiTheme="minorHAnsi" w:cs="Arial"/>
          <w:color w:val="262626"/>
          <w:shd w:val="clear" w:color="auto" w:fill="FFFFFF"/>
        </w:rPr>
        <w:t xml:space="preserve">the context in which it </w:t>
      </w:r>
      <w:r w:rsidRPr="00F14DF9">
        <w:rPr>
          <w:rFonts w:asciiTheme="minorHAnsi" w:hAnsiTheme="minorHAnsi" w:cs="Arial"/>
          <w:color w:val="262626"/>
          <w:shd w:val="clear" w:color="auto" w:fill="FFFFFF"/>
        </w:rPr>
        <w:t>can become a growth pole.</w:t>
      </w:r>
      <w:r w:rsidR="00846A64" w:rsidRPr="00F14DF9">
        <w:rPr>
          <w:rFonts w:asciiTheme="minorHAnsi" w:hAnsiTheme="minorHAnsi" w:cs="Arial"/>
          <w:color w:val="262626"/>
          <w:shd w:val="clear" w:color="auto" w:fill="FFFFFF"/>
        </w:rPr>
        <w:t xml:space="preserve">  Improved transport links proved to be the tonic which the gold mining sector needed to expand and become more efficient.</w:t>
      </w:r>
      <w:r w:rsidR="002E446C" w:rsidRPr="00F14DF9">
        <w:rPr>
          <w:rFonts w:asciiTheme="minorHAnsi" w:hAnsiTheme="minorHAnsi" w:cs="Arial"/>
          <w:color w:val="262626"/>
          <w:shd w:val="clear" w:color="auto" w:fill="FFFFFF"/>
        </w:rPr>
        <w:t xml:space="preserve">  It was</w:t>
      </w:r>
      <w:r w:rsidR="00EE7634" w:rsidRPr="00F14DF9">
        <w:rPr>
          <w:rFonts w:asciiTheme="minorHAnsi" w:hAnsiTheme="minorHAnsi" w:cs="Arial"/>
          <w:color w:val="262626"/>
          <w:shd w:val="clear" w:color="auto" w:fill="FFFFFF"/>
        </w:rPr>
        <w:t xml:space="preserve"> report</w:t>
      </w:r>
      <w:r w:rsidR="002E446C" w:rsidRPr="00F14DF9">
        <w:rPr>
          <w:rFonts w:asciiTheme="minorHAnsi" w:hAnsiTheme="minorHAnsi" w:cs="Arial"/>
          <w:color w:val="262626"/>
          <w:shd w:val="clear" w:color="auto" w:fill="FFFFFF"/>
        </w:rPr>
        <w:t>ed that the development of the port of Takoradi</w:t>
      </w:r>
      <w:r w:rsidR="00654D0C">
        <w:rPr>
          <w:rFonts w:asciiTheme="minorHAnsi" w:hAnsiTheme="minorHAnsi" w:cs="Arial"/>
          <w:color w:val="262626"/>
          <w:shd w:val="clear" w:color="auto" w:fill="FFFFFF"/>
        </w:rPr>
        <w:t xml:space="preserve"> in the Western Region</w:t>
      </w:r>
      <w:r w:rsidR="002E446C" w:rsidRPr="00F14DF9">
        <w:rPr>
          <w:rFonts w:asciiTheme="minorHAnsi" w:hAnsiTheme="minorHAnsi" w:cs="Arial"/>
          <w:color w:val="262626"/>
          <w:shd w:val="clear" w:color="auto" w:fill="FFFFFF"/>
        </w:rPr>
        <w:t xml:space="preserve"> ‘attracted many aliens…</w:t>
      </w:r>
      <w:r w:rsidR="00EE7634" w:rsidRPr="00F14DF9">
        <w:rPr>
          <w:rFonts w:asciiTheme="minorHAnsi" w:hAnsiTheme="minorHAnsi" w:cs="Arial"/>
          <w:color w:val="262626"/>
          <w:shd w:val="clear" w:color="auto" w:fill="FFFFFF"/>
        </w:rPr>
        <w:t>who sa</w:t>
      </w:r>
      <w:r w:rsidR="002E446C" w:rsidRPr="00F14DF9">
        <w:rPr>
          <w:rFonts w:asciiTheme="minorHAnsi" w:hAnsiTheme="minorHAnsi" w:cs="Arial"/>
          <w:color w:val="262626"/>
          <w:shd w:val="clear" w:color="auto" w:fill="FFFFFF"/>
        </w:rPr>
        <w:t xml:space="preserve">w a tendency to stay’ </w:t>
      </w:r>
      <w:r w:rsidR="00EE7634" w:rsidRPr="00F14DF9">
        <w:rPr>
          <w:rFonts w:asciiTheme="minorHAnsi" w:hAnsiTheme="minorHAnsi" w:cs="Arial"/>
          <w:color w:val="262626"/>
          <w:shd w:val="clear" w:color="auto" w:fill="FFFFFF"/>
        </w:rPr>
        <w:t xml:space="preserve">(Harman, 1934, p. 62), which in part helped to stabilize the </w:t>
      </w:r>
      <w:r w:rsidR="005E315E" w:rsidRPr="00F14DF9">
        <w:rPr>
          <w:rFonts w:asciiTheme="minorHAnsi" w:hAnsiTheme="minorHAnsi" w:cs="Arial"/>
          <w:color w:val="262626"/>
          <w:shd w:val="clear" w:color="auto" w:fill="FFFFFF"/>
        </w:rPr>
        <w:t xml:space="preserve">mine </w:t>
      </w:r>
      <w:r w:rsidR="00EE7634" w:rsidRPr="00F14DF9">
        <w:rPr>
          <w:rFonts w:asciiTheme="minorHAnsi" w:hAnsiTheme="minorHAnsi" w:cs="Arial"/>
          <w:color w:val="262626"/>
          <w:shd w:val="clear" w:color="auto" w:fill="FFFFFF"/>
        </w:rPr>
        <w:t xml:space="preserve">labour crisis by minimizing the exodus of </w:t>
      </w:r>
      <w:r w:rsidR="005E315E" w:rsidRPr="00F14DF9">
        <w:rPr>
          <w:rFonts w:asciiTheme="minorHAnsi" w:hAnsiTheme="minorHAnsi" w:cs="Arial"/>
          <w:color w:val="262626"/>
          <w:shd w:val="clear" w:color="auto" w:fill="FFFFFF"/>
        </w:rPr>
        <w:t>individuals ideally-suited for low-skilled work</w:t>
      </w:r>
      <w:r w:rsidR="00EE7634" w:rsidRPr="00F14DF9">
        <w:rPr>
          <w:rFonts w:asciiTheme="minorHAnsi" w:hAnsiTheme="minorHAnsi" w:cs="Arial"/>
          <w:color w:val="262626"/>
          <w:shd w:val="clear" w:color="auto" w:fill="FFFFFF"/>
        </w:rPr>
        <w:t>.</w:t>
      </w:r>
      <w:r w:rsidR="005E315E" w:rsidRPr="00F14DF9">
        <w:rPr>
          <w:rFonts w:asciiTheme="minorHAnsi" w:hAnsiTheme="minorHAnsi" w:cs="Arial"/>
          <w:color w:val="262626"/>
          <w:shd w:val="clear" w:color="auto" w:fill="FFFFFF"/>
        </w:rPr>
        <w:t xml:space="preserve">  But it was the arrival of the railways and establishment of ports which would have the most significant transformative effect in the gold mining sector.</w:t>
      </w:r>
      <w:r w:rsidR="00CB2AA4" w:rsidRPr="00F14DF9">
        <w:rPr>
          <w:rFonts w:asciiTheme="minorHAnsi" w:hAnsiTheme="minorHAnsi" w:cs="Arial"/>
          <w:color w:val="262626"/>
          <w:shd w:val="clear" w:color="auto" w:fill="FFFFFF"/>
        </w:rPr>
        <w:t xml:space="preserve">  Proposals were made in the 1880s, one for a line from Elmina to Kumasi, and another from the sea to Tarkwa, as well as a por</w:t>
      </w:r>
      <w:r w:rsidR="00C62524" w:rsidRPr="00F14DF9">
        <w:rPr>
          <w:rFonts w:asciiTheme="minorHAnsi" w:hAnsiTheme="minorHAnsi" w:cs="Arial"/>
          <w:color w:val="262626"/>
          <w:shd w:val="clear" w:color="auto" w:fill="FFFFFF"/>
        </w:rPr>
        <w:t xml:space="preserve">t to replace Axim, a surf port </w:t>
      </w:r>
      <w:r w:rsidR="00CB2AA4" w:rsidRPr="00F14DF9">
        <w:rPr>
          <w:rFonts w:asciiTheme="minorHAnsi" w:hAnsiTheme="minorHAnsi" w:cs="Arial"/>
          <w:color w:val="262626"/>
          <w:shd w:val="clear" w:color="auto" w:fill="FFFFFF"/>
        </w:rPr>
        <w:t>(Bevin, 1956).</w:t>
      </w:r>
      <w:r w:rsidR="00C62524" w:rsidRPr="00F14DF9">
        <w:rPr>
          <w:rFonts w:asciiTheme="minorHAnsi" w:hAnsiTheme="minorHAnsi" w:cs="Arial"/>
          <w:color w:val="262626"/>
          <w:shd w:val="clear" w:color="auto" w:fill="FFFFFF"/>
        </w:rPr>
        <w:t xml:space="preserve">  It was recommended that the government adopt Sekondi as a coastal rail terminal and lighter harbour</w:t>
      </w:r>
      <w:r w:rsidR="00F14DF9" w:rsidRPr="00F14DF9">
        <w:rPr>
          <w:rFonts w:asciiTheme="minorHAnsi" w:hAnsiTheme="minorHAnsi" w:cs="Arial"/>
          <w:color w:val="262626"/>
          <w:shd w:val="clear" w:color="auto" w:fill="FFFFFF"/>
        </w:rPr>
        <w:t>.  Construction on this railway began in 1898;</w:t>
      </w:r>
      <w:r w:rsidR="00F14DF9" w:rsidRPr="00F14DF9">
        <w:t xml:space="preserve"> </w:t>
      </w:r>
      <w:r w:rsidR="00F66352">
        <w:t xml:space="preserve">it </w:t>
      </w:r>
      <w:r w:rsidR="00F14DF9" w:rsidRPr="00F14DF9">
        <w:t>reached Tarkwa in 1901, Obuasi and Kumasi in 1903, and Prestea in 1910; and connected to Accra, established as the territory's capital in 1875, and selected as the second coastal rail terminal</w:t>
      </w:r>
      <w:r w:rsidR="00F66352">
        <w:t>,</w:t>
      </w:r>
      <w:r w:rsidR="00F14DF9" w:rsidRPr="00F14DF9">
        <w:t xml:space="preserve"> in 1909</w:t>
      </w:r>
      <w:r w:rsidR="00670341">
        <w:t xml:space="preserve">, in the process </w:t>
      </w:r>
      <w:r w:rsidR="00F14DF9" w:rsidRPr="00F14DF9">
        <w:t>establish</w:t>
      </w:r>
      <w:r w:rsidR="00F66352">
        <w:t>i</w:t>
      </w:r>
      <w:r w:rsidR="00670341">
        <w:t>ng</w:t>
      </w:r>
      <w:r w:rsidR="00F66352">
        <w:t xml:space="preserve"> </w:t>
      </w:r>
      <w:r w:rsidR="00670341">
        <w:t xml:space="preserve">it </w:t>
      </w:r>
      <w:r w:rsidR="00F14DF9" w:rsidRPr="00F14DF9">
        <w:t>as a lighter harbour</w:t>
      </w:r>
      <w:r w:rsidR="0072512A">
        <w:t xml:space="preserve"> (White, 1955; Allen, 1958; Hilling, 1969).  </w:t>
      </w:r>
      <w:r w:rsidR="009F6DC4">
        <w:t>Dumett</w:t>
      </w:r>
      <w:r w:rsidR="0072512A">
        <w:t xml:space="preserve"> (1998) provide</w:t>
      </w:r>
      <w:r w:rsidR="00670341">
        <w:t>d</w:t>
      </w:r>
      <w:r w:rsidR="0072512A">
        <w:t xml:space="preserve"> a detailed glimpse of the </w:t>
      </w:r>
      <w:r w:rsidR="00B0720E">
        <w:t xml:space="preserve">growth pole </w:t>
      </w:r>
      <w:r w:rsidR="0072512A">
        <w:t>gold mining</w:t>
      </w:r>
      <w:r w:rsidR="00F66352">
        <w:t xml:space="preserve"> had become</w:t>
      </w:r>
      <w:r w:rsidR="00B0720E">
        <w:t xml:space="preserve"> in the colony even</w:t>
      </w:r>
      <w:r w:rsidR="0072512A">
        <w:t xml:space="preserve"> </w:t>
      </w:r>
      <w:r w:rsidR="0072512A">
        <w:rPr>
          <w:i/>
        </w:rPr>
        <w:t>prior</w:t>
      </w:r>
      <w:r w:rsidR="00B0720E">
        <w:t xml:space="preserve"> to the arrival</w:t>
      </w:r>
      <w:r w:rsidR="0072512A">
        <w:t xml:space="preserve"> of </w:t>
      </w:r>
      <w:r w:rsidR="00B0720E">
        <w:t>the railways and harbours:</w:t>
      </w:r>
    </w:p>
    <w:p w14:paraId="703293E9" w14:textId="6C7A6BCC" w:rsidR="00D06EF6" w:rsidRDefault="00D06EF6" w:rsidP="00B547EA">
      <w:pPr>
        <w:pStyle w:val="PlainText"/>
        <w:jc w:val="both"/>
        <w:rPr>
          <w:rFonts w:asciiTheme="minorHAnsi" w:hAnsiTheme="minorHAnsi" w:cs="Arial"/>
          <w:color w:val="262626"/>
          <w:shd w:val="clear" w:color="auto" w:fill="FFFFFF"/>
        </w:rPr>
      </w:pPr>
    </w:p>
    <w:p w14:paraId="2E034D71" w14:textId="10A803D5" w:rsidR="00B0720E" w:rsidRDefault="00B0720E" w:rsidP="002E7096">
      <w:pPr>
        <w:pStyle w:val="PlainText"/>
        <w:ind w:left="567"/>
        <w:jc w:val="both"/>
        <w:rPr>
          <w:rFonts w:asciiTheme="minorHAnsi" w:hAnsiTheme="minorHAnsi" w:cs="Arial"/>
          <w:color w:val="262626"/>
          <w:shd w:val="clear" w:color="auto" w:fill="FFFFFF"/>
        </w:rPr>
      </w:pPr>
      <w:r>
        <w:rPr>
          <w:rFonts w:asciiTheme="minorHAnsi" w:hAnsiTheme="minorHAnsi" w:cs="Arial"/>
          <w:color w:val="262626"/>
          <w:shd w:val="clear" w:color="auto" w:fill="FFFFFF"/>
        </w:rPr>
        <w:t xml:space="preserve">…the main Western and central port towns, especially Axim and Cape Coast, became feeder ports and stopover points for steamships that regularly uploaded supplies </w:t>
      </w:r>
      <w:r w:rsidR="002E7096">
        <w:rPr>
          <w:rFonts w:asciiTheme="minorHAnsi" w:hAnsiTheme="minorHAnsi" w:cs="Arial"/>
          <w:color w:val="262626"/>
          <w:shd w:val="clear" w:color="auto" w:fill="FFFFFF"/>
        </w:rPr>
        <w:t>a</w:t>
      </w:r>
      <w:r>
        <w:rPr>
          <w:rFonts w:asciiTheme="minorHAnsi" w:hAnsiTheme="minorHAnsi" w:cs="Arial"/>
          <w:color w:val="262626"/>
          <w:shd w:val="clear" w:color="auto" w:fill="FFFFFF"/>
        </w:rPr>
        <w:t>nd personnel en route to the mines – personnel who in turn had to be fed and lodged at various intermediate posts along the way.  The outskirts of these same towns became beehives of activity as shipping agents supervised the transfer of expensive cargoes from ocean-going liners to river canoes for the journey up the Ankobra, or recruited scores or porters into caravans for arduous overland journey to Wassa.  Market traders in fish, poultry, meat and vegetables also did a brisk business at Axim, Cape Coast and intermediate points along the route to the hinterland…</w:t>
      </w:r>
    </w:p>
    <w:p w14:paraId="373B3A03" w14:textId="762D569C" w:rsidR="00B0720E" w:rsidRDefault="00B0720E" w:rsidP="002E7096">
      <w:pPr>
        <w:pStyle w:val="PlainText"/>
        <w:ind w:left="567"/>
        <w:jc w:val="both"/>
        <w:rPr>
          <w:rFonts w:asciiTheme="minorHAnsi" w:hAnsiTheme="minorHAnsi" w:cs="Arial"/>
          <w:color w:val="262626"/>
          <w:shd w:val="clear" w:color="auto" w:fill="FFFFFF"/>
        </w:rPr>
      </w:pPr>
    </w:p>
    <w:p w14:paraId="4460907D" w14:textId="69522D7D" w:rsidR="00B0720E" w:rsidRDefault="00B0720E" w:rsidP="002E7096">
      <w:pPr>
        <w:pStyle w:val="PlainText"/>
        <w:ind w:left="567"/>
        <w:jc w:val="both"/>
        <w:rPr>
          <w:rFonts w:asciiTheme="minorHAnsi" w:hAnsiTheme="minorHAnsi" w:cs="Arial"/>
          <w:color w:val="262626"/>
          <w:shd w:val="clear" w:color="auto" w:fill="FFFFFF"/>
        </w:rPr>
      </w:pPr>
      <w:r>
        <w:rPr>
          <w:rFonts w:asciiTheme="minorHAnsi" w:hAnsiTheme="minorHAnsi" w:cs="Arial"/>
          <w:color w:val="262626"/>
          <w:shd w:val="clear" w:color="auto" w:fill="FFFFFF"/>
        </w:rPr>
        <w:t>In the midst of this frenetic expansion, a building industry also flourished – both at the mining camps with numerous workers huts</w:t>
      </w:r>
      <w:r w:rsidR="002E7096">
        <w:rPr>
          <w:rFonts w:asciiTheme="minorHAnsi" w:hAnsiTheme="minorHAnsi" w:cs="Arial"/>
          <w:color w:val="262626"/>
          <w:shd w:val="clear" w:color="auto" w:fill="FFFFFF"/>
        </w:rPr>
        <w:t>, warehouses, outbuildings and the housings for machinery and crushing plants – and at the coastal towns – chiefly Axim and Cape Coast – in the form of new stores, warehouses, hotels, and chop houses…the introduction of saw mills by each of the major gold companies was a significant innovation.  Backward linkages were created between building construction, with its demands for raw materials, and such local production as stone quarrying, gravel crushing, and the new timber-cutting industry of the Lower Ankobra.  Finally, the mechanized mines also provided instruction and experience to numbers of African skilled workers.  Carpenters, wheelwrights, stonemasons, mechanics, welders, office clerks, and engine drivers got their start at the mines, and after leaving company employment, they contributed to the general development of the colony during future decades…[p. 263-264]</w:t>
      </w:r>
    </w:p>
    <w:p w14:paraId="2FB62068" w14:textId="5447D81B" w:rsidR="002E7096" w:rsidRDefault="002E7096" w:rsidP="00B547EA">
      <w:pPr>
        <w:pStyle w:val="PlainText"/>
        <w:jc w:val="both"/>
        <w:rPr>
          <w:rFonts w:asciiTheme="minorHAnsi" w:hAnsiTheme="minorHAnsi" w:cs="Arial"/>
          <w:color w:val="262626"/>
          <w:shd w:val="clear" w:color="auto" w:fill="FFFFFF"/>
        </w:rPr>
      </w:pPr>
    </w:p>
    <w:p w14:paraId="522FDE65" w14:textId="1BDCABDF" w:rsidR="007219B8" w:rsidRDefault="00F66352" w:rsidP="00B547EA">
      <w:pPr>
        <w:pStyle w:val="PlainText"/>
        <w:jc w:val="both"/>
        <w:rPr>
          <w:rFonts w:asciiTheme="minorHAnsi" w:hAnsiTheme="minorHAnsi" w:cs="Arial"/>
          <w:color w:val="262626"/>
          <w:shd w:val="clear" w:color="auto" w:fill="FFFFFF"/>
        </w:rPr>
      </w:pPr>
      <w:r>
        <w:rPr>
          <w:rFonts w:asciiTheme="minorHAnsi" w:hAnsiTheme="minorHAnsi" w:cs="Arial"/>
          <w:color w:val="262626"/>
          <w:shd w:val="clear" w:color="auto" w:fill="FFFFFF"/>
        </w:rPr>
        <w:t>This commerce intensified</w:t>
      </w:r>
      <w:r w:rsidR="007219B8">
        <w:rPr>
          <w:rFonts w:asciiTheme="minorHAnsi" w:hAnsiTheme="minorHAnsi" w:cs="Arial"/>
          <w:color w:val="262626"/>
          <w:shd w:val="clear" w:color="auto" w:fill="FFFFFF"/>
        </w:rPr>
        <w:t xml:space="preserve"> following t</w:t>
      </w:r>
      <w:r>
        <w:rPr>
          <w:rFonts w:asciiTheme="minorHAnsi" w:hAnsiTheme="minorHAnsi" w:cs="Arial"/>
          <w:color w:val="262626"/>
          <w:shd w:val="clear" w:color="auto" w:fill="FFFFFF"/>
        </w:rPr>
        <w:t xml:space="preserve">he construction of </w:t>
      </w:r>
      <w:r w:rsidR="007219B8">
        <w:rPr>
          <w:rFonts w:asciiTheme="minorHAnsi" w:hAnsiTheme="minorHAnsi" w:cs="Arial"/>
          <w:color w:val="262626"/>
          <w:shd w:val="clear" w:color="auto" w:fill="FFFFFF"/>
        </w:rPr>
        <w:t>railway</w:t>
      </w:r>
      <w:r>
        <w:rPr>
          <w:rFonts w:asciiTheme="minorHAnsi" w:hAnsiTheme="minorHAnsi" w:cs="Arial"/>
          <w:color w:val="262626"/>
          <w:shd w:val="clear" w:color="auto" w:fill="FFFFFF"/>
        </w:rPr>
        <w:t>s and lighter ports</w:t>
      </w:r>
      <w:r w:rsidR="007219B8">
        <w:rPr>
          <w:rFonts w:asciiTheme="minorHAnsi" w:hAnsiTheme="minorHAnsi" w:cs="Arial"/>
          <w:color w:val="262626"/>
          <w:shd w:val="clear" w:color="auto" w:fill="FFFFFF"/>
        </w:rPr>
        <w:t>.</w:t>
      </w:r>
    </w:p>
    <w:p w14:paraId="7A884D4A" w14:textId="77777777" w:rsidR="007219B8" w:rsidRDefault="007219B8" w:rsidP="00B547EA">
      <w:pPr>
        <w:pStyle w:val="PlainText"/>
        <w:jc w:val="both"/>
        <w:rPr>
          <w:rFonts w:asciiTheme="minorHAnsi" w:hAnsiTheme="minorHAnsi" w:cs="Arial"/>
          <w:color w:val="262626"/>
          <w:shd w:val="clear" w:color="auto" w:fill="FFFFFF"/>
        </w:rPr>
      </w:pPr>
    </w:p>
    <w:p w14:paraId="6F8ACE15" w14:textId="1E539944" w:rsidR="00456F8A" w:rsidRDefault="007B415D" w:rsidP="00B547EA">
      <w:pPr>
        <w:pStyle w:val="PlainText"/>
        <w:jc w:val="both"/>
        <w:rPr>
          <w:rFonts w:asciiTheme="minorHAnsi" w:hAnsiTheme="minorHAnsi" w:cs="Arial"/>
          <w:color w:val="262626"/>
          <w:shd w:val="clear" w:color="auto" w:fill="FFFFFF"/>
        </w:rPr>
      </w:pPr>
      <w:r>
        <w:rPr>
          <w:rFonts w:asciiTheme="minorHAnsi" w:hAnsiTheme="minorHAnsi" w:cs="Arial"/>
          <w:color w:val="262626"/>
          <w:shd w:val="clear" w:color="auto" w:fill="FFFFFF"/>
        </w:rPr>
        <w:t xml:space="preserve">These dynamics, however, have since changed dramatically.  The diminished cost of transportation, along with the presence of both a serviceable </w:t>
      </w:r>
      <w:r w:rsidR="00F66352">
        <w:rPr>
          <w:rFonts w:asciiTheme="minorHAnsi" w:hAnsiTheme="minorHAnsi" w:cs="Arial"/>
          <w:color w:val="262626"/>
          <w:shd w:val="clear" w:color="auto" w:fill="FFFFFF"/>
        </w:rPr>
        <w:t xml:space="preserve">and well-connected </w:t>
      </w:r>
      <w:r>
        <w:rPr>
          <w:rFonts w:asciiTheme="minorHAnsi" w:hAnsiTheme="minorHAnsi" w:cs="Arial"/>
          <w:color w:val="262626"/>
          <w:shd w:val="clear" w:color="auto" w:fill="FFFFFF"/>
        </w:rPr>
        <w:t xml:space="preserve">international airport and numerous domestic airports, has lessened the dependency of the country’s mine operators on rail and road transport.  </w:t>
      </w:r>
      <w:r w:rsidR="004B0629">
        <w:rPr>
          <w:rFonts w:asciiTheme="minorHAnsi" w:hAnsiTheme="minorHAnsi" w:cs="Arial"/>
          <w:color w:val="262626"/>
          <w:shd w:val="clear" w:color="auto" w:fill="FFFFFF"/>
        </w:rPr>
        <w:t>Reinforcing claims made by Ferguson (2005)</w:t>
      </w:r>
      <w:r>
        <w:rPr>
          <w:rFonts w:asciiTheme="minorHAnsi" w:hAnsiTheme="minorHAnsi" w:cs="Arial"/>
          <w:color w:val="262626"/>
          <w:shd w:val="clear" w:color="auto" w:fill="FFFFFF"/>
        </w:rPr>
        <w:t xml:space="preserve">, Ghana’s gold mines are </w:t>
      </w:r>
      <w:r w:rsidR="00F66352">
        <w:rPr>
          <w:rFonts w:asciiTheme="minorHAnsi" w:hAnsiTheme="minorHAnsi" w:cs="Arial"/>
          <w:color w:val="262626"/>
          <w:shd w:val="clear" w:color="auto" w:fill="FFFFFF"/>
        </w:rPr>
        <w:t xml:space="preserve">today, </w:t>
      </w:r>
      <w:r>
        <w:rPr>
          <w:rFonts w:asciiTheme="minorHAnsi" w:hAnsiTheme="minorHAnsi" w:cs="Arial"/>
          <w:color w:val="262626"/>
          <w:shd w:val="clear" w:color="auto" w:fill="FFFFFF"/>
        </w:rPr>
        <w:t>t</w:t>
      </w:r>
      <w:r w:rsidR="00F66352">
        <w:rPr>
          <w:rFonts w:asciiTheme="minorHAnsi" w:hAnsiTheme="minorHAnsi" w:cs="Arial"/>
          <w:color w:val="262626"/>
          <w:shd w:val="clear" w:color="auto" w:fill="FFFFFF"/>
        </w:rPr>
        <w:t>rue</w:t>
      </w:r>
      <w:r>
        <w:rPr>
          <w:rFonts w:asciiTheme="minorHAnsi" w:hAnsiTheme="minorHAnsi" w:cs="Arial"/>
          <w:color w:val="262626"/>
          <w:shd w:val="clear" w:color="auto" w:fill="FFFFFF"/>
        </w:rPr>
        <w:t xml:space="preserve"> resource enclaves, nestled in a landscape punctuated by potholed roads, ramshackle houses and deteriorating infrastructure.</w:t>
      </w:r>
      <w:r w:rsidR="00A0143C">
        <w:rPr>
          <w:rFonts w:asciiTheme="minorHAnsi" w:hAnsiTheme="minorHAnsi" w:cs="Arial"/>
          <w:color w:val="262626"/>
          <w:shd w:val="clear" w:color="auto" w:fill="FFFFFF"/>
        </w:rPr>
        <w:t xml:space="preserve">  Efforts to regenerate these deteriorated landscapes, seen as a crucial part of the development exercise during the colonial period, have been repackaged as CSR by mine operators.  Management at Gold Fields, for example, has broadcasted its intentions to fix the ‘deplorable Tarkwa-Damang road’ which connects both of its mines.</w:t>
      </w:r>
      <w:r w:rsidR="00F15B5B">
        <w:rPr>
          <w:rFonts w:asciiTheme="minorHAnsi" w:hAnsiTheme="minorHAnsi" w:cs="Arial"/>
          <w:color w:val="262626"/>
          <w:shd w:val="clear" w:color="auto" w:fill="FFFFFF"/>
        </w:rPr>
        <w:t xml:space="preserve">  Whilst mentioning that the rehabilitation of the road will benefit farmers, who have struggled ‘</w:t>
      </w:r>
      <w:r w:rsidR="00D43B43">
        <w:rPr>
          <w:rFonts w:asciiTheme="minorHAnsi" w:hAnsiTheme="minorHAnsi" w:cs="Arial"/>
          <w:color w:val="262626"/>
          <w:shd w:val="clear" w:color="auto" w:fill="FFFFFF"/>
        </w:rPr>
        <w:t>to transport</w:t>
      </w:r>
      <w:r w:rsidR="00F15B5B">
        <w:rPr>
          <w:rFonts w:asciiTheme="minorHAnsi" w:hAnsiTheme="minorHAnsi" w:cs="Arial"/>
          <w:color w:val="262626"/>
          <w:shd w:val="clear" w:color="auto" w:fill="FFFFFF"/>
        </w:rPr>
        <w:t xml:space="preserve"> food produ</w:t>
      </w:r>
      <w:r w:rsidR="006A13A7">
        <w:rPr>
          <w:rFonts w:asciiTheme="minorHAnsi" w:hAnsiTheme="minorHAnsi" w:cs="Arial"/>
          <w:color w:val="262626"/>
          <w:shd w:val="clear" w:color="auto" w:fill="FFFFFF"/>
        </w:rPr>
        <w:t>ce f</w:t>
      </w:r>
      <w:r w:rsidR="001E65AE">
        <w:rPr>
          <w:rFonts w:asciiTheme="minorHAnsi" w:hAnsiTheme="minorHAnsi" w:cs="Arial"/>
          <w:color w:val="262626"/>
          <w:shd w:val="clear" w:color="auto" w:fill="FFFFFF"/>
        </w:rPr>
        <w:t>ro</w:t>
      </w:r>
      <w:r w:rsidR="006A13A7">
        <w:rPr>
          <w:rFonts w:asciiTheme="minorHAnsi" w:hAnsiTheme="minorHAnsi" w:cs="Arial"/>
          <w:color w:val="262626"/>
          <w:shd w:val="clear" w:color="auto" w:fill="FFFFFF"/>
        </w:rPr>
        <w:t>m the various from the various farm-gate to the near-bye communities’, it is the mine’s vehicles which contributed to its deterioration</w:t>
      </w:r>
      <w:r w:rsidR="000668DE">
        <w:rPr>
          <w:rFonts w:asciiTheme="minorHAnsi" w:hAnsiTheme="minorHAnsi" w:cs="Arial"/>
          <w:color w:val="262626"/>
          <w:shd w:val="clear" w:color="auto" w:fill="FFFFFF"/>
        </w:rPr>
        <w:t xml:space="preserve"> in the first place</w:t>
      </w:r>
      <w:r w:rsidR="00456F8A">
        <w:rPr>
          <w:rFonts w:asciiTheme="minorHAnsi" w:hAnsiTheme="minorHAnsi" w:cs="Arial"/>
          <w:color w:val="262626"/>
          <w:shd w:val="clear" w:color="auto" w:fill="FFFFFF"/>
        </w:rPr>
        <w:t xml:space="preserve">, and a main reason for its repair is to improve the access routes for </w:t>
      </w:r>
      <w:r w:rsidR="000668DE">
        <w:rPr>
          <w:rFonts w:asciiTheme="minorHAnsi" w:hAnsiTheme="minorHAnsi" w:cs="Arial"/>
          <w:color w:val="262626"/>
          <w:shd w:val="clear" w:color="auto" w:fill="FFFFFF"/>
        </w:rPr>
        <w:t xml:space="preserve">the mines’ </w:t>
      </w:r>
      <w:r w:rsidR="00456F8A">
        <w:rPr>
          <w:rFonts w:asciiTheme="minorHAnsi" w:hAnsiTheme="minorHAnsi" w:cs="Arial"/>
          <w:color w:val="262626"/>
          <w:shd w:val="clear" w:color="auto" w:fill="FFFFFF"/>
        </w:rPr>
        <w:t>contractors</w:t>
      </w:r>
      <w:r w:rsidR="006A13A7">
        <w:rPr>
          <w:rFonts w:asciiTheme="minorHAnsi" w:hAnsiTheme="minorHAnsi" w:cs="Arial"/>
          <w:color w:val="262626"/>
          <w:shd w:val="clear" w:color="auto" w:fill="FFFFFF"/>
        </w:rPr>
        <w:t>.</w:t>
      </w:r>
      <w:r w:rsidR="006A13A7">
        <w:rPr>
          <w:rStyle w:val="FootnoteReference"/>
          <w:rFonts w:asciiTheme="minorHAnsi" w:hAnsiTheme="minorHAnsi" w:cs="Arial"/>
          <w:color w:val="262626"/>
          <w:shd w:val="clear" w:color="auto" w:fill="FFFFFF"/>
        </w:rPr>
        <w:footnoteReference w:id="20"/>
      </w:r>
      <w:r w:rsidR="00F954E9">
        <w:rPr>
          <w:rFonts w:asciiTheme="minorHAnsi" w:hAnsiTheme="minorHAnsi" w:cs="Arial"/>
          <w:color w:val="262626"/>
          <w:shd w:val="clear" w:color="auto" w:fill="FFFFFF"/>
        </w:rPr>
        <w:t xml:space="preserve">  </w:t>
      </w:r>
    </w:p>
    <w:p w14:paraId="13FEDE8C" w14:textId="77777777" w:rsidR="00456F8A" w:rsidRDefault="00456F8A" w:rsidP="00B547EA">
      <w:pPr>
        <w:pStyle w:val="PlainText"/>
        <w:jc w:val="both"/>
        <w:rPr>
          <w:rFonts w:asciiTheme="minorHAnsi" w:hAnsiTheme="minorHAnsi" w:cs="Arial"/>
          <w:color w:val="262626"/>
          <w:shd w:val="clear" w:color="auto" w:fill="FFFFFF"/>
        </w:rPr>
      </w:pPr>
    </w:p>
    <w:p w14:paraId="6287B967" w14:textId="5DE17B53" w:rsidR="009D2658" w:rsidRDefault="00460815" w:rsidP="00B547EA">
      <w:pPr>
        <w:pStyle w:val="PlainText"/>
        <w:jc w:val="both"/>
        <w:rPr>
          <w:rFonts w:asciiTheme="minorHAnsi" w:hAnsiTheme="minorHAnsi" w:cs="Arial"/>
          <w:color w:val="262626"/>
          <w:shd w:val="clear" w:color="auto" w:fill="FFFFFF"/>
        </w:rPr>
      </w:pPr>
      <w:r>
        <w:rPr>
          <w:rFonts w:asciiTheme="minorHAnsi" w:hAnsiTheme="minorHAnsi" w:cs="Arial"/>
          <w:color w:val="262626"/>
          <w:shd w:val="clear" w:color="auto" w:fill="FFFFFF"/>
        </w:rPr>
        <w:t>Alongside these in</w:t>
      </w:r>
      <w:r w:rsidR="0051605F">
        <w:rPr>
          <w:rFonts w:asciiTheme="minorHAnsi" w:hAnsiTheme="minorHAnsi" w:cs="Arial"/>
          <w:color w:val="262626"/>
          <w:shd w:val="clear" w:color="auto" w:fill="FFFFFF"/>
        </w:rPr>
        <w:t xml:space="preserve">frastructure projects, </w:t>
      </w:r>
      <w:r>
        <w:rPr>
          <w:rFonts w:asciiTheme="minorHAnsi" w:hAnsiTheme="minorHAnsi" w:cs="Arial"/>
          <w:color w:val="262626"/>
          <w:shd w:val="clear" w:color="auto" w:fill="FFFFFF"/>
        </w:rPr>
        <w:t>comprehensive</w:t>
      </w:r>
      <w:r w:rsidR="0051605F">
        <w:rPr>
          <w:rFonts w:asciiTheme="minorHAnsi" w:hAnsiTheme="minorHAnsi" w:cs="Arial"/>
          <w:color w:val="262626"/>
          <w:shd w:val="clear" w:color="auto" w:fill="FFFFFF"/>
        </w:rPr>
        <w:t xml:space="preserve"> local economic development</w:t>
      </w:r>
      <w:r>
        <w:rPr>
          <w:rFonts w:asciiTheme="minorHAnsi" w:hAnsiTheme="minorHAnsi" w:cs="Arial"/>
          <w:color w:val="262626"/>
          <w:shd w:val="clear" w:color="auto" w:fill="FFFFFF"/>
        </w:rPr>
        <w:t xml:space="preserve"> programs</w:t>
      </w:r>
      <w:r w:rsidR="00F9724D">
        <w:rPr>
          <w:rFonts w:asciiTheme="minorHAnsi" w:hAnsiTheme="minorHAnsi" w:cs="Arial"/>
          <w:color w:val="262626"/>
          <w:shd w:val="clear" w:color="auto" w:fill="FFFFFF"/>
        </w:rPr>
        <w:t>, such as</w:t>
      </w:r>
      <w:r w:rsidR="003146FE">
        <w:rPr>
          <w:rFonts w:asciiTheme="minorHAnsi" w:hAnsiTheme="minorHAnsi" w:cs="Arial"/>
          <w:color w:val="262626"/>
          <w:shd w:val="clear" w:color="auto" w:fill="FFFFFF"/>
        </w:rPr>
        <w:t xml:space="preserve"> Newmont’s L</w:t>
      </w:r>
      <w:r w:rsidR="003146FE">
        <w:t>ivelihood Enhancement and C</w:t>
      </w:r>
      <w:r w:rsidR="005D21A2">
        <w:t>ommunity Empowerment Program (LEEP)</w:t>
      </w:r>
      <w:r w:rsidR="003146FE">
        <w:t xml:space="preserve">, </w:t>
      </w:r>
      <w:r w:rsidR="005D21A2">
        <w:t xml:space="preserve">which provides vocational and technical skills training to households impacted by the company’s Ahafo operation, </w:t>
      </w:r>
      <w:r>
        <w:t>have been implemented</w:t>
      </w:r>
      <w:r w:rsidR="003146FE">
        <w:t>.</w:t>
      </w:r>
      <w:r w:rsidR="00386965">
        <w:t xml:space="preserve">  Launched </w:t>
      </w:r>
      <w:r w:rsidR="00467B43">
        <w:t xml:space="preserve">in 2005, the </w:t>
      </w:r>
      <w:r w:rsidR="00386965">
        <w:t>LEEP was described in the local media</w:t>
      </w:r>
      <w:r w:rsidR="00467B43">
        <w:t>, shortly after its inception,</w:t>
      </w:r>
      <w:r w:rsidR="00386965">
        <w:t xml:space="preserve"> as ‘a success story’</w:t>
      </w:r>
      <w:r w:rsidR="00467B43">
        <w:t>.</w:t>
      </w:r>
      <w:r w:rsidR="00467B43">
        <w:rPr>
          <w:rStyle w:val="FootnoteReference"/>
        </w:rPr>
        <w:footnoteReference w:id="21"/>
      </w:r>
      <w:r w:rsidR="00456F8A">
        <w:t xml:space="preserve">  But how sustainable are </w:t>
      </w:r>
      <w:r w:rsidR="0051605F">
        <w:t xml:space="preserve">these programs?  There are two reasons for concern, the first being the lack of connection with other segments of Ghana’s economy.  Despite emphasizing the forging of linkages, and receiving support from the </w:t>
      </w:r>
      <w:r w:rsidR="009E04C9">
        <w:t>World Bank</w:t>
      </w:r>
      <w:r w:rsidR="0051605F">
        <w:t xml:space="preserve">, in the current landscape, </w:t>
      </w:r>
      <w:r w:rsidR="00683785">
        <w:t>moves to catalyze</w:t>
      </w:r>
      <w:r w:rsidR="0051605F">
        <w:t xml:space="preserve"> sustainable local ‘value-added’ services on the back of </w:t>
      </w:r>
      <w:r w:rsidR="00683785">
        <w:t>mine development in Ghana is virtually impossible</w:t>
      </w:r>
      <w:r w:rsidR="00456F8A">
        <w:t>, given the enclave setup of operations and their lack of integration into the local economy</w:t>
      </w:r>
      <w:r w:rsidR="00683785">
        <w:t xml:space="preserve">.  </w:t>
      </w:r>
      <w:r w:rsidR="0051605F">
        <w:t>A</w:t>
      </w:r>
      <w:r w:rsidR="006C5F09">
        <w:t xml:space="preserve">s </w:t>
      </w:r>
      <w:r w:rsidR="00683785">
        <w:t>confirmed</w:t>
      </w:r>
      <w:r w:rsidR="00CB278E">
        <w:t xml:space="preserve"> in a comprehensive study by </w:t>
      </w:r>
      <w:r w:rsidR="006C5F09">
        <w:t>Hi</w:t>
      </w:r>
      <w:r w:rsidR="00CB278E">
        <w:t xml:space="preserve">lson and </w:t>
      </w:r>
      <w:r w:rsidR="00CB278E">
        <w:lastRenderedPageBreak/>
        <w:t xml:space="preserve">Hilson (2017), there is no evidence to suggest that </w:t>
      </w:r>
      <w:r>
        <w:t>the</w:t>
      </w:r>
      <w:r w:rsidR="00456F8A">
        <w:t xml:space="preserve">se gold mines have </w:t>
      </w:r>
      <w:r>
        <w:t>forge</w:t>
      </w:r>
      <w:r w:rsidR="00456F8A">
        <w:t>d</w:t>
      </w:r>
      <w:r>
        <w:t xml:space="preserve"> linkages with other sectors of the economy</w:t>
      </w:r>
      <w:r w:rsidR="00456F8A">
        <w:t xml:space="preserve"> or are </w:t>
      </w:r>
      <w:r w:rsidR="000668DE">
        <w:t>able to</w:t>
      </w:r>
      <w:r w:rsidR="00456F8A">
        <w:t xml:space="preserve"> do so</w:t>
      </w:r>
      <w:r>
        <w:t>, despite claims that suggest otherwise (</w:t>
      </w:r>
      <w:r w:rsidR="00456F8A">
        <w:t xml:space="preserve">see </w:t>
      </w:r>
      <w:r>
        <w:t>e.g. Bloch and Owusu, 2012).</w:t>
      </w:r>
      <w:r w:rsidR="00683785">
        <w:t xml:space="preserve">  The second concern is the type</w:t>
      </w:r>
      <w:r w:rsidR="000668DE">
        <w:t>s</w:t>
      </w:r>
      <w:r w:rsidR="00683785">
        <w:t xml:space="preserve"> of activities being promoted.  Although companies such as Newmont and AngloGold Ashanti are helping to train local people in various vocations, </w:t>
      </w:r>
      <w:r w:rsidR="000668DE">
        <w:t>most of the</w:t>
      </w:r>
      <w:r w:rsidR="00683785">
        <w:t xml:space="preserve"> activities being supported are agricultural in fo</w:t>
      </w:r>
      <w:r w:rsidR="00456F8A">
        <w:t>cus.  Few</w:t>
      </w:r>
      <w:r w:rsidR="00683785">
        <w:t>, however, are sustainable because they fail to address the many challenges – limited access to markets, non-existent</w:t>
      </w:r>
      <w:r w:rsidR="00456F8A">
        <w:t xml:space="preserve"> state support and </w:t>
      </w:r>
      <w:r w:rsidR="00683785">
        <w:t>high costs of agricultural inputs – that farm families in Ghana now face (Hilson and Banchirigah, 2009).</w:t>
      </w:r>
      <w:r w:rsidR="001C46AC">
        <w:t xml:space="preserve">  But this has not stopped the </w:t>
      </w:r>
      <w:r w:rsidR="000668DE">
        <w:t xml:space="preserve">Ghana </w:t>
      </w:r>
      <w:r w:rsidR="001C46AC">
        <w:t>Chamber of Mines from investing a significant portion of the US$21 million</w:t>
      </w:r>
      <w:r w:rsidR="00683785">
        <w:t xml:space="preserve"> </w:t>
      </w:r>
      <w:r w:rsidR="001C46AC">
        <w:t xml:space="preserve">it has earmarked for local economic development in such farm-based </w:t>
      </w:r>
      <w:r w:rsidR="000668DE">
        <w:t>activities</w:t>
      </w:r>
      <w:r w:rsidR="001C46AC">
        <w:t>.</w:t>
      </w:r>
      <w:r w:rsidR="001C46AC">
        <w:rPr>
          <w:rStyle w:val="FootnoteReference"/>
        </w:rPr>
        <w:footnoteReference w:id="22"/>
      </w:r>
      <w:r w:rsidR="00683785">
        <w:t xml:space="preserve">  </w:t>
      </w:r>
      <w:r>
        <w:t xml:space="preserve"> </w:t>
      </w:r>
    </w:p>
    <w:p w14:paraId="40720377" w14:textId="724BB3B1" w:rsidR="009D2658" w:rsidRDefault="009D2658" w:rsidP="00B547EA">
      <w:pPr>
        <w:pStyle w:val="PlainText"/>
        <w:jc w:val="both"/>
        <w:rPr>
          <w:rFonts w:asciiTheme="minorHAnsi" w:hAnsiTheme="minorHAnsi" w:cs="Arial"/>
          <w:color w:val="262626"/>
          <w:shd w:val="clear" w:color="auto" w:fill="FFFFFF"/>
        </w:rPr>
      </w:pPr>
    </w:p>
    <w:p w14:paraId="7E0FB52B" w14:textId="3C1AEE5A" w:rsidR="00390BEA" w:rsidRDefault="00AB4A27" w:rsidP="00AB4A27">
      <w:pPr>
        <w:spacing w:after="0"/>
        <w:jc w:val="both"/>
      </w:pPr>
      <w:r>
        <w:t>To summarize, building on points raised in the previous section of this chapter, the case of Ghana illustrates very clearly that from their enclaves, the country’s gold mine operators have not been particularly ambit</w:t>
      </w:r>
      <w:r w:rsidR="00390BEA">
        <w:t>ious on the CSR front.  Consistent with what has taken place elsewhere in sub-Saharan Africa, t</w:t>
      </w:r>
      <w:r>
        <w:t>hey have, in m</w:t>
      </w:r>
      <w:r w:rsidR="00D373FC">
        <w:t xml:space="preserve">ost cases, </w:t>
      </w:r>
      <w:r w:rsidR="008612C2">
        <w:t xml:space="preserve">done very little aside from </w:t>
      </w:r>
      <w:r w:rsidR="00390BEA">
        <w:t>‘rebrand’ strategies and move</w:t>
      </w:r>
      <w:r w:rsidR="00456F8A">
        <w:t>s</w:t>
      </w:r>
      <w:r w:rsidR="00390BEA">
        <w:t xml:space="preserve"> made during the colonial period as </w:t>
      </w:r>
      <w:r w:rsidR="00D373FC">
        <w:t>CSR</w:t>
      </w:r>
      <w:r w:rsidR="00456F8A">
        <w:t xml:space="preserve"> to facilitate local economic development</w:t>
      </w:r>
      <w:r w:rsidR="00D373FC">
        <w:t>.</w:t>
      </w:r>
      <w:r w:rsidR="00456F8A">
        <w:t xml:space="preserve">  </w:t>
      </w:r>
      <w:r w:rsidR="003B6411">
        <w:t xml:space="preserve">  </w:t>
      </w:r>
      <w:r w:rsidR="00390BEA">
        <w:t xml:space="preserve"> </w:t>
      </w:r>
    </w:p>
    <w:p w14:paraId="5CDAABEB" w14:textId="77777777" w:rsidR="00DB165C" w:rsidRDefault="00DB165C" w:rsidP="00AB4A27">
      <w:pPr>
        <w:spacing w:after="0"/>
        <w:jc w:val="both"/>
        <w:rPr>
          <w:b/>
        </w:rPr>
      </w:pPr>
    </w:p>
    <w:p w14:paraId="55A35B20" w14:textId="244ACC6E" w:rsidR="00390BEA" w:rsidRPr="00D942C4" w:rsidRDefault="00456F8A" w:rsidP="00D942C4">
      <w:pPr>
        <w:pStyle w:val="ListParagraph"/>
        <w:numPr>
          <w:ilvl w:val="0"/>
          <w:numId w:val="16"/>
        </w:numPr>
        <w:spacing w:after="0"/>
        <w:jc w:val="both"/>
        <w:rPr>
          <w:b/>
        </w:rPr>
      </w:pPr>
      <w:r w:rsidRPr="00D942C4">
        <w:rPr>
          <w:b/>
        </w:rPr>
        <w:t>Concluding Remarks</w:t>
      </w:r>
    </w:p>
    <w:p w14:paraId="34CD4E76" w14:textId="4347CFDF" w:rsidR="00D9608C" w:rsidRDefault="00D9608C" w:rsidP="00AB4A27">
      <w:pPr>
        <w:spacing w:after="0"/>
        <w:jc w:val="both"/>
      </w:pPr>
    </w:p>
    <w:p w14:paraId="4F17EFCA" w14:textId="0ABCE13E" w:rsidR="00860DC4" w:rsidRDefault="00456F8A" w:rsidP="00860DC4">
      <w:pPr>
        <w:spacing w:after="0"/>
        <w:jc w:val="both"/>
      </w:pPr>
      <w:r>
        <w:t xml:space="preserve">On the subject of why, in sub-Saharan Africa, the CSR strategies and policies adopted at mines seem to lack creativity and </w:t>
      </w:r>
      <w:r w:rsidR="006F6AB0">
        <w:t xml:space="preserve">appear </w:t>
      </w:r>
      <w:r>
        <w:t>incapable of having a lasting impact, the search for explanations continues.</w:t>
      </w:r>
      <w:r w:rsidR="00B34487">
        <w:t xml:space="preserve">  This </w:t>
      </w:r>
      <w:r w:rsidR="002E57D6">
        <w:t>paper</w:t>
      </w:r>
      <w:r w:rsidR="00B34487">
        <w:t xml:space="preserve"> first drew attention to the enclave nature of the region’s mines which, it was argued, not only impacts the flow of investment and accompanying </w:t>
      </w:r>
      <w:r w:rsidR="006F6AB0">
        <w:t xml:space="preserve">patterns of </w:t>
      </w:r>
      <w:r w:rsidR="00B34487">
        <w:t>economic development but also affect</w:t>
      </w:r>
      <w:r w:rsidR="002E57D6">
        <w:t>s</w:t>
      </w:r>
      <w:r w:rsidR="00B34487">
        <w:t xml:space="preserve"> CSR strategy.  </w:t>
      </w:r>
      <w:r w:rsidR="008B7488">
        <w:t xml:space="preserve">The </w:t>
      </w:r>
      <w:r w:rsidR="002E57D6">
        <w:t>paper</w:t>
      </w:r>
      <w:r w:rsidR="008B7488">
        <w:t xml:space="preserve"> then drew attention to </w:t>
      </w:r>
      <w:r w:rsidR="00CC1A7A">
        <w:t xml:space="preserve">the types of </w:t>
      </w:r>
      <w:r w:rsidR="006F6AB0">
        <w:t xml:space="preserve">CSR </w:t>
      </w:r>
      <w:r w:rsidR="00CC1A7A">
        <w:t xml:space="preserve">practices being promoted.  In many cases, mining </w:t>
      </w:r>
      <w:r w:rsidR="002E57D6">
        <w:t xml:space="preserve">companies </w:t>
      </w:r>
      <w:r w:rsidR="00CC1A7A">
        <w:t>seem to be promoting the same ideas and financing</w:t>
      </w:r>
      <w:r w:rsidR="006F6AB0">
        <w:t xml:space="preserve"> similar projects to</w:t>
      </w:r>
      <w:r w:rsidR="00CC1A7A">
        <w:t xml:space="preserve"> those implemented during the colonial period but skilfully packages these as CSR.  The key difference, however, is that the landscape of countries such as Ghana has changed significantly, and with it, the role of mining.  Specifically, during the colonial period, mining was very much in a developmental phase in settings devoid of infrastructure and services, its fate determined heavily by the efforts of its companies and champions to engage local populations.  Its growth coincided with a period of intensive infrastructural development, which helped transform it into a ‘growth pole’</w:t>
      </w:r>
      <w:r w:rsidR="006F6AB0">
        <w:t>.  But today,</w:t>
      </w:r>
      <w:r w:rsidR="00CC1A7A">
        <w:t xml:space="preserve"> there are foundations in place, and with the mining sector being international, companies </w:t>
      </w:r>
      <w:r w:rsidR="00C924E6">
        <w:t xml:space="preserve">are no longer required to </w:t>
      </w:r>
      <w:r w:rsidR="0096629D">
        <w:t xml:space="preserve">pledge heavily to addressing local </w:t>
      </w:r>
      <w:r w:rsidR="002B1959">
        <w:t>concerns beyond the bare minimum</w:t>
      </w:r>
      <w:r w:rsidR="0096629D">
        <w:t>.  This could explain why many have ‘repackaged’ efforts made in the colonial period to facilitate local economic development as CSR.  The case of Ghana illustrated this quite clearly.</w:t>
      </w:r>
      <w:r w:rsidR="00CC1A7A">
        <w:t xml:space="preserve">    </w:t>
      </w:r>
    </w:p>
    <w:p w14:paraId="766F13A7" w14:textId="77777777" w:rsidR="00860DC4" w:rsidRDefault="00860DC4" w:rsidP="00860DC4">
      <w:pPr>
        <w:spacing w:after="0"/>
        <w:jc w:val="both"/>
      </w:pPr>
    </w:p>
    <w:p w14:paraId="0EA5F0EA" w14:textId="73FCCE1E" w:rsidR="00C03F67" w:rsidRDefault="00860DC4" w:rsidP="00AB4A27">
      <w:pPr>
        <w:spacing w:after="0"/>
        <w:jc w:val="both"/>
        <w:rPr>
          <w:color w:val="000000"/>
          <w:shd w:val="clear" w:color="auto" w:fill="FFFFFF"/>
        </w:rPr>
      </w:pPr>
      <w:r w:rsidRPr="007116E6">
        <w:t xml:space="preserve">As a point of departure, in each country, there are </w:t>
      </w:r>
      <w:r w:rsidR="00C03F67">
        <w:t xml:space="preserve">likely </w:t>
      </w:r>
      <w:r w:rsidRPr="007116E6">
        <w:t>additional explanations why ‘dead’ CSR policy continues to be promoted in the mining sector.  In the case of Ghana, one such reason has</w:t>
      </w:r>
      <w:r w:rsidR="0096629D" w:rsidRPr="007116E6">
        <w:t xml:space="preserve"> been a very active and vocal Chamber of Mines.  Former CEO Joyce Aryee in particular</w:t>
      </w:r>
      <w:r w:rsidR="00223939" w:rsidRPr="007116E6">
        <w:t xml:space="preserve"> must be credited with </w:t>
      </w:r>
      <w:r w:rsidR="0096629D" w:rsidRPr="007116E6">
        <w:t>deflecting</w:t>
      </w:r>
      <w:r w:rsidR="00223939" w:rsidRPr="007116E6">
        <w:t xml:space="preserve"> criticism of</w:t>
      </w:r>
      <w:r w:rsidR="0096629D" w:rsidRPr="007116E6">
        <w:t xml:space="preserve"> the sector’s lack of visible development during a</w:t>
      </w:r>
      <w:r w:rsidR="002B1959">
        <w:t>n extended</w:t>
      </w:r>
      <w:r w:rsidR="0096629D" w:rsidRPr="007116E6">
        <w:t xml:space="preserve"> period of high gold prices (2006-2013).  Despite repeated implementation of what Frynas (2005) would consider ‘white elephant projects’, </w:t>
      </w:r>
      <w:r w:rsidR="007116E6" w:rsidRPr="007116E6">
        <w:t xml:space="preserve">Ms. Aryee continued to hint that gold mining in Ghana </w:t>
      </w:r>
      <w:r w:rsidR="007116E6" w:rsidRPr="002B1959">
        <w:rPr>
          <w:i/>
        </w:rPr>
        <w:t>is</w:t>
      </w:r>
      <w:r w:rsidR="007116E6" w:rsidRPr="007116E6">
        <w:t xml:space="preserve"> </w:t>
      </w:r>
      <w:r w:rsidR="0096629D" w:rsidRPr="007116E6">
        <w:t xml:space="preserve">a </w:t>
      </w:r>
      <w:r w:rsidR="007116E6" w:rsidRPr="007116E6">
        <w:t>‘</w:t>
      </w:r>
      <w:r w:rsidR="0096629D" w:rsidRPr="007116E6">
        <w:t>growth pole</w:t>
      </w:r>
      <w:r w:rsidR="007116E6" w:rsidRPr="007116E6">
        <w:t>’</w:t>
      </w:r>
      <w:r w:rsidR="0057112E">
        <w:t xml:space="preserve">, </w:t>
      </w:r>
      <w:r w:rsidR="0096629D" w:rsidRPr="007116E6">
        <w:t xml:space="preserve">and </w:t>
      </w:r>
      <w:r w:rsidR="007116E6" w:rsidRPr="007116E6">
        <w:t xml:space="preserve">that </w:t>
      </w:r>
      <w:r w:rsidR="0096629D" w:rsidRPr="007116E6">
        <w:t>individual companies</w:t>
      </w:r>
      <w:r w:rsidR="007116E6" w:rsidRPr="007116E6">
        <w:t xml:space="preserve"> are</w:t>
      </w:r>
      <w:r w:rsidR="0096629D" w:rsidRPr="007116E6">
        <w:t xml:space="preserve"> making significant con</w:t>
      </w:r>
      <w:r w:rsidR="005A331A" w:rsidRPr="007116E6">
        <w:t xml:space="preserve">tributions to local communities.  </w:t>
      </w:r>
      <w:r w:rsidR="007116E6" w:rsidRPr="007116E6">
        <w:t>F</w:t>
      </w:r>
      <w:r w:rsidR="005A331A" w:rsidRPr="007116E6">
        <w:t xml:space="preserve">ollowing the announcement made by </w:t>
      </w:r>
      <w:r w:rsidR="009E04C9">
        <w:t>World Bank</w:t>
      </w:r>
      <w:r w:rsidR="005A331A" w:rsidRPr="007116E6">
        <w:t xml:space="preserve"> officials of their intentions, in 2011, to bolster local economic development in Ghana’s mining sector, a move which conceded the lack of progress made in this area, </w:t>
      </w:r>
      <w:r w:rsidR="005A331A" w:rsidRPr="007116E6">
        <w:lastRenderedPageBreak/>
        <w:t>Ms Ayree announced that ‘</w:t>
      </w:r>
      <w:r w:rsidR="0096629D" w:rsidRPr="007116E6">
        <w:t>Buying local goods and services serves as a catalyst for private sector development, and is one of the most significant contributions the mining sector can pro</w:t>
      </w:r>
      <w:r w:rsidR="005A331A" w:rsidRPr="007116E6">
        <w:t>vide to Ghana and to the region’.  She furthermore stated that ‘</w:t>
      </w:r>
      <w:r w:rsidR="0096629D" w:rsidRPr="007116E6">
        <w:t>We look forward to sharing the Ghanaian experience with other West Afr</w:t>
      </w:r>
      <w:r w:rsidR="005A331A" w:rsidRPr="007116E6">
        <w:t>ican chambers and stakeholders’</w:t>
      </w:r>
      <w:r w:rsidR="007116E6" w:rsidRPr="007116E6">
        <w:t>, despite there being few valuable lessons to draw from.</w:t>
      </w:r>
      <w:r w:rsidR="005A331A" w:rsidRPr="007116E6">
        <w:rPr>
          <w:rStyle w:val="FootnoteReference"/>
        </w:rPr>
        <w:footnoteReference w:id="23"/>
      </w:r>
      <w:r w:rsidR="007116E6" w:rsidRPr="007116E6">
        <w:t xml:space="preserve">  More recently, at the Mining Indaba</w:t>
      </w:r>
      <w:r w:rsidR="002E57D6">
        <w:rPr>
          <w:rStyle w:val="FootnoteReference"/>
        </w:rPr>
        <w:footnoteReference w:id="24"/>
      </w:r>
      <w:r w:rsidR="007116E6" w:rsidRPr="007116E6">
        <w:t xml:space="preserve"> in 2013, Ms Aryee </w:t>
      </w:r>
      <w:r w:rsidR="005A331A" w:rsidRPr="007116E6">
        <w:rPr>
          <w:color w:val="000000"/>
          <w:shd w:val="clear" w:color="auto" w:fill="FFFFFF"/>
        </w:rPr>
        <w:t>challenged the audie</w:t>
      </w:r>
      <w:r w:rsidR="007116E6" w:rsidRPr="007116E6">
        <w:rPr>
          <w:color w:val="000000"/>
          <w:shd w:val="clear" w:color="auto" w:fill="FFFFFF"/>
        </w:rPr>
        <w:t>nce to name another sector that</w:t>
      </w:r>
      <w:r w:rsidR="005A331A" w:rsidRPr="007116E6">
        <w:rPr>
          <w:color w:val="000000"/>
          <w:shd w:val="clear" w:color="auto" w:fill="FFFFFF"/>
        </w:rPr>
        <w:t xml:space="preserve"> was not in some w</w:t>
      </w:r>
      <w:r w:rsidR="007116E6" w:rsidRPr="007116E6">
        <w:rPr>
          <w:color w:val="000000"/>
          <w:shd w:val="clear" w:color="auto" w:fill="FFFFFF"/>
        </w:rPr>
        <w:t>ay reliant on mining, stating: ‘Agriculture?...</w:t>
      </w:r>
      <w:r w:rsidR="005A331A" w:rsidRPr="007116E6">
        <w:rPr>
          <w:color w:val="000000"/>
          <w:shd w:val="clear" w:color="auto" w:fill="FFFFFF"/>
        </w:rPr>
        <w:t>Withou</w:t>
      </w:r>
      <w:r w:rsidR="007116E6" w:rsidRPr="007116E6">
        <w:rPr>
          <w:color w:val="000000"/>
          <w:shd w:val="clear" w:color="auto" w:fill="FFFFFF"/>
        </w:rPr>
        <w:t>t mining, there are no tractors’. These claims</w:t>
      </w:r>
      <w:r w:rsidR="002B1959">
        <w:rPr>
          <w:color w:val="000000"/>
          <w:shd w:val="clear" w:color="auto" w:fill="FFFFFF"/>
        </w:rPr>
        <w:t>, however,</w:t>
      </w:r>
      <w:r w:rsidR="007116E6" w:rsidRPr="007116E6">
        <w:rPr>
          <w:color w:val="000000"/>
          <w:shd w:val="clear" w:color="auto" w:fill="FFFFFF"/>
        </w:rPr>
        <w:t xml:space="preserve"> run counter to the </w:t>
      </w:r>
      <w:r w:rsidR="00D35A6B">
        <w:rPr>
          <w:color w:val="000000"/>
          <w:shd w:val="clear" w:color="auto" w:fill="FFFFFF"/>
        </w:rPr>
        <w:t>abovementioned</w:t>
      </w:r>
      <w:r w:rsidR="007116E6" w:rsidRPr="007116E6">
        <w:rPr>
          <w:color w:val="000000"/>
          <w:shd w:val="clear" w:color="auto" w:fill="FFFFFF"/>
        </w:rPr>
        <w:t xml:space="preserve"> </w:t>
      </w:r>
      <w:r w:rsidR="002B1959">
        <w:rPr>
          <w:color w:val="000000"/>
          <w:shd w:val="clear" w:color="auto" w:fill="FFFFFF"/>
        </w:rPr>
        <w:t xml:space="preserve">arguments </w:t>
      </w:r>
      <w:r w:rsidR="007116E6" w:rsidRPr="007116E6">
        <w:rPr>
          <w:color w:val="000000"/>
          <w:shd w:val="clear" w:color="auto" w:fill="FFFFFF"/>
        </w:rPr>
        <w:t>made concerning mining’s positive contributions to local economic development, and concerns voiced by critics about the industry’s lack of linkages, as Ghana does not produce tractors.</w:t>
      </w:r>
      <w:r w:rsidR="007116E6">
        <w:rPr>
          <w:rStyle w:val="FootnoteReference"/>
          <w:color w:val="000000"/>
          <w:shd w:val="clear" w:color="auto" w:fill="FFFFFF"/>
        </w:rPr>
        <w:footnoteReference w:id="25"/>
      </w:r>
      <w:r w:rsidR="007116E6" w:rsidRPr="007116E6">
        <w:rPr>
          <w:color w:val="000000"/>
          <w:shd w:val="clear" w:color="auto" w:fill="FFFFFF"/>
        </w:rPr>
        <w:t xml:space="preserve">  </w:t>
      </w:r>
    </w:p>
    <w:p w14:paraId="6F31328F" w14:textId="4D6D930E" w:rsidR="00C03F67" w:rsidRDefault="00C03F67" w:rsidP="00AB4A27">
      <w:pPr>
        <w:spacing w:after="0"/>
        <w:jc w:val="both"/>
        <w:rPr>
          <w:color w:val="000000"/>
          <w:shd w:val="clear" w:color="auto" w:fill="FFFFFF"/>
        </w:rPr>
      </w:pPr>
    </w:p>
    <w:p w14:paraId="7FAF6AB5" w14:textId="48282F7B" w:rsidR="00C03F67" w:rsidRDefault="00C03F67" w:rsidP="00AB4A27">
      <w:pPr>
        <w:spacing w:after="0"/>
        <w:jc w:val="both"/>
        <w:rPr>
          <w:color w:val="000000"/>
          <w:shd w:val="clear" w:color="auto" w:fill="FFFFFF"/>
        </w:rPr>
      </w:pPr>
      <w:r>
        <w:rPr>
          <w:color w:val="000000"/>
          <w:shd w:val="clear" w:color="auto" w:fill="FFFFFF"/>
        </w:rPr>
        <w:t>The key moving forward is to no longer</w:t>
      </w:r>
      <w:r w:rsidR="006F6AB0">
        <w:rPr>
          <w:color w:val="000000"/>
          <w:shd w:val="clear" w:color="auto" w:fill="FFFFFF"/>
        </w:rPr>
        <w:t xml:space="preserve"> dwell on what mining was in the past.  In an era of globalization</w:t>
      </w:r>
      <w:r w:rsidR="002B1959">
        <w:rPr>
          <w:color w:val="000000"/>
          <w:shd w:val="clear" w:color="auto" w:fill="FFFFFF"/>
        </w:rPr>
        <w:t>,</w:t>
      </w:r>
      <w:r w:rsidR="006F6AB0">
        <w:rPr>
          <w:color w:val="000000"/>
          <w:shd w:val="clear" w:color="auto" w:fill="FFFFFF"/>
        </w:rPr>
        <w:t xml:space="preserve"> the dynamics and objectives </w:t>
      </w:r>
      <w:r w:rsidR="002B1959">
        <w:rPr>
          <w:color w:val="000000"/>
          <w:shd w:val="clear" w:color="auto" w:fill="FFFFFF"/>
        </w:rPr>
        <w:t xml:space="preserve">of industry </w:t>
      </w:r>
      <w:r w:rsidR="006F6AB0">
        <w:rPr>
          <w:color w:val="000000"/>
          <w:shd w:val="clear" w:color="auto" w:fill="FFFFFF"/>
        </w:rPr>
        <w:t>are very different.  Once this is recognized, only then can the necessary tweaks b</w:t>
      </w:r>
      <w:r w:rsidR="002B1959">
        <w:rPr>
          <w:color w:val="000000"/>
          <w:shd w:val="clear" w:color="auto" w:fill="FFFFFF"/>
        </w:rPr>
        <w:t xml:space="preserve">e made </w:t>
      </w:r>
      <w:r w:rsidR="008A718A">
        <w:rPr>
          <w:color w:val="000000"/>
          <w:shd w:val="clear" w:color="auto" w:fill="FFFFFF"/>
        </w:rPr>
        <w:t xml:space="preserve">to create a policy environment capable of nurturing the growth of a more sustainable large-scale mining sector in sub-Saharan Africa: one which is well-integrated into local economies, sources labour for all positions in-country, and catalyzes linkages and the growth of indigenous industries.  </w:t>
      </w:r>
    </w:p>
    <w:p w14:paraId="372FAC2B" w14:textId="77777777" w:rsidR="00F961F5" w:rsidRDefault="00F961F5" w:rsidP="00AB4A27">
      <w:pPr>
        <w:spacing w:after="0"/>
        <w:jc w:val="both"/>
        <w:rPr>
          <w:color w:val="000000"/>
          <w:shd w:val="clear" w:color="auto" w:fill="FFFFFF"/>
        </w:rPr>
      </w:pPr>
    </w:p>
    <w:p w14:paraId="3D96FD81" w14:textId="77777777" w:rsidR="00192362" w:rsidRDefault="00192362" w:rsidP="001E5762">
      <w:pPr>
        <w:spacing w:after="0"/>
        <w:jc w:val="both"/>
      </w:pPr>
    </w:p>
    <w:p w14:paraId="4DBED3B8" w14:textId="00046D85" w:rsidR="006F79CA" w:rsidRDefault="006F79CA" w:rsidP="001E5762">
      <w:pPr>
        <w:spacing w:after="0"/>
        <w:jc w:val="both"/>
      </w:pPr>
    </w:p>
    <w:p w14:paraId="0E00869E" w14:textId="77777777" w:rsidR="00590CB1" w:rsidRPr="002D1A2B" w:rsidRDefault="00C82B69" w:rsidP="00590CB1">
      <w:pPr>
        <w:pStyle w:val="Heading1"/>
        <w:rPr>
          <w:rFonts w:ascii="Calibri" w:hAnsi="Calibri"/>
          <w:sz w:val="24"/>
          <w:szCs w:val="24"/>
        </w:rPr>
      </w:pPr>
      <w:bookmarkStart w:id="1" w:name="Tab2"/>
      <w:r>
        <w:rPr>
          <w:rStyle w:val="TNChar"/>
          <w:sz w:val="24"/>
          <w:szCs w:val="24"/>
        </w:rPr>
        <w:br w:type="page"/>
      </w:r>
      <w:bookmarkStart w:id="2" w:name="_Hlk536236095"/>
      <w:bookmarkEnd w:id="1"/>
      <w:r w:rsidR="00590CB1" w:rsidRPr="002D1A2B">
        <w:rPr>
          <w:rFonts w:ascii="Calibri" w:hAnsi="Calibri"/>
          <w:sz w:val="24"/>
          <w:szCs w:val="24"/>
        </w:rPr>
        <w:lastRenderedPageBreak/>
        <w:t xml:space="preserve">References </w:t>
      </w:r>
    </w:p>
    <w:p w14:paraId="45392221"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Ackah-Baidoo, A.  2012.  Enclave development and ‘offshore corporate social responsibility’: implications for oil-rich sub-Saharan Africa.  37(2): 152-159.</w:t>
      </w:r>
    </w:p>
    <w:p w14:paraId="3BDF37D0" w14:textId="77777777" w:rsidR="00590CB1"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Acacia Mining Plc, 2016. </w:t>
      </w:r>
      <w:r w:rsidRPr="00466CBC">
        <w:rPr>
          <w:rFonts w:asciiTheme="minorHAnsi" w:hAnsiTheme="minorHAnsi"/>
          <w:b w:val="0"/>
          <w:i/>
          <w:sz w:val="22"/>
          <w:szCs w:val="22"/>
        </w:rPr>
        <w:t>Acacia Maendeleo Fund: Promoting Sustainable Development, 2014 Report.</w:t>
      </w:r>
      <w:r w:rsidRPr="00466CBC">
        <w:rPr>
          <w:rFonts w:asciiTheme="minorHAnsi" w:hAnsiTheme="minorHAnsi"/>
          <w:b w:val="0"/>
          <w:sz w:val="22"/>
          <w:szCs w:val="22"/>
        </w:rPr>
        <w:t xml:space="preserve"> Acacia Mining, London.</w:t>
      </w:r>
    </w:p>
    <w:p w14:paraId="7D6CE8A5" w14:textId="77777777" w:rsidR="00590CB1" w:rsidRPr="001F2472" w:rsidRDefault="00590CB1" w:rsidP="00590CB1">
      <w:pPr>
        <w:pStyle w:val="Heading1"/>
        <w:jc w:val="both"/>
        <w:rPr>
          <w:rStyle w:val="TNChar"/>
          <w:rFonts w:asciiTheme="minorHAnsi" w:hAnsiTheme="minorHAnsi"/>
          <w:b w:val="0"/>
          <w:sz w:val="22"/>
          <w:szCs w:val="22"/>
        </w:rPr>
      </w:pPr>
      <w:r w:rsidRPr="001F2472">
        <w:rPr>
          <w:rStyle w:val="TNChar"/>
          <w:rFonts w:asciiTheme="minorHAnsi" w:hAnsiTheme="minorHAnsi" w:cstheme="minorHAnsi"/>
          <w:b w:val="0"/>
          <w:sz w:val="22"/>
          <w:szCs w:val="22"/>
          <w:lang w:val="en-US"/>
        </w:rPr>
        <w:t xml:space="preserve">Adam, A.B., Owen, J.R., Kemp, D.  2015.  Households,  livelihoods and mining-induced displacement.  </w:t>
      </w:r>
      <w:r w:rsidRPr="001F2472">
        <w:rPr>
          <w:rStyle w:val="TNChar"/>
          <w:rFonts w:asciiTheme="minorHAnsi" w:hAnsiTheme="minorHAnsi" w:cstheme="minorHAnsi"/>
          <w:b w:val="0"/>
          <w:i/>
          <w:sz w:val="22"/>
          <w:szCs w:val="22"/>
          <w:lang w:val="en-US"/>
        </w:rPr>
        <w:t>The Extractive Industries and Society</w:t>
      </w:r>
      <w:r w:rsidRPr="001F2472">
        <w:rPr>
          <w:rStyle w:val="TNChar"/>
          <w:rFonts w:asciiTheme="minorHAnsi" w:hAnsiTheme="minorHAnsi" w:cstheme="minorHAnsi"/>
          <w:b w:val="0"/>
          <w:sz w:val="22"/>
          <w:szCs w:val="22"/>
          <w:lang w:val="en-US"/>
        </w:rPr>
        <w:t xml:space="preserve"> 2(3):  581-589.</w:t>
      </w:r>
    </w:p>
    <w:p w14:paraId="56260A16"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Allen, G.K.  1958.  Gold Mining in Ghana.  </w:t>
      </w:r>
      <w:r w:rsidRPr="00466CBC">
        <w:rPr>
          <w:rFonts w:asciiTheme="minorHAnsi" w:hAnsiTheme="minorHAnsi"/>
          <w:b w:val="0"/>
          <w:i/>
          <w:sz w:val="22"/>
          <w:szCs w:val="22"/>
        </w:rPr>
        <w:t xml:space="preserve">African Affairs </w:t>
      </w:r>
      <w:r w:rsidRPr="00466CBC">
        <w:rPr>
          <w:rFonts w:asciiTheme="minorHAnsi" w:hAnsiTheme="minorHAnsi"/>
          <w:b w:val="0"/>
          <w:sz w:val="22"/>
          <w:szCs w:val="22"/>
        </w:rPr>
        <w:t>57(228): 221-240.</w:t>
      </w:r>
    </w:p>
    <w:p w14:paraId="0C5DC97C"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AngloAmerican Platinum, 2016.  </w:t>
      </w:r>
      <w:r w:rsidRPr="00466CBC">
        <w:rPr>
          <w:rFonts w:asciiTheme="minorHAnsi" w:hAnsiTheme="minorHAnsi"/>
          <w:b w:val="0"/>
          <w:i/>
          <w:sz w:val="22"/>
          <w:szCs w:val="22"/>
        </w:rPr>
        <w:t>2015 Sustainability Report: Driving change, defining our future.</w:t>
      </w:r>
      <w:r w:rsidRPr="00466CBC">
        <w:rPr>
          <w:rFonts w:asciiTheme="minorHAnsi" w:hAnsiTheme="minorHAnsi"/>
          <w:b w:val="0"/>
          <w:sz w:val="22"/>
          <w:szCs w:val="22"/>
        </w:rPr>
        <w:t xml:space="preserve"> AngloAmerican Platinum, Johannesburg.</w:t>
      </w:r>
    </w:p>
    <w:p w14:paraId="05074536" w14:textId="77777777" w:rsidR="00590CB1" w:rsidRPr="00466CBC" w:rsidRDefault="00590CB1" w:rsidP="00590CB1">
      <w:pPr>
        <w:widowControl w:val="0"/>
        <w:autoSpaceDE w:val="0"/>
        <w:autoSpaceDN w:val="0"/>
        <w:adjustRightInd w:val="0"/>
        <w:spacing w:after="240" w:line="280" w:lineRule="atLeast"/>
        <w:jc w:val="both"/>
        <w:rPr>
          <w:rFonts w:cs="Times"/>
        </w:rPr>
      </w:pPr>
      <w:r w:rsidRPr="00466CBC">
        <w:t xml:space="preserve">AngloGold Ashanti, 2014: </w:t>
      </w:r>
      <w:r w:rsidRPr="00466CBC">
        <w:rPr>
          <w:i/>
        </w:rPr>
        <w:t>Sustainable development report, Mali</w:t>
      </w:r>
      <w:r w:rsidRPr="00466CBC">
        <w:t>. AngloGold Ashanti, Johannesburg.</w:t>
      </w:r>
    </w:p>
    <w:p w14:paraId="02F6CDB6"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AngloGold Ashanti. 2015. </w:t>
      </w:r>
      <w:r w:rsidRPr="00466CBC">
        <w:rPr>
          <w:rFonts w:asciiTheme="minorHAnsi" w:hAnsiTheme="minorHAnsi"/>
          <w:b w:val="0"/>
          <w:i/>
          <w:sz w:val="22"/>
          <w:szCs w:val="22"/>
        </w:rPr>
        <w:t>Integrated Report, 2015: Supporting our strategy for sustainable cash flow improvements and returns</w:t>
      </w:r>
      <w:r w:rsidRPr="00466CBC">
        <w:rPr>
          <w:rFonts w:asciiTheme="minorHAnsi" w:hAnsiTheme="minorHAnsi"/>
          <w:b w:val="0"/>
          <w:sz w:val="22"/>
          <w:szCs w:val="22"/>
        </w:rPr>
        <w:t xml:space="preserve">. </w:t>
      </w:r>
      <w:r>
        <w:rPr>
          <w:rFonts w:asciiTheme="minorHAnsi" w:hAnsiTheme="minorHAnsi"/>
          <w:b w:val="0"/>
          <w:sz w:val="22"/>
          <w:szCs w:val="22"/>
        </w:rPr>
        <w:t>AngloGold Ashanti, Johannesburg.</w:t>
      </w:r>
    </w:p>
    <w:p w14:paraId="513E6F38" w14:textId="77777777" w:rsidR="00590CB1" w:rsidRPr="00466CBC" w:rsidRDefault="00590CB1" w:rsidP="00590CB1">
      <w:pPr>
        <w:jc w:val="both"/>
      </w:pPr>
      <w:r w:rsidRPr="00466CBC">
        <w:t xml:space="preserve">Arnold, C.  2016.  A Scourge Returns: Black Lung in Appalachia.  </w:t>
      </w:r>
      <w:r w:rsidRPr="00466CBC">
        <w:rPr>
          <w:i/>
        </w:rPr>
        <w:t xml:space="preserve">Environmental Health Perspectives </w:t>
      </w:r>
      <w:r w:rsidRPr="00466CBC">
        <w:t>124(1): A13-A18.</w:t>
      </w:r>
    </w:p>
    <w:p w14:paraId="633DA8B6" w14:textId="77777777" w:rsidR="00590CB1" w:rsidRPr="00466CBC" w:rsidRDefault="00590CB1" w:rsidP="00590CB1">
      <w:pPr>
        <w:jc w:val="both"/>
      </w:pPr>
      <w:r w:rsidRPr="00466CBC">
        <w:t xml:space="preserve">Austin, G.  2007.  Labour and land in Ghana, 1874-1939: a shifting ratio and an institutional revolution. </w:t>
      </w:r>
      <w:r w:rsidRPr="00466CBC">
        <w:rPr>
          <w:i/>
        </w:rPr>
        <w:t xml:space="preserve">Australian Economic History Review </w:t>
      </w:r>
      <w:r w:rsidRPr="00466CBC">
        <w:t>47(1): 95-120.</w:t>
      </w:r>
    </w:p>
    <w:p w14:paraId="4F7E3824" w14:textId="77777777" w:rsidR="00590CB1" w:rsidRPr="00466CBC" w:rsidRDefault="00590CB1" w:rsidP="00590CB1">
      <w:pPr>
        <w:jc w:val="both"/>
      </w:pPr>
      <w:r w:rsidRPr="00466CBC">
        <w:t xml:space="preserve">Ayee, J., Soreide, T., Shukla, G.P., Le, T.M.  2011.  </w:t>
      </w:r>
      <w:r w:rsidRPr="00466CBC">
        <w:rPr>
          <w:i/>
        </w:rPr>
        <w:t>Political Economy of the Mining Sector in Ghana</w:t>
      </w:r>
      <w:r w:rsidRPr="00466CBC">
        <w:t xml:space="preserve">.  World Bank Policy Research Working Paper Series, World Bank, Washington DC.  </w:t>
      </w:r>
    </w:p>
    <w:p w14:paraId="383C97BE" w14:textId="77777777" w:rsidR="00590CB1" w:rsidRPr="00466CBC" w:rsidRDefault="00590CB1" w:rsidP="00590CB1">
      <w:pPr>
        <w:jc w:val="both"/>
      </w:pPr>
      <w:r w:rsidRPr="00466CBC">
        <w:t xml:space="preserve">Aryee, B. 2001.  Ghana’s mining sector: its contribution to the national economy.  </w:t>
      </w:r>
      <w:r w:rsidRPr="00466CBC">
        <w:rPr>
          <w:i/>
        </w:rPr>
        <w:t xml:space="preserve">Resources Policy </w:t>
      </w:r>
      <w:r w:rsidRPr="00466CBC">
        <w:t>27(2): 61-75.</w:t>
      </w:r>
    </w:p>
    <w:p w14:paraId="079625A0"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B2Gold Corporation. 2016. </w:t>
      </w:r>
      <w:r w:rsidRPr="00466CBC">
        <w:rPr>
          <w:rFonts w:asciiTheme="minorHAnsi" w:hAnsiTheme="minorHAnsi" w:cs="TitilliumWeb-Bold"/>
          <w:b w:val="0"/>
          <w:bCs w:val="0"/>
          <w:i/>
          <w:color w:val="000000" w:themeColor="text1"/>
          <w:sz w:val="22"/>
          <w:szCs w:val="22"/>
        </w:rPr>
        <w:t>Otjikoto mine – Namibia</w:t>
      </w:r>
      <w:r w:rsidRPr="00466CBC">
        <w:rPr>
          <w:rFonts w:asciiTheme="minorHAnsi" w:hAnsiTheme="minorHAnsi"/>
          <w:b w:val="0"/>
          <w:sz w:val="22"/>
          <w:szCs w:val="22"/>
        </w:rPr>
        <w:t>. B2Gold Corporation, Vancouver.</w:t>
      </w:r>
    </w:p>
    <w:p w14:paraId="262E172F"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Barrick Gold Corporation. 2016. </w:t>
      </w:r>
      <w:r w:rsidRPr="00466CBC">
        <w:rPr>
          <w:rFonts w:asciiTheme="minorHAnsi" w:hAnsiTheme="minorHAnsi"/>
          <w:b w:val="0"/>
          <w:i/>
          <w:sz w:val="22"/>
          <w:szCs w:val="22"/>
        </w:rPr>
        <w:t>Our stakeholders and external commitments</w:t>
      </w:r>
      <w:r w:rsidRPr="00466CBC">
        <w:rPr>
          <w:rFonts w:asciiTheme="minorHAnsi" w:hAnsiTheme="minorHAnsi"/>
          <w:b w:val="0"/>
          <w:sz w:val="22"/>
          <w:szCs w:val="22"/>
        </w:rPr>
        <w:t xml:space="preserve">.  Barrick Gold Corporation, Toronto.  </w:t>
      </w:r>
    </w:p>
    <w:p w14:paraId="513C386B"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Base Titanium Limited. 2010. </w:t>
      </w:r>
      <w:r w:rsidRPr="00466CBC">
        <w:rPr>
          <w:rFonts w:asciiTheme="minorHAnsi" w:hAnsiTheme="minorHAnsi"/>
          <w:b w:val="0"/>
          <w:i/>
          <w:sz w:val="22"/>
          <w:szCs w:val="22"/>
        </w:rPr>
        <w:t>Kwale Mineral Sands Project: Community Projects and Livelihood Programmes</w:t>
      </w:r>
      <w:r w:rsidRPr="00466CBC">
        <w:rPr>
          <w:rFonts w:asciiTheme="minorHAnsi" w:hAnsiTheme="minorHAnsi"/>
          <w:b w:val="0"/>
          <w:sz w:val="22"/>
          <w:szCs w:val="22"/>
        </w:rPr>
        <w:t xml:space="preserve">.   Base Titanium Limited, Ukunda.  </w:t>
      </w:r>
    </w:p>
    <w:p w14:paraId="0E4D529E"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Bevin, H.J.  1956.  The Gold Coast Economy About 1880.  </w:t>
      </w:r>
      <w:r w:rsidRPr="00466CBC">
        <w:rPr>
          <w:rFonts w:asciiTheme="minorHAnsi" w:hAnsiTheme="minorHAnsi"/>
          <w:i/>
          <w:color w:val="000000"/>
          <w:sz w:val="22"/>
          <w:szCs w:val="22"/>
        </w:rPr>
        <w:t xml:space="preserve">Transactions of the Cold Coast &amp; Togoland Historical Society </w:t>
      </w:r>
      <w:r w:rsidRPr="00466CBC">
        <w:rPr>
          <w:rFonts w:asciiTheme="minorHAnsi" w:hAnsiTheme="minorHAnsi"/>
          <w:color w:val="000000"/>
          <w:sz w:val="22"/>
          <w:szCs w:val="22"/>
        </w:rPr>
        <w:t>2(2): 73-86.</w:t>
      </w:r>
    </w:p>
    <w:p w14:paraId="47672089" w14:textId="77777777" w:rsidR="00590CB1" w:rsidRPr="00466CBC" w:rsidRDefault="00590CB1" w:rsidP="00590CB1">
      <w:pPr>
        <w:pStyle w:val="HTMLPreformatted"/>
        <w:jc w:val="both"/>
        <w:rPr>
          <w:rFonts w:asciiTheme="minorHAnsi" w:hAnsiTheme="minorHAnsi"/>
          <w:color w:val="000000"/>
          <w:sz w:val="22"/>
          <w:szCs w:val="22"/>
        </w:rPr>
      </w:pPr>
    </w:p>
    <w:p w14:paraId="5A57F6E4" w14:textId="77777777" w:rsidR="00590CB1" w:rsidRPr="00466CBC" w:rsidRDefault="00590CB1" w:rsidP="00590CB1">
      <w:pPr>
        <w:spacing w:after="0" w:line="240" w:lineRule="auto"/>
        <w:jc w:val="both"/>
      </w:pPr>
      <w:r w:rsidRPr="00466CBC">
        <w:t>Bloch, R., Owusu, G.  2012.  Linkages in Ghana Gold Mining Industry: Challenging the enclave thesis</w:t>
      </w:r>
      <w:r w:rsidRPr="00466CBC">
        <w:rPr>
          <w:i/>
        </w:rPr>
        <w:t>.  Resources Policy</w:t>
      </w:r>
      <w:r w:rsidRPr="00466CBC">
        <w:t xml:space="preserve"> 37: 434-442.</w:t>
      </w:r>
    </w:p>
    <w:p w14:paraId="7BA781D6" w14:textId="77777777" w:rsidR="00590CB1" w:rsidRPr="00466CBC" w:rsidRDefault="00590CB1" w:rsidP="00590CB1">
      <w:pPr>
        <w:pStyle w:val="Heading1"/>
        <w:jc w:val="both"/>
        <w:rPr>
          <w:rFonts w:asciiTheme="minorHAnsi" w:hAnsiTheme="minorHAnsi" w:cs="SourceSansPro-Bold"/>
          <w:b w:val="0"/>
          <w:bCs w:val="0"/>
          <w:color w:val="1F1F1F"/>
          <w:sz w:val="22"/>
          <w:szCs w:val="22"/>
        </w:rPr>
      </w:pPr>
      <w:r w:rsidRPr="00466CBC">
        <w:rPr>
          <w:rFonts w:asciiTheme="minorHAnsi" w:hAnsiTheme="minorHAnsi"/>
          <w:b w:val="0"/>
          <w:sz w:val="22"/>
          <w:szCs w:val="22"/>
        </w:rPr>
        <w:t xml:space="preserve">Business and Human Rights Resource Centre (BHRSC), 2011. </w:t>
      </w:r>
      <w:r w:rsidRPr="00466CBC">
        <w:rPr>
          <w:rFonts w:asciiTheme="minorHAnsi" w:hAnsiTheme="minorHAnsi" w:cs="SourceSansPro-Bold"/>
          <w:b w:val="0"/>
          <w:bCs w:val="0"/>
          <w:i/>
          <w:color w:val="1F1F1F"/>
          <w:sz w:val="22"/>
          <w:szCs w:val="22"/>
        </w:rPr>
        <w:t>Anglo Platinum lawsuit (re displacement in South Africa</w:t>
      </w:r>
      <w:r w:rsidRPr="00466CBC">
        <w:rPr>
          <w:rFonts w:asciiTheme="minorHAnsi" w:hAnsiTheme="minorHAnsi" w:cs="SourceSansPro-Bold"/>
          <w:b w:val="0"/>
          <w:bCs w:val="0"/>
          <w:color w:val="1F1F1F"/>
          <w:sz w:val="22"/>
          <w:szCs w:val="22"/>
        </w:rPr>
        <w:t xml:space="preserve">. </w:t>
      </w:r>
      <w:hyperlink r:id="rId8" w:history="1">
        <w:r w:rsidRPr="00466CBC">
          <w:rPr>
            <w:rStyle w:val="Hyperlink"/>
            <w:rFonts w:asciiTheme="minorHAnsi" w:hAnsiTheme="minorHAnsi"/>
            <w:b w:val="0"/>
            <w:sz w:val="22"/>
            <w:szCs w:val="22"/>
          </w:rPr>
          <w:t>https://business-humanrights.org/en/anglo-platinum-lawsuit-re-displacement-in-so-africa</w:t>
        </w:r>
      </w:hyperlink>
      <w:r w:rsidRPr="00466CBC">
        <w:rPr>
          <w:rFonts w:asciiTheme="minorHAnsi" w:hAnsiTheme="minorHAnsi"/>
          <w:b w:val="0"/>
          <w:sz w:val="22"/>
          <w:szCs w:val="22"/>
        </w:rPr>
        <w:t xml:space="preserve"> (Accessed 15 September 2016). </w:t>
      </w:r>
    </w:p>
    <w:p w14:paraId="642CD5FE"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lastRenderedPageBreak/>
        <w:t xml:space="preserve">Butler, P.  2011.  Colonial Walls: Psychic Strategies in Contemporary Mining-Related Displacement.  </w:t>
      </w:r>
      <w:r w:rsidRPr="00466CBC">
        <w:rPr>
          <w:rFonts w:asciiTheme="minorHAnsi" w:hAnsiTheme="minorHAnsi"/>
          <w:i/>
          <w:color w:val="000000"/>
          <w:sz w:val="22"/>
          <w:szCs w:val="22"/>
        </w:rPr>
        <w:t xml:space="preserve">Refuge </w:t>
      </w:r>
      <w:r w:rsidRPr="00466CBC">
        <w:rPr>
          <w:rFonts w:asciiTheme="minorHAnsi" w:hAnsiTheme="minorHAnsi"/>
          <w:color w:val="000000"/>
          <w:sz w:val="22"/>
          <w:szCs w:val="22"/>
        </w:rPr>
        <w:t xml:space="preserve">29(2): 89-99.  </w:t>
      </w:r>
    </w:p>
    <w:p w14:paraId="271A56CE" w14:textId="77777777" w:rsidR="00590CB1" w:rsidRPr="00466CBC" w:rsidRDefault="00590CB1" w:rsidP="00590CB1">
      <w:pPr>
        <w:pStyle w:val="HTMLPreformatted"/>
        <w:jc w:val="both"/>
        <w:rPr>
          <w:rFonts w:asciiTheme="minorHAnsi" w:hAnsiTheme="minorHAnsi"/>
          <w:color w:val="000000"/>
          <w:sz w:val="22"/>
          <w:szCs w:val="22"/>
        </w:rPr>
      </w:pPr>
    </w:p>
    <w:p w14:paraId="3880D508"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Campbell, B.  2003.  Factoring in governance is not enough: Mining codes in Africa, policy reform and corporate social responsibility.  </w:t>
      </w:r>
      <w:r w:rsidRPr="00466CBC">
        <w:rPr>
          <w:rFonts w:asciiTheme="minorHAnsi" w:hAnsiTheme="minorHAnsi"/>
          <w:i/>
          <w:color w:val="000000"/>
          <w:sz w:val="22"/>
          <w:szCs w:val="22"/>
        </w:rPr>
        <w:t xml:space="preserve">Minerals &amp; Energy – Raw Materials Report </w:t>
      </w:r>
      <w:r w:rsidRPr="00466CBC">
        <w:rPr>
          <w:rFonts w:asciiTheme="minorHAnsi" w:hAnsiTheme="minorHAnsi"/>
          <w:color w:val="000000"/>
          <w:sz w:val="22"/>
          <w:szCs w:val="22"/>
        </w:rPr>
        <w:t>18(3): 2-13.</w:t>
      </w:r>
    </w:p>
    <w:p w14:paraId="41797696" w14:textId="77777777" w:rsidR="00590CB1" w:rsidRPr="00466CBC" w:rsidRDefault="00590CB1" w:rsidP="00590CB1">
      <w:pPr>
        <w:pStyle w:val="HTMLPreformatted"/>
        <w:jc w:val="both"/>
        <w:rPr>
          <w:rFonts w:asciiTheme="minorHAnsi" w:hAnsiTheme="minorHAnsi"/>
          <w:color w:val="000000"/>
          <w:sz w:val="22"/>
          <w:szCs w:val="22"/>
        </w:rPr>
      </w:pPr>
    </w:p>
    <w:p w14:paraId="6BC73ACC" w14:textId="399D9CBF" w:rsidR="00590CB1" w:rsidRPr="00050419" w:rsidRDefault="00590CB1" w:rsidP="00590CB1">
      <w:pPr>
        <w:pStyle w:val="HTMLPreformatted"/>
        <w:jc w:val="both"/>
        <w:rPr>
          <w:rFonts w:asciiTheme="minorHAnsi" w:hAnsiTheme="minorHAnsi"/>
          <w:sz w:val="22"/>
          <w:szCs w:val="22"/>
        </w:rPr>
      </w:pPr>
      <w:r>
        <w:rPr>
          <w:rFonts w:asciiTheme="minorHAnsi" w:hAnsiTheme="minorHAnsi"/>
          <w:sz w:val="22"/>
          <w:szCs w:val="22"/>
        </w:rPr>
        <w:t>Carroll</w:t>
      </w:r>
      <w:r w:rsidR="00050419">
        <w:rPr>
          <w:rFonts w:asciiTheme="minorHAnsi" w:hAnsiTheme="minorHAnsi"/>
          <w:sz w:val="22"/>
          <w:szCs w:val="22"/>
        </w:rPr>
        <w:t>, A.B.</w:t>
      </w:r>
      <w:r>
        <w:rPr>
          <w:rFonts w:asciiTheme="minorHAnsi" w:hAnsiTheme="minorHAnsi"/>
          <w:sz w:val="22"/>
          <w:szCs w:val="22"/>
        </w:rPr>
        <w:t xml:space="preserve"> 1979</w:t>
      </w:r>
      <w:r w:rsidR="00050419">
        <w:rPr>
          <w:rFonts w:asciiTheme="minorHAnsi" w:hAnsiTheme="minorHAnsi"/>
          <w:sz w:val="22"/>
          <w:szCs w:val="22"/>
        </w:rPr>
        <w:t xml:space="preserve">.  A Three-Dimensional Conceptual Model of Corporate Performance.  </w:t>
      </w:r>
      <w:r w:rsidR="00050419">
        <w:rPr>
          <w:rFonts w:asciiTheme="minorHAnsi" w:hAnsiTheme="minorHAnsi"/>
          <w:i/>
          <w:sz w:val="22"/>
          <w:szCs w:val="22"/>
        </w:rPr>
        <w:t xml:space="preserve">The Academy of Management Review </w:t>
      </w:r>
      <w:r w:rsidR="00050419">
        <w:rPr>
          <w:rFonts w:asciiTheme="minorHAnsi" w:hAnsiTheme="minorHAnsi"/>
          <w:sz w:val="22"/>
          <w:szCs w:val="22"/>
        </w:rPr>
        <w:t>4(4): 497-505.</w:t>
      </w:r>
    </w:p>
    <w:p w14:paraId="552789F0" w14:textId="77777777" w:rsidR="00590CB1" w:rsidRDefault="00590CB1" w:rsidP="00590CB1">
      <w:pPr>
        <w:pStyle w:val="HTMLPreformatted"/>
        <w:jc w:val="both"/>
        <w:rPr>
          <w:rFonts w:asciiTheme="minorHAnsi" w:hAnsiTheme="minorHAnsi"/>
          <w:sz w:val="22"/>
          <w:szCs w:val="22"/>
        </w:rPr>
      </w:pPr>
    </w:p>
    <w:p w14:paraId="68E39054" w14:textId="77777777" w:rsidR="00590CB1" w:rsidRPr="00466CBC" w:rsidRDefault="00590CB1" w:rsidP="00590CB1">
      <w:pPr>
        <w:pStyle w:val="HTMLPreformatted"/>
        <w:jc w:val="both"/>
        <w:rPr>
          <w:rFonts w:asciiTheme="minorHAnsi" w:hAnsiTheme="minorHAnsi" w:cs="Arial"/>
          <w:color w:val="000000" w:themeColor="text1"/>
          <w:sz w:val="22"/>
          <w:szCs w:val="22"/>
        </w:rPr>
      </w:pPr>
      <w:r w:rsidRPr="00466CBC">
        <w:rPr>
          <w:rFonts w:asciiTheme="minorHAnsi" w:hAnsiTheme="minorHAnsi"/>
          <w:sz w:val="22"/>
          <w:szCs w:val="22"/>
        </w:rPr>
        <w:t xml:space="preserve">Centre for International Studies and Corporation (CISC), 2012. </w:t>
      </w:r>
      <w:r w:rsidRPr="00466CBC">
        <w:rPr>
          <w:rFonts w:asciiTheme="minorHAnsi" w:hAnsiTheme="minorHAnsi" w:cs="Arial"/>
          <w:i/>
          <w:color w:val="000000" w:themeColor="text1"/>
          <w:sz w:val="22"/>
          <w:szCs w:val="22"/>
        </w:rPr>
        <w:t>The Simandou Capacity-Building Project in Forécariah</w:t>
      </w:r>
      <w:r w:rsidRPr="00466CBC">
        <w:rPr>
          <w:rFonts w:asciiTheme="minorHAnsi" w:hAnsiTheme="minorHAnsi"/>
          <w:i/>
          <w:sz w:val="22"/>
          <w:szCs w:val="22"/>
        </w:rPr>
        <w:t xml:space="preserve">: </w:t>
      </w:r>
      <w:r w:rsidRPr="00466CBC">
        <w:rPr>
          <w:rFonts w:asciiTheme="minorHAnsi" w:hAnsiTheme="minorHAnsi" w:cs="Arial"/>
          <w:i/>
          <w:color w:val="000000" w:themeColor="text1"/>
          <w:sz w:val="22"/>
          <w:szCs w:val="22"/>
        </w:rPr>
        <w:t>Prioritizing support for local communities.</w:t>
      </w:r>
      <w:r w:rsidRPr="00466CBC">
        <w:rPr>
          <w:rFonts w:asciiTheme="minorHAnsi" w:hAnsiTheme="minorHAnsi" w:cs="Arial"/>
          <w:color w:val="000000" w:themeColor="text1"/>
          <w:sz w:val="22"/>
          <w:szCs w:val="22"/>
        </w:rPr>
        <w:t xml:space="preserve"> </w:t>
      </w:r>
      <w:hyperlink r:id="rId9" w:history="1">
        <w:r w:rsidRPr="00466CBC">
          <w:rPr>
            <w:rStyle w:val="Hyperlink"/>
            <w:rFonts w:asciiTheme="minorHAnsi" w:hAnsiTheme="minorHAnsi" w:cs="Arial"/>
            <w:sz w:val="22"/>
            <w:szCs w:val="22"/>
          </w:rPr>
          <w:t>http://www.ceci.ca/en/where-we-work/africa/guinea/projects/the-simandou-capacity-building-project-in-forecariah</w:t>
        </w:r>
      </w:hyperlink>
      <w:r w:rsidRPr="00466CBC">
        <w:rPr>
          <w:rFonts w:asciiTheme="minorHAnsi" w:hAnsiTheme="minorHAnsi" w:cs="Arial"/>
          <w:color w:val="000000" w:themeColor="text1"/>
          <w:sz w:val="22"/>
          <w:szCs w:val="22"/>
        </w:rPr>
        <w:t xml:space="preserve"> (Accessed 1 September 2016).</w:t>
      </w:r>
    </w:p>
    <w:p w14:paraId="7D24E60A" w14:textId="77777777" w:rsidR="00590CB1" w:rsidRPr="00466CBC" w:rsidRDefault="00590CB1" w:rsidP="00590CB1">
      <w:pPr>
        <w:pStyle w:val="HTMLPreformatted"/>
        <w:jc w:val="both"/>
        <w:rPr>
          <w:rFonts w:asciiTheme="minorHAnsi" w:hAnsiTheme="minorHAnsi" w:cs="Arial"/>
          <w:color w:val="000000" w:themeColor="text1"/>
          <w:sz w:val="22"/>
          <w:szCs w:val="22"/>
        </w:rPr>
      </w:pPr>
    </w:p>
    <w:p w14:paraId="0B9A13AF" w14:textId="77777777" w:rsidR="00590CB1" w:rsidRPr="00466CBC" w:rsidRDefault="00590CB1" w:rsidP="00590CB1">
      <w:pPr>
        <w:pStyle w:val="HTMLPreformatted"/>
        <w:jc w:val="both"/>
        <w:rPr>
          <w:rFonts w:asciiTheme="minorHAnsi" w:hAnsiTheme="minorHAnsi"/>
          <w:i/>
          <w:color w:val="000000"/>
          <w:sz w:val="22"/>
          <w:szCs w:val="22"/>
        </w:rPr>
      </w:pPr>
      <w:r w:rsidRPr="00466CBC">
        <w:rPr>
          <w:rFonts w:asciiTheme="minorHAnsi" w:hAnsiTheme="minorHAnsi"/>
          <w:color w:val="000000"/>
          <w:sz w:val="22"/>
          <w:szCs w:val="22"/>
        </w:rPr>
        <w:t xml:space="preserve">Cleveland, T.  2015.  </w:t>
      </w:r>
      <w:r w:rsidRPr="00466CBC">
        <w:rPr>
          <w:rFonts w:asciiTheme="minorHAnsi" w:hAnsiTheme="minorHAnsi"/>
          <w:i/>
          <w:color w:val="000000"/>
          <w:sz w:val="22"/>
          <w:szCs w:val="22"/>
        </w:rPr>
        <w:t>Stones of Contention: A History of Africa’s Diamonds</w:t>
      </w:r>
      <w:r w:rsidRPr="00466CBC">
        <w:rPr>
          <w:rFonts w:asciiTheme="minorHAnsi" w:hAnsiTheme="minorHAnsi"/>
          <w:color w:val="000000"/>
          <w:sz w:val="22"/>
          <w:szCs w:val="22"/>
        </w:rPr>
        <w:t>. Ohio University Press, Athens.</w:t>
      </w:r>
      <w:r w:rsidRPr="00466CBC">
        <w:rPr>
          <w:rFonts w:asciiTheme="minorHAnsi" w:hAnsiTheme="minorHAnsi"/>
          <w:i/>
          <w:color w:val="000000"/>
          <w:sz w:val="22"/>
          <w:szCs w:val="22"/>
        </w:rPr>
        <w:t xml:space="preserve"> </w:t>
      </w:r>
    </w:p>
    <w:p w14:paraId="30F1D267" w14:textId="77777777" w:rsidR="00590CB1" w:rsidRPr="00466CBC" w:rsidRDefault="00590CB1" w:rsidP="00590CB1">
      <w:pPr>
        <w:pStyle w:val="HTMLPreformatted"/>
        <w:jc w:val="both"/>
        <w:rPr>
          <w:rFonts w:asciiTheme="minorHAnsi" w:hAnsiTheme="minorHAnsi"/>
          <w:i/>
          <w:color w:val="000000"/>
          <w:sz w:val="22"/>
          <w:szCs w:val="22"/>
        </w:rPr>
      </w:pPr>
    </w:p>
    <w:p w14:paraId="48218B3D"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Colonial Reports.  1939.  </w:t>
      </w:r>
      <w:r w:rsidRPr="00466CBC">
        <w:rPr>
          <w:rFonts w:asciiTheme="minorHAnsi" w:hAnsiTheme="minorHAnsi"/>
          <w:i/>
          <w:sz w:val="22"/>
          <w:szCs w:val="22"/>
        </w:rPr>
        <w:t>Annual Report on the Social and Economic Progress of the People of the Gold Coast, 1938-1939</w:t>
      </w:r>
      <w:r w:rsidRPr="00466CBC">
        <w:rPr>
          <w:rFonts w:asciiTheme="minorHAnsi" w:hAnsiTheme="minorHAnsi"/>
          <w:sz w:val="22"/>
          <w:szCs w:val="22"/>
        </w:rPr>
        <w:t xml:space="preserve">.  Report No. 1919, His Majesty’s Stationary Office, London. </w:t>
      </w:r>
    </w:p>
    <w:p w14:paraId="49E78A7C" w14:textId="77777777" w:rsidR="00590CB1" w:rsidRPr="00466CBC" w:rsidRDefault="00590CB1" w:rsidP="00590CB1">
      <w:pPr>
        <w:pStyle w:val="HTMLPreformatted"/>
        <w:jc w:val="both"/>
        <w:rPr>
          <w:rFonts w:asciiTheme="minorHAnsi" w:hAnsiTheme="minorHAnsi"/>
          <w:color w:val="000000"/>
          <w:sz w:val="22"/>
          <w:szCs w:val="22"/>
        </w:rPr>
      </w:pPr>
    </w:p>
    <w:p w14:paraId="52B8A364"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Cragg, A.W.  1998.  Sustainable development and mining: opportunity or threat to the industry?  </w:t>
      </w:r>
      <w:r w:rsidRPr="00466CBC">
        <w:rPr>
          <w:rFonts w:asciiTheme="minorHAnsi" w:hAnsiTheme="minorHAnsi"/>
          <w:i/>
          <w:color w:val="000000"/>
          <w:sz w:val="22"/>
          <w:szCs w:val="22"/>
        </w:rPr>
        <w:t>CIM Bulletin</w:t>
      </w:r>
      <w:r w:rsidRPr="00466CBC">
        <w:rPr>
          <w:rFonts w:asciiTheme="minorHAnsi" w:hAnsiTheme="minorHAnsi"/>
          <w:color w:val="000000"/>
          <w:sz w:val="22"/>
          <w:szCs w:val="22"/>
        </w:rPr>
        <w:t xml:space="preserve"> 91(1023): 45-50.</w:t>
      </w:r>
    </w:p>
    <w:p w14:paraId="10612632" w14:textId="77777777" w:rsidR="00590CB1" w:rsidRPr="00466CBC" w:rsidRDefault="00590CB1" w:rsidP="00590CB1">
      <w:pPr>
        <w:pStyle w:val="HTMLPreformatted"/>
        <w:jc w:val="both"/>
        <w:rPr>
          <w:rFonts w:asciiTheme="minorHAnsi" w:hAnsiTheme="minorHAnsi"/>
          <w:color w:val="000000"/>
          <w:sz w:val="22"/>
          <w:szCs w:val="22"/>
        </w:rPr>
      </w:pPr>
    </w:p>
    <w:p w14:paraId="7A031118"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Cragg, W., Greenbaum, A.  2002.  Reasoning about responsibilities: Mining company managers on what stakeholders are owed.  </w:t>
      </w:r>
      <w:r w:rsidRPr="00466CBC">
        <w:rPr>
          <w:rFonts w:asciiTheme="minorHAnsi" w:hAnsiTheme="minorHAnsi"/>
          <w:i/>
          <w:color w:val="000000"/>
          <w:sz w:val="22"/>
          <w:szCs w:val="22"/>
        </w:rPr>
        <w:t xml:space="preserve">Journal of Business Ethics </w:t>
      </w:r>
      <w:r w:rsidRPr="00466CBC">
        <w:rPr>
          <w:rFonts w:asciiTheme="minorHAnsi" w:hAnsiTheme="minorHAnsi"/>
          <w:color w:val="000000"/>
          <w:sz w:val="22"/>
          <w:szCs w:val="22"/>
        </w:rPr>
        <w:t>39(3): 319-335.</w:t>
      </w:r>
    </w:p>
    <w:p w14:paraId="62B3CA1E"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Crisp, Daniel, P. 1979. </w:t>
      </w:r>
      <w:r w:rsidRPr="00466CBC">
        <w:rPr>
          <w:rFonts w:asciiTheme="minorHAnsi" w:hAnsiTheme="minorHAnsi"/>
          <w:b w:val="0"/>
          <w:i/>
          <w:sz w:val="22"/>
          <w:szCs w:val="22"/>
        </w:rPr>
        <w:t>Africanisation, nationalism and inequality: Mining, labour and the Copperbelt in Zambian Development.</w:t>
      </w:r>
      <w:r w:rsidRPr="00466CBC">
        <w:rPr>
          <w:rFonts w:asciiTheme="minorHAnsi" w:hAnsiTheme="minorHAnsi"/>
          <w:b w:val="0"/>
          <w:sz w:val="22"/>
          <w:szCs w:val="22"/>
        </w:rPr>
        <w:t xml:space="preserve"> Cambridge University Press, Cambridge. </w:t>
      </w:r>
    </w:p>
    <w:p w14:paraId="265DB93E" w14:textId="46E5E3FE" w:rsidR="00590CB1" w:rsidRPr="0065246C" w:rsidRDefault="00590CB1" w:rsidP="00590CB1">
      <w:pPr>
        <w:pStyle w:val="HTMLPreformatted"/>
        <w:jc w:val="both"/>
        <w:rPr>
          <w:rFonts w:asciiTheme="minorHAnsi" w:hAnsiTheme="minorHAnsi"/>
          <w:color w:val="000000"/>
          <w:sz w:val="22"/>
          <w:szCs w:val="22"/>
        </w:rPr>
      </w:pPr>
      <w:r>
        <w:rPr>
          <w:rFonts w:asciiTheme="minorHAnsi" w:hAnsiTheme="minorHAnsi"/>
          <w:color w:val="000000"/>
          <w:sz w:val="22"/>
          <w:szCs w:val="22"/>
        </w:rPr>
        <w:t xml:space="preserve">Dahlsrud, </w:t>
      </w:r>
      <w:r w:rsidR="0065246C">
        <w:rPr>
          <w:rFonts w:asciiTheme="minorHAnsi" w:hAnsiTheme="minorHAnsi"/>
          <w:color w:val="000000"/>
          <w:sz w:val="22"/>
          <w:szCs w:val="22"/>
        </w:rPr>
        <w:t xml:space="preserve">A.  </w:t>
      </w:r>
      <w:r>
        <w:rPr>
          <w:rFonts w:asciiTheme="minorHAnsi" w:hAnsiTheme="minorHAnsi"/>
          <w:color w:val="000000"/>
          <w:sz w:val="22"/>
          <w:szCs w:val="22"/>
        </w:rPr>
        <w:t>2008</w:t>
      </w:r>
      <w:r w:rsidR="0065246C">
        <w:rPr>
          <w:rFonts w:asciiTheme="minorHAnsi" w:hAnsiTheme="minorHAnsi"/>
          <w:color w:val="000000"/>
          <w:sz w:val="22"/>
          <w:szCs w:val="22"/>
        </w:rPr>
        <w:t xml:space="preserve">.  How Corporate Social Responsibility is Defined: an Analysis of 37 Definitions.  </w:t>
      </w:r>
      <w:r w:rsidR="0065246C">
        <w:rPr>
          <w:rFonts w:asciiTheme="minorHAnsi" w:hAnsiTheme="minorHAnsi"/>
          <w:i/>
          <w:color w:val="000000"/>
          <w:sz w:val="22"/>
          <w:szCs w:val="22"/>
        </w:rPr>
        <w:t>Corporate Social Responsibility and Environmental Management</w:t>
      </w:r>
      <w:r w:rsidR="0065246C">
        <w:rPr>
          <w:rFonts w:asciiTheme="minorHAnsi" w:hAnsiTheme="minorHAnsi"/>
          <w:color w:val="000000"/>
          <w:sz w:val="22"/>
          <w:szCs w:val="22"/>
        </w:rPr>
        <w:t xml:space="preserve"> 15: 1-13.</w:t>
      </w:r>
    </w:p>
    <w:p w14:paraId="53B6454F" w14:textId="77777777" w:rsidR="00590CB1" w:rsidRPr="00466CBC" w:rsidRDefault="00590CB1" w:rsidP="00590CB1">
      <w:pPr>
        <w:pStyle w:val="HTMLPreformatted"/>
        <w:jc w:val="both"/>
        <w:rPr>
          <w:rFonts w:asciiTheme="minorHAnsi" w:hAnsiTheme="minorHAnsi"/>
          <w:color w:val="000000"/>
          <w:sz w:val="22"/>
          <w:szCs w:val="22"/>
        </w:rPr>
      </w:pPr>
    </w:p>
    <w:p w14:paraId="128DDA7E"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Davies, A.  2016.  </w:t>
      </w:r>
      <w:r w:rsidRPr="00466CBC">
        <w:rPr>
          <w:rFonts w:asciiTheme="minorHAnsi" w:hAnsiTheme="minorHAnsi"/>
          <w:i/>
          <w:color w:val="000000"/>
          <w:sz w:val="22"/>
          <w:szCs w:val="22"/>
        </w:rPr>
        <w:t>Infrastructure and Innovation: Africa’s pathway through the commodities cycle</w:t>
      </w:r>
      <w:r w:rsidRPr="00466CBC">
        <w:rPr>
          <w:rFonts w:asciiTheme="minorHAnsi" w:hAnsiTheme="minorHAnsi"/>
          <w:color w:val="000000"/>
          <w:sz w:val="22"/>
          <w:szCs w:val="22"/>
        </w:rPr>
        <w:t xml:space="preserve">, paper delivered at </w:t>
      </w:r>
      <w:r w:rsidRPr="00466CBC">
        <w:rPr>
          <w:rFonts w:asciiTheme="minorHAnsi" w:hAnsiTheme="minorHAnsi"/>
          <w:i/>
          <w:color w:val="000000"/>
          <w:sz w:val="22"/>
          <w:szCs w:val="22"/>
        </w:rPr>
        <w:t>Mining Indaba 2016</w:t>
      </w:r>
      <w:r w:rsidRPr="00466CBC">
        <w:rPr>
          <w:rFonts w:asciiTheme="minorHAnsi" w:hAnsiTheme="minorHAnsi"/>
          <w:color w:val="000000"/>
          <w:sz w:val="22"/>
          <w:szCs w:val="22"/>
        </w:rPr>
        <w:t xml:space="preserve">, 8 February 2016, Cape Town. </w:t>
      </w:r>
    </w:p>
    <w:p w14:paraId="6703D1BD" w14:textId="77777777" w:rsidR="00590CB1" w:rsidRPr="00466CBC" w:rsidRDefault="00590CB1" w:rsidP="00590CB1">
      <w:pPr>
        <w:pStyle w:val="HTMLPreformatted"/>
        <w:jc w:val="both"/>
        <w:rPr>
          <w:rFonts w:asciiTheme="minorHAnsi" w:hAnsiTheme="minorHAnsi"/>
          <w:color w:val="000000"/>
          <w:sz w:val="22"/>
          <w:szCs w:val="22"/>
        </w:rPr>
      </w:pPr>
    </w:p>
    <w:p w14:paraId="189221D2"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Dietsche, E.  2016.  Diversifying mineral economies: conceptualizing the debate on building linkages.  </w:t>
      </w:r>
      <w:r w:rsidRPr="00466CBC">
        <w:rPr>
          <w:rFonts w:asciiTheme="minorHAnsi" w:hAnsiTheme="minorHAnsi"/>
          <w:i/>
          <w:color w:val="000000"/>
          <w:sz w:val="22"/>
          <w:szCs w:val="22"/>
        </w:rPr>
        <w:t>Mineral Economics</w:t>
      </w:r>
      <w:r w:rsidRPr="00466CBC">
        <w:rPr>
          <w:rFonts w:asciiTheme="minorHAnsi" w:hAnsiTheme="minorHAnsi"/>
          <w:color w:val="000000"/>
          <w:sz w:val="22"/>
          <w:szCs w:val="22"/>
        </w:rPr>
        <w:t xml:space="preserve"> 27(2-3): 89-102. </w:t>
      </w:r>
    </w:p>
    <w:p w14:paraId="392826D1"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Dumett, R. 1998.  </w:t>
      </w:r>
      <w:r w:rsidRPr="00466CBC">
        <w:rPr>
          <w:rFonts w:asciiTheme="minorHAnsi" w:hAnsiTheme="minorHAnsi"/>
          <w:b w:val="0"/>
          <w:i/>
          <w:sz w:val="22"/>
          <w:szCs w:val="22"/>
        </w:rPr>
        <w:t>El Dorado in West Africa: The Gold Mining Frontier, African Labor, and Colonial Capitalism</w:t>
      </w:r>
      <w:r w:rsidRPr="00466CBC">
        <w:rPr>
          <w:rFonts w:asciiTheme="minorHAnsi" w:hAnsiTheme="minorHAnsi"/>
          <w:b w:val="0"/>
          <w:sz w:val="22"/>
          <w:szCs w:val="22"/>
        </w:rPr>
        <w:t>.  Ohio University Press, Athens.</w:t>
      </w:r>
    </w:p>
    <w:p w14:paraId="5465FC3D"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Edwards, J.  2013.  Phosphate and Forced Relocation: An Assessment of the Resettlement of the Banabans to Northern Fiji in 1945.  </w:t>
      </w:r>
      <w:r w:rsidRPr="00466CBC">
        <w:rPr>
          <w:rFonts w:asciiTheme="minorHAnsi" w:hAnsiTheme="minorHAnsi"/>
          <w:b w:val="0"/>
          <w:i/>
          <w:sz w:val="22"/>
          <w:szCs w:val="22"/>
        </w:rPr>
        <w:t xml:space="preserve">The Journal of Imperial and Commonwealth History </w:t>
      </w:r>
      <w:r w:rsidRPr="00466CBC">
        <w:rPr>
          <w:rFonts w:asciiTheme="minorHAnsi" w:hAnsiTheme="minorHAnsi"/>
          <w:b w:val="0"/>
          <w:sz w:val="22"/>
          <w:szCs w:val="22"/>
        </w:rPr>
        <w:t>41(5): 783-803.</w:t>
      </w:r>
    </w:p>
    <w:p w14:paraId="678A819B"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Endeavour Mining Corporation. 2016. </w:t>
      </w:r>
      <w:r w:rsidRPr="00466CBC">
        <w:rPr>
          <w:rFonts w:asciiTheme="minorHAnsi" w:hAnsiTheme="minorHAnsi"/>
          <w:b w:val="0"/>
          <w:i/>
          <w:sz w:val="22"/>
          <w:szCs w:val="22"/>
        </w:rPr>
        <w:t>Sustainable Mining</w:t>
      </w:r>
      <w:r w:rsidRPr="00466CBC">
        <w:rPr>
          <w:rFonts w:asciiTheme="minorHAnsi" w:hAnsiTheme="minorHAnsi"/>
          <w:b w:val="0"/>
          <w:sz w:val="22"/>
          <w:szCs w:val="22"/>
        </w:rPr>
        <w:t xml:space="preserve">. Endeavour Mining Corporation, Grand Cayman. </w:t>
      </w:r>
    </w:p>
    <w:p w14:paraId="479B0228" w14:textId="77777777" w:rsidR="00590CB1" w:rsidRPr="00466CBC" w:rsidRDefault="00590CB1" w:rsidP="00590CB1">
      <w:pPr>
        <w:jc w:val="both"/>
      </w:pPr>
      <w:r w:rsidRPr="00466CBC">
        <w:t xml:space="preserve">Erlich, R.  2011.  A Century of Miners’ Compensation in South Africa.  </w:t>
      </w:r>
      <w:r w:rsidRPr="00466CBC">
        <w:rPr>
          <w:i/>
        </w:rPr>
        <w:t xml:space="preserve">American Journal of Industrial Medicine </w:t>
      </w:r>
      <w:r w:rsidRPr="00466CBC">
        <w:t>55: 560-569.</w:t>
      </w:r>
    </w:p>
    <w:p w14:paraId="20AE931F"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lastRenderedPageBreak/>
        <w:t xml:space="preserve">Espang, E. 2014. </w:t>
      </w:r>
      <w:r w:rsidRPr="00466CBC">
        <w:rPr>
          <w:rFonts w:asciiTheme="minorHAnsi" w:hAnsiTheme="minorHAnsi"/>
          <w:b w:val="0"/>
          <w:i/>
          <w:sz w:val="22"/>
          <w:szCs w:val="22"/>
        </w:rPr>
        <w:t>Motlhotlo Village relocation project, Magalakwena</w:t>
      </w:r>
      <w:r w:rsidRPr="00466CBC">
        <w:rPr>
          <w:rFonts w:asciiTheme="minorHAnsi" w:hAnsiTheme="minorHAnsi"/>
          <w:b w:val="0"/>
          <w:sz w:val="22"/>
          <w:szCs w:val="22"/>
        </w:rPr>
        <w:t xml:space="preserve"> </w:t>
      </w:r>
      <w:r w:rsidRPr="00466CBC">
        <w:rPr>
          <w:rFonts w:asciiTheme="minorHAnsi" w:hAnsiTheme="minorHAnsi"/>
          <w:b w:val="0"/>
          <w:i/>
          <w:sz w:val="22"/>
          <w:szCs w:val="22"/>
        </w:rPr>
        <w:t>Mine</w:t>
      </w:r>
      <w:r w:rsidRPr="00466CBC">
        <w:rPr>
          <w:rFonts w:asciiTheme="minorHAnsi" w:hAnsiTheme="minorHAnsi"/>
          <w:b w:val="0"/>
          <w:sz w:val="22"/>
          <w:szCs w:val="22"/>
        </w:rPr>
        <w:t>. Paper presented at the IAIA Symposium, Kruger National Park.</w:t>
      </w:r>
    </w:p>
    <w:p w14:paraId="644ED6E3"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Esteves, A.M., Coyne, B., Moreno, A.  2013.  </w:t>
      </w:r>
      <w:r w:rsidRPr="00466CBC">
        <w:rPr>
          <w:rFonts w:asciiTheme="minorHAnsi" w:hAnsiTheme="minorHAnsi"/>
          <w:i/>
          <w:color w:val="000000"/>
          <w:sz w:val="22"/>
          <w:szCs w:val="22"/>
        </w:rPr>
        <w:t>Local Content Initiatives: Enhancing the Subnational Benefits of the Oil, Gas and Mining Sectors</w:t>
      </w:r>
      <w:r w:rsidRPr="00466CBC">
        <w:rPr>
          <w:rFonts w:asciiTheme="minorHAnsi" w:hAnsiTheme="minorHAnsi"/>
          <w:color w:val="000000"/>
          <w:sz w:val="22"/>
          <w:szCs w:val="22"/>
        </w:rPr>
        <w:t>.  Natural Resource Governance Institute, London.</w:t>
      </w:r>
    </w:p>
    <w:p w14:paraId="3F96BF5F"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First Quantum Minerals Limited. 2016. </w:t>
      </w:r>
      <w:r w:rsidRPr="00466CBC">
        <w:rPr>
          <w:rFonts w:asciiTheme="minorHAnsi" w:hAnsiTheme="minorHAnsi"/>
          <w:b w:val="0"/>
          <w:i/>
          <w:sz w:val="22"/>
          <w:szCs w:val="22"/>
        </w:rPr>
        <w:t>2016 Sustainability Report</w:t>
      </w:r>
      <w:r w:rsidRPr="00466CBC">
        <w:rPr>
          <w:rFonts w:asciiTheme="minorHAnsi" w:hAnsiTheme="minorHAnsi"/>
          <w:b w:val="0"/>
          <w:sz w:val="22"/>
          <w:szCs w:val="22"/>
        </w:rPr>
        <w:t>. First Quantum Minerals Limited, Toronto.</w:t>
      </w:r>
    </w:p>
    <w:p w14:paraId="1538717C" w14:textId="77777777" w:rsidR="00590CB1"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r w:rsidRPr="00466CBC">
        <w:rPr>
          <w:rFonts w:eastAsia="Times New Roman" w:cs="Courier New"/>
          <w:color w:val="000000"/>
          <w:lang w:eastAsia="en-GB"/>
        </w:rPr>
        <w:t xml:space="preserve">Fraser, W.W.  1991.  Environmental management at Namew Lake.  </w:t>
      </w:r>
      <w:r w:rsidRPr="00466CBC">
        <w:rPr>
          <w:rFonts w:eastAsia="Times New Roman" w:cs="Courier New"/>
          <w:i/>
          <w:color w:val="000000"/>
          <w:lang w:eastAsia="en-GB"/>
        </w:rPr>
        <w:t>CIM Bulletin</w:t>
      </w:r>
      <w:r w:rsidRPr="00466CBC">
        <w:rPr>
          <w:rFonts w:eastAsia="Times New Roman" w:cs="Courier New"/>
          <w:color w:val="000000"/>
          <w:lang w:eastAsia="en-GB"/>
        </w:rPr>
        <w:t>:</w:t>
      </w:r>
      <w:r>
        <w:rPr>
          <w:rFonts w:eastAsia="Times New Roman" w:cs="Courier New"/>
          <w:color w:val="000000"/>
          <w:lang w:eastAsia="en-GB"/>
        </w:rPr>
        <w:t xml:space="preserve"> 27-32. </w:t>
      </w:r>
    </w:p>
    <w:p w14:paraId="316670F3"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p>
    <w:p w14:paraId="4207D805" w14:textId="77777777" w:rsidR="00590CB1" w:rsidRPr="00466CBC" w:rsidRDefault="00590CB1" w:rsidP="00590CB1">
      <w:pPr>
        <w:jc w:val="both"/>
        <w:rPr>
          <w:color w:val="373737"/>
          <w:shd w:val="clear" w:color="auto" w:fill="FFFFFF"/>
        </w:rPr>
      </w:pPr>
      <w:r w:rsidRPr="00466CBC">
        <w:rPr>
          <w:color w:val="373737"/>
          <w:shd w:val="clear" w:color="auto" w:fill="FFFFFF"/>
        </w:rPr>
        <w:t xml:space="preserve">Frynas, G.  2005.  The false developmental promise of Corporate Social Responsibility: evidence from multinational corporations.  </w:t>
      </w:r>
      <w:r w:rsidRPr="00466CBC">
        <w:rPr>
          <w:i/>
          <w:color w:val="373737"/>
          <w:shd w:val="clear" w:color="auto" w:fill="FFFFFF"/>
        </w:rPr>
        <w:t xml:space="preserve">International Affairs </w:t>
      </w:r>
      <w:r w:rsidRPr="00466CBC">
        <w:rPr>
          <w:color w:val="373737"/>
          <w:shd w:val="clear" w:color="auto" w:fill="FFFFFF"/>
        </w:rPr>
        <w:t>81(3): 581-598.</w:t>
      </w:r>
    </w:p>
    <w:p w14:paraId="41F70511"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Ferguson, J.  2005.  Seeing Like an Oil Company: Space, Security, and Global Capital in Neoliberal Africa.  </w:t>
      </w:r>
    </w:p>
    <w:p w14:paraId="3C8A416E" w14:textId="77777777" w:rsidR="00590CB1" w:rsidRPr="00466CBC" w:rsidRDefault="00590CB1" w:rsidP="00590CB1">
      <w:pPr>
        <w:pStyle w:val="HTMLPreformatted"/>
        <w:jc w:val="both"/>
        <w:rPr>
          <w:rFonts w:asciiTheme="minorHAnsi" w:hAnsiTheme="minorHAnsi"/>
          <w:color w:val="000000"/>
          <w:sz w:val="22"/>
          <w:szCs w:val="22"/>
        </w:rPr>
      </w:pPr>
    </w:p>
    <w:p w14:paraId="1EFCF427"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Gajigo, O., Mutambatsere, E., Ndiaye, G.  2012.  </w:t>
      </w:r>
      <w:r w:rsidRPr="00466CBC">
        <w:rPr>
          <w:rFonts w:asciiTheme="minorHAnsi" w:hAnsiTheme="minorHAnsi"/>
          <w:i/>
          <w:color w:val="000000"/>
          <w:sz w:val="22"/>
          <w:szCs w:val="22"/>
        </w:rPr>
        <w:t>Gold Mining in Africa: Maximizing Returns for Countries</w:t>
      </w:r>
      <w:r w:rsidRPr="00466CBC">
        <w:rPr>
          <w:rFonts w:asciiTheme="minorHAnsi" w:hAnsiTheme="minorHAnsi"/>
          <w:color w:val="000000"/>
          <w:sz w:val="22"/>
          <w:szCs w:val="22"/>
        </w:rPr>
        <w:t>.  Working Paper Series, African Development Bank, Tunis.</w:t>
      </w:r>
    </w:p>
    <w:p w14:paraId="692F31D0" w14:textId="77777777" w:rsidR="00590CB1" w:rsidRPr="00466CBC" w:rsidRDefault="00590CB1" w:rsidP="00590CB1">
      <w:pPr>
        <w:pStyle w:val="HTMLPreformatted"/>
        <w:jc w:val="both"/>
        <w:rPr>
          <w:rFonts w:asciiTheme="minorHAnsi" w:hAnsiTheme="minorHAnsi"/>
          <w:color w:val="000000"/>
          <w:sz w:val="22"/>
          <w:szCs w:val="22"/>
        </w:rPr>
      </w:pPr>
    </w:p>
    <w:p w14:paraId="5296FADD"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Hamann, R.  2003.  Mining companies' role in sustainable development: The 'why' and 'how' of corporate social responsibility from a business perspective.  </w:t>
      </w:r>
      <w:r w:rsidRPr="00466CBC">
        <w:rPr>
          <w:rFonts w:asciiTheme="minorHAnsi" w:hAnsiTheme="minorHAnsi"/>
          <w:i/>
          <w:color w:val="000000"/>
          <w:sz w:val="22"/>
          <w:szCs w:val="22"/>
        </w:rPr>
        <w:t>Development Southern Africa</w:t>
      </w:r>
      <w:r w:rsidRPr="00466CBC">
        <w:rPr>
          <w:rFonts w:asciiTheme="minorHAnsi" w:hAnsiTheme="minorHAnsi"/>
          <w:color w:val="000000"/>
          <w:sz w:val="22"/>
          <w:szCs w:val="22"/>
        </w:rPr>
        <w:t xml:space="preserve"> 20(2): 237-254</w:t>
      </w:r>
    </w:p>
    <w:p w14:paraId="0522C542" w14:textId="77777777" w:rsidR="00590CB1" w:rsidRPr="00466CBC" w:rsidRDefault="00590CB1" w:rsidP="00590CB1">
      <w:pPr>
        <w:pStyle w:val="HTMLPreformatted"/>
        <w:jc w:val="both"/>
        <w:rPr>
          <w:rFonts w:asciiTheme="minorHAnsi" w:hAnsiTheme="minorHAnsi"/>
          <w:color w:val="000000"/>
          <w:sz w:val="22"/>
          <w:szCs w:val="22"/>
        </w:rPr>
      </w:pPr>
    </w:p>
    <w:p w14:paraId="21F627B5" w14:textId="77777777" w:rsidR="00590CB1" w:rsidRPr="00466CBC" w:rsidRDefault="00590CB1" w:rsidP="00590CB1">
      <w:pPr>
        <w:autoSpaceDE w:val="0"/>
        <w:autoSpaceDN w:val="0"/>
        <w:adjustRightInd w:val="0"/>
        <w:spacing w:after="0" w:line="240" w:lineRule="auto"/>
        <w:jc w:val="both"/>
        <w:rPr>
          <w:rFonts w:cs="Times-Roman"/>
        </w:rPr>
      </w:pPr>
      <w:r w:rsidRPr="00466CBC">
        <w:rPr>
          <w:rFonts w:cs="Times-Roman"/>
        </w:rPr>
        <w:t xml:space="preserve">Harman, H.A.  1934.  The Gold Coast, 1931. </w:t>
      </w:r>
      <w:r w:rsidRPr="00466CBC">
        <w:rPr>
          <w:rFonts w:cs="Times-Roman"/>
          <w:i/>
        </w:rPr>
        <w:t xml:space="preserve">Africa </w:t>
      </w:r>
      <w:r w:rsidRPr="00466CBC">
        <w:rPr>
          <w:rFonts w:cs="Times-Roman"/>
        </w:rPr>
        <w:t>7(1): 60-69.</w:t>
      </w:r>
    </w:p>
    <w:p w14:paraId="7B5DFD1A" w14:textId="77777777" w:rsidR="00590CB1" w:rsidRPr="00466CBC" w:rsidRDefault="00590CB1" w:rsidP="00590CB1">
      <w:pPr>
        <w:autoSpaceDE w:val="0"/>
        <w:autoSpaceDN w:val="0"/>
        <w:adjustRightInd w:val="0"/>
        <w:spacing w:after="0" w:line="240" w:lineRule="auto"/>
        <w:jc w:val="both"/>
        <w:rPr>
          <w:rFonts w:cs="Times-Roman"/>
        </w:rPr>
      </w:pPr>
    </w:p>
    <w:p w14:paraId="5FC3D10B" w14:textId="77777777" w:rsidR="00590CB1" w:rsidRPr="00466CBC" w:rsidRDefault="00590CB1" w:rsidP="00590CB1">
      <w:pPr>
        <w:autoSpaceDE w:val="0"/>
        <w:autoSpaceDN w:val="0"/>
        <w:adjustRightInd w:val="0"/>
        <w:spacing w:after="0" w:line="240" w:lineRule="auto"/>
        <w:jc w:val="both"/>
        <w:rPr>
          <w:rFonts w:cs="Times-Roman"/>
        </w:rPr>
      </w:pPr>
      <w:r w:rsidRPr="00466CBC">
        <w:rPr>
          <w:rFonts w:cs="Times-Roman"/>
        </w:rPr>
        <w:t xml:space="preserve">Harvey, C. E. 1981. </w:t>
      </w:r>
      <w:r w:rsidRPr="00466CBC">
        <w:rPr>
          <w:rFonts w:cs="Times-Italic"/>
          <w:i/>
          <w:iCs/>
        </w:rPr>
        <w:t>The Rio Tinto Company: An Economic history of a leading international mining concern 1873—1954</w:t>
      </w:r>
      <w:r w:rsidRPr="00466CBC">
        <w:rPr>
          <w:rFonts w:cs="Times-Roman"/>
        </w:rPr>
        <w:t>. Alison Hodge, Cornwall.</w:t>
      </w:r>
    </w:p>
    <w:p w14:paraId="763783E9" w14:textId="77777777" w:rsidR="00590CB1" w:rsidRPr="00466CBC" w:rsidRDefault="00590CB1" w:rsidP="00590CB1">
      <w:pPr>
        <w:autoSpaceDE w:val="0"/>
        <w:autoSpaceDN w:val="0"/>
        <w:adjustRightInd w:val="0"/>
        <w:spacing w:after="0" w:line="240" w:lineRule="auto"/>
        <w:jc w:val="both"/>
        <w:rPr>
          <w:rFonts w:cs="Times-Roman"/>
          <w:i/>
        </w:rPr>
      </w:pPr>
    </w:p>
    <w:p w14:paraId="4ACC7795" w14:textId="77777777" w:rsidR="00590CB1" w:rsidRPr="00466CBC" w:rsidRDefault="00590CB1" w:rsidP="00590CB1">
      <w:pPr>
        <w:autoSpaceDE w:val="0"/>
        <w:autoSpaceDN w:val="0"/>
        <w:adjustRightInd w:val="0"/>
        <w:spacing w:after="0" w:line="240" w:lineRule="auto"/>
        <w:jc w:val="both"/>
        <w:rPr>
          <w:rFonts w:cs="Times-Roman"/>
        </w:rPr>
      </w:pPr>
      <w:r w:rsidRPr="00466CBC">
        <w:rPr>
          <w:rFonts w:cs="Times-Roman"/>
        </w:rPr>
        <w:t xml:space="preserve">Hays.  2013.  </w:t>
      </w:r>
      <w:r w:rsidRPr="00466CBC">
        <w:rPr>
          <w:rFonts w:cs="Times-Roman"/>
          <w:i/>
        </w:rPr>
        <w:t>Resources &amp; Mining: Global Salary Guide 2013</w:t>
      </w:r>
      <w:r w:rsidRPr="00466CBC">
        <w:rPr>
          <w:rFonts w:cs="Times-Roman"/>
        </w:rPr>
        <w:t xml:space="preserve">.  Hays Recruiting Experts in Resources and Mining, Sydney. </w:t>
      </w:r>
    </w:p>
    <w:p w14:paraId="21146560" w14:textId="77777777" w:rsidR="00590CB1" w:rsidRPr="00466CBC" w:rsidRDefault="00590CB1" w:rsidP="00590CB1">
      <w:pPr>
        <w:autoSpaceDE w:val="0"/>
        <w:autoSpaceDN w:val="0"/>
        <w:adjustRightInd w:val="0"/>
        <w:spacing w:after="0" w:line="240" w:lineRule="auto"/>
        <w:jc w:val="both"/>
        <w:rPr>
          <w:rFonts w:cs="Times-Italic"/>
          <w:i/>
          <w:iCs/>
        </w:rPr>
      </w:pPr>
    </w:p>
    <w:p w14:paraId="2681C9FA" w14:textId="77777777" w:rsidR="00590CB1" w:rsidRPr="00466CBC" w:rsidRDefault="00590CB1" w:rsidP="00590CB1">
      <w:pPr>
        <w:jc w:val="both"/>
        <w:rPr>
          <w:lang w:val="en-CA"/>
        </w:rPr>
      </w:pPr>
      <w:r w:rsidRPr="00466CBC">
        <w:rPr>
          <w:lang w:val="en-CA"/>
        </w:rPr>
        <w:t xml:space="preserve">Hilling, D.  1969.  The Evolution of the Major Ports in West Africa.  </w:t>
      </w:r>
      <w:r w:rsidRPr="00466CBC">
        <w:rPr>
          <w:i/>
          <w:lang w:val="en-CA"/>
        </w:rPr>
        <w:t xml:space="preserve">The Geographical Journal </w:t>
      </w:r>
      <w:r w:rsidRPr="00466CBC">
        <w:rPr>
          <w:lang w:val="en-CA"/>
        </w:rPr>
        <w:t>135(3): 365-378.</w:t>
      </w:r>
    </w:p>
    <w:p w14:paraId="5C2E34D7" w14:textId="77777777" w:rsidR="00590CB1" w:rsidRPr="00466CBC" w:rsidRDefault="00590CB1" w:rsidP="00590CB1">
      <w:pPr>
        <w:jc w:val="both"/>
        <w:rPr>
          <w:rFonts w:cs="Times-Roman"/>
        </w:rPr>
      </w:pPr>
      <w:r w:rsidRPr="00466CBC">
        <w:rPr>
          <w:lang w:val="en-CA"/>
        </w:rPr>
        <w:t xml:space="preserve">Hilson, G.  2011.  ‘Inherited Commitments’:  Do changes in ownership affect corporate social responsibility (CSR) at African gold mines?  </w:t>
      </w:r>
      <w:r w:rsidRPr="00466CBC">
        <w:rPr>
          <w:i/>
          <w:lang w:val="en-CA"/>
        </w:rPr>
        <w:t xml:space="preserve">African Journal of Business Management </w:t>
      </w:r>
      <w:r w:rsidRPr="00466CBC">
        <w:rPr>
          <w:lang w:val="en-CA"/>
        </w:rPr>
        <w:t xml:space="preserve">5(27): 10921-10939. </w:t>
      </w:r>
    </w:p>
    <w:p w14:paraId="73ADFEB5" w14:textId="77777777" w:rsidR="00590CB1" w:rsidRPr="00466CBC" w:rsidRDefault="00590CB1" w:rsidP="00590CB1">
      <w:pPr>
        <w:pStyle w:val="French"/>
        <w:jc w:val="both"/>
        <w:rPr>
          <w:rFonts w:asciiTheme="minorHAnsi" w:hAnsiTheme="minorHAnsi"/>
          <w:sz w:val="22"/>
          <w:szCs w:val="22"/>
          <w:lang w:val="en-CA"/>
        </w:rPr>
      </w:pPr>
      <w:r w:rsidRPr="00466CBC">
        <w:rPr>
          <w:rFonts w:asciiTheme="minorHAnsi" w:hAnsiTheme="minorHAnsi"/>
          <w:sz w:val="22"/>
          <w:szCs w:val="22"/>
          <w:lang w:val="en-CA"/>
        </w:rPr>
        <w:t xml:space="preserve">Hilson, G., Banchirigah S.M.  2009. Are alternative livelihood projects alleviating poverty in mining communities?  Experiences from Ghana.  </w:t>
      </w:r>
      <w:r w:rsidRPr="00466CBC">
        <w:rPr>
          <w:rFonts w:asciiTheme="minorHAnsi" w:hAnsiTheme="minorHAnsi"/>
          <w:i/>
          <w:iCs/>
          <w:sz w:val="22"/>
          <w:szCs w:val="22"/>
          <w:lang w:val="en-CA"/>
        </w:rPr>
        <w:t xml:space="preserve">The Journal of Development Studies </w:t>
      </w:r>
      <w:r w:rsidRPr="00466CBC">
        <w:rPr>
          <w:rFonts w:asciiTheme="minorHAnsi" w:hAnsiTheme="minorHAnsi"/>
          <w:sz w:val="22"/>
          <w:szCs w:val="22"/>
          <w:lang w:val="en-CA"/>
        </w:rPr>
        <w:t>45(2): 172-196.</w:t>
      </w:r>
    </w:p>
    <w:p w14:paraId="75116774" w14:textId="77777777" w:rsidR="00590CB1" w:rsidRPr="00466CBC" w:rsidRDefault="00590CB1" w:rsidP="00590CB1">
      <w:pPr>
        <w:pStyle w:val="HTMLPreformatted"/>
        <w:jc w:val="both"/>
        <w:rPr>
          <w:rFonts w:asciiTheme="minorHAnsi" w:hAnsiTheme="minorHAnsi"/>
          <w:color w:val="000000"/>
          <w:sz w:val="22"/>
          <w:szCs w:val="22"/>
        </w:rPr>
      </w:pPr>
    </w:p>
    <w:p w14:paraId="37BAB72A"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Hilson, G., Hilson, A.  2017.  Mining in Ghana:  Critical Reflections on a Turbulent Past and Uncertain Future, in </w:t>
      </w:r>
      <w:r w:rsidRPr="00466CBC">
        <w:rPr>
          <w:rFonts w:asciiTheme="minorHAnsi" w:hAnsiTheme="minorHAnsi"/>
          <w:i/>
          <w:color w:val="000000"/>
          <w:sz w:val="22"/>
          <w:szCs w:val="22"/>
        </w:rPr>
        <w:t xml:space="preserve">Ghana’s Economy at Sixty </w:t>
      </w:r>
      <w:r w:rsidRPr="00466CBC">
        <w:rPr>
          <w:rFonts w:asciiTheme="minorHAnsi" w:hAnsiTheme="minorHAnsi"/>
          <w:color w:val="000000"/>
          <w:sz w:val="22"/>
          <w:szCs w:val="22"/>
        </w:rPr>
        <w:t>(eds. R. Kanbur and E. Aryeetey), Oxford University Press, Oxford.</w:t>
      </w:r>
    </w:p>
    <w:p w14:paraId="1111A100" w14:textId="77777777" w:rsidR="00590CB1" w:rsidRPr="00466CBC" w:rsidRDefault="00590CB1" w:rsidP="00590CB1">
      <w:pPr>
        <w:pStyle w:val="HTMLPreformatted"/>
        <w:jc w:val="both"/>
        <w:rPr>
          <w:rFonts w:asciiTheme="minorHAnsi" w:hAnsiTheme="minorHAnsi"/>
          <w:color w:val="000000"/>
          <w:sz w:val="22"/>
          <w:szCs w:val="22"/>
        </w:rPr>
      </w:pPr>
    </w:p>
    <w:p w14:paraId="6C5A2F33" w14:textId="77777777" w:rsidR="00590CB1" w:rsidRPr="00466CBC" w:rsidRDefault="00590CB1" w:rsidP="00590CB1">
      <w:pPr>
        <w:jc w:val="both"/>
      </w:pPr>
      <w:r w:rsidRPr="00466CBC">
        <w:t xml:space="preserve">Hochschild, H.K.  1956.  Labor Relations in Northern Rhodesia. </w:t>
      </w:r>
      <w:r w:rsidRPr="00466CBC">
        <w:rPr>
          <w:i/>
        </w:rPr>
        <w:t>The Annals of the American Academy of Political and Social Science</w:t>
      </w:r>
      <w:r w:rsidRPr="00466CBC">
        <w:t xml:space="preserve"> 306:. 43-49.</w:t>
      </w:r>
    </w:p>
    <w:p w14:paraId="5AD1AC30" w14:textId="77777777" w:rsidR="00590CB1"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IamGold Corporation. 2016.  </w:t>
      </w:r>
      <w:r w:rsidRPr="00466CBC">
        <w:rPr>
          <w:rFonts w:asciiTheme="minorHAnsi" w:hAnsiTheme="minorHAnsi"/>
          <w:b w:val="0"/>
          <w:i/>
          <w:sz w:val="22"/>
          <w:szCs w:val="22"/>
        </w:rPr>
        <w:t>Sadiola Mine, Mali</w:t>
      </w:r>
      <w:r w:rsidRPr="00466CBC">
        <w:rPr>
          <w:rFonts w:asciiTheme="minorHAnsi" w:hAnsiTheme="minorHAnsi"/>
          <w:b w:val="0"/>
          <w:sz w:val="22"/>
          <w:szCs w:val="22"/>
        </w:rPr>
        <w:t xml:space="preserve">.  IamGold, Toronto. </w:t>
      </w:r>
    </w:p>
    <w:p w14:paraId="38C7A699" w14:textId="323CFAA7" w:rsidR="00590CB1" w:rsidRPr="0085183E" w:rsidRDefault="00590CB1" w:rsidP="00590CB1">
      <w:pPr>
        <w:pStyle w:val="Heading1"/>
        <w:jc w:val="both"/>
        <w:rPr>
          <w:rFonts w:asciiTheme="minorHAnsi" w:hAnsiTheme="minorHAnsi"/>
          <w:b w:val="0"/>
          <w:sz w:val="22"/>
          <w:szCs w:val="22"/>
        </w:rPr>
      </w:pPr>
      <w:r>
        <w:rPr>
          <w:rFonts w:asciiTheme="minorHAnsi" w:hAnsiTheme="minorHAnsi"/>
          <w:b w:val="0"/>
          <w:sz w:val="22"/>
          <w:szCs w:val="22"/>
        </w:rPr>
        <w:t xml:space="preserve">Idemeudia, </w:t>
      </w:r>
      <w:r w:rsidR="00C97C63">
        <w:rPr>
          <w:rFonts w:asciiTheme="minorHAnsi" w:hAnsiTheme="minorHAnsi"/>
          <w:b w:val="0"/>
          <w:sz w:val="22"/>
          <w:szCs w:val="22"/>
        </w:rPr>
        <w:t xml:space="preserve">U. </w:t>
      </w:r>
      <w:r>
        <w:rPr>
          <w:rFonts w:asciiTheme="minorHAnsi" w:hAnsiTheme="minorHAnsi"/>
          <w:b w:val="0"/>
          <w:sz w:val="22"/>
          <w:szCs w:val="22"/>
        </w:rPr>
        <w:t>2014</w:t>
      </w:r>
      <w:r w:rsidR="00C97C63">
        <w:rPr>
          <w:rFonts w:asciiTheme="minorHAnsi" w:hAnsiTheme="minorHAnsi"/>
          <w:b w:val="0"/>
          <w:sz w:val="22"/>
          <w:szCs w:val="22"/>
        </w:rPr>
        <w:t>.  Corporate Social Respon</w:t>
      </w:r>
      <w:r w:rsidR="0085183E">
        <w:rPr>
          <w:rFonts w:asciiTheme="minorHAnsi" w:hAnsiTheme="minorHAnsi"/>
          <w:b w:val="0"/>
          <w:sz w:val="22"/>
          <w:szCs w:val="22"/>
        </w:rPr>
        <w:t xml:space="preserve">sibility and Development in Africa: Issues and Possibilities.  </w:t>
      </w:r>
      <w:r w:rsidR="0085183E">
        <w:rPr>
          <w:rFonts w:asciiTheme="minorHAnsi" w:hAnsiTheme="minorHAnsi"/>
          <w:b w:val="0"/>
          <w:i/>
          <w:sz w:val="22"/>
          <w:szCs w:val="22"/>
        </w:rPr>
        <w:t xml:space="preserve">Geography Compass </w:t>
      </w:r>
      <w:r w:rsidR="0085183E">
        <w:rPr>
          <w:rFonts w:asciiTheme="minorHAnsi" w:hAnsiTheme="minorHAnsi"/>
          <w:b w:val="0"/>
          <w:sz w:val="22"/>
          <w:szCs w:val="22"/>
        </w:rPr>
        <w:t>8(7): 421-435.</w:t>
      </w:r>
    </w:p>
    <w:p w14:paraId="5E4F0A68"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lastRenderedPageBreak/>
        <w:t xml:space="preserve">International Labour Office (ILO). 1935. </w:t>
      </w:r>
      <w:r w:rsidRPr="00466CBC">
        <w:rPr>
          <w:rFonts w:asciiTheme="minorHAnsi" w:hAnsiTheme="minorHAnsi"/>
          <w:b w:val="0"/>
          <w:i/>
          <w:sz w:val="22"/>
          <w:szCs w:val="22"/>
        </w:rPr>
        <w:t>The recruiting of labour in colonies and other territories with analogous labour conditions.</w:t>
      </w:r>
      <w:r w:rsidRPr="00466CBC">
        <w:rPr>
          <w:rFonts w:asciiTheme="minorHAnsi" w:hAnsiTheme="minorHAnsi"/>
          <w:b w:val="0"/>
          <w:sz w:val="22"/>
          <w:szCs w:val="22"/>
        </w:rPr>
        <w:t xml:space="preserve"> International Labour Conference, 19</w:t>
      </w:r>
      <w:r w:rsidRPr="00466CBC">
        <w:rPr>
          <w:rFonts w:asciiTheme="minorHAnsi" w:hAnsiTheme="minorHAnsi"/>
          <w:b w:val="0"/>
          <w:sz w:val="22"/>
          <w:szCs w:val="22"/>
          <w:vertAlign w:val="superscript"/>
        </w:rPr>
        <w:t>th</w:t>
      </w:r>
      <w:r w:rsidRPr="00466CBC">
        <w:rPr>
          <w:rFonts w:asciiTheme="minorHAnsi" w:hAnsiTheme="minorHAnsi"/>
          <w:b w:val="0"/>
          <w:sz w:val="22"/>
          <w:szCs w:val="22"/>
        </w:rPr>
        <w:t xml:space="preserve"> Session, Report IV, International Labour Office, Geneva. </w:t>
      </w:r>
    </w:p>
    <w:p w14:paraId="194F14EB"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Jarvie-Eggart, M.E.  2013.  Towards sustainable mining: Diffusion of sustainability concepts into the mining industry within Canada, pp. 846-866, in </w:t>
      </w:r>
      <w:r w:rsidRPr="00466CBC">
        <w:rPr>
          <w:rFonts w:asciiTheme="minorHAnsi" w:hAnsiTheme="minorHAnsi"/>
          <w:i/>
          <w:color w:val="000000"/>
          <w:sz w:val="22"/>
          <w:szCs w:val="22"/>
        </w:rPr>
        <w:t>Sustainable Practices: Concepts, Methodologies, Tools, and Applications</w:t>
      </w:r>
      <w:r w:rsidRPr="00466CBC">
        <w:rPr>
          <w:rFonts w:asciiTheme="minorHAnsi" w:hAnsiTheme="minorHAnsi"/>
          <w:color w:val="000000"/>
          <w:sz w:val="22"/>
          <w:szCs w:val="22"/>
        </w:rPr>
        <w:t xml:space="preserve"> 2, IGI Global, Hershey. </w:t>
      </w:r>
    </w:p>
    <w:p w14:paraId="09E24CBF" w14:textId="77777777" w:rsidR="00590CB1" w:rsidRPr="00466CBC" w:rsidRDefault="00590CB1" w:rsidP="00590CB1">
      <w:pPr>
        <w:pStyle w:val="HTMLPreformatted"/>
        <w:jc w:val="both"/>
        <w:rPr>
          <w:rFonts w:asciiTheme="minorHAnsi" w:hAnsiTheme="minorHAnsi"/>
          <w:color w:val="000000"/>
          <w:sz w:val="22"/>
          <w:szCs w:val="22"/>
        </w:rPr>
      </w:pPr>
    </w:p>
    <w:p w14:paraId="49A6F8E7"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Jenkins, H.  2004.  Corporate social responsibility and the mining industry: Conflicts and constructs.  </w:t>
      </w:r>
      <w:r w:rsidRPr="00466CBC">
        <w:rPr>
          <w:rFonts w:asciiTheme="minorHAnsi" w:hAnsiTheme="minorHAnsi"/>
          <w:i/>
          <w:color w:val="000000"/>
          <w:sz w:val="22"/>
          <w:szCs w:val="22"/>
        </w:rPr>
        <w:t>Corporate Social Responsibility and Environmental Management</w:t>
      </w:r>
      <w:r w:rsidRPr="00466CBC">
        <w:rPr>
          <w:rFonts w:asciiTheme="minorHAnsi" w:hAnsiTheme="minorHAnsi"/>
          <w:color w:val="000000"/>
          <w:sz w:val="22"/>
          <w:szCs w:val="22"/>
        </w:rPr>
        <w:t xml:space="preserve"> 11(1): 23-34. </w:t>
      </w:r>
    </w:p>
    <w:p w14:paraId="25A794A1" w14:textId="77777777" w:rsidR="00590CB1" w:rsidRPr="00466CBC" w:rsidRDefault="00590CB1" w:rsidP="00590CB1">
      <w:pPr>
        <w:pStyle w:val="HTMLPreformatted"/>
        <w:jc w:val="both"/>
        <w:rPr>
          <w:rFonts w:asciiTheme="minorHAnsi" w:hAnsiTheme="minorHAnsi"/>
          <w:color w:val="000000"/>
          <w:sz w:val="22"/>
          <w:szCs w:val="22"/>
        </w:rPr>
      </w:pPr>
    </w:p>
    <w:p w14:paraId="28FDAEBE"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r w:rsidRPr="00466CBC">
        <w:rPr>
          <w:rFonts w:eastAsia="Times New Roman" w:cs="Courier New"/>
          <w:color w:val="000000"/>
          <w:lang w:eastAsia="en-GB"/>
        </w:rPr>
        <w:t xml:space="preserve">Johnstone, P.J.  1992. Rehabilitation strategies and planning at Curragh mine, pp. 299-311, in </w:t>
      </w:r>
      <w:r w:rsidRPr="00466CBC">
        <w:rPr>
          <w:rFonts w:eastAsia="Times New Roman" w:cs="Courier New"/>
          <w:i/>
          <w:color w:val="000000"/>
          <w:lang w:eastAsia="en-GB"/>
        </w:rPr>
        <w:t>Third Large Open Pit Mining Conference</w:t>
      </w:r>
      <w:r w:rsidRPr="00466CBC">
        <w:rPr>
          <w:rFonts w:eastAsia="Times New Roman" w:cs="Courier New"/>
          <w:color w:val="000000"/>
          <w:lang w:eastAsia="en-GB"/>
        </w:rPr>
        <w:t xml:space="preserve">, Queensland.  </w:t>
      </w:r>
    </w:p>
    <w:p w14:paraId="27258917"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Jul-Larsen, E.  Kassibo, B., Lange, S.  2006.  </w:t>
      </w:r>
      <w:r w:rsidRPr="00466CBC">
        <w:rPr>
          <w:rFonts w:asciiTheme="minorHAnsi" w:hAnsiTheme="minorHAnsi"/>
          <w:b w:val="0"/>
          <w:i/>
          <w:sz w:val="22"/>
          <w:szCs w:val="22"/>
        </w:rPr>
        <w:t>Socio-Economic Effects of Gold Mining in Mali: A Study of the Sadiola and Morila Mining Operations</w:t>
      </w:r>
      <w:r w:rsidRPr="00466CBC">
        <w:rPr>
          <w:rFonts w:asciiTheme="minorHAnsi" w:hAnsiTheme="minorHAnsi"/>
          <w:b w:val="0"/>
          <w:sz w:val="22"/>
          <w:szCs w:val="22"/>
        </w:rPr>
        <w:t>. Chr. Michelsen Institute, Bergen.</w:t>
      </w:r>
    </w:p>
    <w:p w14:paraId="6608F791"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Kabemba, C.  2013.  </w:t>
      </w:r>
      <w:r w:rsidRPr="00466CBC">
        <w:rPr>
          <w:rFonts w:asciiTheme="minorHAnsi" w:hAnsiTheme="minorHAnsi"/>
          <w:b w:val="0"/>
          <w:i/>
          <w:sz w:val="22"/>
          <w:szCs w:val="22"/>
        </w:rPr>
        <w:t>Myths and Mining: The reality of resource governance in Africa</w:t>
      </w:r>
      <w:r w:rsidRPr="00466CBC">
        <w:rPr>
          <w:rFonts w:asciiTheme="minorHAnsi" w:hAnsiTheme="minorHAnsi"/>
          <w:b w:val="0"/>
          <w:sz w:val="22"/>
          <w:szCs w:val="22"/>
        </w:rPr>
        <w:t xml:space="preserve">. SARW, Johannesburg. </w:t>
      </w:r>
    </w:p>
    <w:p w14:paraId="010E6912"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Kapstein, E. B. and Kim, R.  2011. </w:t>
      </w:r>
      <w:r w:rsidRPr="00466CBC">
        <w:rPr>
          <w:rFonts w:asciiTheme="minorHAnsi" w:hAnsiTheme="minorHAnsi"/>
          <w:b w:val="0"/>
          <w:i/>
          <w:sz w:val="22"/>
          <w:szCs w:val="22"/>
        </w:rPr>
        <w:t>The socio-economic impact of Newmont Ghana Gold Limited</w:t>
      </w:r>
      <w:r w:rsidRPr="00466CBC">
        <w:rPr>
          <w:rFonts w:asciiTheme="minorHAnsi" w:hAnsiTheme="minorHAnsi"/>
          <w:b w:val="0"/>
          <w:sz w:val="22"/>
          <w:szCs w:val="22"/>
        </w:rPr>
        <w:t>. Stratcomm Africa, Accra.</w:t>
      </w:r>
    </w:p>
    <w:p w14:paraId="20E18087" w14:textId="77777777" w:rsidR="00590CB1" w:rsidRPr="00F73D45"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Katzenellenbogen, S.E.  1975.  The Miner’s Frontier, Transport and General Economic Development, pp. 360-426, </w:t>
      </w:r>
      <w:r w:rsidRPr="00466CBC">
        <w:rPr>
          <w:rFonts w:asciiTheme="minorHAnsi" w:hAnsiTheme="minorHAnsi"/>
          <w:b w:val="0"/>
          <w:i/>
          <w:sz w:val="22"/>
          <w:szCs w:val="22"/>
        </w:rPr>
        <w:t>Colonialism in Africa 1870-1960</w:t>
      </w:r>
      <w:r w:rsidRPr="00466CBC">
        <w:rPr>
          <w:rFonts w:asciiTheme="minorHAnsi" w:hAnsiTheme="minorHAnsi"/>
          <w:b w:val="0"/>
          <w:sz w:val="22"/>
          <w:szCs w:val="22"/>
        </w:rPr>
        <w:t xml:space="preserve"> (eds. L.H. Gann and P. Duignan), Cambridge University Press, Cambridge.    </w:t>
      </w:r>
    </w:p>
    <w:p w14:paraId="060C7C3C" w14:textId="77777777" w:rsidR="00590CB1" w:rsidRPr="00466CBC" w:rsidRDefault="00590CB1" w:rsidP="00590CB1">
      <w:pPr>
        <w:pStyle w:val="HTMLPreformatted"/>
        <w:jc w:val="both"/>
        <w:rPr>
          <w:rFonts w:asciiTheme="minorHAnsi" w:hAnsiTheme="minorHAnsi"/>
          <w:sz w:val="22"/>
          <w:szCs w:val="22"/>
        </w:rPr>
      </w:pPr>
      <w:r w:rsidRPr="00466CBC">
        <w:rPr>
          <w:rFonts w:asciiTheme="minorHAnsi" w:hAnsiTheme="minorHAnsi"/>
          <w:sz w:val="22"/>
          <w:szCs w:val="22"/>
        </w:rPr>
        <w:t xml:space="preserve">KPMG.  2012.  </w:t>
      </w:r>
      <w:r w:rsidRPr="00466CBC">
        <w:rPr>
          <w:rFonts w:asciiTheme="minorHAnsi" w:hAnsiTheme="minorHAnsi"/>
          <w:i/>
          <w:sz w:val="22"/>
          <w:szCs w:val="22"/>
        </w:rPr>
        <w:t>Mining in Africa Towards 2020</w:t>
      </w:r>
      <w:r w:rsidRPr="00466CBC">
        <w:rPr>
          <w:rFonts w:asciiTheme="minorHAnsi" w:hAnsiTheme="minorHAnsi"/>
          <w:sz w:val="22"/>
          <w:szCs w:val="22"/>
        </w:rPr>
        <w:t>.  KPMG Africa, Johannesburg.</w:t>
      </w:r>
    </w:p>
    <w:p w14:paraId="2806C9D3" w14:textId="77777777" w:rsidR="00590CB1" w:rsidRPr="00466CBC" w:rsidRDefault="00590CB1" w:rsidP="00590CB1">
      <w:pPr>
        <w:pStyle w:val="HTMLPreformatted"/>
        <w:jc w:val="both"/>
        <w:rPr>
          <w:rFonts w:asciiTheme="minorHAnsi" w:hAnsiTheme="minorHAnsi"/>
          <w:color w:val="000000"/>
          <w:sz w:val="22"/>
          <w:szCs w:val="22"/>
        </w:rPr>
      </w:pPr>
    </w:p>
    <w:p w14:paraId="27797271"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r w:rsidRPr="00466CBC">
        <w:rPr>
          <w:rFonts w:eastAsia="Times New Roman" w:cs="Courier New"/>
          <w:color w:val="000000"/>
          <w:lang w:eastAsia="en-GB"/>
        </w:rPr>
        <w:t xml:space="preserve">Krauss, R. E.  1990.  Reclamation practices at Homestake's McLaughlin Mine. </w:t>
      </w:r>
      <w:r w:rsidRPr="00466CBC">
        <w:rPr>
          <w:rFonts w:eastAsia="Times New Roman" w:cs="Courier New"/>
          <w:i/>
          <w:color w:val="000000"/>
          <w:lang w:eastAsia="en-GB"/>
        </w:rPr>
        <w:t>Mining Engineering</w:t>
      </w:r>
      <w:r w:rsidRPr="00466CBC">
        <w:rPr>
          <w:rFonts w:eastAsia="Times New Roman" w:cs="Courier New"/>
          <w:color w:val="000000"/>
          <w:lang w:eastAsia="en-GB"/>
        </w:rPr>
        <w:t xml:space="preserve"> 42(11): 1239-1241. </w:t>
      </w:r>
    </w:p>
    <w:p w14:paraId="79281F85"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p>
    <w:p w14:paraId="134E17EF"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r w:rsidRPr="00466CBC">
        <w:rPr>
          <w:rFonts w:eastAsia="Times New Roman" w:cs="Courier New"/>
          <w:color w:val="000000"/>
          <w:lang w:eastAsia="en-GB"/>
        </w:rPr>
        <w:t xml:space="preserve">Lanning, G., Mueller, M.  1979.  </w:t>
      </w:r>
      <w:r w:rsidRPr="00466CBC">
        <w:rPr>
          <w:rFonts w:eastAsia="Times New Roman" w:cs="Courier New"/>
          <w:i/>
          <w:color w:val="000000"/>
          <w:lang w:eastAsia="en-GB"/>
        </w:rPr>
        <w:t xml:space="preserve">Africa Undermined: Mining Companies and the Underdevelopment of Africa.  </w:t>
      </w:r>
      <w:r w:rsidRPr="00466CBC">
        <w:rPr>
          <w:rFonts w:eastAsia="Times New Roman" w:cs="Courier New"/>
          <w:color w:val="000000"/>
          <w:lang w:eastAsia="en-GB"/>
        </w:rPr>
        <w:t>Penguin Books, London.</w:t>
      </w:r>
    </w:p>
    <w:p w14:paraId="35F8E931"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p>
    <w:p w14:paraId="2916CD93"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r w:rsidRPr="00466CBC">
        <w:t xml:space="preserve">Lillywhite, S., Kemp, D. and Sturman, K. 2015. </w:t>
      </w:r>
      <w:r w:rsidRPr="00466CBC">
        <w:rPr>
          <w:i/>
        </w:rPr>
        <w:t>Mining, resettlement and lost livelihoods: Listening to the Voices of Resettled Communities in Mualadzi, Mozambique</w:t>
      </w:r>
      <w:r w:rsidRPr="00466CBC">
        <w:t xml:space="preserve">. Oxfam, Melbourne. </w:t>
      </w:r>
      <w:r w:rsidRPr="00466CBC">
        <w:rPr>
          <w:rFonts w:eastAsia="Times New Roman" w:cs="Courier New"/>
          <w:color w:val="000000"/>
          <w:lang w:eastAsia="en-GB"/>
        </w:rPr>
        <w:t xml:space="preserve">Mann, T.  1991.  Management systems in action. The Campbell Mine story.  </w:t>
      </w:r>
      <w:r w:rsidRPr="00466CBC">
        <w:rPr>
          <w:rFonts w:eastAsia="Times New Roman" w:cs="Courier New"/>
          <w:i/>
          <w:color w:val="000000"/>
          <w:lang w:eastAsia="en-GB"/>
        </w:rPr>
        <w:t>CIM Bulletin</w:t>
      </w:r>
      <w:r w:rsidRPr="00466CBC">
        <w:rPr>
          <w:rFonts w:eastAsia="Times New Roman" w:cs="Courier New"/>
          <w:color w:val="000000"/>
          <w:lang w:eastAsia="en-GB"/>
        </w:rPr>
        <w:t xml:space="preserve"> 84: 67-72. </w:t>
      </w:r>
    </w:p>
    <w:p w14:paraId="6AD952E5"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p>
    <w:p w14:paraId="2E4E1ADF"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r w:rsidRPr="00466CBC">
        <w:rPr>
          <w:rFonts w:eastAsia="Times New Roman" w:cs="Courier New"/>
          <w:color w:val="000000"/>
          <w:lang w:eastAsia="en-GB"/>
        </w:rPr>
        <w:t xml:space="preserve">Makambe, E.P. 1994. The Exploitation and Abuse of African Labour in the Colonial Economy of Zimbabwe, 1903-1930: A Lopsided Struggle Between Labour and Capital.  </w:t>
      </w:r>
      <w:r w:rsidRPr="00466CBC">
        <w:rPr>
          <w:rFonts w:eastAsia="Times New Roman" w:cs="Courier New"/>
          <w:i/>
          <w:color w:val="000000"/>
          <w:lang w:eastAsia="en-GB"/>
        </w:rPr>
        <w:t xml:space="preserve">Transafrican Journal of History </w:t>
      </w:r>
      <w:r w:rsidRPr="00466CBC">
        <w:rPr>
          <w:rFonts w:eastAsia="Times New Roman" w:cs="Courier New"/>
          <w:color w:val="000000"/>
          <w:lang w:eastAsia="en-GB"/>
        </w:rPr>
        <w:t>23: 81-104.</w:t>
      </w:r>
    </w:p>
    <w:p w14:paraId="0569A446"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p>
    <w:p w14:paraId="40CFBAF1"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Maloka, T.  1997.  Mines and Labour Migrants in Southern Africa.  </w:t>
      </w:r>
      <w:r w:rsidRPr="00466CBC">
        <w:rPr>
          <w:rFonts w:asciiTheme="minorHAnsi" w:hAnsiTheme="minorHAnsi"/>
          <w:i/>
          <w:color w:val="000000"/>
          <w:sz w:val="22"/>
          <w:szCs w:val="22"/>
        </w:rPr>
        <w:t xml:space="preserve">Journal of Historical Sociology </w:t>
      </w:r>
      <w:r w:rsidRPr="00466CBC">
        <w:rPr>
          <w:rFonts w:asciiTheme="minorHAnsi" w:hAnsiTheme="minorHAnsi"/>
          <w:color w:val="000000"/>
          <w:sz w:val="22"/>
          <w:szCs w:val="22"/>
        </w:rPr>
        <w:t xml:space="preserve">10(2): 213-224.    </w:t>
      </w:r>
    </w:p>
    <w:p w14:paraId="7C437B26"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p>
    <w:p w14:paraId="019D8408" w14:textId="453AA40A" w:rsidR="00590CB1" w:rsidRPr="0065246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r>
        <w:rPr>
          <w:rFonts w:eastAsia="Times New Roman" w:cs="Courier New"/>
          <w:color w:val="000000"/>
          <w:lang w:eastAsia="en-GB"/>
        </w:rPr>
        <w:t>Matten</w:t>
      </w:r>
      <w:r w:rsidR="0065246C">
        <w:rPr>
          <w:rFonts w:eastAsia="Times New Roman" w:cs="Courier New"/>
          <w:color w:val="000000"/>
          <w:lang w:eastAsia="en-GB"/>
        </w:rPr>
        <w:t xml:space="preserve">, D., </w:t>
      </w:r>
      <w:r>
        <w:rPr>
          <w:rFonts w:eastAsia="Times New Roman" w:cs="Courier New"/>
          <w:color w:val="000000"/>
          <w:lang w:eastAsia="en-GB"/>
        </w:rPr>
        <w:t>Moon</w:t>
      </w:r>
      <w:r w:rsidR="0065246C">
        <w:rPr>
          <w:rFonts w:eastAsia="Times New Roman" w:cs="Courier New"/>
          <w:color w:val="000000"/>
          <w:lang w:eastAsia="en-GB"/>
        </w:rPr>
        <w:t xml:space="preserve">, J.  </w:t>
      </w:r>
      <w:r>
        <w:rPr>
          <w:rFonts w:eastAsia="Times New Roman" w:cs="Courier New"/>
          <w:color w:val="000000"/>
          <w:lang w:eastAsia="en-GB"/>
        </w:rPr>
        <w:t xml:space="preserve"> 2008</w:t>
      </w:r>
      <w:r w:rsidR="0065246C">
        <w:rPr>
          <w:rFonts w:eastAsia="Times New Roman" w:cs="Courier New"/>
          <w:color w:val="000000"/>
          <w:lang w:eastAsia="en-GB"/>
        </w:rPr>
        <w:t xml:space="preserve">.  “Implicit” and “Explicit” CSR: A Conceptual Framework For A Comparative Understanding of Corporate Social Responsibility.  </w:t>
      </w:r>
      <w:r w:rsidR="0065246C">
        <w:rPr>
          <w:rFonts w:eastAsia="Times New Roman" w:cs="Courier New"/>
          <w:i/>
          <w:color w:val="000000"/>
          <w:lang w:eastAsia="en-GB"/>
        </w:rPr>
        <w:t>The Academy of Management Review</w:t>
      </w:r>
      <w:r w:rsidR="0065246C">
        <w:rPr>
          <w:rFonts w:eastAsia="Times New Roman" w:cs="Courier New"/>
          <w:color w:val="000000"/>
          <w:lang w:eastAsia="en-GB"/>
        </w:rPr>
        <w:t xml:space="preserve"> 33(2): 404-424.</w:t>
      </w:r>
    </w:p>
    <w:p w14:paraId="12DEDD3B" w14:textId="77777777" w:rsidR="00590CB1"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p>
    <w:p w14:paraId="0AD9EE5D" w14:textId="6673F968" w:rsidR="00590CB1"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r>
        <w:rPr>
          <w:rFonts w:eastAsia="Times New Roman" w:cs="Courier New"/>
          <w:color w:val="000000"/>
          <w:lang w:eastAsia="en-GB"/>
        </w:rPr>
        <w:lastRenderedPageBreak/>
        <w:t>McWilliams</w:t>
      </w:r>
      <w:r w:rsidR="00050419">
        <w:rPr>
          <w:rFonts w:eastAsia="Times New Roman" w:cs="Courier New"/>
          <w:color w:val="000000"/>
          <w:lang w:eastAsia="en-GB"/>
        </w:rPr>
        <w:t xml:space="preserve">, A., Siegel, D.S., Wright, P.M.  2006.  Corporate Social Responsibility: Strategic Implications.  </w:t>
      </w:r>
      <w:r w:rsidR="00050419">
        <w:rPr>
          <w:rFonts w:eastAsia="Times New Roman" w:cs="Courier New"/>
          <w:i/>
          <w:color w:val="000000"/>
          <w:lang w:eastAsia="en-GB"/>
        </w:rPr>
        <w:t xml:space="preserve">Journal of Management Studies </w:t>
      </w:r>
      <w:r w:rsidR="00050419">
        <w:rPr>
          <w:rFonts w:eastAsia="Times New Roman" w:cs="Courier New"/>
          <w:color w:val="000000"/>
          <w:lang w:eastAsia="en-GB"/>
        </w:rPr>
        <w:t>43(1): 1-18.</w:t>
      </w:r>
    </w:p>
    <w:p w14:paraId="659A212A" w14:textId="77777777" w:rsidR="00590CB1"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p>
    <w:p w14:paraId="64F7335E"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r w:rsidRPr="00466CBC">
        <w:rPr>
          <w:rFonts w:eastAsia="Times New Roman" w:cs="Courier New"/>
          <w:color w:val="000000"/>
          <w:lang w:eastAsia="en-GB"/>
        </w:rPr>
        <w:t>Ministry of Finance.  2015.</w:t>
      </w:r>
      <w:r w:rsidRPr="00466CBC">
        <w:rPr>
          <w:rFonts w:eastAsia="Times New Roman" w:cs="Courier New"/>
          <w:i/>
          <w:color w:val="000000"/>
          <w:lang w:eastAsia="en-GB"/>
        </w:rPr>
        <w:t xml:space="preserve"> Ghana Extractive Industries Transparency Initiative</w:t>
      </w:r>
      <w:r w:rsidRPr="00466CBC">
        <w:rPr>
          <w:rFonts w:eastAsia="Times New Roman" w:cs="Courier New"/>
          <w:color w:val="000000"/>
          <w:lang w:eastAsia="en-GB"/>
        </w:rPr>
        <w:t>.  Final GHEITI Report on the Mining Sector, 2014.  Prepared by Boas &amp; Associates, Accra.</w:t>
      </w:r>
    </w:p>
    <w:p w14:paraId="7A7A7CE7"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p>
    <w:p w14:paraId="4816AF5D"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Money, D.  2015. The World of European Labour on the Northern Rhodesian Copperbelt, 1940-1945.  </w:t>
      </w:r>
      <w:r w:rsidRPr="00466CBC">
        <w:rPr>
          <w:rFonts w:asciiTheme="minorHAnsi" w:hAnsiTheme="minorHAnsi"/>
          <w:i/>
          <w:color w:val="000000"/>
          <w:sz w:val="22"/>
          <w:szCs w:val="22"/>
        </w:rPr>
        <w:t>International Review of Social History</w:t>
      </w:r>
      <w:r w:rsidRPr="00466CBC">
        <w:rPr>
          <w:rFonts w:asciiTheme="minorHAnsi" w:hAnsiTheme="minorHAnsi"/>
          <w:color w:val="000000"/>
          <w:sz w:val="22"/>
          <w:szCs w:val="22"/>
        </w:rPr>
        <w:t xml:space="preserve"> 60(2): 225-255. </w:t>
      </w:r>
    </w:p>
    <w:p w14:paraId="29526FF5"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p>
    <w:p w14:paraId="5A9DD66E"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r w:rsidRPr="00466CBC">
        <w:rPr>
          <w:rFonts w:eastAsia="Times New Roman" w:cs="Courier New"/>
          <w:color w:val="000000"/>
          <w:lang w:eastAsia="en-GB"/>
        </w:rPr>
        <w:t xml:space="preserve">Nelson, G., Murray, J., Phillips, J.I. 2011. The risk of asbestos exposure in South African diamond mine workers.  </w:t>
      </w:r>
      <w:r w:rsidRPr="00466CBC">
        <w:rPr>
          <w:rFonts w:eastAsia="Times New Roman" w:cs="Courier New"/>
          <w:i/>
          <w:color w:val="000000"/>
          <w:lang w:eastAsia="en-GB"/>
        </w:rPr>
        <w:t>Annals of Occupational Hygiene</w:t>
      </w:r>
      <w:r w:rsidRPr="00466CBC">
        <w:rPr>
          <w:rFonts w:eastAsia="Times New Roman" w:cs="Courier New"/>
          <w:color w:val="000000"/>
          <w:lang w:eastAsia="en-GB"/>
        </w:rPr>
        <w:t xml:space="preserve"> 55 (6): 569-577.</w:t>
      </w:r>
    </w:p>
    <w:p w14:paraId="74381E49"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Newmont Mining Corporation, 2016a.   </w:t>
      </w:r>
      <w:r w:rsidRPr="00466CBC">
        <w:rPr>
          <w:rFonts w:asciiTheme="minorHAnsi" w:hAnsiTheme="minorHAnsi"/>
          <w:b w:val="0"/>
          <w:i/>
          <w:sz w:val="22"/>
          <w:szCs w:val="22"/>
        </w:rPr>
        <w:t>Beyond the Mine: Our 2015 Social and environmental performance: Resettlement and Land Use</w:t>
      </w:r>
      <w:r w:rsidRPr="00466CBC">
        <w:rPr>
          <w:rFonts w:asciiTheme="minorHAnsi" w:hAnsiTheme="minorHAnsi"/>
          <w:b w:val="0"/>
          <w:sz w:val="22"/>
          <w:szCs w:val="22"/>
        </w:rPr>
        <w:t xml:space="preserve">. Newmont Gold Mining Company, Denver. </w:t>
      </w:r>
    </w:p>
    <w:p w14:paraId="27EEDF0A"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Newmont Mining Corporation, 2016b.   </w:t>
      </w:r>
      <w:r w:rsidRPr="00466CBC">
        <w:rPr>
          <w:rFonts w:asciiTheme="minorHAnsi" w:hAnsiTheme="minorHAnsi"/>
          <w:b w:val="0"/>
          <w:i/>
          <w:sz w:val="22"/>
          <w:szCs w:val="22"/>
        </w:rPr>
        <w:t xml:space="preserve">Beyond the Mine: Our 2015 Social and environmental performance: Our workplace. </w:t>
      </w:r>
      <w:r w:rsidRPr="00466CBC">
        <w:rPr>
          <w:rFonts w:asciiTheme="minorHAnsi" w:hAnsiTheme="minorHAnsi"/>
          <w:b w:val="0"/>
          <w:sz w:val="22"/>
          <w:szCs w:val="22"/>
        </w:rPr>
        <w:t xml:space="preserve">Newmont Gold Mining Company, Denver. </w:t>
      </w:r>
    </w:p>
    <w:p w14:paraId="11EF5AAD" w14:textId="77777777" w:rsidR="00590CB1" w:rsidRPr="00466CBC" w:rsidRDefault="00590CB1" w:rsidP="00590CB1">
      <w:pPr>
        <w:pStyle w:val="Heading1"/>
        <w:jc w:val="both"/>
        <w:rPr>
          <w:rFonts w:asciiTheme="minorHAnsi" w:hAnsiTheme="minorHAnsi"/>
          <w:b w:val="0"/>
          <w:sz w:val="22"/>
          <w:szCs w:val="22"/>
        </w:rPr>
      </w:pPr>
      <w:r w:rsidRPr="00466CBC">
        <w:rPr>
          <w:rFonts w:asciiTheme="minorHAnsi" w:hAnsiTheme="minorHAnsi"/>
          <w:b w:val="0"/>
          <w:sz w:val="22"/>
          <w:szCs w:val="22"/>
        </w:rPr>
        <w:t xml:space="preserve">Newmont Mining Corporation. 2011. </w:t>
      </w:r>
      <w:r w:rsidRPr="00466CBC">
        <w:rPr>
          <w:rFonts w:asciiTheme="minorHAnsi" w:hAnsiTheme="minorHAnsi"/>
          <w:b w:val="0"/>
          <w:i/>
          <w:sz w:val="22"/>
          <w:szCs w:val="22"/>
        </w:rPr>
        <w:t>Newmont Akyem Mines: Resettlement and Community Development.</w:t>
      </w:r>
      <w:r w:rsidRPr="00466CBC">
        <w:rPr>
          <w:rFonts w:asciiTheme="minorHAnsi" w:hAnsiTheme="minorHAnsi"/>
          <w:b w:val="0"/>
          <w:sz w:val="22"/>
          <w:szCs w:val="22"/>
        </w:rPr>
        <w:t xml:space="preserve">  Newmont Gold Mining Company, Denver.</w:t>
      </w:r>
    </w:p>
    <w:p w14:paraId="267662BC"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Nwapi, C.  2015.  Defining the "Local" in Local Content Requirements in the Oil and Gas and Mining Sectors in Developing Countries.  </w:t>
      </w:r>
      <w:r w:rsidRPr="00466CBC">
        <w:rPr>
          <w:rFonts w:asciiTheme="minorHAnsi" w:hAnsiTheme="minorHAnsi"/>
          <w:i/>
          <w:color w:val="000000"/>
          <w:sz w:val="22"/>
          <w:szCs w:val="22"/>
        </w:rPr>
        <w:t>Law and Development Review</w:t>
      </w:r>
      <w:r w:rsidRPr="00466CBC">
        <w:rPr>
          <w:rFonts w:asciiTheme="minorHAnsi" w:hAnsiTheme="minorHAnsi"/>
          <w:color w:val="000000"/>
          <w:sz w:val="22"/>
          <w:szCs w:val="22"/>
        </w:rPr>
        <w:t xml:space="preserve"> 8(1): 187-216. </w:t>
      </w:r>
    </w:p>
    <w:p w14:paraId="26B68F81" w14:textId="77777777" w:rsidR="00590CB1" w:rsidRPr="00466CBC" w:rsidRDefault="00590CB1" w:rsidP="00590CB1">
      <w:pPr>
        <w:pStyle w:val="HTMLPreformatted"/>
        <w:jc w:val="both"/>
        <w:rPr>
          <w:rFonts w:asciiTheme="minorHAnsi" w:hAnsiTheme="minorHAnsi"/>
          <w:color w:val="000000"/>
          <w:sz w:val="22"/>
          <w:szCs w:val="22"/>
        </w:rPr>
      </w:pPr>
    </w:p>
    <w:p w14:paraId="44AC0D19"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Ofori-Mensah, E.A.  2011.  Historical overview of traditional and modern gold mining in Ghana.  </w:t>
      </w:r>
      <w:r w:rsidRPr="00466CBC">
        <w:rPr>
          <w:rFonts w:asciiTheme="minorHAnsi" w:hAnsiTheme="minorHAnsi"/>
          <w:i/>
          <w:color w:val="000000"/>
          <w:sz w:val="22"/>
          <w:szCs w:val="22"/>
        </w:rPr>
        <w:t xml:space="preserve">International Research Journal of Library, Information and Archival Studies </w:t>
      </w:r>
      <w:r w:rsidRPr="00466CBC">
        <w:rPr>
          <w:rFonts w:asciiTheme="minorHAnsi" w:hAnsiTheme="minorHAnsi"/>
          <w:color w:val="000000"/>
          <w:sz w:val="22"/>
          <w:szCs w:val="22"/>
        </w:rPr>
        <w:t>1(1): 6-22.</w:t>
      </w:r>
    </w:p>
    <w:p w14:paraId="2FF57960" w14:textId="77777777" w:rsidR="00590CB1" w:rsidRPr="00466CBC" w:rsidRDefault="00590CB1" w:rsidP="00590CB1">
      <w:pPr>
        <w:pStyle w:val="HTMLPreformatted"/>
        <w:jc w:val="both"/>
        <w:rPr>
          <w:rFonts w:asciiTheme="minorHAnsi" w:hAnsiTheme="minorHAnsi"/>
          <w:color w:val="000000"/>
          <w:sz w:val="22"/>
          <w:szCs w:val="22"/>
        </w:rPr>
      </w:pPr>
    </w:p>
    <w:p w14:paraId="773E2858"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Pegg, S.  2006.  Mining and poverty reduction: Transforming rhetoric into reality.  </w:t>
      </w:r>
      <w:r w:rsidRPr="00466CBC">
        <w:rPr>
          <w:rFonts w:asciiTheme="minorHAnsi" w:hAnsiTheme="minorHAnsi"/>
          <w:i/>
          <w:color w:val="000000"/>
          <w:sz w:val="22"/>
          <w:szCs w:val="22"/>
        </w:rPr>
        <w:t xml:space="preserve">Journal of Cleaner Production </w:t>
      </w:r>
      <w:r w:rsidRPr="00466CBC">
        <w:rPr>
          <w:rFonts w:asciiTheme="minorHAnsi" w:hAnsiTheme="minorHAnsi"/>
          <w:color w:val="000000"/>
          <w:sz w:val="22"/>
          <w:szCs w:val="22"/>
        </w:rPr>
        <w:t>14(3-4): 376-387.</w:t>
      </w:r>
    </w:p>
    <w:p w14:paraId="269EBB52"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p>
    <w:p w14:paraId="3284FC4D" w14:textId="77777777" w:rsidR="00590CB1" w:rsidRPr="00466CBC" w:rsidRDefault="00590CB1" w:rsidP="00590CB1">
      <w:pPr>
        <w:jc w:val="both"/>
        <w:rPr>
          <w:rFonts w:cs="Lucida Grande"/>
          <w:color w:val="292929"/>
          <w:lang w:val="en"/>
        </w:rPr>
      </w:pPr>
      <w:r w:rsidRPr="00466CBC">
        <w:rPr>
          <w:rFonts w:cs="Lucida Grande"/>
          <w:color w:val="292929"/>
          <w:lang w:val="en"/>
        </w:rPr>
        <w:t xml:space="preserve">Perrings, C.  1977.  Consciousness, Conflict and Proletarianization: An Assessment of the 1935 Mineworkers' Strike on the Northern Rhodesian Copperbelt.  </w:t>
      </w:r>
      <w:r w:rsidRPr="00466CBC">
        <w:rPr>
          <w:rFonts w:cs="Lucida Grande"/>
          <w:i/>
          <w:color w:val="292929"/>
          <w:lang w:val="en"/>
        </w:rPr>
        <w:t>Journal of Southern African Studies</w:t>
      </w:r>
      <w:r w:rsidRPr="00466CBC">
        <w:rPr>
          <w:rFonts w:cs="Lucida Grande"/>
          <w:color w:val="292929"/>
          <w:lang w:val="en"/>
        </w:rPr>
        <w:t>.</w:t>
      </w:r>
      <w:r w:rsidRPr="00466CBC">
        <w:rPr>
          <w:rFonts w:cs="Lucida Grande"/>
          <w:i/>
          <w:color w:val="292929"/>
          <w:lang w:val="en"/>
        </w:rPr>
        <w:t xml:space="preserve"> </w:t>
      </w:r>
      <w:r w:rsidRPr="00466CBC">
        <w:rPr>
          <w:rFonts w:cs="Lucida Grande"/>
          <w:color w:val="292929"/>
          <w:lang w:val="en"/>
        </w:rPr>
        <w:t>4(1): 31-51.</w:t>
      </w:r>
    </w:p>
    <w:p w14:paraId="32CFE2B3"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Phimister, I.R.  1974.  Alluvial Gold Mining and Trade in Nineteenth-Century South Central Africa.  </w:t>
      </w:r>
      <w:r w:rsidRPr="00466CBC">
        <w:rPr>
          <w:rFonts w:asciiTheme="minorHAnsi" w:hAnsiTheme="minorHAnsi"/>
          <w:i/>
          <w:color w:val="000000"/>
          <w:sz w:val="22"/>
          <w:szCs w:val="22"/>
        </w:rPr>
        <w:t>The Journal of African History</w:t>
      </w:r>
      <w:r w:rsidRPr="00466CBC">
        <w:rPr>
          <w:rFonts w:asciiTheme="minorHAnsi" w:hAnsiTheme="minorHAnsi"/>
          <w:color w:val="000000"/>
          <w:sz w:val="22"/>
          <w:szCs w:val="22"/>
        </w:rPr>
        <w:t xml:space="preserve"> 15(3): 445-456. </w:t>
      </w:r>
    </w:p>
    <w:p w14:paraId="6C38C6DD" w14:textId="77777777" w:rsidR="00590CB1" w:rsidRPr="00466CBC" w:rsidRDefault="00590CB1" w:rsidP="00590CB1">
      <w:pPr>
        <w:pStyle w:val="HTMLPreformatted"/>
        <w:jc w:val="both"/>
        <w:rPr>
          <w:rFonts w:asciiTheme="minorHAnsi" w:hAnsiTheme="minorHAnsi"/>
          <w:color w:val="000000"/>
          <w:sz w:val="22"/>
          <w:szCs w:val="22"/>
        </w:rPr>
      </w:pPr>
    </w:p>
    <w:p w14:paraId="59320452"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Phimister, I.R. 1994.  Lashers and Leviathan: The 1954 Coalminers’ Strike in Colonial Zimbabwe.  </w:t>
      </w:r>
      <w:r w:rsidRPr="00466CBC">
        <w:rPr>
          <w:rFonts w:asciiTheme="minorHAnsi" w:hAnsiTheme="minorHAnsi"/>
          <w:i/>
          <w:color w:val="000000"/>
          <w:sz w:val="22"/>
          <w:szCs w:val="22"/>
        </w:rPr>
        <w:t>International Review of Social History</w:t>
      </w:r>
      <w:r w:rsidRPr="00466CBC">
        <w:rPr>
          <w:rFonts w:asciiTheme="minorHAnsi" w:hAnsiTheme="minorHAnsi"/>
          <w:color w:val="000000"/>
          <w:sz w:val="22"/>
          <w:szCs w:val="22"/>
        </w:rPr>
        <w:t xml:space="preserve"> 39(2): 165-196.</w:t>
      </w:r>
    </w:p>
    <w:p w14:paraId="6EDC9753"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p>
    <w:p w14:paraId="1FA64DAE"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r w:rsidRPr="00466CBC">
        <w:rPr>
          <w:rFonts w:eastAsia="Times New Roman" w:cs="Courier New"/>
          <w:color w:val="000000"/>
          <w:lang w:eastAsia="en-GB"/>
        </w:rPr>
        <w:t xml:space="preserve">Rasmussen, D.L.  1970.  Black lung in southern Appalachia.  </w:t>
      </w:r>
      <w:r w:rsidRPr="00466CBC">
        <w:rPr>
          <w:rFonts w:eastAsia="Times New Roman" w:cs="Courier New"/>
          <w:i/>
          <w:color w:val="000000"/>
          <w:lang w:eastAsia="en-GB"/>
        </w:rPr>
        <w:t>American Journal of Nursing</w:t>
      </w:r>
      <w:r w:rsidRPr="00466CBC">
        <w:rPr>
          <w:rFonts w:eastAsia="Times New Roman" w:cs="Courier New"/>
          <w:color w:val="000000"/>
          <w:lang w:eastAsia="en-GB"/>
        </w:rPr>
        <w:t xml:space="preserve"> 70(3): 509-511. </w:t>
      </w:r>
    </w:p>
    <w:p w14:paraId="49FECFDF" w14:textId="77777777" w:rsidR="00590CB1" w:rsidRPr="00EA2AF1" w:rsidRDefault="00590CB1" w:rsidP="00590CB1">
      <w:pPr>
        <w:pStyle w:val="Heading1"/>
        <w:jc w:val="both"/>
        <w:rPr>
          <w:rFonts w:asciiTheme="minorHAnsi" w:hAnsiTheme="minorHAnsi" w:cstheme="minorHAnsi"/>
          <w:b w:val="0"/>
          <w:color w:val="000000" w:themeColor="text1"/>
          <w:sz w:val="22"/>
          <w:szCs w:val="22"/>
        </w:rPr>
      </w:pPr>
      <w:r w:rsidRPr="00EA2AF1">
        <w:rPr>
          <w:rFonts w:asciiTheme="minorHAnsi" w:hAnsiTheme="minorHAnsi" w:cstheme="minorHAnsi"/>
          <w:b w:val="0"/>
          <w:color w:val="000000" w:themeColor="text1"/>
          <w:sz w:val="22"/>
          <w:szCs w:val="22"/>
        </w:rPr>
        <w:t xml:space="preserve">Rio Tinto, 2015.  </w:t>
      </w:r>
      <w:r w:rsidRPr="00EA2AF1">
        <w:rPr>
          <w:rFonts w:asciiTheme="minorHAnsi" w:hAnsiTheme="minorHAnsi" w:cstheme="minorHAnsi"/>
          <w:b w:val="0"/>
          <w:i/>
          <w:sz w:val="22"/>
          <w:szCs w:val="22"/>
        </w:rPr>
        <w:t>Rössing Uranium Limited Working for Namibia Report to stakeholders 2015</w:t>
      </w:r>
      <w:r w:rsidRPr="00EA2AF1">
        <w:rPr>
          <w:rFonts w:asciiTheme="minorHAnsi" w:hAnsiTheme="minorHAnsi" w:cstheme="minorHAnsi"/>
          <w:b w:val="0"/>
          <w:sz w:val="22"/>
          <w:szCs w:val="22"/>
        </w:rPr>
        <w:t>.  Rio Tinto, London.</w:t>
      </w:r>
    </w:p>
    <w:p w14:paraId="4F7978AD" w14:textId="77777777" w:rsidR="00590CB1" w:rsidRPr="00466CBC" w:rsidRDefault="00590CB1" w:rsidP="00590CB1">
      <w:pPr>
        <w:pStyle w:val="Heading1"/>
        <w:jc w:val="both"/>
        <w:rPr>
          <w:rFonts w:asciiTheme="minorHAnsi" w:hAnsiTheme="minorHAnsi"/>
          <w:b w:val="0"/>
          <w:color w:val="000000" w:themeColor="text1"/>
          <w:sz w:val="22"/>
          <w:szCs w:val="22"/>
        </w:rPr>
      </w:pPr>
      <w:r w:rsidRPr="00466CBC">
        <w:rPr>
          <w:rFonts w:asciiTheme="minorHAnsi" w:hAnsiTheme="minorHAnsi"/>
          <w:b w:val="0"/>
          <w:color w:val="000000" w:themeColor="text1"/>
          <w:sz w:val="22"/>
          <w:szCs w:val="22"/>
        </w:rPr>
        <w:t xml:space="preserve">Roberts, A.D.  1986.  The Gold Boom of the 1930s in Eastern Africa. </w:t>
      </w:r>
      <w:r w:rsidRPr="00466CBC">
        <w:rPr>
          <w:rFonts w:asciiTheme="minorHAnsi" w:hAnsiTheme="minorHAnsi"/>
          <w:b w:val="0"/>
          <w:i/>
          <w:color w:val="000000" w:themeColor="text1"/>
          <w:sz w:val="22"/>
          <w:szCs w:val="22"/>
        </w:rPr>
        <w:t xml:space="preserve">African Affairs </w:t>
      </w:r>
      <w:r w:rsidRPr="00466CBC">
        <w:rPr>
          <w:rFonts w:asciiTheme="minorHAnsi" w:hAnsiTheme="minorHAnsi"/>
          <w:b w:val="0"/>
          <w:color w:val="000000" w:themeColor="text1"/>
          <w:sz w:val="22"/>
          <w:szCs w:val="22"/>
        </w:rPr>
        <w:t>85(341): 545-562.</w:t>
      </w:r>
    </w:p>
    <w:p w14:paraId="02175673"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Sanchez, L.  1998.  Industry Response to the Challenge of sustainability: The Case of the Canadian Nonferrous Mining Sector.  </w:t>
      </w:r>
      <w:r w:rsidRPr="00466CBC">
        <w:rPr>
          <w:rFonts w:asciiTheme="minorHAnsi" w:hAnsiTheme="minorHAnsi"/>
          <w:i/>
          <w:color w:val="000000"/>
          <w:sz w:val="22"/>
          <w:szCs w:val="22"/>
        </w:rPr>
        <w:t xml:space="preserve">Environmental Management </w:t>
      </w:r>
      <w:r w:rsidRPr="00466CBC">
        <w:rPr>
          <w:rFonts w:asciiTheme="minorHAnsi" w:hAnsiTheme="minorHAnsi"/>
          <w:color w:val="000000"/>
          <w:sz w:val="22"/>
          <w:szCs w:val="22"/>
        </w:rPr>
        <w:t>22(4): 521-531.</w:t>
      </w:r>
    </w:p>
    <w:p w14:paraId="545C25D6" w14:textId="77777777" w:rsidR="00590CB1" w:rsidRPr="00466CBC" w:rsidRDefault="00590CB1" w:rsidP="00590CB1">
      <w:pPr>
        <w:pStyle w:val="HTMLPreformatted"/>
        <w:jc w:val="both"/>
        <w:rPr>
          <w:rFonts w:asciiTheme="minorHAnsi" w:hAnsiTheme="minorHAnsi"/>
          <w:color w:val="000000"/>
          <w:sz w:val="22"/>
          <w:szCs w:val="22"/>
        </w:rPr>
      </w:pPr>
    </w:p>
    <w:p w14:paraId="6E245517"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lastRenderedPageBreak/>
        <w:t xml:space="preserve">Sethi, S.P.  2005.  The effectiveness of industry-based codes in serving public interest: The case of the International Council on Mining and Metals. </w:t>
      </w:r>
      <w:r w:rsidRPr="00466CBC">
        <w:rPr>
          <w:rFonts w:asciiTheme="minorHAnsi" w:hAnsiTheme="minorHAnsi"/>
          <w:i/>
          <w:color w:val="000000"/>
          <w:sz w:val="22"/>
          <w:szCs w:val="22"/>
        </w:rPr>
        <w:t>Transnational Corporations</w:t>
      </w:r>
      <w:r w:rsidRPr="00466CBC">
        <w:rPr>
          <w:rFonts w:asciiTheme="minorHAnsi" w:hAnsiTheme="minorHAnsi"/>
          <w:color w:val="000000"/>
          <w:sz w:val="22"/>
          <w:szCs w:val="22"/>
        </w:rPr>
        <w:t xml:space="preserve"> 14(3): 55-100. </w:t>
      </w:r>
    </w:p>
    <w:p w14:paraId="02E135BE" w14:textId="77777777" w:rsidR="00590CB1" w:rsidRPr="00466CBC" w:rsidRDefault="00590CB1" w:rsidP="00590CB1">
      <w:pPr>
        <w:pStyle w:val="HTMLPreformatted"/>
        <w:jc w:val="both"/>
        <w:rPr>
          <w:rFonts w:asciiTheme="minorHAnsi" w:hAnsiTheme="minorHAnsi"/>
          <w:color w:val="000000"/>
          <w:sz w:val="22"/>
          <w:szCs w:val="22"/>
        </w:rPr>
      </w:pPr>
    </w:p>
    <w:p w14:paraId="14D75A2C"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Sethi, S.P., Emelianova, O.  2006. A failed strategy of using voluntary codes of conduct by the global mining industry.  </w:t>
      </w:r>
      <w:r w:rsidRPr="00466CBC">
        <w:rPr>
          <w:rFonts w:asciiTheme="minorHAnsi" w:hAnsiTheme="minorHAnsi"/>
          <w:i/>
          <w:color w:val="000000"/>
          <w:sz w:val="22"/>
          <w:szCs w:val="22"/>
        </w:rPr>
        <w:t>Corporate Governance</w:t>
      </w:r>
      <w:r w:rsidRPr="00466CBC">
        <w:rPr>
          <w:rFonts w:asciiTheme="minorHAnsi" w:hAnsiTheme="minorHAnsi"/>
          <w:color w:val="000000"/>
          <w:sz w:val="22"/>
          <w:szCs w:val="22"/>
        </w:rPr>
        <w:t xml:space="preserve"> 6(3): 226-238. </w:t>
      </w:r>
    </w:p>
    <w:p w14:paraId="24AAFA8B" w14:textId="77777777" w:rsidR="00590CB1" w:rsidRPr="00466CBC" w:rsidRDefault="00590CB1" w:rsidP="00590CB1">
      <w:pPr>
        <w:pStyle w:val="HTMLPreformatted"/>
        <w:jc w:val="both"/>
        <w:rPr>
          <w:rFonts w:asciiTheme="minorHAnsi" w:hAnsiTheme="minorHAnsi"/>
          <w:color w:val="000000"/>
          <w:sz w:val="22"/>
          <w:szCs w:val="22"/>
        </w:rPr>
      </w:pPr>
    </w:p>
    <w:p w14:paraId="4E5A6596"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Sinding, K.  1999.  Environmental impact assessment and management in the mining industry.  </w:t>
      </w:r>
      <w:r w:rsidRPr="00466CBC">
        <w:rPr>
          <w:rFonts w:asciiTheme="minorHAnsi" w:hAnsiTheme="minorHAnsi"/>
          <w:i/>
          <w:color w:val="000000"/>
          <w:sz w:val="22"/>
          <w:szCs w:val="22"/>
        </w:rPr>
        <w:t>Natural Resources Forum</w:t>
      </w:r>
      <w:r w:rsidRPr="00466CBC">
        <w:rPr>
          <w:rFonts w:asciiTheme="minorHAnsi" w:hAnsiTheme="minorHAnsi"/>
          <w:color w:val="000000"/>
          <w:sz w:val="22"/>
          <w:szCs w:val="22"/>
        </w:rPr>
        <w:t xml:space="preserve"> 23(1): 57-63.</w:t>
      </w:r>
    </w:p>
    <w:p w14:paraId="7CF80314" w14:textId="77777777" w:rsidR="00590CB1" w:rsidRPr="00466CBC" w:rsidRDefault="00590CB1" w:rsidP="00590CB1">
      <w:pPr>
        <w:pStyle w:val="HTMLPreformatted"/>
        <w:jc w:val="both"/>
        <w:rPr>
          <w:rFonts w:asciiTheme="minorHAnsi" w:hAnsiTheme="minorHAnsi"/>
          <w:color w:val="000000"/>
          <w:sz w:val="22"/>
          <w:szCs w:val="22"/>
        </w:rPr>
      </w:pPr>
    </w:p>
    <w:p w14:paraId="519B236E"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Sklar, R.L.  1975.  </w:t>
      </w:r>
      <w:r w:rsidRPr="00466CBC">
        <w:rPr>
          <w:rFonts w:asciiTheme="minorHAnsi" w:hAnsiTheme="minorHAnsi"/>
          <w:i/>
          <w:color w:val="000000"/>
          <w:sz w:val="22"/>
          <w:szCs w:val="22"/>
        </w:rPr>
        <w:t>Multinational Mining Companies in Zambia</w:t>
      </w:r>
      <w:r w:rsidRPr="00466CBC">
        <w:rPr>
          <w:rFonts w:asciiTheme="minorHAnsi" w:hAnsiTheme="minorHAnsi"/>
          <w:color w:val="000000"/>
          <w:sz w:val="22"/>
          <w:szCs w:val="22"/>
        </w:rPr>
        <w:t xml:space="preserve">.  University of California Press, Berkley.  </w:t>
      </w:r>
    </w:p>
    <w:p w14:paraId="47AB14E4" w14:textId="77777777" w:rsidR="00590CB1" w:rsidRPr="00466CBC" w:rsidRDefault="00590CB1" w:rsidP="00590CB1">
      <w:pPr>
        <w:pStyle w:val="HTMLPreformatted"/>
        <w:jc w:val="both"/>
        <w:rPr>
          <w:rFonts w:asciiTheme="minorHAnsi" w:hAnsiTheme="minorHAnsi"/>
          <w:color w:val="000000"/>
          <w:sz w:val="22"/>
          <w:szCs w:val="22"/>
        </w:rPr>
      </w:pPr>
    </w:p>
    <w:p w14:paraId="094D582E"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Sinding, K.  1999. Environmental impact assessment and management in the mining industry.  </w:t>
      </w:r>
      <w:r w:rsidRPr="00466CBC">
        <w:rPr>
          <w:rFonts w:asciiTheme="minorHAnsi" w:hAnsiTheme="minorHAnsi"/>
          <w:i/>
          <w:color w:val="000000"/>
          <w:sz w:val="22"/>
          <w:szCs w:val="22"/>
        </w:rPr>
        <w:t xml:space="preserve">Natural Resources Forum </w:t>
      </w:r>
      <w:r w:rsidRPr="00466CBC">
        <w:rPr>
          <w:rFonts w:asciiTheme="minorHAnsi" w:hAnsiTheme="minorHAnsi"/>
          <w:color w:val="000000"/>
          <w:sz w:val="22"/>
          <w:szCs w:val="22"/>
        </w:rPr>
        <w:t>23(1): 57-63.</w:t>
      </w:r>
    </w:p>
    <w:p w14:paraId="773C9F05"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n-GB"/>
        </w:rPr>
      </w:pPr>
    </w:p>
    <w:p w14:paraId="6BAD7980"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Smith, F.W., Underwood, B.  2000.  Mine closure: The environmental challenge. Institution of Mining and Metallurgy. </w:t>
      </w:r>
      <w:r w:rsidRPr="00466CBC">
        <w:rPr>
          <w:rFonts w:asciiTheme="minorHAnsi" w:hAnsiTheme="minorHAnsi"/>
          <w:i/>
          <w:color w:val="000000"/>
          <w:sz w:val="22"/>
          <w:szCs w:val="22"/>
        </w:rPr>
        <w:t>Transactions. Section A: Mining Technology</w:t>
      </w:r>
      <w:r w:rsidRPr="00466CBC">
        <w:rPr>
          <w:rFonts w:asciiTheme="minorHAnsi" w:hAnsiTheme="minorHAnsi"/>
          <w:color w:val="000000"/>
          <w:sz w:val="22"/>
          <w:szCs w:val="22"/>
        </w:rPr>
        <w:t xml:space="preserve"> 109.</w:t>
      </w:r>
    </w:p>
    <w:p w14:paraId="791B18E9"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p>
    <w:p w14:paraId="1F9794C3"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color w:val="000000"/>
          <w:sz w:val="22"/>
          <w:szCs w:val="22"/>
        </w:rPr>
        <w:t xml:space="preserve">Speakman, J., Koivisto, M.  2013.  Growth Poles: Raised Competitiveness and Deepening Regional Integration, pp. 93-106, in </w:t>
      </w:r>
      <w:r w:rsidRPr="00466CBC">
        <w:rPr>
          <w:rFonts w:asciiTheme="minorHAnsi" w:hAnsiTheme="minorHAnsi"/>
          <w:i/>
          <w:color w:val="000000"/>
          <w:sz w:val="22"/>
          <w:szCs w:val="22"/>
        </w:rPr>
        <w:t>The Africa Competitiveness Report 2013</w:t>
      </w:r>
      <w:r w:rsidRPr="00466CBC">
        <w:rPr>
          <w:rFonts w:asciiTheme="minorHAnsi" w:hAnsiTheme="minorHAnsi"/>
          <w:color w:val="000000"/>
          <w:sz w:val="22"/>
          <w:szCs w:val="22"/>
        </w:rPr>
        <w:t>,</w:t>
      </w:r>
      <w:r w:rsidRPr="00466CBC">
        <w:rPr>
          <w:rFonts w:asciiTheme="minorHAnsi" w:hAnsiTheme="minorHAnsi"/>
          <w:i/>
          <w:color w:val="000000"/>
          <w:sz w:val="22"/>
          <w:szCs w:val="22"/>
        </w:rPr>
        <w:t xml:space="preserve"> </w:t>
      </w:r>
      <w:r w:rsidRPr="00466CBC">
        <w:rPr>
          <w:rFonts w:asciiTheme="minorHAnsi" w:hAnsiTheme="minorHAnsi"/>
          <w:color w:val="000000"/>
          <w:sz w:val="22"/>
          <w:szCs w:val="22"/>
        </w:rPr>
        <w:t xml:space="preserve">World Bank, Washington DC.   </w:t>
      </w:r>
    </w:p>
    <w:p w14:paraId="1532C8E5" w14:textId="77777777" w:rsidR="00590CB1" w:rsidRPr="00466CBC" w:rsidRDefault="00590CB1" w:rsidP="00590CB1">
      <w:pPr>
        <w:pStyle w:val="HTMLPreformatted"/>
        <w:jc w:val="both"/>
        <w:rPr>
          <w:rFonts w:asciiTheme="minorHAnsi" w:hAnsiTheme="minorHAnsi"/>
          <w:color w:val="000000"/>
          <w:sz w:val="22"/>
          <w:szCs w:val="22"/>
        </w:rPr>
      </w:pPr>
    </w:p>
    <w:p w14:paraId="5851BAAD" w14:textId="77777777" w:rsidR="00590CB1" w:rsidRPr="00466CBC" w:rsidRDefault="00590CB1" w:rsidP="00590CB1">
      <w:pPr>
        <w:pStyle w:val="HTMLPreformatted"/>
        <w:jc w:val="both"/>
        <w:rPr>
          <w:rFonts w:asciiTheme="minorHAnsi" w:hAnsiTheme="minorHAnsi"/>
          <w:color w:val="000000"/>
          <w:sz w:val="22"/>
          <w:szCs w:val="22"/>
        </w:rPr>
      </w:pPr>
      <w:r w:rsidRPr="00466CBC">
        <w:rPr>
          <w:rFonts w:asciiTheme="minorHAnsi" w:hAnsiTheme="minorHAnsi"/>
          <w:sz w:val="22"/>
          <w:szCs w:val="22"/>
        </w:rPr>
        <w:t xml:space="preserve">Thomas R.G. 1973. Forced Labour in British West Africa: The Case of the Northern Territories of the Gold Coast 1906–1927. </w:t>
      </w:r>
      <w:r w:rsidRPr="00466CBC">
        <w:rPr>
          <w:rFonts w:asciiTheme="minorHAnsi" w:hAnsiTheme="minorHAnsi"/>
          <w:i/>
          <w:sz w:val="22"/>
          <w:szCs w:val="22"/>
        </w:rPr>
        <w:t>Journal of African History</w:t>
      </w:r>
      <w:r w:rsidRPr="00466CBC">
        <w:rPr>
          <w:rFonts w:asciiTheme="minorHAnsi" w:hAnsiTheme="minorHAnsi"/>
          <w:sz w:val="22"/>
          <w:szCs w:val="22"/>
        </w:rPr>
        <w:t xml:space="preserve"> 14(1): 79-103</w:t>
      </w:r>
    </w:p>
    <w:p w14:paraId="5273759C" w14:textId="77777777" w:rsidR="00590CB1" w:rsidRPr="00466CBC" w:rsidRDefault="00590CB1" w:rsidP="00590CB1">
      <w:pPr>
        <w:pStyle w:val="HTMLPreformatted"/>
        <w:jc w:val="both"/>
        <w:rPr>
          <w:rFonts w:asciiTheme="minorHAnsi" w:hAnsiTheme="minorHAnsi"/>
          <w:color w:val="000000"/>
          <w:sz w:val="22"/>
          <w:szCs w:val="22"/>
        </w:rPr>
      </w:pPr>
    </w:p>
    <w:p w14:paraId="35C33354" w14:textId="77777777" w:rsidR="00050419" w:rsidRDefault="00050419" w:rsidP="00590CB1">
      <w:pPr>
        <w:pStyle w:val="HTMLPreformatted"/>
        <w:jc w:val="both"/>
        <w:rPr>
          <w:rFonts w:asciiTheme="minorHAnsi" w:hAnsiTheme="minorHAnsi"/>
          <w:color w:val="000000"/>
          <w:sz w:val="22"/>
          <w:szCs w:val="22"/>
        </w:rPr>
      </w:pPr>
      <w:r>
        <w:rPr>
          <w:rFonts w:asciiTheme="minorHAnsi" w:hAnsiTheme="minorHAnsi"/>
          <w:color w:val="000000"/>
          <w:sz w:val="22"/>
          <w:szCs w:val="22"/>
        </w:rPr>
        <w:t xml:space="preserve">Van Marrewijk, M.  2003.  Concepts and Definitions of CSR and Corporate Sustainability: Between Agency and Communion.  </w:t>
      </w:r>
      <w:r>
        <w:rPr>
          <w:rFonts w:asciiTheme="minorHAnsi" w:hAnsiTheme="minorHAnsi"/>
          <w:i/>
          <w:color w:val="000000"/>
          <w:sz w:val="22"/>
          <w:szCs w:val="22"/>
        </w:rPr>
        <w:t xml:space="preserve">Journal of Business Ethics </w:t>
      </w:r>
      <w:r>
        <w:rPr>
          <w:rFonts w:asciiTheme="minorHAnsi" w:hAnsiTheme="minorHAnsi"/>
          <w:color w:val="000000"/>
          <w:sz w:val="22"/>
          <w:szCs w:val="22"/>
        </w:rPr>
        <w:t xml:space="preserve">44: 95-105. </w:t>
      </w:r>
    </w:p>
    <w:p w14:paraId="17D70745" w14:textId="77777777" w:rsidR="00050419" w:rsidRDefault="00050419" w:rsidP="00590CB1">
      <w:pPr>
        <w:pStyle w:val="HTMLPreformatted"/>
        <w:jc w:val="both"/>
        <w:rPr>
          <w:rFonts w:asciiTheme="minorHAnsi" w:hAnsiTheme="minorHAnsi"/>
          <w:color w:val="000000"/>
          <w:sz w:val="22"/>
          <w:szCs w:val="22"/>
        </w:rPr>
      </w:pPr>
    </w:p>
    <w:p w14:paraId="3273B7B1" w14:textId="1C94E9B8" w:rsidR="00590CB1" w:rsidRDefault="00590CB1" w:rsidP="00590CB1">
      <w:pPr>
        <w:pStyle w:val="HTMLPreformatted"/>
        <w:jc w:val="both"/>
        <w:rPr>
          <w:rFonts w:asciiTheme="minorHAnsi" w:hAnsiTheme="minorHAnsi"/>
          <w:color w:val="000000"/>
          <w:sz w:val="22"/>
          <w:szCs w:val="22"/>
        </w:rPr>
      </w:pPr>
      <w:r>
        <w:rPr>
          <w:rFonts w:asciiTheme="minorHAnsi" w:hAnsiTheme="minorHAnsi"/>
          <w:color w:val="000000"/>
          <w:sz w:val="22"/>
          <w:szCs w:val="22"/>
        </w:rPr>
        <w:t>Visser, W. 2005</w:t>
      </w:r>
      <w:r w:rsidR="0050629D">
        <w:rPr>
          <w:rFonts w:asciiTheme="minorHAnsi" w:hAnsiTheme="minorHAnsi"/>
          <w:color w:val="000000"/>
          <w:sz w:val="22"/>
          <w:szCs w:val="22"/>
        </w:rPr>
        <w:t xml:space="preserve">.   Revisiting Carroll’s CSR Pyramid: An African Perspective, in </w:t>
      </w:r>
      <w:r w:rsidR="0050629D">
        <w:rPr>
          <w:rFonts w:asciiTheme="minorHAnsi" w:hAnsiTheme="minorHAnsi"/>
          <w:i/>
          <w:color w:val="000000"/>
          <w:sz w:val="22"/>
          <w:szCs w:val="22"/>
        </w:rPr>
        <w:t>Corporate Citizenship in Developing Countries</w:t>
      </w:r>
      <w:r w:rsidR="0050629D">
        <w:rPr>
          <w:rFonts w:asciiTheme="minorHAnsi" w:hAnsiTheme="minorHAnsi"/>
          <w:color w:val="000000"/>
          <w:sz w:val="22"/>
          <w:szCs w:val="22"/>
        </w:rPr>
        <w:t xml:space="preserve"> (ed. E.R. Pedersen and M. Huniche), Copenhagen Business School Press, Copenhagen.</w:t>
      </w:r>
      <w:r>
        <w:rPr>
          <w:rFonts w:asciiTheme="minorHAnsi" w:hAnsiTheme="minorHAnsi"/>
          <w:color w:val="000000"/>
          <w:sz w:val="22"/>
          <w:szCs w:val="22"/>
        </w:rPr>
        <w:t xml:space="preserve"> </w:t>
      </w:r>
    </w:p>
    <w:p w14:paraId="45B342D1"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p>
    <w:p w14:paraId="091731D5"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lang w:eastAsia="en-GB"/>
        </w:rPr>
      </w:pPr>
      <w:r w:rsidRPr="00466CBC">
        <w:rPr>
          <w:rFonts w:eastAsia="Times New Roman" w:cs="Courier New"/>
          <w:color w:val="000000"/>
          <w:lang w:eastAsia="en-GB"/>
        </w:rPr>
        <w:t xml:space="preserve">Warren, P.  1992.  Life of mine land use plan - Comalco Weipa, pp. 183-190, in </w:t>
      </w:r>
      <w:r w:rsidRPr="00466CBC">
        <w:rPr>
          <w:rFonts w:eastAsia="Times New Roman" w:cs="Courier New"/>
          <w:i/>
          <w:color w:val="000000"/>
          <w:lang w:eastAsia="en-GB"/>
        </w:rPr>
        <w:t>Third Large Open Pit Mining Conference</w:t>
      </w:r>
      <w:r w:rsidRPr="00466CBC">
        <w:rPr>
          <w:rFonts w:eastAsia="Times New Roman" w:cs="Courier New"/>
          <w:color w:val="000000"/>
          <w:lang w:eastAsia="en-GB"/>
        </w:rPr>
        <w:t xml:space="preserve">, pp. 183-190, Queensland. </w:t>
      </w:r>
    </w:p>
    <w:p w14:paraId="59DF6D0D"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lang w:eastAsia="en-GB"/>
        </w:rPr>
      </w:pPr>
    </w:p>
    <w:p w14:paraId="6B678029"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lang w:eastAsia="en-GB"/>
        </w:rPr>
      </w:pPr>
      <w:r w:rsidRPr="00466CBC">
        <w:rPr>
          <w:rFonts w:eastAsia="Times New Roman" w:cs="Times New Roman"/>
          <w:lang w:eastAsia="en-GB"/>
        </w:rPr>
        <w:t xml:space="preserve">White, H.P.  1955.  Recent Railway Developments in the Gold Coast.  </w:t>
      </w:r>
      <w:r w:rsidRPr="00466CBC">
        <w:rPr>
          <w:rFonts w:eastAsia="Times New Roman" w:cs="Times New Roman"/>
          <w:i/>
          <w:lang w:eastAsia="en-GB"/>
        </w:rPr>
        <w:t xml:space="preserve">Geography </w:t>
      </w:r>
      <w:r w:rsidRPr="00466CBC">
        <w:rPr>
          <w:rFonts w:eastAsia="Times New Roman" w:cs="Times New Roman"/>
          <w:lang w:eastAsia="en-GB"/>
        </w:rPr>
        <w:t>40(1): 49-50.</w:t>
      </w:r>
    </w:p>
    <w:p w14:paraId="7CAC8912" w14:textId="77777777" w:rsidR="00590CB1" w:rsidRPr="00466CBC" w:rsidRDefault="00590CB1" w:rsidP="0059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lang w:eastAsia="en-GB"/>
        </w:rPr>
      </w:pPr>
    </w:p>
    <w:p w14:paraId="2CB9AAD8" w14:textId="5C93328B" w:rsidR="00D35A6B" w:rsidRPr="001F2472" w:rsidRDefault="00590CB1" w:rsidP="009E0576">
      <w:pPr>
        <w:rPr>
          <w:rStyle w:val="TNChar"/>
          <w:b/>
          <w:bCs/>
          <w:sz w:val="24"/>
          <w:szCs w:val="24"/>
          <w:lang w:val="en-US"/>
        </w:rPr>
      </w:pPr>
      <w:r w:rsidRPr="00466CBC">
        <w:rPr>
          <w:rFonts w:eastAsia="Times New Roman" w:cs="Times New Roman"/>
          <w:lang w:eastAsia="en-GB"/>
        </w:rPr>
        <w:t xml:space="preserve">World Bank.  2011.  </w:t>
      </w:r>
      <w:r w:rsidRPr="00466CBC">
        <w:rPr>
          <w:rFonts w:eastAsia="Times New Roman" w:cs="Times New Roman"/>
          <w:i/>
          <w:lang w:eastAsia="en-GB"/>
        </w:rPr>
        <w:t>Africa’s Future and the World Bank Support to it</w:t>
      </w:r>
      <w:r w:rsidRPr="00466CBC">
        <w:rPr>
          <w:rFonts w:eastAsia="Times New Roman" w:cs="Times New Roman"/>
          <w:lang w:eastAsia="en-GB"/>
        </w:rPr>
        <w:t>.  World Bank, Washington DC.</w:t>
      </w:r>
      <w:bookmarkEnd w:id="2"/>
    </w:p>
    <w:sectPr w:rsidR="00D35A6B" w:rsidRPr="001F24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17339" w14:textId="77777777" w:rsidR="00BB0ED4" w:rsidRDefault="00BB0ED4" w:rsidP="00664829">
      <w:pPr>
        <w:spacing w:after="0" w:line="240" w:lineRule="auto"/>
      </w:pPr>
      <w:r>
        <w:separator/>
      </w:r>
    </w:p>
  </w:endnote>
  <w:endnote w:type="continuationSeparator" w:id="0">
    <w:p w14:paraId="689474C9" w14:textId="77777777" w:rsidR="00BB0ED4" w:rsidRDefault="00BB0ED4" w:rsidP="0066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Yu Gothic"/>
    <w:panose1 w:val="00000000000000000000"/>
    <w:charset w:val="80"/>
    <w:family w:val="auto"/>
    <w:notTrueType/>
    <w:pitch w:val="default"/>
    <w:sig w:usb0="00000003" w:usb1="08070000" w:usb2="00000010" w:usb3="00000000" w:csb0="00020001" w:csb1="00000000"/>
  </w:font>
  <w:font w:name="Times">
    <w:altName w:val="Times New Roman"/>
    <w:panose1 w:val="02020603050405020304"/>
    <w:charset w:val="00"/>
    <w:family w:val="roman"/>
    <w:pitch w:val="variable"/>
    <w:sig w:usb0="E0002EFF" w:usb1="C000785B" w:usb2="00000009" w:usb3="00000000" w:csb0="000001FF" w:csb1="00000000"/>
  </w:font>
  <w:font w:name="TitilliumWeb-Bold">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565566"/>
      <w:docPartObj>
        <w:docPartGallery w:val="Page Numbers (Bottom of Page)"/>
        <w:docPartUnique/>
      </w:docPartObj>
    </w:sdtPr>
    <w:sdtEndPr>
      <w:rPr>
        <w:noProof/>
      </w:rPr>
    </w:sdtEndPr>
    <w:sdtContent>
      <w:p w14:paraId="1183F2D1" w14:textId="67C45DDA" w:rsidR="00050419" w:rsidRDefault="00050419">
        <w:pPr>
          <w:pStyle w:val="Footer"/>
          <w:jc w:val="right"/>
        </w:pPr>
        <w:r>
          <w:fldChar w:fldCharType="begin"/>
        </w:r>
        <w:r>
          <w:instrText xml:space="preserve"> PAGE   \* MERGEFORMAT </w:instrText>
        </w:r>
        <w:r>
          <w:fldChar w:fldCharType="separate"/>
        </w:r>
        <w:r w:rsidR="009E0576">
          <w:rPr>
            <w:noProof/>
          </w:rPr>
          <w:t>4</w:t>
        </w:r>
        <w:r>
          <w:rPr>
            <w:noProof/>
          </w:rPr>
          <w:fldChar w:fldCharType="end"/>
        </w:r>
      </w:p>
    </w:sdtContent>
  </w:sdt>
  <w:p w14:paraId="4803CED8" w14:textId="77777777" w:rsidR="00050419" w:rsidRDefault="00050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CA387" w14:textId="77777777" w:rsidR="00BB0ED4" w:rsidRDefault="00BB0ED4" w:rsidP="00664829">
      <w:pPr>
        <w:spacing w:after="0" w:line="240" w:lineRule="auto"/>
      </w:pPr>
      <w:r>
        <w:separator/>
      </w:r>
    </w:p>
  </w:footnote>
  <w:footnote w:type="continuationSeparator" w:id="0">
    <w:p w14:paraId="17364C53" w14:textId="77777777" w:rsidR="00BB0ED4" w:rsidRDefault="00BB0ED4" w:rsidP="00664829">
      <w:pPr>
        <w:spacing w:after="0" w:line="240" w:lineRule="auto"/>
      </w:pPr>
      <w:r>
        <w:continuationSeparator/>
      </w:r>
    </w:p>
  </w:footnote>
  <w:footnote w:id="1">
    <w:p w14:paraId="3168203F" w14:textId="235AC23D" w:rsidR="00050419" w:rsidRPr="00856F3F" w:rsidRDefault="00050419">
      <w:pPr>
        <w:pStyle w:val="FootnoteText"/>
      </w:pPr>
      <w:r w:rsidRPr="00856F3F">
        <w:rPr>
          <w:rStyle w:val="FootnoteReference"/>
        </w:rPr>
        <w:footnoteRef/>
      </w:r>
      <w:r w:rsidRPr="00856F3F">
        <w:t xml:space="preserve"> ‘Resettlement and Compensation’, </w:t>
      </w:r>
      <w:hyperlink r:id="rId1" w:history="1">
        <w:r w:rsidRPr="004D114E">
          <w:rPr>
            <w:rStyle w:val="Hyperlink"/>
          </w:rPr>
          <w:t>www.riotinto.com/documents/RT_SD_report_2013.pdf</w:t>
        </w:r>
      </w:hyperlink>
      <w:r>
        <w:t>, (Accessed 12 January 2019).</w:t>
      </w:r>
    </w:p>
  </w:footnote>
  <w:footnote w:id="2">
    <w:p w14:paraId="02A9E509" w14:textId="543E8F65" w:rsidR="00050419" w:rsidRPr="00856F3F" w:rsidRDefault="00050419">
      <w:pPr>
        <w:pStyle w:val="FootnoteText"/>
      </w:pPr>
      <w:r w:rsidRPr="00856F3F">
        <w:rPr>
          <w:rStyle w:val="FootnoteReference"/>
        </w:rPr>
        <w:footnoteRef/>
      </w:r>
      <w:r w:rsidRPr="00856F3F">
        <w:t xml:space="preserve"> </w:t>
      </w:r>
      <w:r>
        <w:t xml:space="preserve">Material Issue 4: Social, Environmental and Health Legacy Issues’, </w:t>
      </w:r>
      <w:hyperlink r:id="rId2" w:history="1">
        <w:r w:rsidRPr="004D114E">
          <w:rPr>
            <w:rStyle w:val="Hyperlink"/>
          </w:rPr>
          <w:t>www.aga-reports.com/13/os/performance/legacy-issues/resettlement</w:t>
        </w:r>
      </w:hyperlink>
      <w:r>
        <w:t>, Accessed 22 January 2019).</w:t>
      </w:r>
    </w:p>
  </w:footnote>
  <w:footnote w:id="3">
    <w:p w14:paraId="4AC43D12" w14:textId="23CC2A68" w:rsidR="00050419" w:rsidRPr="00856F3F" w:rsidRDefault="00050419">
      <w:pPr>
        <w:pStyle w:val="FootnoteText"/>
      </w:pPr>
      <w:r w:rsidRPr="00856F3F">
        <w:rPr>
          <w:rStyle w:val="FootnoteReference"/>
        </w:rPr>
        <w:footnoteRef/>
      </w:r>
      <w:r w:rsidRPr="00856F3F">
        <w:t xml:space="preserve"> ‘Our Approach to Communities and Social Performance’, </w:t>
      </w:r>
      <w:hyperlink r:id="rId3" w:history="1">
        <w:r w:rsidRPr="00856F3F">
          <w:rPr>
            <w:rStyle w:val="Hyperlink"/>
          </w:rPr>
          <w:t>www.riotinto.com/documents/RT_Rio_Tintos_approach_to_communities_and_social_performance.pdf</w:t>
        </w:r>
      </w:hyperlink>
      <w:r w:rsidRPr="00856F3F">
        <w:t xml:space="preserve"> (Accessed 1 </w:t>
      </w:r>
      <w:r>
        <w:t>January 2019</w:t>
      </w:r>
      <w:r w:rsidRPr="00856F3F">
        <w:t>).</w:t>
      </w:r>
    </w:p>
  </w:footnote>
  <w:footnote w:id="4">
    <w:p w14:paraId="6567BB39" w14:textId="3C008D95" w:rsidR="00050419" w:rsidRPr="00856F3F" w:rsidRDefault="00050419">
      <w:pPr>
        <w:pStyle w:val="FootnoteText"/>
      </w:pPr>
      <w:r w:rsidRPr="00856F3F">
        <w:rPr>
          <w:rStyle w:val="FootnoteReference"/>
        </w:rPr>
        <w:footnoteRef/>
      </w:r>
      <w:r w:rsidRPr="00856F3F">
        <w:t xml:space="preserve"> ‘Management Standard: Land Acquisition and Resettlement’, </w:t>
      </w:r>
      <w:hyperlink r:id="rId4" w:history="1">
        <w:r w:rsidRPr="004D114E">
          <w:rPr>
            <w:rStyle w:val="Hyperlink"/>
          </w:rPr>
          <w:t>https://thevault.exchange/?get_group_doc=143/1502446098-LandAccessMngtStd-NOVEMBER2011.pdf</w:t>
        </w:r>
      </w:hyperlink>
      <w:r>
        <w:t xml:space="preserve"> </w:t>
      </w:r>
      <w:r w:rsidRPr="00856F3F">
        <w:t xml:space="preserve">(Accessed </w:t>
      </w:r>
      <w:r>
        <w:t>2</w:t>
      </w:r>
      <w:r w:rsidRPr="00856F3F">
        <w:t xml:space="preserve"> J</w:t>
      </w:r>
      <w:r>
        <w:t>anuary</w:t>
      </w:r>
      <w:r w:rsidRPr="00856F3F">
        <w:t xml:space="preserve"> 201</w:t>
      </w:r>
      <w:r>
        <w:t>9</w:t>
      </w:r>
      <w:r w:rsidRPr="00856F3F">
        <w:t>).</w:t>
      </w:r>
    </w:p>
  </w:footnote>
  <w:footnote w:id="5">
    <w:p w14:paraId="5A704ECD" w14:textId="61B3F7E5" w:rsidR="00050419" w:rsidRPr="00856F3F" w:rsidRDefault="00050419">
      <w:pPr>
        <w:pStyle w:val="FootnoteText"/>
      </w:pPr>
      <w:r w:rsidRPr="00856F3F">
        <w:rPr>
          <w:rStyle w:val="FootnoteReference"/>
        </w:rPr>
        <w:footnoteRef/>
      </w:r>
      <w:r w:rsidRPr="00856F3F">
        <w:t xml:space="preserve"> ‘Statement from Barrick Gold Corporation concerning the North Mara Mine, Tanzania’ </w:t>
      </w:r>
      <w:hyperlink r:id="rId5" w:history="1">
        <w:r w:rsidRPr="004D114E">
          <w:rPr>
            <w:rStyle w:val="Hyperlink"/>
          </w:rPr>
          <w:t>https://www.barrick.com/news/news-details/2011/Statement-from-Barrick-Gold-Corporation-concerning-the-North-Mara-Mine-Tanzania/default.aspx</w:t>
        </w:r>
      </w:hyperlink>
      <w:r>
        <w:t xml:space="preserve"> </w:t>
      </w:r>
      <w:r w:rsidRPr="00856F3F">
        <w:t xml:space="preserve"> (Accessed </w:t>
      </w:r>
      <w:r>
        <w:t>4 January</w:t>
      </w:r>
      <w:r w:rsidRPr="00856F3F">
        <w:t xml:space="preserve"> 201</w:t>
      </w:r>
      <w:r>
        <w:t>9</w:t>
      </w:r>
      <w:r w:rsidRPr="00856F3F">
        <w:t>).</w:t>
      </w:r>
    </w:p>
  </w:footnote>
  <w:footnote w:id="6">
    <w:p w14:paraId="79C23711" w14:textId="58A4EDCB" w:rsidR="00050419" w:rsidRPr="00856F3F" w:rsidRDefault="00050419">
      <w:pPr>
        <w:pStyle w:val="FootnoteText"/>
      </w:pPr>
      <w:r w:rsidRPr="00856F3F">
        <w:rPr>
          <w:rStyle w:val="FootnoteReference"/>
        </w:rPr>
        <w:footnoteRef/>
      </w:r>
      <w:r w:rsidRPr="00856F3F">
        <w:t xml:space="preserve"> ‘Our Economic Contribution’ </w:t>
      </w:r>
      <w:hyperlink r:id="rId6" w:history="1">
        <w:r w:rsidRPr="00856F3F">
          <w:rPr>
            <w:rStyle w:val="Hyperlink"/>
          </w:rPr>
          <w:t>www.acaciamining.com/sustainability/our-economic-contribution.aspx</w:t>
        </w:r>
      </w:hyperlink>
      <w:r w:rsidRPr="00856F3F">
        <w:t xml:space="preserve"> (Accessed 14 </w:t>
      </w:r>
      <w:r>
        <w:t>January</w:t>
      </w:r>
      <w:r w:rsidRPr="00856F3F">
        <w:t xml:space="preserve"> 201</w:t>
      </w:r>
      <w:r>
        <w:t>9</w:t>
      </w:r>
      <w:r w:rsidRPr="00856F3F">
        <w:t>).</w:t>
      </w:r>
    </w:p>
  </w:footnote>
  <w:footnote w:id="7">
    <w:p w14:paraId="1219881A" w14:textId="15A49143" w:rsidR="00050419" w:rsidRPr="00856F3F" w:rsidRDefault="00050419">
      <w:pPr>
        <w:pStyle w:val="FootnoteText"/>
      </w:pPr>
      <w:r w:rsidRPr="00856F3F">
        <w:rPr>
          <w:rStyle w:val="FootnoteReference"/>
        </w:rPr>
        <w:footnoteRef/>
      </w:r>
      <w:r w:rsidRPr="00856F3F">
        <w:t xml:space="preserve">  ‘Antrac…Our Partner in Action’ </w:t>
      </w:r>
      <w:hyperlink r:id="rId7" w:history="1">
        <w:r w:rsidRPr="00856F3F">
          <w:rPr>
            <w:rStyle w:val="Hyperlink"/>
          </w:rPr>
          <w:t>www.mantracghana.com/?pg=about&amp;id=2&amp;country=ghana</w:t>
        </w:r>
      </w:hyperlink>
      <w:r w:rsidRPr="00856F3F">
        <w:t xml:space="preserve"> (Accessed 4 </w:t>
      </w:r>
      <w:r>
        <w:t>January</w:t>
      </w:r>
      <w:r w:rsidRPr="00856F3F">
        <w:t xml:space="preserve"> 201</w:t>
      </w:r>
      <w:r>
        <w:t>9</w:t>
      </w:r>
      <w:r w:rsidRPr="00856F3F">
        <w:t>).</w:t>
      </w:r>
    </w:p>
  </w:footnote>
  <w:footnote w:id="8">
    <w:p w14:paraId="5BAF252B" w14:textId="3888C4BE" w:rsidR="00050419" w:rsidRPr="00856F3F" w:rsidRDefault="00050419">
      <w:pPr>
        <w:pStyle w:val="FootnoteText"/>
      </w:pPr>
      <w:r w:rsidRPr="00856F3F">
        <w:rPr>
          <w:rStyle w:val="FootnoteReference"/>
        </w:rPr>
        <w:footnoteRef/>
      </w:r>
      <w:r w:rsidRPr="00856F3F">
        <w:t xml:space="preserve"> ‘Our Network’ </w:t>
      </w:r>
      <w:hyperlink r:id="rId8" w:history="1">
        <w:r w:rsidRPr="00856F3F">
          <w:rPr>
            <w:rStyle w:val="Hyperlink"/>
          </w:rPr>
          <w:t>www.jadelmas.com/en/who-are-we/our-network</w:t>
        </w:r>
      </w:hyperlink>
      <w:r w:rsidRPr="00856F3F">
        <w:t xml:space="preserve"> (Accessed </w:t>
      </w:r>
      <w:r>
        <w:t>28</w:t>
      </w:r>
      <w:r w:rsidRPr="00856F3F">
        <w:t xml:space="preserve"> </w:t>
      </w:r>
      <w:r>
        <w:t>January</w:t>
      </w:r>
      <w:r w:rsidRPr="00856F3F">
        <w:t xml:space="preserve"> 201</w:t>
      </w:r>
      <w:r>
        <w:t>9</w:t>
      </w:r>
      <w:r w:rsidRPr="00856F3F">
        <w:t>).</w:t>
      </w:r>
    </w:p>
  </w:footnote>
  <w:footnote w:id="9">
    <w:p w14:paraId="129220F6" w14:textId="1C3CDB58" w:rsidR="00050419" w:rsidRPr="00856F3F" w:rsidRDefault="00050419">
      <w:pPr>
        <w:pStyle w:val="FootnoteText"/>
      </w:pPr>
      <w:r w:rsidRPr="00856F3F">
        <w:rPr>
          <w:rStyle w:val="FootnoteReference"/>
        </w:rPr>
        <w:footnoteRef/>
      </w:r>
      <w:r w:rsidRPr="00856F3F">
        <w:t xml:space="preserve"> ‘Our History’ </w:t>
      </w:r>
      <w:hyperlink r:id="rId9" w:history="1">
        <w:r w:rsidRPr="00856F3F">
          <w:rPr>
            <w:rStyle w:val="Hyperlink"/>
          </w:rPr>
          <w:t>www.barloworld-equipment.com/careers/our-history/</w:t>
        </w:r>
      </w:hyperlink>
      <w:r w:rsidRPr="00856F3F">
        <w:t xml:space="preserve"> (Accessed </w:t>
      </w:r>
      <w:r>
        <w:t>28</w:t>
      </w:r>
      <w:r w:rsidRPr="00856F3F">
        <w:t xml:space="preserve"> </w:t>
      </w:r>
      <w:r>
        <w:t>January</w:t>
      </w:r>
      <w:r w:rsidRPr="00856F3F">
        <w:t xml:space="preserve"> 201</w:t>
      </w:r>
      <w:r>
        <w:t>9</w:t>
      </w:r>
      <w:r w:rsidRPr="00856F3F">
        <w:t xml:space="preserve">). </w:t>
      </w:r>
    </w:p>
  </w:footnote>
  <w:footnote w:id="10">
    <w:p w14:paraId="7F8BD80D" w14:textId="65D676C9" w:rsidR="00050419" w:rsidRDefault="00050419">
      <w:pPr>
        <w:pStyle w:val="FootnoteText"/>
      </w:pPr>
      <w:r>
        <w:rPr>
          <w:rStyle w:val="FootnoteReference"/>
        </w:rPr>
        <w:footnoteRef/>
      </w:r>
      <w:r>
        <w:t xml:space="preserve"> A mining-led development manifesto for Africa, launched by the continent’s governments, in 2008.</w:t>
      </w:r>
    </w:p>
  </w:footnote>
  <w:footnote w:id="11">
    <w:p w14:paraId="718702D3" w14:textId="1A70B33A" w:rsidR="00050419" w:rsidRDefault="00050419">
      <w:pPr>
        <w:pStyle w:val="FootnoteText"/>
      </w:pPr>
      <w:r>
        <w:rPr>
          <w:rStyle w:val="FootnoteReference"/>
        </w:rPr>
        <w:footnoteRef/>
      </w:r>
      <w:r>
        <w:t xml:space="preserve"> ‘Local Employment and Business Opportunities’, </w:t>
      </w:r>
      <w:hyperlink r:id="rId10" w:history="1">
        <w:r w:rsidRPr="004D114E">
          <w:rPr>
            <w:rStyle w:val="Hyperlink"/>
          </w:rPr>
          <w:t>https://sustainabilityreport.newmont.com/2017/economic-and-social-performance/local-employment-and-business-opportunities/2017-performance</w:t>
        </w:r>
      </w:hyperlink>
      <w:r>
        <w:t xml:space="preserve"> (Accessed 3 January 2019).</w:t>
      </w:r>
    </w:p>
  </w:footnote>
  <w:footnote w:id="12">
    <w:p w14:paraId="2B511617" w14:textId="64606849" w:rsidR="00050419" w:rsidRPr="00856F3F" w:rsidRDefault="00050419">
      <w:pPr>
        <w:pStyle w:val="FootnoteText"/>
      </w:pPr>
      <w:r w:rsidRPr="00856F3F">
        <w:rPr>
          <w:rStyle w:val="FootnoteReference"/>
        </w:rPr>
        <w:footnoteRef/>
      </w:r>
      <w:r w:rsidRPr="00856F3F">
        <w:t xml:space="preserve"> ‘Community Policy Statement’ </w:t>
      </w:r>
      <w:hyperlink r:id="rId11" w:history="1">
        <w:r w:rsidRPr="004D114E">
          <w:rPr>
            <w:rStyle w:val="Hyperlink"/>
          </w:rPr>
          <w:t>https://www.goldfields.com/pdf/sustainbility/policies/community-policy.pdf</w:t>
        </w:r>
      </w:hyperlink>
      <w:r>
        <w:t xml:space="preserve"> </w:t>
      </w:r>
      <w:r w:rsidRPr="00856F3F">
        <w:t xml:space="preserve">(Accessed </w:t>
      </w:r>
      <w:r>
        <w:t>18</w:t>
      </w:r>
      <w:r w:rsidRPr="00856F3F">
        <w:t xml:space="preserve"> </w:t>
      </w:r>
      <w:r>
        <w:t>January 2019</w:t>
      </w:r>
      <w:r w:rsidRPr="00856F3F">
        <w:t>).</w:t>
      </w:r>
    </w:p>
  </w:footnote>
  <w:footnote w:id="13">
    <w:p w14:paraId="4C09C4E8" w14:textId="5D533A4B" w:rsidR="00050419" w:rsidRPr="00856F3F" w:rsidRDefault="00050419" w:rsidP="00D942C4">
      <w:pPr>
        <w:spacing w:after="0" w:line="240" w:lineRule="auto"/>
        <w:rPr>
          <w:sz w:val="20"/>
          <w:szCs w:val="20"/>
        </w:rPr>
      </w:pPr>
      <w:r w:rsidRPr="00856F3F">
        <w:rPr>
          <w:rStyle w:val="FootnoteReference"/>
          <w:sz w:val="20"/>
          <w:szCs w:val="20"/>
        </w:rPr>
        <w:footnoteRef/>
      </w:r>
      <w:r w:rsidRPr="00856F3F">
        <w:rPr>
          <w:sz w:val="20"/>
          <w:szCs w:val="20"/>
        </w:rPr>
        <w:t xml:space="preserve"> ‘Damang Gold Mine’ </w:t>
      </w:r>
      <w:hyperlink r:id="rId12" w:history="1">
        <w:r w:rsidRPr="004D114E">
          <w:rPr>
            <w:rStyle w:val="Hyperlink"/>
            <w:sz w:val="20"/>
            <w:szCs w:val="20"/>
          </w:rPr>
          <w:t>https://www.goldfields.com/reports/annual_report_2012/minerals/pdf/damang.pdf</w:t>
        </w:r>
      </w:hyperlink>
      <w:r>
        <w:rPr>
          <w:sz w:val="20"/>
          <w:szCs w:val="20"/>
        </w:rPr>
        <w:t xml:space="preserve"> </w:t>
      </w:r>
      <w:r w:rsidRPr="00856F3F">
        <w:rPr>
          <w:sz w:val="20"/>
          <w:szCs w:val="20"/>
        </w:rPr>
        <w:t xml:space="preserve"> (Accessed 2 </w:t>
      </w:r>
      <w:r>
        <w:rPr>
          <w:sz w:val="20"/>
          <w:szCs w:val="20"/>
        </w:rPr>
        <w:t>January</w:t>
      </w:r>
      <w:r w:rsidRPr="00856F3F">
        <w:rPr>
          <w:sz w:val="20"/>
          <w:szCs w:val="20"/>
        </w:rPr>
        <w:t xml:space="preserve"> </w:t>
      </w:r>
      <w:r>
        <w:rPr>
          <w:sz w:val="20"/>
          <w:szCs w:val="20"/>
        </w:rPr>
        <w:t>2019</w:t>
      </w:r>
      <w:r w:rsidRPr="00856F3F">
        <w:rPr>
          <w:sz w:val="20"/>
          <w:szCs w:val="20"/>
        </w:rPr>
        <w:t>).</w:t>
      </w:r>
    </w:p>
  </w:footnote>
  <w:footnote w:id="14">
    <w:p w14:paraId="56C736F5" w14:textId="23F19AB1" w:rsidR="00050419" w:rsidRPr="00856F3F" w:rsidRDefault="00050419" w:rsidP="00D942C4">
      <w:pPr>
        <w:spacing w:after="0" w:line="240" w:lineRule="auto"/>
        <w:rPr>
          <w:sz w:val="20"/>
          <w:szCs w:val="20"/>
        </w:rPr>
      </w:pPr>
      <w:r w:rsidRPr="00856F3F">
        <w:rPr>
          <w:rStyle w:val="FootnoteReference"/>
          <w:sz w:val="20"/>
          <w:szCs w:val="20"/>
        </w:rPr>
        <w:footnoteRef/>
      </w:r>
      <w:r w:rsidRPr="00856F3F">
        <w:rPr>
          <w:sz w:val="20"/>
          <w:szCs w:val="20"/>
        </w:rPr>
        <w:t xml:space="preserve"> ‘Damang Gold Mine’.</w:t>
      </w:r>
    </w:p>
  </w:footnote>
  <w:footnote w:id="15">
    <w:p w14:paraId="0470BB9D" w14:textId="0B745EA8" w:rsidR="00050419" w:rsidRPr="00856F3F" w:rsidRDefault="00050419" w:rsidP="009E0576">
      <w:pPr>
        <w:spacing w:after="0"/>
        <w:jc w:val="both"/>
      </w:pPr>
      <w:r w:rsidRPr="00856F3F">
        <w:rPr>
          <w:rStyle w:val="FootnoteReference"/>
          <w:sz w:val="20"/>
          <w:szCs w:val="20"/>
        </w:rPr>
        <w:footnoteRef/>
      </w:r>
      <w:r w:rsidRPr="00856F3F">
        <w:rPr>
          <w:sz w:val="20"/>
          <w:szCs w:val="20"/>
        </w:rPr>
        <w:t xml:space="preserve">‘Performance of the Mining Industry in 2015, Ghana Chamber of Mines’, </w:t>
      </w:r>
      <w:hyperlink r:id="rId13" w:history="1">
        <w:r w:rsidRPr="00CF38EC">
          <w:rPr>
            <w:rStyle w:val="Hyperlink"/>
            <w:sz w:val="20"/>
            <w:szCs w:val="20"/>
          </w:rPr>
          <w:t>https://s3.amazonaws.com/rgi-documents/58f2f16c6a7932e16d5fa7b4a2d089faf81d6013.pdf</w:t>
        </w:r>
      </w:hyperlink>
      <w:r>
        <w:rPr>
          <w:sz w:val="20"/>
          <w:szCs w:val="20"/>
        </w:rPr>
        <w:t xml:space="preserve"> </w:t>
      </w:r>
      <w:r w:rsidRPr="00856F3F">
        <w:rPr>
          <w:sz w:val="20"/>
          <w:szCs w:val="20"/>
        </w:rPr>
        <w:t xml:space="preserve">(Accessed 1 </w:t>
      </w:r>
      <w:r>
        <w:rPr>
          <w:sz w:val="20"/>
          <w:szCs w:val="20"/>
        </w:rPr>
        <w:t>January</w:t>
      </w:r>
      <w:r w:rsidRPr="00856F3F">
        <w:rPr>
          <w:sz w:val="20"/>
          <w:szCs w:val="20"/>
        </w:rPr>
        <w:t xml:space="preserve"> 201</w:t>
      </w:r>
      <w:r>
        <w:rPr>
          <w:sz w:val="20"/>
          <w:szCs w:val="20"/>
        </w:rPr>
        <w:t>9</w:t>
      </w:r>
      <w:r w:rsidRPr="00856F3F">
        <w:rPr>
          <w:sz w:val="20"/>
          <w:szCs w:val="20"/>
        </w:rPr>
        <w:t>).</w:t>
      </w:r>
    </w:p>
  </w:footnote>
  <w:footnote w:id="16">
    <w:p w14:paraId="606EE94D" w14:textId="23E5F85F" w:rsidR="00050419" w:rsidRPr="00856F3F" w:rsidRDefault="00050419" w:rsidP="00D942C4">
      <w:pPr>
        <w:spacing w:after="0" w:line="240" w:lineRule="auto"/>
        <w:rPr>
          <w:sz w:val="20"/>
          <w:szCs w:val="20"/>
        </w:rPr>
      </w:pPr>
      <w:r w:rsidRPr="00856F3F">
        <w:rPr>
          <w:rStyle w:val="FootnoteReference"/>
          <w:sz w:val="20"/>
          <w:szCs w:val="20"/>
        </w:rPr>
        <w:footnoteRef/>
      </w:r>
      <w:r w:rsidRPr="00856F3F">
        <w:rPr>
          <w:sz w:val="20"/>
          <w:szCs w:val="20"/>
        </w:rPr>
        <w:t xml:space="preserve"> ‘Newmont to cut Ghana gold mine workforce by June’ </w:t>
      </w:r>
      <w:hyperlink r:id="rId14" w:history="1">
        <w:r w:rsidRPr="00856F3F">
          <w:rPr>
            <w:rStyle w:val="Hyperlink"/>
            <w:sz w:val="20"/>
            <w:szCs w:val="20"/>
          </w:rPr>
          <w:t>www.mining-technology.com/news/newsnewmont-to-cut-ghana-gold-mine-workforce-by-june-4185028</w:t>
        </w:r>
      </w:hyperlink>
      <w:r w:rsidRPr="00856F3F">
        <w:rPr>
          <w:sz w:val="20"/>
          <w:szCs w:val="20"/>
        </w:rPr>
        <w:t xml:space="preserve"> (Accessed 3 </w:t>
      </w:r>
      <w:r>
        <w:rPr>
          <w:sz w:val="20"/>
          <w:szCs w:val="20"/>
        </w:rPr>
        <w:t>January</w:t>
      </w:r>
      <w:r w:rsidRPr="00856F3F">
        <w:rPr>
          <w:sz w:val="20"/>
          <w:szCs w:val="20"/>
        </w:rPr>
        <w:t xml:space="preserve"> 201</w:t>
      </w:r>
      <w:r>
        <w:rPr>
          <w:sz w:val="20"/>
          <w:szCs w:val="20"/>
        </w:rPr>
        <w:t>9</w:t>
      </w:r>
      <w:r w:rsidRPr="00856F3F">
        <w:rPr>
          <w:sz w:val="20"/>
          <w:szCs w:val="20"/>
        </w:rPr>
        <w:t>).</w:t>
      </w:r>
    </w:p>
  </w:footnote>
  <w:footnote w:id="17">
    <w:p w14:paraId="760F028B" w14:textId="6E0D3B86" w:rsidR="00050419" w:rsidRPr="00856F3F" w:rsidRDefault="00050419" w:rsidP="00D942C4">
      <w:pPr>
        <w:pStyle w:val="FootnoteText"/>
      </w:pPr>
      <w:r w:rsidRPr="00856F3F">
        <w:rPr>
          <w:rStyle w:val="FootnoteReference"/>
        </w:rPr>
        <w:footnoteRef/>
      </w:r>
      <w:r w:rsidRPr="00856F3F">
        <w:t xml:space="preserve"> ‘8,700 jobs lost in gold price fall’</w:t>
      </w:r>
      <w:r>
        <w:t>,</w:t>
      </w:r>
      <w:r w:rsidRPr="00856F3F">
        <w:t xml:space="preserve"> </w:t>
      </w:r>
      <w:hyperlink r:id="rId15" w:history="1">
        <w:r w:rsidRPr="00CF38EC">
          <w:rPr>
            <w:rStyle w:val="Hyperlink"/>
          </w:rPr>
          <w:t>www.ghanaweb.com/GhanaHomePage/business/8-700-jobs-lost-in-gold-price-fall-379007#</w:t>
        </w:r>
      </w:hyperlink>
      <w:r>
        <w:rPr>
          <w:rStyle w:val="Hyperlink"/>
          <w:color w:val="auto"/>
          <w:u w:val="none"/>
        </w:rPr>
        <w:t xml:space="preserve"> </w:t>
      </w:r>
      <w:r w:rsidRPr="00856F3F">
        <w:t xml:space="preserve">(Accessed 3 </w:t>
      </w:r>
      <w:r>
        <w:t>January</w:t>
      </w:r>
      <w:r w:rsidRPr="00856F3F">
        <w:t xml:space="preserve"> 201</w:t>
      </w:r>
      <w:r>
        <w:t>9</w:t>
      </w:r>
      <w:r w:rsidRPr="00856F3F">
        <w:t xml:space="preserve">).  </w:t>
      </w:r>
    </w:p>
  </w:footnote>
  <w:footnote w:id="18">
    <w:p w14:paraId="3C377631" w14:textId="6AA09859" w:rsidR="00050419" w:rsidRPr="00856F3F" w:rsidRDefault="00050419" w:rsidP="00D942C4">
      <w:pPr>
        <w:spacing w:after="0" w:line="240" w:lineRule="auto"/>
        <w:rPr>
          <w:rFonts w:cs="Arial"/>
          <w:color w:val="262626"/>
          <w:sz w:val="20"/>
          <w:szCs w:val="20"/>
          <w:shd w:val="clear" w:color="auto" w:fill="FFFFFF"/>
        </w:rPr>
      </w:pPr>
      <w:r w:rsidRPr="00856F3F">
        <w:rPr>
          <w:rStyle w:val="FootnoteReference"/>
          <w:sz w:val="20"/>
          <w:szCs w:val="20"/>
        </w:rPr>
        <w:footnoteRef/>
      </w:r>
      <w:r w:rsidRPr="00856F3F">
        <w:rPr>
          <w:sz w:val="20"/>
          <w:szCs w:val="20"/>
        </w:rPr>
        <w:t xml:space="preserve"> ’10,000 Mineworkers lose jobs’ </w:t>
      </w:r>
      <w:hyperlink r:id="rId16" w:history="1">
        <w:r w:rsidRPr="00CF38EC">
          <w:rPr>
            <w:rStyle w:val="Hyperlink"/>
            <w:sz w:val="20"/>
            <w:szCs w:val="20"/>
          </w:rPr>
          <w:t>www.ghanaweb.com/GhanaHomePage/NewsArchive/10-000-Mineworkers-lose-jobs-461617</w:t>
        </w:r>
      </w:hyperlink>
      <w:r>
        <w:rPr>
          <w:sz w:val="20"/>
          <w:szCs w:val="20"/>
        </w:rPr>
        <w:t xml:space="preserve"> </w:t>
      </w:r>
      <w:r w:rsidRPr="00856F3F">
        <w:rPr>
          <w:rFonts w:cs="Arial"/>
          <w:color w:val="262626"/>
          <w:sz w:val="20"/>
          <w:szCs w:val="20"/>
          <w:shd w:val="clear" w:color="auto" w:fill="FFFFFF"/>
        </w:rPr>
        <w:t xml:space="preserve"> (Accessed 3 </w:t>
      </w:r>
      <w:r>
        <w:rPr>
          <w:rFonts w:cs="Arial"/>
          <w:color w:val="262626"/>
          <w:sz w:val="20"/>
          <w:szCs w:val="20"/>
          <w:shd w:val="clear" w:color="auto" w:fill="FFFFFF"/>
        </w:rPr>
        <w:t>January</w:t>
      </w:r>
      <w:r w:rsidRPr="00856F3F">
        <w:rPr>
          <w:rFonts w:cs="Arial"/>
          <w:color w:val="262626"/>
          <w:sz w:val="20"/>
          <w:szCs w:val="20"/>
          <w:shd w:val="clear" w:color="auto" w:fill="FFFFFF"/>
        </w:rPr>
        <w:t xml:space="preserve"> 201</w:t>
      </w:r>
      <w:r>
        <w:rPr>
          <w:rFonts w:cs="Arial"/>
          <w:color w:val="262626"/>
          <w:sz w:val="20"/>
          <w:szCs w:val="20"/>
          <w:shd w:val="clear" w:color="auto" w:fill="FFFFFF"/>
        </w:rPr>
        <w:t>9</w:t>
      </w:r>
      <w:r w:rsidRPr="00856F3F">
        <w:rPr>
          <w:rFonts w:cs="Arial"/>
          <w:color w:val="262626"/>
          <w:sz w:val="20"/>
          <w:szCs w:val="20"/>
          <w:shd w:val="clear" w:color="auto" w:fill="FFFFFF"/>
        </w:rPr>
        <w:t>).</w:t>
      </w:r>
    </w:p>
  </w:footnote>
  <w:footnote w:id="19">
    <w:p w14:paraId="073F023C" w14:textId="395B8C77" w:rsidR="00050419" w:rsidRPr="00856F3F" w:rsidRDefault="00050419" w:rsidP="00D942C4">
      <w:pPr>
        <w:pStyle w:val="PlainText"/>
        <w:rPr>
          <w:rFonts w:asciiTheme="minorHAnsi" w:hAnsiTheme="minorHAnsi"/>
          <w:sz w:val="20"/>
          <w:szCs w:val="20"/>
        </w:rPr>
      </w:pPr>
      <w:r w:rsidRPr="00856F3F">
        <w:rPr>
          <w:rStyle w:val="FootnoteReference"/>
          <w:rFonts w:asciiTheme="minorHAnsi" w:hAnsiTheme="minorHAnsi"/>
          <w:sz w:val="20"/>
          <w:szCs w:val="20"/>
        </w:rPr>
        <w:footnoteRef/>
      </w:r>
      <w:r w:rsidRPr="00856F3F">
        <w:rPr>
          <w:rFonts w:asciiTheme="minorHAnsi" w:hAnsiTheme="minorHAnsi"/>
          <w:sz w:val="20"/>
          <w:szCs w:val="20"/>
        </w:rPr>
        <w:t xml:space="preserve"> ‘Our </w:t>
      </w:r>
      <w:r>
        <w:rPr>
          <w:rFonts w:asciiTheme="minorHAnsi" w:hAnsiTheme="minorHAnsi"/>
          <w:sz w:val="20"/>
          <w:szCs w:val="20"/>
        </w:rPr>
        <w:t xml:space="preserve">Health, Safety, Environmental, and Community Performance for 2006’ </w:t>
      </w:r>
      <w:hyperlink r:id="rId17" w:history="1">
        <w:r w:rsidRPr="00CF38EC">
          <w:rPr>
            <w:rStyle w:val="Hyperlink"/>
            <w:rFonts w:asciiTheme="minorHAnsi" w:hAnsiTheme="minorHAnsi"/>
            <w:sz w:val="20"/>
            <w:szCs w:val="20"/>
          </w:rPr>
          <w:t>https://www.unglobalcompact.org/system/attachments/1289/original/COP.pdf?1262614255</w:t>
        </w:r>
      </w:hyperlink>
      <w:r>
        <w:rPr>
          <w:rStyle w:val="Hyperlink"/>
          <w:rFonts w:asciiTheme="minorHAnsi" w:hAnsiTheme="minorHAnsi"/>
          <w:color w:val="auto"/>
          <w:sz w:val="20"/>
          <w:szCs w:val="20"/>
          <w:u w:val="none"/>
        </w:rPr>
        <w:t xml:space="preserve"> </w:t>
      </w:r>
      <w:r w:rsidRPr="00856F3F">
        <w:rPr>
          <w:rFonts w:asciiTheme="minorHAnsi" w:hAnsiTheme="minorHAnsi"/>
          <w:sz w:val="20"/>
          <w:szCs w:val="20"/>
        </w:rPr>
        <w:t xml:space="preserve">(Accessed </w:t>
      </w:r>
      <w:r>
        <w:rPr>
          <w:rFonts w:asciiTheme="minorHAnsi" w:hAnsiTheme="minorHAnsi"/>
          <w:sz w:val="20"/>
          <w:szCs w:val="20"/>
        </w:rPr>
        <w:t>9</w:t>
      </w:r>
      <w:r w:rsidRPr="00856F3F">
        <w:rPr>
          <w:rFonts w:asciiTheme="minorHAnsi" w:hAnsiTheme="minorHAnsi"/>
          <w:sz w:val="20"/>
          <w:szCs w:val="20"/>
        </w:rPr>
        <w:t xml:space="preserve"> </w:t>
      </w:r>
      <w:r>
        <w:rPr>
          <w:rFonts w:asciiTheme="minorHAnsi" w:hAnsiTheme="minorHAnsi"/>
          <w:sz w:val="20"/>
          <w:szCs w:val="20"/>
        </w:rPr>
        <w:t>January</w:t>
      </w:r>
      <w:r w:rsidRPr="00856F3F">
        <w:rPr>
          <w:rFonts w:asciiTheme="minorHAnsi" w:hAnsiTheme="minorHAnsi"/>
          <w:sz w:val="20"/>
          <w:szCs w:val="20"/>
        </w:rPr>
        <w:t xml:space="preserve"> 201</w:t>
      </w:r>
      <w:r>
        <w:rPr>
          <w:rFonts w:asciiTheme="minorHAnsi" w:hAnsiTheme="minorHAnsi"/>
          <w:sz w:val="20"/>
          <w:szCs w:val="20"/>
        </w:rPr>
        <w:t>9</w:t>
      </w:r>
      <w:r w:rsidRPr="00856F3F">
        <w:rPr>
          <w:rFonts w:asciiTheme="minorHAnsi" w:hAnsiTheme="minorHAnsi"/>
          <w:sz w:val="20"/>
          <w:szCs w:val="20"/>
        </w:rPr>
        <w:t>).</w:t>
      </w:r>
    </w:p>
  </w:footnote>
  <w:footnote w:id="20">
    <w:p w14:paraId="79C1BB73" w14:textId="6A8A6825" w:rsidR="00050419" w:rsidRPr="00856F3F" w:rsidRDefault="00050419">
      <w:pPr>
        <w:pStyle w:val="FootnoteText"/>
      </w:pPr>
      <w:r w:rsidRPr="00856F3F">
        <w:rPr>
          <w:rStyle w:val="FootnoteReference"/>
        </w:rPr>
        <w:footnoteRef/>
      </w:r>
      <w:r w:rsidRPr="00856F3F">
        <w:t xml:space="preserve"> ‘In the news’</w:t>
      </w:r>
      <w:r>
        <w:t xml:space="preserve"> </w:t>
      </w:r>
      <w:hyperlink r:id="rId18" w:history="1">
        <w:r w:rsidRPr="00CF38EC">
          <w:rPr>
            <w:rStyle w:val="Hyperlink"/>
          </w:rPr>
          <w:t>www.goldfields.com/news_article.php?articleID=3624</w:t>
        </w:r>
      </w:hyperlink>
      <w:r>
        <w:t xml:space="preserve"> </w:t>
      </w:r>
      <w:r w:rsidRPr="00856F3F">
        <w:t xml:space="preserve">(Accessed 12 </w:t>
      </w:r>
      <w:r>
        <w:t>January</w:t>
      </w:r>
      <w:r w:rsidRPr="00856F3F">
        <w:t xml:space="preserve"> 201</w:t>
      </w:r>
      <w:r>
        <w:t>9</w:t>
      </w:r>
      <w:r w:rsidRPr="00856F3F">
        <w:t xml:space="preserve">). </w:t>
      </w:r>
    </w:p>
  </w:footnote>
  <w:footnote w:id="21">
    <w:p w14:paraId="4EB132FC" w14:textId="1F2E5029" w:rsidR="00050419" w:rsidRPr="00856F3F" w:rsidRDefault="00050419">
      <w:pPr>
        <w:pStyle w:val="FootnoteText"/>
      </w:pPr>
      <w:r w:rsidRPr="00856F3F">
        <w:rPr>
          <w:rStyle w:val="FootnoteReference"/>
        </w:rPr>
        <w:footnoteRef/>
      </w:r>
      <w:r w:rsidRPr="00856F3F">
        <w:t xml:space="preserve"> ‘Newmont Ghana takes lead in responsible mining’ </w:t>
      </w:r>
      <w:hyperlink r:id="rId19" w:history="1">
        <w:r w:rsidRPr="00856F3F">
          <w:rPr>
            <w:rStyle w:val="Hyperlink"/>
          </w:rPr>
          <w:t>www.modernghana.com/news/180922/newmont-ghana-takes-lead-in-responsible-mining.html</w:t>
        </w:r>
      </w:hyperlink>
      <w:r w:rsidRPr="00856F3F">
        <w:t xml:space="preserve"> (Accessed 12 </w:t>
      </w:r>
      <w:r>
        <w:t>January</w:t>
      </w:r>
      <w:r w:rsidRPr="00856F3F">
        <w:t xml:space="preserve"> 201</w:t>
      </w:r>
      <w:r>
        <w:t>9</w:t>
      </w:r>
      <w:r w:rsidRPr="00856F3F">
        <w:t>).</w:t>
      </w:r>
    </w:p>
  </w:footnote>
  <w:footnote w:id="22">
    <w:p w14:paraId="43413E70" w14:textId="1ED587FC" w:rsidR="00050419" w:rsidRPr="00856F3F" w:rsidRDefault="00050419" w:rsidP="00856F3F">
      <w:pPr>
        <w:rPr>
          <w:sz w:val="20"/>
          <w:szCs w:val="20"/>
        </w:rPr>
      </w:pPr>
      <w:r w:rsidRPr="00856F3F">
        <w:rPr>
          <w:rStyle w:val="FootnoteReference"/>
          <w:sz w:val="20"/>
          <w:szCs w:val="20"/>
        </w:rPr>
        <w:footnoteRef/>
      </w:r>
      <w:r w:rsidRPr="00856F3F">
        <w:rPr>
          <w:sz w:val="20"/>
          <w:szCs w:val="20"/>
        </w:rPr>
        <w:t xml:space="preserve"> ‘Report on the Performance of the Mining Industry (2014)’ </w:t>
      </w:r>
      <w:hyperlink r:id="rId20" w:history="1">
        <w:r w:rsidRPr="00CF38EC">
          <w:rPr>
            <w:rStyle w:val="Hyperlink"/>
            <w:sz w:val="20"/>
            <w:szCs w:val="20"/>
          </w:rPr>
          <w:t>http://ghanachamberofmines.org/wp-content/uploads/2016/11/Performance_of_the_Mining_Industry_in_Ghana_2014.pdf</w:t>
        </w:r>
      </w:hyperlink>
      <w:r>
        <w:rPr>
          <w:sz w:val="20"/>
          <w:szCs w:val="20"/>
        </w:rPr>
        <w:t xml:space="preserve"> </w:t>
      </w:r>
      <w:r w:rsidRPr="00856F3F">
        <w:rPr>
          <w:sz w:val="20"/>
          <w:szCs w:val="20"/>
        </w:rPr>
        <w:t xml:space="preserve">(Accessed </w:t>
      </w:r>
      <w:r>
        <w:rPr>
          <w:sz w:val="20"/>
          <w:szCs w:val="20"/>
        </w:rPr>
        <w:t>7 January 2019</w:t>
      </w:r>
      <w:r w:rsidRPr="00856F3F">
        <w:rPr>
          <w:sz w:val="20"/>
          <w:szCs w:val="20"/>
        </w:rPr>
        <w:t>).</w:t>
      </w:r>
    </w:p>
  </w:footnote>
  <w:footnote w:id="23">
    <w:p w14:paraId="6EEDA9BD" w14:textId="63C9EB1D" w:rsidR="00050419" w:rsidRPr="00856F3F" w:rsidRDefault="00050419" w:rsidP="00D942C4">
      <w:pPr>
        <w:spacing w:after="0" w:line="240" w:lineRule="auto"/>
        <w:rPr>
          <w:sz w:val="20"/>
          <w:szCs w:val="20"/>
        </w:rPr>
      </w:pPr>
      <w:r w:rsidRPr="00856F3F">
        <w:rPr>
          <w:rStyle w:val="FootnoteReference"/>
          <w:sz w:val="20"/>
          <w:szCs w:val="20"/>
        </w:rPr>
        <w:footnoteRef/>
      </w:r>
      <w:r w:rsidRPr="00856F3F">
        <w:rPr>
          <w:sz w:val="20"/>
          <w:szCs w:val="20"/>
        </w:rPr>
        <w:t xml:space="preserve"> ‘Increasing Local Procurement in Mining in West Africa’ </w:t>
      </w:r>
      <w:hyperlink r:id="rId21" w:history="1">
        <w:r w:rsidRPr="00856F3F">
          <w:rPr>
            <w:rStyle w:val="Hyperlink"/>
            <w:sz w:val="20"/>
            <w:szCs w:val="20"/>
          </w:rPr>
          <w:t>http://siteresources.worldbank.org/INTOGMC/Resources/Ghana-pr(procurement)2011refinal.pdf</w:t>
        </w:r>
      </w:hyperlink>
    </w:p>
  </w:footnote>
  <w:footnote w:id="24">
    <w:p w14:paraId="4C41D94C" w14:textId="55837405" w:rsidR="00050419" w:rsidRDefault="00050419">
      <w:pPr>
        <w:pStyle w:val="FootnoteText"/>
      </w:pPr>
      <w:r>
        <w:t>(Accessed 12 January 2019).</w:t>
      </w:r>
    </w:p>
    <w:p w14:paraId="3292326E" w14:textId="6B421C09" w:rsidR="00050419" w:rsidRDefault="00050419">
      <w:pPr>
        <w:pStyle w:val="FootnoteText"/>
      </w:pPr>
      <w:r>
        <w:rPr>
          <w:rStyle w:val="FootnoteReference"/>
        </w:rPr>
        <w:footnoteRef/>
      </w:r>
      <w:r>
        <w:t xml:space="preserve"> ‘Mining Indaba: Industry on the defensive over sustainable development’, </w:t>
      </w:r>
      <w:hyperlink r:id="rId22" w:history="1">
        <w:r w:rsidRPr="00CF38EC">
          <w:rPr>
            <w:rStyle w:val="Hyperlink"/>
          </w:rPr>
          <w:t>www.dailymaverick.co.za/article/2013-02-08-mining-indaba-industry-on-the-defensive-over-sustainable-development/</w:t>
        </w:r>
      </w:hyperlink>
      <w:r>
        <w:t xml:space="preserve"> (Accessed 23 January 2019).</w:t>
      </w:r>
    </w:p>
  </w:footnote>
  <w:footnote w:id="25">
    <w:p w14:paraId="528A4A71" w14:textId="43A9218A" w:rsidR="00050419" w:rsidRDefault="00050419" w:rsidP="00D942C4">
      <w:pPr>
        <w:spacing w:after="0" w:line="240" w:lineRule="auto"/>
      </w:pPr>
      <w:r w:rsidRPr="00856F3F">
        <w:rPr>
          <w:rStyle w:val="FootnoteReference"/>
          <w:sz w:val="20"/>
          <w:szCs w:val="20"/>
        </w:rPr>
        <w:footnoteRef/>
      </w:r>
      <w:r w:rsidRPr="00856F3F">
        <w:rPr>
          <w:sz w:val="20"/>
          <w:szCs w:val="20"/>
        </w:rPr>
        <w:t xml:space="preserve"> ‘Mining Indaba: Industry on the defensive over sustainable development’ </w:t>
      </w:r>
      <w:hyperlink r:id="rId23" w:anchor=".V89LqpgrLIU" w:history="1">
        <w:r w:rsidRPr="00856F3F">
          <w:rPr>
            <w:rStyle w:val="Hyperlink"/>
            <w:sz w:val="20"/>
            <w:szCs w:val="20"/>
          </w:rPr>
          <w:t>http://www.dailymaverick.co.za/article/2013-02-08-mining-indaba-industry-on-the-defensive-over-sustainable-development/#.V89LqpgrLIU</w:t>
        </w:r>
      </w:hyperlink>
      <w:r w:rsidRPr="00856F3F">
        <w:rPr>
          <w:sz w:val="20"/>
          <w:szCs w:val="20"/>
        </w:rPr>
        <w:t xml:space="preserve"> (Accessed 1 May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493"/>
    <w:multiLevelType w:val="hybridMultilevel"/>
    <w:tmpl w:val="FFC828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F3170F0"/>
    <w:multiLevelType w:val="multilevel"/>
    <w:tmpl w:val="DCC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B069A"/>
    <w:multiLevelType w:val="hybridMultilevel"/>
    <w:tmpl w:val="12800D72"/>
    <w:lvl w:ilvl="0" w:tplc="A360171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76BF3"/>
    <w:multiLevelType w:val="hybridMultilevel"/>
    <w:tmpl w:val="1C02BF48"/>
    <w:lvl w:ilvl="0" w:tplc="85602E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E10F0"/>
    <w:multiLevelType w:val="hybridMultilevel"/>
    <w:tmpl w:val="2E5276D6"/>
    <w:lvl w:ilvl="0" w:tplc="7890A9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65B4B"/>
    <w:multiLevelType w:val="hybridMultilevel"/>
    <w:tmpl w:val="B4165A96"/>
    <w:lvl w:ilvl="0" w:tplc="26CE349C">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B5F7F"/>
    <w:multiLevelType w:val="hybridMultilevel"/>
    <w:tmpl w:val="B284070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1D6725BD"/>
    <w:multiLevelType w:val="hybridMultilevel"/>
    <w:tmpl w:val="B664C5EA"/>
    <w:lvl w:ilvl="0" w:tplc="F3F8F1FA">
      <w:start w:val="200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83D37"/>
    <w:multiLevelType w:val="hybridMultilevel"/>
    <w:tmpl w:val="B09E3696"/>
    <w:lvl w:ilvl="0" w:tplc="B37AD73C">
      <w:start w:val="200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82761"/>
    <w:multiLevelType w:val="hybridMultilevel"/>
    <w:tmpl w:val="6CB4D16E"/>
    <w:lvl w:ilvl="0" w:tplc="EFB45E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355D8"/>
    <w:multiLevelType w:val="hybridMultilevel"/>
    <w:tmpl w:val="5A9694D6"/>
    <w:lvl w:ilvl="0" w:tplc="BDE2404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A7526"/>
    <w:multiLevelType w:val="hybridMultilevel"/>
    <w:tmpl w:val="FB0CBD1C"/>
    <w:lvl w:ilvl="0" w:tplc="E21C06C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21AAB"/>
    <w:multiLevelType w:val="hybridMultilevel"/>
    <w:tmpl w:val="C292EA12"/>
    <w:lvl w:ilvl="0" w:tplc="B51207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06058"/>
    <w:multiLevelType w:val="hybridMultilevel"/>
    <w:tmpl w:val="301055BA"/>
    <w:lvl w:ilvl="0" w:tplc="5988337A">
      <w:start w:val="200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075AF"/>
    <w:multiLevelType w:val="hybridMultilevel"/>
    <w:tmpl w:val="6AA0E466"/>
    <w:lvl w:ilvl="0" w:tplc="901A9A92">
      <w:start w:val="200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F64142"/>
    <w:multiLevelType w:val="hybridMultilevel"/>
    <w:tmpl w:val="0E3A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209AC"/>
    <w:multiLevelType w:val="hybridMultilevel"/>
    <w:tmpl w:val="CB2C157E"/>
    <w:lvl w:ilvl="0" w:tplc="E446123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432EF"/>
    <w:multiLevelType w:val="hybridMultilevel"/>
    <w:tmpl w:val="16620E08"/>
    <w:lvl w:ilvl="0" w:tplc="E446123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A4241"/>
    <w:multiLevelType w:val="multilevel"/>
    <w:tmpl w:val="B39AB1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B2824B4"/>
    <w:multiLevelType w:val="hybridMultilevel"/>
    <w:tmpl w:val="8AECFF76"/>
    <w:lvl w:ilvl="0" w:tplc="A64A0D4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1C4D5B"/>
    <w:multiLevelType w:val="multilevel"/>
    <w:tmpl w:val="CD76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AC49F1"/>
    <w:multiLevelType w:val="hybridMultilevel"/>
    <w:tmpl w:val="73E249BA"/>
    <w:lvl w:ilvl="0" w:tplc="098483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4"/>
  </w:num>
  <w:num w:numId="4">
    <w:abstractNumId w:val="12"/>
  </w:num>
  <w:num w:numId="5">
    <w:abstractNumId w:val="11"/>
  </w:num>
  <w:num w:numId="6">
    <w:abstractNumId w:val="21"/>
  </w:num>
  <w:num w:numId="7">
    <w:abstractNumId w:val="3"/>
  </w:num>
  <w:num w:numId="8">
    <w:abstractNumId w:val="8"/>
  </w:num>
  <w:num w:numId="9">
    <w:abstractNumId w:val="14"/>
  </w:num>
  <w:num w:numId="10">
    <w:abstractNumId w:val="13"/>
  </w:num>
  <w:num w:numId="11">
    <w:abstractNumId w:val="7"/>
  </w:num>
  <w:num w:numId="12">
    <w:abstractNumId w:val="10"/>
  </w:num>
  <w:num w:numId="13">
    <w:abstractNumId w:val="2"/>
  </w:num>
  <w:num w:numId="14">
    <w:abstractNumId w:val="5"/>
  </w:num>
  <w:num w:numId="15">
    <w:abstractNumId w:val="15"/>
  </w:num>
  <w:num w:numId="16">
    <w:abstractNumId w:val="18"/>
  </w:num>
  <w:num w:numId="17">
    <w:abstractNumId w:val="6"/>
  </w:num>
  <w:num w:numId="18">
    <w:abstractNumId w:val="0"/>
  </w:num>
  <w:num w:numId="19">
    <w:abstractNumId w:val="17"/>
  </w:num>
  <w:num w:numId="20">
    <w:abstractNumId w:val="16"/>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AD"/>
    <w:rsid w:val="000031C4"/>
    <w:rsid w:val="0000438E"/>
    <w:rsid w:val="0000549E"/>
    <w:rsid w:val="00005900"/>
    <w:rsid w:val="000070F9"/>
    <w:rsid w:val="0001054C"/>
    <w:rsid w:val="00011110"/>
    <w:rsid w:val="000113CF"/>
    <w:rsid w:val="0001172B"/>
    <w:rsid w:val="00012CEF"/>
    <w:rsid w:val="00013B41"/>
    <w:rsid w:val="00013F31"/>
    <w:rsid w:val="00014858"/>
    <w:rsid w:val="000167E0"/>
    <w:rsid w:val="00016BFD"/>
    <w:rsid w:val="0002289C"/>
    <w:rsid w:val="00024753"/>
    <w:rsid w:val="0002544E"/>
    <w:rsid w:val="00026A21"/>
    <w:rsid w:val="0002741F"/>
    <w:rsid w:val="000301FF"/>
    <w:rsid w:val="00030B27"/>
    <w:rsid w:val="00032BB8"/>
    <w:rsid w:val="00034829"/>
    <w:rsid w:val="00034E06"/>
    <w:rsid w:val="00035FC9"/>
    <w:rsid w:val="000403D7"/>
    <w:rsid w:val="00040E55"/>
    <w:rsid w:val="000438A0"/>
    <w:rsid w:val="00050419"/>
    <w:rsid w:val="00051452"/>
    <w:rsid w:val="00053537"/>
    <w:rsid w:val="00054E24"/>
    <w:rsid w:val="000563D7"/>
    <w:rsid w:val="00056F0E"/>
    <w:rsid w:val="000572D6"/>
    <w:rsid w:val="00060777"/>
    <w:rsid w:val="00061383"/>
    <w:rsid w:val="000616EB"/>
    <w:rsid w:val="00062341"/>
    <w:rsid w:val="000629DC"/>
    <w:rsid w:val="00064ED3"/>
    <w:rsid w:val="00065487"/>
    <w:rsid w:val="000668DE"/>
    <w:rsid w:val="000677D6"/>
    <w:rsid w:val="00071592"/>
    <w:rsid w:val="000725BA"/>
    <w:rsid w:val="0008224E"/>
    <w:rsid w:val="00091900"/>
    <w:rsid w:val="00093E00"/>
    <w:rsid w:val="000952DB"/>
    <w:rsid w:val="000A1A3F"/>
    <w:rsid w:val="000A1FD3"/>
    <w:rsid w:val="000A270E"/>
    <w:rsid w:val="000A3D3A"/>
    <w:rsid w:val="000A4267"/>
    <w:rsid w:val="000A4844"/>
    <w:rsid w:val="000A5C5A"/>
    <w:rsid w:val="000A5F8F"/>
    <w:rsid w:val="000A6E79"/>
    <w:rsid w:val="000B0089"/>
    <w:rsid w:val="000B14A1"/>
    <w:rsid w:val="000B1E24"/>
    <w:rsid w:val="000B6421"/>
    <w:rsid w:val="000C05BB"/>
    <w:rsid w:val="000C0AF3"/>
    <w:rsid w:val="000C24B8"/>
    <w:rsid w:val="000C26BB"/>
    <w:rsid w:val="000C3530"/>
    <w:rsid w:val="000C4A51"/>
    <w:rsid w:val="000C4DEE"/>
    <w:rsid w:val="000D0761"/>
    <w:rsid w:val="000D4747"/>
    <w:rsid w:val="000D7ED0"/>
    <w:rsid w:val="000E01FA"/>
    <w:rsid w:val="000E1D3C"/>
    <w:rsid w:val="000E2AFD"/>
    <w:rsid w:val="000E3253"/>
    <w:rsid w:val="000E3DA6"/>
    <w:rsid w:val="000E6A46"/>
    <w:rsid w:val="000F0232"/>
    <w:rsid w:val="000F2547"/>
    <w:rsid w:val="000F369C"/>
    <w:rsid w:val="000F38B1"/>
    <w:rsid w:val="00101987"/>
    <w:rsid w:val="00103C73"/>
    <w:rsid w:val="0010528C"/>
    <w:rsid w:val="001052C2"/>
    <w:rsid w:val="00106FF4"/>
    <w:rsid w:val="00107EDD"/>
    <w:rsid w:val="00111F14"/>
    <w:rsid w:val="0011200D"/>
    <w:rsid w:val="0011251B"/>
    <w:rsid w:val="0011289E"/>
    <w:rsid w:val="00114799"/>
    <w:rsid w:val="001156F8"/>
    <w:rsid w:val="00116D83"/>
    <w:rsid w:val="0012080C"/>
    <w:rsid w:val="001218FC"/>
    <w:rsid w:val="00122410"/>
    <w:rsid w:val="00123169"/>
    <w:rsid w:val="00123442"/>
    <w:rsid w:val="00123C0A"/>
    <w:rsid w:val="00125A3F"/>
    <w:rsid w:val="00125BC7"/>
    <w:rsid w:val="00126077"/>
    <w:rsid w:val="0012639E"/>
    <w:rsid w:val="00127C6F"/>
    <w:rsid w:val="00127D36"/>
    <w:rsid w:val="001319FB"/>
    <w:rsid w:val="001333AE"/>
    <w:rsid w:val="00135AE3"/>
    <w:rsid w:val="00135FE8"/>
    <w:rsid w:val="00136F2E"/>
    <w:rsid w:val="001402A6"/>
    <w:rsid w:val="00142FE0"/>
    <w:rsid w:val="001435CE"/>
    <w:rsid w:val="00147FB5"/>
    <w:rsid w:val="00160292"/>
    <w:rsid w:val="00160639"/>
    <w:rsid w:val="001628DA"/>
    <w:rsid w:val="0017282A"/>
    <w:rsid w:val="00172C30"/>
    <w:rsid w:val="00174761"/>
    <w:rsid w:val="00180E73"/>
    <w:rsid w:val="00183214"/>
    <w:rsid w:val="0019075F"/>
    <w:rsid w:val="00190CC2"/>
    <w:rsid w:val="00191585"/>
    <w:rsid w:val="00191D2C"/>
    <w:rsid w:val="00192032"/>
    <w:rsid w:val="00192362"/>
    <w:rsid w:val="00192BD3"/>
    <w:rsid w:val="00192CA5"/>
    <w:rsid w:val="00193B94"/>
    <w:rsid w:val="001952E8"/>
    <w:rsid w:val="001A2132"/>
    <w:rsid w:val="001A28DE"/>
    <w:rsid w:val="001A3E30"/>
    <w:rsid w:val="001A7105"/>
    <w:rsid w:val="001B1EFC"/>
    <w:rsid w:val="001B36F1"/>
    <w:rsid w:val="001C0BAE"/>
    <w:rsid w:val="001C2A95"/>
    <w:rsid w:val="001C46AC"/>
    <w:rsid w:val="001C608F"/>
    <w:rsid w:val="001C6836"/>
    <w:rsid w:val="001C7297"/>
    <w:rsid w:val="001D03BE"/>
    <w:rsid w:val="001D0C0E"/>
    <w:rsid w:val="001D1F18"/>
    <w:rsid w:val="001D3BC7"/>
    <w:rsid w:val="001D417F"/>
    <w:rsid w:val="001D52A7"/>
    <w:rsid w:val="001D61C8"/>
    <w:rsid w:val="001E121C"/>
    <w:rsid w:val="001E5762"/>
    <w:rsid w:val="001E65AE"/>
    <w:rsid w:val="001F2472"/>
    <w:rsid w:val="001F2AE9"/>
    <w:rsid w:val="001F2CCB"/>
    <w:rsid w:val="001F2EC3"/>
    <w:rsid w:val="001F4B90"/>
    <w:rsid w:val="001F57F4"/>
    <w:rsid w:val="00200082"/>
    <w:rsid w:val="00200D29"/>
    <w:rsid w:val="00203BE3"/>
    <w:rsid w:val="00204656"/>
    <w:rsid w:val="002058EC"/>
    <w:rsid w:val="002063C2"/>
    <w:rsid w:val="00207E5E"/>
    <w:rsid w:val="002136F0"/>
    <w:rsid w:val="00214433"/>
    <w:rsid w:val="002151CB"/>
    <w:rsid w:val="00221DF5"/>
    <w:rsid w:val="00222B07"/>
    <w:rsid w:val="00222C4A"/>
    <w:rsid w:val="00223939"/>
    <w:rsid w:val="00232DE5"/>
    <w:rsid w:val="0023330B"/>
    <w:rsid w:val="0023608B"/>
    <w:rsid w:val="00237878"/>
    <w:rsid w:val="002458AC"/>
    <w:rsid w:val="00246BBB"/>
    <w:rsid w:val="00246D44"/>
    <w:rsid w:val="0025135C"/>
    <w:rsid w:val="0025325C"/>
    <w:rsid w:val="00254720"/>
    <w:rsid w:val="002550B5"/>
    <w:rsid w:val="002550CF"/>
    <w:rsid w:val="002562A7"/>
    <w:rsid w:val="0026189B"/>
    <w:rsid w:val="00263042"/>
    <w:rsid w:val="002640EE"/>
    <w:rsid w:val="0026480B"/>
    <w:rsid w:val="00266329"/>
    <w:rsid w:val="0027500C"/>
    <w:rsid w:val="00280643"/>
    <w:rsid w:val="002806FC"/>
    <w:rsid w:val="00281FE6"/>
    <w:rsid w:val="0028223A"/>
    <w:rsid w:val="00284D4A"/>
    <w:rsid w:val="00286460"/>
    <w:rsid w:val="002864B3"/>
    <w:rsid w:val="0029468B"/>
    <w:rsid w:val="00295BD6"/>
    <w:rsid w:val="00296282"/>
    <w:rsid w:val="002969B7"/>
    <w:rsid w:val="0029754E"/>
    <w:rsid w:val="002A0C48"/>
    <w:rsid w:val="002A1C97"/>
    <w:rsid w:val="002A2225"/>
    <w:rsid w:val="002A224A"/>
    <w:rsid w:val="002A3519"/>
    <w:rsid w:val="002A40B0"/>
    <w:rsid w:val="002A7217"/>
    <w:rsid w:val="002A79D7"/>
    <w:rsid w:val="002B1959"/>
    <w:rsid w:val="002B37CD"/>
    <w:rsid w:val="002B3B61"/>
    <w:rsid w:val="002B4004"/>
    <w:rsid w:val="002C3D02"/>
    <w:rsid w:val="002C487C"/>
    <w:rsid w:val="002C4DB8"/>
    <w:rsid w:val="002C4DD5"/>
    <w:rsid w:val="002D1EA9"/>
    <w:rsid w:val="002D201D"/>
    <w:rsid w:val="002D2A6F"/>
    <w:rsid w:val="002D35C5"/>
    <w:rsid w:val="002D4376"/>
    <w:rsid w:val="002D5DCF"/>
    <w:rsid w:val="002D659C"/>
    <w:rsid w:val="002D761B"/>
    <w:rsid w:val="002E03C7"/>
    <w:rsid w:val="002E0E55"/>
    <w:rsid w:val="002E2482"/>
    <w:rsid w:val="002E446C"/>
    <w:rsid w:val="002E5011"/>
    <w:rsid w:val="002E57D6"/>
    <w:rsid w:val="002E588E"/>
    <w:rsid w:val="002E7096"/>
    <w:rsid w:val="002F26C3"/>
    <w:rsid w:val="002F4814"/>
    <w:rsid w:val="002F4AF5"/>
    <w:rsid w:val="002F5863"/>
    <w:rsid w:val="002F687D"/>
    <w:rsid w:val="002F6E43"/>
    <w:rsid w:val="00300804"/>
    <w:rsid w:val="00303AF7"/>
    <w:rsid w:val="0030458F"/>
    <w:rsid w:val="00310155"/>
    <w:rsid w:val="00310BF4"/>
    <w:rsid w:val="003146FE"/>
    <w:rsid w:val="00314897"/>
    <w:rsid w:val="0032290C"/>
    <w:rsid w:val="00323314"/>
    <w:rsid w:val="003259AD"/>
    <w:rsid w:val="00326039"/>
    <w:rsid w:val="003273D8"/>
    <w:rsid w:val="003305EA"/>
    <w:rsid w:val="0033261B"/>
    <w:rsid w:val="0033708A"/>
    <w:rsid w:val="003423F4"/>
    <w:rsid w:val="00342551"/>
    <w:rsid w:val="0034345D"/>
    <w:rsid w:val="003444D7"/>
    <w:rsid w:val="003467FF"/>
    <w:rsid w:val="00346CA8"/>
    <w:rsid w:val="00346F81"/>
    <w:rsid w:val="0034706D"/>
    <w:rsid w:val="003474F2"/>
    <w:rsid w:val="00350A8B"/>
    <w:rsid w:val="003520D0"/>
    <w:rsid w:val="003523FC"/>
    <w:rsid w:val="00353864"/>
    <w:rsid w:val="00354AD8"/>
    <w:rsid w:val="00355C56"/>
    <w:rsid w:val="00357BC9"/>
    <w:rsid w:val="00361DE9"/>
    <w:rsid w:val="00365360"/>
    <w:rsid w:val="00366CAD"/>
    <w:rsid w:val="003701C7"/>
    <w:rsid w:val="003716A3"/>
    <w:rsid w:val="0037232E"/>
    <w:rsid w:val="0037387F"/>
    <w:rsid w:val="003739E0"/>
    <w:rsid w:val="0037452E"/>
    <w:rsid w:val="00374F6E"/>
    <w:rsid w:val="0037546D"/>
    <w:rsid w:val="003769D2"/>
    <w:rsid w:val="00376DE6"/>
    <w:rsid w:val="0037773A"/>
    <w:rsid w:val="003847E4"/>
    <w:rsid w:val="00386037"/>
    <w:rsid w:val="00386046"/>
    <w:rsid w:val="003865F1"/>
    <w:rsid w:val="00386965"/>
    <w:rsid w:val="0038714A"/>
    <w:rsid w:val="003900F0"/>
    <w:rsid w:val="00390BEA"/>
    <w:rsid w:val="00391586"/>
    <w:rsid w:val="0039351E"/>
    <w:rsid w:val="003943CD"/>
    <w:rsid w:val="00394BBC"/>
    <w:rsid w:val="003A01A2"/>
    <w:rsid w:val="003A1631"/>
    <w:rsid w:val="003A1A8C"/>
    <w:rsid w:val="003A2235"/>
    <w:rsid w:val="003A4DFA"/>
    <w:rsid w:val="003A554C"/>
    <w:rsid w:val="003A78F8"/>
    <w:rsid w:val="003A7E19"/>
    <w:rsid w:val="003B07E9"/>
    <w:rsid w:val="003B21A2"/>
    <w:rsid w:val="003B38D4"/>
    <w:rsid w:val="003B3B1B"/>
    <w:rsid w:val="003B46B7"/>
    <w:rsid w:val="003B6411"/>
    <w:rsid w:val="003B6B36"/>
    <w:rsid w:val="003C00CE"/>
    <w:rsid w:val="003C02F1"/>
    <w:rsid w:val="003C0E36"/>
    <w:rsid w:val="003C17E2"/>
    <w:rsid w:val="003C40BF"/>
    <w:rsid w:val="003C4533"/>
    <w:rsid w:val="003C48CA"/>
    <w:rsid w:val="003C5B3D"/>
    <w:rsid w:val="003C7524"/>
    <w:rsid w:val="003C754A"/>
    <w:rsid w:val="003D30C2"/>
    <w:rsid w:val="003D4A49"/>
    <w:rsid w:val="003D6808"/>
    <w:rsid w:val="003E101F"/>
    <w:rsid w:val="003E155A"/>
    <w:rsid w:val="003E43D6"/>
    <w:rsid w:val="003E6556"/>
    <w:rsid w:val="003E7DA3"/>
    <w:rsid w:val="003F0BA6"/>
    <w:rsid w:val="003F109E"/>
    <w:rsid w:val="003F1878"/>
    <w:rsid w:val="003F212C"/>
    <w:rsid w:val="003F305C"/>
    <w:rsid w:val="003F34A4"/>
    <w:rsid w:val="003F37BE"/>
    <w:rsid w:val="003F434F"/>
    <w:rsid w:val="003F532B"/>
    <w:rsid w:val="003F5B2E"/>
    <w:rsid w:val="003F6002"/>
    <w:rsid w:val="003F773B"/>
    <w:rsid w:val="003F7A8D"/>
    <w:rsid w:val="00401FE1"/>
    <w:rsid w:val="004030B9"/>
    <w:rsid w:val="00403BB8"/>
    <w:rsid w:val="0040428C"/>
    <w:rsid w:val="00411181"/>
    <w:rsid w:val="004143BA"/>
    <w:rsid w:val="0041723C"/>
    <w:rsid w:val="00420298"/>
    <w:rsid w:val="004202F3"/>
    <w:rsid w:val="004220C7"/>
    <w:rsid w:val="00422EC5"/>
    <w:rsid w:val="004260B8"/>
    <w:rsid w:val="0043092C"/>
    <w:rsid w:val="004339E2"/>
    <w:rsid w:val="00434962"/>
    <w:rsid w:val="004420DF"/>
    <w:rsid w:val="004425DD"/>
    <w:rsid w:val="00445DDE"/>
    <w:rsid w:val="00446EB5"/>
    <w:rsid w:val="00447D72"/>
    <w:rsid w:val="00452545"/>
    <w:rsid w:val="00455757"/>
    <w:rsid w:val="00456B7A"/>
    <w:rsid w:val="00456F8A"/>
    <w:rsid w:val="004579A6"/>
    <w:rsid w:val="00460815"/>
    <w:rsid w:val="004624B2"/>
    <w:rsid w:val="004642B0"/>
    <w:rsid w:val="00466CBC"/>
    <w:rsid w:val="004676D5"/>
    <w:rsid w:val="00467B43"/>
    <w:rsid w:val="00470D13"/>
    <w:rsid w:val="004734F4"/>
    <w:rsid w:val="00473DBE"/>
    <w:rsid w:val="004761FE"/>
    <w:rsid w:val="00476F56"/>
    <w:rsid w:val="00481ECA"/>
    <w:rsid w:val="004828C2"/>
    <w:rsid w:val="00482974"/>
    <w:rsid w:val="00492504"/>
    <w:rsid w:val="00492742"/>
    <w:rsid w:val="004A075E"/>
    <w:rsid w:val="004A18A4"/>
    <w:rsid w:val="004A333E"/>
    <w:rsid w:val="004A3E65"/>
    <w:rsid w:val="004A5531"/>
    <w:rsid w:val="004A6089"/>
    <w:rsid w:val="004A71F8"/>
    <w:rsid w:val="004A7226"/>
    <w:rsid w:val="004A78DD"/>
    <w:rsid w:val="004B0629"/>
    <w:rsid w:val="004B0D2E"/>
    <w:rsid w:val="004B242C"/>
    <w:rsid w:val="004B2C45"/>
    <w:rsid w:val="004B2D49"/>
    <w:rsid w:val="004B35F3"/>
    <w:rsid w:val="004B397B"/>
    <w:rsid w:val="004B51E6"/>
    <w:rsid w:val="004B792C"/>
    <w:rsid w:val="004C030F"/>
    <w:rsid w:val="004C054D"/>
    <w:rsid w:val="004C0E95"/>
    <w:rsid w:val="004C2241"/>
    <w:rsid w:val="004C4656"/>
    <w:rsid w:val="004C6792"/>
    <w:rsid w:val="004D069B"/>
    <w:rsid w:val="004D0B10"/>
    <w:rsid w:val="004D15AF"/>
    <w:rsid w:val="004D2508"/>
    <w:rsid w:val="004D3151"/>
    <w:rsid w:val="004D51EC"/>
    <w:rsid w:val="004D6770"/>
    <w:rsid w:val="004D6BCD"/>
    <w:rsid w:val="004D7598"/>
    <w:rsid w:val="004E3379"/>
    <w:rsid w:val="004E37C0"/>
    <w:rsid w:val="004E3C0C"/>
    <w:rsid w:val="004E7516"/>
    <w:rsid w:val="004F36E3"/>
    <w:rsid w:val="004F5463"/>
    <w:rsid w:val="004F5CCC"/>
    <w:rsid w:val="004F7025"/>
    <w:rsid w:val="004F7144"/>
    <w:rsid w:val="00503245"/>
    <w:rsid w:val="0050629D"/>
    <w:rsid w:val="00506567"/>
    <w:rsid w:val="0050764C"/>
    <w:rsid w:val="00510791"/>
    <w:rsid w:val="0051196D"/>
    <w:rsid w:val="0051605F"/>
    <w:rsid w:val="0051634A"/>
    <w:rsid w:val="005166FD"/>
    <w:rsid w:val="00520141"/>
    <w:rsid w:val="005239F6"/>
    <w:rsid w:val="00530BF5"/>
    <w:rsid w:val="0053112F"/>
    <w:rsid w:val="00534BAE"/>
    <w:rsid w:val="00540B74"/>
    <w:rsid w:val="005416A7"/>
    <w:rsid w:val="005439D1"/>
    <w:rsid w:val="00544469"/>
    <w:rsid w:val="00545055"/>
    <w:rsid w:val="00545C5A"/>
    <w:rsid w:val="00547A3D"/>
    <w:rsid w:val="00547BDC"/>
    <w:rsid w:val="00552007"/>
    <w:rsid w:val="0055263C"/>
    <w:rsid w:val="005556FF"/>
    <w:rsid w:val="00555A35"/>
    <w:rsid w:val="0055600E"/>
    <w:rsid w:val="00560988"/>
    <w:rsid w:val="00563A9D"/>
    <w:rsid w:val="00570356"/>
    <w:rsid w:val="00570835"/>
    <w:rsid w:val="0057112E"/>
    <w:rsid w:val="00571186"/>
    <w:rsid w:val="005736C0"/>
    <w:rsid w:val="00574564"/>
    <w:rsid w:val="0057760A"/>
    <w:rsid w:val="00580D5B"/>
    <w:rsid w:val="00581CCE"/>
    <w:rsid w:val="00582AF7"/>
    <w:rsid w:val="00583C48"/>
    <w:rsid w:val="00583FA5"/>
    <w:rsid w:val="0058514B"/>
    <w:rsid w:val="00586076"/>
    <w:rsid w:val="00586F30"/>
    <w:rsid w:val="0058739B"/>
    <w:rsid w:val="00587705"/>
    <w:rsid w:val="00587DE1"/>
    <w:rsid w:val="00590AA1"/>
    <w:rsid w:val="00590CB1"/>
    <w:rsid w:val="005943F4"/>
    <w:rsid w:val="005965CE"/>
    <w:rsid w:val="005A1BAF"/>
    <w:rsid w:val="005A331A"/>
    <w:rsid w:val="005A5483"/>
    <w:rsid w:val="005B0468"/>
    <w:rsid w:val="005B049D"/>
    <w:rsid w:val="005B259C"/>
    <w:rsid w:val="005B332C"/>
    <w:rsid w:val="005B4BE3"/>
    <w:rsid w:val="005B4C54"/>
    <w:rsid w:val="005B68C2"/>
    <w:rsid w:val="005B6E80"/>
    <w:rsid w:val="005B6F48"/>
    <w:rsid w:val="005C0608"/>
    <w:rsid w:val="005C1ECA"/>
    <w:rsid w:val="005C2B26"/>
    <w:rsid w:val="005C2F4D"/>
    <w:rsid w:val="005C3902"/>
    <w:rsid w:val="005C3C0B"/>
    <w:rsid w:val="005C5463"/>
    <w:rsid w:val="005C73E8"/>
    <w:rsid w:val="005D21A2"/>
    <w:rsid w:val="005D2DCA"/>
    <w:rsid w:val="005D43F6"/>
    <w:rsid w:val="005D5D72"/>
    <w:rsid w:val="005E17DF"/>
    <w:rsid w:val="005E25F3"/>
    <w:rsid w:val="005E2968"/>
    <w:rsid w:val="005E2BE6"/>
    <w:rsid w:val="005E315E"/>
    <w:rsid w:val="005E3391"/>
    <w:rsid w:val="005E73A8"/>
    <w:rsid w:val="005F1DF8"/>
    <w:rsid w:val="005F3445"/>
    <w:rsid w:val="005F536C"/>
    <w:rsid w:val="005F5B9B"/>
    <w:rsid w:val="005F5E77"/>
    <w:rsid w:val="005F65C3"/>
    <w:rsid w:val="00607014"/>
    <w:rsid w:val="006077F0"/>
    <w:rsid w:val="00610E01"/>
    <w:rsid w:val="00611305"/>
    <w:rsid w:val="0061250A"/>
    <w:rsid w:val="006128E9"/>
    <w:rsid w:val="00620FB2"/>
    <w:rsid w:val="006210DB"/>
    <w:rsid w:val="00622490"/>
    <w:rsid w:val="00625270"/>
    <w:rsid w:val="00626997"/>
    <w:rsid w:val="00626B73"/>
    <w:rsid w:val="00630030"/>
    <w:rsid w:val="00630F10"/>
    <w:rsid w:val="0063391A"/>
    <w:rsid w:val="00634CD5"/>
    <w:rsid w:val="00636AF7"/>
    <w:rsid w:val="00642DF5"/>
    <w:rsid w:val="00643CA4"/>
    <w:rsid w:val="00645F6E"/>
    <w:rsid w:val="00645FC4"/>
    <w:rsid w:val="00650DD6"/>
    <w:rsid w:val="006518C7"/>
    <w:rsid w:val="0065246C"/>
    <w:rsid w:val="00652A4C"/>
    <w:rsid w:val="00652E79"/>
    <w:rsid w:val="00653D64"/>
    <w:rsid w:val="00654D0C"/>
    <w:rsid w:val="00655B84"/>
    <w:rsid w:val="00656864"/>
    <w:rsid w:val="006604A4"/>
    <w:rsid w:val="006612AD"/>
    <w:rsid w:val="00664829"/>
    <w:rsid w:val="0066696D"/>
    <w:rsid w:val="00670341"/>
    <w:rsid w:val="00672C7C"/>
    <w:rsid w:val="00673223"/>
    <w:rsid w:val="0067531B"/>
    <w:rsid w:val="00683785"/>
    <w:rsid w:val="0068443B"/>
    <w:rsid w:val="006874A6"/>
    <w:rsid w:val="00690DDC"/>
    <w:rsid w:val="00691647"/>
    <w:rsid w:val="00693380"/>
    <w:rsid w:val="00693A29"/>
    <w:rsid w:val="00695E95"/>
    <w:rsid w:val="00697807"/>
    <w:rsid w:val="00697C44"/>
    <w:rsid w:val="006A13A7"/>
    <w:rsid w:val="006A2589"/>
    <w:rsid w:val="006A2D81"/>
    <w:rsid w:val="006A380C"/>
    <w:rsid w:val="006A45E4"/>
    <w:rsid w:val="006A4DDA"/>
    <w:rsid w:val="006A7466"/>
    <w:rsid w:val="006B1624"/>
    <w:rsid w:val="006B3DE5"/>
    <w:rsid w:val="006B486D"/>
    <w:rsid w:val="006B5FA9"/>
    <w:rsid w:val="006C00AF"/>
    <w:rsid w:val="006C0324"/>
    <w:rsid w:val="006C26FC"/>
    <w:rsid w:val="006C514F"/>
    <w:rsid w:val="006C568F"/>
    <w:rsid w:val="006C5F09"/>
    <w:rsid w:val="006D3100"/>
    <w:rsid w:val="006D600C"/>
    <w:rsid w:val="006D61D0"/>
    <w:rsid w:val="006D64C1"/>
    <w:rsid w:val="006D78E9"/>
    <w:rsid w:val="006E0382"/>
    <w:rsid w:val="006F2D38"/>
    <w:rsid w:val="006F502E"/>
    <w:rsid w:val="006F6A30"/>
    <w:rsid w:val="006F6AB0"/>
    <w:rsid w:val="006F79CA"/>
    <w:rsid w:val="00701817"/>
    <w:rsid w:val="007027F0"/>
    <w:rsid w:val="00706028"/>
    <w:rsid w:val="007116E6"/>
    <w:rsid w:val="00712093"/>
    <w:rsid w:val="0071649A"/>
    <w:rsid w:val="00717AE6"/>
    <w:rsid w:val="007202BA"/>
    <w:rsid w:val="007213D7"/>
    <w:rsid w:val="007219B8"/>
    <w:rsid w:val="00724A51"/>
    <w:rsid w:val="00724C42"/>
    <w:rsid w:val="0072512A"/>
    <w:rsid w:val="00725319"/>
    <w:rsid w:val="00730BAC"/>
    <w:rsid w:val="00730D8B"/>
    <w:rsid w:val="00737E3F"/>
    <w:rsid w:val="00741914"/>
    <w:rsid w:val="00741937"/>
    <w:rsid w:val="00742FE2"/>
    <w:rsid w:val="00744B5F"/>
    <w:rsid w:val="00746DF8"/>
    <w:rsid w:val="00747187"/>
    <w:rsid w:val="00750B78"/>
    <w:rsid w:val="00752216"/>
    <w:rsid w:val="00752534"/>
    <w:rsid w:val="007562B1"/>
    <w:rsid w:val="0076433B"/>
    <w:rsid w:val="007655F8"/>
    <w:rsid w:val="00765D55"/>
    <w:rsid w:val="00766E22"/>
    <w:rsid w:val="00770646"/>
    <w:rsid w:val="0077453E"/>
    <w:rsid w:val="00777AFE"/>
    <w:rsid w:val="0078425D"/>
    <w:rsid w:val="00784BD1"/>
    <w:rsid w:val="007863FE"/>
    <w:rsid w:val="00787E1F"/>
    <w:rsid w:val="0079001B"/>
    <w:rsid w:val="0079130E"/>
    <w:rsid w:val="00793567"/>
    <w:rsid w:val="00793D82"/>
    <w:rsid w:val="00796040"/>
    <w:rsid w:val="007A167C"/>
    <w:rsid w:val="007A3A31"/>
    <w:rsid w:val="007A421C"/>
    <w:rsid w:val="007A5755"/>
    <w:rsid w:val="007A5DB0"/>
    <w:rsid w:val="007A6E26"/>
    <w:rsid w:val="007A6F33"/>
    <w:rsid w:val="007B2885"/>
    <w:rsid w:val="007B32ED"/>
    <w:rsid w:val="007B415D"/>
    <w:rsid w:val="007B4375"/>
    <w:rsid w:val="007B5D08"/>
    <w:rsid w:val="007B6C8E"/>
    <w:rsid w:val="007C3566"/>
    <w:rsid w:val="007C4901"/>
    <w:rsid w:val="007C5B5B"/>
    <w:rsid w:val="007D0B2C"/>
    <w:rsid w:val="007D11DC"/>
    <w:rsid w:val="007D12DF"/>
    <w:rsid w:val="007E51B6"/>
    <w:rsid w:val="007E61E4"/>
    <w:rsid w:val="007E6441"/>
    <w:rsid w:val="007E73F1"/>
    <w:rsid w:val="007F085F"/>
    <w:rsid w:val="007F0E3E"/>
    <w:rsid w:val="007F0EDB"/>
    <w:rsid w:val="007F2AA2"/>
    <w:rsid w:val="007F3353"/>
    <w:rsid w:val="007F3BC1"/>
    <w:rsid w:val="007F4DA0"/>
    <w:rsid w:val="007F5C41"/>
    <w:rsid w:val="007F70F7"/>
    <w:rsid w:val="007F7610"/>
    <w:rsid w:val="008020FE"/>
    <w:rsid w:val="008022C0"/>
    <w:rsid w:val="00803E3B"/>
    <w:rsid w:val="00804F21"/>
    <w:rsid w:val="00806E14"/>
    <w:rsid w:val="00807E19"/>
    <w:rsid w:val="00811A34"/>
    <w:rsid w:val="008127EF"/>
    <w:rsid w:val="008151DF"/>
    <w:rsid w:val="008157B2"/>
    <w:rsid w:val="00815A70"/>
    <w:rsid w:val="00823324"/>
    <w:rsid w:val="00823E02"/>
    <w:rsid w:val="00824518"/>
    <w:rsid w:val="00824D4C"/>
    <w:rsid w:val="00830B6B"/>
    <w:rsid w:val="0083198D"/>
    <w:rsid w:val="00832610"/>
    <w:rsid w:val="00832751"/>
    <w:rsid w:val="00833317"/>
    <w:rsid w:val="00834079"/>
    <w:rsid w:val="008363F9"/>
    <w:rsid w:val="00837EBE"/>
    <w:rsid w:val="00843DEA"/>
    <w:rsid w:val="0084406A"/>
    <w:rsid w:val="008449CB"/>
    <w:rsid w:val="008449F1"/>
    <w:rsid w:val="008453CF"/>
    <w:rsid w:val="00845C3E"/>
    <w:rsid w:val="00846A64"/>
    <w:rsid w:val="0085183E"/>
    <w:rsid w:val="00851FB3"/>
    <w:rsid w:val="008555DC"/>
    <w:rsid w:val="00856F3F"/>
    <w:rsid w:val="00860DC4"/>
    <w:rsid w:val="008612C2"/>
    <w:rsid w:val="00862A43"/>
    <w:rsid w:val="008660EF"/>
    <w:rsid w:val="00867784"/>
    <w:rsid w:val="0087166B"/>
    <w:rsid w:val="0087248B"/>
    <w:rsid w:val="00874665"/>
    <w:rsid w:val="008776CB"/>
    <w:rsid w:val="00881718"/>
    <w:rsid w:val="00882AF9"/>
    <w:rsid w:val="00882BB8"/>
    <w:rsid w:val="00882BE7"/>
    <w:rsid w:val="00882BF5"/>
    <w:rsid w:val="00884647"/>
    <w:rsid w:val="00886617"/>
    <w:rsid w:val="00887014"/>
    <w:rsid w:val="00887F13"/>
    <w:rsid w:val="00890FFC"/>
    <w:rsid w:val="0089288A"/>
    <w:rsid w:val="00896429"/>
    <w:rsid w:val="008A2D84"/>
    <w:rsid w:val="008A4459"/>
    <w:rsid w:val="008A44CD"/>
    <w:rsid w:val="008A666B"/>
    <w:rsid w:val="008A718A"/>
    <w:rsid w:val="008B0E5A"/>
    <w:rsid w:val="008B2AD2"/>
    <w:rsid w:val="008B4F20"/>
    <w:rsid w:val="008B7488"/>
    <w:rsid w:val="008B7648"/>
    <w:rsid w:val="008C198F"/>
    <w:rsid w:val="008C3CE7"/>
    <w:rsid w:val="008C44F7"/>
    <w:rsid w:val="008C4E97"/>
    <w:rsid w:val="008C6035"/>
    <w:rsid w:val="008C639D"/>
    <w:rsid w:val="008D48C1"/>
    <w:rsid w:val="008D4AC9"/>
    <w:rsid w:val="008D5864"/>
    <w:rsid w:val="008E1155"/>
    <w:rsid w:val="008E19DF"/>
    <w:rsid w:val="008E2066"/>
    <w:rsid w:val="008E220D"/>
    <w:rsid w:val="008F1B35"/>
    <w:rsid w:val="008F44DC"/>
    <w:rsid w:val="008F594D"/>
    <w:rsid w:val="00902F15"/>
    <w:rsid w:val="00904140"/>
    <w:rsid w:val="00905146"/>
    <w:rsid w:val="00905FCD"/>
    <w:rsid w:val="00906A11"/>
    <w:rsid w:val="009110BE"/>
    <w:rsid w:val="009117FD"/>
    <w:rsid w:val="009133CA"/>
    <w:rsid w:val="009137D3"/>
    <w:rsid w:val="00914488"/>
    <w:rsid w:val="00914CAF"/>
    <w:rsid w:val="00917611"/>
    <w:rsid w:val="00920D2B"/>
    <w:rsid w:val="00922DB9"/>
    <w:rsid w:val="00922F55"/>
    <w:rsid w:val="00927D98"/>
    <w:rsid w:val="009302D6"/>
    <w:rsid w:val="009305D4"/>
    <w:rsid w:val="0093349C"/>
    <w:rsid w:val="00936012"/>
    <w:rsid w:val="00941156"/>
    <w:rsid w:val="00942B2D"/>
    <w:rsid w:val="00943471"/>
    <w:rsid w:val="009447BE"/>
    <w:rsid w:val="009456D5"/>
    <w:rsid w:val="00947D8A"/>
    <w:rsid w:val="0095359B"/>
    <w:rsid w:val="00955B40"/>
    <w:rsid w:val="009643C3"/>
    <w:rsid w:val="009645BD"/>
    <w:rsid w:val="009646C7"/>
    <w:rsid w:val="00965944"/>
    <w:rsid w:val="0096629D"/>
    <w:rsid w:val="00967F24"/>
    <w:rsid w:val="00970F18"/>
    <w:rsid w:val="0097516E"/>
    <w:rsid w:val="00975E82"/>
    <w:rsid w:val="00975E93"/>
    <w:rsid w:val="00977203"/>
    <w:rsid w:val="00977E4D"/>
    <w:rsid w:val="00983237"/>
    <w:rsid w:val="009846A1"/>
    <w:rsid w:val="00986BBB"/>
    <w:rsid w:val="0098753C"/>
    <w:rsid w:val="00991F5D"/>
    <w:rsid w:val="00996C5E"/>
    <w:rsid w:val="009A2169"/>
    <w:rsid w:val="009A2BC6"/>
    <w:rsid w:val="009A3F34"/>
    <w:rsid w:val="009A42CF"/>
    <w:rsid w:val="009B1403"/>
    <w:rsid w:val="009B2029"/>
    <w:rsid w:val="009B6071"/>
    <w:rsid w:val="009B7855"/>
    <w:rsid w:val="009C3590"/>
    <w:rsid w:val="009C37EA"/>
    <w:rsid w:val="009C4481"/>
    <w:rsid w:val="009C5410"/>
    <w:rsid w:val="009C58F9"/>
    <w:rsid w:val="009C6076"/>
    <w:rsid w:val="009D2658"/>
    <w:rsid w:val="009D65B3"/>
    <w:rsid w:val="009D6950"/>
    <w:rsid w:val="009D69E3"/>
    <w:rsid w:val="009E00AE"/>
    <w:rsid w:val="009E047A"/>
    <w:rsid w:val="009E04C9"/>
    <w:rsid w:val="009E0576"/>
    <w:rsid w:val="009E0867"/>
    <w:rsid w:val="009E0CAD"/>
    <w:rsid w:val="009E10CB"/>
    <w:rsid w:val="009E1877"/>
    <w:rsid w:val="009E1C65"/>
    <w:rsid w:val="009E1F36"/>
    <w:rsid w:val="009E2D75"/>
    <w:rsid w:val="009E355A"/>
    <w:rsid w:val="009E3E80"/>
    <w:rsid w:val="009E5381"/>
    <w:rsid w:val="009F116E"/>
    <w:rsid w:val="009F28B9"/>
    <w:rsid w:val="009F33FF"/>
    <w:rsid w:val="009F3BE0"/>
    <w:rsid w:val="009F51C6"/>
    <w:rsid w:val="009F55BD"/>
    <w:rsid w:val="009F6D29"/>
    <w:rsid w:val="009F6DC4"/>
    <w:rsid w:val="00A00E8D"/>
    <w:rsid w:val="00A0143C"/>
    <w:rsid w:val="00A02957"/>
    <w:rsid w:val="00A108E4"/>
    <w:rsid w:val="00A1092A"/>
    <w:rsid w:val="00A12371"/>
    <w:rsid w:val="00A12969"/>
    <w:rsid w:val="00A24B7E"/>
    <w:rsid w:val="00A2550D"/>
    <w:rsid w:val="00A256A3"/>
    <w:rsid w:val="00A26706"/>
    <w:rsid w:val="00A26EB0"/>
    <w:rsid w:val="00A303B0"/>
    <w:rsid w:val="00A36640"/>
    <w:rsid w:val="00A402EC"/>
    <w:rsid w:val="00A450E4"/>
    <w:rsid w:val="00A46C55"/>
    <w:rsid w:val="00A478F7"/>
    <w:rsid w:val="00A500CE"/>
    <w:rsid w:val="00A50785"/>
    <w:rsid w:val="00A50C9F"/>
    <w:rsid w:val="00A5157E"/>
    <w:rsid w:val="00A55BCB"/>
    <w:rsid w:val="00A6136C"/>
    <w:rsid w:val="00A652CE"/>
    <w:rsid w:val="00A65345"/>
    <w:rsid w:val="00A65FED"/>
    <w:rsid w:val="00A670FB"/>
    <w:rsid w:val="00A67653"/>
    <w:rsid w:val="00A723AB"/>
    <w:rsid w:val="00A72DD8"/>
    <w:rsid w:val="00A746CE"/>
    <w:rsid w:val="00A76D83"/>
    <w:rsid w:val="00A77188"/>
    <w:rsid w:val="00A806BC"/>
    <w:rsid w:val="00A806E9"/>
    <w:rsid w:val="00A80BF3"/>
    <w:rsid w:val="00A84BB5"/>
    <w:rsid w:val="00A86269"/>
    <w:rsid w:val="00A86DA9"/>
    <w:rsid w:val="00A86EDE"/>
    <w:rsid w:val="00A90462"/>
    <w:rsid w:val="00A91FD3"/>
    <w:rsid w:val="00A94B4E"/>
    <w:rsid w:val="00A95BE7"/>
    <w:rsid w:val="00A95E7D"/>
    <w:rsid w:val="00A9743A"/>
    <w:rsid w:val="00AA2E4C"/>
    <w:rsid w:val="00AB2730"/>
    <w:rsid w:val="00AB3BC3"/>
    <w:rsid w:val="00AB40AF"/>
    <w:rsid w:val="00AB42E4"/>
    <w:rsid w:val="00AB4A27"/>
    <w:rsid w:val="00AB768F"/>
    <w:rsid w:val="00AB79FC"/>
    <w:rsid w:val="00AC23E4"/>
    <w:rsid w:val="00AC3687"/>
    <w:rsid w:val="00AC40C9"/>
    <w:rsid w:val="00AC5962"/>
    <w:rsid w:val="00AC6C38"/>
    <w:rsid w:val="00AC7340"/>
    <w:rsid w:val="00AC7857"/>
    <w:rsid w:val="00AC7B61"/>
    <w:rsid w:val="00AC7D97"/>
    <w:rsid w:val="00AC7DF8"/>
    <w:rsid w:val="00AD0C11"/>
    <w:rsid w:val="00AD17B9"/>
    <w:rsid w:val="00AD2807"/>
    <w:rsid w:val="00AD38C9"/>
    <w:rsid w:val="00AD3B6B"/>
    <w:rsid w:val="00AD3ED8"/>
    <w:rsid w:val="00AE1A90"/>
    <w:rsid w:val="00AE2881"/>
    <w:rsid w:val="00AE2B65"/>
    <w:rsid w:val="00AE4451"/>
    <w:rsid w:val="00AE5156"/>
    <w:rsid w:val="00AE7AC5"/>
    <w:rsid w:val="00AF03F4"/>
    <w:rsid w:val="00AF0828"/>
    <w:rsid w:val="00AF1B9A"/>
    <w:rsid w:val="00AF2989"/>
    <w:rsid w:val="00AF3583"/>
    <w:rsid w:val="00AF4553"/>
    <w:rsid w:val="00AF6F27"/>
    <w:rsid w:val="00B0342A"/>
    <w:rsid w:val="00B04293"/>
    <w:rsid w:val="00B04B91"/>
    <w:rsid w:val="00B0720E"/>
    <w:rsid w:val="00B07534"/>
    <w:rsid w:val="00B104BA"/>
    <w:rsid w:val="00B138B0"/>
    <w:rsid w:val="00B144A7"/>
    <w:rsid w:val="00B1456E"/>
    <w:rsid w:val="00B17966"/>
    <w:rsid w:val="00B207B2"/>
    <w:rsid w:val="00B21F12"/>
    <w:rsid w:val="00B23924"/>
    <w:rsid w:val="00B24576"/>
    <w:rsid w:val="00B265C3"/>
    <w:rsid w:val="00B27291"/>
    <w:rsid w:val="00B3014C"/>
    <w:rsid w:val="00B31116"/>
    <w:rsid w:val="00B318FA"/>
    <w:rsid w:val="00B31B3A"/>
    <w:rsid w:val="00B34487"/>
    <w:rsid w:val="00B35EF8"/>
    <w:rsid w:val="00B363F8"/>
    <w:rsid w:val="00B366DE"/>
    <w:rsid w:val="00B3754C"/>
    <w:rsid w:val="00B400AB"/>
    <w:rsid w:val="00B40264"/>
    <w:rsid w:val="00B4060F"/>
    <w:rsid w:val="00B40D8E"/>
    <w:rsid w:val="00B41335"/>
    <w:rsid w:val="00B45A7D"/>
    <w:rsid w:val="00B47EE4"/>
    <w:rsid w:val="00B50299"/>
    <w:rsid w:val="00B51ADC"/>
    <w:rsid w:val="00B547EA"/>
    <w:rsid w:val="00B54B03"/>
    <w:rsid w:val="00B55BAA"/>
    <w:rsid w:val="00B56CD6"/>
    <w:rsid w:val="00B60927"/>
    <w:rsid w:val="00B61FC9"/>
    <w:rsid w:val="00B6364C"/>
    <w:rsid w:val="00B63FE7"/>
    <w:rsid w:val="00B65BB2"/>
    <w:rsid w:val="00B67208"/>
    <w:rsid w:val="00B71E48"/>
    <w:rsid w:val="00B7255B"/>
    <w:rsid w:val="00B72C2A"/>
    <w:rsid w:val="00B74E78"/>
    <w:rsid w:val="00B76675"/>
    <w:rsid w:val="00B846E0"/>
    <w:rsid w:val="00B87CC3"/>
    <w:rsid w:val="00B87DDD"/>
    <w:rsid w:val="00B905C9"/>
    <w:rsid w:val="00B911F8"/>
    <w:rsid w:val="00B92650"/>
    <w:rsid w:val="00B96DB4"/>
    <w:rsid w:val="00BA1EAE"/>
    <w:rsid w:val="00BA5F37"/>
    <w:rsid w:val="00BA610F"/>
    <w:rsid w:val="00BB0ED4"/>
    <w:rsid w:val="00BB3C29"/>
    <w:rsid w:val="00BB53AA"/>
    <w:rsid w:val="00BB563C"/>
    <w:rsid w:val="00BB582A"/>
    <w:rsid w:val="00BB653B"/>
    <w:rsid w:val="00BB68BB"/>
    <w:rsid w:val="00BB6F30"/>
    <w:rsid w:val="00BB723D"/>
    <w:rsid w:val="00BC043E"/>
    <w:rsid w:val="00BC3621"/>
    <w:rsid w:val="00BC6DB3"/>
    <w:rsid w:val="00BD3B44"/>
    <w:rsid w:val="00BD3CAC"/>
    <w:rsid w:val="00BD570F"/>
    <w:rsid w:val="00BD60C1"/>
    <w:rsid w:val="00BD75AF"/>
    <w:rsid w:val="00BE2E2A"/>
    <w:rsid w:val="00BE3F8C"/>
    <w:rsid w:val="00BE47D4"/>
    <w:rsid w:val="00BE5ECF"/>
    <w:rsid w:val="00BE734C"/>
    <w:rsid w:val="00C0025D"/>
    <w:rsid w:val="00C01BED"/>
    <w:rsid w:val="00C02D31"/>
    <w:rsid w:val="00C031C3"/>
    <w:rsid w:val="00C0387B"/>
    <w:rsid w:val="00C03F67"/>
    <w:rsid w:val="00C06935"/>
    <w:rsid w:val="00C10CA0"/>
    <w:rsid w:val="00C16385"/>
    <w:rsid w:val="00C1694B"/>
    <w:rsid w:val="00C21745"/>
    <w:rsid w:val="00C21BDF"/>
    <w:rsid w:val="00C22A9A"/>
    <w:rsid w:val="00C241C5"/>
    <w:rsid w:val="00C24617"/>
    <w:rsid w:val="00C27E76"/>
    <w:rsid w:val="00C326FD"/>
    <w:rsid w:val="00C41A6E"/>
    <w:rsid w:val="00C44C0E"/>
    <w:rsid w:val="00C45241"/>
    <w:rsid w:val="00C455EB"/>
    <w:rsid w:val="00C471DA"/>
    <w:rsid w:val="00C50BAD"/>
    <w:rsid w:val="00C50CAE"/>
    <w:rsid w:val="00C5434A"/>
    <w:rsid w:val="00C5449F"/>
    <w:rsid w:val="00C55482"/>
    <w:rsid w:val="00C57475"/>
    <w:rsid w:val="00C61A3A"/>
    <w:rsid w:val="00C62524"/>
    <w:rsid w:val="00C631C0"/>
    <w:rsid w:val="00C64A17"/>
    <w:rsid w:val="00C669DC"/>
    <w:rsid w:val="00C66BC0"/>
    <w:rsid w:val="00C6785F"/>
    <w:rsid w:val="00C67872"/>
    <w:rsid w:val="00C7041F"/>
    <w:rsid w:val="00C71F67"/>
    <w:rsid w:val="00C72931"/>
    <w:rsid w:val="00C72E02"/>
    <w:rsid w:val="00C74447"/>
    <w:rsid w:val="00C74795"/>
    <w:rsid w:val="00C756F4"/>
    <w:rsid w:val="00C76B6C"/>
    <w:rsid w:val="00C81B17"/>
    <w:rsid w:val="00C82A56"/>
    <w:rsid w:val="00C82B69"/>
    <w:rsid w:val="00C83328"/>
    <w:rsid w:val="00C83543"/>
    <w:rsid w:val="00C83A84"/>
    <w:rsid w:val="00C83ED8"/>
    <w:rsid w:val="00C84A6E"/>
    <w:rsid w:val="00C84D0A"/>
    <w:rsid w:val="00C8650E"/>
    <w:rsid w:val="00C8749A"/>
    <w:rsid w:val="00C87BDD"/>
    <w:rsid w:val="00C924E6"/>
    <w:rsid w:val="00C95653"/>
    <w:rsid w:val="00C959C0"/>
    <w:rsid w:val="00C95A67"/>
    <w:rsid w:val="00C95EC2"/>
    <w:rsid w:val="00C95FAF"/>
    <w:rsid w:val="00C972CA"/>
    <w:rsid w:val="00C97C63"/>
    <w:rsid w:val="00CA3788"/>
    <w:rsid w:val="00CA51E4"/>
    <w:rsid w:val="00CA7400"/>
    <w:rsid w:val="00CB0284"/>
    <w:rsid w:val="00CB1F30"/>
    <w:rsid w:val="00CB278E"/>
    <w:rsid w:val="00CB2906"/>
    <w:rsid w:val="00CB2AA4"/>
    <w:rsid w:val="00CB3FEA"/>
    <w:rsid w:val="00CB5266"/>
    <w:rsid w:val="00CB735A"/>
    <w:rsid w:val="00CC0277"/>
    <w:rsid w:val="00CC1A7A"/>
    <w:rsid w:val="00CC2C64"/>
    <w:rsid w:val="00CC4408"/>
    <w:rsid w:val="00CC6F24"/>
    <w:rsid w:val="00CD07D3"/>
    <w:rsid w:val="00CD0A00"/>
    <w:rsid w:val="00CD106F"/>
    <w:rsid w:val="00CD3A2A"/>
    <w:rsid w:val="00CD3BAD"/>
    <w:rsid w:val="00CE1A58"/>
    <w:rsid w:val="00CE1C00"/>
    <w:rsid w:val="00CE2983"/>
    <w:rsid w:val="00CE3B94"/>
    <w:rsid w:val="00CE3D1A"/>
    <w:rsid w:val="00CF40CD"/>
    <w:rsid w:val="00CF5CAC"/>
    <w:rsid w:val="00CF617A"/>
    <w:rsid w:val="00CF75BD"/>
    <w:rsid w:val="00D00D1C"/>
    <w:rsid w:val="00D05111"/>
    <w:rsid w:val="00D05AF8"/>
    <w:rsid w:val="00D06EF6"/>
    <w:rsid w:val="00D1043A"/>
    <w:rsid w:val="00D12FD8"/>
    <w:rsid w:val="00D13082"/>
    <w:rsid w:val="00D17CD7"/>
    <w:rsid w:val="00D2240B"/>
    <w:rsid w:val="00D243BD"/>
    <w:rsid w:val="00D2549A"/>
    <w:rsid w:val="00D263C1"/>
    <w:rsid w:val="00D267AD"/>
    <w:rsid w:val="00D3169F"/>
    <w:rsid w:val="00D34981"/>
    <w:rsid w:val="00D35A6B"/>
    <w:rsid w:val="00D373FC"/>
    <w:rsid w:val="00D41FEB"/>
    <w:rsid w:val="00D426FE"/>
    <w:rsid w:val="00D427B5"/>
    <w:rsid w:val="00D43B43"/>
    <w:rsid w:val="00D45442"/>
    <w:rsid w:val="00D51ACB"/>
    <w:rsid w:val="00D52915"/>
    <w:rsid w:val="00D52DD5"/>
    <w:rsid w:val="00D56340"/>
    <w:rsid w:val="00D603C0"/>
    <w:rsid w:val="00D6091C"/>
    <w:rsid w:val="00D6379F"/>
    <w:rsid w:val="00D64111"/>
    <w:rsid w:val="00D641B7"/>
    <w:rsid w:val="00D64644"/>
    <w:rsid w:val="00D646A9"/>
    <w:rsid w:val="00D6494B"/>
    <w:rsid w:val="00D64A6D"/>
    <w:rsid w:val="00D661B9"/>
    <w:rsid w:val="00D740A5"/>
    <w:rsid w:val="00D763AC"/>
    <w:rsid w:val="00D809EC"/>
    <w:rsid w:val="00D8286C"/>
    <w:rsid w:val="00D82DB8"/>
    <w:rsid w:val="00D82F40"/>
    <w:rsid w:val="00D83709"/>
    <w:rsid w:val="00D87915"/>
    <w:rsid w:val="00D90D24"/>
    <w:rsid w:val="00D920B3"/>
    <w:rsid w:val="00D94232"/>
    <w:rsid w:val="00D942C4"/>
    <w:rsid w:val="00D9578B"/>
    <w:rsid w:val="00D9608C"/>
    <w:rsid w:val="00DA60DD"/>
    <w:rsid w:val="00DA62F8"/>
    <w:rsid w:val="00DA677F"/>
    <w:rsid w:val="00DB159A"/>
    <w:rsid w:val="00DB165C"/>
    <w:rsid w:val="00DB19B0"/>
    <w:rsid w:val="00DB2E69"/>
    <w:rsid w:val="00DB347D"/>
    <w:rsid w:val="00DB4429"/>
    <w:rsid w:val="00DB5A5E"/>
    <w:rsid w:val="00DC2C8B"/>
    <w:rsid w:val="00DC58E0"/>
    <w:rsid w:val="00DC64E8"/>
    <w:rsid w:val="00DC6BB4"/>
    <w:rsid w:val="00DC6DD1"/>
    <w:rsid w:val="00DD02C3"/>
    <w:rsid w:val="00DD761A"/>
    <w:rsid w:val="00DE090C"/>
    <w:rsid w:val="00DE1B4D"/>
    <w:rsid w:val="00DE415B"/>
    <w:rsid w:val="00DE562E"/>
    <w:rsid w:val="00DE5A90"/>
    <w:rsid w:val="00DE64E5"/>
    <w:rsid w:val="00DF071E"/>
    <w:rsid w:val="00DF55DF"/>
    <w:rsid w:val="00E02EE5"/>
    <w:rsid w:val="00E03D7B"/>
    <w:rsid w:val="00E05523"/>
    <w:rsid w:val="00E05E3F"/>
    <w:rsid w:val="00E06FEF"/>
    <w:rsid w:val="00E115C4"/>
    <w:rsid w:val="00E134A2"/>
    <w:rsid w:val="00E13AD1"/>
    <w:rsid w:val="00E144E7"/>
    <w:rsid w:val="00E14625"/>
    <w:rsid w:val="00E17580"/>
    <w:rsid w:val="00E21C57"/>
    <w:rsid w:val="00E22AC0"/>
    <w:rsid w:val="00E22BEE"/>
    <w:rsid w:val="00E24E59"/>
    <w:rsid w:val="00E27750"/>
    <w:rsid w:val="00E31245"/>
    <w:rsid w:val="00E353E2"/>
    <w:rsid w:val="00E44253"/>
    <w:rsid w:val="00E44EC1"/>
    <w:rsid w:val="00E45610"/>
    <w:rsid w:val="00E45B9D"/>
    <w:rsid w:val="00E5038E"/>
    <w:rsid w:val="00E510AA"/>
    <w:rsid w:val="00E514A8"/>
    <w:rsid w:val="00E605BF"/>
    <w:rsid w:val="00E615DD"/>
    <w:rsid w:val="00E70BFD"/>
    <w:rsid w:val="00E713CC"/>
    <w:rsid w:val="00E73813"/>
    <w:rsid w:val="00E75740"/>
    <w:rsid w:val="00E75C47"/>
    <w:rsid w:val="00E768A7"/>
    <w:rsid w:val="00E76971"/>
    <w:rsid w:val="00E80040"/>
    <w:rsid w:val="00E80054"/>
    <w:rsid w:val="00E826E0"/>
    <w:rsid w:val="00E82A4B"/>
    <w:rsid w:val="00E833B3"/>
    <w:rsid w:val="00E945E1"/>
    <w:rsid w:val="00E95AC3"/>
    <w:rsid w:val="00EA32EC"/>
    <w:rsid w:val="00EA378F"/>
    <w:rsid w:val="00EA5AAF"/>
    <w:rsid w:val="00EA6628"/>
    <w:rsid w:val="00EA72A8"/>
    <w:rsid w:val="00EA79B8"/>
    <w:rsid w:val="00EB0D04"/>
    <w:rsid w:val="00EB2D15"/>
    <w:rsid w:val="00EB2FFF"/>
    <w:rsid w:val="00EB380F"/>
    <w:rsid w:val="00EC171D"/>
    <w:rsid w:val="00EC1B1F"/>
    <w:rsid w:val="00EC4119"/>
    <w:rsid w:val="00EC46D3"/>
    <w:rsid w:val="00EC5D44"/>
    <w:rsid w:val="00EC639A"/>
    <w:rsid w:val="00EC65CE"/>
    <w:rsid w:val="00ED30AC"/>
    <w:rsid w:val="00ED37D9"/>
    <w:rsid w:val="00ED37E1"/>
    <w:rsid w:val="00ED6BC3"/>
    <w:rsid w:val="00ED7485"/>
    <w:rsid w:val="00EE548F"/>
    <w:rsid w:val="00EE59BF"/>
    <w:rsid w:val="00EE680E"/>
    <w:rsid w:val="00EE7634"/>
    <w:rsid w:val="00EF0D56"/>
    <w:rsid w:val="00EF7665"/>
    <w:rsid w:val="00F00007"/>
    <w:rsid w:val="00F046F2"/>
    <w:rsid w:val="00F04AA4"/>
    <w:rsid w:val="00F0791B"/>
    <w:rsid w:val="00F07AC2"/>
    <w:rsid w:val="00F11101"/>
    <w:rsid w:val="00F13C3B"/>
    <w:rsid w:val="00F14DF9"/>
    <w:rsid w:val="00F15B5B"/>
    <w:rsid w:val="00F16C99"/>
    <w:rsid w:val="00F217E7"/>
    <w:rsid w:val="00F231CF"/>
    <w:rsid w:val="00F24C74"/>
    <w:rsid w:val="00F24D8D"/>
    <w:rsid w:val="00F2605E"/>
    <w:rsid w:val="00F31750"/>
    <w:rsid w:val="00F361E9"/>
    <w:rsid w:val="00F361F4"/>
    <w:rsid w:val="00F40207"/>
    <w:rsid w:val="00F4032E"/>
    <w:rsid w:val="00F40E0D"/>
    <w:rsid w:val="00F44478"/>
    <w:rsid w:val="00F450EF"/>
    <w:rsid w:val="00F50A92"/>
    <w:rsid w:val="00F50D31"/>
    <w:rsid w:val="00F52F24"/>
    <w:rsid w:val="00F54BBB"/>
    <w:rsid w:val="00F55CE4"/>
    <w:rsid w:val="00F55EB6"/>
    <w:rsid w:val="00F626A2"/>
    <w:rsid w:val="00F64797"/>
    <w:rsid w:val="00F66352"/>
    <w:rsid w:val="00F73D45"/>
    <w:rsid w:val="00F75932"/>
    <w:rsid w:val="00F76687"/>
    <w:rsid w:val="00F769D8"/>
    <w:rsid w:val="00F76C3A"/>
    <w:rsid w:val="00F80329"/>
    <w:rsid w:val="00F81725"/>
    <w:rsid w:val="00F85FB3"/>
    <w:rsid w:val="00F8755C"/>
    <w:rsid w:val="00F90324"/>
    <w:rsid w:val="00F954E9"/>
    <w:rsid w:val="00F95CF7"/>
    <w:rsid w:val="00F961F5"/>
    <w:rsid w:val="00F9724D"/>
    <w:rsid w:val="00FA015A"/>
    <w:rsid w:val="00FA3CB6"/>
    <w:rsid w:val="00FA43DD"/>
    <w:rsid w:val="00FA4DCB"/>
    <w:rsid w:val="00FA50D1"/>
    <w:rsid w:val="00FA5D56"/>
    <w:rsid w:val="00FB1361"/>
    <w:rsid w:val="00FB2AE9"/>
    <w:rsid w:val="00FB4A95"/>
    <w:rsid w:val="00FB7114"/>
    <w:rsid w:val="00FB7687"/>
    <w:rsid w:val="00FB7B62"/>
    <w:rsid w:val="00FB7B87"/>
    <w:rsid w:val="00FB7C6D"/>
    <w:rsid w:val="00FC01A3"/>
    <w:rsid w:val="00FC0854"/>
    <w:rsid w:val="00FC0C70"/>
    <w:rsid w:val="00FC0FDB"/>
    <w:rsid w:val="00FC143C"/>
    <w:rsid w:val="00FC41BC"/>
    <w:rsid w:val="00FC4EDA"/>
    <w:rsid w:val="00FC5816"/>
    <w:rsid w:val="00FC5A99"/>
    <w:rsid w:val="00FC7478"/>
    <w:rsid w:val="00FD0264"/>
    <w:rsid w:val="00FD16D4"/>
    <w:rsid w:val="00FD1B01"/>
    <w:rsid w:val="00FD286C"/>
    <w:rsid w:val="00FD4749"/>
    <w:rsid w:val="00FD59D5"/>
    <w:rsid w:val="00FD6A2B"/>
    <w:rsid w:val="00FD6D1F"/>
    <w:rsid w:val="00FD7F58"/>
    <w:rsid w:val="00FE015A"/>
    <w:rsid w:val="00FE07C9"/>
    <w:rsid w:val="00FE196F"/>
    <w:rsid w:val="00FE1D07"/>
    <w:rsid w:val="00FE249E"/>
    <w:rsid w:val="00FE2788"/>
    <w:rsid w:val="00FE48EF"/>
    <w:rsid w:val="00FF0738"/>
    <w:rsid w:val="00FF46AB"/>
    <w:rsid w:val="00FF5BA4"/>
    <w:rsid w:val="00FF61D6"/>
    <w:rsid w:val="00FF6DBB"/>
    <w:rsid w:val="00FF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CD24"/>
  <w15:chartTrackingRefBased/>
  <w15:docId w15:val="{0FD58859-FAB2-44D5-9212-ACB464E0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21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BF5"/>
    <w:pPr>
      <w:ind w:left="720"/>
      <w:contextualSpacing/>
    </w:pPr>
  </w:style>
  <w:style w:type="paragraph" w:styleId="HTMLPreformatted">
    <w:name w:val="HTML Preformatted"/>
    <w:basedOn w:val="Normal"/>
    <w:link w:val="HTMLPreformattedChar"/>
    <w:uiPriority w:val="99"/>
    <w:unhideWhenUsed/>
    <w:rsid w:val="00F2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217E7"/>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08224E"/>
    <w:rPr>
      <w:color w:val="0563C1" w:themeColor="hyperlink"/>
      <w:u w:val="single"/>
    </w:rPr>
  </w:style>
  <w:style w:type="paragraph" w:styleId="PlainText">
    <w:name w:val="Plain Text"/>
    <w:basedOn w:val="Normal"/>
    <w:link w:val="PlainTextChar"/>
    <w:uiPriority w:val="99"/>
    <w:unhideWhenUsed/>
    <w:rsid w:val="00986BBB"/>
    <w:pPr>
      <w:spacing w:after="0" w:line="240" w:lineRule="auto"/>
    </w:pPr>
    <w:rPr>
      <w:rFonts w:ascii="Calibri" w:hAnsi="Calibri"/>
    </w:rPr>
  </w:style>
  <w:style w:type="character" w:customStyle="1" w:styleId="PlainTextChar">
    <w:name w:val="Plain Text Char"/>
    <w:basedOn w:val="DefaultParagraphFont"/>
    <w:link w:val="PlainText"/>
    <w:uiPriority w:val="99"/>
    <w:rsid w:val="00986BBB"/>
    <w:rPr>
      <w:rFonts w:ascii="Calibri" w:hAnsi="Calibri"/>
    </w:rPr>
  </w:style>
  <w:style w:type="character" w:styleId="FollowedHyperlink">
    <w:name w:val="FollowedHyperlink"/>
    <w:basedOn w:val="DefaultParagraphFont"/>
    <w:uiPriority w:val="99"/>
    <w:semiHidden/>
    <w:unhideWhenUsed/>
    <w:rsid w:val="00452545"/>
    <w:rPr>
      <w:color w:val="954F72" w:themeColor="followedHyperlink"/>
      <w:u w:val="single"/>
    </w:rPr>
  </w:style>
  <w:style w:type="paragraph" w:styleId="FootnoteText">
    <w:name w:val="footnote text"/>
    <w:basedOn w:val="Normal"/>
    <w:link w:val="FootnoteTextChar"/>
    <w:uiPriority w:val="99"/>
    <w:semiHidden/>
    <w:unhideWhenUsed/>
    <w:rsid w:val="006648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829"/>
    <w:rPr>
      <w:sz w:val="20"/>
      <w:szCs w:val="20"/>
    </w:rPr>
  </w:style>
  <w:style w:type="character" w:styleId="FootnoteReference">
    <w:name w:val="footnote reference"/>
    <w:aliases w:val="ftref"/>
    <w:basedOn w:val="DefaultParagraphFont"/>
    <w:unhideWhenUsed/>
    <w:rsid w:val="00664829"/>
    <w:rPr>
      <w:vertAlign w:val="superscript"/>
    </w:rPr>
  </w:style>
  <w:style w:type="character" w:customStyle="1" w:styleId="apple-converted-space">
    <w:name w:val="apple-converted-space"/>
    <w:basedOn w:val="DefaultParagraphFont"/>
    <w:rsid w:val="00664829"/>
  </w:style>
  <w:style w:type="character" w:styleId="Emphasis">
    <w:name w:val="Emphasis"/>
    <w:basedOn w:val="DefaultParagraphFont"/>
    <w:uiPriority w:val="20"/>
    <w:qFormat/>
    <w:rsid w:val="006C514F"/>
    <w:rPr>
      <w:i/>
      <w:iCs/>
    </w:rPr>
  </w:style>
  <w:style w:type="paragraph" w:styleId="NormalWeb">
    <w:name w:val="Normal (Web)"/>
    <w:basedOn w:val="Normal"/>
    <w:uiPriority w:val="99"/>
    <w:unhideWhenUsed/>
    <w:rsid w:val="00B318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7B87"/>
    <w:rPr>
      <w:sz w:val="16"/>
      <w:szCs w:val="16"/>
    </w:rPr>
  </w:style>
  <w:style w:type="paragraph" w:styleId="CommentText">
    <w:name w:val="annotation text"/>
    <w:basedOn w:val="Normal"/>
    <w:link w:val="CommentTextChar"/>
    <w:uiPriority w:val="99"/>
    <w:semiHidden/>
    <w:unhideWhenUsed/>
    <w:rsid w:val="00FB7B87"/>
    <w:pPr>
      <w:spacing w:line="240" w:lineRule="auto"/>
    </w:pPr>
    <w:rPr>
      <w:sz w:val="20"/>
      <w:szCs w:val="20"/>
    </w:rPr>
  </w:style>
  <w:style w:type="character" w:customStyle="1" w:styleId="CommentTextChar">
    <w:name w:val="Comment Text Char"/>
    <w:basedOn w:val="DefaultParagraphFont"/>
    <w:link w:val="CommentText"/>
    <w:uiPriority w:val="99"/>
    <w:semiHidden/>
    <w:rsid w:val="00FB7B87"/>
    <w:rPr>
      <w:sz w:val="20"/>
      <w:szCs w:val="20"/>
    </w:rPr>
  </w:style>
  <w:style w:type="paragraph" w:styleId="CommentSubject">
    <w:name w:val="annotation subject"/>
    <w:basedOn w:val="CommentText"/>
    <w:next w:val="CommentText"/>
    <w:link w:val="CommentSubjectChar"/>
    <w:uiPriority w:val="99"/>
    <w:semiHidden/>
    <w:unhideWhenUsed/>
    <w:rsid w:val="00FB7B87"/>
    <w:rPr>
      <w:b/>
      <w:bCs/>
    </w:rPr>
  </w:style>
  <w:style w:type="character" w:customStyle="1" w:styleId="CommentSubjectChar">
    <w:name w:val="Comment Subject Char"/>
    <w:basedOn w:val="CommentTextChar"/>
    <w:link w:val="CommentSubject"/>
    <w:uiPriority w:val="99"/>
    <w:semiHidden/>
    <w:rsid w:val="00FB7B87"/>
    <w:rPr>
      <w:b/>
      <w:bCs/>
      <w:sz w:val="20"/>
      <w:szCs w:val="20"/>
    </w:rPr>
  </w:style>
  <w:style w:type="paragraph" w:styleId="BalloonText">
    <w:name w:val="Balloon Text"/>
    <w:basedOn w:val="Normal"/>
    <w:link w:val="BalloonTextChar"/>
    <w:uiPriority w:val="99"/>
    <w:semiHidden/>
    <w:unhideWhenUsed/>
    <w:rsid w:val="00FB7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87"/>
    <w:rPr>
      <w:rFonts w:ascii="Segoe UI" w:hAnsi="Segoe UI" w:cs="Segoe UI"/>
      <w:sz w:val="18"/>
      <w:szCs w:val="18"/>
    </w:rPr>
  </w:style>
  <w:style w:type="table" w:styleId="TableGrid">
    <w:name w:val="Table Grid"/>
    <w:basedOn w:val="TableNormal"/>
    <w:uiPriority w:val="39"/>
    <w:rsid w:val="008C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2132"/>
    <w:rPr>
      <w:rFonts w:ascii="Times New Roman" w:eastAsia="Times New Roman" w:hAnsi="Times New Roman" w:cs="Times New Roman"/>
      <w:b/>
      <w:bCs/>
      <w:kern w:val="36"/>
      <w:sz w:val="48"/>
      <w:szCs w:val="48"/>
      <w:lang w:eastAsia="en-GB"/>
    </w:rPr>
  </w:style>
  <w:style w:type="paragraph" w:customStyle="1" w:styleId="FN">
    <w:name w:val="FN"/>
    <w:basedOn w:val="Normal"/>
    <w:rsid w:val="000A270E"/>
    <w:pPr>
      <w:spacing w:before="60" w:after="60" w:line="480" w:lineRule="auto"/>
      <w:ind w:left="245" w:hanging="245"/>
    </w:pPr>
    <w:rPr>
      <w:rFonts w:ascii="Times New Roman" w:eastAsiaTheme="minorEastAsia" w:hAnsi="Times New Roman" w:cs="Times New Roman"/>
      <w:lang w:val="en-US"/>
    </w:rPr>
  </w:style>
  <w:style w:type="paragraph" w:customStyle="1" w:styleId="TCH1">
    <w:name w:val="TCH1"/>
    <w:basedOn w:val="Normal"/>
    <w:next w:val="TB"/>
    <w:autoRedefine/>
    <w:rsid w:val="000A270E"/>
    <w:pPr>
      <w:spacing w:line="480" w:lineRule="auto"/>
    </w:pPr>
    <w:rPr>
      <w:rFonts w:eastAsiaTheme="minorEastAsia" w:cs="Times New Roman"/>
    </w:rPr>
  </w:style>
  <w:style w:type="paragraph" w:customStyle="1" w:styleId="TB">
    <w:name w:val="TB"/>
    <w:next w:val="Normal"/>
    <w:rsid w:val="000A270E"/>
    <w:pPr>
      <w:spacing w:after="0" w:line="480" w:lineRule="auto"/>
    </w:pPr>
    <w:rPr>
      <w:rFonts w:ascii="Times New Roman" w:eastAsiaTheme="minorEastAsia" w:hAnsi="Times New Roman" w:cs="Times New Roman"/>
      <w:sz w:val="24"/>
      <w:szCs w:val="20"/>
      <w:lang w:val="en-US"/>
    </w:rPr>
  </w:style>
  <w:style w:type="paragraph" w:customStyle="1" w:styleId="TT">
    <w:name w:val="TT"/>
    <w:next w:val="Normal"/>
    <w:autoRedefine/>
    <w:rsid w:val="000A270E"/>
    <w:pPr>
      <w:spacing w:before="120" w:after="60" w:line="480" w:lineRule="auto"/>
    </w:pPr>
    <w:rPr>
      <w:rFonts w:ascii="Times New Roman" w:eastAsiaTheme="minorEastAsia" w:hAnsi="Times New Roman" w:cs="Times New Roman"/>
      <w:sz w:val="26"/>
      <w:szCs w:val="26"/>
      <w:lang w:val="en-US"/>
    </w:rPr>
  </w:style>
  <w:style w:type="paragraph" w:customStyle="1" w:styleId="TN">
    <w:name w:val="TN"/>
    <w:basedOn w:val="Normal"/>
    <w:link w:val="TNChar"/>
    <w:autoRedefine/>
    <w:qFormat/>
    <w:rsid w:val="000A270E"/>
    <w:pPr>
      <w:spacing w:before="120" w:after="60" w:line="480" w:lineRule="auto"/>
    </w:pPr>
    <w:rPr>
      <w:rFonts w:eastAsiaTheme="minorEastAsia" w:cs="Times New Roman"/>
    </w:rPr>
  </w:style>
  <w:style w:type="character" w:customStyle="1" w:styleId="TNChar">
    <w:name w:val="TN Char"/>
    <w:basedOn w:val="DefaultParagraphFont"/>
    <w:link w:val="TN"/>
    <w:locked/>
    <w:rsid w:val="000A270E"/>
    <w:rPr>
      <w:rFonts w:eastAsiaTheme="minorEastAsia" w:cs="Times New Roman"/>
    </w:rPr>
  </w:style>
  <w:style w:type="paragraph" w:customStyle="1" w:styleId="TSN">
    <w:name w:val="TSN"/>
    <w:basedOn w:val="Normal"/>
    <w:next w:val="Normal"/>
    <w:rsid w:val="000A270E"/>
    <w:pPr>
      <w:spacing w:line="480" w:lineRule="auto"/>
    </w:pPr>
    <w:rPr>
      <w:rFonts w:eastAsiaTheme="minorEastAsia" w:cs="Times New Roman"/>
    </w:rPr>
  </w:style>
  <w:style w:type="paragraph" w:customStyle="1" w:styleId="xmsonormal">
    <w:name w:val="x_msonormal"/>
    <w:basedOn w:val="Normal"/>
    <w:rsid w:val="00263042"/>
    <w:pPr>
      <w:spacing w:before="100" w:beforeAutospacing="1" w:after="100" w:afterAutospacing="1" w:line="240" w:lineRule="auto"/>
    </w:pPr>
    <w:rPr>
      <w:rFonts w:ascii="Times New Roman" w:hAnsi="Times New Roman" w:cs="Times New Roman"/>
      <w:sz w:val="24"/>
      <w:szCs w:val="24"/>
      <w:lang w:val="en-US"/>
    </w:rPr>
  </w:style>
  <w:style w:type="character" w:customStyle="1" w:styleId="storytext1">
    <w:name w:val="story_text_1"/>
    <w:basedOn w:val="DefaultParagraphFont"/>
    <w:rsid w:val="00263042"/>
  </w:style>
  <w:style w:type="paragraph" w:customStyle="1" w:styleId="French">
    <w:name w:val="French"/>
    <w:rsid w:val="00466CBC"/>
    <w:pPr>
      <w:overflowPunct w:val="0"/>
      <w:autoSpaceDE w:val="0"/>
      <w:autoSpaceDN w:val="0"/>
      <w:adjustRightInd w:val="0"/>
      <w:spacing w:after="0" w:line="240" w:lineRule="auto"/>
      <w:textAlignment w:val="baseline"/>
    </w:pPr>
    <w:rPr>
      <w:rFonts w:ascii="Dutch801 Rm BT" w:eastAsia="Times New Roman" w:hAnsi="Dutch801 Rm BT" w:cs="Times New Roman"/>
      <w:sz w:val="20"/>
      <w:szCs w:val="20"/>
      <w:lang w:val="fr-CA" w:eastAsia="en-GB"/>
    </w:rPr>
  </w:style>
  <w:style w:type="paragraph" w:styleId="Header">
    <w:name w:val="header"/>
    <w:basedOn w:val="Normal"/>
    <w:link w:val="HeaderChar"/>
    <w:uiPriority w:val="99"/>
    <w:unhideWhenUsed/>
    <w:rsid w:val="00466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CBC"/>
  </w:style>
  <w:style w:type="paragraph" w:styleId="Footer">
    <w:name w:val="footer"/>
    <w:basedOn w:val="Normal"/>
    <w:link w:val="FooterChar"/>
    <w:uiPriority w:val="99"/>
    <w:unhideWhenUsed/>
    <w:rsid w:val="00466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CBC"/>
  </w:style>
  <w:style w:type="character" w:customStyle="1" w:styleId="hithilite">
    <w:name w:val="hithilite"/>
    <w:basedOn w:val="DefaultParagraphFont"/>
    <w:rsid w:val="004339E2"/>
  </w:style>
  <w:style w:type="paragraph" w:customStyle="1" w:styleId="frfield">
    <w:name w:val="fr_field"/>
    <w:basedOn w:val="Normal"/>
    <w:rsid w:val="004339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label">
    <w:name w:val="fr_label"/>
    <w:basedOn w:val="DefaultParagraphFont"/>
    <w:rsid w:val="004339E2"/>
  </w:style>
  <w:style w:type="paragraph" w:customStyle="1" w:styleId="sourcetitle">
    <w:name w:val="sourcetitle"/>
    <w:basedOn w:val="Normal"/>
    <w:rsid w:val="004339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72C2A"/>
    <w:rPr>
      <w:color w:val="605E5C"/>
      <w:shd w:val="clear" w:color="auto" w:fill="E1DFDD"/>
    </w:rPr>
  </w:style>
  <w:style w:type="paragraph" w:customStyle="1" w:styleId="nova-e-listitem">
    <w:name w:val="nova-e-list__item"/>
    <w:basedOn w:val="Normal"/>
    <w:rsid w:val="00590C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5040">
      <w:bodyDiv w:val="1"/>
      <w:marLeft w:val="0"/>
      <w:marRight w:val="0"/>
      <w:marTop w:val="0"/>
      <w:marBottom w:val="0"/>
      <w:divBdr>
        <w:top w:val="none" w:sz="0" w:space="0" w:color="auto"/>
        <w:left w:val="none" w:sz="0" w:space="0" w:color="auto"/>
        <w:bottom w:val="none" w:sz="0" w:space="0" w:color="auto"/>
        <w:right w:val="none" w:sz="0" w:space="0" w:color="auto"/>
      </w:divBdr>
    </w:div>
    <w:div w:id="218639190">
      <w:bodyDiv w:val="1"/>
      <w:marLeft w:val="0"/>
      <w:marRight w:val="0"/>
      <w:marTop w:val="0"/>
      <w:marBottom w:val="0"/>
      <w:divBdr>
        <w:top w:val="none" w:sz="0" w:space="0" w:color="auto"/>
        <w:left w:val="none" w:sz="0" w:space="0" w:color="auto"/>
        <w:bottom w:val="none" w:sz="0" w:space="0" w:color="auto"/>
        <w:right w:val="none" w:sz="0" w:space="0" w:color="auto"/>
      </w:divBdr>
    </w:div>
    <w:div w:id="730807243">
      <w:bodyDiv w:val="1"/>
      <w:marLeft w:val="0"/>
      <w:marRight w:val="0"/>
      <w:marTop w:val="0"/>
      <w:marBottom w:val="0"/>
      <w:divBdr>
        <w:top w:val="none" w:sz="0" w:space="0" w:color="auto"/>
        <w:left w:val="none" w:sz="0" w:space="0" w:color="auto"/>
        <w:bottom w:val="none" w:sz="0" w:space="0" w:color="auto"/>
        <w:right w:val="none" w:sz="0" w:space="0" w:color="auto"/>
      </w:divBdr>
    </w:div>
    <w:div w:id="879169994">
      <w:bodyDiv w:val="1"/>
      <w:marLeft w:val="0"/>
      <w:marRight w:val="0"/>
      <w:marTop w:val="0"/>
      <w:marBottom w:val="0"/>
      <w:divBdr>
        <w:top w:val="none" w:sz="0" w:space="0" w:color="auto"/>
        <w:left w:val="none" w:sz="0" w:space="0" w:color="auto"/>
        <w:bottom w:val="none" w:sz="0" w:space="0" w:color="auto"/>
        <w:right w:val="none" w:sz="0" w:space="0" w:color="auto"/>
      </w:divBdr>
      <w:divsChild>
        <w:div w:id="920334350">
          <w:marLeft w:val="0"/>
          <w:marRight w:val="0"/>
          <w:marTop w:val="0"/>
          <w:marBottom w:val="150"/>
          <w:divBdr>
            <w:top w:val="none" w:sz="0" w:space="0" w:color="auto"/>
            <w:left w:val="none" w:sz="0" w:space="0" w:color="auto"/>
            <w:bottom w:val="none" w:sz="0" w:space="0" w:color="auto"/>
            <w:right w:val="none" w:sz="0" w:space="0" w:color="auto"/>
          </w:divBdr>
        </w:div>
        <w:div w:id="341510966">
          <w:marLeft w:val="0"/>
          <w:marRight w:val="0"/>
          <w:marTop w:val="0"/>
          <w:marBottom w:val="225"/>
          <w:divBdr>
            <w:top w:val="none" w:sz="0" w:space="0" w:color="auto"/>
            <w:left w:val="none" w:sz="0" w:space="0" w:color="auto"/>
            <w:bottom w:val="none" w:sz="0" w:space="0" w:color="auto"/>
            <w:right w:val="none" w:sz="0" w:space="0" w:color="auto"/>
          </w:divBdr>
          <w:divsChild>
            <w:div w:id="1698003650">
              <w:marLeft w:val="0"/>
              <w:marRight w:val="0"/>
              <w:marTop w:val="0"/>
              <w:marBottom w:val="0"/>
              <w:divBdr>
                <w:top w:val="none" w:sz="0" w:space="0" w:color="auto"/>
                <w:left w:val="none" w:sz="0" w:space="0" w:color="auto"/>
                <w:bottom w:val="none" w:sz="0" w:space="0" w:color="auto"/>
                <w:right w:val="none" w:sz="0" w:space="0" w:color="auto"/>
              </w:divBdr>
              <w:divsChild>
                <w:div w:id="1604457066">
                  <w:marLeft w:val="0"/>
                  <w:marRight w:val="0"/>
                  <w:marTop w:val="0"/>
                  <w:marBottom w:val="75"/>
                  <w:divBdr>
                    <w:top w:val="none" w:sz="0" w:space="0" w:color="auto"/>
                    <w:left w:val="none" w:sz="0" w:space="0" w:color="auto"/>
                    <w:bottom w:val="none" w:sz="0" w:space="0" w:color="auto"/>
                    <w:right w:val="none" w:sz="0" w:space="0" w:color="auto"/>
                  </w:divBdr>
                </w:div>
                <w:div w:id="754712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9024193">
      <w:bodyDiv w:val="1"/>
      <w:marLeft w:val="0"/>
      <w:marRight w:val="0"/>
      <w:marTop w:val="0"/>
      <w:marBottom w:val="0"/>
      <w:divBdr>
        <w:top w:val="none" w:sz="0" w:space="0" w:color="auto"/>
        <w:left w:val="none" w:sz="0" w:space="0" w:color="auto"/>
        <w:bottom w:val="none" w:sz="0" w:space="0" w:color="auto"/>
        <w:right w:val="none" w:sz="0" w:space="0" w:color="auto"/>
      </w:divBdr>
    </w:div>
    <w:div w:id="929431813">
      <w:bodyDiv w:val="1"/>
      <w:marLeft w:val="0"/>
      <w:marRight w:val="0"/>
      <w:marTop w:val="0"/>
      <w:marBottom w:val="0"/>
      <w:divBdr>
        <w:top w:val="none" w:sz="0" w:space="0" w:color="auto"/>
        <w:left w:val="none" w:sz="0" w:space="0" w:color="auto"/>
        <w:bottom w:val="none" w:sz="0" w:space="0" w:color="auto"/>
        <w:right w:val="none" w:sz="0" w:space="0" w:color="auto"/>
      </w:divBdr>
    </w:div>
    <w:div w:id="936979751">
      <w:bodyDiv w:val="1"/>
      <w:marLeft w:val="0"/>
      <w:marRight w:val="0"/>
      <w:marTop w:val="0"/>
      <w:marBottom w:val="0"/>
      <w:divBdr>
        <w:top w:val="none" w:sz="0" w:space="0" w:color="auto"/>
        <w:left w:val="none" w:sz="0" w:space="0" w:color="auto"/>
        <w:bottom w:val="none" w:sz="0" w:space="0" w:color="auto"/>
        <w:right w:val="none" w:sz="0" w:space="0" w:color="auto"/>
      </w:divBdr>
    </w:div>
    <w:div w:id="1062168781">
      <w:bodyDiv w:val="1"/>
      <w:marLeft w:val="0"/>
      <w:marRight w:val="0"/>
      <w:marTop w:val="0"/>
      <w:marBottom w:val="0"/>
      <w:divBdr>
        <w:top w:val="none" w:sz="0" w:space="0" w:color="auto"/>
        <w:left w:val="none" w:sz="0" w:space="0" w:color="auto"/>
        <w:bottom w:val="none" w:sz="0" w:space="0" w:color="auto"/>
        <w:right w:val="none" w:sz="0" w:space="0" w:color="auto"/>
      </w:divBdr>
    </w:div>
    <w:div w:id="1064445629">
      <w:bodyDiv w:val="1"/>
      <w:marLeft w:val="0"/>
      <w:marRight w:val="0"/>
      <w:marTop w:val="0"/>
      <w:marBottom w:val="0"/>
      <w:divBdr>
        <w:top w:val="none" w:sz="0" w:space="0" w:color="auto"/>
        <w:left w:val="none" w:sz="0" w:space="0" w:color="auto"/>
        <w:bottom w:val="none" w:sz="0" w:space="0" w:color="auto"/>
        <w:right w:val="none" w:sz="0" w:space="0" w:color="auto"/>
      </w:divBdr>
    </w:div>
    <w:div w:id="1136142572">
      <w:bodyDiv w:val="1"/>
      <w:marLeft w:val="0"/>
      <w:marRight w:val="0"/>
      <w:marTop w:val="0"/>
      <w:marBottom w:val="0"/>
      <w:divBdr>
        <w:top w:val="none" w:sz="0" w:space="0" w:color="auto"/>
        <w:left w:val="none" w:sz="0" w:space="0" w:color="auto"/>
        <w:bottom w:val="none" w:sz="0" w:space="0" w:color="auto"/>
        <w:right w:val="none" w:sz="0" w:space="0" w:color="auto"/>
      </w:divBdr>
    </w:div>
    <w:div w:id="1151872176">
      <w:bodyDiv w:val="1"/>
      <w:marLeft w:val="0"/>
      <w:marRight w:val="0"/>
      <w:marTop w:val="0"/>
      <w:marBottom w:val="0"/>
      <w:divBdr>
        <w:top w:val="none" w:sz="0" w:space="0" w:color="auto"/>
        <w:left w:val="none" w:sz="0" w:space="0" w:color="auto"/>
        <w:bottom w:val="none" w:sz="0" w:space="0" w:color="auto"/>
        <w:right w:val="none" w:sz="0" w:space="0" w:color="auto"/>
      </w:divBdr>
    </w:div>
    <w:div w:id="1209956365">
      <w:bodyDiv w:val="1"/>
      <w:marLeft w:val="0"/>
      <w:marRight w:val="0"/>
      <w:marTop w:val="0"/>
      <w:marBottom w:val="0"/>
      <w:divBdr>
        <w:top w:val="none" w:sz="0" w:space="0" w:color="auto"/>
        <w:left w:val="none" w:sz="0" w:space="0" w:color="auto"/>
        <w:bottom w:val="none" w:sz="0" w:space="0" w:color="auto"/>
        <w:right w:val="none" w:sz="0" w:space="0" w:color="auto"/>
      </w:divBdr>
    </w:div>
    <w:div w:id="1276908729">
      <w:bodyDiv w:val="1"/>
      <w:marLeft w:val="0"/>
      <w:marRight w:val="0"/>
      <w:marTop w:val="0"/>
      <w:marBottom w:val="0"/>
      <w:divBdr>
        <w:top w:val="none" w:sz="0" w:space="0" w:color="auto"/>
        <w:left w:val="none" w:sz="0" w:space="0" w:color="auto"/>
        <w:bottom w:val="none" w:sz="0" w:space="0" w:color="auto"/>
        <w:right w:val="none" w:sz="0" w:space="0" w:color="auto"/>
      </w:divBdr>
      <w:divsChild>
        <w:div w:id="1218129474">
          <w:marLeft w:val="330"/>
          <w:marRight w:val="330"/>
          <w:marTop w:val="30"/>
          <w:marBottom w:val="180"/>
          <w:divBdr>
            <w:top w:val="none" w:sz="0" w:space="0" w:color="auto"/>
            <w:left w:val="none" w:sz="0" w:space="0" w:color="auto"/>
            <w:bottom w:val="none" w:sz="0" w:space="0" w:color="auto"/>
            <w:right w:val="none" w:sz="0" w:space="0" w:color="auto"/>
          </w:divBdr>
        </w:div>
        <w:div w:id="991955113">
          <w:marLeft w:val="330"/>
          <w:marRight w:val="330"/>
          <w:marTop w:val="0"/>
          <w:marBottom w:val="330"/>
          <w:divBdr>
            <w:top w:val="none" w:sz="0" w:space="0" w:color="auto"/>
            <w:left w:val="none" w:sz="0" w:space="0" w:color="auto"/>
            <w:bottom w:val="none" w:sz="0" w:space="0" w:color="auto"/>
            <w:right w:val="none" w:sz="0" w:space="0" w:color="auto"/>
          </w:divBdr>
        </w:div>
        <w:div w:id="18817488">
          <w:marLeft w:val="330"/>
          <w:marRight w:val="330"/>
          <w:marTop w:val="0"/>
          <w:marBottom w:val="330"/>
          <w:divBdr>
            <w:top w:val="none" w:sz="0" w:space="0" w:color="auto"/>
            <w:left w:val="none" w:sz="0" w:space="0" w:color="auto"/>
            <w:bottom w:val="none" w:sz="0" w:space="0" w:color="auto"/>
            <w:right w:val="none" w:sz="0" w:space="0" w:color="auto"/>
          </w:divBdr>
          <w:divsChild>
            <w:div w:id="12348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5093">
      <w:bodyDiv w:val="1"/>
      <w:marLeft w:val="0"/>
      <w:marRight w:val="0"/>
      <w:marTop w:val="0"/>
      <w:marBottom w:val="0"/>
      <w:divBdr>
        <w:top w:val="none" w:sz="0" w:space="0" w:color="auto"/>
        <w:left w:val="none" w:sz="0" w:space="0" w:color="auto"/>
        <w:bottom w:val="none" w:sz="0" w:space="0" w:color="auto"/>
        <w:right w:val="none" w:sz="0" w:space="0" w:color="auto"/>
      </w:divBdr>
    </w:div>
    <w:div w:id="1289552275">
      <w:bodyDiv w:val="1"/>
      <w:marLeft w:val="0"/>
      <w:marRight w:val="0"/>
      <w:marTop w:val="0"/>
      <w:marBottom w:val="0"/>
      <w:divBdr>
        <w:top w:val="none" w:sz="0" w:space="0" w:color="auto"/>
        <w:left w:val="none" w:sz="0" w:space="0" w:color="auto"/>
        <w:bottom w:val="none" w:sz="0" w:space="0" w:color="auto"/>
        <w:right w:val="none" w:sz="0" w:space="0" w:color="auto"/>
      </w:divBdr>
      <w:divsChild>
        <w:div w:id="366874754">
          <w:marLeft w:val="150"/>
          <w:marRight w:val="0"/>
          <w:marTop w:val="0"/>
          <w:marBottom w:val="75"/>
          <w:divBdr>
            <w:top w:val="none" w:sz="0" w:space="0" w:color="auto"/>
            <w:left w:val="none" w:sz="0" w:space="0" w:color="auto"/>
            <w:bottom w:val="none" w:sz="0" w:space="0" w:color="auto"/>
            <w:right w:val="none" w:sz="0" w:space="0" w:color="auto"/>
          </w:divBdr>
        </w:div>
      </w:divsChild>
    </w:div>
    <w:div w:id="1349333350">
      <w:bodyDiv w:val="1"/>
      <w:marLeft w:val="0"/>
      <w:marRight w:val="0"/>
      <w:marTop w:val="0"/>
      <w:marBottom w:val="0"/>
      <w:divBdr>
        <w:top w:val="none" w:sz="0" w:space="0" w:color="auto"/>
        <w:left w:val="none" w:sz="0" w:space="0" w:color="auto"/>
        <w:bottom w:val="none" w:sz="0" w:space="0" w:color="auto"/>
        <w:right w:val="none" w:sz="0" w:space="0" w:color="auto"/>
      </w:divBdr>
    </w:div>
    <w:div w:id="1365325434">
      <w:bodyDiv w:val="1"/>
      <w:marLeft w:val="0"/>
      <w:marRight w:val="0"/>
      <w:marTop w:val="0"/>
      <w:marBottom w:val="0"/>
      <w:divBdr>
        <w:top w:val="none" w:sz="0" w:space="0" w:color="auto"/>
        <w:left w:val="none" w:sz="0" w:space="0" w:color="auto"/>
        <w:bottom w:val="none" w:sz="0" w:space="0" w:color="auto"/>
        <w:right w:val="none" w:sz="0" w:space="0" w:color="auto"/>
      </w:divBdr>
    </w:div>
    <w:div w:id="1480029283">
      <w:bodyDiv w:val="1"/>
      <w:marLeft w:val="0"/>
      <w:marRight w:val="0"/>
      <w:marTop w:val="0"/>
      <w:marBottom w:val="0"/>
      <w:divBdr>
        <w:top w:val="none" w:sz="0" w:space="0" w:color="auto"/>
        <w:left w:val="none" w:sz="0" w:space="0" w:color="auto"/>
        <w:bottom w:val="none" w:sz="0" w:space="0" w:color="auto"/>
        <w:right w:val="none" w:sz="0" w:space="0" w:color="auto"/>
      </w:divBdr>
    </w:div>
    <w:div w:id="1548950836">
      <w:bodyDiv w:val="1"/>
      <w:marLeft w:val="0"/>
      <w:marRight w:val="0"/>
      <w:marTop w:val="0"/>
      <w:marBottom w:val="0"/>
      <w:divBdr>
        <w:top w:val="none" w:sz="0" w:space="0" w:color="auto"/>
        <w:left w:val="none" w:sz="0" w:space="0" w:color="auto"/>
        <w:bottom w:val="none" w:sz="0" w:space="0" w:color="auto"/>
        <w:right w:val="none" w:sz="0" w:space="0" w:color="auto"/>
      </w:divBdr>
    </w:div>
    <w:div w:id="1589576543">
      <w:bodyDiv w:val="1"/>
      <w:marLeft w:val="0"/>
      <w:marRight w:val="0"/>
      <w:marTop w:val="0"/>
      <w:marBottom w:val="0"/>
      <w:divBdr>
        <w:top w:val="none" w:sz="0" w:space="0" w:color="auto"/>
        <w:left w:val="none" w:sz="0" w:space="0" w:color="auto"/>
        <w:bottom w:val="none" w:sz="0" w:space="0" w:color="auto"/>
        <w:right w:val="none" w:sz="0" w:space="0" w:color="auto"/>
      </w:divBdr>
    </w:div>
    <w:div w:id="1774010020">
      <w:bodyDiv w:val="1"/>
      <w:marLeft w:val="0"/>
      <w:marRight w:val="0"/>
      <w:marTop w:val="0"/>
      <w:marBottom w:val="0"/>
      <w:divBdr>
        <w:top w:val="none" w:sz="0" w:space="0" w:color="auto"/>
        <w:left w:val="none" w:sz="0" w:space="0" w:color="auto"/>
        <w:bottom w:val="none" w:sz="0" w:space="0" w:color="auto"/>
        <w:right w:val="none" w:sz="0" w:space="0" w:color="auto"/>
      </w:divBdr>
    </w:div>
    <w:div w:id="1794523013">
      <w:bodyDiv w:val="1"/>
      <w:marLeft w:val="0"/>
      <w:marRight w:val="0"/>
      <w:marTop w:val="0"/>
      <w:marBottom w:val="0"/>
      <w:divBdr>
        <w:top w:val="none" w:sz="0" w:space="0" w:color="auto"/>
        <w:left w:val="none" w:sz="0" w:space="0" w:color="auto"/>
        <w:bottom w:val="none" w:sz="0" w:space="0" w:color="auto"/>
        <w:right w:val="none" w:sz="0" w:space="0" w:color="auto"/>
      </w:divBdr>
    </w:div>
    <w:div w:id="1859541094">
      <w:bodyDiv w:val="1"/>
      <w:marLeft w:val="0"/>
      <w:marRight w:val="0"/>
      <w:marTop w:val="0"/>
      <w:marBottom w:val="0"/>
      <w:divBdr>
        <w:top w:val="none" w:sz="0" w:space="0" w:color="auto"/>
        <w:left w:val="none" w:sz="0" w:space="0" w:color="auto"/>
        <w:bottom w:val="none" w:sz="0" w:space="0" w:color="auto"/>
        <w:right w:val="none" w:sz="0" w:space="0" w:color="auto"/>
      </w:divBdr>
    </w:div>
    <w:div w:id="21062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humanrights.org/en/anglo-platinum-lawsuit-re-displacement-in-so-afr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ci.ca/en/where-we-work/africa/guinea/projects/the-simandou-capacity-building-project-in-forecaria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jadelmas.com/en/who-are-we/our-network" TargetMode="External"/><Relationship Id="rId13" Type="http://schemas.openxmlformats.org/officeDocument/2006/relationships/hyperlink" Target="https://s3.amazonaws.com/rgi-documents/58f2f16c6a7932e16d5fa7b4a2d089faf81d6013.pdf" TargetMode="External"/><Relationship Id="rId18" Type="http://schemas.openxmlformats.org/officeDocument/2006/relationships/hyperlink" Target="http://www.goldfields.com/news_article.php?articleID=3624" TargetMode="External"/><Relationship Id="rId3" Type="http://schemas.openxmlformats.org/officeDocument/2006/relationships/hyperlink" Target="http://www.riotinto.com/documents/RT_Rio_Tintos_approach_to_communities_and_social_performance.pdf" TargetMode="External"/><Relationship Id="rId21" Type="http://schemas.openxmlformats.org/officeDocument/2006/relationships/hyperlink" Target="http://siteresources.worldbank.org/INTOGMC/Resources/Ghana-pr(procurement)2011refinal.pdf" TargetMode="External"/><Relationship Id="rId7" Type="http://schemas.openxmlformats.org/officeDocument/2006/relationships/hyperlink" Target="http://www.mantracghana.com/?pg=about&amp;id=2&amp;country=ghana" TargetMode="External"/><Relationship Id="rId12" Type="http://schemas.openxmlformats.org/officeDocument/2006/relationships/hyperlink" Target="https://www.goldfields.com/reports/annual_report_2012/minerals/pdf/damang.pdf" TargetMode="External"/><Relationship Id="rId17" Type="http://schemas.openxmlformats.org/officeDocument/2006/relationships/hyperlink" Target="https://www.unglobalcompact.org/system/attachments/1289/original/COP.pdf?1262614255" TargetMode="External"/><Relationship Id="rId2" Type="http://schemas.openxmlformats.org/officeDocument/2006/relationships/hyperlink" Target="http://www.aga-reports.com/13/os/performance/legacy-issues/resettlement" TargetMode="External"/><Relationship Id="rId16" Type="http://schemas.openxmlformats.org/officeDocument/2006/relationships/hyperlink" Target="http://www.ghanaweb.com/GhanaHomePage/NewsArchive/10-000-Mineworkers-lose-jobs-461617" TargetMode="External"/><Relationship Id="rId20" Type="http://schemas.openxmlformats.org/officeDocument/2006/relationships/hyperlink" Target="http://ghanachamberofmines.org/wp-content/uploads/2016/11/Performance_of_the_Mining_Industry_in_Ghana_2014.pdf" TargetMode="External"/><Relationship Id="rId1" Type="http://schemas.openxmlformats.org/officeDocument/2006/relationships/hyperlink" Target="http://www.riotinto.com/documents/RT_SD_report_2013.pdf" TargetMode="External"/><Relationship Id="rId6" Type="http://schemas.openxmlformats.org/officeDocument/2006/relationships/hyperlink" Target="http://www.acaciamining.com/sustainability/our-economic-contribution.aspx" TargetMode="External"/><Relationship Id="rId11" Type="http://schemas.openxmlformats.org/officeDocument/2006/relationships/hyperlink" Target="https://www.goldfields.com/pdf/sustainbility/policies/community-policy.pdf" TargetMode="External"/><Relationship Id="rId5" Type="http://schemas.openxmlformats.org/officeDocument/2006/relationships/hyperlink" Target="https://www.barrick.com/news/news-details/2011/Statement-from-Barrick-Gold-Corporation-concerning-the-North-Mara-Mine-Tanzania/default.aspx" TargetMode="External"/><Relationship Id="rId15" Type="http://schemas.openxmlformats.org/officeDocument/2006/relationships/hyperlink" Target="http://www.ghanaweb.com/GhanaHomePage/business/8-700-jobs-lost-in-gold-price-fall-379007#" TargetMode="External"/><Relationship Id="rId23" Type="http://schemas.openxmlformats.org/officeDocument/2006/relationships/hyperlink" Target="http://www.dailymaverick.co.za/article/2013-02-08-mining-indaba-industry-on-the-defensive-over-sustainable-development/" TargetMode="External"/><Relationship Id="rId10" Type="http://schemas.openxmlformats.org/officeDocument/2006/relationships/hyperlink" Target="https://sustainabilityreport.newmont.com/2017/economic-and-social-performance/local-employment-and-business-opportunities/2017-performance" TargetMode="External"/><Relationship Id="rId19" Type="http://schemas.openxmlformats.org/officeDocument/2006/relationships/hyperlink" Target="http://www.modernghana.com/news/180922/newmont-ghana-takes-lead-in-responsible-mining.html" TargetMode="External"/><Relationship Id="rId4" Type="http://schemas.openxmlformats.org/officeDocument/2006/relationships/hyperlink" Target="https://thevault.exchange/?get_group_doc=143/1502446098-LandAccessMngtStd-NOVEMBER2011.pdf" TargetMode="External"/><Relationship Id="rId9" Type="http://schemas.openxmlformats.org/officeDocument/2006/relationships/hyperlink" Target="http://www.barloworld-equipment.com/careers/our-history/" TargetMode="External"/><Relationship Id="rId14" Type="http://schemas.openxmlformats.org/officeDocument/2006/relationships/hyperlink" Target="http://www.mining-technology.com/news/newsnewmont-to-cut-ghana-gold-mine-workforce-by-june-4185028" TargetMode="External"/><Relationship Id="rId22" Type="http://schemas.openxmlformats.org/officeDocument/2006/relationships/hyperlink" Target="http://www.dailymaverick.co.za/article/2013-02-08-mining-indaba-industry-on-the-defensive-over-sustainabl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1243-CCE4-4D3F-9FF6-0A335470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13896</Words>
  <Characters>79208</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HILSON</dc:creator>
  <cp:keywords/>
  <dc:description/>
  <cp:lastModifiedBy>Revan, Jade</cp:lastModifiedBy>
  <cp:revision>3</cp:revision>
  <cp:lastPrinted>2019-01-25T15:43:00Z</cp:lastPrinted>
  <dcterms:created xsi:type="dcterms:W3CDTF">2019-06-21T13:46:00Z</dcterms:created>
  <dcterms:modified xsi:type="dcterms:W3CDTF">2019-06-21T13:46:00Z</dcterms:modified>
</cp:coreProperties>
</file>