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761" w:rsidRPr="00570761" w:rsidRDefault="00D15AEE">
      <w:pPr>
        <w:rPr>
          <w:i/>
          <w:sz w:val="28"/>
        </w:rPr>
      </w:pPr>
      <w:bookmarkStart w:id="0" w:name="_GoBack"/>
      <w:bookmarkEnd w:id="0"/>
      <w:r>
        <w:rPr>
          <w:i/>
          <w:sz w:val="28"/>
        </w:rPr>
        <w:t>Percezion</w:t>
      </w:r>
      <w:r w:rsidR="00D03B16">
        <w:rPr>
          <w:i/>
          <w:sz w:val="28"/>
        </w:rPr>
        <w:t>i</w:t>
      </w:r>
      <w:r>
        <w:rPr>
          <w:i/>
          <w:sz w:val="28"/>
        </w:rPr>
        <w:t xml:space="preserve"> bistabil</w:t>
      </w:r>
      <w:r w:rsidR="00D03B16">
        <w:rPr>
          <w:i/>
          <w:sz w:val="28"/>
        </w:rPr>
        <w:t>i</w:t>
      </w:r>
      <w:r>
        <w:rPr>
          <w:i/>
          <w:sz w:val="28"/>
        </w:rPr>
        <w:t xml:space="preserve">: </w:t>
      </w:r>
      <w:r w:rsidR="00570761" w:rsidRPr="00570761">
        <w:rPr>
          <w:i/>
          <w:sz w:val="28"/>
        </w:rPr>
        <w:t>Ariosto e Luciano faccia a faccia</w:t>
      </w:r>
    </w:p>
    <w:p w:rsidR="00570761" w:rsidRPr="00570761" w:rsidRDefault="00570761">
      <w:pPr>
        <w:rPr>
          <w:lang w:val="en-US"/>
        </w:rPr>
      </w:pPr>
      <w:r w:rsidRPr="00570761">
        <w:rPr>
          <w:lang w:val="en-US"/>
        </w:rPr>
        <w:t>Stefano Jossa (Royal Holloway University of London)</w:t>
      </w:r>
    </w:p>
    <w:p w:rsidR="00570761" w:rsidRDefault="00570761">
      <w:pPr>
        <w:rPr>
          <w:lang w:val="en-US"/>
        </w:rPr>
      </w:pPr>
    </w:p>
    <w:p w:rsidR="00570761" w:rsidRPr="00570761" w:rsidRDefault="00570761">
      <w:pPr>
        <w:rPr>
          <w:lang w:val="en-US"/>
        </w:rPr>
      </w:pPr>
    </w:p>
    <w:p w:rsidR="00C72051" w:rsidRDefault="00450278">
      <w:r>
        <w:t xml:space="preserve">Nel </w:t>
      </w:r>
      <w:r w:rsidR="000D5141">
        <w:t xml:space="preserve">marzo </w:t>
      </w:r>
      <w:r>
        <w:t xml:space="preserve">1516 Giacomo </w:t>
      </w:r>
      <w:r w:rsidR="007B7266">
        <w:t>Mazzocchi</w:t>
      </w:r>
      <w:r>
        <w:t xml:space="preserve"> pubblicava a Roma </w:t>
      </w:r>
      <w:r w:rsidR="000D5141">
        <w:t xml:space="preserve">il </w:t>
      </w:r>
      <w:r w:rsidR="000D5141" w:rsidRPr="000D5141">
        <w:rPr>
          <w:i/>
        </w:rPr>
        <w:t>De aulicorum erumnis</w:t>
      </w:r>
      <w:r>
        <w:t xml:space="preserve"> </w:t>
      </w:r>
      <w:r w:rsidR="00BD02C2">
        <w:t xml:space="preserve">(più noto come </w:t>
      </w:r>
      <w:r w:rsidR="00BD02C2" w:rsidRPr="00BD02C2">
        <w:rPr>
          <w:i/>
        </w:rPr>
        <w:t>De mercede conductis</w:t>
      </w:r>
      <w:r w:rsidR="007B7266">
        <w:t>,</w:t>
      </w:r>
      <w:r w:rsidR="00573BB1">
        <w:t xml:space="preserve"> </w:t>
      </w:r>
      <w:r w:rsidR="007B7266">
        <w:t xml:space="preserve">in greco </w:t>
      </w:r>
      <w:r w:rsidR="007B7266" w:rsidRPr="00573BB1">
        <w:rPr>
          <w:rFonts w:cs="Arial"/>
          <w:color w:val="222222"/>
          <w:szCs w:val="21"/>
          <w:shd w:val="clear" w:color="auto" w:fill="F8F9FA"/>
        </w:rPr>
        <w:t>Περὶ τῶν ἐν Μισθῷ συνόντων</w:t>
      </w:r>
      <w:r w:rsidR="00BD02C2">
        <w:t xml:space="preserve">) </w:t>
      </w:r>
      <w:r>
        <w:t>di Luciano di Samosata nella traduzione di Pierio Valeriano,</w:t>
      </w:r>
      <w:r w:rsidR="0047192E">
        <w:t xml:space="preserve"> </w:t>
      </w:r>
      <w:r w:rsidR="0047192E">
        <w:rPr>
          <w:rStyle w:val="FootnoteReference"/>
        </w:rPr>
        <w:footnoteReference w:id="1"/>
      </w:r>
      <w:r>
        <w:t xml:space="preserve"> mentre </w:t>
      </w:r>
      <w:r w:rsidR="000D5141">
        <w:t xml:space="preserve">un mese dopo </w:t>
      </w:r>
      <w:r>
        <w:t xml:space="preserve">Giovanni </w:t>
      </w:r>
      <w:r w:rsidR="007B7266">
        <w:t>Mazzocchi</w:t>
      </w:r>
      <w:r>
        <w:t xml:space="preserve"> del Bondeno </w:t>
      </w:r>
      <w:r w:rsidR="00AB5031">
        <w:t>stampava a Ferrara l’</w:t>
      </w:r>
      <w:r w:rsidR="00AB5031" w:rsidRPr="00C60E6F">
        <w:rPr>
          <w:i/>
        </w:rPr>
        <w:t>Orlando furioso</w:t>
      </w:r>
      <w:r w:rsidR="00AB5031">
        <w:t xml:space="preserve"> di Ludovico Ariosto,</w:t>
      </w:r>
      <w:r w:rsidR="0047192E">
        <w:t xml:space="preserve"> </w:t>
      </w:r>
      <w:r w:rsidR="0047192E">
        <w:rPr>
          <w:rStyle w:val="FootnoteReference"/>
        </w:rPr>
        <w:footnoteReference w:id="2"/>
      </w:r>
      <w:r w:rsidR="00AB5031">
        <w:t xml:space="preserve"> che celebrava fra gli altri proprio Valeriano nell’elenco degli amici di corte che attendevano l’autore in porto alla fine dell’opera, in quello che allora era il canto XL </w:t>
      </w:r>
      <w:r w:rsidR="00D03B16">
        <w:t xml:space="preserve">(8, 5) </w:t>
      </w:r>
      <w:r w:rsidR="00AB5031">
        <w:t>e che nell’ultima edizione del poema sarebbe diventato il XLVI</w:t>
      </w:r>
      <w:r w:rsidR="00322276">
        <w:t xml:space="preserve"> (13, 5)</w:t>
      </w:r>
      <w:r w:rsidR="00AB5031">
        <w:t>.</w:t>
      </w:r>
      <w:r w:rsidR="0047192E">
        <w:t xml:space="preserve"> </w:t>
      </w:r>
      <w:r w:rsidR="0047192E">
        <w:rPr>
          <w:rStyle w:val="FootnoteReference"/>
        </w:rPr>
        <w:footnoteReference w:id="3"/>
      </w:r>
      <w:r w:rsidR="00AB5031">
        <w:t xml:space="preserve"> </w:t>
      </w:r>
      <w:r w:rsidR="004432D2">
        <w:t>La coincidenza potrebbe essere puramente esteriore, resa solo un po’</w:t>
      </w:r>
      <w:r w:rsidR="0099356A">
        <w:t xml:space="preserve"> più affascinante </w:t>
      </w:r>
      <w:r w:rsidR="000D5141">
        <w:t xml:space="preserve">dall’omonimia </w:t>
      </w:r>
      <w:r w:rsidR="004432D2">
        <w:t>tra i due stampatori</w:t>
      </w:r>
      <w:r w:rsidR="0047192E">
        <w:t>, i cui legami sono tuttora ancora poco chiari, se pure ci furono</w:t>
      </w:r>
      <w:r w:rsidR="004432D2">
        <w:t>.</w:t>
      </w:r>
      <w:r w:rsidR="0047192E">
        <w:t xml:space="preserve"> </w:t>
      </w:r>
      <w:r w:rsidR="0047192E">
        <w:rPr>
          <w:rStyle w:val="FootnoteReference"/>
        </w:rPr>
        <w:footnoteReference w:id="4"/>
      </w:r>
      <w:r w:rsidR="004432D2">
        <w:t xml:space="preserve"> Le cose diventano un po’ più interessanti, però, quando si legga l’ultim</w:t>
      </w:r>
      <w:r w:rsidR="00BD02C2">
        <w:t>o capitolo del</w:t>
      </w:r>
      <w:r w:rsidR="006318F9">
        <w:t xml:space="preserve"> </w:t>
      </w:r>
      <w:r w:rsidR="006318F9" w:rsidRPr="000D5141">
        <w:rPr>
          <w:i/>
        </w:rPr>
        <w:t>De aulicorum erumnis</w:t>
      </w:r>
      <w:r w:rsidR="00CC61CC">
        <w:t xml:space="preserve">, dove Luciano </w:t>
      </w:r>
      <w:r w:rsidR="00B814BC">
        <w:t>rinvi</w:t>
      </w:r>
      <w:r w:rsidR="00BD02C2">
        <w:t>ava</w:t>
      </w:r>
      <w:r w:rsidR="00CC61CC">
        <w:t xml:space="preserve"> </w:t>
      </w:r>
      <w:r w:rsidR="00B814BC">
        <w:t>all’autorità di</w:t>
      </w:r>
      <w:r w:rsidR="00CC61CC">
        <w:t xml:space="preserve"> Cebete Tebano:</w:t>
      </w:r>
    </w:p>
    <w:p w:rsidR="006A675F" w:rsidRPr="00D03B16" w:rsidRDefault="006A675F">
      <w:pPr>
        <w:rPr>
          <w:sz w:val="20"/>
        </w:rPr>
      </w:pPr>
      <w:r w:rsidRPr="00D03B16">
        <w:rPr>
          <w:sz w:val="20"/>
        </w:rPr>
        <w:t xml:space="preserve">Libet vero mihi, quemadmodum Cebes ille fecit, picturationem quandam huiusmodi vitae tuae descrivere: ut in ea aspectans, utrum ad eam te conferre debba, agnoscas. </w:t>
      </w:r>
      <w:r w:rsidRPr="00D03B16">
        <w:rPr>
          <w:rStyle w:val="FootnoteReference"/>
          <w:sz w:val="20"/>
        </w:rPr>
        <w:footnoteReference w:id="5"/>
      </w:r>
    </w:p>
    <w:p w:rsidR="006A675F" w:rsidRDefault="006A675F">
      <w:r>
        <w:t>Seguono, per un confronto, l’originale greco e il primo volgarizzamento:</w:t>
      </w:r>
    </w:p>
    <w:p w:rsidR="00BD02C2" w:rsidRPr="00D03B16" w:rsidRDefault="00B73DCA" w:rsidP="00570761">
      <w:pPr>
        <w:spacing w:after="0" w:line="240" w:lineRule="auto"/>
        <w:rPr>
          <w:color w:val="000000"/>
          <w:sz w:val="20"/>
        </w:rPr>
      </w:pPr>
      <w:hyperlink r:id="rId8" w:tgtFrame="morph" w:history="1">
        <w:r w:rsidR="00BD02C2" w:rsidRPr="00D03B16">
          <w:rPr>
            <w:rStyle w:val="Hyperlink"/>
            <w:color w:val="000000"/>
            <w:sz w:val="20"/>
          </w:rPr>
          <w:t>βούλομαι</w:t>
        </w:r>
      </w:hyperlink>
      <w:r w:rsidR="00BD02C2" w:rsidRPr="00D03B16">
        <w:rPr>
          <w:color w:val="000000"/>
          <w:sz w:val="20"/>
        </w:rPr>
        <w:t> </w:t>
      </w:r>
      <w:hyperlink r:id="rId9" w:tgtFrame="morph" w:history="1">
        <w:r w:rsidR="00BD02C2" w:rsidRPr="00D03B16">
          <w:rPr>
            <w:rStyle w:val="Hyperlink"/>
            <w:color w:val="000000"/>
            <w:sz w:val="20"/>
          </w:rPr>
          <w:t>δ᾽</w:t>
        </w:r>
      </w:hyperlink>
      <w:r w:rsidR="00BD02C2" w:rsidRPr="00D03B16">
        <w:rPr>
          <w:color w:val="000000"/>
          <w:sz w:val="20"/>
        </w:rPr>
        <w:t> </w:t>
      </w:r>
      <w:hyperlink r:id="rId10" w:tgtFrame="morph" w:history="1">
        <w:r w:rsidR="00BD02C2" w:rsidRPr="00D03B16">
          <w:rPr>
            <w:rStyle w:val="Hyperlink"/>
            <w:color w:val="000000"/>
            <w:sz w:val="20"/>
          </w:rPr>
          <w:t>ὅμως</w:t>
        </w:r>
      </w:hyperlink>
      <w:r w:rsidR="00BD02C2" w:rsidRPr="00D03B16">
        <w:rPr>
          <w:color w:val="000000"/>
          <w:sz w:val="20"/>
        </w:rPr>
        <w:t> </w:t>
      </w:r>
      <w:hyperlink r:id="rId11" w:tgtFrame="morph" w:history="1">
        <w:r w:rsidR="00BD02C2" w:rsidRPr="00D03B16">
          <w:rPr>
            <w:rStyle w:val="Hyperlink"/>
            <w:color w:val="000000"/>
            <w:sz w:val="20"/>
          </w:rPr>
          <w:t>ἔγωγε</w:t>
        </w:r>
      </w:hyperlink>
      <w:r w:rsidR="00BD02C2" w:rsidRPr="00D03B16">
        <w:rPr>
          <w:color w:val="000000"/>
          <w:sz w:val="20"/>
        </w:rPr>
        <w:t> </w:t>
      </w:r>
      <w:hyperlink r:id="rId12" w:tgtFrame="morph" w:history="1">
        <w:r w:rsidR="00BD02C2" w:rsidRPr="00D03B16">
          <w:rPr>
            <w:rStyle w:val="Hyperlink"/>
            <w:color w:val="000000"/>
            <w:sz w:val="20"/>
          </w:rPr>
          <w:t>ὥσπερ</w:t>
        </w:r>
      </w:hyperlink>
      <w:r w:rsidR="00BD02C2" w:rsidRPr="00D03B16">
        <w:rPr>
          <w:color w:val="000000"/>
          <w:sz w:val="20"/>
        </w:rPr>
        <w:t> </w:t>
      </w:r>
      <w:hyperlink r:id="rId13" w:tgtFrame="morph" w:history="1">
        <w:r w:rsidR="00BD02C2" w:rsidRPr="00D03B16">
          <w:rPr>
            <w:rStyle w:val="Hyperlink"/>
            <w:color w:val="000000"/>
            <w:sz w:val="20"/>
          </w:rPr>
          <w:t>ὁ</w:t>
        </w:r>
      </w:hyperlink>
      <w:r w:rsidR="00BD02C2" w:rsidRPr="00D03B16">
        <w:rPr>
          <w:color w:val="000000"/>
          <w:sz w:val="20"/>
        </w:rPr>
        <w:t> </w:t>
      </w:r>
      <w:hyperlink r:id="rId14" w:tgtFrame="morph" w:history="1">
        <w:r w:rsidR="00BD02C2" w:rsidRPr="00D03B16">
          <w:rPr>
            <w:rStyle w:val="Hyperlink"/>
            <w:color w:val="000000"/>
            <w:sz w:val="20"/>
          </w:rPr>
          <w:t>Κέβης</w:t>
        </w:r>
      </w:hyperlink>
      <w:r w:rsidR="00BD02C2" w:rsidRPr="00D03B16">
        <w:rPr>
          <w:color w:val="000000"/>
          <w:sz w:val="20"/>
        </w:rPr>
        <w:t> </w:t>
      </w:r>
      <w:hyperlink r:id="rId15" w:tgtFrame="morph" w:history="1">
        <w:r w:rsidR="00BD02C2" w:rsidRPr="00D03B16">
          <w:rPr>
            <w:rStyle w:val="Hyperlink"/>
            <w:color w:val="000000"/>
            <w:sz w:val="20"/>
          </w:rPr>
          <w:t>ἐκεῖνος</w:t>
        </w:r>
      </w:hyperlink>
      <w:r w:rsidR="00BD02C2" w:rsidRPr="00D03B16">
        <w:rPr>
          <w:color w:val="000000"/>
          <w:sz w:val="20"/>
        </w:rPr>
        <w:t> </w:t>
      </w:r>
      <w:hyperlink r:id="rId16" w:tgtFrame="morph" w:history="1">
        <w:r w:rsidR="00BD02C2" w:rsidRPr="00D03B16">
          <w:rPr>
            <w:rStyle w:val="Hyperlink"/>
            <w:color w:val="000000"/>
            <w:sz w:val="20"/>
          </w:rPr>
          <w:t>εἰκόνα</w:t>
        </w:r>
      </w:hyperlink>
      <w:r w:rsidR="00BD02C2" w:rsidRPr="00D03B16">
        <w:rPr>
          <w:color w:val="000000"/>
          <w:sz w:val="20"/>
        </w:rPr>
        <w:t> </w:t>
      </w:r>
      <w:hyperlink r:id="rId17" w:tgtFrame="morph" w:history="1">
        <w:r w:rsidR="00BD02C2" w:rsidRPr="00D03B16">
          <w:rPr>
            <w:rStyle w:val="Hyperlink"/>
            <w:color w:val="000000"/>
            <w:sz w:val="20"/>
          </w:rPr>
          <w:t>τινὰ</w:t>
        </w:r>
      </w:hyperlink>
      <w:r w:rsidR="00BD02C2" w:rsidRPr="00D03B16">
        <w:rPr>
          <w:color w:val="000000"/>
          <w:sz w:val="20"/>
        </w:rPr>
        <w:t> </w:t>
      </w:r>
      <w:hyperlink r:id="rId18" w:tgtFrame="morph" w:history="1">
        <w:r w:rsidR="00BD02C2" w:rsidRPr="00D03B16">
          <w:rPr>
            <w:rStyle w:val="Hyperlink"/>
            <w:color w:val="000000"/>
            <w:sz w:val="20"/>
          </w:rPr>
          <w:t>τοῦ</w:t>
        </w:r>
      </w:hyperlink>
      <w:r w:rsidR="00BD02C2" w:rsidRPr="00D03B16">
        <w:rPr>
          <w:color w:val="000000"/>
          <w:sz w:val="20"/>
        </w:rPr>
        <w:t> </w:t>
      </w:r>
      <w:hyperlink r:id="rId19" w:tgtFrame="morph" w:history="1">
        <w:r w:rsidR="00BD02C2" w:rsidRPr="00D03B16">
          <w:rPr>
            <w:rStyle w:val="Hyperlink"/>
            <w:color w:val="000000"/>
            <w:sz w:val="20"/>
          </w:rPr>
          <w:t>τοιούτου</w:t>
        </w:r>
      </w:hyperlink>
      <w:hyperlink r:id="rId20" w:tgtFrame="morph" w:history="1">
        <w:r w:rsidR="00BD02C2" w:rsidRPr="00D03B16">
          <w:rPr>
            <w:rStyle w:val="Hyperlink"/>
            <w:color w:val="000000"/>
            <w:sz w:val="20"/>
          </w:rPr>
          <w:t>βίου</w:t>
        </w:r>
      </w:hyperlink>
      <w:r w:rsidR="00BD02C2" w:rsidRPr="00D03B16">
        <w:rPr>
          <w:color w:val="000000"/>
          <w:sz w:val="20"/>
        </w:rPr>
        <w:t> </w:t>
      </w:r>
      <w:hyperlink r:id="rId21" w:tgtFrame="morph" w:history="1">
        <w:r w:rsidR="00BD02C2" w:rsidRPr="00D03B16">
          <w:rPr>
            <w:rStyle w:val="Hyperlink"/>
            <w:color w:val="000000"/>
            <w:sz w:val="20"/>
          </w:rPr>
          <w:t>σοι</w:t>
        </w:r>
      </w:hyperlink>
      <w:r w:rsidR="00BD02C2" w:rsidRPr="00D03B16">
        <w:rPr>
          <w:color w:val="000000"/>
          <w:sz w:val="20"/>
        </w:rPr>
        <w:t> </w:t>
      </w:r>
      <w:hyperlink r:id="rId22" w:tgtFrame="morph" w:history="1">
        <w:r w:rsidR="00BD02C2" w:rsidRPr="00D03B16">
          <w:rPr>
            <w:rStyle w:val="Hyperlink"/>
            <w:color w:val="000000"/>
            <w:sz w:val="20"/>
          </w:rPr>
          <w:t>γράψαι</w:t>
        </w:r>
      </w:hyperlink>
      <w:r w:rsidR="00BD02C2" w:rsidRPr="00D03B16">
        <w:rPr>
          <w:color w:val="000000"/>
          <w:sz w:val="20"/>
        </w:rPr>
        <w:t>, </w:t>
      </w:r>
      <w:hyperlink r:id="rId23" w:tgtFrame="morph" w:history="1">
        <w:r w:rsidR="00BD02C2" w:rsidRPr="00D03B16">
          <w:rPr>
            <w:rStyle w:val="Hyperlink"/>
            <w:color w:val="000000"/>
            <w:sz w:val="20"/>
          </w:rPr>
          <w:t>ὅπως</w:t>
        </w:r>
      </w:hyperlink>
      <w:r w:rsidR="00BD02C2" w:rsidRPr="00D03B16">
        <w:rPr>
          <w:color w:val="000000"/>
          <w:sz w:val="20"/>
        </w:rPr>
        <w:t> </w:t>
      </w:r>
      <w:hyperlink r:id="rId24" w:tgtFrame="morph" w:history="1">
        <w:r w:rsidR="00BD02C2" w:rsidRPr="00D03B16">
          <w:rPr>
            <w:rStyle w:val="Hyperlink"/>
            <w:color w:val="000000"/>
            <w:sz w:val="20"/>
          </w:rPr>
          <w:t>εἰς</w:t>
        </w:r>
      </w:hyperlink>
      <w:r w:rsidR="00BD02C2" w:rsidRPr="00D03B16">
        <w:rPr>
          <w:color w:val="000000"/>
          <w:sz w:val="20"/>
        </w:rPr>
        <w:t> </w:t>
      </w:r>
      <w:hyperlink r:id="rId25" w:tgtFrame="morph" w:history="1">
        <w:r w:rsidR="00BD02C2" w:rsidRPr="00D03B16">
          <w:rPr>
            <w:rStyle w:val="Hyperlink"/>
            <w:color w:val="000000"/>
            <w:sz w:val="20"/>
          </w:rPr>
          <w:t>ταύτην</w:t>
        </w:r>
      </w:hyperlink>
      <w:r w:rsidR="00BD02C2" w:rsidRPr="00D03B16">
        <w:rPr>
          <w:color w:val="000000"/>
          <w:sz w:val="20"/>
        </w:rPr>
        <w:t> </w:t>
      </w:r>
      <w:hyperlink r:id="rId26" w:tgtFrame="morph" w:history="1">
        <w:r w:rsidR="00BD02C2" w:rsidRPr="00D03B16">
          <w:rPr>
            <w:rStyle w:val="Hyperlink"/>
            <w:color w:val="000000"/>
            <w:sz w:val="20"/>
          </w:rPr>
          <w:t>ἀποβλέπων</w:t>
        </w:r>
      </w:hyperlink>
      <w:r w:rsidR="00BD02C2" w:rsidRPr="00D03B16">
        <w:rPr>
          <w:color w:val="000000"/>
          <w:sz w:val="20"/>
        </w:rPr>
        <w:t> </w:t>
      </w:r>
      <w:hyperlink r:id="rId27" w:tgtFrame="morph" w:history="1">
        <w:r w:rsidR="00BD02C2" w:rsidRPr="00D03B16">
          <w:rPr>
            <w:rStyle w:val="Hyperlink"/>
            <w:color w:val="000000"/>
            <w:sz w:val="20"/>
          </w:rPr>
          <w:t>εἰδῇς</w:t>
        </w:r>
      </w:hyperlink>
      <w:r w:rsidR="00BD02C2" w:rsidRPr="00D03B16">
        <w:rPr>
          <w:color w:val="000000"/>
          <w:sz w:val="20"/>
        </w:rPr>
        <w:t> </w:t>
      </w:r>
      <w:hyperlink r:id="rId28" w:tgtFrame="morph" w:history="1">
        <w:r w:rsidR="00BD02C2" w:rsidRPr="00D03B16">
          <w:rPr>
            <w:rStyle w:val="Hyperlink"/>
            <w:color w:val="000000"/>
            <w:sz w:val="20"/>
          </w:rPr>
          <w:t>εἴ</w:t>
        </w:r>
      </w:hyperlink>
      <w:r w:rsidR="00BD02C2" w:rsidRPr="00D03B16">
        <w:rPr>
          <w:color w:val="000000"/>
          <w:sz w:val="20"/>
        </w:rPr>
        <w:t> </w:t>
      </w:r>
      <w:hyperlink r:id="rId29" w:tgtFrame="morph" w:history="1">
        <w:r w:rsidR="00BD02C2" w:rsidRPr="00D03B16">
          <w:rPr>
            <w:rStyle w:val="Hyperlink"/>
            <w:color w:val="000000"/>
            <w:sz w:val="20"/>
          </w:rPr>
          <w:t>σοι</w:t>
        </w:r>
      </w:hyperlink>
      <w:r w:rsidR="00BD02C2" w:rsidRPr="00D03B16">
        <w:rPr>
          <w:color w:val="000000"/>
          <w:sz w:val="20"/>
        </w:rPr>
        <w:t> </w:t>
      </w:r>
      <w:hyperlink r:id="rId30" w:tgtFrame="morph" w:history="1">
        <w:r w:rsidR="00BD02C2" w:rsidRPr="00D03B16">
          <w:rPr>
            <w:rStyle w:val="Hyperlink"/>
            <w:color w:val="000000"/>
            <w:sz w:val="20"/>
          </w:rPr>
          <w:t>παριτητέον</w:t>
        </w:r>
      </w:hyperlink>
      <w:r w:rsidR="00BD02C2" w:rsidRPr="00D03B16">
        <w:rPr>
          <w:color w:val="000000"/>
          <w:sz w:val="20"/>
        </w:rPr>
        <w:t> </w:t>
      </w:r>
      <w:hyperlink r:id="rId31" w:tgtFrame="morph" w:history="1">
        <w:r w:rsidR="00BD02C2" w:rsidRPr="00D03B16">
          <w:rPr>
            <w:rStyle w:val="Hyperlink"/>
            <w:color w:val="000000"/>
            <w:sz w:val="20"/>
          </w:rPr>
          <w:t>ἐστὶν</w:t>
        </w:r>
      </w:hyperlink>
      <w:r w:rsidR="00BD02C2" w:rsidRPr="00D03B16">
        <w:rPr>
          <w:color w:val="000000"/>
          <w:sz w:val="20"/>
        </w:rPr>
        <w:t> </w:t>
      </w:r>
      <w:hyperlink r:id="rId32" w:tgtFrame="morph" w:history="1">
        <w:r w:rsidR="00BD02C2" w:rsidRPr="00D03B16">
          <w:rPr>
            <w:rStyle w:val="Hyperlink"/>
            <w:color w:val="000000"/>
            <w:sz w:val="20"/>
          </w:rPr>
          <w:t>εἰς</w:t>
        </w:r>
      </w:hyperlink>
      <w:hyperlink r:id="rId33" w:tgtFrame="morph" w:history="1">
        <w:r w:rsidR="00BD02C2" w:rsidRPr="00D03B16">
          <w:rPr>
            <w:rStyle w:val="Hyperlink"/>
            <w:color w:val="000000"/>
            <w:sz w:val="20"/>
          </w:rPr>
          <w:t>αὐτήν</w:t>
        </w:r>
      </w:hyperlink>
      <w:r w:rsidR="00BD02C2" w:rsidRPr="00D03B16">
        <w:rPr>
          <w:color w:val="000000"/>
          <w:sz w:val="20"/>
        </w:rPr>
        <w:t>.</w:t>
      </w:r>
      <w:r w:rsidR="006A675F" w:rsidRPr="00D03B16">
        <w:rPr>
          <w:rStyle w:val="FootnoteReference"/>
          <w:rFonts w:eastAsia="Times New Roman" w:cs="Arial"/>
          <w:sz w:val="20"/>
          <w:szCs w:val="33"/>
          <w:lang w:eastAsia="it-IT"/>
        </w:rPr>
        <w:t xml:space="preserve"> </w:t>
      </w:r>
      <w:r w:rsidR="006A675F" w:rsidRPr="00D03B16">
        <w:rPr>
          <w:rStyle w:val="FootnoteReference"/>
          <w:rFonts w:eastAsia="Times New Roman" w:cs="Arial"/>
          <w:sz w:val="20"/>
          <w:szCs w:val="33"/>
          <w:lang w:eastAsia="it-IT"/>
        </w:rPr>
        <w:footnoteReference w:id="6"/>
      </w:r>
    </w:p>
    <w:p w:rsidR="00BD02C2" w:rsidRPr="00D03B16" w:rsidRDefault="00BD02C2" w:rsidP="00570761">
      <w:pPr>
        <w:spacing w:after="0" w:line="240" w:lineRule="auto"/>
        <w:rPr>
          <w:color w:val="000000"/>
          <w:sz w:val="20"/>
        </w:rPr>
      </w:pPr>
    </w:p>
    <w:p w:rsidR="00570761" w:rsidRPr="00D03B16" w:rsidRDefault="006A675F" w:rsidP="00570761">
      <w:pPr>
        <w:spacing w:after="0" w:line="240" w:lineRule="auto"/>
        <w:rPr>
          <w:rFonts w:eastAsia="Times New Roman" w:cs="Arial"/>
          <w:sz w:val="20"/>
          <w:szCs w:val="33"/>
          <w:lang w:eastAsia="it-IT"/>
        </w:rPr>
      </w:pPr>
      <w:r w:rsidRPr="00D03B16">
        <w:rPr>
          <w:rFonts w:eastAsia="Times New Roman" w:cs="Arial"/>
          <w:sz w:val="20"/>
          <w:szCs w:val="33"/>
          <w:lang w:eastAsia="it-IT"/>
        </w:rPr>
        <w:t>Hora</w:t>
      </w:r>
      <w:r w:rsidR="00322276" w:rsidRPr="00D03B16">
        <w:rPr>
          <w:rFonts w:eastAsia="Times New Roman" w:cs="Arial"/>
          <w:sz w:val="20"/>
          <w:szCs w:val="33"/>
          <w:lang w:eastAsia="it-IT"/>
        </w:rPr>
        <w:t xml:space="preserve"> mi resta a dipigner questa vita, come</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già</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fece</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Cebete</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Tebano,</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acciocché</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 xml:space="preserve">tu </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possa</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meglio</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comprendere</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se tu debbi</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andarvi</w:t>
      </w:r>
      <w:r w:rsidRPr="00D03B16">
        <w:rPr>
          <w:rFonts w:eastAsia="Times New Roman" w:cs="Arial"/>
          <w:sz w:val="20"/>
          <w:szCs w:val="33"/>
          <w:lang w:eastAsia="it-IT"/>
        </w:rPr>
        <w:t>,</w:t>
      </w:r>
      <w:r w:rsidR="00570761" w:rsidRPr="00D03B16">
        <w:rPr>
          <w:rFonts w:eastAsia="Times New Roman" w:cs="Arial"/>
          <w:sz w:val="20"/>
          <w:szCs w:val="33"/>
          <w:lang w:eastAsia="it-IT"/>
        </w:rPr>
        <w:t xml:space="preserve"> </w:t>
      </w:r>
      <w:r w:rsidR="00322276" w:rsidRPr="00D03B16">
        <w:rPr>
          <w:rFonts w:eastAsia="Times New Roman" w:cs="Arial"/>
          <w:sz w:val="20"/>
          <w:szCs w:val="33"/>
          <w:lang w:eastAsia="it-IT"/>
        </w:rPr>
        <w:t>o fuggirla</w:t>
      </w:r>
      <w:r w:rsidR="00570761" w:rsidRPr="00D03B16">
        <w:rPr>
          <w:rFonts w:eastAsia="Times New Roman" w:cs="Arial"/>
          <w:sz w:val="20"/>
          <w:szCs w:val="33"/>
          <w:lang w:eastAsia="it-IT"/>
        </w:rPr>
        <w:t>.</w:t>
      </w:r>
      <w:r w:rsidRPr="00D03B16">
        <w:rPr>
          <w:rFonts w:eastAsia="Times New Roman" w:cs="Arial"/>
          <w:sz w:val="20"/>
          <w:szCs w:val="33"/>
          <w:lang w:eastAsia="it-IT"/>
        </w:rPr>
        <w:t xml:space="preserve"> </w:t>
      </w:r>
      <w:r w:rsidRPr="00D03B16">
        <w:rPr>
          <w:rStyle w:val="FootnoteReference"/>
          <w:rFonts w:eastAsia="Times New Roman" w:cs="Arial"/>
          <w:sz w:val="20"/>
          <w:szCs w:val="33"/>
          <w:lang w:eastAsia="it-IT"/>
        </w:rPr>
        <w:footnoteReference w:id="7"/>
      </w:r>
    </w:p>
    <w:p w:rsidR="00570761" w:rsidRPr="00D03B16" w:rsidRDefault="00570761" w:rsidP="00570761">
      <w:pPr>
        <w:spacing w:after="0" w:line="240" w:lineRule="auto"/>
        <w:rPr>
          <w:rFonts w:ascii="Arial" w:eastAsia="Times New Roman" w:hAnsi="Arial" w:cs="Arial"/>
          <w:szCs w:val="33"/>
          <w:lang w:eastAsia="it-IT"/>
        </w:rPr>
      </w:pPr>
    </w:p>
    <w:p w:rsidR="00573BB1" w:rsidRDefault="002E1003" w:rsidP="002E1003">
      <w:pPr>
        <w:ind w:firstLine="360"/>
      </w:pPr>
      <w:r>
        <w:t>C</w:t>
      </w:r>
      <w:r w:rsidR="006318F9">
        <w:t xml:space="preserve">he c’entra Cebete con Ariosto? Apparentemente </w:t>
      </w:r>
      <w:r w:rsidR="002B69FB">
        <w:t>poco</w:t>
      </w:r>
      <w:r w:rsidR="006318F9">
        <w:t>,</w:t>
      </w:r>
      <w:r w:rsidR="002B69FB">
        <w:t xml:space="preserve"> tranne per il fatto che la </w:t>
      </w:r>
      <w:r w:rsidR="002B69FB" w:rsidRPr="002B69FB">
        <w:rPr>
          <w:i/>
        </w:rPr>
        <w:t>Tavola di Cebete</w:t>
      </w:r>
      <w:r w:rsidR="002B69FB">
        <w:t xml:space="preserve"> circolava nell’ambiente ferrarese che Ariosto frequentava, tra </w:t>
      </w:r>
      <w:r w:rsidR="002965F1">
        <w:t xml:space="preserve">Gregorio da Spoleto e </w:t>
      </w:r>
      <w:r w:rsidR="002B69FB">
        <w:t xml:space="preserve">Celio Calcagnini, come ha </w:t>
      </w:r>
      <w:r w:rsidR="00D03B16">
        <w:t>dimostrato</w:t>
      </w:r>
      <w:r w:rsidR="002B69FB">
        <w:t xml:space="preserve"> Stefano Benedetti in un libro importante del </w:t>
      </w:r>
      <w:r w:rsidR="002965F1">
        <w:t>2001</w:t>
      </w:r>
      <w:r w:rsidR="002B69FB">
        <w:t>.</w:t>
      </w:r>
      <w:r w:rsidR="00FA7DC1">
        <w:t xml:space="preserve"> </w:t>
      </w:r>
      <w:r w:rsidR="00FA7DC1" w:rsidRPr="00BE1E3F">
        <w:rPr>
          <w:rStyle w:val="FootnoteReference"/>
        </w:rPr>
        <w:footnoteReference w:id="8"/>
      </w:r>
      <w:r w:rsidR="00FA7DC1">
        <w:t xml:space="preserve"> </w:t>
      </w:r>
      <w:r w:rsidR="002B69FB">
        <w:t>La triangolazione Luciano-Cebete-</w:t>
      </w:r>
      <w:r w:rsidR="002B69FB">
        <w:lastRenderedPageBreak/>
        <w:t xml:space="preserve">Ariosto diventa tuttavia più </w:t>
      </w:r>
      <w:r w:rsidR="00FA7DC1">
        <w:t>avvincente</w:t>
      </w:r>
      <w:r w:rsidR="002B69FB">
        <w:t xml:space="preserve"> quando </w:t>
      </w:r>
      <w:r w:rsidR="006318F9">
        <w:t>si vada a ved</w:t>
      </w:r>
      <w:r w:rsidR="003115AE">
        <w:t>ere uno dei libri pubblicati da</w:t>
      </w:r>
      <w:r w:rsidR="006318F9">
        <w:t xml:space="preserve"> </w:t>
      </w:r>
      <w:r w:rsidR="00014E88">
        <w:t>Giovanni</w:t>
      </w:r>
      <w:r w:rsidR="002B69FB">
        <w:t xml:space="preserve"> Mazzocchi</w:t>
      </w:r>
      <w:r w:rsidR="006318F9">
        <w:t xml:space="preserve"> qualche anno prima</w:t>
      </w:r>
      <w:r w:rsidR="00FA7DC1">
        <w:t xml:space="preserve"> del </w:t>
      </w:r>
      <w:r w:rsidR="00FA7DC1">
        <w:rPr>
          <w:i/>
        </w:rPr>
        <w:t>Furioso</w:t>
      </w:r>
      <w:r w:rsidR="00250D4F">
        <w:t xml:space="preserve">: </w:t>
      </w:r>
      <w:r w:rsidR="00CC61CC">
        <w:t>la grammatica greca</w:t>
      </w:r>
      <w:r w:rsidR="00250D4F">
        <w:t xml:space="preserve"> (o </w:t>
      </w:r>
      <w:r w:rsidR="00250D4F" w:rsidRPr="00250D4F">
        <w:rPr>
          <w:i/>
        </w:rPr>
        <w:t>Erotemata</w:t>
      </w:r>
      <w:r w:rsidR="00250D4F">
        <w:t>)</w:t>
      </w:r>
      <w:r w:rsidR="00CC61CC">
        <w:t xml:space="preserve"> </w:t>
      </w:r>
      <w:r w:rsidR="0047192E">
        <w:t>di Costantino Lascaris</w:t>
      </w:r>
      <w:r w:rsidR="00CC61CC">
        <w:t>,</w:t>
      </w:r>
      <w:r w:rsidR="0047192E">
        <w:t xml:space="preserve"> </w:t>
      </w:r>
      <w:r w:rsidR="00250D4F">
        <w:t xml:space="preserve">stampata nel 1510, </w:t>
      </w:r>
      <w:r w:rsidR="0047192E">
        <w:rPr>
          <w:rStyle w:val="FootnoteReference"/>
        </w:rPr>
        <w:footnoteReference w:id="9"/>
      </w:r>
      <w:r w:rsidR="00CC61CC">
        <w:t xml:space="preserve"> che conteneva una serie di testi </w:t>
      </w:r>
      <w:r w:rsidR="00633259">
        <w:t>aggiuntivi</w:t>
      </w:r>
      <w:r w:rsidR="00250D4F">
        <w:t>, fra i quali proprio la tavola di Cebete e un dialogo lucianeo</w:t>
      </w:r>
      <w:r w:rsidR="00CC61CC">
        <w:t xml:space="preserve">. </w:t>
      </w:r>
      <w:r w:rsidR="00B814BC">
        <w:t>I testi erano</w:t>
      </w:r>
      <w:r w:rsidR="00573BB1">
        <w:t>:</w:t>
      </w:r>
    </w:p>
    <w:p w:rsidR="00573BB1" w:rsidRDefault="00B814BC" w:rsidP="00573BB1">
      <w:pPr>
        <w:pStyle w:val="ListParagraph"/>
        <w:numPr>
          <w:ilvl w:val="0"/>
          <w:numId w:val="1"/>
        </w:numPr>
      </w:pPr>
      <w:r>
        <w:t>la</w:t>
      </w:r>
      <w:r w:rsidRPr="67E659E6">
        <w:t xml:space="preserve"> </w:t>
      </w:r>
      <w:r w:rsidRPr="00573BB1">
        <w:rPr>
          <w:i/>
          <w:iCs/>
        </w:rPr>
        <w:t>Tabula Cebetis Thebani</w:t>
      </w:r>
      <w:r w:rsidRPr="67E659E6">
        <w:t xml:space="preserve">, </w:t>
      </w:r>
    </w:p>
    <w:p w:rsidR="00573BB1" w:rsidRDefault="00B814BC" w:rsidP="00573BB1">
      <w:pPr>
        <w:pStyle w:val="ListParagraph"/>
        <w:numPr>
          <w:ilvl w:val="0"/>
          <w:numId w:val="1"/>
        </w:numPr>
      </w:pPr>
      <w:r>
        <w:t>l’</w:t>
      </w:r>
      <w:r w:rsidRPr="00573BB1">
        <w:rPr>
          <w:i/>
          <w:iCs/>
        </w:rPr>
        <w:t>Ave Maria</w:t>
      </w:r>
      <w:r>
        <w:t xml:space="preserve"> e il </w:t>
      </w:r>
      <w:r w:rsidRPr="00573BB1">
        <w:rPr>
          <w:i/>
          <w:iCs/>
        </w:rPr>
        <w:t>Salve Regina</w:t>
      </w:r>
      <w:r w:rsidRPr="67E659E6">
        <w:t xml:space="preserve">, </w:t>
      </w:r>
    </w:p>
    <w:p w:rsidR="00573BB1" w:rsidRDefault="00B814BC" w:rsidP="00573BB1">
      <w:pPr>
        <w:pStyle w:val="ListParagraph"/>
        <w:numPr>
          <w:ilvl w:val="0"/>
          <w:numId w:val="1"/>
        </w:numPr>
      </w:pPr>
      <w:r>
        <w:t xml:space="preserve">l’esposizione dell’alfabeto greco da parte del letterato ferrarese Giovan Battista Pisone,  </w:t>
      </w:r>
    </w:p>
    <w:p w:rsidR="00573BB1" w:rsidRDefault="00B814BC" w:rsidP="00573BB1">
      <w:pPr>
        <w:pStyle w:val="ListParagraph"/>
        <w:numPr>
          <w:ilvl w:val="0"/>
          <w:numId w:val="1"/>
        </w:numPr>
      </w:pPr>
      <w:r>
        <w:t xml:space="preserve">la </w:t>
      </w:r>
      <w:r w:rsidRPr="00260568">
        <w:rPr>
          <w:rStyle w:val="Emphasis"/>
          <w:i w:val="0"/>
        </w:rPr>
        <w:t>Δίκη</w:t>
      </w:r>
      <w:r w:rsidRPr="00260568">
        <w:rPr>
          <w:rStyle w:val="st"/>
          <w:i/>
        </w:rPr>
        <w:t xml:space="preserve"> </w:t>
      </w:r>
      <w:r>
        <w:rPr>
          <w:rStyle w:val="st"/>
        </w:rPr>
        <w:t>Φωνηέντων</w:t>
      </w:r>
      <w:r w:rsidRPr="67E659E6">
        <w:t xml:space="preserve"> (</w:t>
      </w:r>
      <w:r w:rsidRPr="00573BB1">
        <w:rPr>
          <w:i/>
          <w:iCs/>
        </w:rPr>
        <w:t>Iudicium vocalium</w:t>
      </w:r>
      <w:r>
        <w:t xml:space="preserve"> o </w:t>
      </w:r>
      <w:r w:rsidRPr="00573BB1">
        <w:rPr>
          <w:i/>
          <w:iCs/>
        </w:rPr>
        <w:t>Il giudizio delle vocali</w:t>
      </w:r>
      <w:r w:rsidRPr="67E659E6">
        <w:t xml:space="preserve">) </w:t>
      </w:r>
      <w:r>
        <w:t>di Luciano di Samosata</w:t>
      </w:r>
      <w:r w:rsidRPr="67E659E6">
        <w:t xml:space="preserve"> </w:t>
      </w:r>
      <w:r>
        <w:t>nella traduzione latina di Celio Calcagnini (con dedica a Tommaso Fusco vescovo cimeliense e al cardinal Ippolito d'Este)</w:t>
      </w:r>
      <w:r w:rsidRPr="67E659E6">
        <w:t xml:space="preserve">, </w:t>
      </w:r>
    </w:p>
    <w:p w:rsidR="00573BB1" w:rsidRDefault="00B814BC" w:rsidP="00573BB1">
      <w:pPr>
        <w:pStyle w:val="ListParagraph"/>
        <w:numPr>
          <w:ilvl w:val="0"/>
          <w:numId w:val="1"/>
        </w:numPr>
      </w:pPr>
      <w:r>
        <w:t xml:space="preserve">il </w:t>
      </w:r>
      <w:r w:rsidRPr="00573BB1">
        <w:rPr>
          <w:i/>
          <w:iCs/>
        </w:rPr>
        <w:t xml:space="preserve">Padre Nostro </w:t>
      </w:r>
      <w:r>
        <w:t xml:space="preserve">(o </w:t>
      </w:r>
      <w:r w:rsidRPr="00573BB1">
        <w:rPr>
          <w:i/>
          <w:iCs/>
        </w:rPr>
        <w:t>Oratio Dominica</w:t>
      </w:r>
      <w:r w:rsidRPr="67E659E6">
        <w:t>)</w:t>
      </w:r>
      <w:r>
        <w:t xml:space="preserve">, </w:t>
      </w:r>
    </w:p>
    <w:p w:rsidR="00573BB1" w:rsidRDefault="00B814BC" w:rsidP="00573BB1">
      <w:pPr>
        <w:pStyle w:val="ListParagraph"/>
        <w:numPr>
          <w:ilvl w:val="0"/>
          <w:numId w:val="1"/>
        </w:numPr>
      </w:pPr>
      <w:r>
        <w:t xml:space="preserve">il </w:t>
      </w:r>
      <w:r w:rsidRPr="00573BB1">
        <w:rPr>
          <w:i/>
          <w:iCs/>
        </w:rPr>
        <w:t>Credo</w:t>
      </w:r>
      <w:r>
        <w:t xml:space="preserve"> (o simbolo degli Apostoli</w:t>
      </w:r>
      <w:r w:rsidRPr="67E659E6">
        <w:t xml:space="preserve">), </w:t>
      </w:r>
    </w:p>
    <w:p w:rsidR="00573BB1" w:rsidRDefault="00B814BC" w:rsidP="00573BB1">
      <w:pPr>
        <w:pStyle w:val="ListParagraph"/>
        <w:numPr>
          <w:ilvl w:val="0"/>
          <w:numId w:val="1"/>
        </w:numPr>
      </w:pPr>
      <w:r>
        <w:t xml:space="preserve">l’inizio del </w:t>
      </w:r>
      <w:r w:rsidRPr="00573BB1">
        <w:rPr>
          <w:i/>
          <w:iCs/>
        </w:rPr>
        <w:t>Vangelo di Giovanni</w:t>
      </w:r>
      <w:r w:rsidRPr="67E659E6">
        <w:t xml:space="preserve">, </w:t>
      </w:r>
    </w:p>
    <w:p w:rsidR="00573BB1" w:rsidRDefault="00B814BC" w:rsidP="00573BB1">
      <w:pPr>
        <w:pStyle w:val="ListParagraph"/>
        <w:numPr>
          <w:ilvl w:val="0"/>
          <w:numId w:val="1"/>
        </w:numPr>
      </w:pPr>
      <w:r>
        <w:t>il 50° salmo</w:t>
      </w:r>
      <w:r w:rsidR="00D15AEE">
        <w:t xml:space="preserve"> (</w:t>
      </w:r>
      <w:r w:rsidR="00D15AEE">
        <w:rPr>
          <w:i/>
        </w:rPr>
        <w:t>Miserere mei, Deus</w:t>
      </w:r>
      <w:r w:rsidR="00D15AEE">
        <w:t>)</w:t>
      </w:r>
      <w:r w:rsidRPr="67E659E6">
        <w:t xml:space="preserve">, </w:t>
      </w:r>
      <w:r w:rsidR="00D15AEE">
        <w:t xml:space="preserve">noto anche semplicemente come </w:t>
      </w:r>
      <w:r w:rsidR="00D15AEE">
        <w:rPr>
          <w:i/>
        </w:rPr>
        <w:t>Miserere</w:t>
      </w:r>
      <w:r w:rsidR="00D15AEE">
        <w:t>,</w:t>
      </w:r>
    </w:p>
    <w:p w:rsidR="00573BB1" w:rsidRDefault="00B814BC" w:rsidP="00573BB1">
      <w:pPr>
        <w:pStyle w:val="ListParagraph"/>
        <w:numPr>
          <w:ilvl w:val="0"/>
          <w:numId w:val="1"/>
        </w:numPr>
      </w:pPr>
      <w:r>
        <w:t xml:space="preserve">i </w:t>
      </w:r>
      <w:r w:rsidRPr="00573BB1">
        <w:rPr>
          <w:i/>
          <w:iCs/>
        </w:rPr>
        <w:t>carmina aurea</w:t>
      </w:r>
      <w:r w:rsidRPr="67E659E6">
        <w:t xml:space="preserve"> </w:t>
      </w:r>
      <w:r>
        <w:t>pitagorici (con l’attribuzione a</w:t>
      </w:r>
      <w:r w:rsidRPr="67E659E6">
        <w:t xml:space="preserve"> </w:t>
      </w:r>
      <w:r>
        <w:t>Filolao di Crotone e la dismissione della falsa attribuzione a Pitagora</w:t>
      </w:r>
      <w:r w:rsidRPr="67E659E6">
        <w:t xml:space="preserve">) </w:t>
      </w:r>
    </w:p>
    <w:p w:rsidR="00573BB1" w:rsidRDefault="00B814BC" w:rsidP="00573BB1">
      <w:pPr>
        <w:pStyle w:val="ListParagraph"/>
        <w:numPr>
          <w:ilvl w:val="0"/>
          <w:numId w:val="1"/>
        </w:numPr>
      </w:pPr>
      <w:r>
        <w:t>e il Ποίημα</w:t>
      </w:r>
      <w:r w:rsidRPr="67E659E6">
        <w:t xml:space="preserve"> </w:t>
      </w:r>
      <w:r>
        <w:t>νουθετικόν</w:t>
      </w:r>
      <w:r w:rsidRPr="67E659E6">
        <w:t xml:space="preserve"> (</w:t>
      </w:r>
      <w:r w:rsidRPr="00573BB1">
        <w:rPr>
          <w:i/>
          <w:iCs/>
        </w:rPr>
        <w:t>Poema admonitorium</w:t>
      </w:r>
      <w:r w:rsidRPr="67E659E6">
        <w:t xml:space="preserve">) </w:t>
      </w:r>
      <w:r>
        <w:t>ascritto a</w:t>
      </w:r>
      <w:r w:rsidRPr="67E659E6">
        <w:t xml:space="preserve"> </w:t>
      </w:r>
      <w:r>
        <w:t xml:space="preserve">Focilide di Mileto. </w:t>
      </w:r>
    </w:p>
    <w:p w:rsidR="006318F9" w:rsidRDefault="0079355F" w:rsidP="00573BB1">
      <w:pPr>
        <w:ind w:firstLine="360"/>
      </w:pPr>
      <w:r>
        <w:t>I</w:t>
      </w:r>
      <w:r w:rsidR="00CC61CC">
        <w:t xml:space="preserve"> testi erano tutti correttamente esibiti nell’indice</w:t>
      </w:r>
      <w:r w:rsidR="00573BB1">
        <w:t xml:space="preserve"> (</w:t>
      </w:r>
      <w:r w:rsidR="00573BB1" w:rsidRPr="0079355F">
        <w:rPr>
          <w:b/>
        </w:rPr>
        <w:t>Figura 1</w:t>
      </w:r>
      <w:r w:rsidR="00573BB1">
        <w:t>)</w:t>
      </w:r>
      <w:r w:rsidR="00CC61CC">
        <w:t xml:space="preserve">, </w:t>
      </w:r>
      <w:r>
        <w:t>che in alcune stampe appare sul frontespizio e in altre in una pagina interna, suggerendo un percorso d’iniziazione esoterica rivolto agli adolescenti di formazione cristiana</w:t>
      </w:r>
      <w:r w:rsidR="00CC61CC">
        <w:t xml:space="preserve">. </w:t>
      </w:r>
      <w:r>
        <w:t>L</w:t>
      </w:r>
      <w:r w:rsidR="00CC61CC">
        <w:t xml:space="preserve">’aggiunta di testi </w:t>
      </w:r>
      <w:r>
        <w:t xml:space="preserve">esoterici </w:t>
      </w:r>
      <w:r w:rsidR="00CC61CC">
        <w:t xml:space="preserve">alla grammatica del </w:t>
      </w:r>
      <w:r w:rsidR="00633259">
        <w:t>Lascaris</w:t>
      </w:r>
      <w:r w:rsidR="00CC61CC">
        <w:t xml:space="preserve"> </w:t>
      </w:r>
      <w:r>
        <w:t xml:space="preserve">non era del resto una novità, perché </w:t>
      </w:r>
      <w:r w:rsidR="00CC61CC">
        <w:t xml:space="preserve">l’aveva già </w:t>
      </w:r>
      <w:r>
        <w:t>proposta</w:t>
      </w:r>
      <w:r w:rsidR="00CC61CC">
        <w:t xml:space="preserve"> Aldo Manuzio nella sua edizione </w:t>
      </w:r>
      <w:r w:rsidR="00B814BC">
        <w:t xml:space="preserve">degli </w:t>
      </w:r>
      <w:r w:rsidR="00B814BC">
        <w:rPr>
          <w:i/>
        </w:rPr>
        <w:t xml:space="preserve">Erotemata </w:t>
      </w:r>
      <w:r w:rsidR="00CC61CC">
        <w:t xml:space="preserve">del </w:t>
      </w:r>
      <w:r w:rsidR="00B814BC">
        <w:t>1494-95</w:t>
      </w:r>
      <w:r w:rsidR="0099356A">
        <w:t xml:space="preserve"> (</w:t>
      </w:r>
      <w:r w:rsidRPr="0079355F">
        <w:rPr>
          <w:b/>
        </w:rPr>
        <w:t>F</w:t>
      </w:r>
      <w:r w:rsidR="0099356A" w:rsidRPr="0079355F">
        <w:rPr>
          <w:b/>
        </w:rPr>
        <w:t>igura</w:t>
      </w:r>
      <w:r w:rsidRPr="0079355F">
        <w:rPr>
          <w:b/>
        </w:rPr>
        <w:t xml:space="preserve"> </w:t>
      </w:r>
      <w:r w:rsidR="0099356A" w:rsidRPr="0079355F">
        <w:rPr>
          <w:b/>
        </w:rPr>
        <w:t>2</w:t>
      </w:r>
      <w:r w:rsidR="0099356A">
        <w:t>)</w:t>
      </w:r>
      <w:r w:rsidR="00CC61CC">
        <w:t>,</w:t>
      </w:r>
      <w:r w:rsidR="00BE1E3F">
        <w:t xml:space="preserve"> </w:t>
      </w:r>
      <w:r w:rsidR="00BE1E3F">
        <w:rPr>
          <w:rStyle w:val="FootnoteReference"/>
        </w:rPr>
        <w:footnoteReference w:id="10"/>
      </w:r>
      <w:r w:rsidR="00CC61CC">
        <w:t xml:space="preserve"> sic</w:t>
      </w:r>
      <w:r w:rsidR="000E524D">
        <w:t>c</w:t>
      </w:r>
      <w:r w:rsidR="00CC61CC">
        <w:t xml:space="preserve">hé l’edizione </w:t>
      </w:r>
      <w:r w:rsidR="007B7266">
        <w:t>Mazzocchi</w:t>
      </w:r>
      <w:r w:rsidR="00CC61CC">
        <w:t xml:space="preserve"> </w:t>
      </w:r>
      <w:r w:rsidR="00B814BC">
        <w:t>si configura</w:t>
      </w:r>
      <w:r w:rsidR="00CC61CC">
        <w:t xml:space="preserve"> </w:t>
      </w:r>
      <w:r w:rsidR="00B814BC">
        <w:t xml:space="preserve">come </w:t>
      </w:r>
      <w:r w:rsidR="00CC61CC">
        <w:t xml:space="preserve">una </w:t>
      </w:r>
      <w:r>
        <w:t>filiazione più o meno diretta</w:t>
      </w:r>
      <w:r w:rsidR="00CC61CC">
        <w:t xml:space="preserve"> dell’aldina. </w:t>
      </w:r>
      <w:r w:rsidR="000E524D">
        <w:t xml:space="preserve">I testi aggiunti </w:t>
      </w:r>
      <w:r w:rsidR="00BE1E3F">
        <w:t xml:space="preserve">fin da allora </w:t>
      </w:r>
      <w:r w:rsidR="007C5845">
        <w:t>propon</w:t>
      </w:r>
      <w:r w:rsidR="00BE1E3F">
        <w:t>eva</w:t>
      </w:r>
      <w:r w:rsidR="007C5845">
        <w:t>no</w:t>
      </w:r>
      <w:r w:rsidR="000E524D">
        <w:t xml:space="preserve"> un percorso educativo ermetico-cristiano, in linea con la lezione di Ficino, cui Aldo stava affidando la propria politica culturale in quel periodo.</w:t>
      </w:r>
      <w:r w:rsidR="00BE1E3F">
        <w:t xml:space="preserve"> </w:t>
      </w:r>
      <w:r w:rsidR="00BE1E3F">
        <w:rPr>
          <w:rStyle w:val="FootnoteReference"/>
        </w:rPr>
        <w:footnoteReference w:id="11"/>
      </w:r>
      <w:r w:rsidR="000E524D">
        <w:t xml:space="preserve"> Maz</w:t>
      </w:r>
      <w:r w:rsidR="00BE1E3F">
        <w:t>zocchi</w:t>
      </w:r>
      <w:r w:rsidR="000E524D">
        <w:t xml:space="preserve"> aggiunge però altri </w:t>
      </w:r>
      <w:r w:rsidR="00D15AEE">
        <w:lastRenderedPageBreak/>
        <w:t xml:space="preserve">quattro </w:t>
      </w:r>
      <w:r w:rsidR="000E524D">
        <w:t>testi</w:t>
      </w:r>
      <w:r w:rsidR="00BE1E3F">
        <w:t>,</w:t>
      </w:r>
      <w:r w:rsidR="000E524D">
        <w:t xml:space="preserve"> che sono segnali precisi di una politica culturale nuova, che si rivolge prima di tutto al gruppo ferrarese che fa da sfondo alla pubblicazione del primo </w:t>
      </w:r>
      <w:r w:rsidR="000E524D" w:rsidRPr="0047192E">
        <w:rPr>
          <w:i/>
        </w:rPr>
        <w:t>Furioso</w:t>
      </w:r>
      <w:r w:rsidR="000E524D">
        <w:t xml:space="preserve">: </w:t>
      </w:r>
      <w:r w:rsidR="00B814BC">
        <w:t xml:space="preserve">lo scritto grammaticale di Pisone, il 50° salmo, </w:t>
      </w:r>
      <w:r w:rsidR="00D15AEE">
        <w:t>o</w:t>
      </w:r>
      <w:r w:rsidR="00B814BC">
        <w:t xml:space="preserve"> </w:t>
      </w:r>
      <w:r w:rsidR="00B814BC" w:rsidRPr="0067022F">
        <w:rPr>
          <w:i/>
        </w:rPr>
        <w:t>Miserere</w:t>
      </w:r>
      <w:r w:rsidR="00B814BC">
        <w:t xml:space="preserve">, i </w:t>
      </w:r>
      <w:r w:rsidR="00B814BC" w:rsidRPr="2106597B">
        <w:rPr>
          <w:i/>
          <w:iCs/>
        </w:rPr>
        <w:t>carmina aurea</w:t>
      </w:r>
      <w:r w:rsidR="00B814BC">
        <w:t xml:space="preserve"> e proprio il dialogo lucianeo. S’instaurava così una</w:t>
      </w:r>
      <w:r w:rsidR="000E524D">
        <w:t xml:space="preserve"> congiunzione </w:t>
      </w:r>
      <w:r w:rsidR="00B814BC">
        <w:t>tra</w:t>
      </w:r>
      <w:r w:rsidR="000E524D">
        <w:t xml:space="preserve"> Luciano e C</w:t>
      </w:r>
      <w:r w:rsidR="002E0506">
        <w:t>e</w:t>
      </w:r>
      <w:r w:rsidR="000E524D">
        <w:t>bete,</w:t>
      </w:r>
      <w:r w:rsidR="00B814BC">
        <w:t xml:space="preserve"> che mancava nell’edizione aldina e che compariva invece alla fine del </w:t>
      </w:r>
      <w:r w:rsidR="00B814BC">
        <w:rPr>
          <w:i/>
        </w:rPr>
        <w:t>De aulicorum erumnis</w:t>
      </w:r>
      <w:r w:rsidR="000E524D">
        <w:t xml:space="preserve"> </w:t>
      </w:r>
      <w:r w:rsidR="00B814BC">
        <w:t>pubblicato a Roma da Giacomo Mazzocchi proprio nello stesso anno della pubblicazione del capolavoro ariostesco da parte di Giovanni Mazzocchi a Ferrara</w:t>
      </w:r>
      <w:r w:rsidR="002E1003">
        <w:t>.</w:t>
      </w:r>
      <w:r w:rsidR="000E524D">
        <w:t xml:space="preserve"> </w:t>
      </w:r>
    </w:p>
    <w:p w:rsidR="00A331DD" w:rsidRPr="00D15AEE" w:rsidRDefault="006318F9" w:rsidP="00573BB1">
      <w:pPr>
        <w:ind w:firstLine="360"/>
      </w:pPr>
      <w:r>
        <w:t>L’associazione tra Luciano e Cebete, che era tradizionale già in età classica e medievale, fa dunque parte del background culturale di Ariosto e dei suoi lettori,</w:t>
      </w:r>
      <w:r w:rsidR="00BE1E3F">
        <w:t xml:space="preserve"> </w:t>
      </w:r>
      <w:r>
        <w:t>visto che è probabile che tra i libri esposti sulle bancarelle o in vetrina a Ferrara subito dopo la stampa dell’</w:t>
      </w:r>
      <w:r w:rsidRPr="006318F9">
        <w:rPr>
          <w:i/>
        </w:rPr>
        <w:t>Orlando furioso</w:t>
      </w:r>
      <w:r>
        <w:t>, e quindi accanto all’</w:t>
      </w:r>
      <w:r w:rsidRPr="006318F9">
        <w:rPr>
          <w:i/>
        </w:rPr>
        <w:t>Orlando furioso</w:t>
      </w:r>
      <w:r>
        <w:t xml:space="preserve">, ci fosse proprio la grammatica del </w:t>
      </w:r>
      <w:r w:rsidR="00EE2D14">
        <w:t>Lascaris</w:t>
      </w:r>
      <w:r>
        <w:t xml:space="preserve">. </w:t>
      </w:r>
      <w:r w:rsidR="00A331DD">
        <w:t xml:space="preserve">La coincidenza si fa </w:t>
      </w:r>
      <w:r w:rsidR="00B814BC">
        <w:t>dunque</w:t>
      </w:r>
      <w:r w:rsidR="00A331DD">
        <w:t xml:space="preserve"> più intrigante, perché Luciano sarebbe presente, nell’orizzonte culturale ariostesco, e del gruppo intorno all’Ariosto, in maniera molto più diffusa di quello che di solito si pensa, al punto da corroborare l’ipotesi suggestivamente avanzata da Letizia Panizza che proprio al centro del </w:t>
      </w:r>
      <w:r w:rsidR="00A331DD" w:rsidRPr="0054600B">
        <w:rPr>
          <w:i/>
        </w:rPr>
        <w:t>Furioso</w:t>
      </w:r>
      <w:r w:rsidR="00A331DD">
        <w:t xml:space="preserve"> ci sia un riferimento alla </w:t>
      </w:r>
      <w:r w:rsidR="00A331DD" w:rsidRPr="0054600B">
        <w:rPr>
          <w:i/>
        </w:rPr>
        <w:t>Vera Historia</w:t>
      </w:r>
      <w:r w:rsidR="00A331DD">
        <w:t xml:space="preserve"> lucianea, </w:t>
      </w:r>
      <w:r w:rsidR="00A331DD" w:rsidRPr="00D15AEE">
        <w:t>in quel passo che è l’unica vera dichiarazione di poetica di tutto il poema:</w:t>
      </w:r>
      <w:r w:rsidR="0054600B" w:rsidRPr="00D15AEE">
        <w:t xml:space="preserve"> </w:t>
      </w:r>
      <w:r w:rsidR="0054600B" w:rsidRPr="00D15AEE">
        <w:rPr>
          <w:rStyle w:val="FootnoteReference"/>
        </w:rPr>
        <w:footnoteReference w:id="12"/>
      </w:r>
    </w:p>
    <w:p w:rsidR="00014E88" w:rsidRDefault="00014E88" w:rsidP="0054600B">
      <w:pPr>
        <w:autoSpaceDE w:val="0"/>
        <w:autoSpaceDN w:val="0"/>
        <w:adjustRightInd w:val="0"/>
        <w:spacing w:after="0" w:line="240" w:lineRule="auto"/>
        <w:rPr>
          <w:rFonts w:cs="Times New Roman"/>
          <w:sz w:val="20"/>
          <w:szCs w:val="20"/>
        </w:rPr>
      </w:pPr>
      <w:r>
        <w:rPr>
          <w:rFonts w:cs="Times New Roman"/>
          <w:sz w:val="20"/>
          <w:szCs w:val="20"/>
        </w:rPr>
        <w:t>Omero Agamem</w:t>
      </w:r>
      <w:r w:rsidR="0054600B" w:rsidRPr="00D15AEE">
        <w:rPr>
          <w:rFonts w:cs="Times New Roman"/>
          <w:sz w:val="20"/>
          <w:szCs w:val="20"/>
        </w:rPr>
        <w:t>n</w:t>
      </w:r>
      <w:r>
        <w:rPr>
          <w:rFonts w:cs="Times New Roman"/>
          <w:sz w:val="20"/>
          <w:szCs w:val="20"/>
        </w:rPr>
        <w:t>ó</w:t>
      </w:r>
      <w:r w:rsidR="0054600B" w:rsidRPr="00D15AEE">
        <w:rPr>
          <w:rFonts w:cs="Times New Roman"/>
          <w:sz w:val="20"/>
          <w:szCs w:val="20"/>
        </w:rPr>
        <w:t>n vittor</w:t>
      </w:r>
      <w:r>
        <w:rPr>
          <w:rFonts w:cs="Times New Roman"/>
          <w:sz w:val="20"/>
          <w:szCs w:val="20"/>
        </w:rPr>
        <w:t>ïoso</w:t>
      </w:r>
      <w:r w:rsidR="0054600B" w:rsidRPr="00D15AEE">
        <w:rPr>
          <w:rFonts w:cs="Times New Roman"/>
          <w:sz w:val="20"/>
          <w:szCs w:val="20"/>
        </w:rPr>
        <w:t xml:space="preserve"> </w:t>
      </w:r>
    </w:p>
    <w:p w:rsidR="0054600B" w:rsidRPr="00D15AEE" w:rsidRDefault="0054600B" w:rsidP="0054600B">
      <w:pPr>
        <w:autoSpaceDE w:val="0"/>
        <w:autoSpaceDN w:val="0"/>
        <w:adjustRightInd w:val="0"/>
        <w:spacing w:after="0" w:line="240" w:lineRule="auto"/>
        <w:rPr>
          <w:rFonts w:cs="Times New Roman"/>
          <w:sz w:val="20"/>
          <w:szCs w:val="20"/>
        </w:rPr>
      </w:pPr>
      <w:r w:rsidRPr="00D15AEE">
        <w:rPr>
          <w:rFonts w:cs="Times New Roman"/>
          <w:sz w:val="20"/>
          <w:szCs w:val="20"/>
        </w:rPr>
        <w:t>fe</w:t>
      </w:r>
      <w:r w:rsidR="00014E88">
        <w:rPr>
          <w:rFonts w:cs="Times New Roman"/>
          <w:sz w:val="20"/>
          <w:szCs w:val="20"/>
        </w:rPr>
        <w:t>ce parere, e l</w:t>
      </w:r>
      <w:r w:rsidRPr="00D15AEE">
        <w:rPr>
          <w:rFonts w:cs="Times New Roman"/>
          <w:sz w:val="20"/>
          <w:szCs w:val="20"/>
        </w:rPr>
        <w:t>i Troian inerti;</w:t>
      </w:r>
    </w:p>
    <w:p w:rsidR="0054600B" w:rsidRPr="00D15AEE" w:rsidRDefault="0054600B" w:rsidP="0054600B">
      <w:pPr>
        <w:autoSpaceDE w:val="0"/>
        <w:autoSpaceDN w:val="0"/>
        <w:adjustRightInd w:val="0"/>
        <w:spacing w:after="0" w:line="240" w:lineRule="auto"/>
        <w:rPr>
          <w:rFonts w:cs="Times New Roman"/>
          <w:sz w:val="20"/>
          <w:szCs w:val="20"/>
        </w:rPr>
      </w:pPr>
      <w:r w:rsidRPr="00D15AEE">
        <w:rPr>
          <w:rFonts w:cs="Times New Roman"/>
          <w:sz w:val="20"/>
          <w:szCs w:val="20"/>
        </w:rPr>
        <w:t>e che Penelopea fida al suo sposo</w:t>
      </w:r>
    </w:p>
    <w:p w:rsidR="0054600B" w:rsidRPr="00D15AEE" w:rsidRDefault="0054600B" w:rsidP="0054600B">
      <w:pPr>
        <w:autoSpaceDE w:val="0"/>
        <w:autoSpaceDN w:val="0"/>
        <w:adjustRightInd w:val="0"/>
        <w:spacing w:after="0" w:line="240" w:lineRule="auto"/>
        <w:rPr>
          <w:rFonts w:cs="Times New Roman"/>
          <w:sz w:val="20"/>
          <w:szCs w:val="20"/>
        </w:rPr>
      </w:pPr>
      <w:r w:rsidRPr="00D15AEE">
        <w:rPr>
          <w:rFonts w:cs="Times New Roman"/>
          <w:sz w:val="20"/>
          <w:szCs w:val="20"/>
        </w:rPr>
        <w:t>da</w:t>
      </w:r>
      <w:r w:rsidR="00014E88">
        <w:rPr>
          <w:rFonts w:cs="Times New Roman"/>
          <w:sz w:val="20"/>
          <w:szCs w:val="20"/>
        </w:rPr>
        <w:t xml:space="preserve"> </w:t>
      </w:r>
      <w:r w:rsidRPr="00D15AEE">
        <w:rPr>
          <w:rFonts w:cs="Times New Roman"/>
          <w:sz w:val="20"/>
          <w:szCs w:val="20"/>
        </w:rPr>
        <w:t xml:space="preserve">i Prochi mille oltraggi </w:t>
      </w:r>
      <w:r w:rsidR="00014E88">
        <w:rPr>
          <w:rFonts w:cs="Times New Roman"/>
          <w:sz w:val="20"/>
          <w:szCs w:val="20"/>
        </w:rPr>
        <w:t>h</w:t>
      </w:r>
      <w:r w:rsidRPr="00D15AEE">
        <w:rPr>
          <w:rFonts w:cs="Times New Roman"/>
          <w:sz w:val="20"/>
          <w:szCs w:val="20"/>
        </w:rPr>
        <w:t>avea sofferti.</w:t>
      </w:r>
    </w:p>
    <w:p w:rsidR="0054600B" w:rsidRPr="00D15AEE" w:rsidRDefault="00014E88" w:rsidP="0054600B">
      <w:pPr>
        <w:autoSpaceDE w:val="0"/>
        <w:autoSpaceDN w:val="0"/>
        <w:adjustRightInd w:val="0"/>
        <w:spacing w:after="0" w:line="240" w:lineRule="auto"/>
        <w:rPr>
          <w:rFonts w:cs="Times New Roman"/>
          <w:sz w:val="20"/>
          <w:szCs w:val="20"/>
        </w:rPr>
      </w:pPr>
      <w:r>
        <w:rPr>
          <w:rFonts w:cs="Times New Roman"/>
          <w:sz w:val="20"/>
          <w:szCs w:val="20"/>
        </w:rPr>
        <w:t>E se tu vuoi ch</w:t>
      </w:r>
      <w:r w:rsidR="0054600B" w:rsidRPr="00D15AEE">
        <w:rPr>
          <w:rFonts w:cs="Times New Roman"/>
          <w:sz w:val="20"/>
          <w:szCs w:val="20"/>
        </w:rPr>
        <w:t>'</w:t>
      </w:r>
      <w:r>
        <w:rPr>
          <w:rFonts w:cs="Times New Roman"/>
          <w:sz w:val="20"/>
          <w:szCs w:val="20"/>
        </w:rPr>
        <w:t>e</w:t>
      </w:r>
      <w:r w:rsidR="0054600B" w:rsidRPr="00D15AEE">
        <w:rPr>
          <w:rFonts w:cs="Times New Roman"/>
          <w:sz w:val="20"/>
          <w:szCs w:val="20"/>
        </w:rPr>
        <w:t xml:space="preserve">l </w:t>
      </w:r>
      <w:r w:rsidR="0054600B" w:rsidRPr="00014E88">
        <w:rPr>
          <w:rFonts w:cs="Times New Roman"/>
          <w:i/>
          <w:sz w:val="20"/>
          <w:szCs w:val="20"/>
        </w:rPr>
        <w:t>ver</w:t>
      </w:r>
      <w:r w:rsidR="0054600B" w:rsidRPr="00D15AEE">
        <w:rPr>
          <w:rFonts w:cs="Times New Roman"/>
          <w:sz w:val="20"/>
          <w:szCs w:val="20"/>
        </w:rPr>
        <w:t xml:space="preserve"> non ti sia ascoso,</w:t>
      </w:r>
    </w:p>
    <w:p w:rsidR="0054600B" w:rsidRPr="00D15AEE" w:rsidRDefault="0054600B" w:rsidP="0054600B">
      <w:pPr>
        <w:autoSpaceDE w:val="0"/>
        <w:autoSpaceDN w:val="0"/>
        <w:adjustRightInd w:val="0"/>
        <w:spacing w:after="0" w:line="240" w:lineRule="auto"/>
        <w:rPr>
          <w:rFonts w:cs="Times New Roman"/>
          <w:sz w:val="20"/>
          <w:szCs w:val="20"/>
        </w:rPr>
      </w:pPr>
      <w:r w:rsidRPr="00D15AEE">
        <w:rPr>
          <w:rFonts w:cs="Times New Roman"/>
          <w:sz w:val="20"/>
          <w:szCs w:val="20"/>
        </w:rPr>
        <w:t>tutta al contrario l'</w:t>
      </w:r>
      <w:r w:rsidR="00014E88" w:rsidRPr="00014E88">
        <w:rPr>
          <w:rFonts w:cs="Times New Roman"/>
          <w:i/>
          <w:sz w:val="20"/>
          <w:szCs w:val="20"/>
        </w:rPr>
        <w:t>h</w:t>
      </w:r>
      <w:r w:rsidRPr="00014E88">
        <w:rPr>
          <w:rFonts w:cs="Times New Roman"/>
          <w:i/>
          <w:sz w:val="20"/>
          <w:szCs w:val="20"/>
        </w:rPr>
        <w:t>istoria</w:t>
      </w:r>
      <w:r w:rsidRPr="00D15AEE">
        <w:rPr>
          <w:rFonts w:cs="Times New Roman"/>
          <w:sz w:val="20"/>
          <w:szCs w:val="20"/>
        </w:rPr>
        <w:t xml:space="preserve"> converti:</w:t>
      </w:r>
    </w:p>
    <w:p w:rsidR="0054600B" w:rsidRPr="00D15AEE" w:rsidRDefault="0054600B" w:rsidP="0054600B">
      <w:pPr>
        <w:autoSpaceDE w:val="0"/>
        <w:autoSpaceDN w:val="0"/>
        <w:adjustRightInd w:val="0"/>
        <w:spacing w:after="0" w:line="240" w:lineRule="auto"/>
        <w:rPr>
          <w:rFonts w:cs="Times New Roman"/>
          <w:sz w:val="20"/>
          <w:szCs w:val="20"/>
        </w:rPr>
      </w:pPr>
      <w:r w:rsidRPr="00D15AEE">
        <w:rPr>
          <w:rFonts w:cs="Times New Roman"/>
          <w:sz w:val="20"/>
          <w:szCs w:val="20"/>
        </w:rPr>
        <w:t xml:space="preserve">che i Greci rotti, e </w:t>
      </w:r>
      <w:r w:rsidR="00014E88">
        <w:rPr>
          <w:rFonts w:cs="Times New Roman"/>
          <w:sz w:val="20"/>
          <w:szCs w:val="20"/>
        </w:rPr>
        <w:t>fu</w:t>
      </w:r>
      <w:r w:rsidRPr="00D15AEE">
        <w:rPr>
          <w:rFonts w:cs="Times New Roman"/>
          <w:sz w:val="20"/>
          <w:szCs w:val="20"/>
        </w:rPr>
        <w:t xml:space="preserve"> Troia vittrice,</w:t>
      </w:r>
    </w:p>
    <w:p w:rsidR="0054600B" w:rsidRPr="00D15AEE" w:rsidRDefault="0054600B" w:rsidP="0054600B">
      <w:pPr>
        <w:rPr>
          <w:rFonts w:cs="Times New Roman"/>
          <w:sz w:val="20"/>
          <w:szCs w:val="20"/>
        </w:rPr>
      </w:pPr>
      <w:r w:rsidRPr="00D15AEE">
        <w:rPr>
          <w:rFonts w:cs="Times New Roman"/>
          <w:sz w:val="20"/>
          <w:szCs w:val="20"/>
        </w:rPr>
        <w:t>e che Penelopea fu meretrice.</w:t>
      </w:r>
    </w:p>
    <w:p w:rsidR="0054600B" w:rsidRPr="00D15AEE" w:rsidRDefault="0054600B" w:rsidP="0054600B">
      <w:pPr>
        <w:rPr>
          <w:rFonts w:cs="Times New Roman"/>
          <w:sz w:val="20"/>
          <w:szCs w:val="20"/>
        </w:rPr>
      </w:pPr>
      <w:r w:rsidRPr="00D15AEE">
        <w:rPr>
          <w:rFonts w:cs="Times New Roman"/>
          <w:sz w:val="20"/>
          <w:szCs w:val="20"/>
        </w:rPr>
        <w:t>(</w:t>
      </w:r>
      <w:r w:rsidR="00573BB1" w:rsidRPr="00D15AEE">
        <w:rPr>
          <w:rFonts w:cs="Times New Roman"/>
          <w:sz w:val="20"/>
          <w:szCs w:val="20"/>
        </w:rPr>
        <w:t xml:space="preserve">AB </w:t>
      </w:r>
      <w:r w:rsidR="00014E88">
        <w:rPr>
          <w:rFonts w:cs="Times New Roman"/>
          <w:sz w:val="20"/>
          <w:szCs w:val="20"/>
        </w:rPr>
        <w:t>XXXII, 27</w:t>
      </w:r>
      <w:r w:rsidR="00573BB1" w:rsidRPr="00D15AEE">
        <w:rPr>
          <w:rFonts w:cs="Times New Roman"/>
          <w:sz w:val="20"/>
          <w:szCs w:val="20"/>
        </w:rPr>
        <w:t xml:space="preserve"> = C </w:t>
      </w:r>
      <w:r w:rsidRPr="00D15AEE">
        <w:rPr>
          <w:rFonts w:cs="Times New Roman"/>
          <w:sz w:val="20"/>
          <w:szCs w:val="20"/>
        </w:rPr>
        <w:t>XXXV, 27)</w:t>
      </w:r>
      <w:r w:rsidR="00573BB1" w:rsidRPr="00D15AEE">
        <w:rPr>
          <w:rFonts w:cs="Times New Roman"/>
          <w:sz w:val="20"/>
          <w:szCs w:val="20"/>
        </w:rPr>
        <w:t xml:space="preserve"> </w:t>
      </w:r>
      <w:r w:rsidR="00573BB1" w:rsidRPr="00D15AEE">
        <w:rPr>
          <w:rStyle w:val="FootnoteReference"/>
          <w:rFonts w:cs="Times New Roman"/>
          <w:sz w:val="20"/>
          <w:szCs w:val="20"/>
        </w:rPr>
        <w:footnoteReference w:id="13"/>
      </w:r>
    </w:p>
    <w:p w:rsidR="006D0536" w:rsidRDefault="006D0536" w:rsidP="0054600B">
      <w:r w:rsidRPr="00D15AEE">
        <w:t>Sottolineando che il passo è pronunciato da San Giovanni in un discorso dal sapore umanistico che mina</w:t>
      </w:r>
      <w:r>
        <w:t xml:space="preserve"> dalle fondamenta le pretese sapienziali dei poeti, Letizia </w:t>
      </w:r>
      <w:r w:rsidR="00A331DD">
        <w:t>P</w:t>
      </w:r>
      <w:r>
        <w:t xml:space="preserve">anizza ha individuato una sottotraccia lucianea dell’episodio lunare, a partire dai riferimenti menippei presenti nella tradizione ferrarese e impliciti nel viaggio di Astolfo: </w:t>
      </w:r>
    </w:p>
    <w:p w:rsidR="006D0536" w:rsidRPr="00D8285F" w:rsidRDefault="006D0536" w:rsidP="006D0536">
      <w:pPr>
        <w:rPr>
          <w:rFonts w:cs="Bembo MT Pro"/>
          <w:sz w:val="20"/>
          <w:lang w:val="en-US"/>
        </w:rPr>
      </w:pPr>
      <w:r w:rsidRPr="00D8285F">
        <w:rPr>
          <w:sz w:val="20"/>
          <w:lang w:val="en-US"/>
        </w:rPr>
        <w:t xml:space="preserve">Lucian’s use of Menippus is similar to Ariosto’s later use of St John. In a purely fictitious setting, but with historical characters in fictitious circumstances, Lucian and Ariosto are asserting the significance of their own </w:t>
      </w:r>
      <w:r w:rsidRPr="00D8285F">
        <w:rPr>
          <w:rFonts w:cs="Bembo MT Pro"/>
          <w:i/>
          <w:iCs/>
          <w:sz w:val="20"/>
          <w:lang w:val="en-US"/>
        </w:rPr>
        <w:t>métier</w:t>
      </w:r>
      <w:r w:rsidRPr="00D8285F">
        <w:rPr>
          <w:rFonts w:cs="Bembo MT Pro"/>
          <w:sz w:val="20"/>
          <w:lang w:val="en-US"/>
        </w:rPr>
        <w:t xml:space="preserve">, that of the inspired writer/poet. Ariosto espouses Lucian’s mixture of fantasy and truth, of fiction and fact — and, above all, the </w:t>
      </w:r>
      <w:r w:rsidRPr="00D8285F">
        <w:rPr>
          <w:rFonts w:cs="Bembo MT Pro"/>
          <w:i/>
          <w:iCs/>
          <w:sz w:val="20"/>
          <w:lang w:val="en-US"/>
        </w:rPr>
        <w:t>serio ludere</w:t>
      </w:r>
      <w:r w:rsidRPr="00D8285F">
        <w:rPr>
          <w:rFonts w:cs="Bembo MT Pro"/>
          <w:sz w:val="20"/>
          <w:lang w:val="en-US"/>
        </w:rPr>
        <w:t xml:space="preserve">, irony and ambivalence so characteristic of their style. </w:t>
      </w:r>
    </w:p>
    <w:p w:rsidR="006D0536" w:rsidRPr="006D0536" w:rsidRDefault="006D0536" w:rsidP="006D0536">
      <w:pPr>
        <w:rPr>
          <w:rFonts w:cs="Bembo MT Pro"/>
        </w:rPr>
      </w:pPr>
      <w:r w:rsidRPr="00D8285F">
        <w:rPr>
          <w:rFonts w:cs="Bembo MT Pro"/>
          <w:sz w:val="20"/>
        </w:rPr>
        <w:t xml:space="preserve">[L’uso di Menippo da parte di Luciano è simile a quello che Ariosto farà di San Giovanni. In un contesto puramente fittizio, ma con personaggi storici trasposti in circostanze inventate, tanto Luciano quanto Ariosto affermano l’importanza del loro artificio, </w:t>
      </w:r>
      <w:r w:rsidR="00D8285F" w:rsidRPr="00D8285F">
        <w:rPr>
          <w:rFonts w:cs="Bembo MT Pro"/>
          <w:sz w:val="20"/>
        </w:rPr>
        <w:t xml:space="preserve">quello del poeta-scrittore ispirato. Ariosto ripropone la mescolanza lucianea di fantasia </w:t>
      </w:r>
      <w:r w:rsidR="00D8285F" w:rsidRPr="00D8285F">
        <w:rPr>
          <w:rFonts w:cs="Bembo MT Pro"/>
          <w:sz w:val="20"/>
        </w:rPr>
        <w:lastRenderedPageBreak/>
        <w:t xml:space="preserve">e verità, finzione e fatto – e, soprattutto, il </w:t>
      </w:r>
      <w:r w:rsidR="00D8285F" w:rsidRPr="00D8285F">
        <w:rPr>
          <w:rFonts w:cs="Bembo MT Pro"/>
          <w:i/>
          <w:sz w:val="20"/>
        </w:rPr>
        <w:t>serio ludere</w:t>
      </w:r>
      <w:r w:rsidR="00D8285F" w:rsidRPr="00D8285F">
        <w:rPr>
          <w:rFonts w:cs="Bembo MT Pro"/>
          <w:sz w:val="20"/>
        </w:rPr>
        <w:t xml:space="preserve">, l’ironia e l’ambivalenza così caratteristici dello stile di entrambi.] </w:t>
      </w:r>
      <w:r w:rsidR="00D8285F">
        <w:rPr>
          <w:rStyle w:val="FootnoteReference"/>
          <w:rFonts w:cs="Bembo MT Pro"/>
        </w:rPr>
        <w:footnoteReference w:id="14"/>
      </w:r>
    </w:p>
    <w:p w:rsidR="00CC61CC" w:rsidRDefault="006D0536" w:rsidP="3BBBAE65">
      <w:r w:rsidRPr="006D0536">
        <w:t xml:space="preserve"> </w:t>
      </w:r>
      <w:r w:rsidR="0054600B">
        <w:t>Ariosto condividerebbe, con un’allusione n</w:t>
      </w:r>
      <w:r w:rsidR="00AE70BD">
        <w:t>emmeno</w:t>
      </w:r>
      <w:r w:rsidR="0054600B">
        <w:t xml:space="preserve"> troppo criptica, la poetica lucianea della convinzione che il testo è sempre </w:t>
      </w:r>
      <w:r w:rsidR="003C1F5F">
        <w:t>ambiguo</w:t>
      </w:r>
      <w:r w:rsidR="0054600B">
        <w:t xml:space="preserve"> e va sottoposto alle cure dell’interprete</w:t>
      </w:r>
      <w:r w:rsidR="006317D9">
        <w:t>: non solo l’illusione del realismo va abbandonata, non solo falso e incredibile non coincidono più, ma il lettore è continuamente invitato a interrogarsi sulle sue categorie di lettura</w:t>
      </w:r>
      <w:r w:rsidR="0054600B">
        <w:t>.</w:t>
      </w:r>
      <w:r w:rsidR="006317D9">
        <w:t xml:space="preserve"> </w:t>
      </w:r>
      <w:r w:rsidR="007C5845">
        <w:t xml:space="preserve">Che l’allusione sia voluta o implicita nel testo poco importerebbe, secondo i dettami del </w:t>
      </w:r>
      <w:r w:rsidR="007C5845" w:rsidRPr="3BBBAE65">
        <w:rPr>
          <w:i/>
          <w:iCs/>
        </w:rPr>
        <w:t>close reading</w:t>
      </w:r>
      <w:r w:rsidR="007C5845">
        <w:t xml:space="preserve"> più agguerrito, perché il testo </w:t>
      </w:r>
      <w:r w:rsidR="00D8285F">
        <w:t>parl</w:t>
      </w:r>
      <w:r w:rsidR="007C5845">
        <w:t xml:space="preserve">erebbe al di là delle intenzioni autoriali e sarebbe il corpo a corpo ingaggiato dal critico a farlo </w:t>
      </w:r>
      <w:r w:rsidR="00D8285F">
        <w:t>signific</w:t>
      </w:r>
      <w:r w:rsidR="007C5845">
        <w:t xml:space="preserve">are ben oltre sé. </w:t>
      </w:r>
      <w:r w:rsidR="006317D9">
        <w:t xml:space="preserve">Come Luciano, anche Ariosto proporrebbe </w:t>
      </w:r>
      <w:r w:rsidR="003C1F5F">
        <w:t xml:space="preserve">dunque </w:t>
      </w:r>
      <w:r w:rsidR="006317D9">
        <w:t>al lettore un patto «eversivo», invitandolo «a dimettere definitivamente illusioni e desideri mimetici» e costringendolo «a prendere atto che non esiste alcun segno di uguaglianza tra il non-vero e l’incredibile».</w:t>
      </w:r>
      <w:r w:rsidR="00AE70BD">
        <w:t xml:space="preserve"> </w:t>
      </w:r>
      <w:r w:rsidR="00AE70BD">
        <w:rPr>
          <w:rStyle w:val="FootnoteReference"/>
        </w:rPr>
        <w:footnoteReference w:id="15"/>
      </w:r>
      <w:r w:rsidR="00413F30">
        <w:t xml:space="preserve"> Narratori ingombranti, irridenti e </w:t>
      </w:r>
      <w:r w:rsidR="3BBBAE65">
        <w:t>irriverenti</w:t>
      </w:r>
      <w:r w:rsidR="00413F30">
        <w:t xml:space="preserve">, entrambi sfidano il lettore, lo mettono all’angolo, gli chiedono un intervento interpretativo e lo costringono alla cooperazione nell’elaborazione del significato. </w:t>
      </w:r>
    </w:p>
    <w:p w:rsidR="00A331DD" w:rsidRDefault="00A331DD" w:rsidP="5DA2E0D0">
      <w:r>
        <w:t xml:space="preserve">Si tratta, </w:t>
      </w:r>
      <w:r w:rsidR="007C5845">
        <w:t xml:space="preserve">comunque, </w:t>
      </w:r>
      <w:r>
        <w:t>anche qui, di poco più che una suggestione, ma rileggere la presenza di Luciano nell’</w:t>
      </w:r>
      <w:r w:rsidRPr="3BBBAE65">
        <w:rPr>
          <w:i/>
          <w:iCs/>
        </w:rPr>
        <w:t>O</w:t>
      </w:r>
      <w:r w:rsidR="00E21BCF" w:rsidRPr="3BBBAE65">
        <w:rPr>
          <w:i/>
          <w:iCs/>
        </w:rPr>
        <w:t xml:space="preserve">rlando </w:t>
      </w:r>
      <w:r w:rsidRPr="3BBBAE65">
        <w:rPr>
          <w:i/>
          <w:iCs/>
        </w:rPr>
        <w:t>F</w:t>
      </w:r>
      <w:r w:rsidR="00E21BCF" w:rsidRPr="3BBBAE65">
        <w:rPr>
          <w:i/>
          <w:iCs/>
        </w:rPr>
        <w:t>urioso</w:t>
      </w:r>
      <w:r>
        <w:t xml:space="preserve"> alla luce del suo valore simbolico nella cultura umanistica ferrarese del tempo potrebbe essere un’ipotesi di lavoro densa di sviluppi: basti pensare che tra i testi aggiunti alla grammatica del Crisolora compariva il 50° salmo, che non dice nulla solo a chi non consideri che proprio quel salmo era stato l’oggetto dell’ultima meditazione savonaroliana prima della morte. Il commento savonaroliano al </w:t>
      </w:r>
      <w:r w:rsidRPr="3BBBAE65">
        <w:rPr>
          <w:i/>
          <w:iCs/>
        </w:rPr>
        <w:t>Miserere</w:t>
      </w:r>
      <w:r w:rsidR="007623FC">
        <w:t xml:space="preserve"> circolava a stampa fin dal 1499</w:t>
      </w:r>
      <w:r>
        <w:t xml:space="preserve"> sia in latino sia in volgare: </w:t>
      </w:r>
      <w:r w:rsidR="004B3EFF">
        <w:rPr>
          <w:rStyle w:val="FootnoteReference"/>
        </w:rPr>
        <w:footnoteReference w:id="16"/>
      </w:r>
      <w:r w:rsidR="004B3EFF" w:rsidRPr="3BBBAE65">
        <w:t xml:space="preserve"> </w:t>
      </w:r>
      <w:r>
        <w:t xml:space="preserve">che il gruppo di </w:t>
      </w:r>
      <w:r w:rsidR="007B7266">
        <w:t>Mazzocchi</w:t>
      </w:r>
      <w:r>
        <w:t xml:space="preserve"> stesse recuperando Savonarola come gloria locale, forse anche in polemica contro la curia romana, è indubitabile, vista l’insistenza </w:t>
      </w:r>
      <w:r w:rsidR="00E21BCF">
        <w:t>sulla</w:t>
      </w:r>
      <w:r>
        <w:t xml:space="preserve"> sua ferraresità nella pubblicazione delle </w:t>
      </w:r>
      <w:r w:rsidRPr="3BBBAE65">
        <w:rPr>
          <w:i/>
          <w:iCs/>
        </w:rPr>
        <w:t>Prediche</w:t>
      </w:r>
      <w:r w:rsidR="007C5845" w:rsidRPr="3BBBAE65">
        <w:rPr>
          <w:i/>
          <w:iCs/>
        </w:rPr>
        <w:t xml:space="preserve"> devotissime</w:t>
      </w:r>
      <w:r>
        <w:t xml:space="preserve"> del </w:t>
      </w:r>
      <w:r w:rsidR="007C5845">
        <w:t>1513</w:t>
      </w:r>
      <w:r w:rsidRPr="3BBBAE65">
        <w:t>;</w:t>
      </w:r>
      <w:r w:rsidR="007C5845" w:rsidRPr="3BBBAE65">
        <w:t xml:space="preserve"> </w:t>
      </w:r>
      <w:r w:rsidR="007C5845">
        <w:rPr>
          <w:rStyle w:val="FootnoteReference"/>
        </w:rPr>
        <w:footnoteReference w:id="17"/>
      </w:r>
      <w:r>
        <w:t xml:space="preserve"> ma che </w:t>
      </w:r>
      <w:r w:rsidR="00FC51DF">
        <w:t xml:space="preserve">Savonarola aprisse la strada verso orizzonti eterodossi è altrettanto indubitabile, vista la successiva appropriazione luterana proprio del commento al </w:t>
      </w:r>
      <w:r w:rsidR="00FC51DF" w:rsidRPr="3BBBAE65">
        <w:rPr>
          <w:i/>
          <w:iCs/>
        </w:rPr>
        <w:t>Miserere</w:t>
      </w:r>
      <w:r w:rsidR="00FC51DF" w:rsidRPr="3BBBAE65">
        <w:t xml:space="preserve">. </w:t>
      </w:r>
      <w:r w:rsidR="0099356A">
        <w:t>Associare Luciano e Cebete a Savonarola significava allora immetterli in un orizzonte dalle potenzialità dirompenti,</w:t>
      </w:r>
      <w:r w:rsidR="004B3EFF" w:rsidRPr="3BBBAE65">
        <w:t xml:space="preserve"> </w:t>
      </w:r>
      <w:r w:rsidR="004B3EFF">
        <w:rPr>
          <w:rStyle w:val="FootnoteReference"/>
        </w:rPr>
        <w:footnoteReference w:id="18"/>
      </w:r>
      <w:r w:rsidR="0099356A">
        <w:t xml:space="preserve"> con una forte carica ermetica </w:t>
      </w:r>
      <w:r w:rsidR="0099356A">
        <w:lastRenderedPageBreak/>
        <w:t>ed eterodossa che faceva del lavoro del gruppo ferrarese (</w:t>
      </w:r>
      <w:r w:rsidR="00E21BCF" w:rsidRPr="3BBBAE65">
        <w:rPr>
          <w:i/>
          <w:iCs/>
        </w:rPr>
        <w:t>F</w:t>
      </w:r>
      <w:r w:rsidR="0099356A" w:rsidRPr="3BBBAE65">
        <w:rPr>
          <w:i/>
          <w:iCs/>
        </w:rPr>
        <w:t>urioso</w:t>
      </w:r>
      <w:r w:rsidR="0099356A">
        <w:t xml:space="preserve"> incluso?) un laboratorio ideale per la ricerca di nuovi orizzonti epistemologici e pure teologici.</w:t>
      </w:r>
      <w:r w:rsidR="004B3EFF" w:rsidRPr="3BBBAE65">
        <w:t xml:space="preserve"> </w:t>
      </w:r>
      <w:r w:rsidR="004B3EFF">
        <w:rPr>
          <w:rStyle w:val="FootnoteReference"/>
        </w:rPr>
        <w:footnoteReference w:id="19"/>
      </w:r>
      <w:r w:rsidR="0099356A" w:rsidRPr="3BBBAE65">
        <w:t xml:space="preserve"> </w:t>
      </w:r>
      <w:r w:rsidR="00E21BCF">
        <w:t>Che nei primi tempi l’</w:t>
      </w:r>
      <w:r w:rsidR="00E21BCF" w:rsidRPr="3BBBAE65">
        <w:rPr>
          <w:i/>
          <w:iCs/>
        </w:rPr>
        <w:t>Orlando Furioso</w:t>
      </w:r>
      <w:r w:rsidR="00E21BCF">
        <w:t xml:space="preserve"> comparisse sulle bancarelle o in vetrina accanto ai libri del suo editore Mazzocchi è estremamente probabile, con un apparentamento con la grammatica del </w:t>
      </w:r>
      <w:r w:rsidR="00633259">
        <w:t>Lascaris</w:t>
      </w:r>
      <w:r w:rsidR="00E21BCF">
        <w:t xml:space="preserve"> (quindi anche con Luciano) che non sta solo nella presenza nella stessa collana o nella condivisione di uno spazio comune, ma anche in un orizzonte culturale che li comprende entrambi. </w:t>
      </w:r>
      <w:r w:rsidR="00E21BCF">
        <w:rPr>
          <w:rStyle w:val="FootnoteReference"/>
        </w:rPr>
        <w:footnoteReference w:id="20"/>
      </w:r>
      <w:r w:rsidR="00E21BCF" w:rsidRPr="3BBBAE65">
        <w:t xml:space="preserve"> </w:t>
      </w:r>
      <w:r w:rsidR="0099356A">
        <w:t>Di più non si può dire, per ora, ma è legittimo immaginare</w:t>
      </w:r>
      <w:r w:rsidR="00CD56B0">
        <w:t xml:space="preserve"> adesso</w:t>
      </w:r>
      <w:r w:rsidR="0099356A">
        <w:t xml:space="preserve"> l’ironia a</w:t>
      </w:r>
      <w:r w:rsidR="00CD56B0">
        <w:t>r</w:t>
      </w:r>
      <w:r w:rsidR="00E21BCF">
        <w:t>i</w:t>
      </w:r>
      <w:r w:rsidR="0099356A">
        <w:t>o</w:t>
      </w:r>
      <w:r w:rsidR="00E21BCF">
        <w:t>s</w:t>
      </w:r>
      <w:r w:rsidR="0099356A">
        <w:t>tesca anche su questo sfondo, come strumento di apertura di un punto di vista che non nega il precedente, ma gli si affianca, risultando insieme antagonista e compresente, come nelle percezioni bistabili</w:t>
      </w:r>
      <w:r w:rsidR="007623FC" w:rsidRPr="3BBBAE65">
        <w:t xml:space="preserve"> (</w:t>
      </w:r>
      <w:r w:rsidR="007623FC" w:rsidRPr="6D747337">
        <w:rPr>
          <w:b/>
          <w:bCs/>
        </w:rPr>
        <w:t>Figura 3</w:t>
      </w:r>
      <w:r w:rsidR="007623FC" w:rsidRPr="3BBBAE65">
        <w:t>)</w:t>
      </w:r>
      <w:r w:rsidR="0099356A">
        <w:t>, che giustamente Linda Hutcheon ha paragonato alla tecnica dell’ironia:</w:t>
      </w:r>
      <w:r w:rsidR="007623FC" w:rsidRPr="3BBBAE65">
        <w:t xml:space="preserve"> </w:t>
      </w:r>
      <w:r w:rsidR="007623FC">
        <w:rPr>
          <w:rStyle w:val="FootnoteReference"/>
        </w:rPr>
        <w:footnoteReference w:id="21"/>
      </w:r>
      <w:r w:rsidR="0099356A">
        <w:t xml:space="preserve"> le due immagini convivono, prevalendo a turno a seconda del</w:t>
      </w:r>
      <w:r w:rsidR="00260568">
        <w:t>la messa a fuoco</w:t>
      </w:r>
      <w:r w:rsidR="0099356A">
        <w:t>, ma senza mai negarsi a vicenda</w:t>
      </w:r>
      <w:r w:rsidR="0099356A" w:rsidRPr="3BBBAE65">
        <w:t xml:space="preserve"> </w:t>
      </w:r>
      <w:r w:rsidR="0099356A">
        <w:t xml:space="preserve">fino in fondo. </w:t>
      </w:r>
      <w:r w:rsidR="00D15AEE">
        <w:t xml:space="preserve">A seconda della nostra lettura </w:t>
      </w:r>
      <w:r w:rsidR="006D22D1">
        <w:t xml:space="preserve">visiva </w:t>
      </w:r>
      <w:r w:rsidR="00D15AEE">
        <w:t>dello stesso particolare</w:t>
      </w:r>
      <w:r w:rsidR="00D15AEE" w:rsidRPr="3BBBAE65">
        <w:t xml:space="preserve"> </w:t>
      </w:r>
      <w:r w:rsidR="006D22D1">
        <w:t xml:space="preserve">dell’immagine </w:t>
      </w:r>
      <w:r w:rsidR="00D15AEE">
        <w:t xml:space="preserve">come becco o come orecchie, vedremo un’anatra o un coniglio: è possibile, però, una volta realizzata la compresenza, vedere entrambe le immagini, proprio come fanno sia Luciano sia Ariosto nel momento in cui dicono una cosa e alludono a un’altra. </w:t>
      </w:r>
      <w:r w:rsidR="00D15AEE" w:rsidRPr="0056094C">
        <w:t xml:space="preserve">La stessa conversione della storia al contrario, oltre a contenere un'allusione lucianea, sarebbe un invito all'ironia, se è vero, come ha messo in rilievo Nicola Gardini, che l'espressione ariostesca ricalca quasi alla lettera la definizione di </w:t>
      </w:r>
      <w:r w:rsidR="0056094C" w:rsidRPr="0056094C">
        <w:t>«</w:t>
      </w:r>
      <w:r w:rsidR="00D15AEE" w:rsidRPr="0056094C">
        <w:t>ironia</w:t>
      </w:r>
      <w:r w:rsidR="0056094C" w:rsidRPr="0056094C">
        <w:rPr>
          <w:sz w:val="20"/>
          <w:szCs w:val="20"/>
        </w:rPr>
        <w:t>»</w:t>
      </w:r>
      <w:r w:rsidR="00D15AEE" w:rsidRPr="0056094C">
        <w:rPr>
          <w:sz w:val="20"/>
          <w:szCs w:val="20"/>
        </w:rPr>
        <w:t xml:space="preserve"> </w:t>
      </w:r>
      <w:r w:rsidR="00D15AEE" w:rsidRPr="0056094C">
        <w:t xml:space="preserve">proposta da Quintiliano: </w:t>
      </w:r>
      <w:r w:rsidR="0056094C" w:rsidRPr="0056094C">
        <w:t>«</w:t>
      </w:r>
      <w:r w:rsidR="5DA2E0D0" w:rsidRPr="0056094C">
        <w:rPr>
          <w:rFonts w:ascii="Calibri" w:eastAsia="Calibri" w:hAnsi="Calibri" w:cs="Calibri"/>
        </w:rPr>
        <w:t>contrarium ei quod dicitur intellegendum est</w:t>
      </w:r>
      <w:r w:rsidR="0056094C" w:rsidRPr="0056094C">
        <w:rPr>
          <w:rFonts w:ascii="Calibri" w:eastAsia="Calibri" w:hAnsi="Calibri" w:cs="Calibri"/>
        </w:rPr>
        <w:t>»</w:t>
      </w:r>
      <w:r w:rsidR="5DA2E0D0" w:rsidRPr="0056094C">
        <w:rPr>
          <w:rFonts w:ascii="Calibri" w:eastAsia="Calibri" w:hAnsi="Calibri" w:cs="Calibri"/>
        </w:rPr>
        <w:t xml:space="preserve"> (bisogna capire il contrario di ciò che viene detto; </w:t>
      </w:r>
      <w:r w:rsidR="5DA2E0D0" w:rsidRPr="0056094C">
        <w:rPr>
          <w:rFonts w:ascii="Calibri" w:eastAsia="Calibri" w:hAnsi="Calibri" w:cs="Calibri"/>
          <w:i/>
          <w:iCs/>
        </w:rPr>
        <w:t>Institutio Oratoria</w:t>
      </w:r>
      <w:r w:rsidR="5DA2E0D0" w:rsidRPr="0056094C">
        <w:rPr>
          <w:rFonts w:ascii="Calibri" w:eastAsia="Calibri" w:hAnsi="Calibri" w:cs="Calibri"/>
        </w:rPr>
        <w:t xml:space="preserve">, IX, 2, 44). </w:t>
      </w:r>
      <w:r w:rsidRPr="0056094C">
        <w:rPr>
          <w:rStyle w:val="FootnoteReference"/>
          <w:rFonts w:ascii="Calibri" w:eastAsia="Calibri" w:hAnsi="Calibri" w:cs="Calibri"/>
        </w:rPr>
        <w:footnoteReference w:id="22"/>
      </w:r>
      <w:r w:rsidR="5DA2E0D0" w:rsidRPr="5DA2E0D0">
        <w:rPr>
          <w:rFonts w:ascii="Calibri" w:eastAsia="Calibri" w:hAnsi="Calibri" w:cs="Calibri"/>
        </w:rPr>
        <w:t xml:space="preserve"> </w:t>
      </w:r>
      <w:r w:rsidR="0099356A">
        <w:t>Ariosto</w:t>
      </w:r>
      <w:r w:rsidR="0099356A" w:rsidRPr="3BBBAE65">
        <w:t xml:space="preserve"> </w:t>
      </w:r>
      <w:r w:rsidR="0099356A">
        <w:t xml:space="preserve">lucianeo, quindi, anche e soprattutto in questa prospettiva di un’ironia </w:t>
      </w:r>
      <w:r w:rsidR="00AF3ADF">
        <w:t xml:space="preserve">umoristica </w:t>
      </w:r>
      <w:r w:rsidR="0099356A">
        <w:t>che sposta continuamente lo sguardo, inducendo a cercare zone finora ignote e a oltrepassare confini troppo rigidamente concepiti</w:t>
      </w:r>
      <w:r w:rsidR="006317D9">
        <w:t xml:space="preserve">: maestri del paradosso e della bugia, </w:t>
      </w:r>
      <w:r w:rsidR="00AE70BD">
        <w:t>capaci di costruire un vertiginoso meccanismo elicoidale per cui, poiché nulla è vero e nulla è falso, vero e falso semplicemente non appartengono più all’universo dell’invenzione poetica</w:t>
      </w:r>
      <w:r w:rsidR="0099356A" w:rsidRPr="3BBBAE65">
        <w:t>.</w:t>
      </w:r>
      <w:r w:rsidR="00AE70BD" w:rsidRPr="3BBBAE65">
        <w:t xml:space="preserve"> </w:t>
      </w:r>
      <w:r w:rsidR="00AE70BD">
        <w:rPr>
          <w:rStyle w:val="FootnoteReference"/>
        </w:rPr>
        <w:footnoteReference w:id="23"/>
      </w:r>
      <w:r w:rsidR="00D15AEE">
        <w:t xml:space="preserve"> Ariosto e Luciano faccia a faccia, compresenti e confusi, ma pure chiaramente distinguibili, come in una percezione bistabile.</w:t>
      </w:r>
      <w:r w:rsidR="0054600B" w:rsidRPr="3BBBAE65">
        <w:t xml:space="preserve"> </w:t>
      </w:r>
      <w:r w:rsidR="0054600B">
        <w:rPr>
          <w:rStyle w:val="FootnoteReference"/>
        </w:rPr>
        <w:footnoteReference w:id="24"/>
      </w:r>
    </w:p>
    <w:p w:rsidR="003C1F5F" w:rsidRDefault="003C1F5F"/>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56094C" w:rsidRDefault="0056094C" w:rsidP="00633259">
      <w:pPr>
        <w:rPr>
          <w:b/>
        </w:rPr>
      </w:pPr>
    </w:p>
    <w:p w:rsidR="00633259" w:rsidRPr="004B5E3D" w:rsidRDefault="00633259" w:rsidP="00633259">
      <w:pPr>
        <w:rPr>
          <w:rFonts w:eastAsia="Times New Roman" w:cs="Arial"/>
          <w:b/>
          <w:szCs w:val="16"/>
          <w:lang w:val="fr-FR" w:eastAsia="it-IT"/>
        </w:rPr>
      </w:pPr>
      <w:r w:rsidRPr="0056094C">
        <w:rPr>
          <w:b/>
        </w:rPr>
        <w:lastRenderedPageBreak/>
        <w:t xml:space="preserve">Figura 1. Indice delle </w:t>
      </w:r>
      <w:r w:rsidRPr="0056094C">
        <w:rPr>
          <w:rFonts w:eastAsia="Times New Roman" w:cs="Arial"/>
          <w:b/>
          <w:i/>
          <w:iCs/>
          <w:color w:val="0000FF"/>
          <w:u w:val="single"/>
          <w:lang w:eastAsia="it-IT"/>
        </w:rPr>
        <w:t xml:space="preserve">Institutiones uniuersae </w:t>
      </w:r>
      <w:r w:rsidRPr="0056094C">
        <w:rPr>
          <w:rFonts w:eastAsia="Times New Roman" w:cs="Arial"/>
          <w:b/>
          <w:lang w:eastAsia="it-IT"/>
        </w:rPr>
        <w:t xml:space="preserve"> di Costantino Lascaris (Ferrara, Giovanni Mazzocchi di Bondeno, 1510). </w:t>
      </w:r>
      <w:r w:rsidRPr="0056094C">
        <w:rPr>
          <w:rFonts w:eastAsia="Times New Roman" w:cs="Arial"/>
          <w:b/>
          <w:szCs w:val="16"/>
          <w:lang w:val="fr-FR" w:eastAsia="it-IT"/>
        </w:rPr>
        <w:t>Fonte:</w:t>
      </w:r>
      <w:r w:rsidRPr="004B5E3D">
        <w:rPr>
          <w:rFonts w:eastAsia="Times New Roman" w:cs="Arial"/>
          <w:b/>
          <w:szCs w:val="16"/>
          <w:lang w:val="fr-FR" w:eastAsia="it-IT"/>
        </w:rPr>
        <w:t xml:space="preserve"> </w:t>
      </w:r>
      <w:hyperlink r:id="rId34" w:anchor="v=onepage&amp;q&amp;f=true" w:history="1">
        <w:r w:rsidRPr="004B5E3D">
          <w:rPr>
            <w:rStyle w:val="Hyperlink"/>
            <w:rFonts w:eastAsia="Times New Roman" w:cs="Arial"/>
            <w:b/>
            <w:szCs w:val="16"/>
            <w:lang w:val="fr-FR" w:eastAsia="it-IT"/>
          </w:rPr>
          <w:t>https://books.google.it/books?id=UnQKYVRTtaIC&amp;printsec=frontcover&amp;hl=it#v=onepage&amp;q&amp;f=true</w:t>
        </w:r>
      </w:hyperlink>
    </w:p>
    <w:p w:rsidR="00633259" w:rsidRPr="004B5E3D" w:rsidRDefault="00633259" w:rsidP="00633259">
      <w:pPr>
        <w:rPr>
          <w:lang w:val="fr-FR"/>
        </w:rPr>
      </w:pPr>
    </w:p>
    <w:p w:rsidR="00633259" w:rsidRDefault="00633259" w:rsidP="00633259">
      <w:r>
        <w:rPr>
          <w:noProof/>
          <w:lang w:val="en-US"/>
        </w:rPr>
        <w:drawing>
          <wp:inline distT="0" distB="0" distL="0" distR="0">
            <wp:extent cx="5553075" cy="6398108"/>
            <wp:effectExtent l="19050" t="0" r="952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2602" t="18903" r="23886" b="4029"/>
                    <a:stretch/>
                  </pic:blipFill>
                  <pic:spPr bwMode="auto">
                    <a:xfrm>
                      <a:off x="0" y="0"/>
                      <a:ext cx="5553075" cy="6398108"/>
                    </a:xfrm>
                    <a:prstGeom prst="rect">
                      <a:avLst/>
                    </a:prstGeom>
                    <a:ln>
                      <a:noFill/>
                    </a:ln>
                    <a:extLst>
                      <a:ext uri="{53640926-AAD7-44D8-BBD7-CCE9431645EC}">
                        <a14:shadowObscured xmlns:a14="http://schemas.microsoft.com/office/drawing/2010/main"/>
                      </a:ext>
                    </a:extLst>
                  </pic:spPr>
                </pic:pic>
              </a:graphicData>
            </a:graphic>
          </wp:inline>
        </w:drawing>
      </w:r>
    </w:p>
    <w:p w:rsidR="00633259" w:rsidRDefault="00633259"/>
    <w:p w:rsidR="0079355F" w:rsidRDefault="0079355F"/>
    <w:p w:rsidR="0079355F" w:rsidRDefault="0079355F"/>
    <w:p w:rsidR="0079355F" w:rsidRPr="0079355F" w:rsidRDefault="3BBBAE65">
      <w:pPr>
        <w:rPr>
          <w:lang w:val="fr-FR"/>
        </w:rPr>
      </w:pPr>
      <w:r w:rsidRPr="0056094C">
        <w:rPr>
          <w:b/>
          <w:bCs/>
        </w:rPr>
        <w:lastRenderedPageBreak/>
        <w:t xml:space="preserve">Figura 2. Indice degli </w:t>
      </w:r>
      <w:r w:rsidRPr="0056094C">
        <w:rPr>
          <w:b/>
          <w:bCs/>
          <w:i/>
          <w:iCs/>
        </w:rPr>
        <w:t>Erotemata</w:t>
      </w:r>
      <w:r w:rsidRPr="0056094C">
        <w:rPr>
          <w:b/>
          <w:bCs/>
        </w:rPr>
        <w:t xml:space="preserve"> </w:t>
      </w:r>
      <w:r w:rsidRPr="0056094C">
        <w:rPr>
          <w:rFonts w:eastAsia="Times New Roman" w:cs="Arial"/>
          <w:b/>
          <w:bCs/>
          <w:lang w:eastAsia="it-IT"/>
        </w:rPr>
        <w:t xml:space="preserve">di Costantino Lascaris (Venezia, Aldo, 1494/95). </w:t>
      </w:r>
      <w:r w:rsidRPr="0056094C">
        <w:rPr>
          <w:rFonts w:eastAsia="Times New Roman" w:cs="Arial"/>
          <w:b/>
          <w:bCs/>
          <w:lang w:val="fr-FR" w:eastAsia="it-IT"/>
        </w:rPr>
        <w:t>Fonte:</w:t>
      </w:r>
      <w:r w:rsidRPr="3BBBAE65">
        <w:rPr>
          <w:rFonts w:eastAsia="Times New Roman" w:cs="Arial"/>
          <w:b/>
          <w:bCs/>
          <w:lang w:val="fr-FR" w:eastAsia="it-IT"/>
        </w:rPr>
        <w:t xml:space="preserve"> </w:t>
      </w:r>
      <w:hyperlink r:id="rId36">
        <w:r w:rsidRPr="3BBBAE65">
          <w:rPr>
            <w:rStyle w:val="Hyperlink"/>
            <w:rFonts w:eastAsia="Times New Roman" w:cs="Arial"/>
            <w:b/>
            <w:bCs/>
            <w:lang w:val="fr-FR" w:eastAsia="it-IT"/>
          </w:rPr>
          <w:t>http://daten.digitale-sammlungen.de/~db/0001/bsb00015875/images/index.html?id=00015875&amp;seite=4&amp;fip=193.174.98.30&amp;nativeno=%2F&amp;groesser=100%25</w:t>
        </w:r>
      </w:hyperlink>
    </w:p>
    <w:p w:rsidR="3BBBAE65" w:rsidRDefault="3BBBAE65" w:rsidP="3BBBAE65">
      <w:r>
        <w:rPr>
          <w:noProof/>
          <w:lang w:val="en-US"/>
        </w:rPr>
        <w:drawing>
          <wp:inline distT="0" distB="0" distL="0" distR="0">
            <wp:extent cx="5272694" cy="7716138"/>
            <wp:effectExtent l="0" t="0" r="0" b="0"/>
            <wp:docPr id="18325481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2694" cy="7716138"/>
                    </a:xfrm>
                    <a:prstGeom prst="rect">
                      <a:avLst/>
                    </a:prstGeom>
                  </pic:spPr>
                </pic:pic>
              </a:graphicData>
            </a:graphic>
          </wp:inline>
        </w:drawing>
      </w:r>
    </w:p>
    <w:p w:rsidR="005C6AC6" w:rsidRDefault="005C6AC6"/>
    <w:p w:rsidR="007623FC" w:rsidRPr="005C6AC6" w:rsidRDefault="007623FC">
      <w:pPr>
        <w:rPr>
          <w:b/>
          <w:lang w:val="fr-FR"/>
        </w:rPr>
      </w:pPr>
      <w:r w:rsidRPr="0056094C">
        <w:rPr>
          <w:b/>
        </w:rPr>
        <w:t xml:space="preserve">Figura 3. </w:t>
      </w:r>
      <w:r w:rsidR="007D68C8" w:rsidRPr="0056094C">
        <w:rPr>
          <w:b/>
        </w:rPr>
        <w:t>Le percezioni bistabili: anatra o coniglio?</w:t>
      </w:r>
      <w:r w:rsidR="005C6AC6" w:rsidRPr="0056094C">
        <w:rPr>
          <w:b/>
        </w:rPr>
        <w:t xml:space="preserve"> </w:t>
      </w:r>
      <w:r w:rsidRPr="0056094C">
        <w:rPr>
          <w:b/>
          <w:lang w:val="fr-FR"/>
        </w:rPr>
        <w:t>Fonte:</w:t>
      </w:r>
      <w:r w:rsidRPr="005C6AC6">
        <w:rPr>
          <w:b/>
          <w:lang w:val="fr-FR"/>
        </w:rPr>
        <w:t xml:space="preserve"> </w:t>
      </w:r>
      <w:hyperlink r:id="rId38" w:anchor="/media/File:Duck-Rabbit_illusion.jpg" w:history="1">
        <w:r w:rsidR="005C6AC6" w:rsidRPr="00D95D15">
          <w:rPr>
            <w:rStyle w:val="Hyperlink"/>
            <w:b/>
            <w:lang w:val="fr-FR"/>
          </w:rPr>
          <w:t>https://en.wikipedia.org/wiki/Irony%27s_Edge#/media/File:Duck-Rabbit_illusion.jpg</w:t>
        </w:r>
      </w:hyperlink>
      <w:r w:rsidR="005C6AC6">
        <w:rPr>
          <w:b/>
          <w:lang w:val="fr-FR"/>
        </w:rPr>
        <w:t xml:space="preserve"> </w:t>
      </w:r>
    </w:p>
    <w:p w:rsidR="007623FC" w:rsidRPr="007D68C8" w:rsidRDefault="007623FC">
      <w:pPr>
        <w:rPr>
          <w:lang w:val="fr-FR"/>
        </w:rPr>
      </w:pPr>
    </w:p>
    <w:p w:rsidR="3BBBAE65" w:rsidRDefault="3BBBAE65" w:rsidP="3BBBAE65">
      <w:r>
        <w:rPr>
          <w:noProof/>
          <w:lang w:val="en-US"/>
        </w:rPr>
        <w:drawing>
          <wp:inline distT="0" distB="0" distL="0" distR="0">
            <wp:extent cx="4572000" cy="3086100"/>
            <wp:effectExtent l="0" t="0" r="0" b="0"/>
            <wp:docPr id="16997376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sectPr w:rsidR="3BBBAE65" w:rsidSect="00BD338B">
      <w:footerReference w:type="default" r:id="rId4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DCA" w:rsidRDefault="00B73DCA" w:rsidP="0047192E">
      <w:pPr>
        <w:spacing w:after="0" w:line="240" w:lineRule="auto"/>
      </w:pPr>
      <w:r>
        <w:separator/>
      </w:r>
    </w:p>
  </w:endnote>
  <w:endnote w:type="continuationSeparator" w:id="0">
    <w:p w:rsidR="00B73DCA" w:rsidRDefault="00B73DCA" w:rsidP="0047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mbo MT Pro">
    <w:altName w:val="Bembo MT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822827"/>
      <w:docPartObj>
        <w:docPartGallery w:val="Page Numbers (Bottom of Page)"/>
        <w:docPartUnique/>
      </w:docPartObj>
    </w:sdtPr>
    <w:sdtEndPr/>
    <w:sdtContent>
      <w:p w:rsidR="006317D9" w:rsidRDefault="006317D9">
        <w:pPr>
          <w:pStyle w:val="Footer"/>
          <w:jc w:val="center"/>
        </w:pPr>
      </w:p>
      <w:p w:rsidR="006317D9" w:rsidRDefault="00B73DCA">
        <w:pPr>
          <w:pStyle w:val="Footer"/>
          <w:jc w:val="center"/>
        </w:pPr>
        <w:r>
          <w:rPr>
            <w:noProof/>
          </w:rPr>
          <w:fldChar w:fldCharType="begin"/>
        </w:r>
        <w:r>
          <w:rPr>
            <w:noProof/>
          </w:rPr>
          <w:instrText xml:space="preserve"> PAGE   \* MERGEFORMAT </w:instrText>
        </w:r>
        <w:r>
          <w:rPr>
            <w:noProof/>
          </w:rPr>
          <w:fldChar w:fldCharType="separate"/>
        </w:r>
        <w:r w:rsidR="00A811FE">
          <w:rPr>
            <w:noProof/>
          </w:rPr>
          <w:t>4</w:t>
        </w:r>
        <w:r>
          <w:rPr>
            <w:noProof/>
          </w:rPr>
          <w:fldChar w:fldCharType="end"/>
        </w:r>
      </w:p>
    </w:sdtContent>
  </w:sdt>
  <w:p w:rsidR="006317D9" w:rsidRDefault="006317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DCA" w:rsidRDefault="00B73DCA" w:rsidP="0047192E">
      <w:pPr>
        <w:spacing w:after="0" w:line="240" w:lineRule="auto"/>
      </w:pPr>
      <w:r>
        <w:separator/>
      </w:r>
    </w:p>
  </w:footnote>
  <w:footnote w:type="continuationSeparator" w:id="0">
    <w:p w:rsidR="00B73DCA" w:rsidRDefault="00B73DCA" w:rsidP="0047192E">
      <w:pPr>
        <w:spacing w:after="0" w:line="240" w:lineRule="auto"/>
      </w:pPr>
      <w:r>
        <w:continuationSeparator/>
      </w:r>
    </w:p>
  </w:footnote>
  <w:footnote w:id="1">
    <w:p w:rsidR="006317D9" w:rsidRPr="007623FC" w:rsidRDefault="006317D9">
      <w:pPr>
        <w:pStyle w:val="FootnoteText"/>
      </w:pPr>
      <w:r w:rsidRPr="007623FC">
        <w:rPr>
          <w:rStyle w:val="FootnoteReference"/>
        </w:rPr>
        <w:footnoteRef/>
      </w:r>
      <w:r w:rsidRPr="007623FC">
        <w:t xml:space="preserve"> </w:t>
      </w:r>
      <w:r w:rsidRPr="006A675F">
        <w:rPr>
          <w:rFonts w:eastAsia="Times New Roman" w:cs="Times New Roman"/>
        </w:rPr>
        <w:t>Lucianus</w:t>
      </w:r>
      <w:r>
        <w:rPr>
          <w:rFonts w:eastAsia="Times New Roman" w:cs="Times New Roman"/>
        </w:rPr>
        <w:t>,</w:t>
      </w:r>
      <w:r w:rsidRPr="007623FC">
        <w:rPr>
          <w:rFonts w:eastAsia="Times New Roman" w:cs="Times New Roman"/>
          <w:i/>
        </w:rPr>
        <w:t xml:space="preserve"> De </w:t>
      </w:r>
      <w:r>
        <w:rPr>
          <w:rFonts w:eastAsia="Times New Roman" w:cs="Times New Roman"/>
          <w:i/>
        </w:rPr>
        <w:t>A</w:t>
      </w:r>
      <w:r w:rsidRPr="007623FC">
        <w:rPr>
          <w:rFonts w:eastAsia="Times New Roman" w:cs="Times New Roman"/>
          <w:i/>
        </w:rPr>
        <w:t xml:space="preserve">ulicorum </w:t>
      </w:r>
      <w:r>
        <w:rPr>
          <w:rFonts w:eastAsia="Times New Roman" w:cs="Times New Roman"/>
          <w:i/>
        </w:rPr>
        <w:t>A</w:t>
      </w:r>
      <w:r w:rsidRPr="007623FC">
        <w:rPr>
          <w:rFonts w:eastAsia="Times New Roman" w:cs="Times New Roman"/>
          <w:i/>
        </w:rPr>
        <w:t xml:space="preserve">erumnis. Pierio Valeriano interprete </w:t>
      </w:r>
      <w:r w:rsidRPr="007623FC">
        <w:rPr>
          <w:rFonts w:eastAsia="Times New Roman" w:cs="Times New Roman"/>
        </w:rPr>
        <w:t>(Impressit Romae: Ia. Mazochius, idib. Martijs. 1516).</w:t>
      </w:r>
    </w:p>
  </w:footnote>
  <w:footnote w:id="2">
    <w:p w:rsidR="006317D9" w:rsidRPr="007623FC" w:rsidRDefault="006317D9">
      <w:pPr>
        <w:pStyle w:val="FootnoteText"/>
      </w:pPr>
      <w:r w:rsidRPr="007623FC">
        <w:rPr>
          <w:rStyle w:val="FootnoteReference"/>
        </w:rPr>
        <w:footnoteRef/>
      </w:r>
      <w:r w:rsidRPr="007623FC">
        <w:t xml:space="preserve"> </w:t>
      </w:r>
      <w:r w:rsidRPr="00D246B3">
        <w:rPr>
          <w:rFonts w:eastAsia="Times New Roman" w:cs="Arial"/>
          <w:bCs/>
          <w:lang w:eastAsia="it-IT"/>
        </w:rPr>
        <w:t>Ludovico</w:t>
      </w:r>
      <w:r w:rsidRPr="007623FC">
        <w:rPr>
          <w:rFonts w:eastAsia="Times New Roman" w:cs="Arial"/>
          <w:lang w:eastAsia="it-IT"/>
        </w:rPr>
        <w:t> </w:t>
      </w:r>
      <w:r w:rsidRPr="00D246B3">
        <w:rPr>
          <w:rFonts w:eastAsia="Times New Roman" w:cs="Arial"/>
          <w:bCs/>
          <w:lang w:eastAsia="it-IT"/>
        </w:rPr>
        <w:t xml:space="preserve"> Ariosto, </w:t>
      </w:r>
      <w:hyperlink r:id="rId1" w:history="1">
        <w:r w:rsidRPr="00D246B3">
          <w:rPr>
            <w:rFonts w:eastAsia="Times New Roman" w:cs="Arial"/>
            <w:i/>
            <w:iCs/>
            <w:lang w:eastAsia="it-IT"/>
          </w:rPr>
          <w:t>Orlando furioso de Ludouico Ariosto da Ferrara</w:t>
        </w:r>
      </w:hyperlink>
      <w:r w:rsidRPr="007623FC">
        <w:rPr>
          <w:rFonts w:eastAsia="Times New Roman" w:cs="Arial"/>
          <w:lang w:eastAsia="it-IT"/>
        </w:rPr>
        <w:t xml:space="preserve"> (Impresso in Ferrara : per maestro Giouanni </w:t>
      </w:r>
      <w:r>
        <w:rPr>
          <w:rFonts w:eastAsia="Times New Roman" w:cs="Arial"/>
          <w:lang w:eastAsia="it-IT"/>
        </w:rPr>
        <w:t>Mazzocchi</w:t>
      </w:r>
      <w:r w:rsidRPr="007623FC">
        <w:rPr>
          <w:rFonts w:eastAsia="Times New Roman" w:cs="Arial"/>
          <w:lang w:eastAsia="it-IT"/>
        </w:rPr>
        <w:t xml:space="preserve"> dal Bondeno adi XXII. de aprile, 1516). </w:t>
      </w:r>
    </w:p>
  </w:footnote>
  <w:footnote w:id="3">
    <w:p w:rsidR="006317D9" w:rsidRPr="00573BB1" w:rsidRDefault="006317D9">
      <w:pPr>
        <w:pStyle w:val="FootnoteText"/>
      </w:pPr>
      <w:r w:rsidRPr="00D03B16">
        <w:rPr>
          <w:rStyle w:val="FootnoteReference"/>
        </w:rPr>
        <w:footnoteRef/>
      </w:r>
      <w:r w:rsidRPr="00D03B16">
        <w:t xml:space="preserve"> Ludovico Ariosto, </w:t>
      </w:r>
      <w:r w:rsidRPr="00D03B16">
        <w:rPr>
          <w:i/>
        </w:rPr>
        <w:t>Orlando furioso secondo la princeps del 1516</w:t>
      </w:r>
      <w:r w:rsidRPr="00D03B16">
        <w:t>, edizione critica a cura di Marco Dorigatti, con la collaborazione di Gerarda Stimato, Firenze, Olschki, 2006, p. 991.</w:t>
      </w:r>
    </w:p>
  </w:footnote>
  <w:footnote w:id="4">
    <w:p w:rsidR="006317D9" w:rsidRPr="007623FC" w:rsidRDefault="006317D9">
      <w:pPr>
        <w:pStyle w:val="FootnoteText"/>
      </w:pPr>
      <w:r w:rsidRPr="007623FC">
        <w:rPr>
          <w:rStyle w:val="FootnoteReference"/>
        </w:rPr>
        <w:footnoteRef/>
      </w:r>
      <w:r w:rsidRPr="007623FC">
        <w:t xml:space="preserve"> Si vedano almeno le rispettive voci nel </w:t>
      </w:r>
      <w:r w:rsidRPr="007623FC">
        <w:rPr>
          <w:i/>
        </w:rPr>
        <w:t>Dizionario biografico degli italiani</w:t>
      </w:r>
      <w:r w:rsidRPr="007623FC">
        <w:t xml:space="preserve">: Massimiliano Albanese, </w:t>
      </w:r>
      <w:r w:rsidRPr="007623FC">
        <w:rPr>
          <w:i/>
        </w:rPr>
        <w:t>Mazzocchi</w:t>
      </w:r>
      <w:r>
        <w:rPr>
          <w:i/>
        </w:rPr>
        <w:t xml:space="preserve"> (Mazochio)</w:t>
      </w:r>
      <w:r w:rsidRPr="007623FC">
        <w:rPr>
          <w:i/>
        </w:rPr>
        <w:t>, Giacomo</w:t>
      </w:r>
      <w:r w:rsidRPr="007623FC">
        <w:t>,</w:t>
      </w:r>
      <w:r>
        <w:t xml:space="preserve"> in </w:t>
      </w:r>
      <w:r w:rsidRPr="007623FC">
        <w:rPr>
          <w:i/>
          <w:iCs/>
        </w:rPr>
        <w:t>DBI</w:t>
      </w:r>
      <w:r>
        <w:rPr>
          <w:iCs/>
        </w:rPr>
        <w:t>, Roma, Istituto dell’Enciclopedia Italiana,</w:t>
      </w:r>
      <w:r w:rsidRPr="007623FC">
        <w:t xml:space="preserve"> 72 (2008),</w:t>
      </w:r>
      <w:r>
        <w:t xml:space="preserve"> pp. 619-21, </w:t>
      </w:r>
      <w:r w:rsidRPr="007623FC">
        <w:t xml:space="preserve">e Eleonora Azzini, </w:t>
      </w:r>
      <w:r w:rsidRPr="007623FC">
        <w:rPr>
          <w:i/>
          <w:iCs/>
        </w:rPr>
        <w:t>Mazzocchi, Giovanni (Giovanni Mazzocco di Bondeno)</w:t>
      </w:r>
      <w:r w:rsidRPr="007623FC">
        <w:t>,</w:t>
      </w:r>
      <w:r>
        <w:t xml:space="preserve"> </w:t>
      </w:r>
      <w:r w:rsidRPr="007623FC">
        <w:t>ivi,</w:t>
      </w:r>
      <w:r>
        <w:t xml:space="preserve"> pp. 623-25. Le voci sono disponibili online alle pagine: </w:t>
      </w:r>
      <w:r w:rsidRPr="007623FC">
        <w:t>&lt;</w:t>
      </w:r>
      <w:hyperlink r:id="rId2" w:history="1">
        <w:r w:rsidRPr="007623FC">
          <w:rPr>
            <w:rStyle w:val="Hyperlink"/>
            <w:color w:val="auto"/>
          </w:rPr>
          <w:t>http://www.treccani.it/enciclopedia/giacomo-mazzocchi_(Dizionario-Biografico)/</w:t>
        </w:r>
      </w:hyperlink>
      <w:r w:rsidRPr="007623FC">
        <w:t>&gt;</w:t>
      </w:r>
      <w:r>
        <w:t xml:space="preserve"> e </w:t>
      </w:r>
      <w:r w:rsidRPr="007623FC">
        <w:t>&lt;</w:t>
      </w:r>
      <w:hyperlink r:id="rId3" w:history="1">
        <w:r w:rsidRPr="007623FC">
          <w:rPr>
            <w:rStyle w:val="Hyperlink"/>
            <w:color w:val="auto"/>
          </w:rPr>
          <w:t>http://www.treccani.it/enciclopedia/giovanni-mazzocchi_(Dizionario-Biografico)</w:t>
        </w:r>
      </w:hyperlink>
      <w:r>
        <w:t xml:space="preserve">&gt; </w:t>
      </w:r>
      <w:r w:rsidRPr="007623FC">
        <w:t>[accesso effettuato il 31 gennaio 2018].</w:t>
      </w:r>
    </w:p>
  </w:footnote>
  <w:footnote w:id="5">
    <w:p w:rsidR="006317D9" w:rsidRPr="006A675F" w:rsidRDefault="006317D9">
      <w:pPr>
        <w:pStyle w:val="FootnoteText"/>
      </w:pPr>
      <w:r>
        <w:rPr>
          <w:rStyle w:val="FootnoteReference"/>
        </w:rPr>
        <w:footnoteRef/>
      </w:r>
      <w:r w:rsidRPr="006A675F">
        <w:t xml:space="preserve"> </w:t>
      </w:r>
      <w:r w:rsidRPr="006A675F">
        <w:rPr>
          <w:rFonts w:eastAsia="Times New Roman" w:cs="Times New Roman"/>
        </w:rPr>
        <w:t>Lucianus,</w:t>
      </w:r>
      <w:r w:rsidRPr="006A675F">
        <w:rPr>
          <w:rFonts w:eastAsia="Times New Roman" w:cs="Times New Roman"/>
          <w:i/>
        </w:rPr>
        <w:t xml:space="preserve"> De Aulicorum Aerumnis</w:t>
      </w:r>
      <w:r w:rsidRPr="006A675F">
        <w:rPr>
          <w:rFonts w:eastAsia="Times New Roman" w:cs="Times New Roman"/>
        </w:rPr>
        <w:t>, cit., c. non numerata</w:t>
      </w:r>
      <w:r>
        <w:rPr>
          <w:rFonts w:eastAsia="Times New Roman" w:cs="Times New Roman"/>
        </w:rPr>
        <w:t>.</w:t>
      </w:r>
    </w:p>
  </w:footnote>
  <w:footnote w:id="6">
    <w:p w:rsidR="006317D9" w:rsidRDefault="006317D9" w:rsidP="006A675F">
      <w:pPr>
        <w:pStyle w:val="FootnoteText"/>
      </w:pPr>
      <w:r>
        <w:rPr>
          <w:rStyle w:val="FootnoteReference"/>
        </w:rPr>
        <w:footnoteRef/>
      </w:r>
      <w:r>
        <w:t xml:space="preserve"> L’originale greco si legge online alla pagina </w:t>
      </w:r>
      <w:hyperlink r:id="rId4" w:history="1">
        <w:r w:rsidRPr="00D95D15">
          <w:rPr>
            <w:rStyle w:val="Hyperlink"/>
          </w:rPr>
          <w:t>http://www.perseus.tufts.edu/hopper/text?doc=Perseus%3Atext%3A2008.01.0452%3Asection%3D42</w:t>
        </w:r>
      </w:hyperlink>
      <w:r>
        <w:t xml:space="preserve"> [accesso effettuato il 31 gennaio 2018].</w:t>
      </w:r>
    </w:p>
  </w:footnote>
  <w:footnote w:id="7">
    <w:p w:rsidR="006317D9" w:rsidRPr="006A675F" w:rsidRDefault="006317D9">
      <w:pPr>
        <w:pStyle w:val="FootnoteText"/>
      </w:pPr>
      <w:r>
        <w:rPr>
          <w:rStyle w:val="FootnoteReference"/>
        </w:rPr>
        <w:footnoteRef/>
      </w:r>
      <w:r>
        <w:t xml:space="preserve"> </w:t>
      </w:r>
      <w:r>
        <w:rPr>
          <w:i/>
        </w:rPr>
        <w:t>La vita de cortigiani di Luciano filosofo interprete Giulio Roselli fiorentino</w:t>
      </w:r>
      <w:r>
        <w:t>, Vinegia, per Venturino di Ruffinelli, 1542, c. non numerata.</w:t>
      </w:r>
    </w:p>
  </w:footnote>
  <w:footnote w:id="8">
    <w:p w:rsidR="006317D9" w:rsidRPr="007623FC" w:rsidRDefault="006317D9" w:rsidP="00FA7DC1">
      <w:pPr>
        <w:pStyle w:val="FootnoteText"/>
      </w:pPr>
      <w:r w:rsidRPr="007623FC">
        <w:rPr>
          <w:rStyle w:val="FootnoteReference"/>
        </w:rPr>
        <w:footnoteRef/>
      </w:r>
      <w:r w:rsidRPr="007623FC">
        <w:t xml:space="preserve"> </w:t>
      </w:r>
      <w:r>
        <w:t xml:space="preserve">Cfr. </w:t>
      </w:r>
      <w:r w:rsidRPr="007623FC">
        <w:rPr>
          <w:rStyle w:val="Emphasis"/>
          <w:i w:val="0"/>
        </w:rPr>
        <w:t>Stefano Benedetti</w:t>
      </w:r>
      <w:r w:rsidRPr="007623FC">
        <w:rPr>
          <w:rStyle w:val="st"/>
          <w:i/>
          <w:iCs/>
        </w:rPr>
        <w:t>,</w:t>
      </w:r>
      <w:r w:rsidRPr="007623FC">
        <w:rPr>
          <w:rStyle w:val="st"/>
        </w:rPr>
        <w:t xml:space="preserve"> </w:t>
      </w:r>
      <w:r w:rsidRPr="007623FC">
        <w:rPr>
          <w:rStyle w:val="Emphasis"/>
        </w:rPr>
        <w:t>Itinerari di Cebete</w:t>
      </w:r>
      <w:r w:rsidRPr="007623FC">
        <w:rPr>
          <w:rStyle w:val="st"/>
        </w:rPr>
        <w:t xml:space="preserve">. </w:t>
      </w:r>
      <w:r w:rsidRPr="007623FC">
        <w:rPr>
          <w:rStyle w:val="st"/>
          <w:i/>
          <w:iCs/>
        </w:rPr>
        <w:t>Tradizione e ricezione della Tabula in Italia dal XV al XVIII secolo</w:t>
      </w:r>
      <w:r w:rsidRPr="007623FC">
        <w:rPr>
          <w:rStyle w:val="st"/>
        </w:rPr>
        <w:t xml:space="preserve">, Roma, Bulzoni, 2001, pp. </w:t>
      </w:r>
      <w:r>
        <w:rPr>
          <w:rStyle w:val="st"/>
        </w:rPr>
        <w:t>202-22, 282-4 e 303-8</w:t>
      </w:r>
      <w:r w:rsidRPr="007623FC">
        <w:rPr>
          <w:rStyle w:val="st"/>
        </w:rPr>
        <w:t>.</w:t>
      </w:r>
    </w:p>
  </w:footnote>
  <w:footnote w:id="9">
    <w:p w:rsidR="006317D9" w:rsidRPr="007623FC" w:rsidRDefault="006317D9" w:rsidP="00EE2D14">
      <w:pPr>
        <w:pStyle w:val="FootnoteText"/>
      </w:pPr>
      <w:r w:rsidRPr="007623FC">
        <w:rPr>
          <w:rStyle w:val="FootnoteReference"/>
        </w:rPr>
        <w:footnoteRef/>
      </w:r>
      <w:r w:rsidRPr="007623FC">
        <w:t xml:space="preserve"> </w:t>
      </w:r>
      <w:r w:rsidRPr="00D246B3">
        <w:rPr>
          <w:rFonts w:eastAsia="Times New Roman" w:cs="Arial"/>
          <w:bCs/>
          <w:lang w:eastAsia="it-IT"/>
        </w:rPr>
        <w:t>Constantinus</w:t>
      </w:r>
      <w:r w:rsidRPr="00D246B3">
        <w:rPr>
          <w:rFonts w:eastAsia="Times New Roman" w:cs="Arial"/>
          <w:lang w:eastAsia="it-IT"/>
        </w:rPr>
        <w:t> </w:t>
      </w:r>
      <w:r w:rsidRPr="00D246B3">
        <w:rPr>
          <w:rFonts w:eastAsia="Times New Roman" w:cs="Arial"/>
          <w:bCs/>
          <w:lang w:eastAsia="it-IT"/>
        </w:rPr>
        <w:t xml:space="preserve"> Lascaris,</w:t>
      </w:r>
      <w:r w:rsidRPr="007623FC">
        <w:rPr>
          <w:rFonts w:eastAsia="Times New Roman" w:cs="Arial"/>
          <w:b/>
          <w:bCs/>
          <w:lang w:eastAsia="it-IT"/>
        </w:rPr>
        <w:t xml:space="preserve"> </w:t>
      </w:r>
      <w:hyperlink r:id="rId5" w:history="1">
        <w:r w:rsidRPr="00D246B3">
          <w:rPr>
            <w:rFonts w:eastAsia="Times New Roman" w:cs="Arial"/>
            <w:i/>
            <w:iCs/>
            <w:lang w:eastAsia="it-IT"/>
          </w:rPr>
          <w:t>Constantini Lascaris Institutiones uniuersae cum plurimis auctariis nuperrime impressae tanta diligentia, et rerum copia, quanta numquam alias</w:t>
        </w:r>
      </w:hyperlink>
      <w:r w:rsidRPr="007623FC">
        <w:rPr>
          <w:rFonts w:eastAsia="Times New Roman" w:cs="Arial"/>
          <w:lang w:eastAsia="it-IT"/>
        </w:rPr>
        <w:t xml:space="preserve"> [Ferrara : Giovanni Mazzocchi di Bondeno] (Ferrariae : per Ioannem Maciochium Bondenum, 1510 tertio Calendas Sextilis). Il testo si legge online alla pagina &lt;</w:t>
      </w:r>
      <w:hyperlink r:id="rId6" w:anchor="v=onepage&amp;q&amp;f=true" w:history="1">
        <w:r w:rsidRPr="007623FC">
          <w:rPr>
            <w:rStyle w:val="Hyperlink"/>
            <w:rFonts w:eastAsia="Times New Roman" w:cs="Arial"/>
            <w:color w:val="auto"/>
            <w:lang w:eastAsia="it-IT"/>
          </w:rPr>
          <w:t>https://books.google.it/books?id=UnQKYVRTtaIC&amp;printsec=frontcover&amp;hl=it#v=onepage&amp;q&amp;f=true</w:t>
        </w:r>
      </w:hyperlink>
      <w:r w:rsidRPr="007623FC">
        <w:t>&gt; e alla pagina &lt;</w:t>
      </w:r>
      <w:hyperlink r:id="rId7" w:history="1">
        <w:r w:rsidRPr="007623FC">
          <w:rPr>
            <w:rStyle w:val="Hyperlink"/>
            <w:color w:val="auto"/>
          </w:rPr>
          <w:t>http://reader.digitale-sammlungen.de/resolve/display/bsb11217196.html</w:t>
        </w:r>
      </w:hyperlink>
      <w:r w:rsidRPr="007623FC">
        <w:t>&gt; [accesso effettuato il 1 febbraio 2018].</w:t>
      </w:r>
    </w:p>
  </w:footnote>
  <w:footnote w:id="10">
    <w:p w:rsidR="006317D9" w:rsidRPr="007623FC" w:rsidRDefault="006317D9" w:rsidP="00EE2D14">
      <w:pPr>
        <w:spacing w:after="0" w:line="240" w:lineRule="auto"/>
        <w:rPr>
          <w:sz w:val="20"/>
          <w:szCs w:val="20"/>
        </w:rPr>
      </w:pPr>
      <w:r w:rsidRPr="007623FC">
        <w:rPr>
          <w:rStyle w:val="FootnoteReference"/>
          <w:sz w:val="20"/>
          <w:szCs w:val="20"/>
        </w:rPr>
        <w:footnoteRef/>
      </w:r>
      <w:r w:rsidRPr="007623FC">
        <w:rPr>
          <w:sz w:val="20"/>
          <w:szCs w:val="20"/>
        </w:rPr>
        <w:t xml:space="preserve"> </w:t>
      </w:r>
      <w:r w:rsidRPr="007623FC">
        <w:rPr>
          <w:rFonts w:eastAsia="Times New Roman" w:cs="Arial"/>
          <w:bCs/>
          <w:i/>
          <w:sz w:val="20"/>
          <w:szCs w:val="20"/>
          <w:lang w:eastAsia="it-IT"/>
        </w:rPr>
        <w:t xml:space="preserve">In hoc libro hæc Continentur. Constantini Lascaris Erotemata cum interpretatione latina. </w:t>
      </w:r>
      <w:r w:rsidRPr="007623FC">
        <w:rPr>
          <w:rFonts w:eastAsia="Times New Roman" w:cs="Arial"/>
          <w:bCs/>
          <w:i/>
          <w:sz w:val="20"/>
          <w:szCs w:val="20"/>
          <w:lang w:val="fr-FR" w:eastAsia="it-IT"/>
        </w:rPr>
        <w:t xml:space="preserve">De litteris graecis ac diphthongis et quemadmodum ad nos ueniant. </w:t>
      </w:r>
      <w:r w:rsidRPr="007623FC">
        <w:rPr>
          <w:rFonts w:eastAsia="Times New Roman" w:cs="Arial"/>
          <w:bCs/>
          <w:i/>
          <w:sz w:val="20"/>
          <w:szCs w:val="20"/>
          <w:lang w:eastAsia="it-IT"/>
        </w:rPr>
        <w:t>Abbreuationes quibus frequentissime graeci utuntur. Oratio Dominica &amp; duplex Beatæ Virginis. Symbolum Apostolorum. Euangelium Diui Ioannis Euangelistæ. Carmina aurea Pythagoræ. Phocilidis uiri sapientissimi moralia. Omnia suprascripta habent eregione interpretationem latinam deuerbo ad uerbum</w:t>
      </w:r>
      <w:r w:rsidRPr="007623FC">
        <w:rPr>
          <w:rFonts w:eastAsia="Times New Roman" w:cs="Arial"/>
          <w:bCs/>
          <w:sz w:val="20"/>
          <w:szCs w:val="20"/>
          <w:lang w:eastAsia="it-IT"/>
        </w:rPr>
        <w:t xml:space="preserve"> (Venetiis</w:t>
      </w:r>
      <w:r w:rsidRPr="007623FC">
        <w:rPr>
          <w:rFonts w:cs="Arial"/>
          <w:sz w:val="20"/>
          <w:szCs w:val="20"/>
          <w:shd w:val="clear" w:color="auto" w:fill="FFFFFF"/>
        </w:rPr>
        <w:t>: summo studio, litteris ac impensis Aldi Manucii Romani, 1494 – Venetiis, 1495). Il testo si legge online alla pagina &lt;</w:t>
      </w:r>
      <w:hyperlink r:id="rId8" w:history="1">
        <w:r w:rsidRPr="007623FC">
          <w:rPr>
            <w:rStyle w:val="Hyperlink"/>
            <w:rFonts w:cs="Arial"/>
            <w:color w:val="auto"/>
            <w:sz w:val="20"/>
            <w:szCs w:val="20"/>
            <w:shd w:val="clear" w:color="auto" w:fill="FFFFFF"/>
          </w:rPr>
          <w:t>http://daten.digitale-sammlungen.de/~db/0001/bsb00015875/images/index.html?id=00015875&amp;groesser=&amp;fip=193.174.98.30&amp;no=&amp;seite=1</w:t>
        </w:r>
      </w:hyperlink>
      <w:r w:rsidRPr="007623FC">
        <w:rPr>
          <w:rFonts w:cs="Arial"/>
          <w:sz w:val="20"/>
          <w:szCs w:val="20"/>
          <w:shd w:val="clear" w:color="auto" w:fill="FFFFFF"/>
        </w:rPr>
        <w:t xml:space="preserve">&gt; </w:t>
      </w:r>
      <w:r w:rsidRPr="007623FC">
        <w:rPr>
          <w:sz w:val="20"/>
          <w:szCs w:val="20"/>
        </w:rPr>
        <w:t>[accesso effettuato il 1 febbraio 2018].</w:t>
      </w:r>
    </w:p>
  </w:footnote>
  <w:footnote w:id="11">
    <w:p w:rsidR="006317D9" w:rsidRPr="007623FC" w:rsidRDefault="006317D9">
      <w:pPr>
        <w:pStyle w:val="FootnoteText"/>
      </w:pPr>
      <w:r w:rsidRPr="007623FC">
        <w:rPr>
          <w:rStyle w:val="FootnoteReference"/>
        </w:rPr>
        <w:footnoteRef/>
      </w:r>
      <w:r w:rsidRPr="007623FC">
        <w:t xml:space="preserve"> Va almeno ricordato, qui, che la prima lettera di Ludovico Ariosto a noi pervenuta conteneva una richiesta ad Aldo Manuzio proprio dei testi ermetici commentati da Ficino: </w:t>
      </w:r>
      <w:r>
        <w:t xml:space="preserve">cfr. </w:t>
      </w:r>
      <w:r w:rsidRPr="007623FC">
        <w:t xml:space="preserve">Ludovico Ariosto, </w:t>
      </w:r>
      <w:r w:rsidRPr="007623FC">
        <w:rPr>
          <w:i/>
          <w:iCs/>
        </w:rPr>
        <w:t>Lettere</w:t>
      </w:r>
      <w:r w:rsidRPr="007623FC">
        <w:t>, a cura di Angelo Stella</w:t>
      </w:r>
      <w:r>
        <w:t>, Milano, Mondadori, 1965, p. 3, con la relativa discussione di</w:t>
      </w:r>
      <w:r w:rsidRPr="007623FC">
        <w:t xml:space="preserve"> </w:t>
      </w:r>
      <w:r w:rsidRPr="007623FC">
        <w:rPr>
          <w:rFonts w:eastAsia="Times New Roman" w:cs="Times New Roman"/>
          <w:lang w:eastAsia="it-IT"/>
        </w:rPr>
        <w:t xml:space="preserve">Gennaro Savarese, </w:t>
      </w:r>
      <w:r w:rsidRPr="007623FC">
        <w:rPr>
          <w:rFonts w:eastAsia="Times New Roman" w:cs="Times New Roman"/>
          <w:i/>
          <w:iCs/>
          <w:lang w:eastAsia="it-IT"/>
        </w:rPr>
        <w:t>II progetto del poema tra Marsilio Ficino e 'adescatrici galliche'</w:t>
      </w:r>
      <w:r w:rsidRPr="007623FC">
        <w:rPr>
          <w:rFonts w:eastAsia="Times New Roman" w:cs="Times New Roman"/>
          <w:lang w:eastAsia="it-IT"/>
        </w:rPr>
        <w:t xml:space="preserve">, in Id., </w:t>
      </w:r>
      <w:r w:rsidRPr="007623FC">
        <w:rPr>
          <w:rFonts w:eastAsia="Times New Roman" w:cs="Times New Roman"/>
          <w:i/>
          <w:iCs/>
          <w:lang w:eastAsia="it-IT"/>
        </w:rPr>
        <w:t>Il Furioso e la cultura del Rinascimento</w:t>
      </w:r>
      <w:r w:rsidRPr="007623FC">
        <w:rPr>
          <w:rFonts w:eastAsia="Times New Roman" w:cs="Times New Roman"/>
          <w:lang w:eastAsia="it-IT"/>
        </w:rPr>
        <w:t xml:space="preserve">, Roma, Bulzoni, 1984, pp. 15-37. Il volume giunto a Ferrara è certamente la collezione ermetico-neoplatonica del Ficino presso Aldo, contenente testi di Giamblico, Proclo, Porfirio, Sinesio, Psello, Teofrasto, Prisciano, Alcino, Speusippo e Pitagora, oltre che dello stesso Ficino:  </w:t>
      </w:r>
      <w:r w:rsidRPr="007623FC">
        <w:rPr>
          <w:rStyle w:val="Strong"/>
          <w:b w:val="0"/>
          <w:i/>
          <w:iCs/>
        </w:rPr>
        <w:t xml:space="preserve">Index eorum, quæ hoc in libro habentur. Iamblichus de mysteriis Aegyptiorum. Chaldæorum. Assyriorum. Proclus in Platonicum alcibiadem de anima, atque dæmone. </w:t>
      </w:r>
      <w:r w:rsidRPr="007623FC">
        <w:rPr>
          <w:rStyle w:val="Strong"/>
          <w:b w:val="0"/>
          <w:i/>
          <w:iCs/>
          <w:lang w:val="fr-FR"/>
        </w:rPr>
        <w:t xml:space="preserve">Proclus de sacrificio &amp; magia. Porphyrius de diuinis atque dæmonibus. Synesius Platonicus de somniis. Psellus de dæmonibus. Expositio Prisciani &amp; Marsilii in Theophrastum de sensu, phantasia. &amp; intellectu. Alcinoi Platonici ... liber de doctrina Platonis. Speusippi Platonis discipuli liber de platonis difinitionibus. Pythagoræ philosophi aurea uerba. Symbola Pithagoræ philosophi. </w:t>
      </w:r>
      <w:r w:rsidRPr="007623FC">
        <w:rPr>
          <w:rStyle w:val="Strong"/>
          <w:b w:val="0"/>
          <w:i/>
          <w:iCs/>
        </w:rPr>
        <w:t>Xenocratis... liber de morte. Marsilii ficini liber de uoluptate</w:t>
      </w:r>
      <w:r w:rsidRPr="007623FC">
        <w:rPr>
          <w:rStyle w:val="Strong"/>
          <w:b w:val="0"/>
        </w:rPr>
        <w:t xml:space="preserve">, Venezia, Aldo, 1497. Fu ristampato a Venezia dagli eredi di Aldo e Andrea Torresano proprio nell’anno della pubblicazione del </w:t>
      </w:r>
      <w:r w:rsidRPr="007623FC">
        <w:rPr>
          <w:rStyle w:val="Strong"/>
          <w:b w:val="0"/>
          <w:i/>
          <w:iCs/>
        </w:rPr>
        <w:t>Furioso</w:t>
      </w:r>
      <w:r w:rsidRPr="007623FC">
        <w:rPr>
          <w:rStyle w:val="Strong"/>
          <w:b w:val="0"/>
        </w:rPr>
        <w:t>, il 1516.</w:t>
      </w:r>
      <w:r w:rsidRPr="007623FC">
        <w:rPr>
          <w:rStyle w:val="Strong"/>
        </w:rPr>
        <w:t xml:space="preserve">  </w:t>
      </w:r>
    </w:p>
  </w:footnote>
  <w:footnote w:id="12">
    <w:p w:rsidR="006317D9" w:rsidRPr="007623FC" w:rsidRDefault="006317D9">
      <w:pPr>
        <w:pStyle w:val="FootnoteText"/>
        <w:rPr>
          <w:lang w:val="en-US"/>
        </w:rPr>
      </w:pPr>
      <w:r w:rsidRPr="007623FC">
        <w:rPr>
          <w:rStyle w:val="FootnoteReference"/>
        </w:rPr>
        <w:footnoteRef/>
      </w:r>
      <w:r>
        <w:rPr>
          <w:lang w:val="en-US"/>
        </w:rPr>
        <w:t xml:space="preserve"> </w:t>
      </w:r>
      <w:r w:rsidRPr="00D15AEE">
        <w:rPr>
          <w:lang w:val="en-US"/>
        </w:rPr>
        <w:t>Cfr.</w:t>
      </w:r>
      <w:r>
        <w:rPr>
          <w:lang w:val="en-US"/>
        </w:rPr>
        <w:t xml:space="preserve"> </w:t>
      </w:r>
      <w:r w:rsidRPr="007623FC">
        <w:rPr>
          <w:rFonts w:eastAsia="Times New Roman" w:cs="Times New Roman"/>
          <w:lang w:val="en-US"/>
        </w:rPr>
        <w:t xml:space="preserve">Letizia Panizza, </w:t>
      </w:r>
      <w:r w:rsidRPr="007623FC">
        <w:rPr>
          <w:rFonts w:eastAsia="Times New Roman" w:cs="Times New Roman"/>
          <w:i/>
          <w:iCs/>
          <w:lang w:val="en-US"/>
        </w:rPr>
        <w:t>Ariosto and Lucian of Samosata: Partners in Ambivalence, together with St John</w:t>
      </w:r>
      <w:r w:rsidRPr="007623FC">
        <w:rPr>
          <w:rFonts w:eastAsia="Times New Roman" w:cs="Times New Roman"/>
          <w:lang w:val="en-US"/>
        </w:rPr>
        <w:t xml:space="preserve">, in </w:t>
      </w:r>
      <w:r w:rsidRPr="007623FC">
        <w:rPr>
          <w:rFonts w:eastAsia="Times New Roman" w:cs="Times New Roman"/>
          <w:i/>
          <w:iCs/>
          <w:lang w:val="en-US"/>
        </w:rPr>
        <w:t>Chivalry, Academy, and Cultural Dialogues: The Italian Contribution to European Culture: Essays in Honour of Jane E. Everson</w:t>
      </w:r>
      <w:r w:rsidRPr="007623FC">
        <w:rPr>
          <w:rFonts w:eastAsia="Times New Roman" w:cs="Times New Roman"/>
          <w:lang w:val="en-US"/>
        </w:rPr>
        <w:t>, ed. by Stefano Jossa and Giuliana Pieri, Cambridge, Legenda, 2016, pp. 17-31.</w:t>
      </w:r>
    </w:p>
  </w:footnote>
  <w:footnote w:id="13">
    <w:p w:rsidR="006317D9" w:rsidRDefault="006317D9">
      <w:pPr>
        <w:pStyle w:val="FootnoteText"/>
      </w:pPr>
      <w:r>
        <w:rPr>
          <w:rStyle w:val="FootnoteReference"/>
        </w:rPr>
        <w:footnoteRef/>
      </w:r>
      <w:r>
        <w:t xml:space="preserve"> </w:t>
      </w:r>
      <w:r w:rsidRPr="00D03B16">
        <w:t xml:space="preserve">Ariosto, </w:t>
      </w:r>
      <w:r w:rsidRPr="00D03B16">
        <w:rPr>
          <w:i/>
        </w:rPr>
        <w:t>Orlando furioso secondo la princeps del 1516</w:t>
      </w:r>
      <w:r>
        <w:t xml:space="preserve">, cit., p. 793. Il corsivo è mio (e di Panizza, che cita tuttavia il testo del 1532). </w:t>
      </w:r>
    </w:p>
  </w:footnote>
  <w:footnote w:id="14">
    <w:p w:rsidR="006317D9" w:rsidRPr="007623FC" w:rsidRDefault="006317D9">
      <w:pPr>
        <w:pStyle w:val="FootnoteText"/>
      </w:pPr>
      <w:r w:rsidRPr="008F3ACC">
        <w:rPr>
          <w:rStyle w:val="FootnoteReference"/>
        </w:rPr>
        <w:footnoteRef/>
      </w:r>
      <w:r w:rsidRPr="008F3ACC">
        <w:t xml:space="preserve"> </w:t>
      </w:r>
      <w:r w:rsidRPr="008F3ACC">
        <w:rPr>
          <w:rFonts w:eastAsia="Times New Roman" w:cs="Times New Roman"/>
        </w:rPr>
        <w:t xml:space="preserve">Panizza, </w:t>
      </w:r>
      <w:r w:rsidRPr="008F3ACC">
        <w:rPr>
          <w:rFonts w:eastAsia="Times New Roman" w:cs="Times New Roman"/>
          <w:i/>
          <w:iCs/>
        </w:rPr>
        <w:t>Ariosto and Lucian of Samosata</w:t>
      </w:r>
      <w:r w:rsidRPr="008F3ACC">
        <w:t>, cit., p</w:t>
      </w:r>
      <w:r w:rsidR="008F3ACC" w:rsidRPr="008F3ACC">
        <w:t>. 22.</w:t>
      </w:r>
      <w:r w:rsidRPr="008F3ACC">
        <w:t xml:space="preserve"> La traduzione è mia.</w:t>
      </w:r>
      <w:r w:rsidRPr="007623FC">
        <w:t xml:space="preserve"> </w:t>
      </w:r>
    </w:p>
  </w:footnote>
  <w:footnote w:id="15">
    <w:p w:rsidR="00AE70BD" w:rsidRPr="00AE70BD" w:rsidRDefault="00AE70BD">
      <w:pPr>
        <w:pStyle w:val="FootnoteText"/>
      </w:pPr>
      <w:r>
        <w:rPr>
          <w:rStyle w:val="FootnoteReference"/>
        </w:rPr>
        <w:footnoteRef/>
      </w:r>
      <w:r>
        <w:t xml:space="preserve"> Cfr. Mario Lavagetto, </w:t>
      </w:r>
      <w:r>
        <w:rPr>
          <w:i/>
        </w:rPr>
        <w:t>La cicatrice di Montaigne. Sulla bugia in letteratura</w:t>
      </w:r>
      <w:r>
        <w:t xml:space="preserve">, nuova edizione riveduta e ampliata, Torino, Einaudi, 2002 (1992), pp. 39 e 41. </w:t>
      </w:r>
    </w:p>
  </w:footnote>
  <w:footnote w:id="16">
    <w:p w:rsidR="006317D9" w:rsidRPr="007B7266" w:rsidRDefault="006317D9">
      <w:pPr>
        <w:pStyle w:val="FootnoteText"/>
        <w:rPr>
          <w:lang w:val="en-US"/>
        </w:rPr>
      </w:pPr>
      <w:r w:rsidRPr="007623FC">
        <w:rPr>
          <w:rStyle w:val="FootnoteReference"/>
        </w:rPr>
        <w:footnoteRef/>
      </w:r>
      <w:r w:rsidRPr="007623FC">
        <w:t xml:space="preserve"> </w:t>
      </w:r>
      <w:r>
        <w:t xml:space="preserve">Per il testo, cfr. </w:t>
      </w:r>
      <w:r>
        <w:rPr>
          <w:rFonts w:cs="Arial"/>
          <w:shd w:val="clear" w:color="auto" w:fill="FFFFFF"/>
        </w:rPr>
        <w:t>Girolamo</w:t>
      </w:r>
      <w:r w:rsidRPr="00655424">
        <w:rPr>
          <w:rStyle w:val="apple-converted-space"/>
          <w:rFonts w:cs="Arial"/>
          <w:shd w:val="clear" w:color="auto" w:fill="FFFFFF"/>
        </w:rPr>
        <w:t> </w:t>
      </w:r>
      <w:r w:rsidRPr="006D6C80">
        <w:rPr>
          <w:rStyle w:val="Emphasis"/>
          <w:rFonts w:cs="Arial"/>
          <w:bCs/>
          <w:i w:val="0"/>
          <w:shd w:val="clear" w:color="auto" w:fill="FFFFFF"/>
        </w:rPr>
        <w:t>Savonarola</w:t>
      </w:r>
      <w:r w:rsidRPr="00655424">
        <w:rPr>
          <w:rFonts w:cs="Arial"/>
          <w:shd w:val="clear" w:color="auto" w:fill="FFFFFF"/>
        </w:rPr>
        <w:t xml:space="preserve">, </w:t>
      </w:r>
      <w:r w:rsidRPr="00655424">
        <w:rPr>
          <w:rFonts w:cs="Arial"/>
          <w:i/>
          <w:shd w:val="clear" w:color="auto" w:fill="FFFFFF"/>
        </w:rPr>
        <w:t>Expositio in Psalmum «</w:t>
      </w:r>
      <w:r w:rsidRPr="00655424">
        <w:rPr>
          <w:rStyle w:val="Emphasis"/>
          <w:rFonts w:cs="Arial"/>
          <w:bCs/>
          <w:shd w:val="clear" w:color="auto" w:fill="FFFFFF"/>
        </w:rPr>
        <w:t>Miserere</w:t>
      </w:r>
      <w:r w:rsidRPr="00655424">
        <w:rPr>
          <w:rStyle w:val="apple-converted-space"/>
          <w:rFonts w:cs="Arial"/>
          <w:i/>
          <w:shd w:val="clear" w:color="auto" w:fill="FFFFFF"/>
        </w:rPr>
        <w:t> </w:t>
      </w:r>
      <w:r w:rsidRPr="00655424">
        <w:rPr>
          <w:rFonts w:cs="Arial"/>
          <w:i/>
          <w:shd w:val="clear" w:color="auto" w:fill="FFFFFF"/>
        </w:rPr>
        <w:t>mei, deus»</w:t>
      </w:r>
      <w:r w:rsidRPr="00655424">
        <w:rPr>
          <w:rFonts w:cs="Arial"/>
          <w:shd w:val="clear" w:color="auto" w:fill="FFFFFF"/>
        </w:rPr>
        <w:t xml:space="preserve">, in </w:t>
      </w:r>
      <w:r w:rsidRPr="00655424">
        <w:rPr>
          <w:rFonts w:cs="Arial"/>
          <w:i/>
          <w:shd w:val="clear" w:color="auto" w:fill="FFFFFF"/>
        </w:rPr>
        <w:t>Operette spirituali</w:t>
      </w:r>
      <w:r w:rsidRPr="00655424">
        <w:rPr>
          <w:rFonts w:cs="Arial"/>
          <w:shd w:val="clear" w:color="auto" w:fill="FFFFFF"/>
        </w:rPr>
        <w:t xml:space="preserve">, a cura di Mario Ferrara, 2 voll., </w:t>
      </w:r>
      <w:r>
        <w:rPr>
          <w:rFonts w:cs="Arial"/>
          <w:shd w:val="clear" w:color="auto" w:fill="FFFFFF"/>
        </w:rPr>
        <w:t xml:space="preserve">Roma, Belardetti, 1970, </w:t>
      </w:r>
      <w:r w:rsidRPr="00655424">
        <w:rPr>
          <w:rFonts w:cs="Arial"/>
          <w:shd w:val="clear" w:color="auto" w:fill="FFFFFF"/>
        </w:rPr>
        <w:t>vol.</w:t>
      </w:r>
      <w:r>
        <w:rPr>
          <w:rFonts w:cs="Arial"/>
          <w:shd w:val="clear" w:color="auto" w:fill="FFFFFF"/>
        </w:rPr>
        <w:t xml:space="preserve"> 2, pp. 195-234. Per il contesto, c</w:t>
      </w:r>
      <w:r w:rsidRPr="007623FC">
        <w:t xml:space="preserve">fr. Luigi Lazzerini, </w:t>
      </w:r>
      <w:r w:rsidRPr="007623FC">
        <w:rPr>
          <w:i/>
        </w:rPr>
        <w:t>Teologia del Miserere. Da Savonarola al ‘Beneficio di Cristo’ 1490-1543</w:t>
      </w:r>
      <w:r w:rsidRPr="007623FC">
        <w:t>, Torino, Rosenberg &amp; Sellier, 2013. Sul savonarolismo ferrarese</w:t>
      </w:r>
      <w:r>
        <w:t>, infine, cfr. almeno</w:t>
      </w:r>
      <w:r w:rsidRPr="007623FC">
        <w:t xml:space="preserve"> </w:t>
      </w:r>
      <w:r w:rsidRPr="007623FC">
        <w:rPr>
          <w:i/>
          <w:iCs/>
        </w:rPr>
        <w:t xml:space="preserve">Savonarola da Ferrara all'Europa. </w:t>
      </w:r>
      <w:r w:rsidRPr="007623FC">
        <w:rPr>
          <w:rStyle w:val="st"/>
          <w:i/>
          <w:iCs/>
        </w:rPr>
        <w:t>Atti del Convegno internazionale (</w:t>
      </w:r>
      <w:r w:rsidRPr="007623FC">
        <w:rPr>
          <w:rStyle w:val="Emphasis"/>
        </w:rPr>
        <w:t>Ferrara</w:t>
      </w:r>
      <w:r w:rsidRPr="007623FC">
        <w:rPr>
          <w:rStyle w:val="st"/>
          <w:i/>
          <w:iCs/>
        </w:rPr>
        <w:t xml:space="preserve">, 30 marzo-3 aprile 1998), </w:t>
      </w:r>
      <w:r w:rsidRPr="007623FC">
        <w:t>a cura di Gigliola Fragnito e Mario Miegge</w:t>
      </w:r>
      <w:r>
        <w:t>,</w:t>
      </w:r>
      <w:r w:rsidRPr="007623FC">
        <w:t xml:space="preserve"> Firenze, Sismel – Edizioni del Galluzzo, 2001</w:t>
      </w:r>
      <w:r>
        <w:t>;</w:t>
      </w:r>
      <w:r w:rsidRPr="007623FC">
        <w:t xml:space="preserve"> Gabriella Zarri, </w:t>
      </w:r>
      <w:r w:rsidRPr="007623FC">
        <w:rPr>
          <w:i/>
        </w:rPr>
        <w:t>La religione di Lucrezia Borgia</w:t>
      </w:r>
      <w:r w:rsidRPr="007623FC">
        <w:t xml:space="preserve">, Roma, Roma nel Rinascimento, 2006, pp. 135-42; e Tamar Herzig, </w:t>
      </w:r>
      <w:r w:rsidRPr="007623FC">
        <w:rPr>
          <w:i/>
          <w:iCs/>
        </w:rPr>
        <w:t xml:space="preserve">Savonarola’s Women. </w:t>
      </w:r>
      <w:r w:rsidRPr="007623FC">
        <w:rPr>
          <w:i/>
          <w:iCs/>
          <w:lang w:val="en-US"/>
        </w:rPr>
        <w:t xml:space="preserve">Visions and Reform in Renaissance Italy, </w:t>
      </w:r>
      <w:r w:rsidRPr="007623FC">
        <w:rPr>
          <w:lang w:val="en-US"/>
        </w:rPr>
        <w:t xml:space="preserve">Chicago, University of Chicago Press, 2008, in particolare il cap. 3. </w:t>
      </w:r>
      <w:r>
        <w:rPr>
          <w:i/>
          <w:iCs/>
          <w:lang w:val="en-US"/>
        </w:rPr>
        <w:t>The Prophet's Following i</w:t>
      </w:r>
      <w:r w:rsidRPr="007623FC">
        <w:rPr>
          <w:i/>
          <w:iCs/>
          <w:lang w:val="en-US"/>
        </w:rPr>
        <w:t>n His Own Town: Savonarolism in Ferrara</w:t>
      </w:r>
      <w:r w:rsidRPr="007623FC">
        <w:rPr>
          <w:lang w:val="en-US"/>
        </w:rPr>
        <w:t>, pp. 67-9</w:t>
      </w:r>
      <w:r>
        <w:rPr>
          <w:lang w:val="en-US"/>
        </w:rPr>
        <w:t>6</w:t>
      </w:r>
      <w:r w:rsidRPr="007623FC">
        <w:rPr>
          <w:lang w:val="en-US"/>
        </w:rPr>
        <w:t>.</w:t>
      </w:r>
      <w:r>
        <w:rPr>
          <w:lang w:val="en-US"/>
        </w:rPr>
        <w:t xml:space="preserve"> </w:t>
      </w:r>
    </w:p>
  </w:footnote>
  <w:footnote w:id="17">
    <w:p w:rsidR="006317D9" w:rsidRPr="007623FC" w:rsidRDefault="006317D9" w:rsidP="00D8285F">
      <w:pPr>
        <w:pStyle w:val="Default"/>
        <w:rPr>
          <w:rFonts w:asciiTheme="minorHAnsi" w:hAnsiTheme="minorHAnsi"/>
          <w:color w:val="auto"/>
          <w:sz w:val="16"/>
          <w:szCs w:val="20"/>
        </w:rPr>
      </w:pPr>
      <w:r w:rsidRPr="007623FC">
        <w:rPr>
          <w:rStyle w:val="FootnoteReference"/>
          <w:rFonts w:asciiTheme="minorHAnsi" w:hAnsiTheme="minorHAnsi"/>
          <w:color w:val="auto"/>
          <w:sz w:val="20"/>
          <w:szCs w:val="20"/>
        </w:rPr>
        <w:footnoteRef/>
      </w:r>
      <w:r w:rsidRPr="007623FC">
        <w:rPr>
          <w:rFonts w:asciiTheme="minorHAnsi" w:hAnsiTheme="minorHAnsi"/>
          <w:color w:val="auto"/>
          <w:sz w:val="20"/>
          <w:szCs w:val="20"/>
        </w:rPr>
        <w:t xml:space="preserve"> </w:t>
      </w:r>
      <w:r w:rsidRPr="00D246B3">
        <w:rPr>
          <w:rFonts w:asciiTheme="minorHAnsi" w:eastAsia="Times New Roman" w:hAnsiTheme="minorHAnsi" w:cs="Arial"/>
          <w:bCs/>
          <w:sz w:val="20"/>
          <w:szCs w:val="20"/>
          <w:lang w:eastAsia="it-IT"/>
        </w:rPr>
        <w:t>Girolamo</w:t>
      </w:r>
      <w:r w:rsidRPr="00D246B3">
        <w:rPr>
          <w:rFonts w:asciiTheme="minorHAnsi" w:eastAsia="Times New Roman" w:hAnsiTheme="minorHAnsi" w:cs="Arial"/>
          <w:sz w:val="20"/>
          <w:szCs w:val="20"/>
          <w:lang w:eastAsia="it-IT"/>
        </w:rPr>
        <w:t> </w:t>
      </w:r>
      <w:r w:rsidRPr="00D246B3">
        <w:rPr>
          <w:rFonts w:asciiTheme="minorHAnsi" w:eastAsia="Times New Roman" w:hAnsiTheme="minorHAnsi" w:cs="Arial"/>
          <w:bCs/>
          <w:sz w:val="20"/>
          <w:szCs w:val="20"/>
          <w:lang w:eastAsia="it-IT"/>
        </w:rPr>
        <w:t xml:space="preserve"> Savonarola,</w:t>
      </w:r>
      <w:r w:rsidRPr="007623FC">
        <w:rPr>
          <w:rFonts w:asciiTheme="minorHAnsi" w:eastAsia="Times New Roman" w:hAnsiTheme="minorHAnsi" w:cs="Arial"/>
          <w:b/>
          <w:bCs/>
          <w:sz w:val="20"/>
          <w:szCs w:val="20"/>
          <w:lang w:eastAsia="it-IT"/>
        </w:rPr>
        <w:t xml:space="preserve"> </w:t>
      </w:r>
      <w:r w:rsidRPr="00D246B3">
        <w:rPr>
          <w:rFonts w:asciiTheme="minorHAnsi" w:eastAsia="Times New Roman" w:hAnsiTheme="minorHAnsi" w:cs="Arial"/>
          <w:i/>
          <w:iCs/>
          <w:color w:val="auto"/>
          <w:sz w:val="20"/>
          <w:szCs w:val="20"/>
          <w:lang w:eastAsia="it-IT"/>
        </w:rPr>
        <w:t>Prediche deuotissime et piene de diuini mysterii del venerando et sacro theologo frate Hieronymo Sauonarola da Ferrara. Defensione del predetto contra li calumniatori</w:t>
      </w:r>
      <w:r w:rsidRPr="007623FC">
        <w:rPr>
          <w:rFonts w:asciiTheme="minorHAnsi" w:eastAsia="Times New Roman" w:hAnsiTheme="minorHAnsi" w:cs="Arial"/>
          <w:sz w:val="20"/>
          <w:szCs w:val="20"/>
          <w:lang w:eastAsia="it-IT"/>
        </w:rPr>
        <w:t xml:space="preserve"> (Impressum Ferrariae : per Ioannem Maciochium Bondenum, ad sextum Idus Augusti 1513). Nell’epistola dedicatoria di Giovanni Brasavola a Isabella d’Aragona Savonarola era presentato come «</w:t>
      </w:r>
      <w:r w:rsidRPr="007623FC">
        <w:rPr>
          <w:rFonts w:asciiTheme="minorHAnsi" w:hAnsiTheme="minorHAnsi"/>
          <w:sz w:val="20"/>
          <w:szCs w:val="20"/>
        </w:rPr>
        <w:t>nostro colendo citadino ferrarese»</w:t>
      </w:r>
      <w:r>
        <w:rPr>
          <w:rFonts w:asciiTheme="minorHAnsi" w:hAnsiTheme="minorHAnsi"/>
          <w:sz w:val="20"/>
          <w:szCs w:val="20"/>
        </w:rPr>
        <w:t xml:space="preserve"> (c. al v.</w:t>
      </w:r>
      <w:r w:rsidRPr="007623FC">
        <w:rPr>
          <w:rFonts w:asciiTheme="minorHAnsi" w:hAnsiTheme="minorHAnsi"/>
          <w:sz w:val="20"/>
          <w:szCs w:val="20"/>
        </w:rPr>
        <w:t>).</w:t>
      </w:r>
      <w:r w:rsidRPr="007623FC">
        <w:rPr>
          <w:rFonts w:asciiTheme="minorHAnsi" w:hAnsiTheme="minorHAnsi"/>
          <w:sz w:val="22"/>
          <w:szCs w:val="22"/>
        </w:rPr>
        <w:t xml:space="preserve"> </w:t>
      </w:r>
      <w:r w:rsidRPr="007623FC">
        <w:rPr>
          <w:rFonts w:asciiTheme="minorHAnsi" w:hAnsiTheme="minorHAnsi"/>
          <w:sz w:val="20"/>
        </w:rPr>
        <w:t>Va almeno notato che nella serie editoriale di Mazzocchi l’</w:t>
      </w:r>
      <w:r w:rsidRPr="007623FC">
        <w:rPr>
          <w:rFonts w:asciiTheme="minorHAnsi" w:hAnsiTheme="minorHAnsi"/>
          <w:i/>
          <w:sz w:val="20"/>
        </w:rPr>
        <w:t>Orlando furioso</w:t>
      </w:r>
      <w:r w:rsidRPr="007623FC">
        <w:rPr>
          <w:rFonts w:asciiTheme="minorHAnsi" w:hAnsiTheme="minorHAnsi"/>
          <w:sz w:val="20"/>
        </w:rPr>
        <w:t xml:space="preserve"> è preceduto e seguito da oper</w:t>
      </w:r>
      <w:r>
        <w:rPr>
          <w:rFonts w:asciiTheme="minorHAnsi" w:hAnsiTheme="minorHAnsi"/>
          <w:sz w:val="20"/>
        </w:rPr>
        <w:t>e</w:t>
      </w:r>
      <w:r w:rsidRPr="007623FC">
        <w:rPr>
          <w:rFonts w:asciiTheme="minorHAnsi" w:hAnsiTheme="minorHAnsi"/>
          <w:sz w:val="20"/>
        </w:rPr>
        <w:t xml:space="preserve"> di Savonarola</w:t>
      </w:r>
      <w:r>
        <w:rPr>
          <w:rFonts w:asciiTheme="minorHAnsi" w:hAnsiTheme="minorHAnsi"/>
          <w:sz w:val="20"/>
        </w:rPr>
        <w:t xml:space="preserve"> (1513 e 1516)</w:t>
      </w:r>
      <w:r w:rsidRPr="007623FC">
        <w:rPr>
          <w:rFonts w:asciiTheme="minorHAnsi" w:hAnsiTheme="minorHAnsi"/>
          <w:sz w:val="20"/>
        </w:rPr>
        <w:t xml:space="preserve">: su Ariosto e Savonarola cfr. </w:t>
      </w:r>
      <w:r w:rsidRPr="00D246B3">
        <w:rPr>
          <w:rFonts w:asciiTheme="minorHAnsi" w:hAnsiTheme="minorHAnsi"/>
          <w:sz w:val="20"/>
          <w:szCs w:val="20"/>
        </w:rPr>
        <w:t xml:space="preserve">Stefano Jossa, </w:t>
      </w:r>
      <w:r w:rsidRPr="00D246B3">
        <w:rPr>
          <w:rFonts w:asciiTheme="minorHAnsi" w:hAnsiTheme="minorHAnsi"/>
          <w:i/>
          <w:iCs/>
          <w:sz w:val="20"/>
          <w:szCs w:val="20"/>
        </w:rPr>
        <w:t>“</w:t>
      </w:r>
      <w:r w:rsidRPr="00D246B3">
        <w:rPr>
          <w:rFonts w:asciiTheme="minorHAnsi" w:hAnsiTheme="minorHAnsi"/>
          <w:i/>
          <w:iCs/>
          <w:color w:val="000000" w:themeColor="text1"/>
          <w:sz w:val="20"/>
          <w:szCs w:val="20"/>
        </w:rPr>
        <w:t>A difesa di sua santa fede”: il poema cristiano dell’Ariosto («Orlando furioso», XXXIV 54-67)</w:t>
      </w:r>
      <w:r w:rsidRPr="00D246B3">
        <w:rPr>
          <w:rFonts w:asciiTheme="minorHAnsi" w:hAnsiTheme="minorHAnsi"/>
          <w:color w:val="000000" w:themeColor="text1"/>
          <w:sz w:val="20"/>
          <w:szCs w:val="20"/>
        </w:rPr>
        <w:t xml:space="preserve">, in </w:t>
      </w:r>
      <w:r w:rsidRPr="00D246B3">
        <w:rPr>
          <w:rFonts w:asciiTheme="minorHAnsi" w:hAnsiTheme="minorHAnsi"/>
          <w:i/>
          <w:iCs/>
          <w:color w:val="000000" w:themeColor="text1"/>
          <w:sz w:val="20"/>
          <w:szCs w:val="20"/>
        </w:rPr>
        <w:t>Chivalry, Academy and Cultural Dialogues</w:t>
      </w:r>
      <w:r w:rsidRPr="00D246B3">
        <w:rPr>
          <w:rFonts w:asciiTheme="minorHAnsi" w:hAnsiTheme="minorHAnsi"/>
          <w:sz w:val="20"/>
          <w:szCs w:val="20"/>
        </w:rPr>
        <w:t xml:space="preserve">, </w:t>
      </w:r>
      <w:r w:rsidRPr="00D246B3">
        <w:rPr>
          <w:rFonts w:asciiTheme="minorHAnsi" w:hAnsiTheme="minorHAnsi"/>
          <w:color w:val="000000" w:themeColor="text1"/>
          <w:sz w:val="20"/>
          <w:szCs w:val="20"/>
        </w:rPr>
        <w:t xml:space="preserve"> </w:t>
      </w:r>
      <w:r>
        <w:rPr>
          <w:rFonts w:asciiTheme="minorHAnsi" w:hAnsiTheme="minorHAnsi"/>
          <w:color w:val="000000" w:themeColor="text1"/>
          <w:sz w:val="20"/>
          <w:szCs w:val="20"/>
        </w:rPr>
        <w:t xml:space="preserve">cit., </w:t>
      </w:r>
      <w:r w:rsidRPr="00D246B3">
        <w:rPr>
          <w:rFonts w:asciiTheme="minorHAnsi" w:hAnsiTheme="minorHAnsi"/>
          <w:sz w:val="20"/>
          <w:szCs w:val="20"/>
        </w:rPr>
        <w:t>pp. 32-42.</w:t>
      </w:r>
      <w:r w:rsidR="00854288">
        <w:rPr>
          <w:rFonts w:asciiTheme="minorHAnsi" w:hAnsiTheme="minorHAnsi"/>
          <w:sz w:val="20"/>
          <w:szCs w:val="20"/>
        </w:rPr>
        <w:t xml:space="preserve"> Un approfondimento dell’orizzonte religioso ariostesco è ormai necessario, senza trascurare il suo dialogo con personalità autorevoli del dibattito contemporaneo nell’area estense, </w:t>
      </w:r>
      <w:r w:rsidR="0058226A">
        <w:rPr>
          <w:rFonts w:asciiTheme="minorHAnsi" w:hAnsiTheme="minorHAnsi"/>
          <w:sz w:val="20"/>
          <w:szCs w:val="20"/>
        </w:rPr>
        <w:t xml:space="preserve">tra </w:t>
      </w:r>
      <w:r w:rsidR="00854288">
        <w:rPr>
          <w:rFonts w:asciiTheme="minorHAnsi" w:hAnsiTheme="minorHAnsi"/>
          <w:sz w:val="20"/>
          <w:szCs w:val="20"/>
        </w:rPr>
        <w:t>Mario Equicola</w:t>
      </w:r>
      <w:r w:rsidR="0058226A">
        <w:rPr>
          <w:rFonts w:asciiTheme="minorHAnsi" w:hAnsiTheme="minorHAnsi"/>
          <w:sz w:val="20"/>
          <w:szCs w:val="20"/>
        </w:rPr>
        <w:t xml:space="preserve"> e</w:t>
      </w:r>
      <w:r w:rsidR="00854288">
        <w:rPr>
          <w:rFonts w:asciiTheme="minorHAnsi" w:hAnsiTheme="minorHAnsi"/>
          <w:sz w:val="20"/>
          <w:szCs w:val="20"/>
        </w:rPr>
        <w:t xml:space="preserve"> Alberto Pio. </w:t>
      </w:r>
    </w:p>
  </w:footnote>
  <w:footnote w:id="18">
    <w:p w:rsidR="006317D9" w:rsidRPr="007623FC" w:rsidRDefault="006317D9">
      <w:pPr>
        <w:pStyle w:val="FootnoteText"/>
      </w:pPr>
      <w:r w:rsidRPr="007623FC">
        <w:rPr>
          <w:rStyle w:val="FootnoteReference"/>
        </w:rPr>
        <w:footnoteRef/>
      </w:r>
      <w:r w:rsidRPr="007623FC">
        <w:t xml:space="preserve"> </w:t>
      </w:r>
      <w:r w:rsidRPr="007623FC">
        <w:rPr>
          <w:rStyle w:val="st"/>
        </w:rPr>
        <w:t xml:space="preserve">Sui possibili sviluppi in direzioni eterodosse della fruizione cinquecentesca di Luciano cfr. Letizia Panizza, </w:t>
      </w:r>
      <w:r w:rsidRPr="007623FC">
        <w:rPr>
          <w:rStyle w:val="st"/>
          <w:i/>
        </w:rPr>
        <w:t>La ricezione di Luciano da Samosata nel Rinascimento italiano: “coripheus atheorum”</w:t>
      </w:r>
      <w:r w:rsidRPr="007623FC">
        <w:rPr>
          <w:rStyle w:val="st"/>
        </w:rPr>
        <w:t xml:space="preserve"> </w:t>
      </w:r>
      <w:r w:rsidRPr="007623FC">
        <w:rPr>
          <w:rStyle w:val="st"/>
          <w:i/>
        </w:rPr>
        <w:t>o filosofo morale?</w:t>
      </w:r>
      <w:r w:rsidRPr="007623FC">
        <w:rPr>
          <w:rStyle w:val="st"/>
        </w:rPr>
        <w:t xml:space="preserve">, in </w:t>
      </w:r>
      <w:r w:rsidRPr="007623FC">
        <w:rPr>
          <w:rStyle w:val="st"/>
          <w:i/>
        </w:rPr>
        <w:t>Source antiques de l’irreligion moderne. Le relais italien</w:t>
      </w:r>
      <w:r w:rsidRPr="007623FC">
        <w:rPr>
          <w:rStyle w:val="st"/>
        </w:rPr>
        <w:t xml:space="preserve">, a cura di D. Foucault e J. P. Cavaillé, Toulouse, Université de Toulouse-LeMirail, 2001, pp. 119-37, e Ead., </w:t>
      </w:r>
      <w:r w:rsidRPr="007623FC">
        <w:rPr>
          <w:rStyle w:val="st"/>
          <w:i/>
        </w:rPr>
        <w:t>Removable Eyes, Speaking Lamps and a Philosopher Cock</w:t>
      </w:r>
      <w:r w:rsidRPr="007623FC">
        <w:rPr>
          <w:rStyle w:val="st"/>
        </w:rPr>
        <w:t xml:space="preserve">, in </w:t>
      </w:r>
      <w:r w:rsidRPr="007623FC">
        <w:rPr>
          <w:rStyle w:val="st"/>
          <w:i/>
        </w:rPr>
        <w:t>Il Rinascimento italiano di fronte alla Riforma: Letteratura ed Arte</w:t>
      </w:r>
      <w:r w:rsidRPr="007623FC">
        <w:rPr>
          <w:rStyle w:val="st"/>
        </w:rPr>
        <w:t>, a cura di C. Damianaki, P. Procaccioli e A. Romano, Manziana, Vecchiarelli, 2005, pp. 61-88.</w:t>
      </w:r>
    </w:p>
  </w:footnote>
  <w:footnote w:id="19">
    <w:p w:rsidR="006317D9" w:rsidRPr="007623FC" w:rsidRDefault="006317D9">
      <w:pPr>
        <w:pStyle w:val="FootnoteText"/>
        <w:rPr>
          <w:lang w:val="en-US"/>
        </w:rPr>
      </w:pPr>
      <w:r w:rsidRPr="007623FC">
        <w:rPr>
          <w:rStyle w:val="FootnoteReference"/>
        </w:rPr>
        <w:footnoteRef/>
      </w:r>
      <w:r w:rsidRPr="007623FC">
        <w:t xml:space="preserve"> Sull’ambiente umanistico ferrarese, tra neoplatonismo e curiosità ermetiche, oltre al saggio già citato di</w:t>
      </w:r>
      <w:r w:rsidRPr="007623FC">
        <w:rPr>
          <w:rFonts w:eastAsia="Times New Roman" w:cs="Times New Roman"/>
          <w:lang w:eastAsia="it-IT"/>
        </w:rPr>
        <w:t xml:space="preserve"> Savarese, cfr. anche </w:t>
      </w:r>
      <w:r w:rsidRPr="007623FC">
        <w:rPr>
          <w:rStyle w:val="Strong"/>
          <w:b w:val="0"/>
        </w:rPr>
        <w:t xml:space="preserve">Peter V. Marinelli, </w:t>
      </w:r>
      <w:r w:rsidRPr="007623FC">
        <w:rPr>
          <w:rStyle w:val="Strong"/>
          <w:b w:val="0"/>
          <w:i/>
        </w:rPr>
        <w:t xml:space="preserve">Ariosto and Boiardo. </w:t>
      </w:r>
      <w:r w:rsidRPr="007623FC">
        <w:rPr>
          <w:rStyle w:val="Strong"/>
          <w:b w:val="0"/>
          <w:i/>
          <w:lang w:val="en-US"/>
        </w:rPr>
        <w:t>The Origins of «Orlando Furioso»</w:t>
      </w:r>
      <w:r w:rsidRPr="007623FC">
        <w:rPr>
          <w:rStyle w:val="Strong"/>
          <w:b w:val="0"/>
          <w:lang w:val="en-US"/>
        </w:rPr>
        <w:t xml:space="preserve">, Columbia, Missouri, University of Missouri Press, 1987, </w:t>
      </w:r>
      <w:r w:rsidRPr="007623FC">
        <w:rPr>
          <w:rFonts w:cs="Times New Roman"/>
          <w:lang w:val="en-US"/>
        </w:rPr>
        <w:t xml:space="preserve">chap. 4 </w:t>
      </w:r>
      <w:r w:rsidRPr="007623FC">
        <w:rPr>
          <w:rFonts w:cs="Times New Roman"/>
          <w:i/>
          <w:lang w:val="en-US"/>
        </w:rPr>
        <w:t>Neoplatonist Art: Ariosto, His Contemporaries, and His Friends</w:t>
      </w:r>
      <w:r w:rsidRPr="007623FC">
        <w:rPr>
          <w:rFonts w:cs="Times New Roman"/>
          <w:lang w:val="en-US"/>
        </w:rPr>
        <w:t>,</w:t>
      </w:r>
      <w:r w:rsidRPr="007623FC">
        <w:rPr>
          <w:rFonts w:cs="Times New Roman"/>
          <w:i/>
          <w:lang w:val="en-US"/>
        </w:rPr>
        <w:t xml:space="preserve"> </w:t>
      </w:r>
      <w:r w:rsidRPr="007623FC">
        <w:rPr>
          <w:rFonts w:cs="Times New Roman"/>
          <w:lang w:val="en-US"/>
        </w:rPr>
        <w:t>pp. 103-24</w:t>
      </w:r>
      <w:r w:rsidRPr="007623FC">
        <w:rPr>
          <w:rStyle w:val="Strong"/>
          <w:b w:val="0"/>
          <w:lang w:val="en-US"/>
        </w:rPr>
        <w:t>.</w:t>
      </w:r>
    </w:p>
  </w:footnote>
  <w:footnote w:id="20">
    <w:p w:rsidR="006317D9" w:rsidRPr="007623FC" w:rsidRDefault="006317D9">
      <w:pPr>
        <w:pStyle w:val="FootnoteText"/>
      </w:pPr>
      <w:r w:rsidRPr="007623FC">
        <w:rPr>
          <w:rStyle w:val="FootnoteReference"/>
        </w:rPr>
        <w:footnoteRef/>
      </w:r>
      <w:r w:rsidRPr="007623FC">
        <w:t xml:space="preserve"> Su questo ho scritto più distesamente nel saggio tratto dall’intervento tenuto al convegno </w:t>
      </w:r>
      <w:r>
        <w:rPr>
          <w:i/>
        </w:rPr>
        <w:t>Five Hundred Years of Orlando Furioso</w:t>
      </w:r>
      <w:r w:rsidRPr="007623FC">
        <w:t xml:space="preserve"> </w:t>
      </w:r>
      <w:r>
        <w:t xml:space="preserve">(Oxford, Taylor Institution, 16-17 giugno 2016: </w:t>
      </w:r>
      <w:hyperlink r:id="rId9" w:history="1">
        <w:r w:rsidRPr="004F13F7">
          <w:rPr>
            <w:rStyle w:val="Hyperlink"/>
          </w:rPr>
          <w:t>http://www.furioso16.it/ariosto-conference-500-years-orlando-furioso/</w:t>
        </w:r>
      </w:hyperlink>
      <w:r>
        <w:t xml:space="preserve"> [accesso effettuato il 1 febbraio 2018]). </w:t>
      </w:r>
      <w:r w:rsidRPr="007623FC">
        <w:t xml:space="preserve">Cfr. Stefano Jossa, </w:t>
      </w:r>
      <w:r w:rsidRPr="007623FC">
        <w:rPr>
          <w:i/>
        </w:rPr>
        <w:t>L’«Orlando furioso» nel suo contesto editoriale</w:t>
      </w:r>
      <w:r w:rsidRPr="007623FC">
        <w:t xml:space="preserve">, in </w:t>
      </w:r>
      <w:r w:rsidRPr="00260568">
        <w:t>‘</w:t>
      </w:r>
      <w:r w:rsidRPr="00034EDE">
        <w:rPr>
          <w:i/>
          <w:iCs/>
          <w:color w:val="000000"/>
        </w:rPr>
        <w:t>Dreaming again on things already dreamed’. 500 years of</w:t>
      </w:r>
      <w:r w:rsidRPr="00034EDE">
        <w:rPr>
          <w:rStyle w:val="apple-converted-space"/>
          <w:i/>
          <w:iCs/>
          <w:color w:val="000000"/>
        </w:rPr>
        <w:t> </w:t>
      </w:r>
      <w:r>
        <w:rPr>
          <w:rStyle w:val="apple-converted-space"/>
          <w:i/>
          <w:iCs/>
          <w:color w:val="000000"/>
        </w:rPr>
        <w:t>«</w:t>
      </w:r>
      <w:r w:rsidRPr="00EC1C1D">
        <w:rPr>
          <w:i/>
          <w:color w:val="000000"/>
        </w:rPr>
        <w:t>Orlando furioso</w:t>
      </w:r>
      <w:r>
        <w:rPr>
          <w:rStyle w:val="apple-converted-space"/>
          <w:color w:val="000000"/>
        </w:rPr>
        <w:t>»</w:t>
      </w:r>
      <w:r w:rsidRPr="00034EDE">
        <w:rPr>
          <w:rStyle w:val="apple-converted-space"/>
          <w:color w:val="000000"/>
        </w:rPr>
        <w:t> </w:t>
      </w:r>
      <w:r w:rsidRPr="00034EDE">
        <w:rPr>
          <w:i/>
          <w:iCs/>
          <w:color w:val="000000"/>
        </w:rPr>
        <w:t>(1516-2016)</w:t>
      </w:r>
      <w:r w:rsidRPr="007623FC">
        <w:t xml:space="preserve">, a cura di Marco Dorigatti e Maria Pavlova, </w:t>
      </w:r>
      <w:r>
        <w:t xml:space="preserve">Oxford, Peter Lang, 2018, </w:t>
      </w:r>
      <w:r w:rsidRPr="007623FC">
        <w:t>in corso di stampa.</w:t>
      </w:r>
    </w:p>
  </w:footnote>
  <w:footnote w:id="21">
    <w:p w:rsidR="006317D9" w:rsidRPr="00EC626A" w:rsidRDefault="006317D9">
      <w:pPr>
        <w:pStyle w:val="FootnoteText"/>
        <w:rPr>
          <w:lang w:val="en-US"/>
        </w:rPr>
      </w:pPr>
      <w:r>
        <w:rPr>
          <w:rStyle w:val="FootnoteReference"/>
        </w:rPr>
        <w:footnoteRef/>
      </w:r>
      <w:r w:rsidRPr="007D68C8">
        <w:rPr>
          <w:lang w:val="en-US"/>
        </w:rPr>
        <w:t xml:space="preserve"> </w:t>
      </w:r>
      <w:r w:rsidRPr="007D68C8">
        <w:rPr>
          <w:rFonts w:cs="Arial"/>
          <w:color w:val="222222"/>
          <w:szCs w:val="21"/>
          <w:shd w:val="clear" w:color="auto" w:fill="FFFFFF"/>
          <w:lang w:val="en-US"/>
        </w:rPr>
        <w:t>Linda Hutcheon, </w:t>
      </w:r>
      <w:r w:rsidRPr="007D68C8">
        <w:rPr>
          <w:rFonts w:cs="Arial"/>
          <w:i/>
          <w:iCs/>
          <w:color w:val="222222"/>
          <w:szCs w:val="21"/>
          <w:shd w:val="clear" w:color="auto" w:fill="FFFFFF"/>
          <w:lang w:val="en-US"/>
        </w:rPr>
        <w:t>Irony’s Edge: The Theory and Politics of Irony</w:t>
      </w:r>
      <w:r>
        <w:rPr>
          <w:rFonts w:cs="Arial"/>
          <w:color w:val="222222"/>
          <w:szCs w:val="21"/>
          <w:shd w:val="clear" w:color="auto" w:fill="FFFFFF"/>
          <w:lang w:val="en-US"/>
        </w:rPr>
        <w:t>,</w:t>
      </w:r>
      <w:r w:rsidRPr="007D68C8">
        <w:rPr>
          <w:rFonts w:cs="Arial"/>
          <w:color w:val="222222"/>
          <w:szCs w:val="21"/>
          <w:shd w:val="clear" w:color="auto" w:fill="FFFFFF"/>
          <w:lang w:val="en-US"/>
        </w:rPr>
        <w:t xml:space="preserve"> </w:t>
      </w:r>
      <w:r>
        <w:rPr>
          <w:rFonts w:cs="Arial"/>
          <w:color w:val="222222"/>
          <w:szCs w:val="21"/>
          <w:shd w:val="clear" w:color="auto" w:fill="FFFFFF"/>
          <w:lang w:val="en-US"/>
        </w:rPr>
        <w:t>London and New York,</w:t>
      </w:r>
      <w:r w:rsidRPr="00EC626A">
        <w:rPr>
          <w:rFonts w:cs="Arial"/>
          <w:color w:val="222222"/>
          <w:szCs w:val="21"/>
          <w:shd w:val="clear" w:color="auto" w:fill="FFFFFF"/>
          <w:lang w:val="en-US"/>
        </w:rPr>
        <w:t xml:space="preserve"> Routledge, 1994, p. 57.</w:t>
      </w:r>
    </w:p>
  </w:footnote>
  <w:footnote w:id="22">
    <w:p w:rsidR="5DA2E0D0" w:rsidRDefault="5DA2E0D0" w:rsidP="5DA2E0D0">
      <w:pPr>
        <w:pStyle w:val="FootnoteText"/>
      </w:pPr>
      <w:r w:rsidRPr="5DA2E0D0">
        <w:rPr>
          <w:rStyle w:val="FootnoteReference"/>
        </w:rPr>
        <w:footnoteRef/>
      </w:r>
      <w:r>
        <w:t xml:space="preserve"> Nicola Gardini, </w:t>
      </w:r>
      <w:r w:rsidRPr="5DA2E0D0">
        <w:rPr>
          <w:i/>
          <w:iCs/>
        </w:rPr>
        <w:t>Digital Orlando Furioso. Ariosto and the Construction of Meaning</w:t>
      </w:r>
      <w:r w:rsidRPr="5DA2E0D0">
        <w:t xml:space="preserve">, paper presentato al convegno </w:t>
      </w:r>
      <w:r w:rsidRPr="5DA2E0D0">
        <w:rPr>
          <w:i/>
          <w:iCs/>
        </w:rPr>
        <w:t>Ariosto, the Orlando Furioso and English culture, 1516-2016</w:t>
      </w:r>
      <w:r w:rsidRPr="5DA2E0D0">
        <w:t xml:space="preserve">, London, The British Academy, 28-29 febbraio 2016: &lt;https://www.britac.ac.uk/events/ariosto-orlando-furioso-and-english-culture-1516-2016&gt; [accesso effettuato il 31 gennaio 2018]. Gli atti del convegno sono in corso di stampa, a cura di Jane E. Everson, Andrew Hiscock e Stefano Jossa, nella serie dei Proceedings of the British Academy (Oxford University Press).   </w:t>
      </w:r>
    </w:p>
  </w:footnote>
  <w:footnote w:id="23">
    <w:p w:rsidR="00AE70BD" w:rsidRDefault="00AE70BD">
      <w:pPr>
        <w:pStyle w:val="FootnoteText"/>
      </w:pPr>
      <w:r>
        <w:rPr>
          <w:rStyle w:val="FootnoteReference"/>
        </w:rPr>
        <w:footnoteRef/>
      </w:r>
      <w:r>
        <w:t xml:space="preserve"> Sull’autonomia della poesia come portato della poetica implicita nel poema ariostesco è sempre fondamentale la riflessione di Sergio Zatti, </w:t>
      </w:r>
      <w:r>
        <w:rPr>
          <w:i/>
        </w:rPr>
        <w:t>Il ruolo di Turpino: poesia e verità nel «Furioso»</w:t>
      </w:r>
      <w:r>
        <w:t>, in Id.,</w:t>
      </w:r>
      <w:r w:rsidRPr="00AE70BD">
        <w:rPr>
          <w:i/>
        </w:rPr>
        <w:t xml:space="preserve"> Il “Furioso” fra epos e romanzo</w:t>
      </w:r>
      <w:r w:rsidRPr="00AE70BD">
        <w:t>, Lucca, Pacini Fazzi, 1990, pp. 173-212.</w:t>
      </w:r>
    </w:p>
  </w:footnote>
  <w:footnote w:id="24">
    <w:p w:rsidR="006317D9" w:rsidRPr="007623FC" w:rsidRDefault="006317D9">
      <w:pPr>
        <w:pStyle w:val="FootnoteText"/>
      </w:pPr>
      <w:r w:rsidRPr="007623FC">
        <w:rPr>
          <w:rStyle w:val="FootnoteReference"/>
        </w:rPr>
        <w:footnoteRef/>
      </w:r>
      <w:r w:rsidRPr="007623FC">
        <w:t xml:space="preserve"> Su Ariosto e Luciano, oltre agli studi citati fin qui, vanno visti preliminarmente i suggerimenti di </w:t>
      </w:r>
      <w:r w:rsidRPr="007623FC">
        <w:rPr>
          <w:rStyle w:val="Strong"/>
          <w:b w:val="0"/>
        </w:rPr>
        <w:t xml:space="preserve">Marinelli, </w:t>
      </w:r>
      <w:r w:rsidRPr="007623FC">
        <w:rPr>
          <w:rStyle w:val="Strong"/>
          <w:b w:val="0"/>
          <w:i/>
        </w:rPr>
        <w:t>Ariosto and Boiardo</w:t>
      </w:r>
      <w:r w:rsidRPr="007623FC">
        <w:rPr>
          <w:rStyle w:val="Strong"/>
          <w:b w:val="0"/>
        </w:rPr>
        <w:t xml:space="preserve">, cit., chap. 7 </w:t>
      </w:r>
      <w:r w:rsidRPr="007623FC">
        <w:rPr>
          <w:rStyle w:val="Strong"/>
          <w:b w:val="0"/>
          <w:i/>
        </w:rPr>
        <w:t>The Laughter of Lucian: Astolfo as Christian Menippus</w:t>
      </w:r>
      <w:r w:rsidRPr="007623FC">
        <w:rPr>
          <w:rStyle w:val="Strong"/>
          <w:b w:val="0"/>
        </w:rPr>
        <w:t xml:space="preserve">, pp. 166-95; </w:t>
      </w:r>
      <w:r w:rsidRPr="007623FC">
        <w:rPr>
          <w:rFonts w:eastAsiaTheme="minorEastAsia"/>
        </w:rPr>
        <w:t xml:space="preserve">David Marsh, </w:t>
      </w:r>
      <w:r w:rsidRPr="007623FC">
        <w:rPr>
          <w:rFonts w:eastAsiaTheme="minorEastAsia"/>
          <w:i/>
          <w:iCs/>
        </w:rPr>
        <w:t>Lucian and the Latins</w:t>
      </w:r>
      <w:r w:rsidRPr="007623FC">
        <w:rPr>
          <w:rFonts w:eastAsiaTheme="minorEastAsia"/>
        </w:rPr>
        <w:t xml:space="preserve">, Ann Arbor, University of Michigan Press, 1998, pp. 92-100; Letizia Panizza, </w:t>
      </w:r>
      <w:r w:rsidRPr="007623FC">
        <w:rPr>
          <w:rFonts w:eastAsiaTheme="minorEastAsia"/>
          <w:i/>
          <w:iCs/>
        </w:rPr>
        <w:t>Vernacular Lucian in Renaissance Italy: Translations and Transformations</w:t>
      </w:r>
      <w:r w:rsidRPr="007623FC">
        <w:rPr>
          <w:rFonts w:eastAsiaTheme="minorEastAsia"/>
        </w:rPr>
        <w:t xml:space="preserve">, in </w:t>
      </w:r>
      <w:r w:rsidRPr="007623FC">
        <w:rPr>
          <w:rStyle w:val="Emphasis"/>
          <w:rFonts w:eastAsiaTheme="minorEastAsia"/>
        </w:rPr>
        <w:t>Lucian of Samosata Vivus et</w:t>
      </w:r>
      <w:r w:rsidRPr="007623FC">
        <w:rPr>
          <w:rStyle w:val="Emphasis"/>
          <w:rFonts w:cs="Times New Roman"/>
        </w:rPr>
        <w:t xml:space="preserve"> Redivivus</w:t>
      </w:r>
      <w:r w:rsidRPr="007623FC">
        <w:rPr>
          <w:rFonts w:cs="Times New Roman"/>
        </w:rPr>
        <w:t xml:space="preserve">, </w:t>
      </w:r>
      <w:r>
        <w:rPr>
          <w:rFonts w:cs="Times New Roman"/>
        </w:rPr>
        <w:t>a cura di</w:t>
      </w:r>
      <w:r w:rsidRPr="007623FC">
        <w:rPr>
          <w:rFonts w:cs="Times New Roman"/>
        </w:rPr>
        <w:t xml:space="preserve"> Christopher Ligota </w:t>
      </w:r>
      <w:r>
        <w:rPr>
          <w:rFonts w:cs="Times New Roman"/>
        </w:rPr>
        <w:t>e</w:t>
      </w:r>
      <w:r w:rsidRPr="007623FC">
        <w:rPr>
          <w:rFonts w:cs="Times New Roman"/>
        </w:rPr>
        <w:t xml:space="preserve"> Letizia Panizza, London and Turin, The Warburg Institute and Nino Aragno Editore, 2007, pp. 71-114; e </w:t>
      </w:r>
      <w:r w:rsidRPr="007623FC">
        <w:rPr>
          <w:rFonts w:eastAsiaTheme="minorEastAsia"/>
        </w:rPr>
        <w:t xml:space="preserve">Mariantonietta Acocella, </w:t>
      </w:r>
      <w:r w:rsidRPr="007623FC">
        <w:rPr>
          <w:rFonts w:eastAsiaTheme="minorEastAsia"/>
          <w:i/>
          <w:iCs/>
        </w:rPr>
        <w:t>Cassio da Narni tra Ariosto e Luciano</w:t>
      </w:r>
      <w:r w:rsidRPr="007623FC">
        <w:rPr>
          <w:rFonts w:eastAsiaTheme="minorEastAsia"/>
        </w:rPr>
        <w:t xml:space="preserve">, in </w:t>
      </w:r>
      <w:r w:rsidRPr="007623FC">
        <w:rPr>
          <w:rFonts w:eastAsiaTheme="minorEastAsia"/>
          <w:i/>
          <w:iCs/>
        </w:rPr>
        <w:t>Boiardo, Ariosto e i libri di battaglia</w:t>
      </w:r>
      <w:r w:rsidRPr="007623FC">
        <w:rPr>
          <w:rFonts w:eastAsiaTheme="minorEastAsia"/>
        </w:rPr>
        <w:t>, a cura di A</w:t>
      </w:r>
      <w:r>
        <w:rPr>
          <w:rFonts w:eastAsiaTheme="minorEastAsia"/>
        </w:rPr>
        <w:t>ndrea Canova e Paola</w:t>
      </w:r>
      <w:r w:rsidRPr="007623FC">
        <w:rPr>
          <w:rFonts w:eastAsiaTheme="minorEastAsia"/>
        </w:rPr>
        <w:t xml:space="preserve"> Vecchi Galli</w:t>
      </w:r>
      <w:r>
        <w:rPr>
          <w:rFonts w:eastAsiaTheme="minorEastAsia"/>
        </w:rPr>
        <w:t>,</w:t>
      </w:r>
      <w:r w:rsidRPr="007623FC">
        <w:rPr>
          <w:rFonts w:eastAsiaTheme="minorEastAsia"/>
        </w:rPr>
        <w:t xml:space="preserve"> Novara, Interlinea, 2007, pp. 287-324</w:t>
      </w:r>
      <w:r w:rsidRPr="007623FC">
        <w:rPr>
          <w:rFonts w:eastAsia="Times New Roman" w:cs="Times New Roman"/>
        </w:rPr>
        <w:t xml:space="preserve">. Altri elementi si attendono ora da Lucia Dell'Aia, </w:t>
      </w:r>
      <w:r w:rsidRPr="007623FC">
        <w:rPr>
          <w:rFonts w:eastAsia="Times New Roman" w:cs="Times New Roman"/>
          <w:i/>
        </w:rPr>
        <w:t>L’antico incantatore. Ariosto e Plutarco</w:t>
      </w:r>
      <w:r w:rsidRPr="007623FC">
        <w:rPr>
          <w:rFonts w:eastAsia="Times New Roman" w:cs="Times New Roman"/>
        </w:rPr>
        <w:t xml:space="preserve">, Roma, Carocci, 2017; e Marina Riccucci, </w:t>
      </w:r>
      <w:r w:rsidRPr="007623FC">
        <w:rPr>
          <w:rFonts w:cs="Times New Roman"/>
          <w:i/>
          <w:iCs/>
        </w:rPr>
        <w:t xml:space="preserve">L’ippogrifo e la </w:t>
      </w:r>
      <w:r w:rsidRPr="007623FC">
        <w:rPr>
          <w:rFonts w:cs="Times New Roman"/>
          <w:iCs/>
        </w:rPr>
        <w:t>Storia Vera</w:t>
      </w:r>
      <w:r w:rsidRPr="007623FC">
        <w:rPr>
          <w:rFonts w:cs="Times New Roman"/>
          <w:i/>
          <w:iCs/>
        </w:rPr>
        <w:t xml:space="preserve"> di Luciano: Ariosto neologista</w:t>
      </w:r>
      <w:r w:rsidRPr="007623FC">
        <w:rPr>
          <w:rFonts w:eastAsia="Times New Roman" w:cs="Times New Roman"/>
        </w:rPr>
        <w:t xml:space="preserve">, in </w:t>
      </w:r>
      <w:r w:rsidRPr="007623FC">
        <w:rPr>
          <w:i/>
        </w:rPr>
        <w:t>L'Orlando Furioso tra rottura e continuità/Le Roland furieux  entre rupture et continuité, Colloque international 17-19 mars 2016, Université de Toulouse, Jean Jaurès</w:t>
      </w:r>
      <w:r w:rsidRPr="007623FC">
        <w:t xml:space="preserve">, a cura di Alessandra Villa, Toulouse, Presses Universitaires du Mirail, </w:t>
      </w:r>
      <w:r>
        <w:t xml:space="preserve">2018, </w:t>
      </w:r>
      <w:r w:rsidRPr="007623FC">
        <w:t>in corso di stampa</w:t>
      </w:r>
      <w:r w:rsidRPr="007623FC">
        <w:rPr>
          <w:rFonts w:eastAsia="Times New Roman" w:cs="Times New Roman"/>
        </w:rPr>
        <w:t>.</w:t>
      </w:r>
      <w:r>
        <w:rPr>
          <w:rFonts w:eastAsia="Times New Roman" w:cs="Times New Roman"/>
        </w:rPr>
        <w:t xml:space="preserve"> Per la proposta di un Ariosto umoristico (anziché solo e convenzionalmente ironico) mi permetto di rinviare a Stefano Jossa</w:t>
      </w:r>
      <w:r w:rsidRPr="00EC626A">
        <w:rPr>
          <w:rFonts w:eastAsia="Times New Roman" w:cs="Times New Roman"/>
        </w:rPr>
        <w:t xml:space="preserve">, </w:t>
      </w:r>
      <w:r w:rsidRPr="00EC626A">
        <w:rPr>
          <w:i/>
        </w:rPr>
        <w:t>Canto XX</w:t>
      </w:r>
      <w:r w:rsidRPr="00EC626A">
        <w:t xml:space="preserve">, in </w:t>
      </w:r>
      <w:r w:rsidRPr="00EC626A">
        <w:rPr>
          <w:i/>
        </w:rPr>
        <w:t>Lettura dell’«Orlando furioso»</w:t>
      </w:r>
      <w:r w:rsidRPr="00EC626A">
        <w:t xml:space="preserve">, </w:t>
      </w:r>
      <w:r>
        <w:t xml:space="preserve">diretta da Guido Baldassarri e Marco Praloran, vol. I, </w:t>
      </w:r>
      <w:r w:rsidRPr="00EC626A">
        <w:t>a cura di Gabriele Bucchi e Franco Tomasi, Firenze,</w:t>
      </w:r>
      <w:r>
        <w:t xml:space="preserve"> Edizioni del Galluzzo, 2016</w:t>
      </w:r>
      <w:r w:rsidRPr="00EC626A">
        <w:t>, pp. 461-77, e</w:t>
      </w:r>
      <w:r>
        <w:t xml:space="preserve"> Id.,</w:t>
      </w:r>
      <w:r w:rsidRPr="00EC626A">
        <w:t xml:space="preserve"> </w:t>
      </w:r>
      <w:r w:rsidRPr="00EC626A">
        <w:rPr>
          <w:i/>
        </w:rPr>
        <w:t>Ironia</w:t>
      </w:r>
      <w:r w:rsidRPr="00EC626A">
        <w:t xml:space="preserve">, in </w:t>
      </w:r>
      <w:r>
        <w:rPr>
          <w:i/>
        </w:rPr>
        <w:t>Lessico critico dell’«</w:t>
      </w:r>
      <w:r w:rsidRPr="00EC626A">
        <w:rPr>
          <w:i/>
        </w:rPr>
        <w:t>Orlando Furioso</w:t>
      </w:r>
      <w:r>
        <w:rPr>
          <w:i/>
        </w:rPr>
        <w:t>»</w:t>
      </w:r>
      <w:r w:rsidRPr="00EC626A">
        <w:t>, a cura di Annalisa Izzo, Roma, Carocci, 2017, pp. 177-97.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519C"/>
    <w:multiLevelType w:val="hybridMultilevel"/>
    <w:tmpl w:val="3DE28C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278"/>
    <w:rsid w:val="00014E88"/>
    <w:rsid w:val="000875BA"/>
    <w:rsid w:val="000A5883"/>
    <w:rsid w:val="000D5141"/>
    <w:rsid w:val="000E524D"/>
    <w:rsid w:val="00172476"/>
    <w:rsid w:val="001D3038"/>
    <w:rsid w:val="00250D4F"/>
    <w:rsid w:val="00260568"/>
    <w:rsid w:val="00293C2D"/>
    <w:rsid w:val="002965F1"/>
    <w:rsid w:val="002B69FB"/>
    <w:rsid w:val="002E0506"/>
    <w:rsid w:val="002E1003"/>
    <w:rsid w:val="002F79F2"/>
    <w:rsid w:val="003115AE"/>
    <w:rsid w:val="00322276"/>
    <w:rsid w:val="003807A8"/>
    <w:rsid w:val="003A2AC8"/>
    <w:rsid w:val="003C1F5F"/>
    <w:rsid w:val="00413F30"/>
    <w:rsid w:val="004432D2"/>
    <w:rsid w:val="00450278"/>
    <w:rsid w:val="0047192E"/>
    <w:rsid w:val="004974ED"/>
    <w:rsid w:val="004B3EFF"/>
    <w:rsid w:val="004C4700"/>
    <w:rsid w:val="00533BF2"/>
    <w:rsid w:val="0054600B"/>
    <w:rsid w:val="0056094C"/>
    <w:rsid w:val="00570761"/>
    <w:rsid w:val="00573BB1"/>
    <w:rsid w:val="00581F25"/>
    <w:rsid w:val="0058226A"/>
    <w:rsid w:val="005C5DA3"/>
    <w:rsid w:val="005C6AC6"/>
    <w:rsid w:val="00631695"/>
    <w:rsid w:val="006317D9"/>
    <w:rsid w:val="006318F9"/>
    <w:rsid w:val="00633259"/>
    <w:rsid w:val="006A675F"/>
    <w:rsid w:val="006D0536"/>
    <w:rsid w:val="006D22D1"/>
    <w:rsid w:val="006D6C80"/>
    <w:rsid w:val="007470E5"/>
    <w:rsid w:val="007623FC"/>
    <w:rsid w:val="007823D3"/>
    <w:rsid w:val="0079355F"/>
    <w:rsid w:val="007B7266"/>
    <w:rsid w:val="007C5845"/>
    <w:rsid w:val="007D68C8"/>
    <w:rsid w:val="007E5E42"/>
    <w:rsid w:val="0081437E"/>
    <w:rsid w:val="00843971"/>
    <w:rsid w:val="00854288"/>
    <w:rsid w:val="008D0C96"/>
    <w:rsid w:val="008F3ACC"/>
    <w:rsid w:val="00940BED"/>
    <w:rsid w:val="009764C5"/>
    <w:rsid w:val="0099356A"/>
    <w:rsid w:val="009E327A"/>
    <w:rsid w:val="00A04426"/>
    <w:rsid w:val="00A331DD"/>
    <w:rsid w:val="00A4374C"/>
    <w:rsid w:val="00A811FE"/>
    <w:rsid w:val="00AB5031"/>
    <w:rsid w:val="00AE70BD"/>
    <w:rsid w:val="00AF3ADF"/>
    <w:rsid w:val="00B73DCA"/>
    <w:rsid w:val="00B814BC"/>
    <w:rsid w:val="00B85246"/>
    <w:rsid w:val="00BD02C2"/>
    <w:rsid w:val="00BD338B"/>
    <w:rsid w:val="00BE1E3F"/>
    <w:rsid w:val="00C36EF4"/>
    <w:rsid w:val="00C60BFD"/>
    <w:rsid w:val="00C60E6F"/>
    <w:rsid w:val="00C72051"/>
    <w:rsid w:val="00CC61CC"/>
    <w:rsid w:val="00CD56B0"/>
    <w:rsid w:val="00D004D6"/>
    <w:rsid w:val="00D03B16"/>
    <w:rsid w:val="00D15AEE"/>
    <w:rsid w:val="00D246B3"/>
    <w:rsid w:val="00D8285F"/>
    <w:rsid w:val="00D93CEC"/>
    <w:rsid w:val="00DB7F64"/>
    <w:rsid w:val="00E21BCF"/>
    <w:rsid w:val="00EC1C1D"/>
    <w:rsid w:val="00EC626A"/>
    <w:rsid w:val="00EC799A"/>
    <w:rsid w:val="00EE2D14"/>
    <w:rsid w:val="00F27A34"/>
    <w:rsid w:val="00F50E9C"/>
    <w:rsid w:val="00FA7DC1"/>
    <w:rsid w:val="00FB6BAB"/>
    <w:rsid w:val="00FC51DF"/>
    <w:rsid w:val="3BBBAE65"/>
    <w:rsid w:val="5DA2E0D0"/>
    <w:rsid w:val="6D7473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30A64B-6410-43CF-9F5D-169C6598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3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7192E"/>
    <w:pPr>
      <w:spacing w:after="0" w:line="240" w:lineRule="auto"/>
    </w:pPr>
    <w:rPr>
      <w:sz w:val="20"/>
      <w:szCs w:val="20"/>
    </w:rPr>
  </w:style>
  <w:style w:type="character" w:customStyle="1" w:styleId="FootnoteTextChar">
    <w:name w:val="Footnote Text Char"/>
    <w:basedOn w:val="DefaultParagraphFont"/>
    <w:link w:val="FootnoteText"/>
    <w:uiPriority w:val="99"/>
    <w:rsid w:val="0047192E"/>
    <w:rPr>
      <w:sz w:val="20"/>
      <w:szCs w:val="20"/>
    </w:rPr>
  </w:style>
  <w:style w:type="character" w:styleId="FootnoteReference">
    <w:name w:val="footnote reference"/>
    <w:basedOn w:val="DefaultParagraphFont"/>
    <w:uiPriority w:val="99"/>
    <w:semiHidden/>
    <w:unhideWhenUsed/>
    <w:rsid w:val="0047192E"/>
    <w:rPr>
      <w:vertAlign w:val="superscript"/>
    </w:rPr>
  </w:style>
  <w:style w:type="character" w:styleId="Hyperlink">
    <w:name w:val="Hyperlink"/>
    <w:basedOn w:val="DefaultParagraphFont"/>
    <w:uiPriority w:val="99"/>
    <w:unhideWhenUsed/>
    <w:rsid w:val="0047192E"/>
    <w:rPr>
      <w:color w:val="0000FF"/>
      <w:u w:val="single"/>
    </w:rPr>
  </w:style>
  <w:style w:type="character" w:customStyle="1" w:styleId="st">
    <w:name w:val="st"/>
    <w:basedOn w:val="DefaultParagraphFont"/>
    <w:rsid w:val="0047192E"/>
  </w:style>
  <w:style w:type="character" w:styleId="Emphasis">
    <w:name w:val="Emphasis"/>
    <w:basedOn w:val="DefaultParagraphFont"/>
    <w:uiPriority w:val="20"/>
    <w:qFormat/>
    <w:rsid w:val="0047192E"/>
    <w:rPr>
      <w:i/>
      <w:iCs/>
    </w:rPr>
  </w:style>
  <w:style w:type="character" w:styleId="Strong">
    <w:name w:val="Strong"/>
    <w:basedOn w:val="DefaultParagraphFont"/>
    <w:uiPriority w:val="22"/>
    <w:qFormat/>
    <w:rsid w:val="004B3EFF"/>
    <w:rPr>
      <w:b/>
      <w:bCs/>
    </w:rPr>
  </w:style>
  <w:style w:type="paragraph" w:styleId="BalloonText">
    <w:name w:val="Balloon Text"/>
    <w:basedOn w:val="Normal"/>
    <w:link w:val="BalloonTextChar"/>
    <w:uiPriority w:val="99"/>
    <w:semiHidden/>
    <w:unhideWhenUsed/>
    <w:rsid w:val="00633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259"/>
    <w:rPr>
      <w:rFonts w:ascii="Tahoma" w:hAnsi="Tahoma" w:cs="Tahoma"/>
      <w:sz w:val="16"/>
      <w:szCs w:val="16"/>
    </w:rPr>
  </w:style>
  <w:style w:type="character" w:styleId="FollowedHyperlink">
    <w:name w:val="FollowedHyperlink"/>
    <w:basedOn w:val="DefaultParagraphFont"/>
    <w:uiPriority w:val="99"/>
    <w:semiHidden/>
    <w:unhideWhenUsed/>
    <w:rsid w:val="00633259"/>
    <w:rPr>
      <w:color w:val="800080" w:themeColor="followedHyperlink"/>
      <w:u w:val="single"/>
    </w:rPr>
  </w:style>
  <w:style w:type="paragraph" w:customStyle="1" w:styleId="Default">
    <w:name w:val="Default"/>
    <w:rsid w:val="006D0536"/>
    <w:pPr>
      <w:autoSpaceDE w:val="0"/>
      <w:autoSpaceDN w:val="0"/>
      <w:adjustRightInd w:val="0"/>
      <w:spacing w:after="0" w:line="240" w:lineRule="auto"/>
    </w:pPr>
    <w:rPr>
      <w:rFonts w:ascii="Bembo MT Pro" w:hAnsi="Bembo MT Pro" w:cs="Bembo MT Pro"/>
      <w:color w:val="000000"/>
      <w:sz w:val="24"/>
      <w:szCs w:val="24"/>
    </w:rPr>
  </w:style>
  <w:style w:type="character" w:customStyle="1" w:styleId="apple-converted-space">
    <w:name w:val="apple-converted-space"/>
    <w:basedOn w:val="DefaultParagraphFont"/>
    <w:rsid w:val="007623FC"/>
  </w:style>
  <w:style w:type="paragraph" w:styleId="ListParagraph">
    <w:name w:val="List Paragraph"/>
    <w:basedOn w:val="Normal"/>
    <w:uiPriority w:val="34"/>
    <w:qFormat/>
    <w:rsid w:val="00573BB1"/>
    <w:pPr>
      <w:ind w:left="720"/>
      <w:contextualSpacing/>
    </w:pPr>
  </w:style>
  <w:style w:type="paragraph" w:styleId="Header">
    <w:name w:val="header"/>
    <w:basedOn w:val="Normal"/>
    <w:link w:val="HeaderChar"/>
    <w:uiPriority w:val="99"/>
    <w:semiHidden/>
    <w:unhideWhenUsed/>
    <w:rsid w:val="00D15AEE"/>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D15AEE"/>
  </w:style>
  <w:style w:type="paragraph" w:styleId="Footer">
    <w:name w:val="footer"/>
    <w:basedOn w:val="Normal"/>
    <w:link w:val="FooterChar"/>
    <w:uiPriority w:val="99"/>
    <w:unhideWhenUsed/>
    <w:rsid w:val="00D15A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D15AEE"/>
  </w:style>
  <w:style w:type="character" w:styleId="CommentReference">
    <w:name w:val="annotation reference"/>
    <w:basedOn w:val="DefaultParagraphFont"/>
    <w:uiPriority w:val="99"/>
    <w:semiHidden/>
    <w:unhideWhenUsed/>
    <w:rsid w:val="00D93CEC"/>
    <w:rPr>
      <w:sz w:val="16"/>
      <w:szCs w:val="16"/>
    </w:rPr>
  </w:style>
  <w:style w:type="paragraph" w:styleId="CommentText">
    <w:name w:val="annotation text"/>
    <w:basedOn w:val="Normal"/>
    <w:link w:val="CommentTextChar"/>
    <w:uiPriority w:val="99"/>
    <w:semiHidden/>
    <w:unhideWhenUsed/>
    <w:rsid w:val="00D93CEC"/>
    <w:pPr>
      <w:spacing w:line="240" w:lineRule="auto"/>
    </w:pPr>
    <w:rPr>
      <w:sz w:val="20"/>
      <w:szCs w:val="20"/>
    </w:rPr>
  </w:style>
  <w:style w:type="character" w:customStyle="1" w:styleId="CommentTextChar">
    <w:name w:val="Comment Text Char"/>
    <w:basedOn w:val="DefaultParagraphFont"/>
    <w:link w:val="CommentText"/>
    <w:uiPriority w:val="99"/>
    <w:semiHidden/>
    <w:rsid w:val="00D93CEC"/>
    <w:rPr>
      <w:sz w:val="20"/>
      <w:szCs w:val="20"/>
    </w:rPr>
  </w:style>
  <w:style w:type="paragraph" w:styleId="CommentSubject">
    <w:name w:val="annotation subject"/>
    <w:basedOn w:val="CommentText"/>
    <w:next w:val="CommentText"/>
    <w:link w:val="CommentSubjectChar"/>
    <w:uiPriority w:val="99"/>
    <w:semiHidden/>
    <w:unhideWhenUsed/>
    <w:rsid w:val="00D93CEC"/>
    <w:rPr>
      <w:b/>
      <w:bCs/>
    </w:rPr>
  </w:style>
  <w:style w:type="character" w:customStyle="1" w:styleId="CommentSubjectChar">
    <w:name w:val="Comment Subject Char"/>
    <w:basedOn w:val="CommentTextChar"/>
    <w:link w:val="CommentSubject"/>
    <w:uiPriority w:val="99"/>
    <w:semiHidden/>
    <w:rsid w:val="00D93C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621263">
      <w:bodyDiv w:val="1"/>
      <w:marLeft w:val="0"/>
      <w:marRight w:val="0"/>
      <w:marTop w:val="0"/>
      <w:marBottom w:val="0"/>
      <w:divBdr>
        <w:top w:val="none" w:sz="0" w:space="0" w:color="auto"/>
        <w:left w:val="none" w:sz="0" w:space="0" w:color="auto"/>
        <w:bottom w:val="none" w:sz="0" w:space="0" w:color="auto"/>
        <w:right w:val="none" w:sz="0" w:space="0" w:color="auto"/>
      </w:divBdr>
      <w:divsChild>
        <w:div w:id="1175799875">
          <w:marLeft w:val="0"/>
          <w:marRight w:val="0"/>
          <w:marTop w:val="0"/>
          <w:marBottom w:val="0"/>
          <w:divBdr>
            <w:top w:val="none" w:sz="0" w:space="0" w:color="auto"/>
            <w:left w:val="none" w:sz="0" w:space="0" w:color="auto"/>
            <w:bottom w:val="none" w:sz="0" w:space="0" w:color="auto"/>
            <w:right w:val="none" w:sz="0" w:space="0" w:color="auto"/>
          </w:divBdr>
        </w:div>
        <w:div w:id="1413623446">
          <w:marLeft w:val="0"/>
          <w:marRight w:val="0"/>
          <w:marTop w:val="0"/>
          <w:marBottom w:val="0"/>
          <w:divBdr>
            <w:top w:val="none" w:sz="0" w:space="0" w:color="auto"/>
            <w:left w:val="none" w:sz="0" w:space="0" w:color="auto"/>
            <w:bottom w:val="none" w:sz="0" w:space="0" w:color="auto"/>
            <w:right w:val="none" w:sz="0" w:space="0" w:color="auto"/>
          </w:divBdr>
        </w:div>
        <w:div w:id="1172992876">
          <w:marLeft w:val="0"/>
          <w:marRight w:val="0"/>
          <w:marTop w:val="0"/>
          <w:marBottom w:val="0"/>
          <w:divBdr>
            <w:top w:val="none" w:sz="0" w:space="0" w:color="auto"/>
            <w:left w:val="none" w:sz="0" w:space="0" w:color="auto"/>
            <w:bottom w:val="none" w:sz="0" w:space="0" w:color="auto"/>
            <w:right w:val="none" w:sz="0" w:space="0" w:color="auto"/>
          </w:divBdr>
        </w:div>
        <w:div w:id="660814680">
          <w:marLeft w:val="0"/>
          <w:marRight w:val="0"/>
          <w:marTop w:val="0"/>
          <w:marBottom w:val="0"/>
          <w:divBdr>
            <w:top w:val="none" w:sz="0" w:space="0" w:color="auto"/>
            <w:left w:val="none" w:sz="0" w:space="0" w:color="auto"/>
            <w:bottom w:val="none" w:sz="0" w:space="0" w:color="auto"/>
            <w:right w:val="none" w:sz="0" w:space="0" w:color="auto"/>
          </w:divBdr>
        </w:div>
        <w:div w:id="665935310">
          <w:marLeft w:val="0"/>
          <w:marRight w:val="0"/>
          <w:marTop w:val="0"/>
          <w:marBottom w:val="0"/>
          <w:divBdr>
            <w:top w:val="none" w:sz="0" w:space="0" w:color="auto"/>
            <w:left w:val="none" w:sz="0" w:space="0" w:color="auto"/>
            <w:bottom w:val="none" w:sz="0" w:space="0" w:color="auto"/>
            <w:right w:val="none" w:sz="0" w:space="0" w:color="auto"/>
          </w:divBdr>
        </w:div>
        <w:div w:id="1329753557">
          <w:marLeft w:val="0"/>
          <w:marRight w:val="0"/>
          <w:marTop w:val="0"/>
          <w:marBottom w:val="0"/>
          <w:divBdr>
            <w:top w:val="none" w:sz="0" w:space="0" w:color="auto"/>
            <w:left w:val="none" w:sz="0" w:space="0" w:color="auto"/>
            <w:bottom w:val="none" w:sz="0" w:space="0" w:color="auto"/>
            <w:right w:val="none" w:sz="0" w:space="0" w:color="auto"/>
          </w:divBdr>
        </w:div>
        <w:div w:id="894120418">
          <w:marLeft w:val="0"/>
          <w:marRight w:val="0"/>
          <w:marTop w:val="0"/>
          <w:marBottom w:val="0"/>
          <w:divBdr>
            <w:top w:val="none" w:sz="0" w:space="0" w:color="auto"/>
            <w:left w:val="none" w:sz="0" w:space="0" w:color="auto"/>
            <w:bottom w:val="none" w:sz="0" w:space="0" w:color="auto"/>
            <w:right w:val="none" w:sz="0" w:space="0" w:color="auto"/>
          </w:divBdr>
        </w:div>
        <w:div w:id="1007368520">
          <w:marLeft w:val="0"/>
          <w:marRight w:val="0"/>
          <w:marTop w:val="0"/>
          <w:marBottom w:val="0"/>
          <w:divBdr>
            <w:top w:val="none" w:sz="0" w:space="0" w:color="auto"/>
            <w:left w:val="none" w:sz="0" w:space="0" w:color="auto"/>
            <w:bottom w:val="none" w:sz="0" w:space="0" w:color="auto"/>
            <w:right w:val="none" w:sz="0" w:space="0" w:color="auto"/>
          </w:divBdr>
        </w:div>
        <w:div w:id="197471415">
          <w:marLeft w:val="0"/>
          <w:marRight w:val="0"/>
          <w:marTop w:val="0"/>
          <w:marBottom w:val="0"/>
          <w:divBdr>
            <w:top w:val="none" w:sz="0" w:space="0" w:color="auto"/>
            <w:left w:val="none" w:sz="0" w:space="0" w:color="auto"/>
            <w:bottom w:val="none" w:sz="0" w:space="0" w:color="auto"/>
            <w:right w:val="none" w:sz="0" w:space="0" w:color="auto"/>
          </w:divBdr>
        </w:div>
        <w:div w:id="173308836">
          <w:marLeft w:val="0"/>
          <w:marRight w:val="0"/>
          <w:marTop w:val="0"/>
          <w:marBottom w:val="0"/>
          <w:divBdr>
            <w:top w:val="none" w:sz="0" w:space="0" w:color="auto"/>
            <w:left w:val="none" w:sz="0" w:space="0" w:color="auto"/>
            <w:bottom w:val="none" w:sz="0" w:space="0" w:color="auto"/>
            <w:right w:val="none" w:sz="0" w:space="0" w:color="auto"/>
          </w:divBdr>
        </w:div>
        <w:div w:id="1701467632">
          <w:marLeft w:val="0"/>
          <w:marRight w:val="0"/>
          <w:marTop w:val="0"/>
          <w:marBottom w:val="0"/>
          <w:divBdr>
            <w:top w:val="none" w:sz="0" w:space="0" w:color="auto"/>
            <w:left w:val="none" w:sz="0" w:space="0" w:color="auto"/>
            <w:bottom w:val="none" w:sz="0" w:space="0" w:color="auto"/>
            <w:right w:val="none" w:sz="0" w:space="0" w:color="auto"/>
          </w:divBdr>
        </w:div>
        <w:div w:id="2131169420">
          <w:marLeft w:val="0"/>
          <w:marRight w:val="0"/>
          <w:marTop w:val="0"/>
          <w:marBottom w:val="0"/>
          <w:divBdr>
            <w:top w:val="none" w:sz="0" w:space="0" w:color="auto"/>
            <w:left w:val="none" w:sz="0" w:space="0" w:color="auto"/>
            <w:bottom w:val="none" w:sz="0" w:space="0" w:color="auto"/>
            <w:right w:val="none" w:sz="0" w:space="0" w:color="auto"/>
          </w:divBdr>
        </w:div>
        <w:div w:id="1411586249">
          <w:marLeft w:val="0"/>
          <w:marRight w:val="0"/>
          <w:marTop w:val="0"/>
          <w:marBottom w:val="0"/>
          <w:divBdr>
            <w:top w:val="none" w:sz="0" w:space="0" w:color="auto"/>
            <w:left w:val="none" w:sz="0" w:space="0" w:color="auto"/>
            <w:bottom w:val="none" w:sz="0" w:space="0" w:color="auto"/>
            <w:right w:val="none" w:sz="0" w:space="0" w:color="auto"/>
          </w:divBdr>
        </w:div>
        <w:div w:id="1904900753">
          <w:marLeft w:val="0"/>
          <w:marRight w:val="0"/>
          <w:marTop w:val="0"/>
          <w:marBottom w:val="0"/>
          <w:divBdr>
            <w:top w:val="none" w:sz="0" w:space="0" w:color="auto"/>
            <w:left w:val="none" w:sz="0" w:space="0" w:color="auto"/>
            <w:bottom w:val="none" w:sz="0" w:space="0" w:color="auto"/>
            <w:right w:val="none" w:sz="0" w:space="0" w:color="auto"/>
          </w:divBdr>
        </w:div>
        <w:div w:id="802499283">
          <w:marLeft w:val="0"/>
          <w:marRight w:val="0"/>
          <w:marTop w:val="0"/>
          <w:marBottom w:val="0"/>
          <w:divBdr>
            <w:top w:val="none" w:sz="0" w:space="0" w:color="auto"/>
            <w:left w:val="none" w:sz="0" w:space="0" w:color="auto"/>
            <w:bottom w:val="none" w:sz="0" w:space="0" w:color="auto"/>
            <w:right w:val="none" w:sz="0" w:space="0" w:color="auto"/>
          </w:divBdr>
        </w:div>
        <w:div w:id="1682972234">
          <w:marLeft w:val="0"/>
          <w:marRight w:val="0"/>
          <w:marTop w:val="0"/>
          <w:marBottom w:val="0"/>
          <w:divBdr>
            <w:top w:val="none" w:sz="0" w:space="0" w:color="auto"/>
            <w:left w:val="none" w:sz="0" w:space="0" w:color="auto"/>
            <w:bottom w:val="none" w:sz="0" w:space="0" w:color="auto"/>
            <w:right w:val="none" w:sz="0" w:space="0" w:color="auto"/>
          </w:divBdr>
        </w:div>
        <w:div w:id="234440467">
          <w:marLeft w:val="0"/>
          <w:marRight w:val="0"/>
          <w:marTop w:val="0"/>
          <w:marBottom w:val="0"/>
          <w:divBdr>
            <w:top w:val="none" w:sz="0" w:space="0" w:color="auto"/>
            <w:left w:val="none" w:sz="0" w:space="0" w:color="auto"/>
            <w:bottom w:val="none" w:sz="0" w:space="0" w:color="auto"/>
            <w:right w:val="none" w:sz="0" w:space="0" w:color="auto"/>
          </w:divBdr>
        </w:div>
        <w:div w:id="1198199149">
          <w:marLeft w:val="0"/>
          <w:marRight w:val="0"/>
          <w:marTop w:val="0"/>
          <w:marBottom w:val="0"/>
          <w:divBdr>
            <w:top w:val="none" w:sz="0" w:space="0" w:color="auto"/>
            <w:left w:val="none" w:sz="0" w:space="0" w:color="auto"/>
            <w:bottom w:val="none" w:sz="0" w:space="0" w:color="auto"/>
            <w:right w:val="none" w:sz="0" w:space="0" w:color="auto"/>
          </w:divBdr>
        </w:div>
        <w:div w:id="145825779">
          <w:marLeft w:val="0"/>
          <w:marRight w:val="0"/>
          <w:marTop w:val="0"/>
          <w:marBottom w:val="0"/>
          <w:divBdr>
            <w:top w:val="none" w:sz="0" w:space="0" w:color="auto"/>
            <w:left w:val="none" w:sz="0" w:space="0" w:color="auto"/>
            <w:bottom w:val="none" w:sz="0" w:space="0" w:color="auto"/>
            <w:right w:val="none" w:sz="0" w:space="0" w:color="auto"/>
          </w:divBdr>
        </w:div>
        <w:div w:id="1172261499">
          <w:marLeft w:val="0"/>
          <w:marRight w:val="0"/>
          <w:marTop w:val="0"/>
          <w:marBottom w:val="0"/>
          <w:divBdr>
            <w:top w:val="none" w:sz="0" w:space="0" w:color="auto"/>
            <w:left w:val="none" w:sz="0" w:space="0" w:color="auto"/>
            <w:bottom w:val="none" w:sz="0" w:space="0" w:color="auto"/>
            <w:right w:val="none" w:sz="0" w:space="0" w:color="auto"/>
          </w:divBdr>
        </w:div>
        <w:div w:id="1856072038">
          <w:marLeft w:val="0"/>
          <w:marRight w:val="0"/>
          <w:marTop w:val="0"/>
          <w:marBottom w:val="0"/>
          <w:divBdr>
            <w:top w:val="none" w:sz="0" w:space="0" w:color="auto"/>
            <w:left w:val="none" w:sz="0" w:space="0" w:color="auto"/>
            <w:bottom w:val="none" w:sz="0" w:space="0" w:color="auto"/>
            <w:right w:val="none" w:sz="0" w:space="0" w:color="auto"/>
          </w:divBdr>
        </w:div>
        <w:div w:id="160588300">
          <w:marLeft w:val="0"/>
          <w:marRight w:val="0"/>
          <w:marTop w:val="0"/>
          <w:marBottom w:val="0"/>
          <w:divBdr>
            <w:top w:val="none" w:sz="0" w:space="0" w:color="auto"/>
            <w:left w:val="none" w:sz="0" w:space="0" w:color="auto"/>
            <w:bottom w:val="none" w:sz="0" w:space="0" w:color="auto"/>
            <w:right w:val="none" w:sz="0" w:space="0" w:color="auto"/>
          </w:divBdr>
        </w:div>
        <w:div w:id="175996048">
          <w:marLeft w:val="0"/>
          <w:marRight w:val="0"/>
          <w:marTop w:val="0"/>
          <w:marBottom w:val="0"/>
          <w:divBdr>
            <w:top w:val="none" w:sz="0" w:space="0" w:color="auto"/>
            <w:left w:val="none" w:sz="0" w:space="0" w:color="auto"/>
            <w:bottom w:val="none" w:sz="0" w:space="0" w:color="auto"/>
            <w:right w:val="none" w:sz="0" w:space="0" w:color="auto"/>
          </w:divBdr>
        </w:div>
        <w:div w:id="1295258692">
          <w:marLeft w:val="0"/>
          <w:marRight w:val="0"/>
          <w:marTop w:val="0"/>
          <w:marBottom w:val="0"/>
          <w:divBdr>
            <w:top w:val="none" w:sz="0" w:space="0" w:color="auto"/>
            <w:left w:val="none" w:sz="0" w:space="0" w:color="auto"/>
            <w:bottom w:val="none" w:sz="0" w:space="0" w:color="auto"/>
            <w:right w:val="none" w:sz="0" w:space="0" w:color="auto"/>
          </w:divBdr>
        </w:div>
        <w:div w:id="2705824">
          <w:marLeft w:val="0"/>
          <w:marRight w:val="0"/>
          <w:marTop w:val="0"/>
          <w:marBottom w:val="0"/>
          <w:divBdr>
            <w:top w:val="none" w:sz="0" w:space="0" w:color="auto"/>
            <w:left w:val="none" w:sz="0" w:space="0" w:color="auto"/>
            <w:bottom w:val="none" w:sz="0" w:space="0" w:color="auto"/>
            <w:right w:val="none" w:sz="0" w:space="0" w:color="auto"/>
          </w:divBdr>
        </w:div>
        <w:div w:id="745228100">
          <w:marLeft w:val="0"/>
          <w:marRight w:val="0"/>
          <w:marTop w:val="0"/>
          <w:marBottom w:val="0"/>
          <w:divBdr>
            <w:top w:val="none" w:sz="0" w:space="0" w:color="auto"/>
            <w:left w:val="none" w:sz="0" w:space="0" w:color="auto"/>
            <w:bottom w:val="none" w:sz="0" w:space="0" w:color="auto"/>
            <w:right w:val="none" w:sz="0" w:space="0" w:color="auto"/>
          </w:divBdr>
        </w:div>
        <w:div w:id="623581706">
          <w:marLeft w:val="0"/>
          <w:marRight w:val="0"/>
          <w:marTop w:val="0"/>
          <w:marBottom w:val="0"/>
          <w:divBdr>
            <w:top w:val="none" w:sz="0" w:space="0" w:color="auto"/>
            <w:left w:val="none" w:sz="0" w:space="0" w:color="auto"/>
            <w:bottom w:val="none" w:sz="0" w:space="0" w:color="auto"/>
            <w:right w:val="none" w:sz="0" w:space="0" w:color="auto"/>
          </w:divBdr>
        </w:div>
        <w:div w:id="237859818">
          <w:marLeft w:val="0"/>
          <w:marRight w:val="0"/>
          <w:marTop w:val="0"/>
          <w:marBottom w:val="0"/>
          <w:divBdr>
            <w:top w:val="none" w:sz="0" w:space="0" w:color="auto"/>
            <w:left w:val="none" w:sz="0" w:space="0" w:color="auto"/>
            <w:bottom w:val="none" w:sz="0" w:space="0" w:color="auto"/>
            <w:right w:val="none" w:sz="0" w:space="0" w:color="auto"/>
          </w:divBdr>
        </w:div>
        <w:div w:id="75396048">
          <w:marLeft w:val="0"/>
          <w:marRight w:val="0"/>
          <w:marTop w:val="0"/>
          <w:marBottom w:val="0"/>
          <w:divBdr>
            <w:top w:val="none" w:sz="0" w:space="0" w:color="auto"/>
            <w:left w:val="none" w:sz="0" w:space="0" w:color="auto"/>
            <w:bottom w:val="none" w:sz="0" w:space="0" w:color="auto"/>
            <w:right w:val="none" w:sz="0" w:space="0" w:color="auto"/>
          </w:divBdr>
        </w:div>
        <w:div w:id="541745343">
          <w:marLeft w:val="0"/>
          <w:marRight w:val="0"/>
          <w:marTop w:val="0"/>
          <w:marBottom w:val="0"/>
          <w:divBdr>
            <w:top w:val="none" w:sz="0" w:space="0" w:color="auto"/>
            <w:left w:val="none" w:sz="0" w:space="0" w:color="auto"/>
            <w:bottom w:val="none" w:sz="0" w:space="0" w:color="auto"/>
            <w:right w:val="none" w:sz="0" w:space="0" w:color="auto"/>
          </w:divBdr>
        </w:div>
        <w:div w:id="822163841">
          <w:marLeft w:val="0"/>
          <w:marRight w:val="0"/>
          <w:marTop w:val="0"/>
          <w:marBottom w:val="0"/>
          <w:divBdr>
            <w:top w:val="none" w:sz="0" w:space="0" w:color="auto"/>
            <w:left w:val="none" w:sz="0" w:space="0" w:color="auto"/>
            <w:bottom w:val="none" w:sz="0" w:space="0" w:color="auto"/>
            <w:right w:val="none" w:sz="0" w:space="0" w:color="auto"/>
          </w:divBdr>
        </w:div>
        <w:div w:id="441848376">
          <w:marLeft w:val="0"/>
          <w:marRight w:val="0"/>
          <w:marTop w:val="0"/>
          <w:marBottom w:val="0"/>
          <w:divBdr>
            <w:top w:val="none" w:sz="0" w:space="0" w:color="auto"/>
            <w:left w:val="none" w:sz="0" w:space="0" w:color="auto"/>
            <w:bottom w:val="none" w:sz="0" w:space="0" w:color="auto"/>
            <w:right w:val="none" w:sz="0" w:space="0" w:color="auto"/>
          </w:divBdr>
        </w:div>
        <w:div w:id="129829056">
          <w:marLeft w:val="0"/>
          <w:marRight w:val="0"/>
          <w:marTop w:val="0"/>
          <w:marBottom w:val="0"/>
          <w:divBdr>
            <w:top w:val="none" w:sz="0" w:space="0" w:color="auto"/>
            <w:left w:val="none" w:sz="0" w:space="0" w:color="auto"/>
            <w:bottom w:val="none" w:sz="0" w:space="0" w:color="auto"/>
            <w:right w:val="none" w:sz="0" w:space="0" w:color="auto"/>
          </w:divBdr>
        </w:div>
        <w:div w:id="795561142">
          <w:marLeft w:val="0"/>
          <w:marRight w:val="0"/>
          <w:marTop w:val="0"/>
          <w:marBottom w:val="0"/>
          <w:divBdr>
            <w:top w:val="none" w:sz="0" w:space="0" w:color="auto"/>
            <w:left w:val="none" w:sz="0" w:space="0" w:color="auto"/>
            <w:bottom w:val="none" w:sz="0" w:space="0" w:color="auto"/>
            <w:right w:val="none" w:sz="0" w:space="0" w:color="auto"/>
          </w:divBdr>
        </w:div>
        <w:div w:id="290403828">
          <w:marLeft w:val="0"/>
          <w:marRight w:val="0"/>
          <w:marTop w:val="0"/>
          <w:marBottom w:val="0"/>
          <w:divBdr>
            <w:top w:val="none" w:sz="0" w:space="0" w:color="auto"/>
            <w:left w:val="none" w:sz="0" w:space="0" w:color="auto"/>
            <w:bottom w:val="none" w:sz="0" w:space="0" w:color="auto"/>
            <w:right w:val="none" w:sz="0" w:space="0" w:color="auto"/>
          </w:divBdr>
        </w:div>
        <w:div w:id="1477337353">
          <w:marLeft w:val="0"/>
          <w:marRight w:val="0"/>
          <w:marTop w:val="0"/>
          <w:marBottom w:val="0"/>
          <w:divBdr>
            <w:top w:val="none" w:sz="0" w:space="0" w:color="auto"/>
            <w:left w:val="none" w:sz="0" w:space="0" w:color="auto"/>
            <w:bottom w:val="none" w:sz="0" w:space="0" w:color="auto"/>
            <w:right w:val="none" w:sz="0" w:space="0" w:color="auto"/>
          </w:divBdr>
        </w:div>
        <w:div w:id="1175654892">
          <w:marLeft w:val="0"/>
          <w:marRight w:val="0"/>
          <w:marTop w:val="0"/>
          <w:marBottom w:val="0"/>
          <w:divBdr>
            <w:top w:val="none" w:sz="0" w:space="0" w:color="auto"/>
            <w:left w:val="none" w:sz="0" w:space="0" w:color="auto"/>
            <w:bottom w:val="none" w:sz="0" w:space="0" w:color="auto"/>
            <w:right w:val="none" w:sz="0" w:space="0" w:color="auto"/>
          </w:divBdr>
        </w:div>
        <w:div w:id="548104547">
          <w:marLeft w:val="0"/>
          <w:marRight w:val="0"/>
          <w:marTop w:val="0"/>
          <w:marBottom w:val="0"/>
          <w:divBdr>
            <w:top w:val="none" w:sz="0" w:space="0" w:color="auto"/>
            <w:left w:val="none" w:sz="0" w:space="0" w:color="auto"/>
            <w:bottom w:val="none" w:sz="0" w:space="0" w:color="auto"/>
            <w:right w:val="none" w:sz="0" w:space="0" w:color="auto"/>
          </w:divBdr>
        </w:div>
        <w:div w:id="628166431">
          <w:marLeft w:val="0"/>
          <w:marRight w:val="0"/>
          <w:marTop w:val="0"/>
          <w:marBottom w:val="0"/>
          <w:divBdr>
            <w:top w:val="none" w:sz="0" w:space="0" w:color="auto"/>
            <w:left w:val="none" w:sz="0" w:space="0" w:color="auto"/>
            <w:bottom w:val="none" w:sz="0" w:space="0" w:color="auto"/>
            <w:right w:val="none" w:sz="0" w:space="0" w:color="auto"/>
          </w:divBdr>
        </w:div>
        <w:div w:id="784665105">
          <w:marLeft w:val="0"/>
          <w:marRight w:val="0"/>
          <w:marTop w:val="0"/>
          <w:marBottom w:val="0"/>
          <w:divBdr>
            <w:top w:val="none" w:sz="0" w:space="0" w:color="auto"/>
            <w:left w:val="none" w:sz="0" w:space="0" w:color="auto"/>
            <w:bottom w:val="none" w:sz="0" w:space="0" w:color="auto"/>
            <w:right w:val="none" w:sz="0" w:space="0" w:color="auto"/>
          </w:divBdr>
        </w:div>
        <w:div w:id="910391396">
          <w:marLeft w:val="0"/>
          <w:marRight w:val="0"/>
          <w:marTop w:val="0"/>
          <w:marBottom w:val="0"/>
          <w:divBdr>
            <w:top w:val="none" w:sz="0" w:space="0" w:color="auto"/>
            <w:left w:val="none" w:sz="0" w:space="0" w:color="auto"/>
            <w:bottom w:val="none" w:sz="0" w:space="0" w:color="auto"/>
            <w:right w:val="none" w:sz="0" w:space="0" w:color="auto"/>
          </w:divBdr>
        </w:div>
        <w:div w:id="1155608740">
          <w:marLeft w:val="0"/>
          <w:marRight w:val="0"/>
          <w:marTop w:val="0"/>
          <w:marBottom w:val="0"/>
          <w:divBdr>
            <w:top w:val="none" w:sz="0" w:space="0" w:color="auto"/>
            <w:left w:val="none" w:sz="0" w:space="0" w:color="auto"/>
            <w:bottom w:val="none" w:sz="0" w:space="0" w:color="auto"/>
            <w:right w:val="none" w:sz="0" w:space="0" w:color="auto"/>
          </w:divBdr>
        </w:div>
        <w:div w:id="659768793">
          <w:marLeft w:val="0"/>
          <w:marRight w:val="0"/>
          <w:marTop w:val="0"/>
          <w:marBottom w:val="0"/>
          <w:divBdr>
            <w:top w:val="none" w:sz="0" w:space="0" w:color="auto"/>
            <w:left w:val="none" w:sz="0" w:space="0" w:color="auto"/>
            <w:bottom w:val="none" w:sz="0" w:space="0" w:color="auto"/>
            <w:right w:val="none" w:sz="0" w:space="0" w:color="auto"/>
          </w:divBdr>
        </w:div>
        <w:div w:id="799735880">
          <w:marLeft w:val="0"/>
          <w:marRight w:val="0"/>
          <w:marTop w:val="0"/>
          <w:marBottom w:val="0"/>
          <w:divBdr>
            <w:top w:val="none" w:sz="0" w:space="0" w:color="auto"/>
            <w:left w:val="none" w:sz="0" w:space="0" w:color="auto"/>
            <w:bottom w:val="none" w:sz="0" w:space="0" w:color="auto"/>
            <w:right w:val="none" w:sz="0" w:space="0" w:color="auto"/>
          </w:divBdr>
        </w:div>
        <w:div w:id="1065956705">
          <w:marLeft w:val="0"/>
          <w:marRight w:val="0"/>
          <w:marTop w:val="0"/>
          <w:marBottom w:val="0"/>
          <w:divBdr>
            <w:top w:val="none" w:sz="0" w:space="0" w:color="auto"/>
            <w:left w:val="none" w:sz="0" w:space="0" w:color="auto"/>
            <w:bottom w:val="none" w:sz="0" w:space="0" w:color="auto"/>
            <w:right w:val="none" w:sz="0" w:space="0" w:color="auto"/>
          </w:divBdr>
        </w:div>
        <w:div w:id="1439984663">
          <w:marLeft w:val="0"/>
          <w:marRight w:val="0"/>
          <w:marTop w:val="0"/>
          <w:marBottom w:val="0"/>
          <w:divBdr>
            <w:top w:val="none" w:sz="0" w:space="0" w:color="auto"/>
            <w:left w:val="none" w:sz="0" w:space="0" w:color="auto"/>
            <w:bottom w:val="none" w:sz="0" w:space="0" w:color="auto"/>
            <w:right w:val="none" w:sz="0" w:space="0" w:color="auto"/>
          </w:divBdr>
        </w:div>
        <w:div w:id="1580093093">
          <w:marLeft w:val="0"/>
          <w:marRight w:val="0"/>
          <w:marTop w:val="0"/>
          <w:marBottom w:val="0"/>
          <w:divBdr>
            <w:top w:val="none" w:sz="0" w:space="0" w:color="auto"/>
            <w:left w:val="none" w:sz="0" w:space="0" w:color="auto"/>
            <w:bottom w:val="none" w:sz="0" w:space="0" w:color="auto"/>
            <w:right w:val="none" w:sz="0" w:space="0" w:color="auto"/>
          </w:divBdr>
        </w:div>
        <w:div w:id="757293744">
          <w:marLeft w:val="0"/>
          <w:marRight w:val="0"/>
          <w:marTop w:val="0"/>
          <w:marBottom w:val="0"/>
          <w:divBdr>
            <w:top w:val="none" w:sz="0" w:space="0" w:color="auto"/>
            <w:left w:val="none" w:sz="0" w:space="0" w:color="auto"/>
            <w:bottom w:val="none" w:sz="0" w:space="0" w:color="auto"/>
            <w:right w:val="none" w:sz="0" w:space="0" w:color="auto"/>
          </w:divBdr>
        </w:div>
        <w:div w:id="680549538">
          <w:marLeft w:val="0"/>
          <w:marRight w:val="0"/>
          <w:marTop w:val="0"/>
          <w:marBottom w:val="0"/>
          <w:divBdr>
            <w:top w:val="none" w:sz="0" w:space="0" w:color="auto"/>
            <w:left w:val="none" w:sz="0" w:space="0" w:color="auto"/>
            <w:bottom w:val="none" w:sz="0" w:space="0" w:color="auto"/>
            <w:right w:val="none" w:sz="0" w:space="0" w:color="auto"/>
          </w:divBdr>
        </w:div>
        <w:div w:id="1531256685">
          <w:marLeft w:val="0"/>
          <w:marRight w:val="0"/>
          <w:marTop w:val="0"/>
          <w:marBottom w:val="0"/>
          <w:divBdr>
            <w:top w:val="none" w:sz="0" w:space="0" w:color="auto"/>
            <w:left w:val="none" w:sz="0" w:space="0" w:color="auto"/>
            <w:bottom w:val="none" w:sz="0" w:space="0" w:color="auto"/>
            <w:right w:val="none" w:sz="0" w:space="0" w:color="auto"/>
          </w:divBdr>
        </w:div>
        <w:div w:id="878277981">
          <w:marLeft w:val="0"/>
          <w:marRight w:val="0"/>
          <w:marTop w:val="0"/>
          <w:marBottom w:val="0"/>
          <w:divBdr>
            <w:top w:val="none" w:sz="0" w:space="0" w:color="auto"/>
            <w:left w:val="none" w:sz="0" w:space="0" w:color="auto"/>
            <w:bottom w:val="none" w:sz="0" w:space="0" w:color="auto"/>
            <w:right w:val="none" w:sz="0" w:space="0" w:color="auto"/>
          </w:divBdr>
        </w:div>
        <w:div w:id="260262760">
          <w:marLeft w:val="0"/>
          <w:marRight w:val="0"/>
          <w:marTop w:val="0"/>
          <w:marBottom w:val="0"/>
          <w:divBdr>
            <w:top w:val="none" w:sz="0" w:space="0" w:color="auto"/>
            <w:left w:val="none" w:sz="0" w:space="0" w:color="auto"/>
            <w:bottom w:val="none" w:sz="0" w:space="0" w:color="auto"/>
            <w:right w:val="none" w:sz="0" w:space="0" w:color="auto"/>
          </w:divBdr>
        </w:div>
        <w:div w:id="1765297183">
          <w:marLeft w:val="0"/>
          <w:marRight w:val="0"/>
          <w:marTop w:val="0"/>
          <w:marBottom w:val="0"/>
          <w:divBdr>
            <w:top w:val="none" w:sz="0" w:space="0" w:color="auto"/>
            <w:left w:val="none" w:sz="0" w:space="0" w:color="auto"/>
            <w:bottom w:val="none" w:sz="0" w:space="0" w:color="auto"/>
            <w:right w:val="none" w:sz="0" w:space="0" w:color="auto"/>
          </w:divBdr>
        </w:div>
        <w:div w:id="1587690770">
          <w:marLeft w:val="0"/>
          <w:marRight w:val="0"/>
          <w:marTop w:val="0"/>
          <w:marBottom w:val="0"/>
          <w:divBdr>
            <w:top w:val="none" w:sz="0" w:space="0" w:color="auto"/>
            <w:left w:val="none" w:sz="0" w:space="0" w:color="auto"/>
            <w:bottom w:val="none" w:sz="0" w:space="0" w:color="auto"/>
            <w:right w:val="none" w:sz="0" w:space="0" w:color="auto"/>
          </w:divBdr>
        </w:div>
        <w:div w:id="1895966783">
          <w:marLeft w:val="0"/>
          <w:marRight w:val="0"/>
          <w:marTop w:val="0"/>
          <w:marBottom w:val="0"/>
          <w:divBdr>
            <w:top w:val="none" w:sz="0" w:space="0" w:color="auto"/>
            <w:left w:val="none" w:sz="0" w:space="0" w:color="auto"/>
            <w:bottom w:val="none" w:sz="0" w:space="0" w:color="auto"/>
            <w:right w:val="none" w:sz="0" w:space="0" w:color="auto"/>
          </w:divBdr>
        </w:div>
        <w:div w:id="2076201582">
          <w:marLeft w:val="0"/>
          <w:marRight w:val="0"/>
          <w:marTop w:val="0"/>
          <w:marBottom w:val="0"/>
          <w:divBdr>
            <w:top w:val="none" w:sz="0" w:space="0" w:color="auto"/>
            <w:left w:val="none" w:sz="0" w:space="0" w:color="auto"/>
            <w:bottom w:val="none" w:sz="0" w:space="0" w:color="auto"/>
            <w:right w:val="none" w:sz="0" w:space="0" w:color="auto"/>
          </w:divBdr>
        </w:div>
        <w:div w:id="1774327622">
          <w:marLeft w:val="0"/>
          <w:marRight w:val="0"/>
          <w:marTop w:val="0"/>
          <w:marBottom w:val="0"/>
          <w:divBdr>
            <w:top w:val="none" w:sz="0" w:space="0" w:color="auto"/>
            <w:left w:val="none" w:sz="0" w:space="0" w:color="auto"/>
            <w:bottom w:val="none" w:sz="0" w:space="0" w:color="auto"/>
            <w:right w:val="none" w:sz="0" w:space="0" w:color="auto"/>
          </w:divBdr>
        </w:div>
        <w:div w:id="1947926850">
          <w:marLeft w:val="0"/>
          <w:marRight w:val="0"/>
          <w:marTop w:val="0"/>
          <w:marBottom w:val="0"/>
          <w:divBdr>
            <w:top w:val="none" w:sz="0" w:space="0" w:color="auto"/>
            <w:left w:val="none" w:sz="0" w:space="0" w:color="auto"/>
            <w:bottom w:val="none" w:sz="0" w:space="0" w:color="auto"/>
            <w:right w:val="none" w:sz="0" w:space="0" w:color="auto"/>
          </w:divBdr>
        </w:div>
        <w:div w:id="1387026813">
          <w:marLeft w:val="0"/>
          <w:marRight w:val="0"/>
          <w:marTop w:val="0"/>
          <w:marBottom w:val="0"/>
          <w:divBdr>
            <w:top w:val="none" w:sz="0" w:space="0" w:color="auto"/>
            <w:left w:val="none" w:sz="0" w:space="0" w:color="auto"/>
            <w:bottom w:val="none" w:sz="0" w:space="0" w:color="auto"/>
            <w:right w:val="none" w:sz="0" w:space="0" w:color="auto"/>
          </w:divBdr>
        </w:div>
        <w:div w:id="603148277">
          <w:marLeft w:val="0"/>
          <w:marRight w:val="0"/>
          <w:marTop w:val="0"/>
          <w:marBottom w:val="0"/>
          <w:divBdr>
            <w:top w:val="none" w:sz="0" w:space="0" w:color="auto"/>
            <w:left w:val="none" w:sz="0" w:space="0" w:color="auto"/>
            <w:bottom w:val="none" w:sz="0" w:space="0" w:color="auto"/>
            <w:right w:val="none" w:sz="0" w:space="0" w:color="auto"/>
          </w:divBdr>
        </w:div>
        <w:div w:id="48580151">
          <w:marLeft w:val="0"/>
          <w:marRight w:val="0"/>
          <w:marTop w:val="0"/>
          <w:marBottom w:val="0"/>
          <w:divBdr>
            <w:top w:val="none" w:sz="0" w:space="0" w:color="auto"/>
            <w:left w:val="none" w:sz="0" w:space="0" w:color="auto"/>
            <w:bottom w:val="none" w:sz="0" w:space="0" w:color="auto"/>
            <w:right w:val="none" w:sz="0" w:space="0" w:color="auto"/>
          </w:divBdr>
        </w:div>
        <w:div w:id="1529372583">
          <w:marLeft w:val="0"/>
          <w:marRight w:val="0"/>
          <w:marTop w:val="0"/>
          <w:marBottom w:val="0"/>
          <w:divBdr>
            <w:top w:val="none" w:sz="0" w:space="0" w:color="auto"/>
            <w:left w:val="none" w:sz="0" w:space="0" w:color="auto"/>
            <w:bottom w:val="none" w:sz="0" w:space="0" w:color="auto"/>
            <w:right w:val="none" w:sz="0" w:space="0" w:color="auto"/>
          </w:divBdr>
        </w:div>
        <w:div w:id="952056059">
          <w:marLeft w:val="0"/>
          <w:marRight w:val="0"/>
          <w:marTop w:val="0"/>
          <w:marBottom w:val="0"/>
          <w:divBdr>
            <w:top w:val="none" w:sz="0" w:space="0" w:color="auto"/>
            <w:left w:val="none" w:sz="0" w:space="0" w:color="auto"/>
            <w:bottom w:val="none" w:sz="0" w:space="0" w:color="auto"/>
            <w:right w:val="none" w:sz="0" w:space="0" w:color="auto"/>
          </w:divBdr>
        </w:div>
        <w:div w:id="401566993">
          <w:marLeft w:val="0"/>
          <w:marRight w:val="0"/>
          <w:marTop w:val="0"/>
          <w:marBottom w:val="0"/>
          <w:divBdr>
            <w:top w:val="none" w:sz="0" w:space="0" w:color="auto"/>
            <w:left w:val="none" w:sz="0" w:space="0" w:color="auto"/>
            <w:bottom w:val="none" w:sz="0" w:space="0" w:color="auto"/>
            <w:right w:val="none" w:sz="0" w:space="0" w:color="auto"/>
          </w:divBdr>
        </w:div>
        <w:div w:id="1211263584">
          <w:marLeft w:val="0"/>
          <w:marRight w:val="0"/>
          <w:marTop w:val="0"/>
          <w:marBottom w:val="0"/>
          <w:divBdr>
            <w:top w:val="none" w:sz="0" w:space="0" w:color="auto"/>
            <w:left w:val="none" w:sz="0" w:space="0" w:color="auto"/>
            <w:bottom w:val="none" w:sz="0" w:space="0" w:color="auto"/>
            <w:right w:val="none" w:sz="0" w:space="0" w:color="auto"/>
          </w:divBdr>
        </w:div>
        <w:div w:id="469059817">
          <w:marLeft w:val="0"/>
          <w:marRight w:val="0"/>
          <w:marTop w:val="0"/>
          <w:marBottom w:val="0"/>
          <w:divBdr>
            <w:top w:val="none" w:sz="0" w:space="0" w:color="auto"/>
            <w:left w:val="none" w:sz="0" w:space="0" w:color="auto"/>
            <w:bottom w:val="none" w:sz="0" w:space="0" w:color="auto"/>
            <w:right w:val="none" w:sz="0" w:space="0" w:color="auto"/>
          </w:divBdr>
        </w:div>
        <w:div w:id="896822167">
          <w:marLeft w:val="0"/>
          <w:marRight w:val="0"/>
          <w:marTop w:val="0"/>
          <w:marBottom w:val="0"/>
          <w:divBdr>
            <w:top w:val="none" w:sz="0" w:space="0" w:color="auto"/>
            <w:left w:val="none" w:sz="0" w:space="0" w:color="auto"/>
            <w:bottom w:val="none" w:sz="0" w:space="0" w:color="auto"/>
            <w:right w:val="none" w:sz="0" w:space="0" w:color="auto"/>
          </w:divBdr>
        </w:div>
        <w:div w:id="849490772">
          <w:marLeft w:val="0"/>
          <w:marRight w:val="0"/>
          <w:marTop w:val="0"/>
          <w:marBottom w:val="0"/>
          <w:divBdr>
            <w:top w:val="none" w:sz="0" w:space="0" w:color="auto"/>
            <w:left w:val="none" w:sz="0" w:space="0" w:color="auto"/>
            <w:bottom w:val="none" w:sz="0" w:space="0" w:color="auto"/>
            <w:right w:val="none" w:sz="0" w:space="0" w:color="auto"/>
          </w:divBdr>
        </w:div>
        <w:div w:id="800421305">
          <w:marLeft w:val="0"/>
          <w:marRight w:val="0"/>
          <w:marTop w:val="0"/>
          <w:marBottom w:val="0"/>
          <w:divBdr>
            <w:top w:val="none" w:sz="0" w:space="0" w:color="auto"/>
            <w:left w:val="none" w:sz="0" w:space="0" w:color="auto"/>
            <w:bottom w:val="none" w:sz="0" w:space="0" w:color="auto"/>
            <w:right w:val="none" w:sz="0" w:space="0" w:color="auto"/>
          </w:divBdr>
        </w:div>
        <w:div w:id="1751654735">
          <w:marLeft w:val="0"/>
          <w:marRight w:val="0"/>
          <w:marTop w:val="0"/>
          <w:marBottom w:val="0"/>
          <w:divBdr>
            <w:top w:val="none" w:sz="0" w:space="0" w:color="auto"/>
            <w:left w:val="none" w:sz="0" w:space="0" w:color="auto"/>
            <w:bottom w:val="none" w:sz="0" w:space="0" w:color="auto"/>
            <w:right w:val="none" w:sz="0" w:space="0" w:color="auto"/>
          </w:divBdr>
        </w:div>
      </w:divsChild>
    </w:div>
    <w:div w:id="201702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seus.tufts.edu/hopper/morph?l=bou%2Flomai&amp;la=greek&amp;can=bou%2Flomai0&amp;prior=%5d" TargetMode="External"/><Relationship Id="rId13" Type="http://schemas.openxmlformats.org/officeDocument/2006/relationships/hyperlink" Target="http://www.perseus.tufts.edu/hopper/morph?l=o%28&amp;la=greek&amp;can=o%280&amp;prior=w(/sper" TargetMode="External"/><Relationship Id="rId18" Type="http://schemas.openxmlformats.org/officeDocument/2006/relationships/hyperlink" Target="http://www.perseus.tufts.edu/hopper/morph?l=tou%3D&amp;la=greek&amp;can=tou%3D0&amp;prior=tina\" TargetMode="External"/><Relationship Id="rId26" Type="http://schemas.openxmlformats.org/officeDocument/2006/relationships/hyperlink" Target="http://www.perseus.tufts.edu/hopper/morph?l=a%29poble%2Fpwn&amp;la=greek&amp;can=a%29poble%2Fpwn0&amp;prior=tau/thn"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perseus.tufts.edu/hopper/morph?l=soi&amp;la=greek&amp;can=soi0&amp;prior=bi/ou" TargetMode="External"/><Relationship Id="rId34" Type="http://schemas.openxmlformats.org/officeDocument/2006/relationships/hyperlink" Target="https://books.google.it/books?id=UnQKYVRTtaIC&amp;printsec=frontcover&amp;hl=i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erseus.tufts.edu/hopper/morph?l=w%28%2Fsper&amp;la=greek&amp;can=w%28%2Fsper0&amp;prior=e)/gwge" TargetMode="External"/><Relationship Id="rId17" Type="http://schemas.openxmlformats.org/officeDocument/2006/relationships/hyperlink" Target="http://www.perseus.tufts.edu/hopper/morph?l=tina%5C&amp;la=greek&amp;can=tina%5C0&amp;prior=ei)ko/na" TargetMode="External"/><Relationship Id="rId25" Type="http://schemas.openxmlformats.org/officeDocument/2006/relationships/hyperlink" Target="http://www.perseus.tufts.edu/hopper/morph?l=tau%2Fthn&amp;la=greek&amp;can=tau%2Fthn0&amp;prior=ei)s" TargetMode="External"/><Relationship Id="rId33" Type="http://schemas.openxmlformats.org/officeDocument/2006/relationships/hyperlink" Target="http://www.perseus.tufts.edu/hopper/morph?l=au%29th%2Fn&amp;la=greek&amp;can=au%29th%2Fn0&amp;prior=ei)s" TargetMode="External"/><Relationship Id="rId38" Type="http://schemas.openxmlformats.org/officeDocument/2006/relationships/hyperlink" Target="https://en.wikipedia.org/wiki/Irony%27s_Edge" TargetMode="External"/><Relationship Id="rId2" Type="http://schemas.openxmlformats.org/officeDocument/2006/relationships/numbering" Target="numbering.xml"/><Relationship Id="rId16" Type="http://schemas.openxmlformats.org/officeDocument/2006/relationships/hyperlink" Target="http://www.perseus.tufts.edu/hopper/morph?l=ei%29ko%2Fna&amp;la=greek&amp;can=ei%29ko%2Fna0&amp;prior=e)kei=nos" TargetMode="External"/><Relationship Id="rId20" Type="http://schemas.openxmlformats.org/officeDocument/2006/relationships/hyperlink" Target="http://www.perseus.tufts.edu/hopper/morph?l=bi%2Fou&amp;la=greek&amp;can=bi%2Fou0&amp;prior=toiou/tou" TargetMode="External"/><Relationship Id="rId29" Type="http://schemas.openxmlformats.org/officeDocument/2006/relationships/hyperlink" Target="http://www.perseus.tufts.edu/hopper/morph?l=soi&amp;la=greek&amp;can=soi1&amp;prior=ei)/"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eus.tufts.edu/hopper/morph?l=e%29%2Fgwge&amp;la=greek&amp;can=e%29%2Fgwge0&amp;prior=o(/mws" TargetMode="External"/><Relationship Id="rId24" Type="http://schemas.openxmlformats.org/officeDocument/2006/relationships/hyperlink" Target="http://www.perseus.tufts.edu/hopper/morph?l=ei%29s&amp;la=greek&amp;can=ei%29s0&amp;prior=o(/pws" TargetMode="External"/><Relationship Id="rId32" Type="http://schemas.openxmlformats.org/officeDocument/2006/relationships/hyperlink" Target="http://www.perseus.tufts.edu/hopper/morph?l=ei%29s&amp;la=greek&amp;can=ei%29s1&amp;prior=e)sti\n" TargetMode="External"/><Relationship Id="rId37" Type="http://schemas.openxmlformats.org/officeDocument/2006/relationships/image" Target="media/image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erseus.tufts.edu/hopper/morph?l=e%29kei%3Dnos&amp;la=greek&amp;can=e%29kei%3Dnos0&amp;prior=*ke/bhs" TargetMode="External"/><Relationship Id="rId23" Type="http://schemas.openxmlformats.org/officeDocument/2006/relationships/hyperlink" Target="http://www.perseus.tufts.edu/hopper/morph?l=o%28%2Fpws&amp;la=greek&amp;can=o%28%2Fpws0&amp;prior=gra/yai" TargetMode="External"/><Relationship Id="rId28" Type="http://schemas.openxmlformats.org/officeDocument/2006/relationships/hyperlink" Target="http://www.perseus.tufts.edu/hopper/morph?l=ei%29%2F&amp;la=greek&amp;can=ei%29%2F0&amp;prior=ei)dh=|s" TargetMode="External"/><Relationship Id="rId36" Type="http://schemas.openxmlformats.org/officeDocument/2006/relationships/hyperlink" Target="http://daten.digitale-sammlungen.de/~db/0001/bsb00015875/images/index.html?id=00015875&amp;seite=4&amp;fip=193.174.98.30&amp;nativeno=%2F&amp;groesser=100%25" TargetMode="External"/><Relationship Id="rId10" Type="http://schemas.openxmlformats.org/officeDocument/2006/relationships/hyperlink" Target="http://www.perseus.tufts.edu/hopper/morph?l=o%28%2Fmws&amp;la=greek&amp;can=o%28%2Fmws0&amp;prior=d%27" TargetMode="External"/><Relationship Id="rId19" Type="http://schemas.openxmlformats.org/officeDocument/2006/relationships/hyperlink" Target="http://www.perseus.tufts.edu/hopper/morph?l=toiou%2Ftou&amp;la=greek&amp;can=toiou%2Ftou0&amp;prior=tou=" TargetMode="External"/><Relationship Id="rId31" Type="http://schemas.openxmlformats.org/officeDocument/2006/relationships/hyperlink" Target="http://www.perseus.tufts.edu/hopper/morph?l=e%29sti%5Cn&amp;la=greek&amp;can=e%29sti%5Cn0&amp;prior=parithte/on" TargetMode="External"/><Relationship Id="rId4" Type="http://schemas.openxmlformats.org/officeDocument/2006/relationships/settings" Target="settings.xml"/><Relationship Id="rId9" Type="http://schemas.openxmlformats.org/officeDocument/2006/relationships/hyperlink" Target="http://www.perseus.tufts.edu/hopper/morph?l=d%27&amp;la=greek&amp;can=d%270&amp;prior=bou/lomai" TargetMode="External"/><Relationship Id="rId14" Type="http://schemas.openxmlformats.org/officeDocument/2006/relationships/hyperlink" Target="http://www.perseus.tufts.edu/hopper/morph?l=*ke%2Fbhs&amp;la=greek&amp;can=*ke%2Fbhs0&amp;prior=o(" TargetMode="External"/><Relationship Id="rId22" Type="http://schemas.openxmlformats.org/officeDocument/2006/relationships/hyperlink" Target="http://www.perseus.tufts.edu/hopper/morph?l=gra%2Fyai&amp;la=greek&amp;can=gra%2Fyai0&amp;prior=soi" TargetMode="External"/><Relationship Id="rId27" Type="http://schemas.openxmlformats.org/officeDocument/2006/relationships/hyperlink" Target="http://www.perseus.tufts.edu/hopper/morph?l=ei%29dh%3D%7Cs&amp;la=greek&amp;can=ei%29dh%3D%7Cs0&amp;prior=a)poble/pwn" TargetMode="External"/><Relationship Id="rId30" Type="http://schemas.openxmlformats.org/officeDocument/2006/relationships/hyperlink" Target="http://www.perseus.tufts.edu/hopper/morph?l=parithte%2Fon&amp;la=greek&amp;can=parithte%2Fon0&amp;prior=soi" TargetMode="External"/><Relationship Id="rId35"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daten.digitale-sammlungen.de/~db/0001/bsb00015875/images/index.html?id=00015875&amp;groesser=&amp;fip=193.174.98.30&amp;no=&amp;seite=1" TargetMode="External"/><Relationship Id="rId3" Type="http://schemas.openxmlformats.org/officeDocument/2006/relationships/hyperlink" Target="http://www.treccani.it/enciclopedia/giovanni-mazzocchi_(Dizionario-Biografico)" TargetMode="External"/><Relationship Id="rId7" Type="http://schemas.openxmlformats.org/officeDocument/2006/relationships/hyperlink" Target="http://reader.digitale-sammlungen.de/resolve/display/bsb11217196.html" TargetMode="External"/><Relationship Id="rId2" Type="http://schemas.openxmlformats.org/officeDocument/2006/relationships/hyperlink" Target="http://www.treccani.it/enciclopedia/giacomo-mazzocchi_(Dizionario-Biografico)/" TargetMode="External"/><Relationship Id="rId1" Type="http://schemas.openxmlformats.org/officeDocument/2006/relationships/hyperlink" Target="http://edit16.iccu.sbn.it/scripts/iccu_ext.dll?fn=10&amp;i=2541" TargetMode="External"/><Relationship Id="rId6" Type="http://schemas.openxmlformats.org/officeDocument/2006/relationships/hyperlink" Target="https://books.google.it/books?id=UnQKYVRTtaIC&amp;printsec=frontcover&amp;hl=it" TargetMode="External"/><Relationship Id="rId5" Type="http://schemas.openxmlformats.org/officeDocument/2006/relationships/hyperlink" Target="http://edit16.iccu.sbn.it/scripts/iccu_ext.dll?fn=10&amp;i=30365" TargetMode="External"/><Relationship Id="rId4" Type="http://schemas.openxmlformats.org/officeDocument/2006/relationships/hyperlink" Target="http://www.perseus.tufts.edu/hopper/text?doc=Perseus%3Atext%3A2008.01.0452%3Asection%3D42" TargetMode="External"/><Relationship Id="rId9" Type="http://schemas.openxmlformats.org/officeDocument/2006/relationships/hyperlink" Target="http://www.furioso16.it/ariosto-conference-500-years-orlando-furios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DDDC6-94AE-4BDC-A4B3-F8DD4FB6C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2302</Words>
  <Characters>13123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dc:creator>
  <cp:lastModifiedBy>Revan, Jade</cp:lastModifiedBy>
  <cp:revision>3</cp:revision>
  <dcterms:created xsi:type="dcterms:W3CDTF">2019-01-03T12:24:00Z</dcterms:created>
  <dcterms:modified xsi:type="dcterms:W3CDTF">2019-01-03T12:24:00Z</dcterms:modified>
</cp:coreProperties>
</file>