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29951" w14:textId="77777777" w:rsidR="005D2EEE" w:rsidRPr="007F2727" w:rsidRDefault="00393942" w:rsidP="004E00EC">
      <w:pPr>
        <w:spacing w:line="480" w:lineRule="auto"/>
        <w:ind w:left="2160" w:hanging="1440"/>
        <w:rPr>
          <w:rFonts w:ascii="Arial" w:hAnsi="Arial" w:cs="Arial"/>
          <w:b/>
          <w:sz w:val="22"/>
        </w:rPr>
      </w:pPr>
      <w:r w:rsidRPr="007F2727">
        <w:rPr>
          <w:rFonts w:ascii="Arial" w:hAnsi="Arial" w:cs="Arial"/>
          <w:b/>
          <w:sz w:val="22"/>
        </w:rPr>
        <w:t xml:space="preserve">                                                                                                                                                                                                           </w:t>
      </w:r>
      <w:r w:rsidR="00AE1329" w:rsidRPr="007F2727">
        <w:rPr>
          <w:rFonts w:ascii="Arial" w:hAnsi="Arial" w:cs="Arial"/>
          <w:b/>
          <w:sz w:val="22"/>
        </w:rPr>
        <w:t>Written Article</w:t>
      </w:r>
    </w:p>
    <w:p w14:paraId="5230633F" w14:textId="77777777" w:rsidR="00AE1329" w:rsidRPr="007F2727" w:rsidRDefault="00AE1329" w:rsidP="003264E8">
      <w:pPr>
        <w:spacing w:line="480" w:lineRule="auto"/>
        <w:ind w:left="1440" w:hanging="1440"/>
        <w:rPr>
          <w:rFonts w:ascii="Arial" w:hAnsi="Arial" w:cs="Arial"/>
          <w:b/>
          <w:sz w:val="22"/>
        </w:rPr>
      </w:pPr>
    </w:p>
    <w:p w14:paraId="255C4D87" w14:textId="77777777" w:rsidR="00AE1329" w:rsidRPr="007F2727" w:rsidRDefault="00AE1329" w:rsidP="003264E8">
      <w:pPr>
        <w:spacing w:line="480" w:lineRule="auto"/>
        <w:ind w:left="1440" w:hanging="1440"/>
        <w:rPr>
          <w:rFonts w:ascii="Arial" w:hAnsi="Arial" w:cs="Arial"/>
          <w:sz w:val="22"/>
        </w:rPr>
      </w:pPr>
      <w:r w:rsidRPr="007F2727">
        <w:rPr>
          <w:rFonts w:ascii="Arial" w:hAnsi="Arial" w:cs="Arial"/>
          <w:b/>
          <w:sz w:val="22"/>
        </w:rPr>
        <w:t>Journal:</w:t>
      </w:r>
      <w:r w:rsidRPr="007F2727">
        <w:rPr>
          <w:rFonts w:ascii="Arial" w:hAnsi="Arial" w:cs="Arial"/>
          <w:b/>
          <w:sz w:val="22"/>
        </w:rPr>
        <w:tab/>
        <w:t>Contemporary Issues in Law</w:t>
      </w:r>
    </w:p>
    <w:p w14:paraId="611709E9" w14:textId="77777777" w:rsidR="00AE1329" w:rsidRPr="007F2727" w:rsidRDefault="00AE1329" w:rsidP="003264E8">
      <w:pPr>
        <w:spacing w:line="480" w:lineRule="auto"/>
        <w:ind w:left="1440" w:hanging="1440"/>
        <w:rPr>
          <w:rFonts w:ascii="Arial" w:hAnsi="Arial" w:cs="Arial"/>
          <w:sz w:val="22"/>
        </w:rPr>
      </w:pPr>
    </w:p>
    <w:p w14:paraId="4BE40FA1" w14:textId="77777777" w:rsidR="003264E8" w:rsidRPr="007F2727" w:rsidRDefault="001E0CF4" w:rsidP="003264E8">
      <w:pPr>
        <w:spacing w:line="480" w:lineRule="auto"/>
        <w:ind w:left="1440" w:hanging="1440"/>
        <w:rPr>
          <w:rFonts w:ascii="Arial" w:hAnsi="Arial" w:cs="Arial"/>
          <w:sz w:val="22"/>
        </w:rPr>
      </w:pPr>
      <w:r w:rsidRPr="007F2727">
        <w:rPr>
          <w:rFonts w:ascii="Arial" w:hAnsi="Arial" w:cs="Arial"/>
          <w:sz w:val="22"/>
        </w:rPr>
        <w:t xml:space="preserve">Submission </w:t>
      </w:r>
      <w:r w:rsidR="003264E8" w:rsidRPr="007F2727">
        <w:rPr>
          <w:rFonts w:ascii="Arial" w:hAnsi="Arial" w:cs="Arial"/>
          <w:sz w:val="22"/>
        </w:rPr>
        <w:t>Date:</w:t>
      </w:r>
      <w:r w:rsidR="003264E8" w:rsidRPr="007F2727">
        <w:rPr>
          <w:rFonts w:ascii="Arial" w:hAnsi="Arial" w:cs="Arial"/>
          <w:sz w:val="22"/>
        </w:rPr>
        <w:tab/>
      </w:r>
      <w:r w:rsidR="00AE1329" w:rsidRPr="007F2727">
        <w:rPr>
          <w:rFonts w:ascii="Arial" w:hAnsi="Arial" w:cs="Arial"/>
          <w:sz w:val="22"/>
        </w:rPr>
        <w:t>31</w:t>
      </w:r>
      <w:r w:rsidR="00AE1329" w:rsidRPr="007F2727">
        <w:rPr>
          <w:rFonts w:ascii="Arial" w:hAnsi="Arial" w:cs="Arial"/>
          <w:sz w:val="22"/>
          <w:vertAlign w:val="superscript"/>
        </w:rPr>
        <w:t>st</w:t>
      </w:r>
      <w:r w:rsidR="00AE1329" w:rsidRPr="007F2727">
        <w:rPr>
          <w:rFonts w:ascii="Arial" w:hAnsi="Arial" w:cs="Arial"/>
          <w:sz w:val="22"/>
        </w:rPr>
        <w:t xml:space="preserve"> January 2018</w:t>
      </w:r>
    </w:p>
    <w:p w14:paraId="0738611E" w14:textId="77777777" w:rsidR="007D2251" w:rsidRPr="007F2727" w:rsidRDefault="007D2251" w:rsidP="007D2251">
      <w:pPr>
        <w:spacing w:line="480" w:lineRule="auto"/>
        <w:rPr>
          <w:rFonts w:ascii="Arial" w:hAnsi="Arial" w:cs="Arial"/>
          <w:sz w:val="22"/>
        </w:rPr>
      </w:pPr>
    </w:p>
    <w:p w14:paraId="18F27645" w14:textId="77777777" w:rsidR="007D2251" w:rsidRPr="007F2727" w:rsidRDefault="007D2251" w:rsidP="007D2251">
      <w:pPr>
        <w:spacing w:line="480" w:lineRule="auto"/>
        <w:ind w:left="1440" w:hanging="1440"/>
        <w:rPr>
          <w:rFonts w:ascii="Arial" w:hAnsi="Arial" w:cs="Arial"/>
          <w:sz w:val="22"/>
        </w:rPr>
      </w:pPr>
      <w:r w:rsidRPr="007F2727">
        <w:rPr>
          <w:rFonts w:ascii="Arial" w:hAnsi="Arial" w:cs="Arial"/>
          <w:sz w:val="22"/>
        </w:rPr>
        <w:t>Paper Title:</w:t>
      </w:r>
      <w:r w:rsidRPr="007F2727">
        <w:rPr>
          <w:rFonts w:ascii="Arial" w:hAnsi="Arial" w:cs="Arial"/>
          <w:sz w:val="22"/>
        </w:rPr>
        <w:tab/>
      </w:r>
      <w:r w:rsidR="006B37FA" w:rsidRPr="007F2727">
        <w:rPr>
          <w:rFonts w:ascii="Arial" w:hAnsi="Arial" w:cs="Arial"/>
          <w:sz w:val="22"/>
        </w:rPr>
        <w:t xml:space="preserve">The Language of </w:t>
      </w:r>
      <w:r w:rsidR="007E5C66" w:rsidRPr="007F2727">
        <w:rPr>
          <w:rFonts w:ascii="Arial" w:hAnsi="Arial" w:cs="Arial"/>
          <w:sz w:val="22"/>
        </w:rPr>
        <w:t xml:space="preserve">Collaborative </w:t>
      </w:r>
      <w:r w:rsidR="006B37FA" w:rsidRPr="007F2727">
        <w:rPr>
          <w:rFonts w:ascii="Arial" w:hAnsi="Arial" w:cs="Arial"/>
          <w:sz w:val="22"/>
        </w:rPr>
        <w:t>Reproduction: Written ‘Voices’ Reframing International Surrogacy</w:t>
      </w:r>
    </w:p>
    <w:p w14:paraId="28AFFBA7" w14:textId="77777777" w:rsidR="007D2251" w:rsidRPr="007F2727" w:rsidRDefault="007D2251" w:rsidP="003264E8">
      <w:pPr>
        <w:spacing w:line="480" w:lineRule="auto"/>
        <w:rPr>
          <w:rFonts w:ascii="Arial" w:hAnsi="Arial" w:cs="Arial"/>
          <w:sz w:val="22"/>
        </w:rPr>
      </w:pPr>
    </w:p>
    <w:p w14:paraId="0255ED32" w14:textId="77777777" w:rsidR="007D2251" w:rsidRPr="007F2727" w:rsidRDefault="007D2251" w:rsidP="007D2251">
      <w:pPr>
        <w:spacing w:line="480" w:lineRule="auto"/>
        <w:ind w:left="1440" w:hanging="1440"/>
        <w:rPr>
          <w:rFonts w:ascii="Arial" w:hAnsi="Arial" w:cs="Arial"/>
          <w:sz w:val="22"/>
        </w:rPr>
      </w:pPr>
      <w:r w:rsidRPr="007F2727">
        <w:rPr>
          <w:rFonts w:ascii="Arial" w:hAnsi="Arial" w:cs="Arial"/>
          <w:sz w:val="22"/>
        </w:rPr>
        <w:t>Author:</w:t>
      </w:r>
      <w:r w:rsidRPr="007F2727">
        <w:rPr>
          <w:rFonts w:ascii="Arial" w:hAnsi="Arial" w:cs="Arial"/>
          <w:sz w:val="22"/>
        </w:rPr>
        <w:tab/>
        <w:t xml:space="preserve"> </w:t>
      </w:r>
    </w:p>
    <w:p w14:paraId="35793B21" w14:textId="77777777" w:rsidR="007D2251" w:rsidRPr="007F2727" w:rsidRDefault="007D2251" w:rsidP="007D2251">
      <w:pPr>
        <w:spacing w:line="480" w:lineRule="auto"/>
        <w:rPr>
          <w:rFonts w:ascii="Arial" w:hAnsi="Arial" w:cs="Arial"/>
          <w:sz w:val="22"/>
        </w:rPr>
      </w:pPr>
    </w:p>
    <w:p w14:paraId="06DE4207" w14:textId="77777777" w:rsidR="007D2251" w:rsidRPr="007F2727" w:rsidRDefault="002C470E" w:rsidP="007D2251">
      <w:pPr>
        <w:spacing w:line="480" w:lineRule="auto"/>
        <w:ind w:left="1440" w:hanging="1440"/>
        <w:rPr>
          <w:rFonts w:ascii="Arial" w:hAnsi="Arial" w:cs="Arial"/>
          <w:sz w:val="22"/>
        </w:rPr>
      </w:pPr>
      <w:r w:rsidRPr="007F2727">
        <w:rPr>
          <w:rFonts w:ascii="Arial" w:hAnsi="Arial" w:cs="Arial"/>
          <w:sz w:val="22"/>
        </w:rPr>
        <w:t xml:space="preserve">Key Words: </w:t>
      </w:r>
      <w:r w:rsidRPr="007F2727">
        <w:rPr>
          <w:rFonts w:ascii="Arial" w:hAnsi="Arial" w:cs="Arial"/>
          <w:sz w:val="22"/>
        </w:rPr>
        <w:tab/>
        <w:t xml:space="preserve">International </w:t>
      </w:r>
      <w:r w:rsidR="007D2251" w:rsidRPr="007F2727">
        <w:rPr>
          <w:rFonts w:ascii="Arial" w:hAnsi="Arial" w:cs="Arial"/>
          <w:sz w:val="22"/>
        </w:rPr>
        <w:t>S</w:t>
      </w:r>
      <w:r w:rsidR="006F589A" w:rsidRPr="007F2727">
        <w:rPr>
          <w:rFonts w:ascii="Arial" w:hAnsi="Arial" w:cs="Arial"/>
          <w:sz w:val="22"/>
        </w:rPr>
        <w:t>urrogacy</w:t>
      </w:r>
      <w:r w:rsidR="005D2EEE" w:rsidRPr="007F2727">
        <w:rPr>
          <w:rFonts w:ascii="Arial" w:hAnsi="Arial" w:cs="Arial"/>
          <w:sz w:val="22"/>
        </w:rPr>
        <w:t xml:space="preserve">, </w:t>
      </w:r>
      <w:r w:rsidR="001E0CF4" w:rsidRPr="007F2727">
        <w:rPr>
          <w:rFonts w:ascii="Arial" w:hAnsi="Arial" w:cs="Arial"/>
          <w:sz w:val="22"/>
        </w:rPr>
        <w:t xml:space="preserve">Forensic Linguistics, </w:t>
      </w:r>
      <w:r w:rsidR="005A55FC" w:rsidRPr="007F2727">
        <w:rPr>
          <w:rFonts w:ascii="Arial" w:hAnsi="Arial" w:cs="Arial"/>
          <w:sz w:val="22"/>
        </w:rPr>
        <w:t>Parental Order</w:t>
      </w:r>
      <w:r w:rsidR="00F0181F" w:rsidRPr="007F2727">
        <w:rPr>
          <w:rFonts w:ascii="Arial" w:hAnsi="Arial" w:cs="Arial"/>
          <w:sz w:val="22"/>
        </w:rPr>
        <w:t>s</w:t>
      </w:r>
      <w:r w:rsidR="00897B9F" w:rsidRPr="007F2727">
        <w:rPr>
          <w:rFonts w:ascii="Arial" w:hAnsi="Arial" w:cs="Arial"/>
          <w:sz w:val="22"/>
        </w:rPr>
        <w:t xml:space="preserve"> </w:t>
      </w:r>
      <w:r w:rsidR="00F0181F" w:rsidRPr="007F2727">
        <w:rPr>
          <w:rFonts w:ascii="Arial" w:hAnsi="Arial" w:cs="Arial"/>
          <w:sz w:val="22"/>
        </w:rPr>
        <w:t xml:space="preserve">Law and Language, Commissioning Couples, </w:t>
      </w:r>
      <w:r w:rsidR="00897B9F" w:rsidRPr="007F2727">
        <w:rPr>
          <w:rFonts w:ascii="Arial" w:hAnsi="Arial" w:cs="Arial"/>
          <w:sz w:val="22"/>
        </w:rPr>
        <w:t xml:space="preserve">Reproduction, </w:t>
      </w:r>
      <w:r w:rsidR="00F0181F" w:rsidRPr="007F2727">
        <w:rPr>
          <w:rFonts w:ascii="Arial" w:hAnsi="Arial" w:cs="Arial"/>
          <w:sz w:val="22"/>
        </w:rPr>
        <w:t>Socio-Legal Empirical Research</w:t>
      </w:r>
    </w:p>
    <w:p w14:paraId="1797B347" w14:textId="77777777" w:rsidR="008318F8" w:rsidRPr="007F2727" w:rsidRDefault="008318F8" w:rsidP="007D2251">
      <w:pPr>
        <w:spacing w:line="480" w:lineRule="auto"/>
        <w:rPr>
          <w:rFonts w:ascii="Arial" w:hAnsi="Arial" w:cs="Arial"/>
          <w:b/>
          <w:sz w:val="22"/>
        </w:rPr>
      </w:pPr>
    </w:p>
    <w:p w14:paraId="31C56F21" w14:textId="77777777" w:rsidR="005A55FC" w:rsidRPr="007F2727" w:rsidRDefault="007D2251" w:rsidP="007D2251">
      <w:pPr>
        <w:spacing w:line="480" w:lineRule="auto"/>
        <w:rPr>
          <w:rFonts w:ascii="Arial" w:hAnsi="Arial" w:cs="Arial"/>
          <w:b/>
          <w:sz w:val="22"/>
        </w:rPr>
      </w:pPr>
      <w:r w:rsidRPr="007F2727">
        <w:rPr>
          <w:rFonts w:ascii="Arial" w:hAnsi="Arial" w:cs="Arial"/>
          <w:b/>
          <w:sz w:val="22"/>
        </w:rPr>
        <w:t>Abstract</w:t>
      </w:r>
    </w:p>
    <w:p w14:paraId="7E4511A3" w14:textId="77777777" w:rsidR="006F589A" w:rsidRPr="007F2727" w:rsidRDefault="005A55FC" w:rsidP="00884C26">
      <w:pPr>
        <w:spacing w:line="480" w:lineRule="auto"/>
        <w:rPr>
          <w:rFonts w:ascii="Arial" w:hAnsi="Arial"/>
          <w:sz w:val="22"/>
        </w:rPr>
      </w:pPr>
      <w:r w:rsidRPr="007F2727">
        <w:rPr>
          <w:rFonts w:ascii="Arial" w:hAnsi="Arial"/>
          <w:sz w:val="22"/>
        </w:rPr>
        <w:t xml:space="preserve">This article reports </w:t>
      </w:r>
      <w:r w:rsidR="00393942" w:rsidRPr="007F2727">
        <w:rPr>
          <w:rFonts w:ascii="Arial" w:hAnsi="Arial"/>
          <w:sz w:val="22"/>
        </w:rPr>
        <w:t xml:space="preserve">the </w:t>
      </w:r>
      <w:r w:rsidRPr="007F2727">
        <w:rPr>
          <w:rFonts w:ascii="Arial" w:hAnsi="Arial"/>
          <w:sz w:val="22"/>
        </w:rPr>
        <w:t xml:space="preserve">findings from </w:t>
      </w:r>
      <w:r w:rsidR="0063370C" w:rsidRPr="007F2727">
        <w:rPr>
          <w:rFonts w:ascii="Arial" w:hAnsi="Arial"/>
          <w:sz w:val="22"/>
        </w:rPr>
        <w:t xml:space="preserve">empirical </w:t>
      </w:r>
      <w:r w:rsidR="00F0181F" w:rsidRPr="007F2727">
        <w:rPr>
          <w:rFonts w:ascii="Arial" w:hAnsi="Arial"/>
          <w:sz w:val="22"/>
        </w:rPr>
        <w:t>research</w:t>
      </w:r>
      <w:r w:rsidR="0063370C" w:rsidRPr="007F2727">
        <w:rPr>
          <w:rFonts w:ascii="Arial" w:hAnsi="Arial"/>
          <w:sz w:val="22"/>
        </w:rPr>
        <w:t xml:space="preserve"> focusing on international surrogacy</w:t>
      </w:r>
      <w:r w:rsidR="000C03C1" w:rsidRPr="007F2727">
        <w:rPr>
          <w:rFonts w:ascii="Arial" w:hAnsi="Arial"/>
          <w:sz w:val="22"/>
        </w:rPr>
        <w:t>.</w:t>
      </w:r>
      <w:r w:rsidR="00820A4A" w:rsidRPr="007F2727">
        <w:rPr>
          <w:rStyle w:val="FootnoteReference"/>
          <w:rFonts w:ascii="Arial" w:hAnsi="Arial"/>
          <w:sz w:val="22"/>
        </w:rPr>
        <w:footnoteReference w:id="1"/>
      </w:r>
      <w:r w:rsidR="0063370C" w:rsidRPr="007F2727">
        <w:rPr>
          <w:rFonts w:ascii="Arial" w:hAnsi="Arial"/>
          <w:sz w:val="22"/>
        </w:rPr>
        <w:t xml:space="preserve"> </w:t>
      </w:r>
      <w:r w:rsidR="000C03C1" w:rsidRPr="007F2727">
        <w:rPr>
          <w:rFonts w:ascii="Arial" w:hAnsi="Arial"/>
          <w:sz w:val="22"/>
        </w:rPr>
        <w:t>The document research used</w:t>
      </w:r>
      <w:r w:rsidRPr="007F2727">
        <w:rPr>
          <w:rFonts w:ascii="Arial" w:hAnsi="Arial"/>
          <w:sz w:val="22"/>
        </w:rPr>
        <w:t xml:space="preserve"> witness statements, parental order reports and court judgments</w:t>
      </w:r>
      <w:r w:rsidR="00393942" w:rsidRPr="007F2727">
        <w:rPr>
          <w:rFonts w:ascii="Arial" w:hAnsi="Arial"/>
          <w:sz w:val="22"/>
        </w:rPr>
        <w:t xml:space="preserve"> as units of analysis</w:t>
      </w:r>
      <w:r w:rsidRPr="007F2727">
        <w:rPr>
          <w:rFonts w:ascii="Arial" w:hAnsi="Arial"/>
          <w:sz w:val="22"/>
        </w:rPr>
        <w:t xml:space="preserve"> </w:t>
      </w:r>
      <w:r w:rsidR="00393942" w:rsidRPr="007F2727">
        <w:rPr>
          <w:rFonts w:ascii="Arial" w:hAnsi="Arial"/>
          <w:sz w:val="22"/>
        </w:rPr>
        <w:t xml:space="preserve">in order </w:t>
      </w:r>
      <w:r w:rsidRPr="007F2727">
        <w:rPr>
          <w:rFonts w:ascii="Arial" w:hAnsi="Arial"/>
          <w:sz w:val="22"/>
        </w:rPr>
        <w:t xml:space="preserve">to examine how UK commissioning couples report their experiences of international surrogacy to the courts and </w:t>
      </w:r>
      <w:r w:rsidR="00FA214E" w:rsidRPr="007F2727">
        <w:rPr>
          <w:rFonts w:ascii="Arial" w:hAnsi="Arial"/>
          <w:sz w:val="22"/>
        </w:rPr>
        <w:t xml:space="preserve">to map </w:t>
      </w:r>
      <w:r w:rsidRPr="007F2727">
        <w:rPr>
          <w:rFonts w:ascii="Arial" w:hAnsi="Arial"/>
          <w:sz w:val="22"/>
        </w:rPr>
        <w:t>the</w:t>
      </w:r>
      <w:r w:rsidR="00393942" w:rsidRPr="007F2727">
        <w:rPr>
          <w:rFonts w:ascii="Arial" w:hAnsi="Arial"/>
          <w:sz w:val="22"/>
        </w:rPr>
        <w:t xml:space="preserve"> resultant</w:t>
      </w:r>
      <w:r w:rsidRPr="007F2727">
        <w:rPr>
          <w:rFonts w:ascii="Arial" w:hAnsi="Arial"/>
          <w:sz w:val="22"/>
        </w:rPr>
        <w:t xml:space="preserve"> judicial response. The</w:t>
      </w:r>
      <w:r w:rsidR="00393942" w:rsidRPr="007F2727">
        <w:rPr>
          <w:rFonts w:ascii="Arial" w:hAnsi="Arial"/>
          <w:sz w:val="22"/>
        </w:rPr>
        <w:t xml:space="preserve"> methodology of forensic linguistics</w:t>
      </w:r>
      <w:r w:rsidRPr="007F2727">
        <w:rPr>
          <w:rFonts w:ascii="Arial" w:hAnsi="Arial"/>
          <w:sz w:val="22"/>
        </w:rPr>
        <w:t xml:space="preserve"> provided an opportunity to ascribe interpretive meanings</w:t>
      </w:r>
      <w:r w:rsidR="00393942" w:rsidRPr="007F2727">
        <w:rPr>
          <w:rFonts w:ascii="Arial" w:hAnsi="Arial"/>
          <w:sz w:val="22"/>
        </w:rPr>
        <w:t xml:space="preserve"> to descriptions of the personal journey of commissioning couples.</w:t>
      </w:r>
      <w:r w:rsidR="00F0181F" w:rsidRPr="007F2727">
        <w:rPr>
          <w:rFonts w:ascii="Arial" w:hAnsi="Arial"/>
          <w:sz w:val="22"/>
        </w:rPr>
        <w:t xml:space="preserve"> In particular</w:t>
      </w:r>
      <w:r w:rsidR="0063370C" w:rsidRPr="007F2727">
        <w:rPr>
          <w:rFonts w:ascii="Arial" w:hAnsi="Arial"/>
          <w:sz w:val="22"/>
        </w:rPr>
        <w:t>,</w:t>
      </w:r>
      <w:r w:rsidR="00F0181F" w:rsidRPr="007F2727">
        <w:rPr>
          <w:rFonts w:ascii="Arial" w:hAnsi="Arial"/>
          <w:sz w:val="22"/>
        </w:rPr>
        <w:t xml:space="preserve"> the reproduced stories of the </w:t>
      </w:r>
      <w:r w:rsidR="000C03C1" w:rsidRPr="007F2727">
        <w:rPr>
          <w:rFonts w:ascii="Arial" w:hAnsi="Arial"/>
          <w:sz w:val="22"/>
        </w:rPr>
        <w:t xml:space="preserve">pre and post </w:t>
      </w:r>
      <w:r w:rsidR="00F0181F" w:rsidRPr="007F2727">
        <w:rPr>
          <w:rFonts w:ascii="Arial" w:hAnsi="Arial"/>
          <w:sz w:val="22"/>
        </w:rPr>
        <w:t xml:space="preserve">reproduction process </w:t>
      </w:r>
      <w:r w:rsidR="000C03C1" w:rsidRPr="007F2727">
        <w:rPr>
          <w:rFonts w:ascii="Arial" w:hAnsi="Arial"/>
          <w:sz w:val="22"/>
        </w:rPr>
        <w:t xml:space="preserve">reveal </w:t>
      </w:r>
      <w:r w:rsidR="00F0181F" w:rsidRPr="007F2727">
        <w:rPr>
          <w:rFonts w:ascii="Arial" w:hAnsi="Arial"/>
          <w:sz w:val="22"/>
        </w:rPr>
        <w:t xml:space="preserve">differing discourses that </w:t>
      </w:r>
      <w:r w:rsidR="000C03C1" w:rsidRPr="007F2727">
        <w:rPr>
          <w:rFonts w:ascii="Arial" w:hAnsi="Arial"/>
          <w:sz w:val="22"/>
        </w:rPr>
        <w:t>converge into</w:t>
      </w:r>
      <w:r w:rsidR="00F0181F" w:rsidRPr="007F2727">
        <w:rPr>
          <w:rFonts w:ascii="Arial" w:hAnsi="Arial"/>
          <w:sz w:val="22"/>
        </w:rPr>
        <w:t xml:space="preserve"> an ideology of surrogacy as collaborative in nature.</w:t>
      </w:r>
      <w:r w:rsidR="00393942" w:rsidRPr="007F2727">
        <w:rPr>
          <w:rFonts w:ascii="Arial" w:hAnsi="Arial"/>
          <w:sz w:val="22"/>
        </w:rPr>
        <w:t xml:space="preserve"> It is argued that</w:t>
      </w:r>
      <w:r w:rsidR="000C03C1" w:rsidRPr="007F2727">
        <w:rPr>
          <w:rFonts w:ascii="Arial" w:hAnsi="Arial"/>
          <w:sz w:val="22"/>
        </w:rPr>
        <w:t xml:space="preserve"> the reported experiences of </w:t>
      </w:r>
      <w:r w:rsidR="000C03C1" w:rsidRPr="007F2727">
        <w:rPr>
          <w:rFonts w:ascii="Arial" w:hAnsi="Arial"/>
          <w:sz w:val="22"/>
        </w:rPr>
        <w:lastRenderedPageBreak/>
        <w:t>commissioning couples</w:t>
      </w:r>
      <w:r w:rsidR="00F0181F" w:rsidRPr="007F2727">
        <w:rPr>
          <w:rFonts w:ascii="Arial" w:hAnsi="Arial"/>
          <w:sz w:val="22"/>
        </w:rPr>
        <w:t xml:space="preserve"> </w:t>
      </w:r>
      <w:r w:rsidR="00BF482F" w:rsidRPr="007F2727">
        <w:rPr>
          <w:rFonts w:ascii="Arial" w:hAnsi="Arial"/>
          <w:sz w:val="22"/>
        </w:rPr>
        <w:t>ha</w:t>
      </w:r>
      <w:r w:rsidR="007743AA">
        <w:rPr>
          <w:rFonts w:ascii="Arial" w:hAnsi="Arial"/>
          <w:sz w:val="22"/>
        </w:rPr>
        <w:t>ve</w:t>
      </w:r>
      <w:r w:rsidR="00BF482F" w:rsidRPr="007F2727">
        <w:rPr>
          <w:rFonts w:ascii="Arial" w:hAnsi="Arial"/>
          <w:sz w:val="22"/>
        </w:rPr>
        <w:t xml:space="preserve"> the potential to affect judicial knowledge through a type of knowledge osmosis that in turn leads to transformational judicial policy</w:t>
      </w:r>
      <w:r w:rsidR="00A64DE6" w:rsidRPr="007F2727">
        <w:rPr>
          <w:rFonts w:ascii="Arial" w:hAnsi="Arial"/>
          <w:sz w:val="22"/>
        </w:rPr>
        <w:t xml:space="preserve"> in the UK</w:t>
      </w:r>
      <w:r w:rsidR="00BF482F" w:rsidRPr="007F2727">
        <w:rPr>
          <w:rFonts w:ascii="Arial" w:hAnsi="Arial"/>
          <w:sz w:val="22"/>
        </w:rPr>
        <w:t xml:space="preserve"> that is centred on family identity.</w:t>
      </w:r>
      <w:r w:rsidR="00756F40" w:rsidRPr="007F2727">
        <w:rPr>
          <w:rFonts w:ascii="Arial" w:hAnsi="Arial" w:cs="Arial"/>
          <w:sz w:val="22"/>
        </w:rPr>
        <w:t xml:space="preserve"> </w:t>
      </w:r>
    </w:p>
    <w:p w14:paraId="3AC29373" w14:textId="77777777" w:rsidR="0038788B" w:rsidRPr="007F2727" w:rsidRDefault="0038788B" w:rsidP="0038788B">
      <w:pPr>
        <w:spacing w:line="480" w:lineRule="auto"/>
        <w:rPr>
          <w:rFonts w:ascii="Arial" w:hAnsi="Arial" w:cs="Arial"/>
          <w:sz w:val="22"/>
        </w:rPr>
      </w:pPr>
    </w:p>
    <w:p w14:paraId="559F78B8" w14:textId="77777777" w:rsidR="006161EE" w:rsidRPr="007F2727" w:rsidRDefault="005A3A83" w:rsidP="00884C26">
      <w:pPr>
        <w:spacing w:line="480" w:lineRule="auto"/>
        <w:rPr>
          <w:rFonts w:ascii="Arial" w:hAnsi="Arial"/>
          <w:sz w:val="22"/>
        </w:rPr>
      </w:pPr>
      <w:r w:rsidRPr="007F2727">
        <w:rPr>
          <w:rFonts w:ascii="Arial" w:hAnsi="Arial" w:cs="Arial"/>
          <w:b/>
          <w:sz w:val="22"/>
        </w:rPr>
        <w:t xml:space="preserve">1. </w:t>
      </w:r>
      <w:r w:rsidR="009B5F34" w:rsidRPr="007F2727">
        <w:rPr>
          <w:rFonts w:ascii="Arial" w:hAnsi="Arial" w:cs="Arial"/>
          <w:b/>
          <w:sz w:val="22"/>
        </w:rPr>
        <w:t xml:space="preserve"> </w:t>
      </w:r>
      <w:r w:rsidR="00B96D3D" w:rsidRPr="007F2727">
        <w:rPr>
          <w:rFonts w:ascii="Arial" w:hAnsi="Arial" w:cs="Arial"/>
          <w:b/>
          <w:sz w:val="22"/>
        </w:rPr>
        <w:t>International Surrogacy – a Background</w:t>
      </w:r>
    </w:p>
    <w:p w14:paraId="61E711CB" w14:textId="77777777" w:rsidR="00EF3566" w:rsidRPr="007F2727" w:rsidRDefault="001B0E76" w:rsidP="00EF3566">
      <w:pPr>
        <w:spacing w:line="480" w:lineRule="auto"/>
        <w:rPr>
          <w:rFonts w:ascii="Arial" w:hAnsi="Arial" w:cs="Arial"/>
          <w:color w:val="000000" w:themeColor="text1"/>
          <w:sz w:val="22"/>
        </w:rPr>
      </w:pPr>
      <w:r w:rsidRPr="007F2727">
        <w:rPr>
          <w:rFonts w:ascii="Arial" w:hAnsi="Arial"/>
          <w:sz w:val="22"/>
        </w:rPr>
        <w:t>For commissioning cou</w:t>
      </w:r>
      <w:r w:rsidR="006161EE" w:rsidRPr="007F2727">
        <w:rPr>
          <w:rFonts w:ascii="Arial" w:hAnsi="Arial"/>
          <w:sz w:val="22"/>
        </w:rPr>
        <w:t>ples</w:t>
      </w:r>
      <w:r w:rsidR="00734E35" w:rsidRPr="007F2727">
        <w:rPr>
          <w:rStyle w:val="FootnoteReference"/>
          <w:rFonts w:ascii="Arial" w:hAnsi="Arial"/>
          <w:sz w:val="22"/>
        </w:rPr>
        <w:footnoteReference w:id="2"/>
      </w:r>
      <w:r w:rsidR="006161EE" w:rsidRPr="007F2727">
        <w:rPr>
          <w:rFonts w:ascii="Arial" w:hAnsi="Arial"/>
          <w:sz w:val="22"/>
        </w:rPr>
        <w:t xml:space="preserve"> entering into a surrogacy</w:t>
      </w:r>
      <w:r w:rsidRPr="007F2727">
        <w:rPr>
          <w:rFonts w:ascii="Arial" w:hAnsi="Arial"/>
          <w:sz w:val="22"/>
        </w:rPr>
        <w:t xml:space="preserve"> arrangement</w:t>
      </w:r>
      <w:r w:rsidR="00BF23AD" w:rsidRPr="007F2727">
        <w:rPr>
          <w:rFonts w:ascii="Arial" w:hAnsi="Arial"/>
          <w:sz w:val="22"/>
        </w:rPr>
        <w:t>,</w:t>
      </w:r>
      <w:r w:rsidRPr="007F2727">
        <w:rPr>
          <w:rFonts w:ascii="Arial" w:hAnsi="Arial"/>
          <w:sz w:val="22"/>
        </w:rPr>
        <w:t xml:space="preserve"> whereby another woman carries and/or conceives a child for them, they must go through a </w:t>
      </w:r>
      <w:r w:rsidR="006161EE" w:rsidRPr="007F2727">
        <w:rPr>
          <w:rFonts w:ascii="Arial" w:hAnsi="Arial"/>
          <w:sz w:val="22"/>
        </w:rPr>
        <w:t xml:space="preserve">judicial </w:t>
      </w:r>
      <w:r w:rsidRPr="007F2727">
        <w:rPr>
          <w:rFonts w:ascii="Arial" w:hAnsi="Arial"/>
          <w:sz w:val="22"/>
        </w:rPr>
        <w:t>process</w:t>
      </w:r>
      <w:r w:rsidR="009055A1" w:rsidRPr="007F2727">
        <w:rPr>
          <w:rFonts w:ascii="Arial" w:hAnsi="Arial"/>
          <w:sz w:val="22"/>
        </w:rPr>
        <w:t xml:space="preserve"> in the UK</w:t>
      </w:r>
      <w:r w:rsidR="00F0181F" w:rsidRPr="007F2727">
        <w:rPr>
          <w:rFonts w:ascii="Arial" w:hAnsi="Arial"/>
          <w:sz w:val="22"/>
        </w:rPr>
        <w:t xml:space="preserve"> in order</w:t>
      </w:r>
      <w:r w:rsidRPr="007F2727">
        <w:rPr>
          <w:rFonts w:ascii="Arial" w:hAnsi="Arial"/>
          <w:sz w:val="22"/>
        </w:rPr>
        <w:t xml:space="preserve"> to be legally recognised as parent</w:t>
      </w:r>
      <w:r w:rsidR="007743AA">
        <w:rPr>
          <w:rFonts w:ascii="Arial" w:hAnsi="Arial"/>
          <w:sz w:val="22"/>
        </w:rPr>
        <w:t>s</w:t>
      </w:r>
      <w:r w:rsidRPr="007F2727">
        <w:rPr>
          <w:rFonts w:ascii="Arial" w:hAnsi="Arial"/>
          <w:sz w:val="22"/>
        </w:rPr>
        <w:t xml:space="preserve">. This process may become more complex when the surrogate resides overseas and different </w:t>
      </w:r>
      <w:r w:rsidR="006161EE" w:rsidRPr="007F2727">
        <w:rPr>
          <w:rFonts w:ascii="Arial" w:hAnsi="Arial"/>
          <w:sz w:val="22"/>
        </w:rPr>
        <w:t xml:space="preserve">national </w:t>
      </w:r>
      <w:r w:rsidRPr="007F2727">
        <w:rPr>
          <w:rFonts w:ascii="Arial" w:hAnsi="Arial"/>
          <w:sz w:val="22"/>
        </w:rPr>
        <w:t>laws apply.</w:t>
      </w:r>
      <w:r w:rsidR="006161EE" w:rsidRPr="007F2727">
        <w:rPr>
          <w:rFonts w:ascii="Arial" w:hAnsi="Arial"/>
          <w:sz w:val="22"/>
        </w:rPr>
        <w:t xml:space="preserve"> </w:t>
      </w:r>
      <w:r w:rsidR="00EF3566" w:rsidRPr="007F2727">
        <w:rPr>
          <w:rFonts w:ascii="Arial" w:hAnsi="Arial" w:cs="Arial"/>
          <w:color w:val="000000" w:themeColor="text1"/>
          <w:sz w:val="22"/>
        </w:rPr>
        <w:t>UK law permits surrogacy arrangements as a result of section 2 (2) (a) and (b) of the Surrogacy Arran</w:t>
      </w:r>
      <w:r w:rsidR="00CF2B9C" w:rsidRPr="007F2727">
        <w:rPr>
          <w:rFonts w:ascii="Arial" w:hAnsi="Arial" w:cs="Arial"/>
          <w:color w:val="000000" w:themeColor="text1"/>
          <w:sz w:val="22"/>
        </w:rPr>
        <w:t>gements Act 1985</w:t>
      </w:r>
      <w:r w:rsidR="00353281" w:rsidRPr="007F2727">
        <w:rPr>
          <w:rFonts w:ascii="Arial" w:hAnsi="Arial" w:cs="Arial"/>
          <w:color w:val="000000" w:themeColor="text1"/>
          <w:sz w:val="22"/>
        </w:rPr>
        <w:t>.</w:t>
      </w:r>
      <w:r w:rsidR="00EF3566" w:rsidRPr="007F2727">
        <w:rPr>
          <w:rFonts w:ascii="Arial" w:hAnsi="Arial" w:cs="Arial"/>
          <w:color w:val="000000" w:themeColor="text1"/>
          <w:sz w:val="22"/>
        </w:rPr>
        <w:t xml:space="preserve"> </w:t>
      </w:r>
      <w:r w:rsidR="00353281" w:rsidRPr="007F2727">
        <w:rPr>
          <w:rFonts w:ascii="Arial" w:hAnsi="Arial" w:cs="Arial"/>
          <w:color w:val="000000" w:themeColor="text1"/>
          <w:sz w:val="22"/>
        </w:rPr>
        <w:t>S</w:t>
      </w:r>
      <w:r w:rsidR="00EF3566" w:rsidRPr="007F2727">
        <w:rPr>
          <w:rFonts w:ascii="Arial" w:hAnsi="Arial" w:cs="Arial"/>
          <w:color w:val="000000" w:themeColor="text1"/>
          <w:sz w:val="22"/>
        </w:rPr>
        <w:t>urrogacy contracts are however unenforceable in law</w:t>
      </w:r>
      <w:r w:rsidR="00A419AF" w:rsidRPr="007F2727">
        <w:rPr>
          <w:rStyle w:val="FootnoteReference"/>
          <w:rFonts w:ascii="Arial" w:hAnsi="Arial" w:cs="Arial"/>
          <w:color w:val="000000" w:themeColor="text1"/>
          <w:sz w:val="22"/>
        </w:rPr>
        <w:footnoteReference w:id="3"/>
      </w:r>
      <w:r w:rsidR="00EF3566" w:rsidRPr="007F2727">
        <w:rPr>
          <w:rFonts w:ascii="Arial" w:hAnsi="Arial" w:cs="Arial"/>
          <w:color w:val="000000" w:themeColor="text1"/>
          <w:sz w:val="22"/>
        </w:rPr>
        <w:t xml:space="preserve"> and thus the</w:t>
      </w:r>
      <w:r w:rsidR="009055A1" w:rsidRPr="007F2727">
        <w:rPr>
          <w:rFonts w:ascii="Arial" w:hAnsi="Arial" w:cs="Arial"/>
          <w:color w:val="000000" w:themeColor="text1"/>
          <w:sz w:val="22"/>
        </w:rPr>
        <w:t xml:space="preserve"> birth mother remains the</w:t>
      </w:r>
      <w:r w:rsidR="00EF3566" w:rsidRPr="007F2727">
        <w:rPr>
          <w:rFonts w:ascii="Arial" w:hAnsi="Arial" w:cs="Arial"/>
          <w:color w:val="000000" w:themeColor="text1"/>
          <w:sz w:val="22"/>
        </w:rPr>
        <w:t xml:space="preserve"> child</w:t>
      </w:r>
      <w:r w:rsidR="00353281" w:rsidRPr="007F2727">
        <w:rPr>
          <w:rFonts w:ascii="Arial" w:hAnsi="Arial" w:cs="Arial"/>
          <w:color w:val="000000" w:themeColor="text1"/>
          <w:sz w:val="22"/>
        </w:rPr>
        <w:t>’</w:t>
      </w:r>
      <w:r w:rsidR="009055A1" w:rsidRPr="007F2727">
        <w:rPr>
          <w:rFonts w:ascii="Arial" w:hAnsi="Arial" w:cs="Arial"/>
          <w:color w:val="000000" w:themeColor="text1"/>
          <w:sz w:val="22"/>
        </w:rPr>
        <w:t>s</w:t>
      </w:r>
      <w:r w:rsidR="00EF3566" w:rsidRPr="007F2727">
        <w:rPr>
          <w:rFonts w:ascii="Arial" w:hAnsi="Arial" w:cs="Arial"/>
          <w:color w:val="000000" w:themeColor="text1"/>
          <w:sz w:val="22"/>
        </w:rPr>
        <w:t xml:space="preserve"> </w:t>
      </w:r>
      <w:r w:rsidR="009055A1" w:rsidRPr="007F2727">
        <w:rPr>
          <w:rFonts w:ascii="Arial" w:hAnsi="Arial" w:cs="Arial"/>
          <w:color w:val="000000" w:themeColor="text1"/>
          <w:sz w:val="22"/>
        </w:rPr>
        <w:t xml:space="preserve">legal </w:t>
      </w:r>
      <w:r w:rsidR="00EF3566" w:rsidRPr="007F2727">
        <w:rPr>
          <w:rFonts w:ascii="Arial" w:hAnsi="Arial" w:cs="Arial"/>
          <w:color w:val="000000" w:themeColor="text1"/>
          <w:sz w:val="22"/>
        </w:rPr>
        <w:t>mother until such time as the court grant</w:t>
      </w:r>
      <w:r w:rsidR="00F0181F" w:rsidRPr="007F2727">
        <w:rPr>
          <w:rFonts w:ascii="Arial" w:hAnsi="Arial" w:cs="Arial"/>
          <w:color w:val="000000" w:themeColor="text1"/>
          <w:sz w:val="22"/>
        </w:rPr>
        <w:t>s</w:t>
      </w:r>
      <w:r w:rsidR="00EF3566" w:rsidRPr="007F2727">
        <w:rPr>
          <w:rFonts w:ascii="Arial" w:hAnsi="Arial" w:cs="Arial"/>
          <w:color w:val="000000" w:themeColor="text1"/>
          <w:sz w:val="22"/>
        </w:rPr>
        <w:t xml:space="preserve"> an order recognising the legal claim of others to the child. The decision is one based on the child’s welfare and lifelong needs rather than any contractual entitlement to the child.</w:t>
      </w:r>
      <w:r w:rsidR="00EF3566" w:rsidRPr="007F2727">
        <w:rPr>
          <w:rStyle w:val="FootnoteReference"/>
          <w:rFonts w:ascii="Arial" w:hAnsi="Arial" w:cs="Arial"/>
          <w:color w:val="000000" w:themeColor="text1"/>
          <w:sz w:val="22"/>
        </w:rPr>
        <w:footnoteReference w:id="4"/>
      </w:r>
    </w:p>
    <w:p w14:paraId="78A2889C" w14:textId="77777777" w:rsidR="00EF3566" w:rsidRPr="007F2727" w:rsidRDefault="00EF3566" w:rsidP="00884C26">
      <w:pPr>
        <w:spacing w:line="480" w:lineRule="auto"/>
        <w:rPr>
          <w:rFonts w:ascii="Arial" w:hAnsi="Arial"/>
          <w:sz w:val="22"/>
        </w:rPr>
      </w:pPr>
    </w:p>
    <w:p w14:paraId="0E5FD025" w14:textId="3C14E7EF" w:rsidR="001D3158" w:rsidRPr="007F2727" w:rsidRDefault="006161EE" w:rsidP="001D3158">
      <w:pPr>
        <w:spacing w:line="480" w:lineRule="auto"/>
        <w:rPr>
          <w:rFonts w:ascii="Arial" w:hAnsi="Arial"/>
          <w:sz w:val="22"/>
        </w:rPr>
      </w:pPr>
      <w:r w:rsidRPr="007F2727">
        <w:rPr>
          <w:rFonts w:ascii="Arial" w:hAnsi="Arial" w:cs="Arial"/>
          <w:color w:val="000000" w:themeColor="text1"/>
          <w:sz w:val="22"/>
        </w:rPr>
        <w:t>A surrogacy arrangement</w:t>
      </w:r>
      <w:r w:rsidR="00E558B8">
        <w:rPr>
          <w:rFonts w:ascii="Arial" w:hAnsi="Arial" w:cs="Arial"/>
          <w:color w:val="000000" w:themeColor="text1"/>
          <w:sz w:val="22"/>
        </w:rPr>
        <w:t xml:space="preserve"> for the purposes of the Human Fertilisation and Embryology Act 2008</w:t>
      </w:r>
      <w:r w:rsidRPr="007F2727">
        <w:rPr>
          <w:rFonts w:ascii="Arial" w:hAnsi="Arial" w:cs="Arial"/>
          <w:color w:val="000000" w:themeColor="text1"/>
          <w:sz w:val="22"/>
        </w:rPr>
        <w:t xml:space="preserve"> may involve the use of the surrogate’s own gametes (eggs) and the commissioning father’s gametes (sperm) and this process is </w:t>
      </w:r>
      <w:r w:rsidR="00674CED" w:rsidRPr="007F2727">
        <w:rPr>
          <w:rFonts w:ascii="Arial" w:hAnsi="Arial" w:cs="Arial"/>
          <w:color w:val="000000" w:themeColor="text1"/>
          <w:sz w:val="22"/>
        </w:rPr>
        <w:t xml:space="preserve">known </w:t>
      </w:r>
      <w:r w:rsidR="00B2504A" w:rsidRPr="007F2727">
        <w:rPr>
          <w:rFonts w:ascii="Arial" w:hAnsi="Arial" w:cs="Arial"/>
          <w:color w:val="000000" w:themeColor="text1"/>
          <w:sz w:val="22"/>
        </w:rPr>
        <w:t>as ‘genetic</w:t>
      </w:r>
      <w:r w:rsidR="00674CED" w:rsidRPr="007F2727">
        <w:rPr>
          <w:rFonts w:ascii="Arial" w:hAnsi="Arial" w:cs="Arial"/>
          <w:color w:val="000000" w:themeColor="text1"/>
          <w:sz w:val="22"/>
        </w:rPr>
        <w:t xml:space="preserve"> surrogacy.’</w:t>
      </w:r>
      <w:r w:rsidRPr="007F2727">
        <w:rPr>
          <w:rFonts w:ascii="Arial" w:hAnsi="Arial" w:cs="Arial"/>
          <w:color w:val="000000" w:themeColor="text1"/>
          <w:sz w:val="22"/>
        </w:rPr>
        <w:t xml:space="preserve"> Alternatively the</w:t>
      </w:r>
      <w:r w:rsidR="00EF3566" w:rsidRPr="007F2727">
        <w:rPr>
          <w:rFonts w:ascii="Arial" w:hAnsi="Arial" w:cs="Arial"/>
          <w:color w:val="000000" w:themeColor="text1"/>
          <w:sz w:val="22"/>
        </w:rPr>
        <w:t xml:space="preserve"> surrogate may be the gestational carrier of the child but</w:t>
      </w:r>
      <w:r w:rsidR="00353281" w:rsidRPr="007F2727">
        <w:rPr>
          <w:rFonts w:ascii="Arial" w:hAnsi="Arial" w:cs="Arial"/>
          <w:color w:val="000000" w:themeColor="text1"/>
          <w:sz w:val="22"/>
        </w:rPr>
        <w:t xml:space="preserve"> without</w:t>
      </w:r>
      <w:r w:rsidR="004C3F84" w:rsidRPr="007F2727">
        <w:rPr>
          <w:rFonts w:ascii="Arial" w:hAnsi="Arial" w:cs="Arial"/>
          <w:color w:val="000000" w:themeColor="text1"/>
          <w:sz w:val="22"/>
        </w:rPr>
        <w:t xml:space="preserve"> a genetic connection </w:t>
      </w:r>
      <w:r w:rsidR="00353281" w:rsidRPr="007F2727">
        <w:rPr>
          <w:rFonts w:ascii="Arial" w:hAnsi="Arial" w:cs="Arial"/>
          <w:color w:val="000000" w:themeColor="text1"/>
          <w:sz w:val="22"/>
        </w:rPr>
        <w:t xml:space="preserve">to the child </w:t>
      </w:r>
      <w:r w:rsidR="004C3F84" w:rsidRPr="007F2727">
        <w:rPr>
          <w:rFonts w:ascii="Arial" w:hAnsi="Arial" w:cs="Arial"/>
          <w:color w:val="000000" w:themeColor="text1"/>
          <w:sz w:val="22"/>
        </w:rPr>
        <w:t xml:space="preserve">because </w:t>
      </w:r>
      <w:r w:rsidR="00EF3566" w:rsidRPr="007F2727">
        <w:rPr>
          <w:rFonts w:ascii="Arial" w:hAnsi="Arial" w:cs="Arial"/>
          <w:color w:val="000000" w:themeColor="text1"/>
          <w:sz w:val="22"/>
        </w:rPr>
        <w:t>the gametes of another were used (for example, the commissioning mother</w:t>
      </w:r>
      <w:r w:rsidR="00EC3C44" w:rsidRPr="007F2727">
        <w:rPr>
          <w:rFonts w:ascii="Arial" w:hAnsi="Arial" w:cs="Arial"/>
          <w:color w:val="000000" w:themeColor="text1"/>
          <w:sz w:val="22"/>
        </w:rPr>
        <w:t>’s eggs or the</w:t>
      </w:r>
      <w:r w:rsidR="00EF3566" w:rsidRPr="007F2727">
        <w:rPr>
          <w:rFonts w:ascii="Arial" w:hAnsi="Arial" w:cs="Arial"/>
          <w:color w:val="000000" w:themeColor="text1"/>
          <w:sz w:val="22"/>
        </w:rPr>
        <w:t xml:space="preserve"> egg</w:t>
      </w:r>
      <w:r w:rsidR="00EC3C44" w:rsidRPr="007F2727">
        <w:rPr>
          <w:rFonts w:ascii="Arial" w:hAnsi="Arial" w:cs="Arial"/>
          <w:color w:val="000000" w:themeColor="text1"/>
          <w:sz w:val="22"/>
        </w:rPr>
        <w:t>s of a</w:t>
      </w:r>
      <w:r w:rsidR="00EF3566" w:rsidRPr="007F2727">
        <w:rPr>
          <w:rFonts w:ascii="Arial" w:hAnsi="Arial" w:cs="Arial"/>
          <w:color w:val="000000" w:themeColor="text1"/>
          <w:sz w:val="22"/>
        </w:rPr>
        <w:t xml:space="preserve"> donor) and this method is </w:t>
      </w:r>
      <w:r w:rsidR="00674CED" w:rsidRPr="007F2727">
        <w:rPr>
          <w:rFonts w:ascii="Arial" w:hAnsi="Arial" w:cs="Arial"/>
          <w:color w:val="000000" w:themeColor="text1"/>
          <w:sz w:val="22"/>
        </w:rPr>
        <w:t xml:space="preserve">known </w:t>
      </w:r>
      <w:r w:rsidR="00EF3566" w:rsidRPr="007F2727">
        <w:rPr>
          <w:rFonts w:ascii="Arial" w:hAnsi="Arial" w:cs="Arial"/>
          <w:color w:val="000000" w:themeColor="text1"/>
          <w:sz w:val="22"/>
        </w:rPr>
        <w:t>as “gestational surrogacy</w:t>
      </w:r>
      <w:r w:rsidR="00DA0D71" w:rsidRPr="007F2727">
        <w:rPr>
          <w:rFonts w:ascii="Arial" w:hAnsi="Arial" w:cs="Arial"/>
          <w:color w:val="000000" w:themeColor="text1"/>
          <w:sz w:val="22"/>
        </w:rPr>
        <w:t>.</w:t>
      </w:r>
      <w:r w:rsidR="00EF3566" w:rsidRPr="007F2727">
        <w:rPr>
          <w:rFonts w:ascii="Arial" w:hAnsi="Arial" w:cs="Arial"/>
          <w:color w:val="000000" w:themeColor="text1"/>
          <w:sz w:val="22"/>
        </w:rPr>
        <w:t>”</w:t>
      </w:r>
      <w:r w:rsidRPr="007F2727">
        <w:rPr>
          <w:rFonts w:ascii="Arial" w:hAnsi="Arial" w:cs="Arial"/>
          <w:color w:val="000000" w:themeColor="text1"/>
          <w:sz w:val="22"/>
        </w:rPr>
        <w:t xml:space="preserve"> </w:t>
      </w:r>
      <w:r w:rsidR="001D3158" w:rsidRPr="007F2727">
        <w:rPr>
          <w:rFonts w:ascii="Arial" w:hAnsi="Arial" w:cs="Arial"/>
          <w:color w:val="000000" w:themeColor="text1"/>
          <w:sz w:val="22"/>
        </w:rPr>
        <w:t xml:space="preserve">The agreement itself may be an </w:t>
      </w:r>
      <w:r w:rsidR="001D3158" w:rsidRPr="007F2727">
        <w:rPr>
          <w:rFonts w:ascii="Arial" w:hAnsi="Arial" w:cs="Arial"/>
          <w:color w:val="000000" w:themeColor="text1"/>
          <w:sz w:val="22"/>
        </w:rPr>
        <w:lastRenderedPageBreak/>
        <w:t>altruistic one between the parties where no payment is made to the surrogate</w:t>
      </w:r>
      <w:r w:rsidR="009A2454" w:rsidRPr="007F2727">
        <w:rPr>
          <w:rFonts w:ascii="Arial" w:hAnsi="Arial" w:cs="Arial"/>
          <w:color w:val="000000" w:themeColor="text1"/>
          <w:sz w:val="22"/>
        </w:rPr>
        <w:t xml:space="preserve"> other than for her reasonable expenses</w:t>
      </w:r>
      <w:r w:rsidR="001D3158" w:rsidRPr="007F2727">
        <w:rPr>
          <w:rFonts w:ascii="Arial" w:hAnsi="Arial" w:cs="Arial"/>
          <w:color w:val="000000" w:themeColor="text1"/>
          <w:sz w:val="22"/>
        </w:rPr>
        <w:t xml:space="preserve"> or a commercial arrangement whereby the surrogate is paid for her services.</w:t>
      </w:r>
      <w:r w:rsidR="00CF2B9C" w:rsidRPr="007F2727">
        <w:rPr>
          <w:rFonts w:ascii="Arial" w:hAnsi="Arial" w:cs="Arial"/>
          <w:color w:val="000000" w:themeColor="text1"/>
          <w:sz w:val="22"/>
        </w:rPr>
        <w:t xml:space="preserve"> International surrogacy usually involves a commercial element</w:t>
      </w:r>
      <w:r w:rsidR="009A2454" w:rsidRPr="007F2727">
        <w:rPr>
          <w:rFonts w:ascii="Arial" w:hAnsi="Arial" w:cs="Arial"/>
          <w:color w:val="000000" w:themeColor="text1"/>
          <w:sz w:val="22"/>
        </w:rPr>
        <w:t xml:space="preserve"> but in the UK</w:t>
      </w:r>
      <w:r w:rsidR="006B6247">
        <w:rPr>
          <w:rFonts w:ascii="Arial" w:hAnsi="Arial" w:cs="Arial"/>
          <w:color w:val="000000" w:themeColor="text1"/>
          <w:sz w:val="22"/>
        </w:rPr>
        <w:t xml:space="preserve"> one of the criteria for eligibility for a parental order is that</w:t>
      </w:r>
      <w:r w:rsidR="009A2454" w:rsidRPr="007F2727">
        <w:rPr>
          <w:rFonts w:ascii="Arial" w:hAnsi="Arial" w:cs="Arial"/>
          <w:color w:val="000000" w:themeColor="text1"/>
          <w:sz w:val="22"/>
        </w:rPr>
        <w:t xml:space="preserve"> only </w:t>
      </w:r>
      <w:r w:rsidR="007743AA">
        <w:rPr>
          <w:rFonts w:ascii="Arial" w:hAnsi="Arial" w:cs="Arial"/>
          <w:color w:val="000000" w:themeColor="text1"/>
          <w:sz w:val="22"/>
        </w:rPr>
        <w:t>‘</w:t>
      </w:r>
      <w:r w:rsidR="009A2454" w:rsidRPr="007F2727">
        <w:rPr>
          <w:rFonts w:ascii="Arial" w:hAnsi="Arial" w:cs="Arial"/>
          <w:color w:val="000000" w:themeColor="text1"/>
          <w:sz w:val="22"/>
        </w:rPr>
        <w:t>reasonable expenses</w:t>
      </w:r>
      <w:r w:rsidR="007743AA">
        <w:rPr>
          <w:rFonts w:ascii="Arial" w:hAnsi="Arial" w:cs="Arial"/>
          <w:color w:val="000000" w:themeColor="text1"/>
          <w:sz w:val="22"/>
        </w:rPr>
        <w:t>’</w:t>
      </w:r>
      <w:r w:rsidR="009A2454" w:rsidRPr="007F2727">
        <w:rPr>
          <w:rFonts w:ascii="Arial" w:hAnsi="Arial" w:cs="Arial"/>
          <w:color w:val="000000" w:themeColor="text1"/>
          <w:sz w:val="22"/>
        </w:rPr>
        <w:t xml:space="preserve"> </w:t>
      </w:r>
      <w:r w:rsidR="006B6247">
        <w:rPr>
          <w:rFonts w:ascii="Arial" w:hAnsi="Arial" w:cs="Arial"/>
          <w:color w:val="000000" w:themeColor="text1"/>
          <w:sz w:val="22"/>
        </w:rPr>
        <w:t>have been paid as part of the surrogacy arrangement</w:t>
      </w:r>
      <w:r w:rsidR="00DB19BD">
        <w:rPr>
          <w:rFonts w:ascii="Arial" w:hAnsi="Arial" w:cs="Arial"/>
          <w:color w:val="000000" w:themeColor="text1"/>
          <w:sz w:val="22"/>
        </w:rPr>
        <w:t>. However</w:t>
      </w:r>
      <w:r w:rsidR="006B6247">
        <w:rPr>
          <w:rFonts w:ascii="Arial" w:hAnsi="Arial" w:cs="Arial"/>
          <w:color w:val="000000" w:themeColor="text1"/>
          <w:sz w:val="22"/>
        </w:rPr>
        <w:t xml:space="preserve"> </w:t>
      </w:r>
      <w:r w:rsidR="009A2454" w:rsidRPr="007F2727">
        <w:rPr>
          <w:rFonts w:ascii="Arial" w:hAnsi="Arial" w:cs="Arial"/>
          <w:color w:val="000000" w:themeColor="text1"/>
          <w:sz w:val="22"/>
        </w:rPr>
        <w:t xml:space="preserve">other payments </w:t>
      </w:r>
      <w:r w:rsidR="00DB19BD">
        <w:rPr>
          <w:rFonts w:ascii="Arial" w:hAnsi="Arial" w:cs="Arial"/>
          <w:color w:val="000000" w:themeColor="text1"/>
          <w:sz w:val="22"/>
        </w:rPr>
        <w:t>can be</w:t>
      </w:r>
      <w:r w:rsidR="009A2454" w:rsidRPr="007F2727">
        <w:rPr>
          <w:rFonts w:ascii="Arial" w:hAnsi="Arial" w:cs="Arial"/>
          <w:color w:val="000000" w:themeColor="text1"/>
          <w:sz w:val="22"/>
        </w:rPr>
        <w:t xml:space="preserve"> </w:t>
      </w:r>
      <w:r w:rsidR="006B6247">
        <w:rPr>
          <w:rFonts w:ascii="Arial" w:hAnsi="Arial" w:cs="Arial"/>
          <w:color w:val="000000" w:themeColor="text1"/>
          <w:sz w:val="22"/>
        </w:rPr>
        <w:t xml:space="preserve">retrospectively </w:t>
      </w:r>
      <w:r w:rsidR="009A2454" w:rsidRPr="007F2727">
        <w:rPr>
          <w:rFonts w:ascii="Arial" w:hAnsi="Arial" w:cs="Arial"/>
          <w:color w:val="000000" w:themeColor="text1"/>
          <w:sz w:val="22"/>
        </w:rPr>
        <w:t>authorised by the court</w:t>
      </w:r>
      <w:r w:rsidR="00CF2B9C" w:rsidRPr="007F2727">
        <w:rPr>
          <w:rFonts w:ascii="Arial" w:hAnsi="Arial" w:cs="Arial"/>
          <w:color w:val="000000" w:themeColor="text1"/>
          <w:sz w:val="22"/>
        </w:rPr>
        <w:t>.</w:t>
      </w:r>
      <w:r w:rsidR="009A2454" w:rsidRPr="007F2727">
        <w:rPr>
          <w:rStyle w:val="FootnoteReference"/>
          <w:rFonts w:ascii="Arial" w:hAnsi="Arial" w:cs="Arial"/>
          <w:color w:val="000000" w:themeColor="text1"/>
          <w:sz w:val="22"/>
        </w:rPr>
        <w:footnoteReference w:id="5"/>
      </w:r>
    </w:p>
    <w:p w14:paraId="0CC0DE81" w14:textId="77777777" w:rsidR="0074714E" w:rsidRPr="007F2727" w:rsidRDefault="0074714E" w:rsidP="00884C26">
      <w:pPr>
        <w:spacing w:line="480" w:lineRule="auto"/>
        <w:rPr>
          <w:rFonts w:ascii="Arial" w:hAnsi="Arial" w:cs="Arial"/>
          <w:sz w:val="22"/>
        </w:rPr>
      </w:pPr>
    </w:p>
    <w:p w14:paraId="5E24C424" w14:textId="77777777" w:rsidR="006161EE" w:rsidRPr="007F2727" w:rsidRDefault="006161EE" w:rsidP="006161EE">
      <w:pPr>
        <w:spacing w:line="480" w:lineRule="auto"/>
        <w:rPr>
          <w:rFonts w:ascii="Arial" w:hAnsi="Arial" w:cs="Arial"/>
          <w:color w:val="000000" w:themeColor="text1"/>
          <w:sz w:val="22"/>
        </w:rPr>
      </w:pPr>
      <w:r w:rsidRPr="007F2727">
        <w:rPr>
          <w:rFonts w:ascii="Arial" w:hAnsi="Arial" w:cs="Arial"/>
          <w:color w:val="000000" w:themeColor="text1"/>
          <w:sz w:val="22"/>
        </w:rPr>
        <w:t xml:space="preserve">Commercial surrogacy, which is permitted in some parts of the world such as California, Ukraine, Russia and Georgia, has drawn accusations of a commodification of the practice of surrogacy. </w:t>
      </w:r>
      <w:r w:rsidR="00B76B83" w:rsidRPr="007F2727">
        <w:rPr>
          <w:rFonts w:ascii="Arial" w:hAnsi="Arial" w:cs="Arial"/>
          <w:color w:val="000000" w:themeColor="text1"/>
          <w:sz w:val="22"/>
        </w:rPr>
        <w:t xml:space="preserve"> For example, t</w:t>
      </w:r>
      <w:r w:rsidRPr="007F2727">
        <w:rPr>
          <w:rFonts w:ascii="Arial" w:hAnsi="Arial" w:cs="Arial"/>
          <w:color w:val="000000" w:themeColor="text1"/>
          <w:sz w:val="22"/>
        </w:rPr>
        <w:t>he European Parliament has declared that the practice undermines a woman’s human dignity</w:t>
      </w:r>
      <w:r w:rsidR="00EF3566" w:rsidRPr="007F2727">
        <w:rPr>
          <w:rStyle w:val="FootnoteReference"/>
          <w:rFonts w:ascii="Arial" w:hAnsi="Arial" w:cs="Arial"/>
          <w:color w:val="000000" w:themeColor="text1"/>
          <w:sz w:val="22"/>
        </w:rPr>
        <w:footnoteReference w:id="6"/>
      </w:r>
      <w:r w:rsidR="00B76B83" w:rsidRPr="007F2727">
        <w:rPr>
          <w:rFonts w:ascii="Arial" w:hAnsi="Arial" w:cs="Arial"/>
          <w:color w:val="000000" w:themeColor="text1"/>
          <w:sz w:val="22"/>
        </w:rPr>
        <w:t xml:space="preserve"> </w:t>
      </w:r>
      <w:proofErr w:type="gramStart"/>
      <w:r w:rsidRPr="007F2727">
        <w:rPr>
          <w:rFonts w:ascii="Arial" w:hAnsi="Arial" w:cs="Arial"/>
          <w:color w:val="000000" w:themeColor="text1"/>
          <w:sz w:val="22"/>
        </w:rPr>
        <w:t>A</w:t>
      </w:r>
      <w:proofErr w:type="gramEnd"/>
      <w:r w:rsidRPr="007F2727">
        <w:rPr>
          <w:rFonts w:ascii="Arial" w:hAnsi="Arial" w:cs="Arial"/>
          <w:color w:val="000000" w:themeColor="text1"/>
          <w:sz w:val="22"/>
        </w:rPr>
        <w:t xml:space="preserve"> number of jurisdictions such as India,</w:t>
      </w:r>
      <w:r w:rsidR="007B2447" w:rsidRPr="007F2727">
        <w:rPr>
          <w:rStyle w:val="FootnoteReference"/>
          <w:rFonts w:ascii="Arial" w:hAnsi="Arial" w:cs="Arial"/>
          <w:color w:val="000000" w:themeColor="text1"/>
          <w:sz w:val="22"/>
        </w:rPr>
        <w:footnoteReference w:id="7"/>
      </w:r>
      <w:r w:rsidR="007B2447" w:rsidRPr="007F2727">
        <w:rPr>
          <w:rFonts w:ascii="Arial" w:hAnsi="Arial" w:cs="Arial"/>
          <w:color w:val="000000" w:themeColor="text1"/>
          <w:sz w:val="22"/>
        </w:rPr>
        <w:t xml:space="preserve"> </w:t>
      </w:r>
      <w:r w:rsidRPr="007F2727">
        <w:rPr>
          <w:rFonts w:ascii="Arial" w:hAnsi="Arial" w:cs="Arial"/>
          <w:color w:val="000000" w:themeColor="text1"/>
          <w:sz w:val="22"/>
        </w:rPr>
        <w:t>Thailand</w:t>
      </w:r>
      <w:r w:rsidR="007B2447" w:rsidRPr="007F2727">
        <w:rPr>
          <w:rStyle w:val="FootnoteReference"/>
          <w:rFonts w:ascii="Arial" w:hAnsi="Arial" w:cs="Arial"/>
          <w:color w:val="000000" w:themeColor="text1"/>
          <w:sz w:val="22"/>
        </w:rPr>
        <w:footnoteReference w:id="8"/>
      </w:r>
      <w:r w:rsidR="007B2447" w:rsidRPr="007F2727">
        <w:rPr>
          <w:rFonts w:ascii="Arial" w:hAnsi="Arial" w:cs="Arial"/>
          <w:color w:val="000000" w:themeColor="text1"/>
          <w:sz w:val="22"/>
        </w:rPr>
        <w:t xml:space="preserve"> </w:t>
      </w:r>
      <w:r w:rsidRPr="007F2727">
        <w:rPr>
          <w:rFonts w:ascii="Arial" w:hAnsi="Arial" w:cs="Arial"/>
          <w:color w:val="000000" w:themeColor="text1"/>
          <w:sz w:val="22"/>
        </w:rPr>
        <w:t>and Cambodia</w:t>
      </w:r>
      <w:r w:rsidR="007B2447" w:rsidRPr="007F2727">
        <w:rPr>
          <w:rStyle w:val="FootnoteReference"/>
          <w:rFonts w:ascii="Arial" w:hAnsi="Arial" w:cs="Arial"/>
          <w:color w:val="000000" w:themeColor="text1"/>
          <w:sz w:val="22"/>
        </w:rPr>
        <w:footnoteReference w:id="9"/>
      </w:r>
      <w:r w:rsidR="007B2447" w:rsidRPr="007F2727">
        <w:rPr>
          <w:rFonts w:ascii="Arial" w:hAnsi="Arial" w:cs="Arial"/>
          <w:color w:val="000000" w:themeColor="text1"/>
          <w:sz w:val="22"/>
        </w:rPr>
        <w:t xml:space="preserve"> </w:t>
      </w:r>
      <w:r w:rsidRPr="007F2727">
        <w:rPr>
          <w:rFonts w:ascii="Arial" w:hAnsi="Arial" w:cs="Arial"/>
          <w:color w:val="000000" w:themeColor="text1"/>
          <w:sz w:val="22"/>
        </w:rPr>
        <w:t xml:space="preserve">have now moved to reverse </w:t>
      </w:r>
      <w:r w:rsidRPr="007F2727">
        <w:rPr>
          <w:rFonts w:ascii="Arial" w:hAnsi="Arial" w:cs="Arial"/>
          <w:color w:val="000000" w:themeColor="text1"/>
          <w:sz w:val="22"/>
        </w:rPr>
        <w:lastRenderedPageBreak/>
        <w:t xml:space="preserve">their position on commercial surrogacy. </w:t>
      </w:r>
      <w:r w:rsidR="00C55903" w:rsidRPr="007F2727">
        <w:rPr>
          <w:rFonts w:ascii="Arial" w:hAnsi="Arial" w:cs="Arial"/>
          <w:color w:val="000000" w:themeColor="text1"/>
          <w:sz w:val="22"/>
        </w:rPr>
        <w:t>Conversely</w:t>
      </w:r>
      <w:r w:rsidRPr="007F2727">
        <w:rPr>
          <w:rFonts w:ascii="Arial" w:hAnsi="Arial" w:cs="Arial"/>
          <w:color w:val="000000" w:themeColor="text1"/>
          <w:sz w:val="22"/>
        </w:rPr>
        <w:t xml:space="preserve">, some jurisdictions such as the District of Columbia in the US have moved in the opposite direction. After many years of prohibiting surrogacy the </w:t>
      </w:r>
      <w:r w:rsidR="00C55903" w:rsidRPr="007F2727">
        <w:rPr>
          <w:rFonts w:ascii="Arial" w:hAnsi="Arial" w:cs="Arial"/>
          <w:color w:val="000000" w:themeColor="text1"/>
          <w:sz w:val="22"/>
        </w:rPr>
        <w:t>s</w:t>
      </w:r>
      <w:r w:rsidRPr="007F2727">
        <w:rPr>
          <w:rFonts w:ascii="Arial" w:hAnsi="Arial" w:cs="Arial"/>
          <w:color w:val="000000" w:themeColor="text1"/>
          <w:sz w:val="22"/>
        </w:rPr>
        <w:t>tate passed the Collaborative Reproduction Amendment Act in April 2017 recogni</w:t>
      </w:r>
      <w:r w:rsidR="00005B9C" w:rsidRPr="007F2727">
        <w:rPr>
          <w:rFonts w:ascii="Arial" w:hAnsi="Arial" w:cs="Arial"/>
          <w:color w:val="000000" w:themeColor="text1"/>
          <w:sz w:val="22"/>
        </w:rPr>
        <w:t>sing surrogacy (both genetic and gestational)</w:t>
      </w:r>
      <w:r w:rsidRPr="007F2727">
        <w:rPr>
          <w:rFonts w:ascii="Arial" w:hAnsi="Arial" w:cs="Arial"/>
          <w:color w:val="000000" w:themeColor="text1"/>
          <w:sz w:val="22"/>
        </w:rPr>
        <w:t xml:space="preserve"> </w:t>
      </w:r>
      <w:r w:rsidR="00DA0D71" w:rsidRPr="007F2727">
        <w:rPr>
          <w:rFonts w:ascii="Arial" w:hAnsi="Arial" w:cs="Arial"/>
          <w:color w:val="000000" w:themeColor="text1"/>
          <w:sz w:val="22"/>
        </w:rPr>
        <w:t xml:space="preserve">and </w:t>
      </w:r>
      <w:r w:rsidRPr="007F2727">
        <w:rPr>
          <w:rFonts w:ascii="Arial" w:hAnsi="Arial" w:cs="Arial"/>
          <w:color w:val="000000" w:themeColor="text1"/>
          <w:sz w:val="22"/>
        </w:rPr>
        <w:t>the enforceability of surrogacy contracts and payments</w:t>
      </w:r>
      <w:r w:rsidR="00DA0D71" w:rsidRPr="007F2727">
        <w:rPr>
          <w:rFonts w:ascii="Arial" w:hAnsi="Arial" w:cs="Arial"/>
          <w:color w:val="000000" w:themeColor="text1"/>
          <w:sz w:val="22"/>
        </w:rPr>
        <w:t>.</w:t>
      </w:r>
      <w:r w:rsidRPr="007F2727">
        <w:rPr>
          <w:rFonts w:ascii="Arial" w:hAnsi="Arial" w:cs="Arial"/>
          <w:color w:val="000000" w:themeColor="text1"/>
          <w:sz w:val="22"/>
        </w:rPr>
        <w:t xml:space="preserve">   </w:t>
      </w:r>
    </w:p>
    <w:p w14:paraId="43858BA5" w14:textId="77777777" w:rsidR="006161EE" w:rsidRPr="007F2727" w:rsidRDefault="006161EE" w:rsidP="00884C26">
      <w:pPr>
        <w:spacing w:line="480" w:lineRule="auto"/>
        <w:rPr>
          <w:rFonts w:ascii="Arial" w:hAnsi="Arial" w:cs="Arial"/>
          <w:sz w:val="22"/>
        </w:rPr>
      </w:pPr>
    </w:p>
    <w:p w14:paraId="754B085D" w14:textId="68E90742" w:rsidR="00D42F03" w:rsidRPr="007F2727" w:rsidRDefault="00353281" w:rsidP="00D42F03">
      <w:pPr>
        <w:spacing w:line="480" w:lineRule="auto"/>
        <w:rPr>
          <w:rFonts w:ascii="Arial" w:hAnsi="Arial" w:cs="Arial"/>
          <w:color w:val="000000" w:themeColor="text1"/>
          <w:sz w:val="22"/>
        </w:rPr>
      </w:pPr>
      <w:r w:rsidRPr="007F2727">
        <w:rPr>
          <w:rFonts w:ascii="Arial" w:hAnsi="Arial" w:cs="Arial"/>
          <w:sz w:val="22"/>
        </w:rPr>
        <w:t xml:space="preserve">International surrogacy rather than domestic surrogacy was chosen as the focus of this research because of the complex legal issues faced by </w:t>
      </w:r>
      <w:r w:rsidR="00C55903" w:rsidRPr="007F2727">
        <w:rPr>
          <w:rFonts w:ascii="Arial" w:hAnsi="Arial" w:cs="Arial"/>
          <w:sz w:val="22"/>
        </w:rPr>
        <w:t xml:space="preserve">commissioning </w:t>
      </w:r>
      <w:r w:rsidRPr="007F2727">
        <w:rPr>
          <w:rFonts w:ascii="Arial" w:hAnsi="Arial" w:cs="Arial"/>
          <w:sz w:val="22"/>
        </w:rPr>
        <w:t>couples traversing the laws in their home country in addition to the laws in the host country</w:t>
      </w:r>
      <w:r w:rsidR="00C55903" w:rsidRPr="007F2727">
        <w:rPr>
          <w:rFonts w:ascii="Arial" w:hAnsi="Arial" w:cs="Arial"/>
          <w:sz w:val="22"/>
        </w:rPr>
        <w:t>. International surrogacy is also more likely to involve</w:t>
      </w:r>
      <w:r w:rsidRPr="007F2727">
        <w:rPr>
          <w:rFonts w:ascii="Arial" w:hAnsi="Arial" w:cs="Arial"/>
          <w:sz w:val="22"/>
        </w:rPr>
        <w:t xml:space="preserve"> relationships based on commerciality.</w:t>
      </w:r>
      <w:r w:rsidR="002E060E" w:rsidRPr="007F2727">
        <w:rPr>
          <w:rFonts w:ascii="Arial" w:hAnsi="Arial" w:cs="Arial"/>
          <w:color w:val="000000" w:themeColor="text1"/>
          <w:sz w:val="22"/>
        </w:rPr>
        <w:t xml:space="preserve"> </w:t>
      </w:r>
      <w:r w:rsidR="00B96D3D" w:rsidRPr="007F2727">
        <w:rPr>
          <w:rFonts w:ascii="Arial" w:hAnsi="Arial" w:cs="Arial"/>
          <w:color w:val="000000" w:themeColor="text1"/>
          <w:sz w:val="22"/>
        </w:rPr>
        <w:t xml:space="preserve">It is difficult to establish the exact number of international surrogacy arrangements taking </w:t>
      </w:r>
      <w:r w:rsidR="00CF2B9C" w:rsidRPr="007F2727">
        <w:rPr>
          <w:rFonts w:ascii="Arial" w:hAnsi="Arial" w:cs="Arial"/>
          <w:color w:val="000000" w:themeColor="text1"/>
          <w:sz w:val="22"/>
        </w:rPr>
        <w:t>place each year involving</w:t>
      </w:r>
      <w:r w:rsidR="00674CED" w:rsidRPr="007F2727">
        <w:rPr>
          <w:rFonts w:ascii="Arial" w:hAnsi="Arial" w:cs="Arial"/>
          <w:color w:val="000000" w:themeColor="text1"/>
          <w:sz w:val="22"/>
        </w:rPr>
        <w:t xml:space="preserve"> UK</w:t>
      </w:r>
      <w:r w:rsidR="00B96D3D" w:rsidRPr="007F2727">
        <w:rPr>
          <w:rFonts w:ascii="Arial" w:hAnsi="Arial" w:cs="Arial"/>
          <w:color w:val="000000" w:themeColor="text1"/>
          <w:sz w:val="22"/>
        </w:rPr>
        <w:t xml:space="preserve"> commissioning couples. </w:t>
      </w:r>
      <w:r w:rsidR="002E060E" w:rsidRPr="007F2727">
        <w:rPr>
          <w:rFonts w:ascii="Arial" w:hAnsi="Arial" w:cs="Arial"/>
          <w:color w:val="000000" w:themeColor="text1"/>
          <w:sz w:val="22"/>
        </w:rPr>
        <w:t>R</w:t>
      </w:r>
      <w:r w:rsidR="00B96D3D" w:rsidRPr="007F2727">
        <w:rPr>
          <w:rFonts w:ascii="Arial" w:hAnsi="Arial" w:cs="Arial"/>
          <w:color w:val="000000" w:themeColor="text1"/>
          <w:sz w:val="22"/>
        </w:rPr>
        <w:t>ecorded statistics</w:t>
      </w:r>
      <w:r w:rsidR="002E060E" w:rsidRPr="007F2727">
        <w:rPr>
          <w:rFonts w:ascii="Arial" w:hAnsi="Arial" w:cs="Arial"/>
          <w:color w:val="000000" w:themeColor="text1"/>
          <w:sz w:val="22"/>
        </w:rPr>
        <w:t xml:space="preserve"> have proved to be</w:t>
      </w:r>
      <w:r w:rsidR="00B96D3D" w:rsidRPr="007F2727">
        <w:rPr>
          <w:rFonts w:ascii="Arial" w:hAnsi="Arial" w:cs="Arial"/>
          <w:color w:val="000000" w:themeColor="text1"/>
          <w:sz w:val="22"/>
        </w:rPr>
        <w:t xml:space="preserve"> contradictory</w:t>
      </w:r>
      <w:r w:rsidR="00B0463D" w:rsidRPr="007F2727">
        <w:rPr>
          <w:rFonts w:ascii="Arial" w:hAnsi="Arial" w:cs="Arial"/>
          <w:color w:val="000000" w:themeColor="text1"/>
          <w:sz w:val="22"/>
        </w:rPr>
        <w:t xml:space="preserve"> </w:t>
      </w:r>
      <w:r w:rsidR="002E060E" w:rsidRPr="007F2727">
        <w:rPr>
          <w:rFonts w:ascii="Arial" w:hAnsi="Arial" w:cs="Arial"/>
          <w:color w:val="000000" w:themeColor="text1"/>
          <w:sz w:val="22"/>
        </w:rPr>
        <w:t>because</w:t>
      </w:r>
      <w:r w:rsidR="00B0463D" w:rsidRPr="007F2727">
        <w:rPr>
          <w:rFonts w:ascii="Arial" w:hAnsi="Arial" w:cs="Arial"/>
          <w:color w:val="000000" w:themeColor="text1"/>
          <w:sz w:val="22"/>
        </w:rPr>
        <w:t xml:space="preserve"> they have different measures</w:t>
      </w:r>
      <w:r w:rsidR="002E060E" w:rsidRPr="007F2727">
        <w:rPr>
          <w:rFonts w:ascii="Arial" w:hAnsi="Arial" w:cs="Arial"/>
          <w:color w:val="000000" w:themeColor="text1"/>
          <w:sz w:val="22"/>
        </w:rPr>
        <w:t xml:space="preserve"> and include incomplete records</w:t>
      </w:r>
      <w:r w:rsidR="00B0463D" w:rsidRPr="007F2727">
        <w:rPr>
          <w:rFonts w:ascii="Arial" w:hAnsi="Arial" w:cs="Arial"/>
          <w:color w:val="000000" w:themeColor="text1"/>
          <w:sz w:val="22"/>
        </w:rPr>
        <w:t>.</w:t>
      </w:r>
      <w:r w:rsidR="00581DB7" w:rsidRPr="007F2727">
        <w:rPr>
          <w:rStyle w:val="FootnoteReference"/>
          <w:rFonts w:ascii="Arial" w:hAnsi="Arial" w:cs="Arial"/>
          <w:color w:val="000000" w:themeColor="text1"/>
          <w:sz w:val="22"/>
        </w:rPr>
        <w:footnoteReference w:id="10"/>
      </w:r>
      <w:r w:rsidR="00B0463D" w:rsidRPr="007F2727">
        <w:rPr>
          <w:rFonts w:ascii="Arial" w:hAnsi="Arial" w:cs="Arial"/>
          <w:color w:val="000000" w:themeColor="text1"/>
          <w:sz w:val="22"/>
        </w:rPr>
        <w:t xml:space="preserve"> </w:t>
      </w:r>
      <w:r w:rsidR="00D42F03" w:rsidRPr="007F2727">
        <w:rPr>
          <w:rFonts w:ascii="Arial" w:hAnsi="Arial" w:cs="Arial"/>
          <w:color w:val="000000" w:themeColor="text1"/>
          <w:sz w:val="22"/>
        </w:rPr>
        <w:t xml:space="preserve">Official records relating to </w:t>
      </w:r>
      <w:r w:rsidR="00581DB7" w:rsidRPr="007F2727">
        <w:rPr>
          <w:rFonts w:ascii="Arial" w:hAnsi="Arial" w:cs="Arial"/>
          <w:color w:val="000000" w:themeColor="text1"/>
          <w:sz w:val="22"/>
        </w:rPr>
        <w:t xml:space="preserve">international </w:t>
      </w:r>
      <w:r w:rsidR="00D42F03" w:rsidRPr="007F2727">
        <w:rPr>
          <w:rFonts w:ascii="Arial" w:hAnsi="Arial" w:cs="Arial"/>
          <w:color w:val="000000" w:themeColor="text1"/>
          <w:sz w:val="22"/>
        </w:rPr>
        <w:t>surrogacy cases are held by three main agencie</w:t>
      </w:r>
      <w:r w:rsidR="006A6DCE" w:rsidRPr="007F2727">
        <w:rPr>
          <w:rFonts w:ascii="Arial" w:hAnsi="Arial" w:cs="Arial"/>
          <w:color w:val="000000" w:themeColor="text1"/>
          <w:sz w:val="22"/>
        </w:rPr>
        <w:t>s. The first, t</w:t>
      </w:r>
      <w:r w:rsidR="00D42F03" w:rsidRPr="007F2727">
        <w:rPr>
          <w:rFonts w:ascii="Arial" w:hAnsi="Arial" w:cs="Arial"/>
          <w:color w:val="000000" w:themeColor="text1"/>
          <w:sz w:val="22"/>
        </w:rPr>
        <w:t>he Ministry of Justice</w:t>
      </w:r>
      <w:r w:rsidR="007743AA">
        <w:rPr>
          <w:rFonts w:ascii="Arial" w:hAnsi="Arial" w:cs="Arial"/>
          <w:color w:val="000000" w:themeColor="text1"/>
          <w:sz w:val="22"/>
        </w:rPr>
        <w:t>,</w:t>
      </w:r>
      <w:r w:rsidR="00D42F03" w:rsidRPr="007F2727">
        <w:rPr>
          <w:rFonts w:ascii="Arial" w:hAnsi="Arial" w:cs="Arial"/>
          <w:color w:val="000000" w:themeColor="text1"/>
          <w:sz w:val="22"/>
        </w:rPr>
        <w:t xml:space="preserve"> </w:t>
      </w:r>
      <w:r w:rsidR="006A6DCE" w:rsidRPr="007F2727">
        <w:rPr>
          <w:rFonts w:ascii="Arial" w:hAnsi="Arial" w:cs="Arial"/>
          <w:color w:val="000000" w:themeColor="text1"/>
          <w:sz w:val="22"/>
        </w:rPr>
        <w:t xml:space="preserve">collects </w:t>
      </w:r>
      <w:r w:rsidR="00D42F03" w:rsidRPr="007F2727">
        <w:rPr>
          <w:rFonts w:ascii="Arial" w:hAnsi="Arial" w:cs="Arial"/>
          <w:color w:val="000000" w:themeColor="text1"/>
          <w:sz w:val="22"/>
        </w:rPr>
        <w:t>statistics relating to the number of parental orders applied for</w:t>
      </w:r>
      <w:r w:rsidR="006A6DCE" w:rsidRPr="007F2727">
        <w:rPr>
          <w:rFonts w:ascii="Arial" w:hAnsi="Arial" w:cs="Arial"/>
          <w:color w:val="000000" w:themeColor="text1"/>
          <w:sz w:val="22"/>
        </w:rPr>
        <w:t xml:space="preserve"> by couples.</w:t>
      </w:r>
      <w:r w:rsidR="00D42F03" w:rsidRPr="007F2727">
        <w:rPr>
          <w:rFonts w:ascii="Arial" w:hAnsi="Arial" w:cs="Arial"/>
          <w:color w:val="000000" w:themeColor="text1"/>
          <w:sz w:val="22"/>
        </w:rPr>
        <w:t xml:space="preserve"> The </w:t>
      </w:r>
      <w:r w:rsidR="006A6DCE" w:rsidRPr="007F2727">
        <w:rPr>
          <w:rFonts w:ascii="Arial" w:hAnsi="Arial" w:cs="Arial"/>
          <w:color w:val="000000" w:themeColor="text1"/>
          <w:sz w:val="22"/>
        </w:rPr>
        <w:t>second</w:t>
      </w:r>
      <w:r w:rsidR="007743AA">
        <w:rPr>
          <w:rFonts w:ascii="Arial" w:hAnsi="Arial" w:cs="Arial"/>
          <w:color w:val="000000" w:themeColor="text1"/>
          <w:sz w:val="22"/>
        </w:rPr>
        <w:t>,</w:t>
      </w:r>
      <w:r w:rsidR="006A6DCE" w:rsidRPr="007F2727">
        <w:rPr>
          <w:rFonts w:ascii="Arial" w:hAnsi="Arial" w:cs="Arial"/>
          <w:color w:val="000000" w:themeColor="text1"/>
          <w:sz w:val="22"/>
        </w:rPr>
        <w:t xml:space="preserve"> the </w:t>
      </w:r>
      <w:r w:rsidR="00D42F03" w:rsidRPr="007F2727">
        <w:rPr>
          <w:rFonts w:ascii="Arial" w:hAnsi="Arial" w:cs="Arial"/>
          <w:color w:val="000000" w:themeColor="text1"/>
          <w:sz w:val="22"/>
        </w:rPr>
        <w:t>General Register Office</w:t>
      </w:r>
      <w:r w:rsidR="007743AA">
        <w:rPr>
          <w:rFonts w:ascii="Arial" w:hAnsi="Arial" w:cs="Arial"/>
          <w:color w:val="000000" w:themeColor="text1"/>
          <w:sz w:val="22"/>
        </w:rPr>
        <w:t>,</w:t>
      </w:r>
      <w:r w:rsidR="006A6DCE" w:rsidRPr="007F2727">
        <w:rPr>
          <w:rFonts w:ascii="Arial" w:hAnsi="Arial" w:cs="Arial"/>
          <w:color w:val="000000" w:themeColor="text1"/>
          <w:sz w:val="22"/>
        </w:rPr>
        <w:t xml:space="preserve"> </w:t>
      </w:r>
      <w:r w:rsidR="00D42F03" w:rsidRPr="007F2727">
        <w:rPr>
          <w:rFonts w:ascii="Arial" w:hAnsi="Arial" w:cs="Arial"/>
          <w:color w:val="000000" w:themeColor="text1"/>
          <w:sz w:val="22"/>
        </w:rPr>
        <w:t>record</w:t>
      </w:r>
      <w:r w:rsidR="006A6DCE" w:rsidRPr="007F2727">
        <w:rPr>
          <w:rFonts w:ascii="Arial" w:hAnsi="Arial" w:cs="Arial"/>
          <w:color w:val="000000" w:themeColor="text1"/>
          <w:sz w:val="22"/>
        </w:rPr>
        <w:t>s</w:t>
      </w:r>
      <w:r w:rsidR="00D42F03" w:rsidRPr="007F2727">
        <w:rPr>
          <w:rFonts w:ascii="Arial" w:hAnsi="Arial" w:cs="Arial"/>
          <w:color w:val="000000" w:themeColor="text1"/>
          <w:sz w:val="22"/>
        </w:rPr>
        <w:t xml:space="preserve"> parental orders received in order to amend birth certificates</w:t>
      </w:r>
      <w:r w:rsidR="006A6DCE" w:rsidRPr="007F2727">
        <w:rPr>
          <w:rFonts w:ascii="Arial" w:hAnsi="Arial" w:cs="Arial"/>
          <w:color w:val="000000" w:themeColor="text1"/>
          <w:sz w:val="22"/>
        </w:rPr>
        <w:t>. T</w:t>
      </w:r>
      <w:r w:rsidR="00D42F03" w:rsidRPr="007F2727">
        <w:rPr>
          <w:rFonts w:ascii="Arial" w:hAnsi="Arial" w:cs="Arial"/>
          <w:color w:val="000000" w:themeColor="text1"/>
          <w:sz w:val="22"/>
        </w:rPr>
        <w:t xml:space="preserve">he </w:t>
      </w:r>
      <w:r w:rsidR="007743AA">
        <w:rPr>
          <w:rFonts w:ascii="Arial" w:hAnsi="Arial" w:cs="Arial"/>
          <w:color w:val="000000" w:themeColor="text1"/>
          <w:sz w:val="22"/>
        </w:rPr>
        <w:t xml:space="preserve">third, the </w:t>
      </w:r>
      <w:r w:rsidR="00D42F03" w:rsidRPr="007F2727">
        <w:rPr>
          <w:rFonts w:ascii="Arial" w:hAnsi="Arial" w:cs="Arial"/>
          <w:color w:val="000000" w:themeColor="text1"/>
          <w:sz w:val="22"/>
        </w:rPr>
        <w:t>Children and Family Court Advisory and Support Service (“</w:t>
      </w:r>
      <w:proofErr w:type="spellStart"/>
      <w:r w:rsidR="00D42F03" w:rsidRPr="007F2727">
        <w:rPr>
          <w:rFonts w:ascii="Arial" w:hAnsi="Arial" w:cs="Arial"/>
          <w:color w:val="000000" w:themeColor="text1"/>
          <w:sz w:val="22"/>
        </w:rPr>
        <w:t>Cafcass</w:t>
      </w:r>
      <w:proofErr w:type="spellEnd"/>
      <w:r w:rsidR="00D42F03" w:rsidRPr="007F2727">
        <w:rPr>
          <w:rFonts w:ascii="Arial" w:hAnsi="Arial" w:cs="Arial"/>
          <w:color w:val="000000" w:themeColor="text1"/>
          <w:sz w:val="22"/>
        </w:rPr>
        <w:t>”)</w:t>
      </w:r>
      <w:r w:rsidR="007743AA">
        <w:rPr>
          <w:rFonts w:ascii="Arial" w:hAnsi="Arial" w:cs="Arial"/>
          <w:color w:val="000000" w:themeColor="text1"/>
          <w:sz w:val="22"/>
        </w:rPr>
        <w:t xml:space="preserve">, </w:t>
      </w:r>
      <w:r w:rsidR="00D42F03" w:rsidRPr="007F2727">
        <w:rPr>
          <w:rFonts w:ascii="Arial" w:hAnsi="Arial" w:cs="Arial"/>
          <w:color w:val="000000" w:themeColor="text1"/>
          <w:sz w:val="22"/>
        </w:rPr>
        <w:t>who provide Parental Order Reporters (“PORs) to write assessment reports for parental order cases</w:t>
      </w:r>
      <w:r w:rsidR="006A6DCE" w:rsidRPr="007F2727">
        <w:rPr>
          <w:rFonts w:ascii="Arial" w:hAnsi="Arial" w:cs="Arial"/>
          <w:color w:val="000000" w:themeColor="text1"/>
          <w:sz w:val="22"/>
        </w:rPr>
        <w:t xml:space="preserve"> record the number of surrogacy cases that they have been involved in</w:t>
      </w:r>
      <w:r w:rsidR="00D42F03" w:rsidRPr="007F2727">
        <w:rPr>
          <w:rFonts w:ascii="Arial" w:hAnsi="Arial" w:cs="Arial"/>
          <w:color w:val="000000" w:themeColor="text1"/>
          <w:sz w:val="22"/>
        </w:rPr>
        <w:t>.</w:t>
      </w:r>
      <w:r w:rsidR="00581DB7" w:rsidRPr="007F2727">
        <w:rPr>
          <w:rFonts w:ascii="Arial" w:hAnsi="Arial" w:cs="Arial"/>
          <w:color w:val="000000" w:themeColor="text1"/>
          <w:sz w:val="22"/>
        </w:rPr>
        <w:t xml:space="preserve"> All these agencies are able to draw on the country of domicile for the surrogate to separate domestic from international surrogacy.</w:t>
      </w:r>
      <w:r w:rsidR="00D42F03" w:rsidRPr="007F2727">
        <w:rPr>
          <w:rFonts w:ascii="Arial" w:hAnsi="Arial" w:cs="Arial"/>
          <w:color w:val="000000" w:themeColor="text1"/>
          <w:sz w:val="22"/>
        </w:rPr>
        <w:t xml:space="preserve"> </w:t>
      </w:r>
      <w:r w:rsidR="00581DB7" w:rsidRPr="007F2727">
        <w:rPr>
          <w:rFonts w:ascii="Arial" w:hAnsi="Arial" w:cs="Arial"/>
          <w:color w:val="000000" w:themeColor="text1"/>
          <w:sz w:val="22"/>
        </w:rPr>
        <w:lastRenderedPageBreak/>
        <w:t>However, the</w:t>
      </w:r>
      <w:r w:rsidR="00D42F03" w:rsidRPr="007F2727">
        <w:rPr>
          <w:rFonts w:ascii="Arial" w:hAnsi="Arial" w:cs="Arial"/>
          <w:color w:val="000000" w:themeColor="text1"/>
          <w:sz w:val="22"/>
        </w:rPr>
        <w:t xml:space="preserve"> statistics only capture those couples </w:t>
      </w:r>
      <w:r w:rsidR="00581DB7" w:rsidRPr="007F2727">
        <w:rPr>
          <w:rFonts w:ascii="Arial" w:hAnsi="Arial" w:cs="Arial"/>
          <w:color w:val="000000" w:themeColor="text1"/>
          <w:sz w:val="22"/>
        </w:rPr>
        <w:t>who then</w:t>
      </w:r>
      <w:r w:rsidR="00D42F03" w:rsidRPr="007F2727">
        <w:rPr>
          <w:rFonts w:ascii="Arial" w:hAnsi="Arial" w:cs="Arial"/>
          <w:color w:val="000000" w:themeColor="text1"/>
          <w:sz w:val="22"/>
        </w:rPr>
        <w:t xml:space="preserve"> go on to apply for a parental order. Those who do not meet the criteria under section 54 of the 2008 Act</w:t>
      </w:r>
      <w:r w:rsidR="00D42F03" w:rsidRPr="007F2727">
        <w:rPr>
          <w:rStyle w:val="FootnoteReference"/>
          <w:rFonts w:ascii="Arial" w:hAnsi="Arial" w:cs="Arial"/>
          <w:color w:val="000000" w:themeColor="text1"/>
          <w:sz w:val="22"/>
        </w:rPr>
        <w:footnoteReference w:id="11"/>
      </w:r>
      <w:r w:rsidR="00D42F03" w:rsidRPr="007F2727">
        <w:rPr>
          <w:rFonts w:ascii="Arial" w:hAnsi="Arial" w:cs="Arial"/>
          <w:color w:val="000000" w:themeColor="text1"/>
          <w:sz w:val="22"/>
        </w:rPr>
        <w:t xml:space="preserve"> will not be able to apply for a parental order and </w:t>
      </w:r>
      <w:r w:rsidR="00581DB7" w:rsidRPr="007F2727">
        <w:rPr>
          <w:rFonts w:ascii="Arial" w:hAnsi="Arial" w:cs="Arial"/>
          <w:color w:val="000000" w:themeColor="text1"/>
          <w:sz w:val="22"/>
        </w:rPr>
        <w:t>would not</w:t>
      </w:r>
      <w:r w:rsidR="00D42F03" w:rsidRPr="007F2727">
        <w:rPr>
          <w:rFonts w:ascii="Arial" w:hAnsi="Arial" w:cs="Arial"/>
          <w:color w:val="000000" w:themeColor="text1"/>
          <w:sz w:val="22"/>
        </w:rPr>
        <w:t xml:space="preserve"> therefore be included in the official statistics despite having un</w:t>
      </w:r>
      <w:r w:rsidR="00930295" w:rsidRPr="007F2727">
        <w:rPr>
          <w:rFonts w:ascii="Arial" w:hAnsi="Arial" w:cs="Arial"/>
          <w:color w:val="000000" w:themeColor="text1"/>
          <w:sz w:val="22"/>
        </w:rPr>
        <w:t>dertaken a</w:t>
      </w:r>
      <w:r w:rsidR="00D51773" w:rsidRPr="007F2727">
        <w:rPr>
          <w:rFonts w:ascii="Arial" w:hAnsi="Arial" w:cs="Arial"/>
          <w:color w:val="000000" w:themeColor="text1"/>
          <w:sz w:val="22"/>
        </w:rPr>
        <w:t xml:space="preserve"> surrogacy arrangement. </w:t>
      </w:r>
    </w:p>
    <w:p w14:paraId="5A8CC64E" w14:textId="77777777" w:rsidR="00D51773" w:rsidRPr="007F2727" w:rsidRDefault="00D51773" w:rsidP="00D42F03">
      <w:pPr>
        <w:spacing w:line="480" w:lineRule="auto"/>
        <w:rPr>
          <w:rFonts w:ascii="Arial" w:hAnsi="Arial" w:cs="Arial"/>
          <w:color w:val="000000" w:themeColor="text1"/>
          <w:sz w:val="22"/>
        </w:rPr>
      </w:pPr>
    </w:p>
    <w:p w14:paraId="65A0752D" w14:textId="77777777" w:rsidR="00B3121D" w:rsidRPr="007F2727" w:rsidRDefault="00BC2FE5" w:rsidP="000F49E9">
      <w:pPr>
        <w:spacing w:line="480" w:lineRule="auto"/>
        <w:rPr>
          <w:rFonts w:ascii="Arial" w:hAnsi="Arial" w:cs="Arial"/>
          <w:sz w:val="22"/>
        </w:rPr>
      </w:pPr>
      <w:r w:rsidRPr="007F2727">
        <w:rPr>
          <w:rFonts w:ascii="Arial" w:hAnsi="Arial" w:cs="Arial"/>
          <w:color w:val="000000" w:themeColor="text1"/>
          <w:sz w:val="22"/>
        </w:rPr>
        <w:t xml:space="preserve">A comparison of the statistics collected by </w:t>
      </w:r>
      <w:proofErr w:type="spellStart"/>
      <w:r w:rsidR="00D42F03" w:rsidRPr="007F2727">
        <w:rPr>
          <w:rFonts w:ascii="Arial" w:hAnsi="Arial" w:cs="Arial"/>
          <w:color w:val="000000" w:themeColor="text1"/>
          <w:sz w:val="22"/>
        </w:rPr>
        <w:t>Crawshaw</w:t>
      </w:r>
      <w:proofErr w:type="spellEnd"/>
      <w:r w:rsidR="00D42F03" w:rsidRPr="007F2727">
        <w:rPr>
          <w:rFonts w:ascii="Arial" w:hAnsi="Arial" w:cs="Arial"/>
          <w:color w:val="000000" w:themeColor="text1"/>
          <w:sz w:val="22"/>
        </w:rPr>
        <w:t xml:space="preserve"> and others</w:t>
      </w:r>
      <w:r w:rsidR="00D42F03" w:rsidRPr="007F2727">
        <w:rPr>
          <w:rStyle w:val="FootnoteReference"/>
          <w:rFonts w:ascii="Arial" w:hAnsi="Arial" w:cs="Arial"/>
          <w:color w:val="000000" w:themeColor="text1"/>
          <w:sz w:val="22"/>
        </w:rPr>
        <w:footnoteReference w:id="12"/>
      </w:r>
      <w:r w:rsidR="00D42F03" w:rsidRPr="007F2727">
        <w:rPr>
          <w:rFonts w:ascii="Arial" w:hAnsi="Arial" w:cs="Arial"/>
          <w:color w:val="000000" w:themeColor="text1"/>
          <w:sz w:val="22"/>
        </w:rPr>
        <w:t xml:space="preserve"> and Horsey</w:t>
      </w:r>
      <w:r w:rsidR="00D42F03" w:rsidRPr="007F2727">
        <w:rPr>
          <w:rStyle w:val="FootnoteReference"/>
          <w:rFonts w:ascii="Arial" w:hAnsi="Arial" w:cs="Arial"/>
          <w:color w:val="000000" w:themeColor="text1"/>
          <w:sz w:val="22"/>
        </w:rPr>
        <w:footnoteReference w:id="13"/>
      </w:r>
      <w:r w:rsidRPr="007F2727">
        <w:rPr>
          <w:rFonts w:ascii="Arial" w:hAnsi="Arial" w:cs="Arial"/>
          <w:color w:val="000000" w:themeColor="text1"/>
          <w:sz w:val="22"/>
        </w:rPr>
        <w:t xml:space="preserve"> </w:t>
      </w:r>
      <w:r w:rsidR="00324E76" w:rsidRPr="007F2727">
        <w:rPr>
          <w:rFonts w:ascii="Arial" w:hAnsi="Arial" w:cs="Arial"/>
          <w:color w:val="000000" w:themeColor="text1"/>
          <w:sz w:val="22"/>
        </w:rPr>
        <w:t>underscore</w:t>
      </w:r>
      <w:r w:rsidRPr="007F2727">
        <w:rPr>
          <w:rFonts w:ascii="Arial" w:hAnsi="Arial" w:cs="Arial"/>
          <w:color w:val="000000" w:themeColor="text1"/>
          <w:sz w:val="22"/>
        </w:rPr>
        <w:t>s the contradictions</w:t>
      </w:r>
      <w:r w:rsidR="00D42F03" w:rsidRPr="007F2727">
        <w:rPr>
          <w:rFonts w:ascii="Arial" w:hAnsi="Arial" w:cs="Arial"/>
          <w:color w:val="000000" w:themeColor="text1"/>
          <w:sz w:val="22"/>
        </w:rPr>
        <w:t xml:space="preserve"> </w:t>
      </w:r>
      <w:r w:rsidRPr="007F2727">
        <w:rPr>
          <w:rFonts w:ascii="Arial" w:hAnsi="Arial" w:cs="Arial"/>
          <w:color w:val="000000" w:themeColor="text1"/>
          <w:sz w:val="22"/>
        </w:rPr>
        <w:t xml:space="preserve">and the ability of the statistics to </w:t>
      </w:r>
      <w:r w:rsidR="00CC3758" w:rsidRPr="007F2727">
        <w:rPr>
          <w:rFonts w:ascii="Arial" w:hAnsi="Arial" w:cs="Arial"/>
          <w:color w:val="000000" w:themeColor="text1"/>
          <w:sz w:val="22"/>
        </w:rPr>
        <w:t>present a misleading and unreliable picture</w:t>
      </w:r>
      <w:r w:rsidR="00CC3758" w:rsidRPr="007F2727">
        <w:rPr>
          <w:rStyle w:val="FootnoteReference"/>
          <w:rFonts w:ascii="Arial" w:hAnsi="Arial" w:cs="Arial"/>
          <w:color w:val="000000" w:themeColor="text1"/>
          <w:sz w:val="22"/>
        </w:rPr>
        <w:footnoteReference w:id="14"/>
      </w:r>
      <w:r w:rsidR="00B96D3D" w:rsidRPr="007F2727">
        <w:rPr>
          <w:rFonts w:ascii="Arial" w:hAnsi="Arial" w:cs="Arial"/>
          <w:color w:val="000000" w:themeColor="text1"/>
          <w:sz w:val="22"/>
        </w:rPr>
        <w:t xml:space="preserve">. </w:t>
      </w:r>
      <w:r w:rsidR="00D42F03" w:rsidRPr="007F2727">
        <w:rPr>
          <w:rFonts w:ascii="Arial" w:hAnsi="Arial" w:cs="Arial"/>
          <w:color w:val="000000" w:themeColor="text1"/>
          <w:sz w:val="22"/>
        </w:rPr>
        <w:t>Horsey argues that this lack of clear reporting allows the perpetuation of surrogacy myths such as reports by surrogacy agencies that hundreds of couples per year travel overseas to enter into international surrogacy arrangements. The official records, whilst contradictory in terms of total numbers, still suggest that the numbers of international surrogacy arrangements involving UK couples is small</w:t>
      </w:r>
      <w:r w:rsidR="00930295" w:rsidRPr="007F2727">
        <w:rPr>
          <w:rFonts w:ascii="Arial" w:hAnsi="Arial" w:cs="Arial"/>
          <w:color w:val="000000" w:themeColor="text1"/>
          <w:sz w:val="22"/>
        </w:rPr>
        <w:t>er</w:t>
      </w:r>
      <w:r w:rsidR="00D42F03" w:rsidRPr="007F2727">
        <w:rPr>
          <w:rFonts w:ascii="Arial" w:hAnsi="Arial" w:cs="Arial"/>
          <w:color w:val="000000" w:themeColor="text1"/>
          <w:sz w:val="22"/>
        </w:rPr>
        <w:t xml:space="preserve"> in comparison to domestic surrogacy arrangements but that there has been a year on year rise since 2009.</w:t>
      </w:r>
      <w:r w:rsidR="00B506ED" w:rsidRPr="007F2727">
        <w:rPr>
          <w:rFonts w:ascii="Arial" w:hAnsi="Arial" w:cs="Arial"/>
          <w:color w:val="000000" w:themeColor="text1"/>
          <w:sz w:val="22"/>
        </w:rPr>
        <w:t xml:space="preserve"> </w:t>
      </w:r>
      <w:r w:rsidR="00D42F03" w:rsidRPr="007F2727">
        <w:rPr>
          <w:rFonts w:ascii="Arial" w:hAnsi="Arial" w:cs="Arial"/>
          <w:color w:val="000000" w:themeColor="text1"/>
          <w:sz w:val="22"/>
        </w:rPr>
        <w:t xml:space="preserve">For example, the </w:t>
      </w:r>
      <w:proofErr w:type="spellStart"/>
      <w:r w:rsidR="00D42F03" w:rsidRPr="007F2727">
        <w:rPr>
          <w:rFonts w:ascii="Arial" w:hAnsi="Arial" w:cs="Arial"/>
          <w:color w:val="000000" w:themeColor="text1"/>
          <w:sz w:val="22"/>
        </w:rPr>
        <w:t>Cafcass</w:t>
      </w:r>
      <w:proofErr w:type="spellEnd"/>
      <w:r w:rsidR="00D42F03" w:rsidRPr="007F2727">
        <w:rPr>
          <w:rFonts w:ascii="Arial" w:hAnsi="Arial" w:cs="Arial"/>
          <w:color w:val="000000" w:themeColor="text1"/>
          <w:sz w:val="22"/>
        </w:rPr>
        <w:t xml:space="preserve"> figures</w:t>
      </w:r>
      <w:r w:rsidR="008C5105">
        <w:rPr>
          <w:rFonts w:ascii="Arial" w:hAnsi="Arial" w:cs="Arial"/>
          <w:color w:val="000000" w:themeColor="text1"/>
          <w:sz w:val="22"/>
        </w:rPr>
        <w:t xml:space="preserve"> reproduced by Horsey</w:t>
      </w:r>
      <w:r w:rsidR="00D42F03" w:rsidRPr="007F2727">
        <w:rPr>
          <w:rFonts w:ascii="Arial" w:hAnsi="Arial" w:cs="Arial"/>
          <w:color w:val="000000" w:themeColor="text1"/>
          <w:sz w:val="22"/>
        </w:rPr>
        <w:t xml:space="preserve"> show that the number of identifiable international surrogacy cases in which they were involved rose from 1 case in the year 2008-2009 to 119 by </w:t>
      </w:r>
      <w:r w:rsidR="00D42F03" w:rsidRPr="007F2727">
        <w:rPr>
          <w:rFonts w:ascii="Arial" w:hAnsi="Arial" w:cs="Arial"/>
          <w:color w:val="000000" w:themeColor="text1"/>
          <w:sz w:val="22"/>
        </w:rPr>
        <w:lastRenderedPageBreak/>
        <w:t>the year 2014-2015.</w:t>
      </w:r>
      <w:r w:rsidR="00D42F03" w:rsidRPr="007F2727">
        <w:rPr>
          <w:rStyle w:val="FootnoteReference"/>
          <w:rFonts w:ascii="Arial" w:hAnsi="Arial" w:cs="Arial"/>
          <w:color w:val="000000" w:themeColor="text1"/>
          <w:sz w:val="22"/>
        </w:rPr>
        <w:footnoteReference w:id="15"/>
      </w:r>
      <w:r w:rsidR="00846F39" w:rsidRPr="007F2727">
        <w:rPr>
          <w:rFonts w:ascii="Arial" w:hAnsi="Arial" w:cs="Arial"/>
          <w:color w:val="000000" w:themeColor="text1"/>
          <w:sz w:val="22"/>
        </w:rPr>
        <w:t xml:space="preserve"> </w:t>
      </w:r>
      <w:proofErr w:type="spellStart"/>
      <w:r w:rsidR="00A14EA3" w:rsidRPr="007F2727">
        <w:rPr>
          <w:rFonts w:ascii="Arial" w:hAnsi="Arial" w:cs="Arial"/>
          <w:color w:val="000000" w:themeColor="text1"/>
          <w:sz w:val="22"/>
        </w:rPr>
        <w:t>Cafcass</w:t>
      </w:r>
      <w:proofErr w:type="spellEnd"/>
      <w:r w:rsidR="008C5105">
        <w:rPr>
          <w:rFonts w:ascii="Arial" w:hAnsi="Arial" w:cs="Arial"/>
          <w:color w:val="000000" w:themeColor="text1"/>
          <w:sz w:val="22"/>
        </w:rPr>
        <w:t xml:space="preserve"> separately</w:t>
      </w:r>
      <w:r w:rsidR="00A14EA3" w:rsidRPr="007F2727">
        <w:rPr>
          <w:rFonts w:ascii="Arial" w:hAnsi="Arial" w:cs="Arial"/>
          <w:color w:val="000000" w:themeColor="text1"/>
          <w:sz w:val="22"/>
        </w:rPr>
        <w:t xml:space="preserve"> reported in </w:t>
      </w:r>
      <w:r w:rsidR="008C5105">
        <w:rPr>
          <w:rFonts w:ascii="Arial" w:hAnsi="Arial" w:cs="Arial"/>
          <w:color w:val="000000" w:themeColor="text1"/>
          <w:sz w:val="22"/>
        </w:rPr>
        <w:t xml:space="preserve">their own </w:t>
      </w:r>
      <w:r w:rsidR="00A14EA3" w:rsidRPr="007F2727">
        <w:rPr>
          <w:rFonts w:ascii="Arial" w:hAnsi="Arial" w:cs="Arial"/>
          <w:color w:val="000000" w:themeColor="text1"/>
          <w:sz w:val="22"/>
        </w:rPr>
        <w:t>2015</w:t>
      </w:r>
      <w:r w:rsidR="008C5105">
        <w:rPr>
          <w:rFonts w:ascii="Arial" w:hAnsi="Arial" w:cs="Arial"/>
          <w:color w:val="000000" w:themeColor="text1"/>
          <w:sz w:val="22"/>
        </w:rPr>
        <w:t xml:space="preserve"> research report</w:t>
      </w:r>
      <w:r w:rsidR="00A14EA3" w:rsidRPr="007F2727">
        <w:rPr>
          <w:rFonts w:ascii="Arial" w:hAnsi="Arial" w:cs="Arial"/>
          <w:color w:val="000000" w:themeColor="text1"/>
          <w:sz w:val="22"/>
        </w:rPr>
        <w:t xml:space="preserve"> that the </w:t>
      </w:r>
      <w:proofErr w:type="gramStart"/>
      <w:r w:rsidR="00A14EA3" w:rsidRPr="007F2727">
        <w:rPr>
          <w:rFonts w:ascii="Arial" w:hAnsi="Arial" w:cs="Arial"/>
          <w:color w:val="000000" w:themeColor="text1"/>
          <w:sz w:val="22"/>
        </w:rPr>
        <w:t xml:space="preserve">number of domestic and </w:t>
      </w:r>
      <w:r w:rsidR="0069525C">
        <w:rPr>
          <w:rFonts w:ascii="Arial" w:hAnsi="Arial" w:cs="Arial"/>
          <w:color w:val="000000" w:themeColor="text1"/>
          <w:sz w:val="22"/>
        </w:rPr>
        <w:t xml:space="preserve">international </w:t>
      </w:r>
      <w:r w:rsidR="00A14EA3" w:rsidRPr="007F2727">
        <w:rPr>
          <w:rFonts w:ascii="Arial" w:hAnsi="Arial" w:cs="Arial"/>
          <w:color w:val="000000" w:themeColor="text1"/>
          <w:sz w:val="22"/>
        </w:rPr>
        <w:t>surrogacy were</w:t>
      </w:r>
      <w:proofErr w:type="gramEnd"/>
      <w:r w:rsidR="00A14EA3" w:rsidRPr="007F2727">
        <w:rPr>
          <w:rFonts w:ascii="Arial" w:hAnsi="Arial" w:cs="Arial"/>
          <w:color w:val="000000" w:themeColor="text1"/>
          <w:sz w:val="22"/>
        </w:rPr>
        <w:t xml:space="preserve"> fairly</w:t>
      </w:r>
      <w:r w:rsidRPr="007F2727">
        <w:rPr>
          <w:rFonts w:ascii="Arial" w:hAnsi="Arial" w:cs="Arial"/>
          <w:color w:val="000000" w:themeColor="text1"/>
          <w:sz w:val="22"/>
        </w:rPr>
        <w:t xml:space="preserve"> even</w:t>
      </w:r>
      <w:r w:rsidR="00A14EA3" w:rsidRPr="007F2727">
        <w:rPr>
          <w:rFonts w:ascii="Arial" w:hAnsi="Arial" w:cs="Arial"/>
          <w:color w:val="000000" w:themeColor="text1"/>
          <w:sz w:val="22"/>
        </w:rPr>
        <w:t xml:space="preserve"> in</w:t>
      </w:r>
      <w:r w:rsidRPr="007F2727">
        <w:rPr>
          <w:rFonts w:ascii="Arial" w:hAnsi="Arial" w:cs="Arial"/>
          <w:color w:val="000000" w:themeColor="text1"/>
          <w:sz w:val="22"/>
        </w:rPr>
        <w:t xml:space="preserve"> number by</w:t>
      </w:r>
      <w:r w:rsidR="00A14EA3" w:rsidRPr="007F2727">
        <w:rPr>
          <w:rFonts w:ascii="Arial" w:hAnsi="Arial" w:cs="Arial"/>
          <w:color w:val="000000" w:themeColor="text1"/>
          <w:sz w:val="22"/>
        </w:rPr>
        <w:t xml:space="preserve"> 2013-14 with 59.5% </w:t>
      </w:r>
      <w:r w:rsidRPr="007F2727">
        <w:rPr>
          <w:rFonts w:ascii="Arial" w:hAnsi="Arial" w:cs="Arial"/>
          <w:color w:val="000000" w:themeColor="text1"/>
          <w:sz w:val="22"/>
        </w:rPr>
        <w:t>re</w:t>
      </w:r>
      <w:r w:rsidR="00CD3F43" w:rsidRPr="007F2727">
        <w:rPr>
          <w:rFonts w:ascii="Arial" w:hAnsi="Arial" w:cs="Arial"/>
          <w:color w:val="000000" w:themeColor="text1"/>
          <w:sz w:val="22"/>
        </w:rPr>
        <w:t>c</w:t>
      </w:r>
      <w:r w:rsidRPr="007F2727">
        <w:rPr>
          <w:rFonts w:ascii="Arial" w:hAnsi="Arial" w:cs="Arial"/>
          <w:color w:val="000000" w:themeColor="text1"/>
          <w:sz w:val="22"/>
        </w:rPr>
        <w:t>orded as</w:t>
      </w:r>
      <w:r w:rsidR="00A14EA3" w:rsidRPr="007F2727">
        <w:rPr>
          <w:rFonts w:ascii="Arial" w:hAnsi="Arial" w:cs="Arial"/>
          <w:color w:val="000000" w:themeColor="text1"/>
          <w:sz w:val="22"/>
        </w:rPr>
        <w:t xml:space="preserve"> domestic surrogacy cases and 40.5% recorded as international surrogacy</w:t>
      </w:r>
      <w:r w:rsidRPr="007F2727">
        <w:rPr>
          <w:rFonts w:ascii="Arial" w:hAnsi="Arial" w:cs="Arial"/>
          <w:color w:val="000000" w:themeColor="text1"/>
          <w:sz w:val="22"/>
        </w:rPr>
        <w:t xml:space="preserve"> cases</w:t>
      </w:r>
      <w:r w:rsidR="00A14EA3" w:rsidRPr="007F2727">
        <w:rPr>
          <w:rFonts w:ascii="Arial" w:hAnsi="Arial" w:cs="Arial"/>
          <w:color w:val="000000" w:themeColor="text1"/>
          <w:sz w:val="22"/>
        </w:rPr>
        <w:t>.</w:t>
      </w:r>
      <w:r w:rsidR="00A14EA3" w:rsidRPr="007F2727">
        <w:rPr>
          <w:rStyle w:val="FootnoteReference"/>
          <w:rFonts w:ascii="Arial" w:hAnsi="Arial" w:cs="Arial"/>
          <w:color w:val="000000" w:themeColor="text1"/>
          <w:sz w:val="22"/>
        </w:rPr>
        <w:footnoteReference w:id="16"/>
      </w:r>
      <w:r w:rsidR="00A14EA3" w:rsidRPr="007F2727">
        <w:rPr>
          <w:rFonts w:ascii="Arial" w:hAnsi="Arial" w:cs="Arial"/>
          <w:color w:val="000000" w:themeColor="text1"/>
          <w:sz w:val="22"/>
        </w:rPr>
        <w:t xml:space="preserve"> </w:t>
      </w:r>
      <w:r w:rsidR="00CD3F43" w:rsidRPr="007F2727">
        <w:rPr>
          <w:rFonts w:ascii="Arial" w:hAnsi="Arial" w:cs="Arial"/>
          <w:color w:val="000000" w:themeColor="text1"/>
          <w:sz w:val="22"/>
        </w:rPr>
        <w:t>However</w:t>
      </w:r>
      <w:r w:rsidR="0069525C">
        <w:rPr>
          <w:rFonts w:ascii="Arial" w:hAnsi="Arial" w:cs="Arial"/>
          <w:color w:val="000000" w:themeColor="text1"/>
          <w:sz w:val="22"/>
        </w:rPr>
        <w:t>,</w:t>
      </w:r>
      <w:r w:rsidR="00CD3F43" w:rsidRPr="007F2727">
        <w:rPr>
          <w:rFonts w:ascii="Arial" w:hAnsi="Arial" w:cs="Arial"/>
          <w:color w:val="000000" w:themeColor="text1"/>
          <w:sz w:val="22"/>
        </w:rPr>
        <w:t xml:space="preserve"> by 2015 international surrogacy figures exceeded domestic surrogacy figures.</w:t>
      </w:r>
      <w:r w:rsidR="00CD3F43" w:rsidRPr="007F2727">
        <w:rPr>
          <w:rStyle w:val="FootnoteReference"/>
          <w:rFonts w:ascii="Arial" w:hAnsi="Arial" w:cs="Arial"/>
          <w:color w:val="000000" w:themeColor="text1"/>
          <w:sz w:val="22"/>
        </w:rPr>
        <w:footnoteReference w:id="17"/>
      </w:r>
      <w:r w:rsidR="00CD3F43" w:rsidRPr="007F2727">
        <w:rPr>
          <w:rFonts w:ascii="Arial" w:hAnsi="Arial" w:cs="Arial"/>
          <w:color w:val="000000" w:themeColor="text1"/>
          <w:sz w:val="22"/>
        </w:rPr>
        <w:t xml:space="preserve"> </w:t>
      </w:r>
      <w:r w:rsidR="00846F39" w:rsidRPr="007F2727">
        <w:rPr>
          <w:rFonts w:ascii="Arial" w:hAnsi="Arial" w:cs="Arial"/>
          <w:color w:val="000000" w:themeColor="text1"/>
          <w:sz w:val="22"/>
        </w:rPr>
        <w:t>In addition</w:t>
      </w:r>
      <w:r w:rsidR="00EE0835" w:rsidRPr="007F2727">
        <w:rPr>
          <w:rFonts w:ascii="Arial" w:hAnsi="Arial" w:cs="Arial"/>
          <w:color w:val="000000" w:themeColor="text1"/>
          <w:sz w:val="22"/>
        </w:rPr>
        <w:t>,</w:t>
      </w:r>
      <w:r w:rsidR="00846F39" w:rsidRPr="007F2727">
        <w:rPr>
          <w:rFonts w:ascii="Arial" w:hAnsi="Arial" w:cs="Arial"/>
          <w:color w:val="000000" w:themeColor="text1"/>
          <w:sz w:val="22"/>
        </w:rPr>
        <w:t xml:space="preserve"> international surrogacy worldwide is reported by the media as growing exponentially</w:t>
      </w:r>
      <w:r w:rsidRPr="007F2727">
        <w:rPr>
          <w:rFonts w:ascii="Arial" w:hAnsi="Arial" w:cs="Arial"/>
          <w:color w:val="000000" w:themeColor="text1"/>
          <w:sz w:val="22"/>
        </w:rPr>
        <w:t>.</w:t>
      </w:r>
      <w:r w:rsidR="00846F39" w:rsidRPr="007F2727">
        <w:rPr>
          <w:rStyle w:val="FootnoteReference"/>
          <w:rFonts w:ascii="Arial" w:hAnsi="Arial" w:cs="Arial"/>
          <w:color w:val="000000" w:themeColor="text1"/>
          <w:sz w:val="22"/>
        </w:rPr>
        <w:footnoteReference w:id="18"/>
      </w:r>
      <w:r w:rsidR="00846F39" w:rsidRPr="007F2727">
        <w:rPr>
          <w:rFonts w:ascii="Arial" w:hAnsi="Arial" w:cs="Arial"/>
          <w:color w:val="000000" w:themeColor="text1"/>
          <w:sz w:val="22"/>
        </w:rPr>
        <w:t xml:space="preserve"> </w:t>
      </w:r>
    </w:p>
    <w:p w14:paraId="57BC2D31" w14:textId="77777777" w:rsidR="00EA4909" w:rsidRPr="007F2727" w:rsidRDefault="00EA4909" w:rsidP="000F49E9">
      <w:pPr>
        <w:spacing w:line="480" w:lineRule="auto"/>
        <w:rPr>
          <w:rFonts w:ascii="Arial" w:hAnsi="Arial" w:cs="Arial"/>
          <w:color w:val="000000" w:themeColor="text1"/>
          <w:sz w:val="22"/>
        </w:rPr>
      </w:pPr>
    </w:p>
    <w:p w14:paraId="691E9594" w14:textId="77777777" w:rsidR="00387415" w:rsidRPr="007F2727" w:rsidRDefault="00387415" w:rsidP="00387415">
      <w:pPr>
        <w:spacing w:line="480" w:lineRule="auto"/>
        <w:rPr>
          <w:rFonts w:ascii="Arial" w:hAnsi="Arial" w:cs="Arial"/>
          <w:sz w:val="22"/>
        </w:rPr>
      </w:pPr>
      <w:r w:rsidRPr="007F2727">
        <w:rPr>
          <w:rFonts w:ascii="Arial" w:hAnsi="Arial" w:cs="Arial"/>
          <w:color w:val="000000" w:themeColor="text1"/>
          <w:sz w:val="22"/>
        </w:rPr>
        <w:t xml:space="preserve">Whilst previous studies have examined the stories and experiences of surrogates or commissioning couples </w:t>
      </w:r>
      <w:r w:rsidR="00BC2FE5" w:rsidRPr="007F2727">
        <w:rPr>
          <w:rFonts w:ascii="Arial" w:hAnsi="Arial" w:cs="Arial"/>
          <w:color w:val="000000" w:themeColor="text1"/>
          <w:sz w:val="22"/>
        </w:rPr>
        <w:t>(</w:t>
      </w:r>
      <w:r w:rsidRPr="007F2727">
        <w:rPr>
          <w:rFonts w:ascii="Arial" w:hAnsi="Arial" w:cs="Arial"/>
          <w:color w:val="000000" w:themeColor="text1"/>
          <w:sz w:val="22"/>
        </w:rPr>
        <w:t xml:space="preserve">or </w:t>
      </w:r>
      <w:r w:rsidR="00BC2FE5" w:rsidRPr="007F2727">
        <w:rPr>
          <w:rFonts w:ascii="Arial" w:hAnsi="Arial" w:cs="Arial"/>
          <w:color w:val="000000" w:themeColor="text1"/>
          <w:sz w:val="22"/>
        </w:rPr>
        <w:t xml:space="preserve">indeed </w:t>
      </w:r>
      <w:r w:rsidRPr="007F2727">
        <w:rPr>
          <w:rFonts w:ascii="Arial" w:hAnsi="Arial" w:cs="Arial"/>
          <w:color w:val="000000" w:themeColor="text1"/>
          <w:sz w:val="22"/>
        </w:rPr>
        <w:t>both</w:t>
      </w:r>
      <w:r w:rsidRPr="007F2727">
        <w:rPr>
          <w:rStyle w:val="FootnoteReference"/>
          <w:rFonts w:ascii="Arial" w:hAnsi="Arial" w:cs="Arial"/>
          <w:color w:val="000000" w:themeColor="text1"/>
          <w:sz w:val="22"/>
        </w:rPr>
        <w:footnoteReference w:id="19"/>
      </w:r>
      <w:r w:rsidR="00BC2FE5" w:rsidRPr="007F2727">
        <w:rPr>
          <w:rFonts w:ascii="Arial" w:hAnsi="Arial" w:cs="Arial"/>
          <w:color w:val="000000" w:themeColor="text1"/>
          <w:sz w:val="22"/>
        </w:rPr>
        <w:t xml:space="preserve">), </w:t>
      </w:r>
      <w:r w:rsidRPr="007F2727">
        <w:rPr>
          <w:rFonts w:ascii="Arial" w:hAnsi="Arial" w:cs="Arial"/>
          <w:color w:val="000000" w:themeColor="text1"/>
          <w:sz w:val="22"/>
        </w:rPr>
        <w:t xml:space="preserve">none have focused on narratives </w:t>
      </w:r>
      <w:r w:rsidRPr="007F2727">
        <w:rPr>
          <w:rFonts w:ascii="Arial" w:hAnsi="Arial" w:cs="Arial"/>
          <w:color w:val="000000" w:themeColor="text1"/>
          <w:sz w:val="22"/>
        </w:rPr>
        <w:lastRenderedPageBreak/>
        <w:t>constructed for the court process or purely on international surrogacy narratives. There is an existing research that examines parental order applications</w:t>
      </w:r>
      <w:r w:rsidR="008C5105">
        <w:rPr>
          <w:rStyle w:val="FootnoteReference"/>
          <w:rFonts w:ascii="Arial" w:hAnsi="Arial" w:cs="Arial"/>
          <w:color w:val="000000" w:themeColor="text1"/>
          <w:sz w:val="22"/>
        </w:rPr>
        <w:footnoteReference w:id="20"/>
      </w:r>
      <w:r w:rsidRPr="007F2727">
        <w:rPr>
          <w:rFonts w:ascii="Arial" w:hAnsi="Arial" w:cs="Arial"/>
          <w:color w:val="000000" w:themeColor="text1"/>
          <w:sz w:val="22"/>
        </w:rPr>
        <w:t xml:space="preserve"> together with research examining the work of </w:t>
      </w:r>
      <w:r w:rsidR="007E5C66" w:rsidRPr="007F2727">
        <w:rPr>
          <w:rFonts w:ascii="Arial" w:hAnsi="Arial" w:cs="Arial"/>
          <w:color w:val="000000" w:themeColor="text1"/>
          <w:sz w:val="22"/>
        </w:rPr>
        <w:t>PORs</w:t>
      </w:r>
      <w:r w:rsidRPr="007F2727">
        <w:rPr>
          <w:rStyle w:val="FootnoteReference"/>
          <w:rFonts w:ascii="Arial" w:hAnsi="Arial" w:cs="Arial"/>
          <w:color w:val="000000" w:themeColor="text1"/>
          <w:sz w:val="22"/>
        </w:rPr>
        <w:footnoteReference w:id="21"/>
      </w:r>
      <w:r w:rsidRPr="007F2727">
        <w:rPr>
          <w:rFonts w:ascii="Arial" w:hAnsi="Arial" w:cs="Arial"/>
          <w:color w:val="000000" w:themeColor="text1"/>
          <w:sz w:val="22"/>
        </w:rPr>
        <w:t xml:space="preserve"> but none of the research has involved actual court case files and similar research should be encouraged to assist policy-makers. </w:t>
      </w:r>
      <w:r w:rsidR="00CF2B9C" w:rsidRPr="007F2727">
        <w:rPr>
          <w:rFonts w:ascii="Arial" w:hAnsi="Arial" w:cs="Arial"/>
          <w:sz w:val="22"/>
        </w:rPr>
        <w:t>Examining how and in what terms commissioning couples report their surrogacy experiences to the courts and what lessons (if any) the courts and legal professionals draw from the retelling of those ‘stories’ is in itself a topic worthy of examination.</w:t>
      </w:r>
    </w:p>
    <w:p w14:paraId="555D345E" w14:textId="77777777" w:rsidR="00387415" w:rsidRPr="007F2727" w:rsidRDefault="00387415" w:rsidP="000F49E9">
      <w:pPr>
        <w:spacing w:line="480" w:lineRule="auto"/>
        <w:rPr>
          <w:rFonts w:ascii="Arial" w:hAnsi="Arial" w:cs="Arial"/>
          <w:sz w:val="22"/>
        </w:rPr>
      </w:pPr>
    </w:p>
    <w:p w14:paraId="73AEDFAC" w14:textId="77777777" w:rsidR="00CD3F43" w:rsidRPr="007F2727" w:rsidRDefault="00CD3F43" w:rsidP="00884C26">
      <w:pPr>
        <w:spacing w:line="480" w:lineRule="auto"/>
        <w:rPr>
          <w:rFonts w:ascii="Arial" w:hAnsi="Arial" w:cs="Arial"/>
          <w:b/>
          <w:sz w:val="22"/>
        </w:rPr>
      </w:pPr>
    </w:p>
    <w:p w14:paraId="16C7CE69" w14:textId="77777777" w:rsidR="00BF23AD" w:rsidRPr="007F2727" w:rsidRDefault="005A3A83" w:rsidP="00884C26">
      <w:pPr>
        <w:spacing w:line="480" w:lineRule="auto"/>
        <w:rPr>
          <w:rFonts w:ascii="Arial" w:hAnsi="Arial" w:cs="Arial"/>
          <w:b/>
          <w:sz w:val="22"/>
        </w:rPr>
      </w:pPr>
      <w:r w:rsidRPr="007F2727">
        <w:rPr>
          <w:rFonts w:ascii="Arial" w:hAnsi="Arial" w:cs="Arial"/>
          <w:b/>
          <w:sz w:val="22"/>
        </w:rPr>
        <w:t xml:space="preserve">2. </w:t>
      </w:r>
      <w:r w:rsidR="00B96D3D" w:rsidRPr="007F2727">
        <w:rPr>
          <w:rFonts w:ascii="Arial" w:hAnsi="Arial" w:cs="Arial"/>
          <w:b/>
          <w:sz w:val="22"/>
        </w:rPr>
        <w:t>Methodological Approach</w:t>
      </w:r>
    </w:p>
    <w:p w14:paraId="0A464E9E" w14:textId="77777777" w:rsidR="00CF2B9C" w:rsidRPr="007F2727" w:rsidRDefault="00A4134A" w:rsidP="00BF23AD">
      <w:pPr>
        <w:spacing w:line="480" w:lineRule="auto"/>
        <w:rPr>
          <w:rFonts w:ascii="Arial" w:hAnsi="Arial" w:cs="Arial"/>
          <w:bCs/>
          <w:sz w:val="22"/>
        </w:rPr>
      </w:pPr>
      <w:r w:rsidRPr="007F2727">
        <w:rPr>
          <w:rFonts w:ascii="Arial" w:hAnsi="Arial" w:cs="Arial"/>
          <w:bCs/>
          <w:sz w:val="22"/>
        </w:rPr>
        <w:t xml:space="preserve">Forensic linguistics involves an examination of linguistics as applied </w:t>
      </w:r>
      <w:r w:rsidR="00DA0D71" w:rsidRPr="007F2727">
        <w:rPr>
          <w:rFonts w:ascii="Arial" w:hAnsi="Arial" w:cs="Arial"/>
          <w:bCs/>
          <w:sz w:val="22"/>
        </w:rPr>
        <w:t xml:space="preserve">to </w:t>
      </w:r>
      <w:r w:rsidRPr="007F2727">
        <w:rPr>
          <w:rFonts w:ascii="Arial" w:hAnsi="Arial" w:cs="Arial"/>
          <w:bCs/>
          <w:sz w:val="22"/>
        </w:rPr>
        <w:t>legal language. It can go further than just language adopted by the judiciary and include language involved in the courtroom process itself incl</w:t>
      </w:r>
      <w:r w:rsidR="00CF2B9C" w:rsidRPr="007F2727">
        <w:rPr>
          <w:rFonts w:ascii="Arial" w:hAnsi="Arial" w:cs="Arial"/>
          <w:bCs/>
          <w:sz w:val="22"/>
        </w:rPr>
        <w:t>uding the speech of witnesses</w:t>
      </w:r>
      <w:r w:rsidR="00BC2FE5" w:rsidRPr="007F2727">
        <w:rPr>
          <w:rFonts w:ascii="Arial" w:hAnsi="Arial" w:cs="Arial"/>
          <w:bCs/>
          <w:sz w:val="22"/>
        </w:rPr>
        <w:t xml:space="preserve"> </w:t>
      </w:r>
      <w:r w:rsidR="00DA0D71" w:rsidRPr="007F2727">
        <w:rPr>
          <w:rFonts w:ascii="Arial" w:hAnsi="Arial" w:cs="Arial"/>
          <w:bCs/>
          <w:sz w:val="22"/>
        </w:rPr>
        <w:t xml:space="preserve">(this </w:t>
      </w:r>
      <w:r w:rsidR="00CF2B9C" w:rsidRPr="007F2727">
        <w:rPr>
          <w:rFonts w:ascii="Arial" w:hAnsi="Arial" w:cs="Arial"/>
          <w:bCs/>
          <w:sz w:val="22"/>
        </w:rPr>
        <w:t>includ</w:t>
      </w:r>
      <w:r w:rsidR="00DA0D71" w:rsidRPr="007F2727">
        <w:rPr>
          <w:rFonts w:ascii="Arial" w:hAnsi="Arial" w:cs="Arial"/>
          <w:bCs/>
          <w:sz w:val="22"/>
        </w:rPr>
        <w:t>es</w:t>
      </w:r>
      <w:r w:rsidR="00CF2B9C" w:rsidRPr="007F2727">
        <w:rPr>
          <w:rFonts w:ascii="Arial" w:hAnsi="Arial" w:cs="Arial"/>
          <w:bCs/>
          <w:sz w:val="22"/>
        </w:rPr>
        <w:t xml:space="preserve"> the parties</w:t>
      </w:r>
      <w:r w:rsidR="00DA0D71" w:rsidRPr="007F2727">
        <w:rPr>
          <w:rFonts w:ascii="Arial" w:hAnsi="Arial" w:cs="Arial"/>
          <w:bCs/>
          <w:sz w:val="22"/>
        </w:rPr>
        <w:t>)</w:t>
      </w:r>
      <w:r w:rsidRPr="007F2727">
        <w:rPr>
          <w:rFonts w:ascii="Arial" w:hAnsi="Arial" w:cs="Arial"/>
          <w:bCs/>
          <w:sz w:val="22"/>
        </w:rPr>
        <w:t>. Gibbons</w:t>
      </w:r>
      <w:r w:rsidRPr="007F2727">
        <w:rPr>
          <w:rStyle w:val="FootnoteReference"/>
          <w:rFonts w:ascii="Arial" w:hAnsi="Arial" w:cs="Arial"/>
          <w:bCs/>
          <w:sz w:val="22"/>
        </w:rPr>
        <w:footnoteReference w:id="22"/>
      </w:r>
      <w:r w:rsidRPr="007F2727">
        <w:rPr>
          <w:rFonts w:ascii="Arial" w:hAnsi="Arial" w:cs="Arial"/>
          <w:bCs/>
          <w:sz w:val="22"/>
        </w:rPr>
        <w:t xml:space="preserve"> argues that understanding the frame in which human interactions occurs also enables us to understand those human interactions</w:t>
      </w:r>
      <w:r w:rsidR="00837CBD" w:rsidRPr="007F2727">
        <w:rPr>
          <w:rFonts w:ascii="Arial" w:hAnsi="Arial" w:cs="Arial"/>
          <w:bCs/>
          <w:sz w:val="22"/>
        </w:rPr>
        <w:t>. Hale and Gibbons</w:t>
      </w:r>
      <w:r w:rsidR="00837CBD" w:rsidRPr="007F2727">
        <w:rPr>
          <w:rStyle w:val="FootnoteReference"/>
          <w:rFonts w:ascii="Arial" w:hAnsi="Arial" w:cs="Arial"/>
          <w:bCs/>
          <w:sz w:val="22"/>
        </w:rPr>
        <w:footnoteReference w:id="23"/>
      </w:r>
      <w:r w:rsidR="00837CBD" w:rsidRPr="007F2727">
        <w:rPr>
          <w:rFonts w:ascii="Arial" w:hAnsi="Arial" w:cs="Arial"/>
          <w:bCs/>
          <w:sz w:val="22"/>
        </w:rPr>
        <w:t xml:space="preserve"> note the importance of what they term the ‘primary reality</w:t>
      </w:r>
      <w:r w:rsidR="00CF2B9C" w:rsidRPr="007F2727">
        <w:rPr>
          <w:rFonts w:ascii="Arial" w:hAnsi="Arial" w:cs="Arial"/>
          <w:bCs/>
          <w:sz w:val="22"/>
        </w:rPr>
        <w:t>,</w:t>
      </w:r>
      <w:r w:rsidR="00837CBD" w:rsidRPr="007F2727">
        <w:rPr>
          <w:rFonts w:ascii="Arial" w:hAnsi="Arial" w:cs="Arial"/>
          <w:bCs/>
          <w:sz w:val="22"/>
        </w:rPr>
        <w:t xml:space="preserve">’ </w:t>
      </w:r>
      <w:r w:rsidR="00837CBD" w:rsidRPr="007F2727">
        <w:rPr>
          <w:rFonts w:ascii="Arial" w:hAnsi="Arial" w:cs="Arial"/>
          <w:bCs/>
          <w:sz w:val="22"/>
        </w:rPr>
        <w:lastRenderedPageBreak/>
        <w:t>namely the courtroom and those present in the courtroom</w:t>
      </w:r>
      <w:r w:rsidR="00CF2B9C" w:rsidRPr="007F2727">
        <w:rPr>
          <w:rFonts w:ascii="Arial" w:hAnsi="Arial" w:cs="Arial"/>
          <w:bCs/>
          <w:sz w:val="22"/>
        </w:rPr>
        <w:t>,</w:t>
      </w:r>
      <w:r w:rsidR="00837CBD" w:rsidRPr="007F2727">
        <w:rPr>
          <w:rFonts w:ascii="Arial" w:hAnsi="Arial" w:cs="Arial"/>
          <w:bCs/>
          <w:sz w:val="22"/>
        </w:rPr>
        <w:t xml:space="preserve"> and the ‘secondary reality’ which are the events and circumstances leading to the court action. </w:t>
      </w:r>
    </w:p>
    <w:p w14:paraId="4642A6EA" w14:textId="77777777" w:rsidR="00CF2B9C" w:rsidRPr="007F2727" w:rsidRDefault="00CF2B9C" w:rsidP="00BF23AD">
      <w:pPr>
        <w:spacing w:line="480" w:lineRule="auto"/>
        <w:rPr>
          <w:rFonts w:ascii="Arial" w:hAnsi="Arial" w:cs="Arial"/>
          <w:bCs/>
          <w:sz w:val="22"/>
        </w:rPr>
      </w:pPr>
    </w:p>
    <w:p w14:paraId="060A3C99" w14:textId="77777777" w:rsidR="0096219E" w:rsidRPr="007F2727" w:rsidRDefault="005A3A83" w:rsidP="00BF23AD">
      <w:pPr>
        <w:spacing w:line="480" w:lineRule="auto"/>
        <w:rPr>
          <w:rFonts w:ascii="Arial" w:hAnsi="Arial" w:cs="Arial"/>
          <w:bCs/>
          <w:sz w:val="22"/>
        </w:rPr>
      </w:pPr>
      <w:r w:rsidRPr="007F2727">
        <w:rPr>
          <w:rFonts w:ascii="Arial" w:hAnsi="Arial" w:cs="Arial"/>
          <w:bCs/>
          <w:sz w:val="22"/>
        </w:rPr>
        <w:t xml:space="preserve">Forensic Linguistics was a useful tool for deconstructing the ‘secondary realities’ </w:t>
      </w:r>
      <w:r w:rsidR="00451703" w:rsidRPr="007F2727">
        <w:rPr>
          <w:rFonts w:ascii="Arial" w:hAnsi="Arial" w:cs="Arial"/>
          <w:bCs/>
          <w:sz w:val="22"/>
        </w:rPr>
        <w:t xml:space="preserve">as experienced </w:t>
      </w:r>
      <w:r w:rsidRPr="007F2727">
        <w:rPr>
          <w:rFonts w:ascii="Arial" w:hAnsi="Arial" w:cs="Arial"/>
          <w:bCs/>
          <w:sz w:val="22"/>
        </w:rPr>
        <w:t>by the commissioning couples</w:t>
      </w:r>
      <w:r w:rsidR="00451703" w:rsidRPr="007F2727">
        <w:rPr>
          <w:rFonts w:ascii="Arial" w:hAnsi="Arial" w:cs="Arial"/>
          <w:bCs/>
          <w:sz w:val="22"/>
        </w:rPr>
        <w:t xml:space="preserve"> and reconstructed</w:t>
      </w:r>
      <w:r w:rsidRPr="007F2727">
        <w:rPr>
          <w:rFonts w:ascii="Arial" w:hAnsi="Arial" w:cs="Arial"/>
          <w:bCs/>
          <w:sz w:val="22"/>
        </w:rPr>
        <w:t xml:space="preserve"> </w:t>
      </w:r>
      <w:r w:rsidR="007C27E1" w:rsidRPr="007F2727">
        <w:rPr>
          <w:rFonts w:ascii="Arial" w:hAnsi="Arial" w:cs="Arial"/>
          <w:bCs/>
          <w:sz w:val="22"/>
        </w:rPr>
        <w:t>and reproduced through the witness statements</w:t>
      </w:r>
      <w:r w:rsidR="00451703" w:rsidRPr="007F2727">
        <w:rPr>
          <w:rFonts w:ascii="Arial" w:hAnsi="Arial" w:cs="Arial"/>
          <w:bCs/>
          <w:sz w:val="22"/>
        </w:rPr>
        <w:t>.</w:t>
      </w:r>
      <w:r w:rsidR="007C27E1" w:rsidRPr="007F2727">
        <w:rPr>
          <w:rFonts w:ascii="Arial" w:hAnsi="Arial" w:cs="Arial"/>
          <w:bCs/>
          <w:sz w:val="22"/>
        </w:rPr>
        <w:t xml:space="preserve"> </w:t>
      </w:r>
      <w:r w:rsidRPr="007F2727">
        <w:rPr>
          <w:rFonts w:ascii="Arial" w:hAnsi="Arial" w:cs="Arial"/>
          <w:bCs/>
          <w:sz w:val="22"/>
        </w:rPr>
        <w:t>Gibbo</w:t>
      </w:r>
      <w:r w:rsidR="0096219E" w:rsidRPr="007F2727">
        <w:rPr>
          <w:rFonts w:ascii="Arial" w:hAnsi="Arial" w:cs="Arial"/>
          <w:bCs/>
          <w:sz w:val="22"/>
        </w:rPr>
        <w:t>ns describes</w:t>
      </w:r>
      <w:r w:rsidR="00DA0D71" w:rsidRPr="007F2727">
        <w:rPr>
          <w:rFonts w:ascii="Arial" w:hAnsi="Arial" w:cs="Arial"/>
          <w:bCs/>
          <w:sz w:val="22"/>
        </w:rPr>
        <w:t xml:space="preserve"> secondary real</w:t>
      </w:r>
      <w:r w:rsidR="00451703" w:rsidRPr="007F2727">
        <w:rPr>
          <w:rFonts w:ascii="Arial" w:hAnsi="Arial" w:cs="Arial"/>
          <w:bCs/>
          <w:sz w:val="22"/>
        </w:rPr>
        <w:t>ities</w:t>
      </w:r>
      <w:r w:rsidR="0096219E" w:rsidRPr="007F2727">
        <w:rPr>
          <w:rFonts w:ascii="Arial" w:hAnsi="Arial" w:cs="Arial"/>
          <w:bCs/>
          <w:sz w:val="22"/>
        </w:rPr>
        <w:t xml:space="preserve"> </w:t>
      </w:r>
      <w:r w:rsidRPr="007F2727">
        <w:rPr>
          <w:rFonts w:ascii="Arial" w:hAnsi="Arial" w:cs="Arial"/>
          <w:bCs/>
          <w:sz w:val="22"/>
        </w:rPr>
        <w:t>as “what should be and what should not be”</w:t>
      </w:r>
      <w:r w:rsidRPr="007F2727">
        <w:rPr>
          <w:rStyle w:val="FootnoteReference"/>
          <w:rFonts w:ascii="Arial" w:hAnsi="Arial" w:cs="Arial"/>
          <w:bCs/>
          <w:sz w:val="22"/>
        </w:rPr>
        <w:footnoteReference w:id="24"/>
      </w:r>
      <w:r w:rsidRPr="007F2727">
        <w:rPr>
          <w:rFonts w:ascii="Arial" w:hAnsi="Arial" w:cs="Arial"/>
          <w:bCs/>
          <w:sz w:val="22"/>
        </w:rPr>
        <w:t xml:space="preserve"> as determined by the legal frameworks prescribing behaviour. Gibbons</w:t>
      </w:r>
      <w:r w:rsidRPr="007F2727">
        <w:rPr>
          <w:rStyle w:val="FootnoteReference"/>
          <w:rFonts w:ascii="Arial" w:hAnsi="Arial" w:cs="Arial"/>
          <w:bCs/>
          <w:sz w:val="22"/>
        </w:rPr>
        <w:footnoteReference w:id="25"/>
      </w:r>
      <w:r w:rsidRPr="007F2727">
        <w:rPr>
          <w:rFonts w:ascii="Arial" w:hAnsi="Arial" w:cs="Arial"/>
          <w:bCs/>
          <w:sz w:val="22"/>
        </w:rPr>
        <w:t xml:space="preserve"> argues that there is a tension in the secondary realities played out in the primary reality of the courtroom and this is between different versions of the same event that are presented to the court. It is in the primary reality that these different versions are examined and one version is accepted and acknowledged. </w:t>
      </w:r>
      <w:r w:rsidR="007C3BF2" w:rsidRPr="007F2727">
        <w:rPr>
          <w:rFonts w:ascii="Arial" w:hAnsi="Arial" w:cs="Arial"/>
          <w:bCs/>
          <w:sz w:val="22"/>
        </w:rPr>
        <w:t xml:space="preserve"> Gibbons</w:t>
      </w:r>
      <w:r w:rsidR="007C3BF2" w:rsidRPr="007F2727">
        <w:rPr>
          <w:rStyle w:val="FootnoteReference"/>
          <w:rFonts w:ascii="Arial" w:hAnsi="Arial" w:cs="Arial"/>
          <w:bCs/>
          <w:sz w:val="22"/>
        </w:rPr>
        <w:footnoteReference w:id="26"/>
      </w:r>
      <w:r w:rsidR="007C3BF2" w:rsidRPr="007F2727">
        <w:rPr>
          <w:rFonts w:ascii="Arial" w:hAnsi="Arial" w:cs="Arial"/>
          <w:bCs/>
          <w:sz w:val="22"/>
        </w:rPr>
        <w:t xml:space="preserve"> notes that language in a legal setting often adopts a tone of formality appropriate to these legal relationships. As such the ‘tenor’ of the data </w:t>
      </w:r>
      <w:r w:rsidR="007C27E1" w:rsidRPr="007F2727">
        <w:rPr>
          <w:rFonts w:ascii="Arial" w:hAnsi="Arial" w:cs="Arial"/>
          <w:bCs/>
          <w:sz w:val="22"/>
        </w:rPr>
        <w:t xml:space="preserve">in the study </w:t>
      </w:r>
      <w:r w:rsidR="007C3BF2" w:rsidRPr="007F2727">
        <w:rPr>
          <w:rFonts w:ascii="Arial" w:hAnsi="Arial" w:cs="Arial"/>
          <w:bCs/>
          <w:sz w:val="22"/>
        </w:rPr>
        <w:t>was noted as it moved between interpersonal, contextual, regulatory and a simple account.</w:t>
      </w:r>
    </w:p>
    <w:p w14:paraId="51C36809" w14:textId="77777777" w:rsidR="007C27E1" w:rsidRPr="007F2727" w:rsidRDefault="007C27E1" w:rsidP="00BF23AD">
      <w:pPr>
        <w:spacing w:line="480" w:lineRule="auto"/>
        <w:rPr>
          <w:rFonts w:ascii="Arial" w:hAnsi="Arial" w:cs="Arial"/>
          <w:bCs/>
          <w:sz w:val="22"/>
        </w:rPr>
      </w:pPr>
    </w:p>
    <w:p w14:paraId="507B12C9" w14:textId="77777777" w:rsidR="0096219E" w:rsidRPr="007F2727" w:rsidRDefault="0096219E" w:rsidP="0096219E">
      <w:pPr>
        <w:spacing w:line="480" w:lineRule="auto"/>
        <w:rPr>
          <w:rFonts w:ascii="Arial" w:hAnsi="Arial" w:cs="Arial"/>
          <w:bCs/>
          <w:sz w:val="22"/>
        </w:rPr>
      </w:pPr>
      <w:r w:rsidRPr="007F2727">
        <w:rPr>
          <w:rFonts w:ascii="Arial" w:hAnsi="Arial" w:cs="Arial"/>
          <w:color w:val="000000" w:themeColor="text1"/>
          <w:sz w:val="22"/>
        </w:rPr>
        <w:t>The court case files consisted of fragmented and edited accounts</w:t>
      </w:r>
      <w:r w:rsidR="00A802E4" w:rsidRPr="007F2727">
        <w:rPr>
          <w:rStyle w:val="FootnoteReference"/>
          <w:rFonts w:ascii="Arial" w:hAnsi="Arial" w:cs="Arial"/>
          <w:color w:val="000000" w:themeColor="text1"/>
          <w:sz w:val="22"/>
        </w:rPr>
        <w:footnoteReference w:id="27"/>
      </w:r>
      <w:r w:rsidRPr="007F2727">
        <w:rPr>
          <w:rFonts w:ascii="Arial" w:hAnsi="Arial" w:cs="Arial"/>
          <w:color w:val="000000" w:themeColor="text1"/>
          <w:sz w:val="22"/>
        </w:rPr>
        <w:t xml:space="preserve"> in the sense that they were constructed to provide information most useful to the court and the legal process. </w:t>
      </w:r>
      <w:r w:rsidRPr="007F2727">
        <w:rPr>
          <w:rFonts w:ascii="Arial" w:hAnsi="Arial" w:cs="Arial"/>
          <w:bCs/>
          <w:sz w:val="22"/>
        </w:rPr>
        <w:t>However, all narratives in the form of stories can involve some kind of edit or concealment including those given in interviews or even ‘at the time’ statements made to ethnographers. Bruner</w:t>
      </w:r>
      <w:r w:rsidRPr="007F2727">
        <w:rPr>
          <w:rStyle w:val="FootnoteReference"/>
          <w:rFonts w:ascii="Arial" w:hAnsi="Arial" w:cs="Arial"/>
          <w:bCs/>
          <w:sz w:val="22"/>
        </w:rPr>
        <w:footnoteReference w:id="28"/>
      </w:r>
      <w:r w:rsidRPr="007F2727">
        <w:rPr>
          <w:rFonts w:ascii="Arial" w:hAnsi="Arial" w:cs="Arial"/>
          <w:bCs/>
          <w:sz w:val="22"/>
        </w:rPr>
        <w:t xml:space="preserve"> argues that notwithstanding the known limitations of narratives, an analysis of how the narratives have been constructed is itself a story </w:t>
      </w:r>
      <w:r w:rsidRPr="007F2727">
        <w:rPr>
          <w:rFonts w:ascii="Arial" w:hAnsi="Arial" w:cs="Arial"/>
          <w:bCs/>
          <w:sz w:val="22"/>
        </w:rPr>
        <w:lastRenderedPageBreak/>
        <w:t xml:space="preserve">worth telling through examination of the content. Bruner further argues that stories told (even through edit) can reveal some reflection on the part of the ‘story-teller’. </w:t>
      </w:r>
    </w:p>
    <w:p w14:paraId="1C8C89FB" w14:textId="77777777" w:rsidR="0096219E" w:rsidRPr="007F2727" w:rsidRDefault="0096219E" w:rsidP="0096219E">
      <w:pPr>
        <w:spacing w:line="480" w:lineRule="auto"/>
        <w:rPr>
          <w:rFonts w:ascii="Arial" w:hAnsi="Arial" w:cs="Arial"/>
          <w:bCs/>
          <w:sz w:val="22"/>
        </w:rPr>
      </w:pPr>
    </w:p>
    <w:p w14:paraId="5696174F" w14:textId="77777777" w:rsidR="00CF2B9C" w:rsidRPr="007F2727" w:rsidRDefault="0096219E" w:rsidP="00BF23AD">
      <w:pPr>
        <w:spacing w:line="480" w:lineRule="auto"/>
        <w:rPr>
          <w:rFonts w:ascii="Arial" w:hAnsi="Arial"/>
          <w:sz w:val="22"/>
        </w:rPr>
      </w:pPr>
      <w:r w:rsidRPr="007F2727">
        <w:rPr>
          <w:rFonts w:ascii="Arial" w:hAnsi="Arial" w:cs="Arial"/>
          <w:bCs/>
          <w:sz w:val="22"/>
        </w:rPr>
        <w:t>Examination of language was not just confined to the use of legal language but included how participants in the courtroom made sense of their secondary realities through the use of metaphors.</w:t>
      </w:r>
      <w:r w:rsidRPr="007F2727">
        <w:rPr>
          <w:rStyle w:val="FootnoteReference"/>
          <w:rFonts w:ascii="Arial" w:hAnsi="Arial" w:cs="Arial"/>
          <w:bCs/>
          <w:sz w:val="22"/>
        </w:rPr>
        <w:footnoteReference w:id="29"/>
      </w:r>
      <w:r w:rsidRPr="007F2727">
        <w:rPr>
          <w:rFonts w:ascii="Arial" w:hAnsi="Arial" w:cs="Arial"/>
          <w:bCs/>
          <w:sz w:val="22"/>
        </w:rPr>
        <w:t xml:space="preserve"> </w:t>
      </w:r>
      <w:r w:rsidRPr="007F2727">
        <w:rPr>
          <w:rFonts w:ascii="Arial" w:hAnsi="Arial"/>
          <w:sz w:val="22"/>
        </w:rPr>
        <w:t xml:space="preserve">This is a method of language </w:t>
      </w:r>
      <w:proofErr w:type="gramStart"/>
      <w:r w:rsidRPr="007F2727">
        <w:rPr>
          <w:rFonts w:ascii="Arial" w:hAnsi="Arial"/>
          <w:sz w:val="22"/>
        </w:rPr>
        <w:t>expression which</w:t>
      </w:r>
      <w:proofErr w:type="gramEnd"/>
      <w:r w:rsidRPr="007F2727">
        <w:rPr>
          <w:rFonts w:ascii="Arial" w:hAnsi="Arial"/>
          <w:sz w:val="22"/>
        </w:rPr>
        <w:t xml:space="preserve"> Kress</w:t>
      </w:r>
      <w:r w:rsidRPr="007F2727">
        <w:rPr>
          <w:rStyle w:val="FootnoteReference"/>
          <w:rFonts w:ascii="Arial" w:hAnsi="Arial"/>
          <w:sz w:val="22"/>
        </w:rPr>
        <w:footnoteReference w:id="30"/>
      </w:r>
      <w:r w:rsidRPr="007F2727">
        <w:rPr>
          <w:rFonts w:ascii="Arial" w:hAnsi="Arial"/>
          <w:sz w:val="22"/>
        </w:rPr>
        <w:t xml:space="preserve"> argues is a potent</w:t>
      </w:r>
      <w:r w:rsidR="00386B92" w:rsidRPr="007F2727">
        <w:rPr>
          <w:rFonts w:ascii="Arial" w:hAnsi="Arial"/>
          <w:sz w:val="22"/>
        </w:rPr>
        <w:t xml:space="preserve"> </w:t>
      </w:r>
      <w:r w:rsidRPr="007F2727">
        <w:rPr>
          <w:rFonts w:ascii="Arial" w:hAnsi="Arial"/>
          <w:sz w:val="22"/>
        </w:rPr>
        <w:t>means to identify an idea or emotion within its relationship context to an object or action rather than in isolation. This figurative way of speaking or writing can be revealing through the relationship juxtaposition of the idea or emotion with the object or action.</w:t>
      </w:r>
    </w:p>
    <w:p w14:paraId="57090338" w14:textId="77777777" w:rsidR="008E1693" w:rsidRPr="007F2727" w:rsidRDefault="008E1693" w:rsidP="00BF23AD">
      <w:pPr>
        <w:spacing w:line="480" w:lineRule="auto"/>
        <w:rPr>
          <w:rFonts w:ascii="Arial" w:hAnsi="Arial" w:cs="Arial"/>
          <w:b/>
          <w:color w:val="000000" w:themeColor="text1"/>
          <w:sz w:val="22"/>
        </w:rPr>
      </w:pPr>
    </w:p>
    <w:p w14:paraId="0FCD6D2A" w14:textId="77777777" w:rsidR="005A3A83" w:rsidRPr="007F2727" w:rsidRDefault="005A3A83" w:rsidP="00BF23AD">
      <w:pPr>
        <w:spacing w:line="480" w:lineRule="auto"/>
        <w:rPr>
          <w:rFonts w:ascii="Arial" w:hAnsi="Arial" w:cs="Arial"/>
          <w:color w:val="000000" w:themeColor="text1"/>
          <w:sz w:val="22"/>
        </w:rPr>
      </w:pPr>
      <w:r w:rsidRPr="007F2727">
        <w:rPr>
          <w:rFonts w:ascii="Arial" w:hAnsi="Arial" w:cs="Arial"/>
          <w:color w:val="000000" w:themeColor="text1"/>
          <w:sz w:val="22"/>
        </w:rPr>
        <w:t>2.2 The Data</w:t>
      </w:r>
    </w:p>
    <w:p w14:paraId="56E1945C" w14:textId="77777777" w:rsidR="00540557" w:rsidRPr="007F2727" w:rsidRDefault="00BF23AD" w:rsidP="00BF23AD">
      <w:pPr>
        <w:spacing w:line="480" w:lineRule="auto"/>
        <w:rPr>
          <w:rFonts w:ascii="Arial" w:hAnsi="Arial" w:cs="Arial"/>
          <w:color w:val="000000" w:themeColor="text1"/>
          <w:sz w:val="22"/>
        </w:rPr>
      </w:pPr>
      <w:r w:rsidRPr="007F2727">
        <w:rPr>
          <w:rFonts w:ascii="Arial" w:hAnsi="Arial" w:cs="Arial"/>
          <w:color w:val="000000" w:themeColor="text1"/>
          <w:sz w:val="22"/>
        </w:rPr>
        <w:t>The Minist</w:t>
      </w:r>
      <w:r w:rsidR="005643CD" w:rsidRPr="007F2727">
        <w:rPr>
          <w:rFonts w:ascii="Arial" w:hAnsi="Arial" w:cs="Arial"/>
          <w:color w:val="000000" w:themeColor="text1"/>
          <w:sz w:val="22"/>
        </w:rPr>
        <w:t xml:space="preserve">ry of Justice granted </w:t>
      </w:r>
      <w:r w:rsidRPr="007F2727">
        <w:rPr>
          <w:rFonts w:ascii="Arial" w:hAnsi="Arial" w:cs="Arial"/>
          <w:color w:val="000000" w:themeColor="text1"/>
          <w:sz w:val="22"/>
        </w:rPr>
        <w:t>the a</w:t>
      </w:r>
      <w:r w:rsidR="00C24B17" w:rsidRPr="007F2727">
        <w:rPr>
          <w:rFonts w:ascii="Arial" w:hAnsi="Arial" w:cs="Arial"/>
          <w:color w:val="000000" w:themeColor="text1"/>
          <w:sz w:val="22"/>
        </w:rPr>
        <w:t>uthor</w:t>
      </w:r>
      <w:r w:rsidR="005643CD" w:rsidRPr="007F2727">
        <w:rPr>
          <w:rFonts w:ascii="Arial" w:hAnsi="Arial" w:cs="Arial"/>
          <w:color w:val="000000" w:themeColor="text1"/>
          <w:sz w:val="22"/>
        </w:rPr>
        <w:t xml:space="preserve"> </w:t>
      </w:r>
      <w:r w:rsidR="00DA0D71" w:rsidRPr="007F2727">
        <w:rPr>
          <w:rFonts w:ascii="Arial" w:hAnsi="Arial" w:cs="Arial"/>
          <w:color w:val="000000" w:themeColor="text1"/>
          <w:sz w:val="22"/>
        </w:rPr>
        <w:t>permission</w:t>
      </w:r>
      <w:r w:rsidR="00C24B17" w:rsidRPr="007F2727">
        <w:rPr>
          <w:rFonts w:ascii="Arial" w:hAnsi="Arial" w:cs="Arial"/>
          <w:color w:val="000000" w:themeColor="text1"/>
          <w:sz w:val="22"/>
        </w:rPr>
        <w:t xml:space="preserve"> to collect data from</w:t>
      </w:r>
      <w:r w:rsidRPr="007F2727">
        <w:rPr>
          <w:rFonts w:ascii="Arial" w:hAnsi="Arial" w:cs="Arial"/>
          <w:color w:val="000000" w:themeColor="text1"/>
          <w:sz w:val="22"/>
        </w:rPr>
        <w:t xml:space="preserve"> 32</w:t>
      </w:r>
      <w:r w:rsidR="001D4824" w:rsidRPr="007F2727">
        <w:rPr>
          <w:rStyle w:val="FootnoteReference"/>
          <w:rFonts w:ascii="Arial" w:hAnsi="Arial" w:cs="Arial"/>
          <w:color w:val="000000" w:themeColor="text1"/>
          <w:sz w:val="22"/>
        </w:rPr>
        <w:footnoteReference w:id="31"/>
      </w:r>
      <w:r w:rsidRPr="007F2727">
        <w:rPr>
          <w:rFonts w:ascii="Arial" w:hAnsi="Arial" w:cs="Arial"/>
          <w:color w:val="000000" w:themeColor="text1"/>
          <w:sz w:val="22"/>
        </w:rPr>
        <w:t xml:space="preserve"> international surrogacy case files from five courts in England and Wales.</w:t>
      </w:r>
      <w:r w:rsidR="005D055C" w:rsidRPr="007F2727">
        <w:rPr>
          <w:rFonts w:ascii="Arial" w:hAnsi="Arial" w:cs="Arial"/>
          <w:color w:val="000000" w:themeColor="text1"/>
          <w:sz w:val="22"/>
        </w:rPr>
        <w:t xml:space="preserve"> These files were chosen by Her Majesty’s Courts and Tribunals Service (“HMCTS”) based on an inclusion criteria provided by the author.</w:t>
      </w:r>
      <w:r w:rsidR="00A97B9B" w:rsidRPr="007F2727">
        <w:rPr>
          <w:rStyle w:val="FootnoteReference"/>
          <w:rFonts w:ascii="Arial" w:hAnsi="Arial" w:cs="Arial"/>
          <w:color w:val="000000" w:themeColor="text1"/>
          <w:sz w:val="22"/>
        </w:rPr>
        <w:footnoteReference w:id="32"/>
      </w:r>
      <w:r w:rsidR="005D055C" w:rsidRPr="007F2727">
        <w:rPr>
          <w:rFonts w:ascii="Arial" w:hAnsi="Arial" w:cs="Arial"/>
          <w:color w:val="000000" w:themeColor="text1"/>
          <w:sz w:val="22"/>
        </w:rPr>
        <w:t xml:space="preserve"> The criteria w</w:t>
      </w:r>
      <w:r w:rsidR="007743AA">
        <w:rPr>
          <w:rFonts w:ascii="Arial" w:hAnsi="Arial" w:cs="Arial"/>
          <w:color w:val="000000" w:themeColor="text1"/>
          <w:sz w:val="22"/>
        </w:rPr>
        <w:t>ere</w:t>
      </w:r>
      <w:r w:rsidR="005D055C" w:rsidRPr="007F2727">
        <w:rPr>
          <w:rFonts w:ascii="Arial" w:hAnsi="Arial" w:cs="Arial"/>
          <w:color w:val="000000" w:themeColor="text1"/>
          <w:sz w:val="22"/>
        </w:rPr>
        <w:t xml:space="preserve"> that</w:t>
      </w:r>
      <w:r w:rsidRPr="007F2727">
        <w:rPr>
          <w:rFonts w:ascii="Arial" w:hAnsi="Arial" w:cs="Arial"/>
          <w:color w:val="000000" w:themeColor="text1"/>
          <w:sz w:val="22"/>
        </w:rPr>
        <w:t xml:space="preserve"> case files</w:t>
      </w:r>
      <w:r w:rsidR="005D055C" w:rsidRPr="007F2727">
        <w:rPr>
          <w:rFonts w:ascii="Arial" w:hAnsi="Arial" w:cs="Arial"/>
          <w:color w:val="000000" w:themeColor="text1"/>
          <w:sz w:val="22"/>
        </w:rPr>
        <w:t xml:space="preserve"> should</w:t>
      </w:r>
      <w:r w:rsidRPr="007F2727">
        <w:rPr>
          <w:rFonts w:ascii="Arial" w:hAnsi="Arial" w:cs="Arial"/>
          <w:color w:val="000000" w:themeColor="text1"/>
          <w:sz w:val="22"/>
        </w:rPr>
        <w:t xml:space="preserve"> relate to applications for parental orders made </w:t>
      </w:r>
      <w:r w:rsidR="00A4593C" w:rsidRPr="007F2727">
        <w:rPr>
          <w:rFonts w:ascii="Arial" w:hAnsi="Arial" w:cs="Arial"/>
          <w:color w:val="000000" w:themeColor="text1"/>
          <w:sz w:val="22"/>
        </w:rPr>
        <w:t>by commissioning couples</w:t>
      </w:r>
      <w:r w:rsidR="005D055C" w:rsidRPr="007F2727">
        <w:rPr>
          <w:rFonts w:ascii="Arial" w:hAnsi="Arial" w:cs="Arial"/>
          <w:color w:val="000000" w:themeColor="text1"/>
          <w:sz w:val="22"/>
        </w:rPr>
        <w:t xml:space="preserve"> in the High Court o</w:t>
      </w:r>
      <w:r w:rsidR="00540557" w:rsidRPr="007F2727">
        <w:rPr>
          <w:rFonts w:ascii="Arial" w:hAnsi="Arial" w:cs="Arial"/>
          <w:color w:val="000000" w:themeColor="text1"/>
          <w:sz w:val="22"/>
        </w:rPr>
        <w:t>r</w:t>
      </w:r>
      <w:r w:rsidR="005D055C" w:rsidRPr="007F2727">
        <w:rPr>
          <w:rFonts w:ascii="Arial" w:hAnsi="Arial" w:cs="Arial"/>
          <w:color w:val="000000" w:themeColor="text1"/>
          <w:sz w:val="22"/>
        </w:rPr>
        <w:t xml:space="preserve"> Principal Registry in England and Wales</w:t>
      </w:r>
      <w:r w:rsidR="00A4593C" w:rsidRPr="007F2727">
        <w:rPr>
          <w:rFonts w:ascii="Arial" w:hAnsi="Arial" w:cs="Arial"/>
          <w:color w:val="000000" w:themeColor="text1"/>
          <w:sz w:val="22"/>
        </w:rPr>
        <w:t xml:space="preserve"> after</w:t>
      </w:r>
      <w:r w:rsidRPr="007F2727">
        <w:rPr>
          <w:rFonts w:ascii="Arial" w:hAnsi="Arial" w:cs="Arial"/>
          <w:color w:val="000000" w:themeColor="text1"/>
          <w:sz w:val="22"/>
        </w:rPr>
        <w:t xml:space="preserve"> </w:t>
      </w:r>
      <w:r w:rsidR="00C24B17" w:rsidRPr="007F2727">
        <w:rPr>
          <w:rFonts w:ascii="Arial" w:hAnsi="Arial" w:cs="Arial"/>
          <w:color w:val="000000" w:themeColor="text1"/>
          <w:sz w:val="22"/>
        </w:rPr>
        <w:t>6</w:t>
      </w:r>
      <w:r w:rsidR="00C24B17" w:rsidRPr="007F2727">
        <w:rPr>
          <w:rFonts w:ascii="Arial" w:hAnsi="Arial" w:cs="Arial"/>
          <w:color w:val="000000" w:themeColor="text1"/>
          <w:sz w:val="22"/>
          <w:vertAlign w:val="superscript"/>
        </w:rPr>
        <w:t>th</w:t>
      </w:r>
      <w:r w:rsidR="00C24B17" w:rsidRPr="007F2727">
        <w:rPr>
          <w:rFonts w:ascii="Arial" w:hAnsi="Arial" w:cs="Arial"/>
          <w:color w:val="000000" w:themeColor="text1"/>
          <w:sz w:val="22"/>
        </w:rPr>
        <w:t xml:space="preserve"> April </w:t>
      </w:r>
      <w:r w:rsidR="0096219E" w:rsidRPr="007F2727">
        <w:rPr>
          <w:rFonts w:ascii="Arial" w:hAnsi="Arial" w:cs="Arial"/>
          <w:color w:val="000000" w:themeColor="text1"/>
          <w:sz w:val="22"/>
        </w:rPr>
        <w:t>2009</w:t>
      </w:r>
      <w:r w:rsidR="007743AA">
        <w:rPr>
          <w:rFonts w:ascii="Arial" w:hAnsi="Arial" w:cs="Arial"/>
          <w:color w:val="000000" w:themeColor="text1"/>
          <w:sz w:val="22"/>
        </w:rPr>
        <w:t>, that</w:t>
      </w:r>
      <w:r w:rsidR="0096219E" w:rsidRPr="007F2727">
        <w:rPr>
          <w:rFonts w:ascii="Arial" w:hAnsi="Arial" w:cs="Arial"/>
          <w:color w:val="000000" w:themeColor="text1"/>
          <w:sz w:val="22"/>
        </w:rPr>
        <w:t xml:space="preserve"> </w:t>
      </w:r>
      <w:r w:rsidR="005D055C" w:rsidRPr="007F2727">
        <w:rPr>
          <w:rFonts w:ascii="Arial" w:hAnsi="Arial" w:cs="Arial"/>
          <w:color w:val="000000" w:themeColor="text1"/>
          <w:sz w:val="22"/>
        </w:rPr>
        <w:t xml:space="preserve">being </w:t>
      </w:r>
      <w:r w:rsidR="0096219E" w:rsidRPr="007F2727">
        <w:rPr>
          <w:rFonts w:ascii="Arial" w:hAnsi="Arial" w:cs="Arial"/>
          <w:color w:val="000000" w:themeColor="text1"/>
          <w:sz w:val="22"/>
        </w:rPr>
        <w:t>the date</w:t>
      </w:r>
      <w:r w:rsidRPr="007F2727">
        <w:rPr>
          <w:rFonts w:ascii="Arial" w:hAnsi="Arial" w:cs="Arial"/>
          <w:color w:val="000000" w:themeColor="text1"/>
          <w:sz w:val="22"/>
        </w:rPr>
        <w:t xml:space="preserve"> the Human Fertilisation and Embryology</w:t>
      </w:r>
      <w:r w:rsidR="00C24B17" w:rsidRPr="007F2727">
        <w:rPr>
          <w:rFonts w:ascii="Arial" w:hAnsi="Arial" w:cs="Arial"/>
          <w:color w:val="000000" w:themeColor="text1"/>
          <w:sz w:val="22"/>
        </w:rPr>
        <w:t xml:space="preserve"> Act 2008</w:t>
      </w:r>
      <w:r w:rsidR="00920917" w:rsidRPr="007F2727">
        <w:rPr>
          <w:rFonts w:ascii="Arial" w:hAnsi="Arial" w:cs="Arial"/>
          <w:color w:val="000000" w:themeColor="text1"/>
          <w:sz w:val="22"/>
        </w:rPr>
        <w:t xml:space="preserve"> (“the 2008 Act”) came into effect. The cut-off date for the data was </w:t>
      </w:r>
      <w:r w:rsidR="00C24B17" w:rsidRPr="007F2727">
        <w:rPr>
          <w:rFonts w:ascii="Arial" w:hAnsi="Arial" w:cs="Arial"/>
          <w:color w:val="000000" w:themeColor="text1"/>
          <w:sz w:val="22"/>
        </w:rPr>
        <w:t>January 2014</w:t>
      </w:r>
      <w:r w:rsidRPr="007F2727">
        <w:rPr>
          <w:rFonts w:ascii="Arial" w:hAnsi="Arial" w:cs="Arial"/>
          <w:color w:val="000000" w:themeColor="text1"/>
          <w:sz w:val="22"/>
        </w:rPr>
        <w:t xml:space="preserve"> (the date a privileged access order was granted to the author by the Ministry of Justice). As the research focused </w:t>
      </w:r>
      <w:r w:rsidRPr="007F2727">
        <w:rPr>
          <w:rFonts w:ascii="Arial" w:hAnsi="Arial" w:cs="Arial"/>
          <w:color w:val="000000" w:themeColor="text1"/>
          <w:sz w:val="22"/>
        </w:rPr>
        <w:lastRenderedPageBreak/>
        <w:t xml:space="preserve">on the law and procedure </w:t>
      </w:r>
      <w:r w:rsidR="005D055C" w:rsidRPr="007F2727">
        <w:rPr>
          <w:rFonts w:ascii="Arial" w:hAnsi="Arial" w:cs="Arial"/>
          <w:color w:val="000000" w:themeColor="text1"/>
          <w:sz w:val="22"/>
        </w:rPr>
        <w:t xml:space="preserve">for parental orders </w:t>
      </w:r>
      <w:r w:rsidRPr="007F2727">
        <w:rPr>
          <w:rFonts w:ascii="Arial" w:hAnsi="Arial" w:cs="Arial"/>
          <w:color w:val="000000" w:themeColor="text1"/>
          <w:sz w:val="22"/>
        </w:rPr>
        <w:t>this necessarily limited the sample to</w:t>
      </w:r>
      <w:r w:rsidR="00540557" w:rsidRPr="007F2727">
        <w:rPr>
          <w:rFonts w:ascii="Arial" w:hAnsi="Arial" w:cs="Arial"/>
          <w:color w:val="000000" w:themeColor="text1"/>
          <w:sz w:val="22"/>
        </w:rPr>
        <w:t xml:space="preserve"> </w:t>
      </w:r>
      <w:r w:rsidRPr="007F2727">
        <w:rPr>
          <w:rFonts w:ascii="Arial" w:hAnsi="Arial" w:cs="Arial"/>
          <w:color w:val="000000" w:themeColor="text1"/>
          <w:sz w:val="22"/>
        </w:rPr>
        <w:t>couples.</w:t>
      </w:r>
      <w:r w:rsidR="00C24B17" w:rsidRPr="007F2727">
        <w:rPr>
          <w:rStyle w:val="FootnoteReference"/>
          <w:rFonts w:ascii="Arial" w:hAnsi="Arial" w:cs="Arial"/>
          <w:color w:val="000000" w:themeColor="text1"/>
          <w:sz w:val="22"/>
        </w:rPr>
        <w:footnoteReference w:id="33"/>
      </w:r>
    </w:p>
    <w:p w14:paraId="27057ECA" w14:textId="77777777" w:rsidR="00540557" w:rsidRPr="007F2727" w:rsidRDefault="00540557" w:rsidP="00BF23AD">
      <w:pPr>
        <w:spacing w:line="480" w:lineRule="auto"/>
        <w:rPr>
          <w:rFonts w:ascii="Arial" w:hAnsi="Arial" w:cs="Arial"/>
          <w:color w:val="000000" w:themeColor="text1"/>
          <w:sz w:val="22"/>
        </w:rPr>
      </w:pPr>
    </w:p>
    <w:p w14:paraId="18DDDE68" w14:textId="77777777" w:rsidR="00BF23AD" w:rsidRPr="007F2727" w:rsidRDefault="00140587" w:rsidP="00BF23AD">
      <w:pPr>
        <w:spacing w:line="480" w:lineRule="auto"/>
        <w:rPr>
          <w:rFonts w:ascii="Arial" w:hAnsi="Arial" w:cs="Arial"/>
          <w:color w:val="000000" w:themeColor="text1"/>
          <w:sz w:val="22"/>
        </w:rPr>
      </w:pPr>
      <w:r w:rsidRPr="007F2727">
        <w:rPr>
          <w:rFonts w:ascii="Arial" w:hAnsi="Arial" w:cs="Arial"/>
          <w:color w:val="000000" w:themeColor="text1"/>
          <w:sz w:val="22"/>
        </w:rPr>
        <w:t>The case files</w:t>
      </w:r>
      <w:r w:rsidR="005D055C" w:rsidRPr="007F2727">
        <w:rPr>
          <w:rFonts w:ascii="Arial" w:hAnsi="Arial" w:cs="Arial"/>
          <w:color w:val="000000" w:themeColor="text1"/>
          <w:sz w:val="22"/>
        </w:rPr>
        <w:t xml:space="preserve"> produced by HMCTS</w:t>
      </w:r>
      <w:r w:rsidRPr="007F2727">
        <w:rPr>
          <w:rFonts w:ascii="Arial" w:hAnsi="Arial" w:cs="Arial"/>
          <w:color w:val="000000" w:themeColor="text1"/>
          <w:sz w:val="22"/>
        </w:rPr>
        <w:t xml:space="preserve"> </w:t>
      </w:r>
      <w:r w:rsidR="00A4593C" w:rsidRPr="007F2727">
        <w:rPr>
          <w:rFonts w:ascii="Arial" w:hAnsi="Arial" w:cs="Arial"/>
          <w:color w:val="000000" w:themeColor="text1"/>
          <w:sz w:val="22"/>
        </w:rPr>
        <w:t xml:space="preserve">comprised witness statements from </w:t>
      </w:r>
      <w:r w:rsidRPr="007F2727">
        <w:rPr>
          <w:rFonts w:ascii="Arial" w:hAnsi="Arial" w:cs="Arial"/>
          <w:color w:val="000000" w:themeColor="text1"/>
          <w:sz w:val="22"/>
        </w:rPr>
        <w:t>16 homosexual couples and 16 heterosexual couples</w:t>
      </w:r>
      <w:r w:rsidR="005D055C" w:rsidRPr="007F2727">
        <w:rPr>
          <w:rStyle w:val="FootnoteReference"/>
          <w:rFonts w:ascii="Arial" w:hAnsi="Arial" w:cs="Arial"/>
          <w:color w:val="000000" w:themeColor="text1"/>
          <w:sz w:val="22"/>
        </w:rPr>
        <w:footnoteReference w:id="34"/>
      </w:r>
      <w:r w:rsidR="00A4593C" w:rsidRPr="007F2727">
        <w:rPr>
          <w:rFonts w:ascii="Arial" w:hAnsi="Arial" w:cs="Arial"/>
          <w:color w:val="000000" w:themeColor="text1"/>
          <w:sz w:val="22"/>
        </w:rPr>
        <w:t xml:space="preserve"> with accompanying parental or</w:t>
      </w:r>
      <w:r w:rsidR="00D9066F" w:rsidRPr="007F2727">
        <w:rPr>
          <w:rFonts w:ascii="Arial" w:hAnsi="Arial" w:cs="Arial"/>
          <w:color w:val="000000" w:themeColor="text1"/>
          <w:sz w:val="22"/>
        </w:rPr>
        <w:t>der reports prepared by PORs</w:t>
      </w:r>
      <w:r w:rsidR="00A4593C" w:rsidRPr="007F2727">
        <w:rPr>
          <w:rFonts w:ascii="Arial" w:hAnsi="Arial" w:cs="Arial"/>
          <w:color w:val="000000" w:themeColor="text1"/>
          <w:sz w:val="22"/>
        </w:rPr>
        <w:t xml:space="preserve"> </w:t>
      </w:r>
      <w:r w:rsidR="00DA0D71" w:rsidRPr="007F2727">
        <w:rPr>
          <w:rFonts w:ascii="Arial" w:hAnsi="Arial" w:cs="Arial"/>
          <w:color w:val="000000" w:themeColor="text1"/>
          <w:sz w:val="22"/>
        </w:rPr>
        <w:t xml:space="preserve">from </w:t>
      </w:r>
      <w:proofErr w:type="spellStart"/>
      <w:r w:rsidR="00D9066F" w:rsidRPr="007F2727">
        <w:rPr>
          <w:rFonts w:ascii="Arial" w:hAnsi="Arial" w:cs="Arial"/>
          <w:color w:val="000000" w:themeColor="text1"/>
          <w:sz w:val="22"/>
        </w:rPr>
        <w:t>Cafcass</w:t>
      </w:r>
      <w:proofErr w:type="spellEnd"/>
      <w:r w:rsidRPr="007F2727">
        <w:rPr>
          <w:rFonts w:ascii="Arial" w:hAnsi="Arial" w:cs="Arial"/>
          <w:color w:val="000000" w:themeColor="text1"/>
          <w:sz w:val="22"/>
        </w:rPr>
        <w:t>.</w:t>
      </w:r>
      <w:r w:rsidR="00A4593C" w:rsidRPr="007F2727">
        <w:rPr>
          <w:rFonts w:ascii="Arial" w:hAnsi="Arial" w:cs="Arial"/>
          <w:color w:val="000000" w:themeColor="text1"/>
          <w:sz w:val="22"/>
        </w:rPr>
        <w:t xml:space="preserve"> All couples applied for and were awarded a parental order.</w:t>
      </w:r>
      <w:r w:rsidRPr="007F2727">
        <w:rPr>
          <w:rFonts w:ascii="Arial" w:hAnsi="Arial" w:cs="Arial"/>
          <w:color w:val="000000" w:themeColor="text1"/>
          <w:sz w:val="22"/>
        </w:rPr>
        <w:t xml:space="preserve"> The mean a</w:t>
      </w:r>
      <w:r w:rsidR="00A4593C" w:rsidRPr="007F2727">
        <w:rPr>
          <w:rFonts w:ascii="Arial" w:hAnsi="Arial" w:cs="Arial"/>
          <w:color w:val="000000" w:themeColor="text1"/>
          <w:sz w:val="22"/>
        </w:rPr>
        <w:t>ge of the male applicants</w:t>
      </w:r>
      <w:r w:rsidRPr="007F2727">
        <w:rPr>
          <w:rFonts w:ascii="Arial" w:hAnsi="Arial" w:cs="Arial"/>
          <w:color w:val="000000" w:themeColor="text1"/>
          <w:sz w:val="22"/>
        </w:rPr>
        <w:t xml:space="preserve"> was 43 as compared to 44 being the mean age for the </w:t>
      </w:r>
      <w:r w:rsidR="007743AA">
        <w:rPr>
          <w:rFonts w:ascii="Arial" w:hAnsi="Arial" w:cs="Arial"/>
          <w:color w:val="000000" w:themeColor="text1"/>
          <w:sz w:val="22"/>
        </w:rPr>
        <w:t>female</w:t>
      </w:r>
      <w:r w:rsidR="00A4593C" w:rsidRPr="007F2727">
        <w:rPr>
          <w:rFonts w:ascii="Arial" w:hAnsi="Arial" w:cs="Arial"/>
          <w:color w:val="000000" w:themeColor="text1"/>
          <w:sz w:val="22"/>
        </w:rPr>
        <w:t xml:space="preserve"> applicants</w:t>
      </w:r>
      <w:r w:rsidRPr="007F2727">
        <w:rPr>
          <w:rFonts w:ascii="Arial" w:hAnsi="Arial" w:cs="Arial"/>
          <w:color w:val="000000" w:themeColor="text1"/>
          <w:sz w:val="22"/>
        </w:rPr>
        <w:t xml:space="preserve"> in the sample. The majority </w:t>
      </w:r>
      <w:r w:rsidR="00A4593C" w:rsidRPr="007F2727">
        <w:rPr>
          <w:rFonts w:ascii="Arial" w:hAnsi="Arial" w:cs="Arial"/>
          <w:color w:val="000000" w:themeColor="text1"/>
          <w:sz w:val="22"/>
        </w:rPr>
        <w:t xml:space="preserve">of the applicants </w:t>
      </w:r>
      <w:r w:rsidRPr="007F2727">
        <w:rPr>
          <w:rFonts w:ascii="Arial" w:hAnsi="Arial" w:cs="Arial"/>
          <w:color w:val="000000" w:themeColor="text1"/>
          <w:sz w:val="22"/>
        </w:rPr>
        <w:t>were either professionals</w:t>
      </w:r>
      <w:r w:rsidR="00B55D1C" w:rsidRPr="007F2727">
        <w:rPr>
          <w:rStyle w:val="FootnoteReference"/>
          <w:rFonts w:ascii="Arial" w:hAnsi="Arial" w:cs="Arial"/>
          <w:color w:val="000000" w:themeColor="text1"/>
          <w:sz w:val="22"/>
        </w:rPr>
        <w:footnoteReference w:id="35"/>
      </w:r>
      <w:r w:rsidRPr="007F2727">
        <w:rPr>
          <w:rFonts w:ascii="Arial" w:hAnsi="Arial" w:cs="Arial"/>
          <w:color w:val="000000" w:themeColor="text1"/>
          <w:sz w:val="22"/>
        </w:rPr>
        <w:t xml:space="preserve"> or senior managers</w:t>
      </w:r>
      <w:r w:rsidR="00B55D1C" w:rsidRPr="007F2727">
        <w:rPr>
          <w:rStyle w:val="FootnoteReference"/>
          <w:rFonts w:ascii="Arial" w:hAnsi="Arial" w:cs="Arial"/>
          <w:color w:val="000000" w:themeColor="text1"/>
          <w:sz w:val="22"/>
        </w:rPr>
        <w:footnoteReference w:id="36"/>
      </w:r>
      <w:r w:rsidRPr="007F2727">
        <w:rPr>
          <w:rFonts w:ascii="Arial" w:hAnsi="Arial" w:cs="Arial"/>
          <w:color w:val="000000" w:themeColor="text1"/>
          <w:sz w:val="22"/>
        </w:rPr>
        <w:t xml:space="preserve"> by occupation with some stay at home partners.</w:t>
      </w:r>
      <w:r w:rsidR="00B55D1C" w:rsidRPr="007F2727">
        <w:rPr>
          <w:rStyle w:val="FootnoteReference"/>
          <w:rFonts w:ascii="Arial" w:hAnsi="Arial" w:cs="Arial"/>
          <w:color w:val="000000" w:themeColor="text1"/>
          <w:sz w:val="22"/>
        </w:rPr>
        <w:footnoteReference w:id="37"/>
      </w:r>
      <w:r w:rsidRPr="007F2727">
        <w:rPr>
          <w:rFonts w:ascii="Arial" w:hAnsi="Arial" w:cs="Arial"/>
          <w:color w:val="000000" w:themeColor="text1"/>
          <w:sz w:val="22"/>
        </w:rPr>
        <w:t xml:space="preserve"> </w:t>
      </w:r>
      <w:r w:rsidR="00B55D1C" w:rsidRPr="007F2727">
        <w:rPr>
          <w:rFonts w:ascii="Arial" w:hAnsi="Arial" w:cs="Arial"/>
          <w:color w:val="000000" w:themeColor="text1"/>
          <w:sz w:val="22"/>
        </w:rPr>
        <w:t xml:space="preserve">The remainder fell into </w:t>
      </w:r>
      <w:r w:rsidR="0064042F" w:rsidRPr="007F2727">
        <w:rPr>
          <w:rFonts w:ascii="Arial" w:hAnsi="Arial" w:cs="Arial"/>
          <w:color w:val="000000" w:themeColor="text1"/>
          <w:sz w:val="22"/>
        </w:rPr>
        <w:t>lower occupational groups such as technicians and sales workers.</w:t>
      </w:r>
      <w:r w:rsidR="0064042F" w:rsidRPr="007F2727">
        <w:rPr>
          <w:rStyle w:val="FootnoteReference"/>
          <w:rFonts w:ascii="Arial" w:hAnsi="Arial" w:cs="Arial"/>
          <w:color w:val="000000" w:themeColor="text1"/>
          <w:sz w:val="22"/>
        </w:rPr>
        <w:footnoteReference w:id="38"/>
      </w:r>
      <w:r w:rsidR="0064042F" w:rsidRPr="007F2727">
        <w:rPr>
          <w:rFonts w:ascii="Arial" w:hAnsi="Arial" w:cs="Arial"/>
          <w:color w:val="000000" w:themeColor="text1"/>
          <w:sz w:val="22"/>
        </w:rPr>
        <w:t xml:space="preserve"> </w:t>
      </w:r>
      <w:r w:rsidRPr="007F2727">
        <w:rPr>
          <w:rFonts w:ascii="Arial" w:hAnsi="Arial" w:cs="Arial"/>
          <w:color w:val="000000" w:themeColor="text1"/>
          <w:sz w:val="22"/>
        </w:rPr>
        <w:t>India was the most popular destination for the surrogacy arrangements (50%, N=16) closely followed by the US (41%, N=13) w</w:t>
      </w:r>
      <w:r w:rsidR="00B96D3D" w:rsidRPr="007F2727">
        <w:rPr>
          <w:rFonts w:ascii="Arial" w:hAnsi="Arial" w:cs="Arial"/>
          <w:color w:val="000000" w:themeColor="text1"/>
          <w:sz w:val="22"/>
        </w:rPr>
        <w:t>ith other destinations reported as</w:t>
      </w:r>
      <w:r w:rsidRPr="007F2727">
        <w:rPr>
          <w:rFonts w:ascii="Arial" w:hAnsi="Arial" w:cs="Arial"/>
          <w:color w:val="000000" w:themeColor="text1"/>
          <w:sz w:val="22"/>
        </w:rPr>
        <w:t xml:space="preserve"> Canada and Ukraine.</w:t>
      </w:r>
    </w:p>
    <w:p w14:paraId="12A9F927" w14:textId="77777777" w:rsidR="008B25B9" w:rsidRPr="007F2727" w:rsidRDefault="008B25B9" w:rsidP="00054AF9">
      <w:pPr>
        <w:spacing w:line="480" w:lineRule="auto"/>
        <w:rPr>
          <w:rFonts w:ascii="Arial" w:hAnsi="Arial" w:cs="Arial"/>
          <w:color w:val="000000" w:themeColor="text1"/>
          <w:sz w:val="22"/>
        </w:rPr>
      </w:pPr>
    </w:p>
    <w:p w14:paraId="1DC7F794" w14:textId="77777777" w:rsidR="00054AF9" w:rsidRPr="007F2727" w:rsidRDefault="00D9066F" w:rsidP="00054AF9">
      <w:pPr>
        <w:spacing w:line="480" w:lineRule="auto"/>
        <w:rPr>
          <w:rFonts w:ascii="Arial" w:hAnsi="Arial" w:cs="Arial"/>
          <w:sz w:val="22"/>
        </w:rPr>
      </w:pPr>
      <w:r w:rsidRPr="007F2727">
        <w:rPr>
          <w:rFonts w:ascii="Arial" w:hAnsi="Arial" w:cs="Arial"/>
          <w:sz w:val="22"/>
        </w:rPr>
        <w:t>In addition 31 international court judgments</w:t>
      </w:r>
      <w:r w:rsidR="00E5781D" w:rsidRPr="007F2727">
        <w:rPr>
          <w:rFonts w:ascii="Arial" w:hAnsi="Arial" w:cs="Arial"/>
          <w:sz w:val="22"/>
        </w:rPr>
        <w:t xml:space="preserve"> from 2009 - 2016</w:t>
      </w:r>
      <w:r w:rsidRPr="007F2727">
        <w:rPr>
          <w:rFonts w:ascii="Arial" w:hAnsi="Arial" w:cs="Arial"/>
          <w:sz w:val="22"/>
        </w:rPr>
        <w:t xml:space="preserve"> were analysed alongside the case files.</w:t>
      </w:r>
      <w:r w:rsidR="00A802E4" w:rsidRPr="007F2727">
        <w:rPr>
          <w:rStyle w:val="FootnoteReference"/>
          <w:rFonts w:ascii="Arial" w:hAnsi="Arial" w:cs="Arial"/>
          <w:sz w:val="22"/>
        </w:rPr>
        <w:footnoteReference w:id="39"/>
      </w:r>
      <w:r w:rsidRPr="007F2727">
        <w:rPr>
          <w:rFonts w:ascii="Arial" w:hAnsi="Arial" w:cs="Arial"/>
          <w:sz w:val="22"/>
        </w:rPr>
        <w:t xml:space="preserve"> </w:t>
      </w:r>
      <w:r w:rsidR="005A3A83" w:rsidRPr="007F2727">
        <w:rPr>
          <w:rFonts w:ascii="Arial" w:hAnsi="Arial" w:cs="Arial"/>
          <w:sz w:val="22"/>
        </w:rPr>
        <w:t>Court judgments and reports</w:t>
      </w:r>
      <w:r w:rsidR="00054AF9" w:rsidRPr="007F2727">
        <w:rPr>
          <w:rFonts w:ascii="Arial" w:hAnsi="Arial" w:cs="Arial"/>
          <w:sz w:val="22"/>
        </w:rPr>
        <w:t xml:space="preserve"> in particular will often involve </w:t>
      </w:r>
      <w:r w:rsidR="00054AF9" w:rsidRPr="007F2727">
        <w:rPr>
          <w:rFonts w:ascii="Arial" w:hAnsi="Arial" w:cs="Arial"/>
          <w:sz w:val="22"/>
        </w:rPr>
        <w:lastRenderedPageBreak/>
        <w:t>inter-textual language</w:t>
      </w:r>
      <w:r w:rsidR="005A3A83" w:rsidRPr="007F2727">
        <w:rPr>
          <w:rStyle w:val="FootnoteReference"/>
          <w:rFonts w:ascii="Arial" w:hAnsi="Arial" w:cs="Arial"/>
          <w:sz w:val="22"/>
        </w:rPr>
        <w:footnoteReference w:id="40"/>
      </w:r>
      <w:r w:rsidR="00054AF9" w:rsidRPr="007F2727">
        <w:rPr>
          <w:rFonts w:ascii="Arial" w:hAnsi="Arial" w:cs="Arial"/>
          <w:sz w:val="22"/>
        </w:rPr>
        <w:t xml:space="preserve"> that may cross a number of different perspectives of the social world. </w:t>
      </w:r>
      <w:proofErr w:type="spellStart"/>
      <w:r w:rsidR="00986DCA" w:rsidRPr="007F2727">
        <w:rPr>
          <w:rFonts w:ascii="Arial" w:hAnsi="Arial" w:cs="Arial"/>
          <w:sz w:val="22"/>
        </w:rPr>
        <w:t>Mattila</w:t>
      </w:r>
      <w:proofErr w:type="spellEnd"/>
      <w:r w:rsidR="00986DCA" w:rsidRPr="007F2727">
        <w:rPr>
          <w:rStyle w:val="FootnoteReference"/>
          <w:rFonts w:ascii="Arial" w:hAnsi="Arial" w:cs="Arial"/>
          <w:sz w:val="22"/>
        </w:rPr>
        <w:footnoteReference w:id="41"/>
      </w:r>
      <w:r w:rsidR="00986DCA" w:rsidRPr="007F2727">
        <w:rPr>
          <w:rFonts w:ascii="Arial" w:hAnsi="Arial" w:cs="Arial"/>
          <w:sz w:val="22"/>
        </w:rPr>
        <w:t xml:space="preserve"> </w:t>
      </w:r>
      <w:r w:rsidR="00E1628F" w:rsidRPr="007F2727">
        <w:rPr>
          <w:rFonts w:ascii="Arial" w:hAnsi="Arial" w:cs="Arial"/>
          <w:sz w:val="22"/>
        </w:rPr>
        <w:t>a</w:t>
      </w:r>
      <w:r w:rsidR="009F5A9E" w:rsidRPr="007F2727">
        <w:rPr>
          <w:rFonts w:ascii="Arial" w:hAnsi="Arial" w:cs="Arial"/>
          <w:sz w:val="22"/>
        </w:rPr>
        <w:t xml:space="preserve">rgues </w:t>
      </w:r>
      <w:r w:rsidR="00E1628F" w:rsidRPr="007F2727">
        <w:rPr>
          <w:rFonts w:ascii="Arial" w:hAnsi="Arial" w:cs="Arial"/>
          <w:sz w:val="22"/>
        </w:rPr>
        <w:t xml:space="preserve">that English </w:t>
      </w:r>
      <w:r w:rsidR="009F5A9E" w:rsidRPr="007F2727">
        <w:rPr>
          <w:rFonts w:ascii="Arial" w:hAnsi="Arial" w:cs="Arial"/>
          <w:sz w:val="22"/>
        </w:rPr>
        <w:t>judgments are essentially judicial speeches that allow judges to append their personal ‘signature’ to law development through a stylistic approach to language and that judgments are ‘inductive-deductive’ in the sense that the decisions focus on precedents</w:t>
      </w:r>
      <w:r w:rsidR="00160A98" w:rsidRPr="007F2727">
        <w:rPr>
          <w:rFonts w:ascii="Arial" w:hAnsi="Arial" w:cs="Arial"/>
          <w:sz w:val="22"/>
        </w:rPr>
        <w:t xml:space="preserve"> that contain the detail</w:t>
      </w:r>
      <w:r w:rsidR="0039070D" w:rsidRPr="007F2727">
        <w:rPr>
          <w:rFonts w:ascii="Arial" w:hAnsi="Arial" w:cs="Arial"/>
          <w:sz w:val="22"/>
        </w:rPr>
        <w:t xml:space="preserve"> </w:t>
      </w:r>
      <w:r w:rsidR="007336C8" w:rsidRPr="007F2727">
        <w:rPr>
          <w:rFonts w:ascii="Arial" w:hAnsi="Arial" w:cs="Arial"/>
          <w:sz w:val="22"/>
        </w:rPr>
        <w:t>involv</w:t>
      </w:r>
      <w:r w:rsidR="00160A98" w:rsidRPr="007F2727">
        <w:rPr>
          <w:rFonts w:ascii="Arial" w:hAnsi="Arial" w:cs="Arial"/>
          <w:sz w:val="22"/>
        </w:rPr>
        <w:t>ing</w:t>
      </w:r>
      <w:r w:rsidR="007336C8" w:rsidRPr="007F2727">
        <w:rPr>
          <w:rFonts w:ascii="Arial" w:hAnsi="Arial" w:cs="Arial"/>
          <w:sz w:val="22"/>
        </w:rPr>
        <w:t xml:space="preserve"> </w:t>
      </w:r>
      <w:r w:rsidR="0039070D" w:rsidRPr="007F2727">
        <w:rPr>
          <w:rFonts w:ascii="Arial" w:hAnsi="Arial" w:cs="Arial"/>
          <w:sz w:val="22"/>
        </w:rPr>
        <w:t xml:space="preserve">an interpretation of </w:t>
      </w:r>
      <w:r w:rsidR="00160A98" w:rsidRPr="007F2727">
        <w:rPr>
          <w:rFonts w:ascii="Arial" w:hAnsi="Arial" w:cs="Arial"/>
          <w:sz w:val="22"/>
        </w:rPr>
        <w:t xml:space="preserve">the facts </w:t>
      </w:r>
      <w:r w:rsidR="0039070D" w:rsidRPr="007F2727">
        <w:rPr>
          <w:rFonts w:ascii="Arial" w:hAnsi="Arial" w:cs="Arial"/>
          <w:sz w:val="22"/>
        </w:rPr>
        <w:t>based on logical reasoning</w:t>
      </w:r>
      <w:r w:rsidR="00160A98" w:rsidRPr="007F2727">
        <w:rPr>
          <w:rFonts w:ascii="Arial" w:hAnsi="Arial" w:cs="Arial"/>
          <w:sz w:val="22"/>
        </w:rPr>
        <w:t xml:space="preserve"> but the decision is then applied to a different set of facts when the precedent is followed</w:t>
      </w:r>
      <w:r w:rsidR="00986DCA" w:rsidRPr="007F2727">
        <w:rPr>
          <w:rFonts w:ascii="Arial" w:hAnsi="Arial" w:cs="Arial"/>
          <w:sz w:val="22"/>
        </w:rPr>
        <w:t>.</w:t>
      </w:r>
      <w:r w:rsidR="009F5A9E" w:rsidRPr="007F2727">
        <w:rPr>
          <w:rFonts w:ascii="Arial" w:hAnsi="Arial" w:cs="Arial"/>
          <w:sz w:val="22"/>
        </w:rPr>
        <w:t xml:space="preserve"> </w:t>
      </w:r>
      <w:r w:rsidR="00986DCA" w:rsidRPr="007F2727">
        <w:rPr>
          <w:rFonts w:ascii="Arial" w:hAnsi="Arial" w:cs="Arial"/>
          <w:sz w:val="22"/>
        </w:rPr>
        <w:t>He argues that by u</w:t>
      </w:r>
      <w:r w:rsidR="009F5A9E" w:rsidRPr="007F2727">
        <w:rPr>
          <w:rFonts w:ascii="Arial" w:hAnsi="Arial" w:cs="Arial"/>
          <w:sz w:val="22"/>
        </w:rPr>
        <w:t>sing precedents in an inductive way</w:t>
      </w:r>
      <w:r w:rsidR="00986DCA" w:rsidRPr="007F2727">
        <w:rPr>
          <w:rFonts w:ascii="Arial" w:hAnsi="Arial" w:cs="Arial"/>
          <w:sz w:val="22"/>
        </w:rPr>
        <w:t xml:space="preserve">, </w:t>
      </w:r>
      <w:r w:rsidR="009F5A9E" w:rsidRPr="007F2727">
        <w:rPr>
          <w:rFonts w:ascii="Arial" w:hAnsi="Arial" w:cs="Arial"/>
          <w:sz w:val="22"/>
        </w:rPr>
        <w:t>new rules of law are then applied</w:t>
      </w:r>
      <w:r w:rsidR="00986DCA" w:rsidRPr="007F2727">
        <w:rPr>
          <w:rFonts w:ascii="Arial" w:hAnsi="Arial" w:cs="Arial"/>
          <w:sz w:val="22"/>
        </w:rPr>
        <w:t xml:space="preserve"> by the courts</w:t>
      </w:r>
      <w:r w:rsidR="009F5A9E" w:rsidRPr="007F2727">
        <w:rPr>
          <w:rFonts w:ascii="Arial" w:hAnsi="Arial" w:cs="Arial"/>
          <w:sz w:val="22"/>
        </w:rPr>
        <w:t xml:space="preserve"> deductively to</w:t>
      </w:r>
      <w:r w:rsidR="00986DCA" w:rsidRPr="007F2727">
        <w:rPr>
          <w:rFonts w:ascii="Arial" w:hAnsi="Arial" w:cs="Arial"/>
          <w:sz w:val="22"/>
        </w:rPr>
        <w:t xml:space="preserve"> the existing facts of a case a</w:t>
      </w:r>
      <w:r w:rsidR="008E7B79" w:rsidRPr="007F2727">
        <w:rPr>
          <w:rFonts w:ascii="Arial" w:hAnsi="Arial" w:cs="Arial"/>
          <w:sz w:val="22"/>
        </w:rPr>
        <w:t xml:space="preserve">s well as </w:t>
      </w:r>
      <w:r w:rsidR="00986DCA" w:rsidRPr="007F2727">
        <w:rPr>
          <w:rFonts w:ascii="Arial" w:hAnsi="Arial" w:cs="Arial"/>
          <w:sz w:val="22"/>
        </w:rPr>
        <w:t>subsequent cases.</w:t>
      </w:r>
    </w:p>
    <w:p w14:paraId="1B71BB44" w14:textId="77777777" w:rsidR="00901A3E" w:rsidRPr="007F2727" w:rsidRDefault="00901A3E" w:rsidP="00901A3E">
      <w:pPr>
        <w:spacing w:line="360" w:lineRule="auto"/>
        <w:rPr>
          <w:rFonts w:ascii="Arial" w:hAnsi="Arial" w:cs="Arial"/>
          <w:bCs/>
          <w:sz w:val="22"/>
        </w:rPr>
      </w:pPr>
    </w:p>
    <w:p w14:paraId="7529D2A7" w14:textId="77777777" w:rsidR="00FC6585" w:rsidRPr="007F2727" w:rsidRDefault="008B25B9" w:rsidP="00204265">
      <w:pPr>
        <w:spacing w:line="480" w:lineRule="auto"/>
        <w:rPr>
          <w:rFonts w:ascii="Arial" w:hAnsi="Arial" w:cs="Arial"/>
          <w:b/>
          <w:sz w:val="22"/>
        </w:rPr>
      </w:pPr>
      <w:r w:rsidRPr="007F2727">
        <w:rPr>
          <w:rFonts w:ascii="Arial" w:hAnsi="Arial" w:cs="Arial"/>
          <w:b/>
          <w:sz w:val="22"/>
        </w:rPr>
        <w:t>3. Setting the Scene – Constructing the Language</w:t>
      </w:r>
    </w:p>
    <w:p w14:paraId="60833E49" w14:textId="77777777" w:rsidR="00EE5C46" w:rsidRPr="007F2727" w:rsidRDefault="00EE5C46" w:rsidP="00EE5C46">
      <w:pPr>
        <w:tabs>
          <w:tab w:val="left" w:pos="2620"/>
        </w:tabs>
        <w:spacing w:line="480" w:lineRule="auto"/>
        <w:rPr>
          <w:rFonts w:ascii="Arial" w:hAnsi="Arial"/>
          <w:sz w:val="22"/>
        </w:rPr>
      </w:pPr>
      <w:r w:rsidRPr="007F2727">
        <w:rPr>
          <w:rFonts w:ascii="Arial" w:hAnsi="Arial"/>
          <w:sz w:val="22"/>
        </w:rPr>
        <w:t>International surrogacy hearings are primarily paper hearings with the court relying on written witness statements and other written evidence rather than hearing live oral evidence from witnesses.</w:t>
      </w:r>
      <w:r w:rsidRPr="007F2727">
        <w:rPr>
          <w:rStyle w:val="FootnoteReference"/>
          <w:rFonts w:ascii="Arial" w:hAnsi="Arial"/>
          <w:sz w:val="22"/>
        </w:rPr>
        <w:footnoteReference w:id="42"/>
      </w:r>
      <w:r w:rsidRPr="007F2727">
        <w:rPr>
          <w:rFonts w:ascii="Arial" w:hAnsi="Arial"/>
          <w:sz w:val="22"/>
        </w:rPr>
        <w:t xml:space="preserve"> Thus the construction of the written accounts is important for emphasis and focus when relaying the couples’ experiences of international surrogacy to the courts.</w:t>
      </w:r>
    </w:p>
    <w:p w14:paraId="25F96CD5" w14:textId="77777777" w:rsidR="00EE5C46" w:rsidRPr="007F2727" w:rsidRDefault="00EE5C46" w:rsidP="00EE5C46">
      <w:pPr>
        <w:tabs>
          <w:tab w:val="left" w:pos="2620"/>
        </w:tabs>
        <w:spacing w:line="480" w:lineRule="auto"/>
        <w:rPr>
          <w:rFonts w:ascii="Arial" w:hAnsi="Arial"/>
          <w:sz w:val="22"/>
        </w:rPr>
      </w:pPr>
    </w:p>
    <w:p w14:paraId="6CD0F9F3" w14:textId="77777777" w:rsidR="007775BA" w:rsidRPr="007F2727" w:rsidRDefault="007775BA" w:rsidP="007C3BF2">
      <w:pPr>
        <w:spacing w:line="480" w:lineRule="auto"/>
        <w:rPr>
          <w:rFonts w:ascii="Arial" w:hAnsi="Arial" w:cs="Arial"/>
          <w:bCs/>
          <w:sz w:val="22"/>
        </w:rPr>
      </w:pPr>
      <w:r w:rsidRPr="007F2727">
        <w:rPr>
          <w:rFonts w:ascii="Arial" w:hAnsi="Arial"/>
          <w:sz w:val="22"/>
        </w:rPr>
        <w:t xml:space="preserve">Before turning to the use of language in a legal forum (forensic linguistics) it </w:t>
      </w:r>
      <w:r w:rsidR="00EE5C46" w:rsidRPr="007F2727">
        <w:rPr>
          <w:rFonts w:ascii="Arial" w:hAnsi="Arial"/>
          <w:sz w:val="22"/>
        </w:rPr>
        <w:t xml:space="preserve">is helpful </w:t>
      </w:r>
      <w:r w:rsidRPr="007F2727">
        <w:rPr>
          <w:rFonts w:ascii="Arial" w:hAnsi="Arial"/>
          <w:sz w:val="22"/>
        </w:rPr>
        <w:t xml:space="preserve">to first examine how the written evidence was constructed, particularly in relation to the witness statements, which contained the originating stories. The statements were found to have been constructed in a way similar to the six-stages of story-telling </w:t>
      </w:r>
      <w:r w:rsidRPr="007F2727">
        <w:rPr>
          <w:rFonts w:ascii="Arial" w:hAnsi="Arial"/>
          <w:sz w:val="22"/>
        </w:rPr>
        <w:lastRenderedPageBreak/>
        <w:t xml:space="preserve">identified by </w:t>
      </w:r>
      <w:proofErr w:type="spellStart"/>
      <w:r w:rsidRPr="007F2727">
        <w:rPr>
          <w:rFonts w:ascii="Arial" w:hAnsi="Arial"/>
          <w:sz w:val="22"/>
        </w:rPr>
        <w:t>Labov</w:t>
      </w:r>
      <w:proofErr w:type="spellEnd"/>
      <w:r w:rsidRPr="007F2727">
        <w:rPr>
          <w:rFonts w:ascii="Arial" w:hAnsi="Arial"/>
          <w:sz w:val="22"/>
        </w:rPr>
        <w:t xml:space="preserve"> and </w:t>
      </w:r>
      <w:proofErr w:type="spellStart"/>
      <w:r w:rsidRPr="007F2727">
        <w:rPr>
          <w:rFonts w:ascii="Arial" w:hAnsi="Arial"/>
          <w:sz w:val="22"/>
        </w:rPr>
        <w:t>Waletzky</w:t>
      </w:r>
      <w:proofErr w:type="spellEnd"/>
      <w:r w:rsidRPr="007F2727">
        <w:rPr>
          <w:rFonts w:ascii="Arial" w:hAnsi="Arial"/>
          <w:sz w:val="22"/>
        </w:rPr>
        <w:t>,</w:t>
      </w:r>
      <w:r w:rsidRPr="007F2727">
        <w:rPr>
          <w:rStyle w:val="FootnoteReference"/>
          <w:rFonts w:ascii="Arial" w:hAnsi="Arial"/>
          <w:sz w:val="22"/>
        </w:rPr>
        <w:footnoteReference w:id="43"/>
      </w:r>
      <w:r w:rsidRPr="007F2727">
        <w:rPr>
          <w:rFonts w:ascii="Arial" w:hAnsi="Arial"/>
          <w:sz w:val="22"/>
        </w:rPr>
        <w:t xml:space="preserve"> namely ‘abstract’ (the beginning of the story), ‘orientation’ (the actors or events involved), ‘complicating action’ (what happened), ‘evaluation’ (the relevance of what happened), ‘resolution’</w:t>
      </w:r>
      <w:r w:rsidR="00EE5C46" w:rsidRPr="007F2727">
        <w:rPr>
          <w:rStyle w:val="FootnoteReference"/>
          <w:rFonts w:ascii="Arial" w:hAnsi="Arial"/>
          <w:sz w:val="22"/>
        </w:rPr>
        <w:footnoteReference w:id="44"/>
      </w:r>
      <w:r w:rsidRPr="007F2727">
        <w:rPr>
          <w:rFonts w:ascii="Arial" w:hAnsi="Arial"/>
          <w:sz w:val="22"/>
        </w:rPr>
        <w:t xml:space="preserve"> (how matters were dealt with), and ‘coda’ (what it all means in the context of the reporting).</w:t>
      </w:r>
    </w:p>
    <w:p w14:paraId="2811BF90" w14:textId="77777777" w:rsidR="007775BA" w:rsidRPr="007F2727" w:rsidRDefault="007775BA" w:rsidP="007C3BF2">
      <w:pPr>
        <w:spacing w:line="480" w:lineRule="auto"/>
        <w:rPr>
          <w:rFonts w:ascii="Arial" w:hAnsi="Arial" w:cs="Arial"/>
          <w:bCs/>
          <w:sz w:val="22"/>
        </w:rPr>
      </w:pPr>
    </w:p>
    <w:p w14:paraId="4BEEBA86" w14:textId="77777777" w:rsidR="007C3BF2" w:rsidRPr="007F2727" w:rsidRDefault="007C3BF2" w:rsidP="007C3BF2">
      <w:pPr>
        <w:spacing w:line="480" w:lineRule="auto"/>
        <w:rPr>
          <w:rFonts w:ascii="Arial" w:hAnsi="Arial" w:cs="Arial"/>
          <w:bCs/>
          <w:sz w:val="22"/>
        </w:rPr>
      </w:pPr>
      <w:r w:rsidRPr="007F2727">
        <w:rPr>
          <w:rFonts w:ascii="Arial" w:hAnsi="Arial" w:cs="Arial"/>
          <w:bCs/>
          <w:sz w:val="22"/>
        </w:rPr>
        <w:t xml:space="preserve">Different versions of the secondary reality were retold in the </w:t>
      </w:r>
      <w:r w:rsidR="00EE5C46" w:rsidRPr="007F2727">
        <w:rPr>
          <w:rFonts w:ascii="Arial" w:hAnsi="Arial" w:cs="Arial"/>
          <w:bCs/>
          <w:sz w:val="22"/>
        </w:rPr>
        <w:t xml:space="preserve">witness </w:t>
      </w:r>
      <w:r w:rsidRPr="007F2727">
        <w:rPr>
          <w:rFonts w:ascii="Arial" w:hAnsi="Arial" w:cs="Arial"/>
          <w:bCs/>
          <w:sz w:val="22"/>
        </w:rPr>
        <w:t xml:space="preserve">statements and </w:t>
      </w:r>
      <w:r w:rsidR="00EE5C46" w:rsidRPr="007F2727">
        <w:rPr>
          <w:rFonts w:ascii="Arial" w:hAnsi="Arial" w:cs="Arial"/>
          <w:bCs/>
          <w:sz w:val="22"/>
        </w:rPr>
        <w:t xml:space="preserve">POR </w:t>
      </w:r>
      <w:r w:rsidRPr="007F2727">
        <w:rPr>
          <w:rFonts w:ascii="Arial" w:hAnsi="Arial" w:cs="Arial"/>
          <w:bCs/>
          <w:sz w:val="22"/>
        </w:rPr>
        <w:t>reports produced for the primary reality of the courtroom. This was particularly true in terms of the different emphasis placed by the</w:t>
      </w:r>
      <w:r w:rsidR="00DA0D71" w:rsidRPr="007F2727">
        <w:rPr>
          <w:rFonts w:ascii="Arial" w:hAnsi="Arial" w:cs="Arial"/>
          <w:bCs/>
          <w:sz w:val="22"/>
        </w:rPr>
        <w:t xml:space="preserve"> PORs </w:t>
      </w:r>
      <w:r w:rsidRPr="007F2727">
        <w:rPr>
          <w:rFonts w:ascii="Arial" w:hAnsi="Arial" w:cs="Arial"/>
          <w:bCs/>
          <w:sz w:val="22"/>
        </w:rPr>
        <w:t>on reporting the commissioning couples’ experiences as compared to the couples</w:t>
      </w:r>
      <w:r w:rsidR="00DA0D71" w:rsidRPr="007F2727">
        <w:rPr>
          <w:rFonts w:ascii="Arial" w:hAnsi="Arial" w:cs="Arial"/>
          <w:bCs/>
          <w:sz w:val="22"/>
        </w:rPr>
        <w:t>’</w:t>
      </w:r>
      <w:r w:rsidRPr="007F2727">
        <w:rPr>
          <w:rFonts w:ascii="Arial" w:hAnsi="Arial" w:cs="Arial"/>
          <w:bCs/>
          <w:sz w:val="22"/>
        </w:rPr>
        <w:t xml:space="preserve"> own account</w:t>
      </w:r>
      <w:r w:rsidR="00C15421" w:rsidRPr="007F2727">
        <w:rPr>
          <w:rFonts w:ascii="Arial" w:hAnsi="Arial" w:cs="Arial"/>
          <w:bCs/>
          <w:sz w:val="22"/>
        </w:rPr>
        <w:t xml:space="preserve">s (this is discussed further in section </w:t>
      </w:r>
      <w:r w:rsidR="00160A98" w:rsidRPr="007F2727">
        <w:rPr>
          <w:rFonts w:ascii="Arial" w:hAnsi="Arial" w:cs="Arial"/>
          <w:bCs/>
          <w:sz w:val="22"/>
        </w:rPr>
        <w:t>6</w:t>
      </w:r>
      <w:r w:rsidR="00C15421" w:rsidRPr="007F2727">
        <w:rPr>
          <w:rFonts w:ascii="Arial" w:hAnsi="Arial" w:cs="Arial"/>
          <w:bCs/>
          <w:sz w:val="22"/>
        </w:rPr>
        <w:t>)</w:t>
      </w:r>
      <w:r w:rsidRPr="007F2727">
        <w:rPr>
          <w:rFonts w:ascii="Arial" w:hAnsi="Arial" w:cs="Arial"/>
          <w:bCs/>
          <w:sz w:val="22"/>
        </w:rPr>
        <w:t xml:space="preserve">. </w:t>
      </w:r>
    </w:p>
    <w:p w14:paraId="20767DE6" w14:textId="77777777" w:rsidR="00C15421" w:rsidRPr="007F2727" w:rsidRDefault="00C15421" w:rsidP="007C3BF2">
      <w:pPr>
        <w:spacing w:line="480" w:lineRule="auto"/>
        <w:rPr>
          <w:rFonts w:ascii="Arial" w:hAnsi="Arial" w:cs="Arial"/>
          <w:bCs/>
          <w:sz w:val="22"/>
        </w:rPr>
      </w:pPr>
    </w:p>
    <w:p w14:paraId="7CC8A483" w14:textId="77777777" w:rsidR="00C15421" w:rsidRPr="007F2727" w:rsidRDefault="00C15421" w:rsidP="00C15421">
      <w:pPr>
        <w:spacing w:line="480" w:lineRule="auto"/>
        <w:rPr>
          <w:rFonts w:ascii="Arial" w:hAnsi="Arial" w:cs="Arial"/>
          <w:sz w:val="22"/>
        </w:rPr>
      </w:pPr>
      <w:r w:rsidRPr="007F2727">
        <w:rPr>
          <w:rFonts w:ascii="Arial" w:hAnsi="Arial" w:cs="Arial"/>
          <w:sz w:val="22"/>
        </w:rPr>
        <w:t xml:space="preserve">Many of the witness statements were joint witness statements but some files contained statements from both </w:t>
      </w:r>
      <w:r w:rsidR="00EE5C46" w:rsidRPr="007F2727">
        <w:rPr>
          <w:rFonts w:ascii="Arial" w:hAnsi="Arial" w:cs="Arial"/>
          <w:sz w:val="22"/>
        </w:rPr>
        <w:t>members of t</w:t>
      </w:r>
      <w:r w:rsidRPr="007F2727">
        <w:rPr>
          <w:rFonts w:ascii="Arial" w:hAnsi="Arial" w:cs="Arial"/>
          <w:sz w:val="22"/>
        </w:rPr>
        <w:t>he commissioning couple</w:t>
      </w:r>
      <w:r w:rsidR="00EE5C46" w:rsidRPr="007F2727">
        <w:rPr>
          <w:rFonts w:ascii="Arial" w:hAnsi="Arial" w:cs="Arial"/>
          <w:sz w:val="22"/>
        </w:rPr>
        <w:t>. They</w:t>
      </w:r>
      <w:r w:rsidRPr="007F2727">
        <w:rPr>
          <w:rFonts w:ascii="Arial" w:hAnsi="Arial" w:cs="Arial"/>
          <w:sz w:val="22"/>
        </w:rPr>
        <w:t xml:space="preserve"> also drafted their statements using the active voice where they put themselves at the centre of the action. This contrasted with the reports of, for example, the PORs, which were written in a passive voice where the subjects (commissioning couple or surrogate) are described as being acted upon rather than doing the action</w:t>
      </w:r>
      <w:r w:rsidR="00EE5C46" w:rsidRPr="007F2727">
        <w:rPr>
          <w:rFonts w:ascii="Arial" w:hAnsi="Arial" w:cs="Arial"/>
          <w:sz w:val="22"/>
        </w:rPr>
        <w:t xml:space="preserve"> (see further discussion in sections 4 and 5)</w:t>
      </w:r>
      <w:r w:rsidRPr="007F2727">
        <w:rPr>
          <w:rFonts w:ascii="Arial" w:hAnsi="Arial" w:cs="Arial"/>
          <w:sz w:val="22"/>
        </w:rPr>
        <w:t xml:space="preserve">. </w:t>
      </w:r>
    </w:p>
    <w:p w14:paraId="385C2C21" w14:textId="77777777" w:rsidR="00C15421" w:rsidRPr="007F2727" w:rsidRDefault="00C15421" w:rsidP="00C15421">
      <w:pPr>
        <w:spacing w:line="480" w:lineRule="auto"/>
        <w:rPr>
          <w:rFonts w:ascii="Arial" w:hAnsi="Arial" w:cs="Arial"/>
          <w:sz w:val="22"/>
        </w:rPr>
      </w:pPr>
    </w:p>
    <w:p w14:paraId="4315AF40" w14:textId="77777777" w:rsidR="00C15421" w:rsidRPr="007F2727" w:rsidRDefault="00C15421" w:rsidP="00C15421">
      <w:pPr>
        <w:spacing w:line="480" w:lineRule="auto"/>
        <w:rPr>
          <w:rFonts w:ascii="Arial" w:hAnsi="Arial" w:cs="Arial"/>
          <w:sz w:val="22"/>
        </w:rPr>
      </w:pPr>
      <w:r w:rsidRPr="007F2727">
        <w:rPr>
          <w:rFonts w:ascii="Arial" w:hAnsi="Arial" w:cs="Arial"/>
          <w:sz w:val="22"/>
        </w:rPr>
        <w:t xml:space="preserve">In terms of the tenor of the data there was a marked difference to be found in the written accounts of the PORs and those of the commissioning couple. As one might expect, the degree of formality was much higher in parental order reports than in the written witness statements, particularly where those witness statements had been written by couples acting as litigants in person. For those few couples who adopted a </w:t>
      </w:r>
      <w:r w:rsidRPr="007F2727">
        <w:rPr>
          <w:rFonts w:ascii="Arial" w:hAnsi="Arial" w:cs="Arial"/>
          <w:sz w:val="22"/>
        </w:rPr>
        <w:lastRenderedPageBreak/>
        <w:t>tenor of formality this meant that the self-revealing nature of the language was hidden (this is discussed further in section 5).</w:t>
      </w:r>
    </w:p>
    <w:p w14:paraId="31F10C1C" w14:textId="77777777" w:rsidR="00C15421" w:rsidRPr="007F2727" w:rsidRDefault="00C15421" w:rsidP="00C15421">
      <w:pPr>
        <w:spacing w:line="480" w:lineRule="auto"/>
        <w:rPr>
          <w:rFonts w:ascii="Arial" w:hAnsi="Arial" w:cs="Arial"/>
          <w:sz w:val="22"/>
        </w:rPr>
      </w:pPr>
    </w:p>
    <w:p w14:paraId="076A4A31" w14:textId="77777777" w:rsidR="00C15421" w:rsidRPr="007F2727" w:rsidRDefault="00C15421" w:rsidP="00C15421">
      <w:pPr>
        <w:spacing w:line="480" w:lineRule="auto"/>
        <w:rPr>
          <w:rFonts w:ascii="Arial" w:hAnsi="Arial" w:cs="Arial"/>
          <w:sz w:val="22"/>
        </w:rPr>
      </w:pPr>
      <w:r w:rsidRPr="007F2727">
        <w:rPr>
          <w:rFonts w:ascii="Arial" w:hAnsi="Arial" w:cs="Arial"/>
          <w:sz w:val="22"/>
        </w:rPr>
        <w:t>PORs predomina</w:t>
      </w:r>
      <w:r w:rsidR="007743AA">
        <w:rPr>
          <w:rFonts w:ascii="Arial" w:hAnsi="Arial" w:cs="Arial"/>
          <w:sz w:val="22"/>
        </w:rPr>
        <w:t>n</w:t>
      </w:r>
      <w:r w:rsidRPr="007F2727">
        <w:rPr>
          <w:rFonts w:ascii="Arial" w:hAnsi="Arial" w:cs="Arial"/>
          <w:sz w:val="22"/>
        </w:rPr>
        <w:t>tly adopted a style of reporting the commissioning couples’ experiences that was biographical in nature but where</w:t>
      </w:r>
      <w:r w:rsidR="008C5105">
        <w:rPr>
          <w:rFonts w:ascii="Arial" w:hAnsi="Arial" w:cs="Arial"/>
          <w:sz w:val="22"/>
        </w:rPr>
        <w:t xml:space="preserve"> in some instances</w:t>
      </w:r>
      <w:r w:rsidRPr="007F2727">
        <w:rPr>
          <w:rFonts w:ascii="Arial" w:hAnsi="Arial" w:cs="Arial"/>
          <w:sz w:val="22"/>
        </w:rPr>
        <w:t xml:space="preserve"> the POR </w:t>
      </w:r>
      <w:r w:rsidR="008C5105">
        <w:rPr>
          <w:rFonts w:ascii="Arial" w:hAnsi="Arial" w:cs="Arial"/>
          <w:sz w:val="22"/>
        </w:rPr>
        <w:t xml:space="preserve">would </w:t>
      </w:r>
      <w:r w:rsidRPr="007F2727">
        <w:rPr>
          <w:rFonts w:ascii="Arial" w:hAnsi="Arial" w:cs="Arial"/>
          <w:sz w:val="22"/>
        </w:rPr>
        <w:t>also cast their own identity in to the commissioning couples’ stories through</w:t>
      </w:r>
      <w:r w:rsidR="008C5105">
        <w:rPr>
          <w:rFonts w:ascii="Arial" w:hAnsi="Arial" w:cs="Arial"/>
          <w:sz w:val="22"/>
        </w:rPr>
        <w:t xml:space="preserve"> their own</w:t>
      </w:r>
      <w:r w:rsidRPr="007F2727">
        <w:rPr>
          <w:rFonts w:ascii="Arial" w:hAnsi="Arial" w:cs="Arial"/>
          <w:sz w:val="22"/>
        </w:rPr>
        <w:t xml:space="preserve"> choice of words (this is discussed further in section 6). </w:t>
      </w:r>
    </w:p>
    <w:p w14:paraId="13AD003D" w14:textId="77777777" w:rsidR="00C15421" w:rsidRPr="007F2727" w:rsidRDefault="00C15421" w:rsidP="00C15421">
      <w:pPr>
        <w:spacing w:line="480" w:lineRule="auto"/>
        <w:rPr>
          <w:rFonts w:ascii="Arial" w:hAnsi="Arial" w:cs="Arial"/>
          <w:sz w:val="22"/>
        </w:rPr>
      </w:pPr>
    </w:p>
    <w:p w14:paraId="6EEECDBE" w14:textId="77777777" w:rsidR="00C15421" w:rsidRPr="007F2727" w:rsidRDefault="00C15421" w:rsidP="00C15421">
      <w:pPr>
        <w:spacing w:line="480" w:lineRule="auto"/>
        <w:rPr>
          <w:rFonts w:ascii="Arial" w:hAnsi="Arial" w:cs="Arial"/>
          <w:sz w:val="22"/>
        </w:rPr>
      </w:pPr>
      <w:r w:rsidRPr="007F2727">
        <w:rPr>
          <w:rFonts w:ascii="Arial" w:hAnsi="Arial" w:cs="Arial"/>
          <w:sz w:val="22"/>
        </w:rPr>
        <w:t>Whilst commissioning couples and the judiciary used metaphors to express emotions or warnings, metaphors were not used by PORs or lawyers who</w:t>
      </w:r>
      <w:r w:rsidR="001F6331" w:rsidRPr="007F2727">
        <w:rPr>
          <w:rFonts w:ascii="Arial" w:hAnsi="Arial" w:cs="Arial"/>
          <w:sz w:val="22"/>
        </w:rPr>
        <w:t xml:space="preserve"> instead</w:t>
      </w:r>
      <w:r w:rsidRPr="007F2727">
        <w:rPr>
          <w:rFonts w:ascii="Arial" w:hAnsi="Arial" w:cs="Arial"/>
          <w:sz w:val="22"/>
        </w:rPr>
        <w:t xml:space="preserve"> adopted a regulatory style of reporting. The judicial use of cautionary metaphors to impart warnings was sensory in nature and this is discussed in section 7</w:t>
      </w:r>
      <w:r w:rsidR="001F6331" w:rsidRPr="007F2727">
        <w:rPr>
          <w:rFonts w:ascii="Arial" w:hAnsi="Arial" w:cs="Arial"/>
          <w:sz w:val="22"/>
        </w:rPr>
        <w:t xml:space="preserve">. </w:t>
      </w:r>
      <w:r w:rsidRPr="007F2727">
        <w:rPr>
          <w:rFonts w:ascii="Arial" w:hAnsi="Arial" w:cs="Arial"/>
          <w:sz w:val="22"/>
        </w:rPr>
        <w:t xml:space="preserve">In contrast </w:t>
      </w:r>
      <w:r w:rsidR="001F6331" w:rsidRPr="007F2727">
        <w:rPr>
          <w:rFonts w:ascii="Arial" w:hAnsi="Arial" w:cs="Arial"/>
          <w:sz w:val="22"/>
        </w:rPr>
        <w:t xml:space="preserve">to </w:t>
      </w:r>
      <w:r w:rsidR="00E439D6" w:rsidRPr="007F2727">
        <w:rPr>
          <w:rFonts w:ascii="Arial" w:hAnsi="Arial" w:cs="Arial"/>
          <w:sz w:val="22"/>
        </w:rPr>
        <w:t xml:space="preserve">the </w:t>
      </w:r>
      <w:r w:rsidR="001F6331" w:rsidRPr="007F2727">
        <w:rPr>
          <w:rFonts w:ascii="Arial" w:hAnsi="Arial" w:cs="Arial"/>
          <w:sz w:val="22"/>
        </w:rPr>
        <w:t>judicial caution</w:t>
      </w:r>
      <w:r w:rsidR="00E439D6" w:rsidRPr="007F2727">
        <w:rPr>
          <w:rFonts w:ascii="Arial" w:hAnsi="Arial" w:cs="Arial"/>
          <w:sz w:val="22"/>
        </w:rPr>
        <w:t>ary messages</w:t>
      </w:r>
      <w:r w:rsidR="001F6331" w:rsidRPr="007F2727">
        <w:rPr>
          <w:rFonts w:ascii="Arial" w:hAnsi="Arial" w:cs="Arial"/>
          <w:sz w:val="22"/>
        </w:rPr>
        <w:t xml:space="preserve"> </w:t>
      </w:r>
      <w:r w:rsidRPr="007F2727">
        <w:rPr>
          <w:rFonts w:ascii="Arial" w:hAnsi="Arial" w:cs="Arial"/>
          <w:sz w:val="22"/>
        </w:rPr>
        <w:t>the commissioning couples</w:t>
      </w:r>
      <w:r w:rsidR="00E439D6" w:rsidRPr="007F2727">
        <w:rPr>
          <w:rFonts w:ascii="Arial" w:hAnsi="Arial" w:cs="Arial"/>
          <w:sz w:val="22"/>
        </w:rPr>
        <w:t>’</w:t>
      </w:r>
      <w:r w:rsidRPr="007F2727">
        <w:rPr>
          <w:rFonts w:ascii="Arial" w:hAnsi="Arial" w:cs="Arial"/>
          <w:sz w:val="22"/>
        </w:rPr>
        <w:t xml:space="preserve"> use of metaphors served to reframe international surrogacy as mutualistic and collaborative and this is discussed further in section 5. </w:t>
      </w:r>
    </w:p>
    <w:p w14:paraId="5A57EAF5" w14:textId="77777777" w:rsidR="00C15421" w:rsidRPr="007F2727" w:rsidRDefault="00C15421" w:rsidP="007C3BF2">
      <w:pPr>
        <w:spacing w:line="480" w:lineRule="auto"/>
        <w:rPr>
          <w:rFonts w:ascii="Arial" w:hAnsi="Arial" w:cs="Arial"/>
          <w:bCs/>
          <w:sz w:val="22"/>
        </w:rPr>
      </w:pPr>
    </w:p>
    <w:p w14:paraId="79DD996F" w14:textId="77777777" w:rsidR="006C2CF8" w:rsidRPr="007F2727" w:rsidRDefault="005E6368" w:rsidP="008B25B9">
      <w:pPr>
        <w:tabs>
          <w:tab w:val="left" w:pos="2620"/>
        </w:tabs>
        <w:spacing w:line="480" w:lineRule="auto"/>
        <w:rPr>
          <w:rFonts w:ascii="Arial" w:hAnsi="Arial"/>
          <w:sz w:val="22"/>
        </w:rPr>
      </w:pPr>
      <w:r w:rsidRPr="007F2727">
        <w:rPr>
          <w:rFonts w:ascii="Arial" w:hAnsi="Arial" w:cs="Arial"/>
          <w:b/>
          <w:bCs/>
          <w:sz w:val="22"/>
        </w:rPr>
        <w:t>4.</w:t>
      </w:r>
      <w:r w:rsidR="005F2327" w:rsidRPr="007F2727">
        <w:rPr>
          <w:rFonts w:ascii="Arial" w:hAnsi="Arial" w:cs="Arial"/>
          <w:b/>
          <w:bCs/>
          <w:sz w:val="22"/>
        </w:rPr>
        <w:t xml:space="preserve">  </w:t>
      </w:r>
      <w:r w:rsidRPr="007F2727">
        <w:rPr>
          <w:rFonts w:ascii="Arial" w:hAnsi="Arial" w:cs="Arial"/>
          <w:b/>
          <w:bCs/>
          <w:sz w:val="22"/>
        </w:rPr>
        <w:t>The Lawyers’ Frame</w:t>
      </w:r>
    </w:p>
    <w:p w14:paraId="45542EC3" w14:textId="77777777" w:rsidR="00084638" w:rsidRPr="007F2727" w:rsidRDefault="00084638" w:rsidP="00084638">
      <w:pPr>
        <w:tabs>
          <w:tab w:val="left" w:pos="2620"/>
        </w:tabs>
        <w:spacing w:line="480" w:lineRule="auto"/>
        <w:rPr>
          <w:rFonts w:ascii="Arial" w:hAnsi="Arial"/>
          <w:sz w:val="22"/>
        </w:rPr>
      </w:pPr>
      <w:r w:rsidRPr="007F2727">
        <w:rPr>
          <w:rFonts w:ascii="Arial" w:hAnsi="Arial"/>
          <w:sz w:val="22"/>
        </w:rPr>
        <w:t xml:space="preserve">Less than half of the couples in the sample were legally represented (34%, N=11). Most of the witness statements were therefore prepared by </w:t>
      </w:r>
      <w:r w:rsidR="00B83015" w:rsidRPr="007F2727">
        <w:rPr>
          <w:rFonts w:ascii="Arial" w:hAnsi="Arial"/>
          <w:sz w:val="22"/>
        </w:rPr>
        <w:t xml:space="preserve">the </w:t>
      </w:r>
      <w:r w:rsidRPr="007F2727">
        <w:rPr>
          <w:rFonts w:ascii="Arial" w:hAnsi="Arial"/>
          <w:sz w:val="22"/>
        </w:rPr>
        <w:t xml:space="preserve">couples </w:t>
      </w:r>
      <w:r w:rsidR="00B83015" w:rsidRPr="007F2727">
        <w:rPr>
          <w:rFonts w:ascii="Arial" w:hAnsi="Arial"/>
          <w:sz w:val="22"/>
        </w:rPr>
        <w:t xml:space="preserve">themselves who </w:t>
      </w:r>
      <w:r w:rsidRPr="007F2727">
        <w:rPr>
          <w:rFonts w:ascii="Arial" w:hAnsi="Arial"/>
          <w:sz w:val="22"/>
        </w:rPr>
        <w:t>act</w:t>
      </w:r>
      <w:r w:rsidR="00B83015" w:rsidRPr="007F2727">
        <w:rPr>
          <w:rFonts w:ascii="Arial" w:hAnsi="Arial"/>
          <w:sz w:val="22"/>
        </w:rPr>
        <w:t>ed</w:t>
      </w:r>
      <w:r w:rsidRPr="007F2727">
        <w:rPr>
          <w:rFonts w:ascii="Arial" w:hAnsi="Arial"/>
          <w:sz w:val="22"/>
        </w:rPr>
        <w:t xml:space="preserve"> as litigants in person. Th</w:t>
      </w:r>
      <w:r w:rsidR="00B83015" w:rsidRPr="007F2727">
        <w:rPr>
          <w:rFonts w:ascii="Arial" w:hAnsi="Arial"/>
          <w:sz w:val="22"/>
        </w:rPr>
        <w:t>ose</w:t>
      </w:r>
      <w:r w:rsidRPr="007F2727">
        <w:rPr>
          <w:rFonts w:ascii="Arial" w:hAnsi="Arial"/>
          <w:sz w:val="22"/>
        </w:rPr>
        <w:t xml:space="preserve"> witness statements prepared by lawyers followed the procedural formalities </w:t>
      </w:r>
      <w:r w:rsidR="00B83015" w:rsidRPr="007F2727">
        <w:rPr>
          <w:rFonts w:ascii="Arial" w:hAnsi="Arial"/>
          <w:sz w:val="22"/>
        </w:rPr>
        <w:t xml:space="preserve">expected </w:t>
      </w:r>
      <w:r w:rsidRPr="007F2727">
        <w:rPr>
          <w:rFonts w:ascii="Arial" w:hAnsi="Arial"/>
          <w:sz w:val="22"/>
        </w:rPr>
        <w:t xml:space="preserve">for the drafting of </w:t>
      </w:r>
      <w:r w:rsidR="00B83015" w:rsidRPr="007F2727">
        <w:rPr>
          <w:rFonts w:ascii="Arial" w:hAnsi="Arial"/>
          <w:sz w:val="22"/>
        </w:rPr>
        <w:t xml:space="preserve">such </w:t>
      </w:r>
      <w:r w:rsidRPr="007F2727">
        <w:rPr>
          <w:rFonts w:ascii="Arial" w:hAnsi="Arial"/>
          <w:sz w:val="22"/>
        </w:rPr>
        <w:t>documents.</w:t>
      </w:r>
      <w:r w:rsidRPr="007F2727">
        <w:rPr>
          <w:rStyle w:val="FootnoteReference"/>
          <w:rFonts w:ascii="Arial" w:hAnsi="Arial"/>
          <w:sz w:val="22"/>
        </w:rPr>
        <w:footnoteReference w:id="45"/>
      </w:r>
      <w:r w:rsidRPr="007F2727">
        <w:rPr>
          <w:rFonts w:ascii="Arial" w:hAnsi="Arial"/>
          <w:sz w:val="22"/>
        </w:rPr>
        <w:t xml:space="preserve"> This</w:t>
      </w:r>
      <w:r w:rsidR="00B83015" w:rsidRPr="007F2727">
        <w:rPr>
          <w:rFonts w:ascii="Arial" w:hAnsi="Arial"/>
          <w:sz w:val="22"/>
        </w:rPr>
        <w:t xml:space="preserve"> was</w:t>
      </w:r>
      <w:r w:rsidR="007743AA">
        <w:rPr>
          <w:rFonts w:ascii="Arial" w:hAnsi="Arial"/>
          <w:sz w:val="22"/>
        </w:rPr>
        <w:t>,</w:t>
      </w:r>
      <w:r w:rsidR="00B83015" w:rsidRPr="007F2727">
        <w:rPr>
          <w:rFonts w:ascii="Arial" w:hAnsi="Arial"/>
          <w:sz w:val="22"/>
        </w:rPr>
        <w:t xml:space="preserve"> as one might expect, in stark contrast</w:t>
      </w:r>
      <w:r w:rsidRPr="007F2727">
        <w:rPr>
          <w:rFonts w:ascii="Arial" w:hAnsi="Arial"/>
          <w:sz w:val="22"/>
        </w:rPr>
        <w:t xml:space="preserve"> </w:t>
      </w:r>
      <w:r w:rsidR="00B83015" w:rsidRPr="007F2727">
        <w:rPr>
          <w:rFonts w:ascii="Arial" w:hAnsi="Arial"/>
          <w:sz w:val="22"/>
        </w:rPr>
        <w:t xml:space="preserve">to </w:t>
      </w:r>
      <w:r w:rsidRPr="007F2727">
        <w:rPr>
          <w:rFonts w:ascii="Arial" w:hAnsi="Arial"/>
          <w:sz w:val="22"/>
        </w:rPr>
        <w:t>the 15 statements prepared by the applicant</w:t>
      </w:r>
      <w:r w:rsidR="00B83015" w:rsidRPr="007F2727">
        <w:rPr>
          <w:rFonts w:ascii="Arial" w:hAnsi="Arial"/>
          <w:sz w:val="22"/>
        </w:rPr>
        <w:t xml:space="preserve"> commissioning couples</w:t>
      </w:r>
      <w:r w:rsidRPr="007F2727">
        <w:rPr>
          <w:rFonts w:ascii="Arial" w:hAnsi="Arial"/>
          <w:sz w:val="22"/>
        </w:rPr>
        <w:t xml:space="preserve"> </w:t>
      </w:r>
      <w:r w:rsidR="00B83015" w:rsidRPr="007F2727">
        <w:rPr>
          <w:rFonts w:ascii="Arial" w:hAnsi="Arial"/>
          <w:sz w:val="22"/>
        </w:rPr>
        <w:t xml:space="preserve">which </w:t>
      </w:r>
      <w:r w:rsidRPr="007F2727">
        <w:rPr>
          <w:rFonts w:ascii="Arial" w:hAnsi="Arial"/>
          <w:sz w:val="22"/>
        </w:rPr>
        <w:t>did not follow the procedural requirements</w:t>
      </w:r>
      <w:r w:rsidR="00B83015" w:rsidRPr="007F2727">
        <w:rPr>
          <w:rFonts w:ascii="Arial" w:hAnsi="Arial"/>
          <w:sz w:val="22"/>
        </w:rPr>
        <w:t>.</w:t>
      </w:r>
      <w:r w:rsidRPr="007F2727">
        <w:rPr>
          <w:rFonts w:ascii="Arial" w:hAnsi="Arial"/>
          <w:sz w:val="22"/>
        </w:rPr>
        <w:t xml:space="preserve"> </w:t>
      </w:r>
      <w:r w:rsidR="00B83015" w:rsidRPr="007F2727">
        <w:rPr>
          <w:rFonts w:ascii="Arial" w:hAnsi="Arial"/>
          <w:sz w:val="22"/>
        </w:rPr>
        <w:t>F</w:t>
      </w:r>
      <w:r w:rsidRPr="007F2727">
        <w:rPr>
          <w:rFonts w:ascii="Arial" w:hAnsi="Arial"/>
          <w:sz w:val="22"/>
        </w:rPr>
        <w:t>or example, many of them contained un-numbered paragraphs and did not end with a statement of truth.</w:t>
      </w:r>
      <w:r w:rsidRPr="007F2727">
        <w:rPr>
          <w:rStyle w:val="FootnoteReference"/>
          <w:rFonts w:ascii="Arial" w:hAnsi="Arial"/>
          <w:sz w:val="22"/>
        </w:rPr>
        <w:footnoteReference w:id="46"/>
      </w:r>
    </w:p>
    <w:p w14:paraId="4992B6FF" w14:textId="77777777" w:rsidR="00084638" w:rsidRPr="007F2727" w:rsidRDefault="00084638" w:rsidP="00084638">
      <w:pPr>
        <w:spacing w:line="480" w:lineRule="auto"/>
        <w:rPr>
          <w:rFonts w:ascii="Arial" w:hAnsi="Arial" w:cs="Arial"/>
          <w:sz w:val="22"/>
        </w:rPr>
      </w:pPr>
    </w:p>
    <w:p w14:paraId="1C832B68" w14:textId="77777777" w:rsidR="00084638" w:rsidRPr="007F2727" w:rsidRDefault="00084638" w:rsidP="00084638">
      <w:pPr>
        <w:tabs>
          <w:tab w:val="left" w:pos="2620"/>
        </w:tabs>
        <w:spacing w:line="480" w:lineRule="auto"/>
        <w:rPr>
          <w:rFonts w:ascii="Arial" w:hAnsi="Arial"/>
          <w:sz w:val="22"/>
        </w:rPr>
      </w:pPr>
      <w:r w:rsidRPr="007F2727">
        <w:rPr>
          <w:rFonts w:ascii="Arial" w:hAnsi="Arial"/>
          <w:sz w:val="22"/>
        </w:rPr>
        <w:lastRenderedPageBreak/>
        <w:t xml:space="preserve">The story is told by the lawyers in a sequential way and through a cognitive process that has been pre-constructed during interviews with the client (the couples). </w:t>
      </w:r>
      <w:r w:rsidR="00782508" w:rsidRPr="007F2727">
        <w:rPr>
          <w:rFonts w:ascii="Arial" w:hAnsi="Arial"/>
          <w:sz w:val="22"/>
        </w:rPr>
        <w:t xml:space="preserve">As </w:t>
      </w:r>
      <w:proofErr w:type="spellStart"/>
      <w:r w:rsidR="00782508" w:rsidRPr="007F2727">
        <w:rPr>
          <w:rFonts w:ascii="Arial" w:hAnsi="Arial"/>
          <w:sz w:val="22"/>
        </w:rPr>
        <w:t>Camiss</w:t>
      </w:r>
      <w:proofErr w:type="spellEnd"/>
      <w:r w:rsidR="00782508" w:rsidRPr="007F2727">
        <w:rPr>
          <w:rStyle w:val="FootnoteReference"/>
          <w:rFonts w:ascii="Arial" w:hAnsi="Arial"/>
          <w:sz w:val="22"/>
        </w:rPr>
        <w:footnoteReference w:id="47"/>
      </w:r>
      <w:r w:rsidR="00782508" w:rsidRPr="007F2727">
        <w:rPr>
          <w:rFonts w:ascii="Arial" w:hAnsi="Arial"/>
          <w:sz w:val="22"/>
        </w:rPr>
        <w:t xml:space="preserve"> notes, lawyers’ reproduction of narratives in court focuses on details that are relevant to the case and in order to do so they listen to narratives with a particular purpose in mind for the reproduction. </w:t>
      </w:r>
      <w:r w:rsidRPr="007F2727">
        <w:rPr>
          <w:rFonts w:ascii="Arial" w:hAnsi="Arial"/>
          <w:sz w:val="22"/>
        </w:rPr>
        <w:t>However, the cognitive process of construction is one belonging to the lawyer whilst the actual events are those as narrated through the voice of the applicant (s) but with the lawyer’s own choice of words. The lawyer-constructed witness statements would usually start with the ‘abstract’ setting out the reason for the story and this might be as simple as ‘I make this statement in support of…’ setting out that it is in support of a parental order application under section 54 of the 2008 Act.</w:t>
      </w:r>
      <w:r w:rsidRPr="007F2727">
        <w:rPr>
          <w:rStyle w:val="FootnoteReference"/>
          <w:rFonts w:ascii="Arial" w:hAnsi="Arial"/>
          <w:sz w:val="22"/>
        </w:rPr>
        <w:footnoteReference w:id="48"/>
      </w:r>
    </w:p>
    <w:p w14:paraId="6F24F54B" w14:textId="77777777" w:rsidR="00084638" w:rsidRPr="007F2727" w:rsidRDefault="00084638" w:rsidP="00084638">
      <w:pPr>
        <w:spacing w:line="480" w:lineRule="auto"/>
        <w:rPr>
          <w:rFonts w:ascii="Arial" w:hAnsi="Arial" w:cs="Arial"/>
          <w:sz w:val="22"/>
        </w:rPr>
      </w:pPr>
    </w:p>
    <w:p w14:paraId="77E32725" w14:textId="77777777" w:rsidR="00084638" w:rsidRPr="007F2727" w:rsidRDefault="00084638" w:rsidP="00084638">
      <w:pPr>
        <w:tabs>
          <w:tab w:val="left" w:pos="2620"/>
        </w:tabs>
        <w:spacing w:line="480" w:lineRule="auto"/>
        <w:rPr>
          <w:rFonts w:ascii="Arial" w:hAnsi="Arial"/>
          <w:sz w:val="22"/>
        </w:rPr>
      </w:pPr>
      <w:proofErr w:type="spellStart"/>
      <w:r w:rsidRPr="007F2727">
        <w:rPr>
          <w:rFonts w:ascii="Arial" w:hAnsi="Arial"/>
          <w:sz w:val="22"/>
        </w:rPr>
        <w:t>Labov</w:t>
      </w:r>
      <w:proofErr w:type="spellEnd"/>
      <w:r w:rsidRPr="007F2727">
        <w:rPr>
          <w:rStyle w:val="FootnoteReference"/>
          <w:rFonts w:ascii="Arial" w:hAnsi="Arial"/>
          <w:sz w:val="22"/>
        </w:rPr>
        <w:footnoteReference w:id="49"/>
      </w:r>
      <w:r w:rsidRPr="007F2727">
        <w:rPr>
          <w:rFonts w:ascii="Arial" w:hAnsi="Arial"/>
          <w:sz w:val="22"/>
        </w:rPr>
        <w:t xml:space="preserve"> notes that stories are usually narrated pre-construction through ‘a recursive process’</w:t>
      </w:r>
      <w:r w:rsidRPr="007F2727">
        <w:rPr>
          <w:rStyle w:val="FootnoteReference"/>
          <w:rFonts w:ascii="Arial" w:hAnsi="Arial"/>
          <w:sz w:val="22"/>
        </w:rPr>
        <w:footnoteReference w:id="50"/>
      </w:r>
      <w:r w:rsidRPr="007F2727">
        <w:rPr>
          <w:rFonts w:ascii="Arial" w:hAnsi="Arial"/>
          <w:sz w:val="22"/>
        </w:rPr>
        <w:t xml:space="preserve"> </w:t>
      </w:r>
      <w:r w:rsidR="00D806B2" w:rsidRPr="007F2727">
        <w:rPr>
          <w:rFonts w:ascii="Arial" w:hAnsi="Arial"/>
          <w:sz w:val="22"/>
        </w:rPr>
        <w:t>because</w:t>
      </w:r>
      <w:r w:rsidRPr="007F2727">
        <w:rPr>
          <w:rFonts w:ascii="Arial" w:hAnsi="Arial"/>
          <w:sz w:val="22"/>
        </w:rPr>
        <w:t xml:space="preserve"> there may be events preceding the main event that need to be reported first </w:t>
      </w:r>
      <w:r w:rsidR="002A690A" w:rsidRPr="007F2727">
        <w:rPr>
          <w:rFonts w:ascii="Arial" w:hAnsi="Arial"/>
          <w:sz w:val="22"/>
        </w:rPr>
        <w:t>for explanatory purposes.</w:t>
      </w:r>
      <w:r w:rsidR="00D806B2" w:rsidRPr="007F2727">
        <w:rPr>
          <w:rFonts w:ascii="Arial" w:hAnsi="Arial"/>
          <w:sz w:val="22"/>
        </w:rPr>
        <w:t xml:space="preserve"> Therefore the six stages of story-telling do not necessarily follow a hierarchical order when recursive pre-constructions are involved. </w:t>
      </w:r>
      <w:proofErr w:type="spellStart"/>
      <w:r w:rsidRPr="007F2727">
        <w:rPr>
          <w:rFonts w:ascii="Arial" w:hAnsi="Arial"/>
          <w:sz w:val="22"/>
        </w:rPr>
        <w:t>Labov</w:t>
      </w:r>
      <w:proofErr w:type="spellEnd"/>
      <w:r w:rsidRPr="007F2727">
        <w:rPr>
          <w:rFonts w:ascii="Arial" w:hAnsi="Arial"/>
          <w:sz w:val="22"/>
        </w:rPr>
        <w:t xml:space="preserve"> notes that the nature of ‘recursive pre-constructions’ are that they are not repeated in the telling of the main event although they explain the event itself. It is still essentially part of the </w:t>
      </w:r>
      <w:r w:rsidR="00D806B2" w:rsidRPr="007F2727">
        <w:rPr>
          <w:rFonts w:ascii="Arial" w:hAnsi="Arial"/>
          <w:sz w:val="22"/>
        </w:rPr>
        <w:t>‘</w:t>
      </w:r>
      <w:r w:rsidRPr="007F2727">
        <w:rPr>
          <w:rFonts w:ascii="Arial" w:hAnsi="Arial"/>
          <w:sz w:val="22"/>
        </w:rPr>
        <w:t>orientation</w:t>
      </w:r>
      <w:r w:rsidR="00D806B2" w:rsidRPr="007F2727">
        <w:rPr>
          <w:rFonts w:ascii="Arial" w:hAnsi="Arial"/>
          <w:sz w:val="22"/>
        </w:rPr>
        <w:t>’</w:t>
      </w:r>
      <w:r w:rsidRPr="007F2727">
        <w:rPr>
          <w:rFonts w:ascii="Arial" w:hAnsi="Arial"/>
          <w:sz w:val="22"/>
        </w:rPr>
        <w:t xml:space="preserve"> because it </w:t>
      </w:r>
      <w:r w:rsidR="00D806B2" w:rsidRPr="007F2727">
        <w:rPr>
          <w:rFonts w:ascii="Arial" w:hAnsi="Arial"/>
          <w:sz w:val="22"/>
        </w:rPr>
        <w:t>sets the scene for</w:t>
      </w:r>
      <w:r w:rsidRPr="007F2727">
        <w:rPr>
          <w:rFonts w:ascii="Arial" w:hAnsi="Arial"/>
          <w:sz w:val="22"/>
        </w:rPr>
        <w:t xml:space="preserve"> the </w:t>
      </w:r>
      <w:r w:rsidR="00D806B2" w:rsidRPr="007F2727">
        <w:rPr>
          <w:rFonts w:ascii="Arial" w:hAnsi="Arial"/>
          <w:sz w:val="22"/>
        </w:rPr>
        <w:t>reader</w:t>
      </w:r>
      <w:r w:rsidRPr="007F2727">
        <w:rPr>
          <w:rFonts w:ascii="Arial" w:hAnsi="Arial"/>
          <w:sz w:val="22"/>
        </w:rPr>
        <w:t xml:space="preserve"> but it starts backwards rather than forwards. By following a recursive process in the story-telling this moves the story on to true ‘orientation’ once more and then ‘complicating action’, ‘evaluation’ and so on. This allows the story to re-start in the normal sequence of the six stages so that it </w:t>
      </w:r>
      <w:r w:rsidR="00C8346C" w:rsidRPr="007F2727">
        <w:rPr>
          <w:rFonts w:ascii="Arial" w:hAnsi="Arial"/>
          <w:sz w:val="22"/>
        </w:rPr>
        <w:t>does become</w:t>
      </w:r>
      <w:r w:rsidRPr="007F2727">
        <w:rPr>
          <w:rFonts w:ascii="Arial" w:hAnsi="Arial"/>
          <w:sz w:val="22"/>
        </w:rPr>
        <w:t xml:space="preserve"> progressive. However, this </w:t>
      </w:r>
      <w:r w:rsidRPr="007F2727">
        <w:rPr>
          <w:rFonts w:ascii="Arial" w:hAnsi="Arial"/>
          <w:sz w:val="22"/>
        </w:rPr>
        <w:lastRenderedPageBreak/>
        <w:t>time the detail is embedded in the narration including key dates, time, place and responses.</w:t>
      </w:r>
    </w:p>
    <w:p w14:paraId="60619BAB" w14:textId="77777777" w:rsidR="00084638" w:rsidRPr="007F2727" w:rsidRDefault="00084638" w:rsidP="00084638">
      <w:pPr>
        <w:tabs>
          <w:tab w:val="left" w:pos="2620"/>
        </w:tabs>
        <w:spacing w:line="480" w:lineRule="auto"/>
        <w:rPr>
          <w:rFonts w:ascii="Arial" w:hAnsi="Arial"/>
          <w:sz w:val="22"/>
        </w:rPr>
      </w:pPr>
    </w:p>
    <w:p w14:paraId="1B9DD83F" w14:textId="77777777" w:rsidR="00084638" w:rsidRDefault="00084638" w:rsidP="00084638">
      <w:pPr>
        <w:tabs>
          <w:tab w:val="left" w:pos="2620"/>
        </w:tabs>
        <w:spacing w:line="480" w:lineRule="auto"/>
        <w:rPr>
          <w:rFonts w:ascii="Arial" w:hAnsi="Arial"/>
          <w:sz w:val="22"/>
        </w:rPr>
      </w:pPr>
      <w:r w:rsidRPr="007F2727">
        <w:rPr>
          <w:rFonts w:ascii="Arial" w:hAnsi="Arial"/>
          <w:sz w:val="22"/>
        </w:rPr>
        <w:t>The progressive part</w:t>
      </w:r>
      <w:r w:rsidR="00C8346C" w:rsidRPr="007F2727">
        <w:rPr>
          <w:rFonts w:ascii="Arial" w:hAnsi="Arial"/>
          <w:sz w:val="22"/>
        </w:rPr>
        <w:t>s</w:t>
      </w:r>
      <w:r w:rsidRPr="007F2727">
        <w:rPr>
          <w:rFonts w:ascii="Arial" w:hAnsi="Arial"/>
          <w:sz w:val="22"/>
        </w:rPr>
        <w:t xml:space="preserve"> of the narrative</w:t>
      </w:r>
      <w:r w:rsidR="00C8346C" w:rsidRPr="007F2727">
        <w:rPr>
          <w:rFonts w:ascii="Arial" w:hAnsi="Arial"/>
          <w:sz w:val="22"/>
        </w:rPr>
        <w:t>s</w:t>
      </w:r>
      <w:r w:rsidRPr="007F2727">
        <w:rPr>
          <w:rFonts w:ascii="Arial" w:hAnsi="Arial"/>
          <w:sz w:val="22"/>
        </w:rPr>
        <w:t xml:space="preserve"> focuse</w:t>
      </w:r>
      <w:r w:rsidR="00C8346C" w:rsidRPr="007F2727">
        <w:rPr>
          <w:rFonts w:ascii="Arial" w:hAnsi="Arial"/>
          <w:sz w:val="22"/>
        </w:rPr>
        <w:t>d</w:t>
      </w:r>
      <w:r w:rsidRPr="007F2727">
        <w:rPr>
          <w:rFonts w:ascii="Arial" w:hAnsi="Arial"/>
          <w:sz w:val="22"/>
        </w:rPr>
        <w:t xml:space="preserve"> on the event itself. It was notable that the progressive elements of the story were much more disjointed when prepared by the applicants as opposed to the lawyer. </w:t>
      </w:r>
    </w:p>
    <w:p w14:paraId="117DBCA9" w14:textId="77777777" w:rsidR="007743AA" w:rsidRPr="007F2727" w:rsidRDefault="007743AA" w:rsidP="00084638">
      <w:pPr>
        <w:tabs>
          <w:tab w:val="left" w:pos="2620"/>
        </w:tabs>
        <w:spacing w:line="480" w:lineRule="auto"/>
        <w:rPr>
          <w:rFonts w:ascii="Arial" w:hAnsi="Arial"/>
          <w:sz w:val="22"/>
        </w:rPr>
      </w:pPr>
    </w:p>
    <w:p w14:paraId="1FBB55B8" w14:textId="77777777" w:rsidR="00792B3A" w:rsidRPr="007F2727" w:rsidRDefault="00084638" w:rsidP="00792B3A">
      <w:pPr>
        <w:tabs>
          <w:tab w:val="left" w:pos="2620"/>
        </w:tabs>
        <w:spacing w:line="480" w:lineRule="auto"/>
        <w:rPr>
          <w:rFonts w:ascii="Arial" w:hAnsi="Arial"/>
          <w:sz w:val="22"/>
        </w:rPr>
      </w:pPr>
      <w:r w:rsidRPr="007F2727">
        <w:rPr>
          <w:rFonts w:ascii="Arial" w:hAnsi="Arial"/>
          <w:sz w:val="22"/>
        </w:rPr>
        <w:t>The court can therefore receive information in a disjointed and incomplete way from witness statements drafted by applicants.</w:t>
      </w:r>
      <w:r w:rsidR="007775BA" w:rsidRPr="007F2727">
        <w:rPr>
          <w:rFonts w:ascii="Arial" w:hAnsi="Arial"/>
          <w:sz w:val="22"/>
        </w:rPr>
        <w:t xml:space="preserve"> </w:t>
      </w:r>
      <w:r w:rsidR="00792B3A" w:rsidRPr="007F2727">
        <w:rPr>
          <w:rFonts w:ascii="Arial" w:hAnsi="Arial"/>
          <w:sz w:val="22"/>
        </w:rPr>
        <w:t>So for example, if we take file 21 which was drafted by a lawyer, the recursive pre-construction would be as follows:</w:t>
      </w:r>
    </w:p>
    <w:p w14:paraId="70D441C4" w14:textId="77777777" w:rsidR="00792B3A" w:rsidRPr="007F2727" w:rsidRDefault="00792B3A" w:rsidP="00792B3A">
      <w:pPr>
        <w:tabs>
          <w:tab w:val="left" w:pos="2620"/>
        </w:tabs>
        <w:spacing w:line="480" w:lineRule="auto"/>
        <w:rPr>
          <w:rFonts w:ascii="Arial" w:hAnsi="Arial"/>
          <w:sz w:val="22"/>
        </w:rPr>
      </w:pPr>
    </w:p>
    <w:p w14:paraId="19EBF8D0" w14:textId="77777777" w:rsidR="00792B3A" w:rsidRPr="007F2727" w:rsidRDefault="00792B3A" w:rsidP="00792B3A">
      <w:pPr>
        <w:tabs>
          <w:tab w:val="left" w:pos="2620"/>
        </w:tabs>
        <w:spacing w:line="480" w:lineRule="auto"/>
        <w:rPr>
          <w:rFonts w:ascii="Arial" w:hAnsi="Arial"/>
          <w:sz w:val="22"/>
        </w:rPr>
      </w:pPr>
      <w:r w:rsidRPr="007F2727">
        <w:rPr>
          <w:rFonts w:ascii="Arial" w:hAnsi="Arial"/>
          <w:sz w:val="22"/>
        </w:rPr>
        <w:t>Recursive Pre-construction</w:t>
      </w:r>
    </w:p>
    <w:p w14:paraId="0CB4F9BD" w14:textId="77777777" w:rsidR="00792B3A" w:rsidRPr="007F2727" w:rsidRDefault="00792B3A" w:rsidP="00792B3A">
      <w:pPr>
        <w:tabs>
          <w:tab w:val="left" w:pos="2620"/>
        </w:tabs>
        <w:spacing w:line="360" w:lineRule="auto"/>
        <w:ind w:left="720"/>
        <w:rPr>
          <w:rFonts w:ascii="Arial" w:hAnsi="Arial" w:cs="Arial"/>
          <w:i/>
          <w:sz w:val="22"/>
        </w:rPr>
      </w:pPr>
      <w:r w:rsidRPr="007F2727">
        <w:rPr>
          <w:rFonts w:ascii="Arial" w:hAnsi="Arial" w:cs="Arial"/>
          <w:i/>
          <w:sz w:val="22"/>
        </w:rPr>
        <w:t xml:space="preserve">From the outset of our relationship both of us wanted to have children... </w:t>
      </w:r>
    </w:p>
    <w:p w14:paraId="15DD87A7" w14:textId="77777777" w:rsidR="00683900" w:rsidRPr="007F2727" w:rsidRDefault="00683900" w:rsidP="00792B3A">
      <w:pPr>
        <w:tabs>
          <w:tab w:val="left" w:pos="2620"/>
        </w:tabs>
        <w:spacing w:line="360" w:lineRule="auto"/>
        <w:rPr>
          <w:rFonts w:ascii="Arial" w:hAnsi="Arial" w:cs="Arial"/>
          <w:sz w:val="22"/>
        </w:rPr>
      </w:pPr>
    </w:p>
    <w:p w14:paraId="6EA9C9C9" w14:textId="77777777" w:rsidR="00792B3A" w:rsidRPr="007F2727" w:rsidRDefault="00792B3A" w:rsidP="00792B3A">
      <w:pPr>
        <w:tabs>
          <w:tab w:val="left" w:pos="2620"/>
        </w:tabs>
        <w:spacing w:line="360" w:lineRule="auto"/>
        <w:rPr>
          <w:rFonts w:ascii="Arial" w:hAnsi="Arial" w:cs="Arial"/>
          <w:sz w:val="22"/>
        </w:rPr>
      </w:pPr>
      <w:r w:rsidRPr="007F2727">
        <w:rPr>
          <w:rFonts w:ascii="Arial" w:hAnsi="Arial" w:cs="Arial"/>
          <w:sz w:val="22"/>
        </w:rPr>
        <w:t>Orientation</w:t>
      </w:r>
    </w:p>
    <w:p w14:paraId="02AF2619" w14:textId="77777777" w:rsidR="00792B3A" w:rsidRPr="007F2727" w:rsidRDefault="00792B3A" w:rsidP="00792B3A">
      <w:pPr>
        <w:tabs>
          <w:tab w:val="left" w:pos="2620"/>
        </w:tabs>
        <w:spacing w:line="360" w:lineRule="auto"/>
        <w:ind w:left="720"/>
        <w:rPr>
          <w:rFonts w:ascii="Arial" w:hAnsi="Arial" w:cs="Arial"/>
          <w:i/>
          <w:sz w:val="22"/>
        </w:rPr>
      </w:pPr>
      <w:r w:rsidRPr="007F2727">
        <w:rPr>
          <w:rFonts w:ascii="Arial" w:hAnsi="Arial" w:cs="Arial"/>
          <w:i/>
          <w:sz w:val="22"/>
        </w:rPr>
        <w:t>We settled on the idea of surrogacy….We were therefore introduced to the (name of fertility clinic) in (area) in (year) by our (country) surrogacy agency and also put in touch with an egg donor via a separate agency.</w:t>
      </w:r>
    </w:p>
    <w:p w14:paraId="14554D26" w14:textId="77777777" w:rsidR="00683900" w:rsidRPr="007F2727" w:rsidRDefault="00683900" w:rsidP="00792B3A">
      <w:pPr>
        <w:tabs>
          <w:tab w:val="left" w:pos="2620"/>
        </w:tabs>
        <w:spacing w:line="360" w:lineRule="auto"/>
        <w:rPr>
          <w:rFonts w:ascii="Arial" w:hAnsi="Arial"/>
          <w:sz w:val="22"/>
        </w:rPr>
      </w:pPr>
    </w:p>
    <w:p w14:paraId="277D69E6" w14:textId="77777777" w:rsidR="00792B3A" w:rsidRPr="007F2727" w:rsidRDefault="00792B3A" w:rsidP="00792B3A">
      <w:pPr>
        <w:tabs>
          <w:tab w:val="left" w:pos="2620"/>
        </w:tabs>
        <w:spacing w:line="360" w:lineRule="auto"/>
        <w:rPr>
          <w:rFonts w:ascii="Arial" w:hAnsi="Arial"/>
          <w:sz w:val="22"/>
        </w:rPr>
      </w:pPr>
      <w:r w:rsidRPr="007F2727">
        <w:rPr>
          <w:rFonts w:ascii="Arial" w:hAnsi="Arial"/>
          <w:sz w:val="22"/>
        </w:rPr>
        <w:t>Complicating action</w:t>
      </w:r>
    </w:p>
    <w:p w14:paraId="115464CA" w14:textId="77777777" w:rsidR="00792B3A" w:rsidRPr="007F2727" w:rsidRDefault="00792B3A" w:rsidP="00792B3A">
      <w:pPr>
        <w:tabs>
          <w:tab w:val="left" w:pos="2620"/>
        </w:tabs>
        <w:spacing w:line="360" w:lineRule="auto"/>
        <w:ind w:left="720"/>
        <w:rPr>
          <w:rFonts w:ascii="Arial" w:hAnsi="Arial"/>
          <w:i/>
          <w:sz w:val="22"/>
        </w:rPr>
      </w:pPr>
      <w:r w:rsidRPr="007F2727">
        <w:rPr>
          <w:rFonts w:ascii="Arial" w:hAnsi="Arial"/>
          <w:i/>
          <w:sz w:val="22"/>
        </w:rPr>
        <w:t>Following (name of child)’s birth we remained in (country) as there were some issues with the visa.</w:t>
      </w:r>
    </w:p>
    <w:p w14:paraId="6DAB50C1" w14:textId="77777777" w:rsidR="00792B3A" w:rsidRPr="007F2727" w:rsidRDefault="00792B3A" w:rsidP="00792B3A">
      <w:pPr>
        <w:tabs>
          <w:tab w:val="left" w:pos="2620"/>
        </w:tabs>
        <w:spacing w:line="360" w:lineRule="auto"/>
        <w:ind w:left="720"/>
        <w:rPr>
          <w:rFonts w:ascii="Arial" w:hAnsi="Arial" w:cs="Arial"/>
          <w:sz w:val="22"/>
        </w:rPr>
      </w:pPr>
      <w:proofErr w:type="gramStart"/>
      <w:r w:rsidRPr="007F2727">
        <w:rPr>
          <w:rFonts w:ascii="Arial" w:hAnsi="Arial" w:cs="Arial"/>
          <w:sz w:val="22"/>
        </w:rPr>
        <w:t>(File 21, joint applicants).</w:t>
      </w:r>
      <w:proofErr w:type="gramEnd"/>
    </w:p>
    <w:p w14:paraId="6045DEDE" w14:textId="77777777" w:rsidR="00792B3A" w:rsidRPr="007F2727" w:rsidRDefault="00792B3A" w:rsidP="00792B3A">
      <w:pPr>
        <w:tabs>
          <w:tab w:val="left" w:pos="2620"/>
        </w:tabs>
        <w:spacing w:line="360" w:lineRule="auto"/>
        <w:rPr>
          <w:rFonts w:ascii="Arial" w:hAnsi="Arial"/>
          <w:i/>
          <w:sz w:val="22"/>
        </w:rPr>
      </w:pPr>
    </w:p>
    <w:p w14:paraId="7383D412" w14:textId="77777777" w:rsidR="00792B3A" w:rsidRPr="007F2727" w:rsidRDefault="00792B3A" w:rsidP="00792B3A">
      <w:pPr>
        <w:tabs>
          <w:tab w:val="left" w:pos="2620"/>
        </w:tabs>
        <w:spacing w:line="360" w:lineRule="auto"/>
        <w:rPr>
          <w:rFonts w:ascii="Arial" w:hAnsi="Arial"/>
          <w:sz w:val="22"/>
        </w:rPr>
      </w:pPr>
      <w:r w:rsidRPr="007F2727">
        <w:rPr>
          <w:rFonts w:ascii="Arial" w:hAnsi="Arial"/>
          <w:sz w:val="22"/>
        </w:rPr>
        <w:t>The desire to have children explains the subsequent decisions taken but that desire itself is not explored further in the story. Instead the process of becoming a parent is the hook upon which the progressive stages of the story-telling are built. It is necessary to explain motivations before moving the story on to action and this was the style adopted in many of the commissioning couples’ own accounts. A similar recursive pre-construction can be found for example in file 1, which is drafted by an applicant:</w:t>
      </w:r>
    </w:p>
    <w:p w14:paraId="236BA62F" w14:textId="77777777" w:rsidR="00792B3A" w:rsidRPr="007F2727" w:rsidRDefault="00792B3A" w:rsidP="00792B3A">
      <w:pPr>
        <w:tabs>
          <w:tab w:val="left" w:pos="2620"/>
        </w:tabs>
        <w:spacing w:line="360" w:lineRule="auto"/>
        <w:rPr>
          <w:rFonts w:ascii="Arial" w:hAnsi="Arial"/>
          <w:sz w:val="22"/>
        </w:rPr>
      </w:pPr>
    </w:p>
    <w:p w14:paraId="73D3256C" w14:textId="77777777" w:rsidR="00792B3A" w:rsidRPr="007F2727" w:rsidRDefault="00792B3A" w:rsidP="00792B3A">
      <w:pPr>
        <w:tabs>
          <w:tab w:val="left" w:pos="2620"/>
        </w:tabs>
        <w:spacing w:line="480" w:lineRule="auto"/>
        <w:ind w:left="720"/>
        <w:rPr>
          <w:rFonts w:ascii="Arial" w:hAnsi="Arial" w:cs="Arial"/>
          <w:i/>
          <w:sz w:val="22"/>
        </w:rPr>
      </w:pPr>
      <w:r w:rsidRPr="007F2727">
        <w:rPr>
          <w:rFonts w:ascii="Arial" w:hAnsi="Arial" w:cs="Arial"/>
          <w:i/>
          <w:sz w:val="22"/>
        </w:rPr>
        <w:lastRenderedPageBreak/>
        <w:t xml:space="preserve">I wanted children to fill the gap that my Mom will leave in my life. It was important to me that they had at least met my Mom, </w:t>
      </w:r>
    </w:p>
    <w:p w14:paraId="064FA3F6" w14:textId="77777777" w:rsidR="00792B3A" w:rsidRPr="007F2727" w:rsidRDefault="00792B3A" w:rsidP="00792B3A">
      <w:pPr>
        <w:tabs>
          <w:tab w:val="left" w:pos="2620"/>
        </w:tabs>
        <w:spacing w:line="480" w:lineRule="auto"/>
        <w:ind w:left="720"/>
        <w:rPr>
          <w:rFonts w:ascii="Arial" w:hAnsi="Arial"/>
          <w:sz w:val="22"/>
        </w:rPr>
      </w:pPr>
      <w:r w:rsidRPr="007F2727">
        <w:rPr>
          <w:rFonts w:ascii="Arial" w:hAnsi="Arial"/>
          <w:sz w:val="22"/>
        </w:rPr>
        <w:t>(File 1, first applicant)</w:t>
      </w:r>
    </w:p>
    <w:p w14:paraId="3851D46F" w14:textId="77777777" w:rsidR="00792B3A" w:rsidRPr="007F2727" w:rsidRDefault="00792B3A" w:rsidP="00792B3A">
      <w:pPr>
        <w:tabs>
          <w:tab w:val="left" w:pos="2620"/>
        </w:tabs>
        <w:spacing w:line="480" w:lineRule="auto"/>
        <w:rPr>
          <w:rFonts w:ascii="Arial" w:hAnsi="Arial"/>
          <w:sz w:val="22"/>
        </w:rPr>
      </w:pPr>
    </w:p>
    <w:p w14:paraId="364F656A" w14:textId="77777777" w:rsidR="00792B3A" w:rsidRPr="007F2727" w:rsidRDefault="00792B3A" w:rsidP="00683900">
      <w:pPr>
        <w:tabs>
          <w:tab w:val="left" w:pos="2620"/>
        </w:tabs>
        <w:spacing w:line="360" w:lineRule="auto"/>
        <w:rPr>
          <w:rFonts w:ascii="Arial" w:hAnsi="Arial"/>
          <w:sz w:val="22"/>
        </w:rPr>
      </w:pPr>
      <w:r w:rsidRPr="007F2727">
        <w:rPr>
          <w:rFonts w:ascii="Arial" w:hAnsi="Arial"/>
          <w:sz w:val="22"/>
        </w:rPr>
        <w:t xml:space="preserve">This juxtaposition of fertility and mortality is not explored further but is the recursive pre-construction upon which the rest of the story is built. However, in contrast the next stages are disjointed and cannot be said to be progressive: </w:t>
      </w:r>
    </w:p>
    <w:p w14:paraId="1EF26B1A" w14:textId="77777777" w:rsidR="00792B3A" w:rsidRPr="007F2727" w:rsidRDefault="00792B3A" w:rsidP="00792B3A">
      <w:pPr>
        <w:tabs>
          <w:tab w:val="left" w:pos="2620"/>
        </w:tabs>
        <w:spacing w:line="480" w:lineRule="auto"/>
        <w:rPr>
          <w:rFonts w:ascii="Arial" w:hAnsi="Arial"/>
          <w:sz w:val="22"/>
        </w:rPr>
      </w:pPr>
    </w:p>
    <w:p w14:paraId="550384E2" w14:textId="77777777" w:rsidR="00792B3A" w:rsidRPr="007F2727" w:rsidRDefault="00792B3A" w:rsidP="00792B3A">
      <w:pPr>
        <w:tabs>
          <w:tab w:val="left" w:pos="2620"/>
        </w:tabs>
        <w:spacing w:line="480" w:lineRule="auto"/>
        <w:rPr>
          <w:rFonts w:ascii="Arial" w:hAnsi="Arial"/>
          <w:sz w:val="22"/>
        </w:rPr>
      </w:pPr>
      <w:r w:rsidRPr="007F2727">
        <w:rPr>
          <w:rFonts w:ascii="Arial" w:hAnsi="Arial"/>
          <w:sz w:val="22"/>
        </w:rPr>
        <w:t>Orientation</w:t>
      </w:r>
    </w:p>
    <w:p w14:paraId="030DB409" w14:textId="77777777" w:rsidR="00792B3A" w:rsidRPr="007F2727" w:rsidRDefault="00792B3A" w:rsidP="00792B3A">
      <w:pPr>
        <w:tabs>
          <w:tab w:val="left" w:pos="2620"/>
        </w:tabs>
        <w:spacing w:line="480" w:lineRule="auto"/>
        <w:ind w:left="720"/>
        <w:rPr>
          <w:rFonts w:ascii="Arial" w:hAnsi="Arial" w:cs="Arial"/>
          <w:sz w:val="22"/>
        </w:rPr>
      </w:pPr>
      <w:r w:rsidRPr="007F2727">
        <w:rPr>
          <w:rFonts w:ascii="Arial" w:hAnsi="Arial"/>
          <w:sz w:val="22"/>
        </w:rPr>
        <w:t>[W]</w:t>
      </w:r>
      <w:proofErr w:type="spellStart"/>
      <w:r w:rsidRPr="007F2727">
        <w:rPr>
          <w:rFonts w:ascii="Arial" w:hAnsi="Arial" w:cs="Arial"/>
          <w:i/>
          <w:sz w:val="22"/>
        </w:rPr>
        <w:t>hich</w:t>
      </w:r>
      <w:proofErr w:type="spellEnd"/>
      <w:r w:rsidRPr="007F2727">
        <w:rPr>
          <w:rFonts w:ascii="Arial" w:hAnsi="Arial" w:cs="Arial"/>
          <w:i/>
          <w:sz w:val="22"/>
        </w:rPr>
        <w:t xml:space="preserve"> is why we decided to overlap</w:t>
      </w:r>
      <w:r w:rsidRPr="007F2727">
        <w:rPr>
          <w:rFonts w:ascii="Arial" w:hAnsi="Arial" w:cs="Arial"/>
          <w:sz w:val="22"/>
        </w:rPr>
        <w:t xml:space="preserve">. </w:t>
      </w:r>
    </w:p>
    <w:p w14:paraId="3FC08041" w14:textId="77777777" w:rsidR="00792B3A" w:rsidRPr="007F2727" w:rsidRDefault="00792B3A" w:rsidP="00792B3A">
      <w:pPr>
        <w:tabs>
          <w:tab w:val="left" w:pos="2620"/>
        </w:tabs>
        <w:spacing w:line="480" w:lineRule="auto"/>
        <w:rPr>
          <w:rFonts w:ascii="Arial" w:hAnsi="Arial" w:cs="Arial"/>
          <w:sz w:val="22"/>
        </w:rPr>
      </w:pPr>
      <w:r w:rsidRPr="007F2727">
        <w:rPr>
          <w:rFonts w:ascii="Arial" w:hAnsi="Arial" w:cs="Arial"/>
          <w:sz w:val="22"/>
        </w:rPr>
        <w:t>Coda</w:t>
      </w:r>
    </w:p>
    <w:p w14:paraId="5705264A" w14:textId="77777777" w:rsidR="00371B2F" w:rsidRPr="007F2727" w:rsidRDefault="00792B3A" w:rsidP="00792B3A">
      <w:pPr>
        <w:tabs>
          <w:tab w:val="left" w:pos="2620"/>
        </w:tabs>
        <w:spacing w:line="480" w:lineRule="auto"/>
        <w:ind w:left="720"/>
        <w:rPr>
          <w:rFonts w:ascii="Arial" w:hAnsi="Arial" w:cs="Arial"/>
          <w:i/>
          <w:sz w:val="22"/>
        </w:rPr>
      </w:pPr>
      <w:r w:rsidRPr="007F2727">
        <w:rPr>
          <w:rFonts w:ascii="Arial" w:hAnsi="Arial" w:cs="Arial"/>
          <w:i/>
          <w:sz w:val="22"/>
        </w:rPr>
        <w:t>I have a lot of love to give, and have travelled and want to teach them that there is a big world out there.</w:t>
      </w:r>
    </w:p>
    <w:p w14:paraId="7B9ACC35" w14:textId="77777777" w:rsidR="00683900" w:rsidRPr="007F2727" w:rsidRDefault="00683900" w:rsidP="00371B2F">
      <w:pPr>
        <w:tabs>
          <w:tab w:val="left" w:pos="2620"/>
        </w:tabs>
        <w:spacing w:line="480" w:lineRule="auto"/>
        <w:ind w:left="720"/>
        <w:rPr>
          <w:rFonts w:ascii="Arial" w:hAnsi="Arial" w:cs="Arial"/>
          <w:i/>
          <w:sz w:val="22"/>
        </w:rPr>
      </w:pPr>
    </w:p>
    <w:p w14:paraId="7C98F999" w14:textId="77777777" w:rsidR="00792B3A" w:rsidRPr="007F2727" w:rsidRDefault="00792B3A" w:rsidP="00792B3A">
      <w:pPr>
        <w:tabs>
          <w:tab w:val="left" w:pos="2620"/>
        </w:tabs>
        <w:spacing w:line="480" w:lineRule="auto"/>
        <w:rPr>
          <w:rFonts w:ascii="Arial" w:hAnsi="Arial" w:cs="Arial"/>
          <w:i/>
          <w:sz w:val="22"/>
        </w:rPr>
      </w:pPr>
      <w:r w:rsidRPr="007F2727">
        <w:rPr>
          <w:rFonts w:ascii="Arial" w:hAnsi="Arial" w:cs="Arial"/>
          <w:i/>
          <w:sz w:val="22"/>
        </w:rPr>
        <w:t>Complicating action</w:t>
      </w:r>
    </w:p>
    <w:p w14:paraId="13AC559A" w14:textId="77777777" w:rsidR="00792B3A" w:rsidRPr="007F2727" w:rsidRDefault="00792B3A" w:rsidP="00792B3A">
      <w:pPr>
        <w:tabs>
          <w:tab w:val="left" w:pos="2620"/>
        </w:tabs>
        <w:spacing w:line="480" w:lineRule="auto"/>
        <w:ind w:left="720"/>
        <w:rPr>
          <w:rFonts w:ascii="Arial" w:hAnsi="Arial" w:cs="Arial"/>
          <w:i/>
          <w:sz w:val="22"/>
        </w:rPr>
      </w:pPr>
      <w:r w:rsidRPr="007F2727">
        <w:rPr>
          <w:rFonts w:ascii="Arial" w:hAnsi="Arial" w:cs="Arial"/>
          <w:i/>
          <w:sz w:val="22"/>
        </w:rPr>
        <w:t xml:space="preserve"> From Blogs on the internet we thought we would be in (country) for a    maximum of 3 months…We realised that (name of applicant 2) and the children could be there for many months. </w:t>
      </w:r>
    </w:p>
    <w:p w14:paraId="555CA187" w14:textId="77777777" w:rsidR="00792B3A" w:rsidRPr="007F2727" w:rsidRDefault="00792B3A" w:rsidP="00792B3A">
      <w:pPr>
        <w:tabs>
          <w:tab w:val="left" w:pos="2620"/>
        </w:tabs>
        <w:spacing w:line="480" w:lineRule="auto"/>
        <w:ind w:left="720"/>
        <w:rPr>
          <w:rFonts w:ascii="Arial" w:hAnsi="Arial" w:cs="Arial"/>
          <w:sz w:val="22"/>
        </w:rPr>
      </w:pPr>
      <w:proofErr w:type="gramStart"/>
      <w:r w:rsidRPr="007F2727">
        <w:rPr>
          <w:rFonts w:ascii="Arial" w:hAnsi="Arial" w:cs="Arial"/>
          <w:sz w:val="22"/>
        </w:rPr>
        <w:t>(File 1, first applicant).</w:t>
      </w:r>
      <w:proofErr w:type="gramEnd"/>
    </w:p>
    <w:p w14:paraId="5DAD94CD" w14:textId="77777777" w:rsidR="00792B3A" w:rsidRPr="007F2727" w:rsidRDefault="00792B3A" w:rsidP="00792B3A">
      <w:pPr>
        <w:tabs>
          <w:tab w:val="left" w:pos="2620"/>
        </w:tabs>
        <w:spacing w:line="480" w:lineRule="auto"/>
        <w:rPr>
          <w:rFonts w:ascii="Arial" w:hAnsi="Arial"/>
          <w:sz w:val="22"/>
        </w:rPr>
      </w:pPr>
      <w:r w:rsidRPr="007F2727">
        <w:rPr>
          <w:rFonts w:ascii="Arial" w:hAnsi="Arial"/>
          <w:sz w:val="22"/>
        </w:rPr>
        <w:tab/>
      </w:r>
    </w:p>
    <w:p w14:paraId="673277BA" w14:textId="77777777" w:rsidR="00683900" w:rsidRPr="007F2727" w:rsidRDefault="00792B3A" w:rsidP="00792B3A">
      <w:pPr>
        <w:spacing w:line="480" w:lineRule="auto"/>
        <w:rPr>
          <w:rFonts w:ascii="Arial" w:hAnsi="Arial"/>
          <w:sz w:val="22"/>
        </w:rPr>
      </w:pPr>
      <w:r w:rsidRPr="007F2727">
        <w:rPr>
          <w:rFonts w:ascii="Arial" w:hAnsi="Arial"/>
          <w:sz w:val="22"/>
        </w:rPr>
        <w:t>Whilst the narrative moves from recursive to disjointed progressive the applicant does not explain what is meant by ‘overlap’ but the listener is left to presume that it relates to the decision to have children whilst the applicant’s</w:t>
      </w:r>
    </w:p>
    <w:p w14:paraId="1628130F" w14:textId="77777777" w:rsidR="00792B3A" w:rsidRPr="007F2727" w:rsidRDefault="00792B3A" w:rsidP="00792B3A">
      <w:pPr>
        <w:spacing w:line="480" w:lineRule="auto"/>
        <w:rPr>
          <w:rFonts w:ascii="Arial" w:hAnsi="Arial" w:cs="Arial"/>
          <w:b/>
          <w:sz w:val="22"/>
        </w:rPr>
      </w:pPr>
      <w:r w:rsidRPr="007F2727">
        <w:rPr>
          <w:rFonts w:ascii="Arial" w:hAnsi="Arial"/>
          <w:sz w:val="22"/>
        </w:rPr>
        <w:t xml:space="preserve"> </w:t>
      </w:r>
      <w:proofErr w:type="gramStart"/>
      <w:r w:rsidRPr="007F2727">
        <w:rPr>
          <w:rFonts w:ascii="Arial" w:hAnsi="Arial"/>
          <w:sz w:val="22"/>
        </w:rPr>
        <w:t>mother</w:t>
      </w:r>
      <w:proofErr w:type="gramEnd"/>
      <w:r w:rsidRPr="007F2727">
        <w:rPr>
          <w:rFonts w:ascii="Arial" w:hAnsi="Arial"/>
          <w:sz w:val="22"/>
        </w:rPr>
        <w:t xml:space="preserve"> was still alive. Rather than explaining the main event in terms of explaining how the ‘overlap’ was achieved the applicant moves straight on to explain his capability to give love and to teach the children about the world.</w:t>
      </w:r>
    </w:p>
    <w:p w14:paraId="1A6FDCED" w14:textId="77777777" w:rsidR="007775BA" w:rsidRPr="007F2727" w:rsidRDefault="00926741" w:rsidP="004E00EC">
      <w:pPr>
        <w:tabs>
          <w:tab w:val="left" w:pos="2620"/>
        </w:tabs>
        <w:spacing w:line="480" w:lineRule="auto"/>
        <w:rPr>
          <w:rFonts w:ascii="Arial" w:hAnsi="Arial" w:cs="Arial"/>
          <w:sz w:val="22"/>
        </w:rPr>
      </w:pPr>
      <w:r w:rsidRPr="007F2727">
        <w:rPr>
          <w:rFonts w:ascii="Arial" w:hAnsi="Arial"/>
          <w:sz w:val="22"/>
        </w:rPr>
        <w:t xml:space="preserve"> </w:t>
      </w:r>
    </w:p>
    <w:p w14:paraId="507B2599" w14:textId="77777777" w:rsidR="007775BA" w:rsidRPr="007F2727" w:rsidRDefault="00160A98" w:rsidP="007775BA">
      <w:pPr>
        <w:spacing w:line="480" w:lineRule="auto"/>
        <w:rPr>
          <w:rFonts w:ascii="Arial" w:hAnsi="Arial" w:cs="Arial"/>
          <w:b/>
          <w:sz w:val="22"/>
        </w:rPr>
      </w:pPr>
      <w:r w:rsidRPr="007F2727">
        <w:rPr>
          <w:rFonts w:ascii="Arial" w:hAnsi="Arial" w:cs="Arial"/>
          <w:b/>
          <w:sz w:val="22"/>
        </w:rPr>
        <w:t>5</w:t>
      </w:r>
      <w:r w:rsidR="007775BA" w:rsidRPr="007F2727">
        <w:rPr>
          <w:rFonts w:ascii="Arial" w:hAnsi="Arial" w:cs="Arial"/>
          <w:b/>
          <w:sz w:val="22"/>
        </w:rPr>
        <w:t>. The Commissioning Couples’ Frame</w:t>
      </w:r>
    </w:p>
    <w:p w14:paraId="1F5E2C96" w14:textId="77777777" w:rsidR="004F4892" w:rsidRPr="007F2727" w:rsidRDefault="00B67A30" w:rsidP="004F4892">
      <w:pPr>
        <w:spacing w:line="480" w:lineRule="auto"/>
        <w:rPr>
          <w:rFonts w:ascii="Arial" w:hAnsi="Arial" w:cs="Arial"/>
          <w:sz w:val="22"/>
        </w:rPr>
      </w:pPr>
      <w:r w:rsidRPr="007F2727">
        <w:rPr>
          <w:rFonts w:ascii="Arial" w:hAnsi="Arial" w:cs="Arial"/>
          <w:sz w:val="22"/>
        </w:rPr>
        <w:lastRenderedPageBreak/>
        <w:t>Almost 50% of the witness statements were joint witness statements (the joint voice of the couple)</w:t>
      </w:r>
      <w:r w:rsidR="004F4892" w:rsidRPr="007F2727">
        <w:rPr>
          <w:rFonts w:ascii="Arial" w:hAnsi="Arial" w:cs="Arial"/>
          <w:sz w:val="22"/>
        </w:rPr>
        <w:t>. There was use of the first person ‘we’ throughout the joint statements and very rarely would the narrative split to recall an individual rather than a shared experience. The use of ‘we’ was used to express joint emotion, for example, ‘we considered this quite unreasonable’ or to apportion joint blame, for example, ‘we acknowledge this sum exceeds expenses reasonably incurred by the surrogate over the course of her pregnancy</w:t>
      </w:r>
      <w:r w:rsidR="00996126" w:rsidRPr="007F2727">
        <w:rPr>
          <w:rFonts w:ascii="Arial" w:hAnsi="Arial" w:cs="Arial"/>
          <w:sz w:val="22"/>
        </w:rPr>
        <w:t>.</w:t>
      </w:r>
      <w:r w:rsidR="004F4892" w:rsidRPr="007F2727">
        <w:rPr>
          <w:rFonts w:ascii="Arial" w:hAnsi="Arial" w:cs="Arial"/>
          <w:sz w:val="22"/>
        </w:rPr>
        <w:t>’ This meant the court (and indeed the author) was not able to distinguish between any differing experiences of the applicants that might have existed.</w:t>
      </w:r>
    </w:p>
    <w:p w14:paraId="7AE12D56" w14:textId="77777777" w:rsidR="009458D2" w:rsidRPr="007F2727" w:rsidRDefault="009458D2" w:rsidP="009458D2">
      <w:pPr>
        <w:spacing w:line="480" w:lineRule="auto"/>
        <w:rPr>
          <w:rFonts w:ascii="Arial" w:hAnsi="Arial" w:cs="Arial"/>
          <w:sz w:val="22"/>
        </w:rPr>
      </w:pPr>
    </w:p>
    <w:p w14:paraId="2B953AF3" w14:textId="77777777" w:rsidR="009458D2" w:rsidRPr="007F2727" w:rsidRDefault="00B67A30" w:rsidP="009458D2">
      <w:pPr>
        <w:spacing w:line="480" w:lineRule="auto"/>
        <w:rPr>
          <w:rFonts w:ascii="Arial" w:hAnsi="Arial" w:cs="Arial"/>
          <w:sz w:val="22"/>
        </w:rPr>
      </w:pPr>
      <w:r w:rsidRPr="007F2727">
        <w:rPr>
          <w:rFonts w:ascii="Arial" w:hAnsi="Arial" w:cs="Arial"/>
          <w:sz w:val="22"/>
        </w:rPr>
        <w:t>Even when single witness statements were filed there was a tendency to present a united front through language. For example, t</w:t>
      </w:r>
      <w:r w:rsidR="009458D2" w:rsidRPr="007F2727">
        <w:rPr>
          <w:rFonts w:ascii="Arial" w:hAnsi="Arial" w:cs="Arial"/>
          <w:sz w:val="22"/>
        </w:rPr>
        <w:t xml:space="preserve">he commissioning mothers’ through their </w:t>
      </w:r>
      <w:r w:rsidR="002A690A" w:rsidRPr="007F2727">
        <w:rPr>
          <w:rFonts w:ascii="Arial" w:hAnsi="Arial" w:cs="Arial"/>
          <w:sz w:val="22"/>
        </w:rPr>
        <w:t xml:space="preserve">sole </w:t>
      </w:r>
      <w:r w:rsidR="009458D2" w:rsidRPr="007F2727">
        <w:rPr>
          <w:rFonts w:ascii="Arial" w:hAnsi="Arial" w:cs="Arial"/>
          <w:sz w:val="22"/>
        </w:rPr>
        <w:t>witness statements, were careful to include their partner’s emot</w:t>
      </w:r>
      <w:r w:rsidRPr="007F2727">
        <w:rPr>
          <w:rFonts w:ascii="Arial" w:hAnsi="Arial" w:cs="Arial"/>
          <w:sz w:val="22"/>
        </w:rPr>
        <w:t xml:space="preserve">ions as combined with their own, choosing sentences such as, </w:t>
      </w:r>
      <w:r w:rsidR="009458D2" w:rsidRPr="007F2727">
        <w:rPr>
          <w:rFonts w:ascii="Arial" w:hAnsi="Arial" w:cs="Arial"/>
          <w:i/>
          <w:sz w:val="22"/>
        </w:rPr>
        <w:t>‘we were unable to birth our own child</w:t>
      </w:r>
      <w:r w:rsidR="009458D2" w:rsidRPr="007F2727">
        <w:rPr>
          <w:rFonts w:ascii="Arial" w:hAnsi="Arial" w:cs="Arial"/>
          <w:sz w:val="22"/>
        </w:rPr>
        <w:t>’ or ‘</w:t>
      </w:r>
      <w:r w:rsidR="009458D2" w:rsidRPr="007F2727">
        <w:rPr>
          <w:rFonts w:ascii="Arial" w:hAnsi="Arial" w:cs="Arial"/>
          <w:i/>
          <w:sz w:val="22"/>
        </w:rPr>
        <w:t>word (sic) could not describe how happy we were</w:t>
      </w:r>
      <w:r w:rsidR="009458D2" w:rsidRPr="007F2727">
        <w:rPr>
          <w:rFonts w:ascii="Arial" w:hAnsi="Arial" w:cs="Arial"/>
          <w:sz w:val="22"/>
        </w:rPr>
        <w:t>’</w:t>
      </w:r>
      <w:r w:rsidRPr="007F2727">
        <w:rPr>
          <w:rFonts w:ascii="Arial" w:hAnsi="Arial" w:cs="Arial"/>
          <w:sz w:val="22"/>
        </w:rPr>
        <w:t xml:space="preserve"> </w:t>
      </w:r>
      <w:r w:rsidR="009458D2" w:rsidRPr="007F2727">
        <w:rPr>
          <w:rFonts w:ascii="Arial" w:hAnsi="Arial" w:cs="Arial"/>
          <w:sz w:val="22"/>
        </w:rPr>
        <w:t>or ‘</w:t>
      </w:r>
      <w:r w:rsidR="009458D2" w:rsidRPr="007F2727">
        <w:rPr>
          <w:rFonts w:ascii="Arial" w:hAnsi="Arial" w:cs="Arial"/>
          <w:i/>
          <w:sz w:val="22"/>
        </w:rPr>
        <w:t>we decided to proceed with surrogacy</w:t>
      </w:r>
      <w:r w:rsidR="009458D2" w:rsidRPr="007F2727">
        <w:rPr>
          <w:rFonts w:ascii="Arial" w:hAnsi="Arial" w:cs="Arial"/>
          <w:sz w:val="22"/>
        </w:rPr>
        <w:t>’. This twinning aspect of the witness statements was also present in the sole statements of the commissioning fathers</w:t>
      </w:r>
      <w:r w:rsidR="00CD4447" w:rsidRPr="007F2727">
        <w:rPr>
          <w:rFonts w:ascii="Arial" w:hAnsi="Arial" w:cs="Arial"/>
          <w:sz w:val="22"/>
        </w:rPr>
        <w:t xml:space="preserve"> (regardless of sexual orientation)</w:t>
      </w:r>
      <w:r w:rsidR="009458D2" w:rsidRPr="007F2727">
        <w:rPr>
          <w:rFonts w:ascii="Arial" w:hAnsi="Arial" w:cs="Arial"/>
          <w:sz w:val="22"/>
        </w:rPr>
        <w:t xml:space="preserve"> and signified an intention to take a united approach in the proceedings. </w:t>
      </w:r>
    </w:p>
    <w:p w14:paraId="170335C0" w14:textId="77777777" w:rsidR="009458D2" w:rsidRPr="007F2727" w:rsidRDefault="009458D2" w:rsidP="009458D2">
      <w:pPr>
        <w:spacing w:line="480" w:lineRule="auto"/>
        <w:rPr>
          <w:rFonts w:ascii="Arial" w:hAnsi="Arial" w:cs="Arial"/>
          <w:sz w:val="22"/>
        </w:rPr>
      </w:pPr>
    </w:p>
    <w:p w14:paraId="7131C670" w14:textId="77777777" w:rsidR="004F4892" w:rsidRPr="007F2727" w:rsidRDefault="004F4892" w:rsidP="004F4892">
      <w:pPr>
        <w:spacing w:line="480" w:lineRule="auto"/>
        <w:rPr>
          <w:rFonts w:ascii="Arial" w:hAnsi="Arial" w:cs="Arial"/>
          <w:sz w:val="22"/>
        </w:rPr>
      </w:pPr>
      <w:r w:rsidRPr="007F2727">
        <w:rPr>
          <w:rFonts w:ascii="Arial" w:hAnsi="Arial" w:cs="Arial"/>
          <w:sz w:val="22"/>
        </w:rPr>
        <w:t xml:space="preserve">The style and tenor of the narratives would change when applicants filed multiple statements. For example, both files 19 and 16 included joint statements for the applicants that used language in the third person in one statement (to address themselves as ‘applicants’ or more formally by their surnames) but also included joint statements written in the first person using ‘we’. It was as if the commissioning couples were uncertain as to the level of formality to use for the court. These witness statements were prepared by the applicants rather than lawyers, which would explain the change in style and format. </w:t>
      </w:r>
    </w:p>
    <w:p w14:paraId="1D969FAA" w14:textId="77777777" w:rsidR="004F4892" w:rsidRPr="007F2727" w:rsidRDefault="004F4892" w:rsidP="009458D2">
      <w:pPr>
        <w:spacing w:line="480" w:lineRule="auto"/>
        <w:rPr>
          <w:rFonts w:ascii="Arial" w:hAnsi="Arial" w:cs="Arial"/>
          <w:sz w:val="22"/>
        </w:rPr>
      </w:pPr>
    </w:p>
    <w:p w14:paraId="367802AB" w14:textId="77777777" w:rsidR="009458D2" w:rsidRPr="007F2727" w:rsidRDefault="009458D2" w:rsidP="004F4892">
      <w:pPr>
        <w:spacing w:line="480" w:lineRule="auto"/>
        <w:rPr>
          <w:rFonts w:ascii="Arial" w:hAnsi="Arial" w:cs="Arial"/>
          <w:sz w:val="22"/>
        </w:rPr>
      </w:pPr>
      <w:r w:rsidRPr="007F2727">
        <w:rPr>
          <w:rFonts w:ascii="Arial" w:hAnsi="Arial" w:cs="Arial"/>
          <w:sz w:val="22"/>
        </w:rPr>
        <w:lastRenderedPageBreak/>
        <w:t>Some of the commissioning mothers’ witness statements contained their own emotive responses such as:</w:t>
      </w:r>
    </w:p>
    <w:p w14:paraId="350B1FA8" w14:textId="77777777" w:rsidR="009458D2" w:rsidRPr="007F2727" w:rsidRDefault="009458D2" w:rsidP="004F4892">
      <w:pPr>
        <w:spacing w:line="480" w:lineRule="auto"/>
        <w:rPr>
          <w:rFonts w:ascii="Arial" w:hAnsi="Arial" w:cs="Arial"/>
          <w:sz w:val="22"/>
        </w:rPr>
      </w:pPr>
    </w:p>
    <w:p w14:paraId="06CA3917" w14:textId="77777777" w:rsidR="009458D2" w:rsidRPr="007F2727" w:rsidRDefault="009458D2" w:rsidP="004F4892">
      <w:pPr>
        <w:spacing w:line="480" w:lineRule="auto"/>
        <w:ind w:left="720"/>
        <w:rPr>
          <w:rFonts w:ascii="Arial" w:hAnsi="Arial" w:cs="Arial"/>
          <w:i/>
          <w:sz w:val="22"/>
        </w:rPr>
      </w:pPr>
      <w:r w:rsidRPr="007F2727">
        <w:rPr>
          <w:rFonts w:ascii="Arial" w:hAnsi="Arial" w:cs="Arial"/>
          <w:i/>
          <w:sz w:val="22"/>
        </w:rPr>
        <w:t>In the days to come I refused to see anyone and was sinking into depression. Then one day I logged onto the internet and joined a website call (sic) ‘(name of website)’ I read many stories on their (sic) and I began to cry. For the first time I was grateful I was able to feel morning sickness, see the ultrasound pictures of my daughter and feel her kick.</w:t>
      </w:r>
    </w:p>
    <w:p w14:paraId="16FCDEA8" w14:textId="77777777" w:rsidR="009458D2" w:rsidRPr="007F2727" w:rsidRDefault="009458D2" w:rsidP="004F4892">
      <w:pPr>
        <w:spacing w:line="480" w:lineRule="auto"/>
        <w:rPr>
          <w:rFonts w:ascii="Arial" w:hAnsi="Arial" w:cs="Arial"/>
          <w:sz w:val="22"/>
        </w:rPr>
      </w:pPr>
      <w:r w:rsidRPr="007F2727">
        <w:rPr>
          <w:rFonts w:ascii="Arial" w:hAnsi="Arial" w:cs="Arial"/>
          <w:sz w:val="22"/>
        </w:rPr>
        <w:tab/>
        <w:t>(File 20, statement of commissioning mother).</w:t>
      </w:r>
    </w:p>
    <w:p w14:paraId="7DF68874" w14:textId="77777777" w:rsidR="009458D2" w:rsidRPr="007F2727" w:rsidRDefault="009458D2" w:rsidP="004F4892">
      <w:pPr>
        <w:spacing w:line="480" w:lineRule="auto"/>
        <w:rPr>
          <w:rFonts w:ascii="Arial" w:hAnsi="Arial" w:cs="Arial"/>
          <w:sz w:val="22"/>
        </w:rPr>
      </w:pPr>
      <w:r w:rsidRPr="007F2727">
        <w:rPr>
          <w:rFonts w:ascii="Arial" w:hAnsi="Arial" w:cs="Arial"/>
          <w:sz w:val="22"/>
        </w:rPr>
        <w:tab/>
      </w:r>
    </w:p>
    <w:p w14:paraId="75DDB788" w14:textId="77777777" w:rsidR="009458D2" w:rsidRPr="007F2727" w:rsidRDefault="009458D2" w:rsidP="004F4892">
      <w:pPr>
        <w:spacing w:line="480" w:lineRule="auto"/>
        <w:rPr>
          <w:rFonts w:ascii="Arial" w:hAnsi="Arial" w:cs="Arial"/>
          <w:sz w:val="22"/>
        </w:rPr>
      </w:pPr>
      <w:r w:rsidRPr="007F2727">
        <w:rPr>
          <w:rFonts w:ascii="Arial" w:hAnsi="Arial" w:cs="Arial"/>
          <w:sz w:val="22"/>
        </w:rPr>
        <w:t>This commissioning mother writes in the first person to emphasise the impact her miscarriage had on her. However, for some commissioning mothers, even emotional moments were treated with formality and simple reporting:</w:t>
      </w:r>
    </w:p>
    <w:p w14:paraId="55D6E41A" w14:textId="77777777" w:rsidR="009458D2" w:rsidRPr="007F2727" w:rsidRDefault="009458D2" w:rsidP="004F4892">
      <w:pPr>
        <w:spacing w:line="480" w:lineRule="auto"/>
        <w:rPr>
          <w:rFonts w:ascii="Arial" w:hAnsi="Arial" w:cs="Arial"/>
          <w:sz w:val="22"/>
        </w:rPr>
      </w:pPr>
    </w:p>
    <w:p w14:paraId="2FF9917D" w14:textId="77777777" w:rsidR="009458D2" w:rsidRPr="007F2727" w:rsidRDefault="009458D2" w:rsidP="004F4892">
      <w:pPr>
        <w:spacing w:line="480" w:lineRule="auto"/>
        <w:ind w:left="720"/>
        <w:rPr>
          <w:rFonts w:ascii="Arial" w:hAnsi="Arial" w:cs="Arial"/>
          <w:i/>
          <w:sz w:val="22"/>
        </w:rPr>
      </w:pPr>
      <w:r w:rsidRPr="007F2727">
        <w:rPr>
          <w:rFonts w:ascii="Arial" w:hAnsi="Arial" w:cs="Arial"/>
          <w:i/>
          <w:sz w:val="22"/>
        </w:rPr>
        <w:t xml:space="preserve">We have been attempting to procreate over this period of time in the natural process; but </w:t>
      </w:r>
      <w:proofErr w:type="gramStart"/>
      <w:r w:rsidRPr="007F2727">
        <w:rPr>
          <w:rFonts w:ascii="Arial" w:hAnsi="Arial" w:cs="Arial"/>
          <w:i/>
          <w:sz w:val="22"/>
        </w:rPr>
        <w:t>all our</w:t>
      </w:r>
      <w:proofErr w:type="gramEnd"/>
      <w:r w:rsidRPr="007F2727">
        <w:rPr>
          <w:rFonts w:ascii="Arial" w:hAnsi="Arial" w:cs="Arial"/>
          <w:i/>
          <w:sz w:val="22"/>
        </w:rPr>
        <w:t xml:space="preserve"> attempt failed. After this, we tried various Assisted Reproductive Technology procedures for six times, attempting to procreate. I also suffered miscarriage during 2002 year. I could not produce eggs thereafter. All medical procedures for fertility following this was (sic) carried out by using donor </w:t>
      </w:r>
      <w:proofErr w:type="gramStart"/>
      <w:r w:rsidRPr="007F2727">
        <w:rPr>
          <w:rFonts w:ascii="Arial" w:hAnsi="Arial" w:cs="Arial"/>
          <w:i/>
          <w:sz w:val="22"/>
        </w:rPr>
        <w:t>eggs which</w:t>
      </w:r>
      <w:proofErr w:type="gramEnd"/>
      <w:r w:rsidRPr="007F2727">
        <w:rPr>
          <w:rFonts w:ascii="Arial" w:hAnsi="Arial" w:cs="Arial"/>
          <w:i/>
          <w:sz w:val="22"/>
        </w:rPr>
        <w:t xml:space="preserve"> were genetically unrelated.</w:t>
      </w:r>
    </w:p>
    <w:p w14:paraId="144F2C4C" w14:textId="77777777" w:rsidR="009458D2" w:rsidRPr="007F2727" w:rsidRDefault="009458D2" w:rsidP="004F4892">
      <w:pPr>
        <w:spacing w:line="480" w:lineRule="auto"/>
        <w:rPr>
          <w:rFonts w:ascii="Arial" w:hAnsi="Arial" w:cs="Arial"/>
          <w:sz w:val="22"/>
        </w:rPr>
      </w:pPr>
      <w:r w:rsidRPr="007F2727">
        <w:rPr>
          <w:rFonts w:ascii="Arial" w:hAnsi="Arial" w:cs="Arial"/>
          <w:i/>
          <w:sz w:val="22"/>
        </w:rPr>
        <w:tab/>
      </w:r>
      <w:r w:rsidRPr="007F2727">
        <w:rPr>
          <w:rFonts w:ascii="Arial" w:hAnsi="Arial" w:cs="Arial"/>
          <w:sz w:val="22"/>
        </w:rPr>
        <w:t>(File 15, statement of applicant mother).</w:t>
      </w:r>
    </w:p>
    <w:p w14:paraId="3C6328D1" w14:textId="77777777" w:rsidR="009458D2" w:rsidRPr="007F2727" w:rsidRDefault="009458D2" w:rsidP="009458D2">
      <w:pPr>
        <w:spacing w:line="360" w:lineRule="auto"/>
        <w:rPr>
          <w:rFonts w:ascii="Arial" w:hAnsi="Arial" w:cs="Arial"/>
          <w:sz w:val="22"/>
        </w:rPr>
      </w:pPr>
    </w:p>
    <w:p w14:paraId="43219F29" w14:textId="77777777" w:rsidR="009458D2" w:rsidRPr="007F2727" w:rsidRDefault="009458D2" w:rsidP="009458D2">
      <w:pPr>
        <w:spacing w:line="480" w:lineRule="auto"/>
        <w:rPr>
          <w:rFonts w:ascii="Arial" w:hAnsi="Arial" w:cs="Arial"/>
          <w:sz w:val="22"/>
        </w:rPr>
      </w:pPr>
      <w:r w:rsidRPr="007F2727">
        <w:rPr>
          <w:rFonts w:ascii="Arial" w:hAnsi="Arial" w:cs="Arial"/>
          <w:sz w:val="22"/>
        </w:rPr>
        <w:t xml:space="preserve">Even allowing for the fact that English may not have been the first language for this commissioning mother the reporting style is very matter of fact. This may signal that some applicants acting as litigants in person adopted formalised language to fit the formality of the legal proceedings. </w:t>
      </w:r>
    </w:p>
    <w:p w14:paraId="7BE3BB70" w14:textId="77777777" w:rsidR="009458D2" w:rsidRPr="007F2727" w:rsidRDefault="009458D2" w:rsidP="009458D2">
      <w:pPr>
        <w:spacing w:line="480" w:lineRule="auto"/>
        <w:rPr>
          <w:rFonts w:ascii="Arial" w:hAnsi="Arial" w:cs="Arial"/>
          <w:sz w:val="22"/>
        </w:rPr>
      </w:pPr>
    </w:p>
    <w:p w14:paraId="6A9AA5D4" w14:textId="77777777" w:rsidR="003136C2" w:rsidRPr="007F2727" w:rsidRDefault="009458D2" w:rsidP="008A20C6">
      <w:pPr>
        <w:spacing w:line="480" w:lineRule="auto"/>
        <w:rPr>
          <w:rFonts w:ascii="Arial" w:hAnsi="Arial" w:cs="Arial"/>
          <w:sz w:val="22"/>
        </w:rPr>
      </w:pPr>
      <w:r w:rsidRPr="007F2727">
        <w:rPr>
          <w:rFonts w:ascii="Arial" w:hAnsi="Arial" w:cs="Arial"/>
          <w:sz w:val="22"/>
        </w:rPr>
        <w:lastRenderedPageBreak/>
        <w:t xml:space="preserve">Whilst formality of language was seen by some of the couples as a necessary part of preparing a witness statement, most of the couples’ witness statements did not follow the section 54 criteria of the 2008 Act. </w:t>
      </w:r>
      <w:r w:rsidR="008A20C6" w:rsidRPr="007F2727">
        <w:rPr>
          <w:rFonts w:ascii="Arial" w:hAnsi="Arial" w:cs="Arial"/>
          <w:sz w:val="22"/>
        </w:rPr>
        <w:t xml:space="preserve">Thus couples viewed the purpose of their witness statements as conveying to the courts the impact of their infertility (medical or social), the circumstances surrounding the surrogacy arrangements and why they were </w:t>
      </w:r>
      <w:proofErr w:type="gramStart"/>
      <w:r w:rsidR="008A20C6" w:rsidRPr="007F2727">
        <w:rPr>
          <w:rFonts w:ascii="Arial" w:hAnsi="Arial" w:cs="Arial"/>
          <w:sz w:val="22"/>
        </w:rPr>
        <w:t>deserving</w:t>
      </w:r>
      <w:proofErr w:type="gramEnd"/>
      <w:r w:rsidR="008A20C6" w:rsidRPr="007F2727">
        <w:rPr>
          <w:rFonts w:ascii="Arial" w:hAnsi="Arial" w:cs="Arial"/>
          <w:sz w:val="22"/>
        </w:rPr>
        <w:t xml:space="preserve"> as parents. These were recounte</w:t>
      </w:r>
      <w:r w:rsidR="009B3152" w:rsidRPr="007F2727">
        <w:rPr>
          <w:rFonts w:ascii="Arial" w:hAnsi="Arial" w:cs="Arial"/>
          <w:sz w:val="22"/>
        </w:rPr>
        <w:t>d either</w:t>
      </w:r>
      <w:r w:rsidR="008A20C6" w:rsidRPr="007F2727">
        <w:rPr>
          <w:rFonts w:ascii="Arial" w:hAnsi="Arial" w:cs="Arial"/>
          <w:sz w:val="22"/>
        </w:rPr>
        <w:t xml:space="preserve"> with or without formality. The formal language adopted arguably </w:t>
      </w:r>
      <w:r w:rsidR="00255089" w:rsidRPr="007F2727">
        <w:rPr>
          <w:rFonts w:ascii="Arial" w:hAnsi="Arial" w:cs="Arial"/>
          <w:sz w:val="22"/>
        </w:rPr>
        <w:t>failed to convey to the reader</w:t>
      </w:r>
      <w:r w:rsidR="008A20C6" w:rsidRPr="007F2727">
        <w:rPr>
          <w:rFonts w:ascii="Arial" w:hAnsi="Arial" w:cs="Arial"/>
          <w:sz w:val="22"/>
        </w:rPr>
        <w:t xml:space="preserve"> the full emotional impact of the surrogacy process. </w:t>
      </w:r>
      <w:r w:rsidR="00DB7D2A" w:rsidRPr="007F2727">
        <w:rPr>
          <w:rFonts w:ascii="Arial" w:hAnsi="Arial" w:cs="Arial"/>
          <w:sz w:val="22"/>
        </w:rPr>
        <w:t>In turn,</w:t>
      </w:r>
      <w:r w:rsidR="008A20C6" w:rsidRPr="007F2727">
        <w:rPr>
          <w:rFonts w:ascii="Arial" w:hAnsi="Arial" w:cs="Arial"/>
          <w:sz w:val="22"/>
        </w:rPr>
        <w:t xml:space="preserve"> the court judgments (discussed in section 6) were </w:t>
      </w:r>
      <w:r w:rsidR="009B3152" w:rsidRPr="007F2727">
        <w:rPr>
          <w:rFonts w:ascii="Arial" w:hAnsi="Arial" w:cs="Arial"/>
          <w:sz w:val="22"/>
        </w:rPr>
        <w:t xml:space="preserve">themselves </w:t>
      </w:r>
      <w:r w:rsidR="008A20C6" w:rsidRPr="007F2727">
        <w:rPr>
          <w:rFonts w:ascii="Arial" w:hAnsi="Arial" w:cs="Arial"/>
          <w:sz w:val="22"/>
        </w:rPr>
        <w:t xml:space="preserve">emotive in places </w:t>
      </w:r>
      <w:r w:rsidR="009B3152" w:rsidRPr="007F2727">
        <w:rPr>
          <w:rFonts w:ascii="Arial" w:hAnsi="Arial" w:cs="Arial"/>
          <w:sz w:val="22"/>
        </w:rPr>
        <w:t>and attempted to relay</w:t>
      </w:r>
      <w:r w:rsidR="008A20C6" w:rsidRPr="007F2727">
        <w:rPr>
          <w:rFonts w:ascii="Arial" w:hAnsi="Arial" w:cs="Arial"/>
          <w:sz w:val="22"/>
        </w:rPr>
        <w:t xml:space="preserve"> the full</w:t>
      </w:r>
      <w:r w:rsidR="00DB7D2A" w:rsidRPr="007F2727">
        <w:rPr>
          <w:rFonts w:ascii="Arial" w:hAnsi="Arial" w:cs="Arial"/>
          <w:sz w:val="22"/>
        </w:rPr>
        <w:t xml:space="preserve"> emotional </w:t>
      </w:r>
      <w:r w:rsidR="008A20C6" w:rsidRPr="007F2727">
        <w:rPr>
          <w:rFonts w:ascii="Arial" w:hAnsi="Arial" w:cs="Arial"/>
          <w:sz w:val="22"/>
        </w:rPr>
        <w:t>impact of the surrogacy journey on the commissioning couples involved</w:t>
      </w:r>
      <w:r w:rsidR="00DB7D2A" w:rsidRPr="007F2727">
        <w:rPr>
          <w:rFonts w:ascii="Arial" w:hAnsi="Arial" w:cs="Arial"/>
          <w:sz w:val="22"/>
        </w:rPr>
        <w:t xml:space="preserve"> by repeating their stories rather than merely observing whether or not the section 54 criteria had been met</w:t>
      </w:r>
      <w:r w:rsidR="008A20C6" w:rsidRPr="007F2727">
        <w:rPr>
          <w:rFonts w:ascii="Arial" w:hAnsi="Arial" w:cs="Arial"/>
          <w:sz w:val="22"/>
        </w:rPr>
        <w:t xml:space="preserve">. </w:t>
      </w:r>
    </w:p>
    <w:p w14:paraId="49D8B6D1" w14:textId="77777777" w:rsidR="003136C2" w:rsidRPr="007F2727" w:rsidRDefault="003136C2" w:rsidP="008A20C6">
      <w:pPr>
        <w:spacing w:line="480" w:lineRule="auto"/>
        <w:rPr>
          <w:rFonts w:ascii="Arial" w:hAnsi="Arial" w:cs="Arial"/>
          <w:sz w:val="22"/>
        </w:rPr>
      </w:pPr>
    </w:p>
    <w:p w14:paraId="19EA52FC" w14:textId="77777777" w:rsidR="009458D2" w:rsidRPr="007F2727" w:rsidRDefault="008A20C6" w:rsidP="009458D2">
      <w:pPr>
        <w:spacing w:line="480" w:lineRule="auto"/>
        <w:rPr>
          <w:rFonts w:ascii="Arial" w:hAnsi="Arial" w:cs="Arial"/>
          <w:sz w:val="22"/>
        </w:rPr>
      </w:pPr>
      <w:r w:rsidRPr="007F2727">
        <w:rPr>
          <w:rFonts w:ascii="Arial" w:hAnsi="Arial" w:cs="Arial"/>
          <w:sz w:val="22"/>
        </w:rPr>
        <w:t>The absence of information that touched on the section 54 criteria</w:t>
      </w:r>
      <w:r w:rsidR="009458D2" w:rsidRPr="007F2727">
        <w:rPr>
          <w:rFonts w:ascii="Arial" w:hAnsi="Arial" w:cs="Arial"/>
          <w:sz w:val="22"/>
        </w:rPr>
        <w:t xml:space="preserve"> led to court directions for further witness statements to be filed so that evidence supporting </w:t>
      </w:r>
      <w:r w:rsidR="00CD4447" w:rsidRPr="007F2727">
        <w:rPr>
          <w:rFonts w:ascii="Arial" w:hAnsi="Arial" w:cs="Arial"/>
          <w:sz w:val="22"/>
        </w:rPr>
        <w:t>the</w:t>
      </w:r>
      <w:r w:rsidR="0078748A" w:rsidRPr="007F2727">
        <w:rPr>
          <w:rFonts w:ascii="Arial" w:hAnsi="Arial" w:cs="Arial"/>
          <w:sz w:val="22"/>
        </w:rPr>
        <w:t xml:space="preserve"> </w:t>
      </w:r>
      <w:r w:rsidR="009458D2" w:rsidRPr="007F2727">
        <w:rPr>
          <w:rFonts w:ascii="Arial" w:hAnsi="Arial" w:cs="Arial"/>
          <w:sz w:val="22"/>
        </w:rPr>
        <w:t>criteria could be obtained from the commissioning couples</w:t>
      </w:r>
      <w:r w:rsidR="007743AA">
        <w:rPr>
          <w:rFonts w:ascii="Arial" w:hAnsi="Arial" w:cs="Arial"/>
          <w:sz w:val="22"/>
        </w:rPr>
        <w:t>. T</w:t>
      </w:r>
      <w:r w:rsidR="009458D2" w:rsidRPr="007F2727">
        <w:rPr>
          <w:rFonts w:ascii="Arial" w:hAnsi="Arial" w:cs="Arial"/>
          <w:sz w:val="22"/>
        </w:rPr>
        <w:t xml:space="preserve">his inevitably increased the length of proceedings. </w:t>
      </w:r>
      <w:r w:rsidR="00EB255B" w:rsidRPr="007F2727">
        <w:rPr>
          <w:rFonts w:ascii="Arial" w:hAnsi="Arial" w:cs="Arial"/>
          <w:sz w:val="22"/>
        </w:rPr>
        <w:t xml:space="preserve"> </w:t>
      </w:r>
      <w:r w:rsidR="00EB255B" w:rsidRPr="007F2727">
        <w:rPr>
          <w:rFonts w:ascii="Arial" w:hAnsi="Arial"/>
          <w:sz w:val="22"/>
        </w:rPr>
        <w:t>Few of the witness statements followed the section 54 criteria and provided information on all aspects such as domicile,</w:t>
      </w:r>
      <w:r w:rsidR="00EB255B" w:rsidRPr="007F2727">
        <w:rPr>
          <w:rStyle w:val="FootnoteReference"/>
          <w:rFonts w:ascii="Arial" w:hAnsi="Arial"/>
          <w:sz w:val="22"/>
        </w:rPr>
        <w:footnoteReference w:id="51"/>
      </w:r>
      <w:r w:rsidR="00EB255B" w:rsidRPr="007F2727">
        <w:rPr>
          <w:rFonts w:ascii="Arial" w:hAnsi="Arial"/>
          <w:sz w:val="22"/>
        </w:rPr>
        <w:t xml:space="preserve"> consent of the surrogate to the making of a parental order application</w:t>
      </w:r>
      <w:r w:rsidR="00EB255B" w:rsidRPr="007F2727">
        <w:rPr>
          <w:rStyle w:val="FootnoteReference"/>
          <w:rFonts w:ascii="Arial" w:hAnsi="Arial"/>
          <w:sz w:val="22"/>
        </w:rPr>
        <w:footnoteReference w:id="52"/>
      </w:r>
      <w:r w:rsidR="00EB255B" w:rsidRPr="007F2727">
        <w:rPr>
          <w:rFonts w:ascii="Arial" w:hAnsi="Arial"/>
          <w:sz w:val="22"/>
        </w:rPr>
        <w:t xml:space="preserve"> or explaining that only reasonably incurred money or other benefits have been given or received by the applicants.</w:t>
      </w:r>
      <w:r w:rsidR="00EB255B" w:rsidRPr="007F2727">
        <w:rPr>
          <w:rStyle w:val="FootnoteReference"/>
          <w:rFonts w:ascii="Arial" w:hAnsi="Arial"/>
          <w:sz w:val="22"/>
        </w:rPr>
        <w:footnoteReference w:id="53"/>
      </w:r>
      <w:r w:rsidR="00EB255B" w:rsidRPr="007F2727">
        <w:rPr>
          <w:rFonts w:ascii="Arial" w:hAnsi="Arial"/>
          <w:sz w:val="22"/>
        </w:rPr>
        <w:t xml:space="preserve"> This meant that couples were often required to file supplementary witness statements to deal with these issues or a Children</w:t>
      </w:r>
      <w:r w:rsidR="007743AA">
        <w:rPr>
          <w:rFonts w:ascii="Arial" w:hAnsi="Arial"/>
          <w:sz w:val="22"/>
        </w:rPr>
        <w:t>’</w:t>
      </w:r>
      <w:r w:rsidR="00EB255B" w:rsidRPr="007F2727">
        <w:rPr>
          <w:rFonts w:ascii="Arial" w:hAnsi="Arial"/>
          <w:sz w:val="22"/>
        </w:rPr>
        <w:t xml:space="preserve">s Solicitor would be appointed by the court to make further enquiries of clinics about the issue of payments or the surrogate’s consent. One method of simplifying the process would be to provide pro forma witness statements that followed the section 54 criteria and </w:t>
      </w:r>
      <w:r w:rsidR="00EB255B" w:rsidRPr="007F2727">
        <w:rPr>
          <w:rFonts w:ascii="Arial" w:hAnsi="Arial"/>
          <w:sz w:val="22"/>
        </w:rPr>
        <w:lastRenderedPageBreak/>
        <w:t>made it clear to applicants the nature and level of the information that would be required from them before the process begins.</w:t>
      </w:r>
    </w:p>
    <w:p w14:paraId="4D7E45F8" w14:textId="77777777" w:rsidR="00157769" w:rsidRPr="007F2727" w:rsidRDefault="00157769" w:rsidP="00B7481E">
      <w:pPr>
        <w:spacing w:line="480" w:lineRule="auto"/>
        <w:rPr>
          <w:rFonts w:ascii="Arial" w:hAnsi="Arial" w:cs="Arial"/>
          <w:b/>
          <w:sz w:val="22"/>
        </w:rPr>
      </w:pPr>
    </w:p>
    <w:p w14:paraId="004F0C52" w14:textId="77777777" w:rsidR="00C63405" w:rsidRPr="007F2727" w:rsidRDefault="00A82F62" w:rsidP="00C63405">
      <w:pPr>
        <w:spacing w:line="480" w:lineRule="auto"/>
        <w:rPr>
          <w:rFonts w:ascii="Arial" w:hAnsi="Arial" w:cs="Arial"/>
          <w:sz w:val="22"/>
        </w:rPr>
      </w:pPr>
      <w:r w:rsidRPr="007F2727">
        <w:rPr>
          <w:rFonts w:ascii="Arial" w:hAnsi="Arial" w:cs="Arial"/>
          <w:sz w:val="22"/>
        </w:rPr>
        <w:t xml:space="preserve">The complicating action in the stories focused on concerns for the wellbeing of the surrogate and the element of commerciality. </w:t>
      </w:r>
      <w:r w:rsidR="00C63405" w:rsidRPr="007F2727">
        <w:rPr>
          <w:rFonts w:ascii="Arial" w:hAnsi="Arial" w:cs="Arial"/>
          <w:sz w:val="22"/>
        </w:rPr>
        <w:t xml:space="preserve">Exploitation of the surrogate was recognised as a potential risk but </w:t>
      </w:r>
      <w:r w:rsidR="0016345E" w:rsidRPr="007F2727">
        <w:rPr>
          <w:rFonts w:ascii="Arial" w:hAnsi="Arial" w:cs="Arial"/>
          <w:sz w:val="22"/>
        </w:rPr>
        <w:t xml:space="preserve">most </w:t>
      </w:r>
      <w:r w:rsidR="00C63405" w:rsidRPr="007F2727">
        <w:rPr>
          <w:rFonts w:ascii="Arial" w:hAnsi="Arial" w:cs="Arial"/>
          <w:sz w:val="22"/>
        </w:rPr>
        <w:t xml:space="preserve">couples felt they could control the outcome by selecting </w:t>
      </w:r>
      <w:r w:rsidR="004E5CC2" w:rsidRPr="007F2727">
        <w:rPr>
          <w:rFonts w:ascii="Arial" w:hAnsi="Arial" w:cs="Arial"/>
          <w:sz w:val="22"/>
        </w:rPr>
        <w:t xml:space="preserve">surrogacy agencies and </w:t>
      </w:r>
      <w:r w:rsidR="00C63405" w:rsidRPr="007F2727">
        <w:rPr>
          <w:rFonts w:ascii="Arial" w:hAnsi="Arial" w:cs="Arial"/>
          <w:sz w:val="22"/>
        </w:rPr>
        <w:t>clinics with ethical business practices and a proven track regard of putting the surrogate’s wellbeing first:</w:t>
      </w:r>
    </w:p>
    <w:p w14:paraId="7398555E" w14:textId="77777777" w:rsidR="00C63405" w:rsidRPr="007F2727" w:rsidRDefault="00C63405" w:rsidP="00C93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sz w:val="22"/>
        </w:rPr>
      </w:pPr>
    </w:p>
    <w:p w14:paraId="360FDE1A" w14:textId="77777777" w:rsidR="00C63405" w:rsidRPr="007F2727" w:rsidRDefault="00C63405" w:rsidP="007A7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eastAsia="Arial" w:hAnsi="Arial"/>
          <w:i/>
          <w:sz w:val="22"/>
        </w:rPr>
      </w:pPr>
      <w:r w:rsidRPr="007F2727">
        <w:rPr>
          <w:rFonts w:ascii="Arial" w:eastAsia="Arial" w:hAnsi="Arial"/>
          <w:i/>
          <w:sz w:val="22"/>
        </w:rPr>
        <w:t>We decided to proceed with surrogacy in India because of economic and altruistic reasons as we were assured by (name of clinic) that the surrogate women would be very well looked after by the (name of clinic) and would be given excellent healthcare throughout the pregnancy.”</w:t>
      </w:r>
    </w:p>
    <w:p w14:paraId="19C86357" w14:textId="77777777" w:rsidR="00C63405" w:rsidRPr="007F2727" w:rsidRDefault="00C63405" w:rsidP="007A718A">
      <w:pPr>
        <w:spacing w:line="480" w:lineRule="auto"/>
        <w:ind w:firstLine="720"/>
        <w:rPr>
          <w:rFonts w:ascii="Arial" w:hAnsi="Arial" w:cs="Arial"/>
          <w:sz w:val="22"/>
        </w:rPr>
      </w:pPr>
      <w:r w:rsidRPr="007F2727">
        <w:rPr>
          <w:rFonts w:ascii="Arial" w:eastAsia="Times New Roman" w:hAnsi="Arial" w:cs="Arial"/>
          <w:sz w:val="22"/>
        </w:rPr>
        <w:t>(File 4, applicant 2)</w:t>
      </w:r>
    </w:p>
    <w:p w14:paraId="3797B68E" w14:textId="77777777" w:rsidR="001F47F0" w:rsidRPr="007F2727" w:rsidRDefault="001F47F0" w:rsidP="007A718A">
      <w:pPr>
        <w:spacing w:line="480" w:lineRule="auto"/>
        <w:rPr>
          <w:rFonts w:ascii="Arial" w:hAnsi="Arial" w:cs="Arial"/>
          <w:b/>
          <w:sz w:val="22"/>
        </w:rPr>
      </w:pPr>
    </w:p>
    <w:p w14:paraId="52433708" w14:textId="77777777" w:rsidR="001F47F0" w:rsidRPr="007F2727" w:rsidRDefault="001F47F0" w:rsidP="00884C26">
      <w:pPr>
        <w:spacing w:line="480" w:lineRule="auto"/>
        <w:rPr>
          <w:rFonts w:ascii="Arial" w:hAnsi="Arial" w:cs="Arial"/>
          <w:sz w:val="22"/>
        </w:rPr>
      </w:pPr>
      <w:r w:rsidRPr="007F2727">
        <w:rPr>
          <w:rFonts w:ascii="Arial" w:hAnsi="Arial" w:cs="Arial"/>
          <w:sz w:val="22"/>
        </w:rPr>
        <w:t xml:space="preserve">This commissioning </w:t>
      </w:r>
      <w:r w:rsidR="006B2CAF" w:rsidRPr="007F2727">
        <w:rPr>
          <w:rFonts w:ascii="Arial" w:hAnsi="Arial" w:cs="Arial"/>
          <w:sz w:val="22"/>
        </w:rPr>
        <w:t xml:space="preserve">mother uses the word ‘altruistic’ despite the fact that the arrangement was a commercial one and this underlines the fact that for this couple the motivations (selflessness and concern for others) were viewed as </w:t>
      </w:r>
      <w:r w:rsidR="0016345E" w:rsidRPr="007F2727">
        <w:rPr>
          <w:rFonts w:ascii="Arial" w:hAnsi="Arial" w:cs="Arial"/>
          <w:sz w:val="22"/>
        </w:rPr>
        <w:t xml:space="preserve">altruistic and </w:t>
      </w:r>
      <w:r w:rsidR="006B2CAF" w:rsidRPr="007F2727">
        <w:rPr>
          <w:rFonts w:ascii="Arial" w:hAnsi="Arial" w:cs="Arial"/>
          <w:sz w:val="22"/>
        </w:rPr>
        <w:t xml:space="preserve">capable of existing within a surrogacy arrangement regardless of </w:t>
      </w:r>
      <w:r w:rsidR="00861CCB" w:rsidRPr="007F2727">
        <w:rPr>
          <w:rFonts w:ascii="Arial" w:hAnsi="Arial" w:cs="Arial"/>
          <w:sz w:val="22"/>
        </w:rPr>
        <w:t>the commercial nature of the relationship</w:t>
      </w:r>
      <w:r w:rsidR="00C93850" w:rsidRPr="007F2727">
        <w:rPr>
          <w:rFonts w:ascii="Arial" w:hAnsi="Arial" w:cs="Arial"/>
          <w:sz w:val="22"/>
        </w:rPr>
        <w:t xml:space="preserve"> through payments</w:t>
      </w:r>
      <w:r w:rsidR="006B2CAF" w:rsidRPr="007F2727">
        <w:rPr>
          <w:rFonts w:ascii="Arial" w:hAnsi="Arial" w:cs="Arial"/>
          <w:sz w:val="22"/>
        </w:rPr>
        <w:t>.</w:t>
      </w:r>
    </w:p>
    <w:p w14:paraId="77A318C0" w14:textId="77777777" w:rsidR="006B2CAF" w:rsidRPr="007F2727" w:rsidRDefault="006B2CAF" w:rsidP="00884C26">
      <w:pPr>
        <w:spacing w:line="480" w:lineRule="auto"/>
        <w:rPr>
          <w:rFonts w:ascii="Arial" w:hAnsi="Arial" w:cs="Arial"/>
          <w:b/>
          <w:sz w:val="22"/>
        </w:rPr>
      </w:pPr>
    </w:p>
    <w:p w14:paraId="46F97EB4" w14:textId="77777777" w:rsidR="00DB6743" w:rsidRPr="007F2727" w:rsidRDefault="001F47F0" w:rsidP="00884C26">
      <w:pPr>
        <w:spacing w:line="480" w:lineRule="auto"/>
        <w:rPr>
          <w:rFonts w:ascii="Arial" w:hAnsi="Arial" w:cs="Arial"/>
          <w:sz w:val="22"/>
        </w:rPr>
      </w:pPr>
      <w:r w:rsidRPr="007F2727">
        <w:rPr>
          <w:rFonts w:ascii="Arial" w:hAnsi="Arial" w:cs="Arial"/>
          <w:sz w:val="22"/>
        </w:rPr>
        <w:t xml:space="preserve">The commissioning couples </w:t>
      </w:r>
      <w:r w:rsidR="00350AAB" w:rsidRPr="007F2727">
        <w:rPr>
          <w:rFonts w:ascii="Arial" w:hAnsi="Arial" w:cs="Arial"/>
          <w:sz w:val="22"/>
        </w:rPr>
        <w:t>largely</w:t>
      </w:r>
      <w:r w:rsidRPr="007F2727">
        <w:rPr>
          <w:rFonts w:ascii="Arial" w:hAnsi="Arial" w:cs="Arial"/>
          <w:sz w:val="22"/>
        </w:rPr>
        <w:t xml:space="preserve"> framed the stories of their journey as one where they made choices in relation to selection of surrogacy agencies, clinics and surrogates (sometimes with advice from third parties).</w:t>
      </w:r>
      <w:r w:rsidR="00DB6743" w:rsidRPr="007F2727">
        <w:rPr>
          <w:rFonts w:ascii="Arial" w:hAnsi="Arial" w:cs="Arial"/>
          <w:sz w:val="22"/>
        </w:rPr>
        <w:t xml:space="preserve"> None of the statements in the sample were constructed in a way to suggest lack of choice by the commissioning couples during the process of selecting the clinic and surrogate.</w:t>
      </w:r>
      <w:r w:rsidR="005E64F0" w:rsidRPr="007F2727">
        <w:rPr>
          <w:rFonts w:ascii="Arial" w:hAnsi="Arial" w:cs="Arial"/>
          <w:sz w:val="22"/>
        </w:rPr>
        <w:t xml:space="preserve"> In this respect they voiced actions and choices suggestive of personal autonomy. </w:t>
      </w:r>
      <w:r w:rsidR="00DB6743" w:rsidRPr="007F2727">
        <w:rPr>
          <w:rFonts w:ascii="Arial" w:hAnsi="Arial" w:cs="Arial"/>
          <w:sz w:val="22"/>
        </w:rPr>
        <w:t xml:space="preserve"> However, many of the statements expressed frustration at a lack of control over payments</w:t>
      </w:r>
      <w:r w:rsidR="00350AAB" w:rsidRPr="007F2727">
        <w:rPr>
          <w:rFonts w:ascii="Arial" w:hAnsi="Arial" w:cs="Arial"/>
          <w:sz w:val="22"/>
        </w:rPr>
        <w:t>. All payments</w:t>
      </w:r>
      <w:r w:rsidR="00DB6743" w:rsidRPr="007F2727">
        <w:rPr>
          <w:rFonts w:ascii="Arial" w:hAnsi="Arial" w:cs="Arial"/>
          <w:sz w:val="22"/>
        </w:rPr>
        <w:t xml:space="preserve"> </w:t>
      </w:r>
      <w:r w:rsidR="00DB6743" w:rsidRPr="007F2727">
        <w:rPr>
          <w:rFonts w:ascii="Arial" w:hAnsi="Arial" w:cs="Arial"/>
          <w:sz w:val="22"/>
        </w:rPr>
        <w:lastRenderedPageBreak/>
        <w:t xml:space="preserve">were </w:t>
      </w:r>
      <w:r w:rsidR="00350AAB" w:rsidRPr="007F2727">
        <w:rPr>
          <w:rFonts w:ascii="Arial" w:hAnsi="Arial" w:cs="Arial"/>
          <w:sz w:val="22"/>
        </w:rPr>
        <w:t xml:space="preserve">made to </w:t>
      </w:r>
      <w:r w:rsidR="00DB6743" w:rsidRPr="007F2727">
        <w:rPr>
          <w:rFonts w:ascii="Arial" w:hAnsi="Arial" w:cs="Arial"/>
          <w:sz w:val="22"/>
        </w:rPr>
        <w:t>the clinics and couples felt</w:t>
      </w:r>
      <w:r w:rsidR="00350AAB" w:rsidRPr="007F2727">
        <w:rPr>
          <w:rFonts w:ascii="Arial" w:hAnsi="Arial" w:cs="Arial"/>
          <w:sz w:val="22"/>
        </w:rPr>
        <w:t xml:space="preserve"> that these payments</w:t>
      </w:r>
      <w:r w:rsidR="00DB6743" w:rsidRPr="007F2727">
        <w:rPr>
          <w:rFonts w:ascii="Arial" w:hAnsi="Arial" w:cs="Arial"/>
          <w:sz w:val="22"/>
        </w:rPr>
        <w:t xml:space="preserve"> sometimes increased beyond their original expectations or</w:t>
      </w:r>
      <w:r w:rsidR="00350AAB" w:rsidRPr="007F2727">
        <w:rPr>
          <w:rFonts w:ascii="Arial" w:hAnsi="Arial" w:cs="Arial"/>
          <w:sz w:val="22"/>
        </w:rPr>
        <w:t xml:space="preserve"> they were unable to monitor if the surrogate received her share of the payments</w:t>
      </w:r>
      <w:r w:rsidR="00DB6743" w:rsidRPr="007F2727">
        <w:rPr>
          <w:rFonts w:ascii="Arial" w:hAnsi="Arial" w:cs="Arial"/>
          <w:sz w:val="22"/>
        </w:rPr>
        <w:t xml:space="preserve"> </w:t>
      </w:r>
      <w:r w:rsidR="001D5A3D" w:rsidRPr="007F2727">
        <w:rPr>
          <w:rFonts w:ascii="Arial" w:hAnsi="Arial" w:cs="Arial"/>
          <w:sz w:val="22"/>
        </w:rPr>
        <w:t>For example</w:t>
      </w:r>
      <w:r w:rsidR="005E64F0" w:rsidRPr="007F2727">
        <w:rPr>
          <w:rFonts w:ascii="Arial" w:hAnsi="Arial" w:cs="Arial"/>
          <w:sz w:val="22"/>
        </w:rPr>
        <w:t>:</w:t>
      </w:r>
    </w:p>
    <w:p w14:paraId="6C7E8A17" w14:textId="77777777" w:rsidR="005E64F0" w:rsidRPr="007F2727" w:rsidRDefault="005E64F0" w:rsidP="00884C26">
      <w:pPr>
        <w:spacing w:line="480" w:lineRule="auto"/>
        <w:rPr>
          <w:rFonts w:ascii="Arial" w:hAnsi="Arial" w:cs="Arial"/>
          <w:sz w:val="22"/>
        </w:rPr>
      </w:pPr>
    </w:p>
    <w:p w14:paraId="4D84983B" w14:textId="77777777" w:rsidR="001D5A3D" w:rsidRPr="007F2727" w:rsidRDefault="001D5A3D" w:rsidP="001D5A3D">
      <w:pPr>
        <w:spacing w:line="480" w:lineRule="auto"/>
        <w:ind w:left="720"/>
        <w:rPr>
          <w:rFonts w:ascii="Arial" w:hAnsi="Arial" w:cs="Arial"/>
          <w:i/>
          <w:sz w:val="22"/>
        </w:rPr>
      </w:pPr>
      <w:r w:rsidRPr="007F2727">
        <w:rPr>
          <w:rFonts w:ascii="Arial" w:hAnsi="Arial" w:cs="Arial"/>
          <w:i/>
          <w:sz w:val="22"/>
        </w:rPr>
        <w:t>We had no specific say in how the money was spent. We got the breakdown from the lawyer Mr (name) after he paid the fees.</w:t>
      </w:r>
    </w:p>
    <w:p w14:paraId="72D0DD48" w14:textId="77777777" w:rsidR="001D5A3D" w:rsidRPr="007F2727" w:rsidRDefault="001D5A3D" w:rsidP="001D5A3D">
      <w:pPr>
        <w:spacing w:line="480" w:lineRule="auto"/>
        <w:ind w:left="720"/>
        <w:rPr>
          <w:rFonts w:ascii="Arial" w:hAnsi="Arial" w:cs="Arial"/>
          <w:i/>
          <w:sz w:val="22"/>
        </w:rPr>
      </w:pPr>
      <w:r w:rsidRPr="007F2727">
        <w:rPr>
          <w:rFonts w:ascii="Arial" w:hAnsi="Arial" w:cs="Arial"/>
          <w:i/>
          <w:sz w:val="22"/>
        </w:rPr>
        <w:t>(File 4, second applicant)</w:t>
      </w:r>
    </w:p>
    <w:p w14:paraId="51C608CB" w14:textId="77777777" w:rsidR="001D5A3D" w:rsidRPr="007F2727" w:rsidRDefault="001D5A3D" w:rsidP="00884C26">
      <w:pPr>
        <w:spacing w:line="480" w:lineRule="auto"/>
        <w:rPr>
          <w:rFonts w:ascii="Arial" w:hAnsi="Arial" w:cs="Arial"/>
          <w:sz w:val="22"/>
        </w:rPr>
      </w:pPr>
    </w:p>
    <w:p w14:paraId="354C347B" w14:textId="77777777" w:rsidR="005E64F0" w:rsidRPr="007F2727" w:rsidRDefault="005E64F0" w:rsidP="005E64F0">
      <w:pPr>
        <w:spacing w:line="360" w:lineRule="auto"/>
        <w:ind w:left="720"/>
        <w:rPr>
          <w:rFonts w:ascii="Arial" w:hAnsi="Arial" w:cs="Arial"/>
          <w:i/>
          <w:sz w:val="22"/>
        </w:rPr>
      </w:pPr>
      <w:r w:rsidRPr="007F2727">
        <w:rPr>
          <w:rFonts w:ascii="Arial" w:hAnsi="Arial" w:cs="Arial"/>
          <w:i/>
          <w:sz w:val="22"/>
        </w:rPr>
        <w:t>The clinic asked for additional money at every opportunity through the process but once involved, the applicants felt bound to agree to the demands of the clinic.</w:t>
      </w:r>
    </w:p>
    <w:p w14:paraId="47861944" w14:textId="77777777" w:rsidR="005E64F0" w:rsidRPr="007F2727" w:rsidRDefault="005E64F0" w:rsidP="00231A4C">
      <w:pPr>
        <w:spacing w:line="360" w:lineRule="auto"/>
        <w:ind w:firstLine="720"/>
        <w:rPr>
          <w:rFonts w:ascii="Arial" w:hAnsi="Arial" w:cs="Arial"/>
          <w:sz w:val="22"/>
        </w:rPr>
      </w:pPr>
      <w:r w:rsidRPr="007F2727">
        <w:rPr>
          <w:rFonts w:ascii="Arial" w:hAnsi="Arial" w:cs="Arial"/>
          <w:sz w:val="22"/>
        </w:rPr>
        <w:t>(File 1, POR).</w:t>
      </w:r>
    </w:p>
    <w:p w14:paraId="7E842396" w14:textId="77777777" w:rsidR="00DB6743" w:rsidRPr="007F2727" w:rsidRDefault="00DB6743" w:rsidP="00884C26">
      <w:pPr>
        <w:spacing w:line="480" w:lineRule="auto"/>
        <w:rPr>
          <w:rFonts w:ascii="Arial" w:hAnsi="Arial" w:cs="Arial"/>
          <w:sz w:val="22"/>
        </w:rPr>
      </w:pPr>
    </w:p>
    <w:p w14:paraId="2E562230" w14:textId="77777777" w:rsidR="001F268D" w:rsidRPr="007F2727" w:rsidRDefault="001F47F0" w:rsidP="00884C26">
      <w:pPr>
        <w:spacing w:line="480" w:lineRule="auto"/>
        <w:rPr>
          <w:rFonts w:ascii="Arial" w:hAnsi="Arial" w:cs="Arial"/>
          <w:sz w:val="22"/>
        </w:rPr>
      </w:pPr>
      <w:r w:rsidRPr="007F2727">
        <w:rPr>
          <w:rFonts w:ascii="Arial" w:hAnsi="Arial" w:cs="Arial"/>
          <w:sz w:val="22"/>
        </w:rPr>
        <w:t>However, once the selection was made they were also dependent on the surrogate exercising her choice in their favour. This did not always occur</w:t>
      </w:r>
      <w:r w:rsidR="001A1599" w:rsidRPr="007F2727">
        <w:rPr>
          <w:rFonts w:ascii="Arial" w:hAnsi="Arial" w:cs="Arial"/>
          <w:sz w:val="22"/>
        </w:rPr>
        <w:t>, for example there were reports of surrogates withdrawing from the agreement on discovering the sexual orientation of the commissioning couple.</w:t>
      </w:r>
    </w:p>
    <w:p w14:paraId="396A461B" w14:textId="77777777" w:rsidR="00F72AF9" w:rsidRPr="007F2727" w:rsidRDefault="00F72AF9" w:rsidP="00231A4C">
      <w:pPr>
        <w:spacing w:line="480" w:lineRule="auto"/>
        <w:rPr>
          <w:rFonts w:ascii="ArialMT" w:hAnsi="ArialMT" w:cs="ArialMT"/>
          <w:sz w:val="22"/>
          <w:lang w:eastAsia="ja-JP"/>
        </w:rPr>
      </w:pPr>
    </w:p>
    <w:p w14:paraId="3D105C44" w14:textId="77777777" w:rsidR="00462156" w:rsidRPr="007F2727" w:rsidRDefault="00462156" w:rsidP="00462156">
      <w:pPr>
        <w:spacing w:line="480" w:lineRule="auto"/>
        <w:rPr>
          <w:rFonts w:ascii="Arial" w:hAnsi="Arial" w:cs="Arial"/>
          <w:sz w:val="22"/>
        </w:rPr>
      </w:pPr>
      <w:r w:rsidRPr="007F2727">
        <w:rPr>
          <w:rFonts w:ascii="Arial" w:hAnsi="Arial" w:cs="Arial"/>
          <w:sz w:val="22"/>
        </w:rPr>
        <w:t xml:space="preserve">The sixth stage of </w:t>
      </w:r>
      <w:proofErr w:type="spellStart"/>
      <w:r w:rsidRPr="007F2727">
        <w:rPr>
          <w:rFonts w:ascii="Arial" w:hAnsi="Arial" w:cs="Arial"/>
          <w:sz w:val="22"/>
        </w:rPr>
        <w:t>Labov</w:t>
      </w:r>
      <w:proofErr w:type="spellEnd"/>
      <w:r w:rsidRPr="007F2727">
        <w:rPr>
          <w:rFonts w:ascii="Arial" w:hAnsi="Arial" w:cs="Arial"/>
          <w:sz w:val="22"/>
        </w:rPr>
        <w:t xml:space="preserve"> and </w:t>
      </w:r>
      <w:proofErr w:type="spellStart"/>
      <w:r w:rsidRPr="007F2727">
        <w:rPr>
          <w:rFonts w:ascii="Arial" w:hAnsi="Arial" w:cs="Arial"/>
          <w:sz w:val="22"/>
        </w:rPr>
        <w:t>Waletzky’s</w:t>
      </w:r>
      <w:proofErr w:type="spellEnd"/>
      <w:r w:rsidRPr="007F2727">
        <w:rPr>
          <w:rFonts w:ascii="Arial" w:hAnsi="Arial" w:cs="Arial"/>
          <w:sz w:val="22"/>
        </w:rPr>
        <w:t xml:space="preserve"> story-telling process known as ‘Coda’ was most evident in the commissioning couples’ witness statements when describing their feelings on becoming parents. The Coda is the reflective stage that brings together the events, complications, actions and resolutions to make sense of and give meaning to the journey the commissioning couple had completed. </w:t>
      </w:r>
      <w:proofErr w:type="gramStart"/>
      <w:r w:rsidRPr="007F2727">
        <w:rPr>
          <w:rFonts w:ascii="Arial" w:hAnsi="Arial" w:cs="Arial"/>
          <w:sz w:val="22"/>
        </w:rPr>
        <w:t>The Coda in the witness statements very much centred on birthing a child through partnership with another (whether this be a surrogate, egg donor or even the clinic).</w:t>
      </w:r>
      <w:proofErr w:type="gramEnd"/>
      <w:r w:rsidRPr="007F2727">
        <w:rPr>
          <w:rFonts w:ascii="Arial" w:hAnsi="Arial" w:cs="Arial"/>
          <w:sz w:val="22"/>
        </w:rPr>
        <w:t xml:space="preserve"> For those arrangements involving a surrogate, the commissioning couple viewed the partnership as one where they were providing financial benefits to the surrogate to improve her life in exchange for the benefit to the couple of a parenting solution. For example: </w:t>
      </w:r>
    </w:p>
    <w:p w14:paraId="37B06A1B" w14:textId="77777777" w:rsidR="00462156" w:rsidRPr="007F2727" w:rsidRDefault="00462156" w:rsidP="00462156">
      <w:pPr>
        <w:spacing w:line="480" w:lineRule="auto"/>
        <w:rPr>
          <w:rFonts w:ascii="Arial" w:hAnsi="Arial" w:cs="Arial"/>
          <w:b/>
          <w:sz w:val="22"/>
        </w:rPr>
      </w:pPr>
    </w:p>
    <w:p w14:paraId="05E359A4" w14:textId="77777777" w:rsidR="00462156" w:rsidRPr="007F2727" w:rsidRDefault="00462156" w:rsidP="00462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Times New Roman" w:hAnsi="Arial" w:cs="Arial"/>
          <w:i/>
          <w:sz w:val="22"/>
        </w:rPr>
      </w:pPr>
      <w:r w:rsidRPr="007F2727">
        <w:rPr>
          <w:rFonts w:ascii="Arial" w:eastAsia="Times New Roman" w:hAnsi="Arial" w:cs="Arial"/>
          <w:i/>
          <w:sz w:val="22"/>
        </w:rPr>
        <w:t>I felt that we had gained something precious in life with regard to the twins but we had helped someone in the slums to make life a little comfortable.</w:t>
      </w:r>
    </w:p>
    <w:p w14:paraId="7DF29528" w14:textId="77777777" w:rsidR="00462156" w:rsidRPr="007F2727" w:rsidRDefault="00462156" w:rsidP="00462156">
      <w:pPr>
        <w:spacing w:line="480" w:lineRule="auto"/>
        <w:rPr>
          <w:rFonts w:ascii="Arial" w:hAnsi="Arial" w:cs="Arial"/>
          <w:sz w:val="22"/>
        </w:rPr>
      </w:pPr>
      <w:r w:rsidRPr="007F2727">
        <w:rPr>
          <w:rFonts w:ascii="Arial" w:eastAsia="Times New Roman" w:hAnsi="Arial" w:cs="Arial"/>
          <w:sz w:val="22"/>
        </w:rPr>
        <w:t>(File 2, applicant 1)</w:t>
      </w:r>
    </w:p>
    <w:p w14:paraId="5E5122A7" w14:textId="77777777" w:rsidR="00462156" w:rsidRPr="007F2727" w:rsidRDefault="00462156" w:rsidP="00462156">
      <w:pPr>
        <w:spacing w:line="480" w:lineRule="auto"/>
        <w:rPr>
          <w:rFonts w:ascii="Arial" w:hAnsi="Arial" w:cs="Arial"/>
          <w:b/>
          <w:sz w:val="22"/>
        </w:rPr>
      </w:pPr>
    </w:p>
    <w:p w14:paraId="69AB5C13" w14:textId="77777777" w:rsidR="00462156" w:rsidRPr="007F2727" w:rsidRDefault="00462156" w:rsidP="00462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eastAsia="Arial" w:hAnsi="Arial"/>
          <w:i/>
          <w:sz w:val="22"/>
        </w:rPr>
      </w:pPr>
      <w:r w:rsidRPr="007F2727">
        <w:rPr>
          <w:rFonts w:ascii="Arial" w:eastAsia="Arial" w:hAnsi="Arial"/>
          <w:i/>
          <w:sz w:val="22"/>
        </w:rPr>
        <w:t>The selection process was a two way matter and it was made clear to me that the surrogate had to be happy with both (applicant 2) and I as we were with her”.</w:t>
      </w:r>
    </w:p>
    <w:p w14:paraId="6DF824F5" w14:textId="77777777" w:rsidR="00462156" w:rsidRPr="007F2727" w:rsidRDefault="00462156" w:rsidP="00462156">
      <w:pPr>
        <w:spacing w:line="480" w:lineRule="auto"/>
        <w:rPr>
          <w:rFonts w:ascii="Arial" w:eastAsia="Arial" w:hAnsi="Arial"/>
          <w:sz w:val="22"/>
        </w:rPr>
      </w:pPr>
      <w:r w:rsidRPr="007F2727">
        <w:rPr>
          <w:rFonts w:ascii="Arial" w:eastAsia="Arial" w:hAnsi="Arial"/>
          <w:sz w:val="22"/>
        </w:rPr>
        <w:t>(File 26, Applicant 2)</w:t>
      </w:r>
    </w:p>
    <w:p w14:paraId="63AEC5F6" w14:textId="77777777" w:rsidR="00F72AF9" w:rsidRPr="007F2727" w:rsidRDefault="00F72AF9" w:rsidP="004E00EC">
      <w:pPr>
        <w:spacing w:line="480" w:lineRule="auto"/>
        <w:rPr>
          <w:rFonts w:ascii="Arial" w:hAnsi="Arial" w:cs="Arial"/>
          <w:sz w:val="22"/>
        </w:rPr>
      </w:pPr>
    </w:p>
    <w:p w14:paraId="42ED4B0E" w14:textId="77777777" w:rsidR="00861CCB" w:rsidRPr="007F2727" w:rsidRDefault="00C4535D" w:rsidP="001F47F0">
      <w:pPr>
        <w:spacing w:line="480" w:lineRule="auto"/>
        <w:rPr>
          <w:rFonts w:ascii="Arial" w:hAnsi="Arial" w:cs="Arial"/>
          <w:sz w:val="22"/>
        </w:rPr>
      </w:pPr>
      <w:r w:rsidRPr="007F2727">
        <w:rPr>
          <w:rFonts w:ascii="Arial" w:hAnsi="Arial" w:cs="Arial"/>
          <w:sz w:val="22"/>
        </w:rPr>
        <w:t>The focus moved swiftly away from any complicating actions to one where the commissioning couple reported their feelings on becoming parents and this was expressed using words such as ‘joy’, ‘happiness’ and ‘gratitude’.</w:t>
      </w:r>
      <w:r w:rsidR="00861CCB" w:rsidRPr="007F2727">
        <w:rPr>
          <w:rFonts w:ascii="Arial" w:hAnsi="Arial" w:cs="Arial"/>
          <w:sz w:val="22"/>
        </w:rPr>
        <w:t xml:space="preserve"> The children were reported as having an invigorating quality on the couple and their relationship.</w:t>
      </w:r>
    </w:p>
    <w:p w14:paraId="24652603" w14:textId="77777777" w:rsidR="00861CCB" w:rsidRPr="007F2727" w:rsidRDefault="00861CCB" w:rsidP="001F47F0">
      <w:pPr>
        <w:spacing w:line="480" w:lineRule="auto"/>
        <w:rPr>
          <w:rFonts w:ascii="Arial" w:hAnsi="Arial" w:cs="Arial"/>
          <w:sz w:val="22"/>
        </w:rPr>
      </w:pPr>
    </w:p>
    <w:p w14:paraId="57701755" w14:textId="77777777" w:rsidR="00B43857" w:rsidRPr="007F2727" w:rsidRDefault="00B43857" w:rsidP="00B43857">
      <w:pPr>
        <w:spacing w:line="480" w:lineRule="auto"/>
        <w:rPr>
          <w:rFonts w:ascii="Arial" w:hAnsi="Arial" w:cs="Arial"/>
          <w:sz w:val="22"/>
        </w:rPr>
      </w:pPr>
      <w:r w:rsidRPr="007F2727">
        <w:rPr>
          <w:rFonts w:ascii="Arial" w:hAnsi="Arial" w:cs="Arial"/>
          <w:sz w:val="22"/>
        </w:rPr>
        <w:t>Metaphors were also found in the commissioning couples’ witness statements to express feelings of happiness and enthrallment with the birth of the child as well as their new status as parents. Metaphors referring to the child as a ‘gift’</w:t>
      </w:r>
      <w:r w:rsidR="00F72AF9" w:rsidRPr="007F2727">
        <w:rPr>
          <w:rStyle w:val="FootnoteReference"/>
          <w:rFonts w:ascii="Arial" w:hAnsi="Arial" w:cs="Arial"/>
          <w:sz w:val="22"/>
        </w:rPr>
        <w:footnoteReference w:id="54"/>
      </w:r>
      <w:r w:rsidRPr="007F2727">
        <w:rPr>
          <w:rFonts w:ascii="Arial" w:hAnsi="Arial" w:cs="Arial"/>
          <w:sz w:val="22"/>
        </w:rPr>
        <w:t xml:space="preserve"> were used as well as non-metaphorical concepts that </w:t>
      </w:r>
      <w:proofErr w:type="spellStart"/>
      <w:r w:rsidRPr="007F2727">
        <w:rPr>
          <w:rFonts w:ascii="Arial" w:hAnsi="Arial" w:cs="Arial"/>
          <w:sz w:val="22"/>
        </w:rPr>
        <w:t>Lakoff</w:t>
      </w:r>
      <w:proofErr w:type="spellEnd"/>
      <w:r w:rsidRPr="007F2727">
        <w:rPr>
          <w:rFonts w:ascii="Arial" w:hAnsi="Arial" w:cs="Arial"/>
          <w:sz w:val="22"/>
        </w:rPr>
        <w:t xml:space="preserve"> and Johnson define as ‘spatial orientations’</w:t>
      </w:r>
      <w:r w:rsidRPr="007F2727">
        <w:rPr>
          <w:rStyle w:val="FootnoteReference"/>
          <w:rFonts w:ascii="Arial" w:hAnsi="Arial" w:cs="Arial"/>
          <w:sz w:val="22"/>
        </w:rPr>
        <w:footnoteReference w:id="55"/>
      </w:r>
      <w:r w:rsidRPr="007F2727">
        <w:rPr>
          <w:rFonts w:ascii="Arial" w:hAnsi="Arial" w:cs="Arial"/>
          <w:sz w:val="22"/>
        </w:rPr>
        <w:t xml:space="preserve"> and are important because they emerge directly from experience. The files included spatial orientations such as:</w:t>
      </w:r>
    </w:p>
    <w:p w14:paraId="023BF458" w14:textId="77777777" w:rsidR="00B43857" w:rsidRPr="007F2727" w:rsidRDefault="00B43857" w:rsidP="00B43857">
      <w:pPr>
        <w:spacing w:line="480" w:lineRule="auto"/>
        <w:rPr>
          <w:rFonts w:ascii="Arial" w:hAnsi="Arial" w:cs="Arial"/>
          <w:sz w:val="22"/>
        </w:rPr>
      </w:pPr>
    </w:p>
    <w:p w14:paraId="51198CFD" w14:textId="77777777" w:rsidR="00B43857" w:rsidRPr="007F2727" w:rsidRDefault="00B43857" w:rsidP="00B43857">
      <w:pPr>
        <w:spacing w:line="480" w:lineRule="auto"/>
        <w:ind w:left="720"/>
        <w:rPr>
          <w:rFonts w:ascii="Arial" w:hAnsi="Arial" w:cs="Arial"/>
          <w:i/>
          <w:sz w:val="22"/>
        </w:rPr>
      </w:pPr>
      <w:r w:rsidRPr="007F2727">
        <w:rPr>
          <w:rFonts w:ascii="Arial" w:hAnsi="Arial" w:cs="Arial"/>
          <w:i/>
          <w:sz w:val="22"/>
        </w:rPr>
        <w:t>Time seemed to stand still at that moment and we were completely oblivious to our surroundings.</w:t>
      </w:r>
    </w:p>
    <w:p w14:paraId="5C42A884" w14:textId="77777777" w:rsidR="00B43857" w:rsidRPr="007F2727" w:rsidRDefault="00B43857" w:rsidP="00B43857">
      <w:pPr>
        <w:spacing w:line="480" w:lineRule="auto"/>
        <w:ind w:left="720"/>
        <w:rPr>
          <w:rFonts w:ascii="Arial" w:hAnsi="Arial" w:cs="Arial"/>
          <w:sz w:val="22"/>
        </w:rPr>
      </w:pPr>
      <w:proofErr w:type="gramStart"/>
      <w:r w:rsidRPr="007F2727">
        <w:rPr>
          <w:rFonts w:ascii="Arial" w:hAnsi="Arial" w:cs="Arial"/>
          <w:sz w:val="22"/>
        </w:rPr>
        <w:t>(File 2, second applicant).</w:t>
      </w:r>
      <w:proofErr w:type="gramEnd"/>
    </w:p>
    <w:p w14:paraId="0447C24C" w14:textId="77777777" w:rsidR="00B43857" w:rsidRPr="007F2727" w:rsidRDefault="00B43857" w:rsidP="00B43857">
      <w:pPr>
        <w:spacing w:line="480" w:lineRule="auto"/>
        <w:ind w:left="720"/>
        <w:rPr>
          <w:rFonts w:ascii="Arial" w:hAnsi="Arial" w:cs="Arial"/>
          <w:sz w:val="22"/>
        </w:rPr>
      </w:pPr>
    </w:p>
    <w:p w14:paraId="4FF59821" w14:textId="77777777" w:rsidR="00B43857" w:rsidRPr="007F2727" w:rsidRDefault="00236E19" w:rsidP="00B43857">
      <w:pPr>
        <w:spacing w:line="480" w:lineRule="auto"/>
        <w:rPr>
          <w:rFonts w:ascii="Arial" w:hAnsi="Arial" w:cs="Arial"/>
          <w:sz w:val="22"/>
        </w:rPr>
      </w:pPr>
      <w:r w:rsidRPr="007F2727">
        <w:rPr>
          <w:rFonts w:ascii="Arial" w:hAnsi="Arial" w:cs="Arial"/>
          <w:sz w:val="22"/>
        </w:rPr>
        <w:lastRenderedPageBreak/>
        <w:t>Spatial orientations</w:t>
      </w:r>
      <w:r w:rsidR="00B43857" w:rsidRPr="007F2727">
        <w:rPr>
          <w:rFonts w:ascii="Arial" w:hAnsi="Arial" w:cs="Arial"/>
          <w:sz w:val="22"/>
        </w:rPr>
        <w:t xml:space="preserve"> </w:t>
      </w:r>
      <w:r w:rsidRPr="007F2727">
        <w:rPr>
          <w:rFonts w:ascii="Arial" w:hAnsi="Arial" w:cs="Arial"/>
          <w:sz w:val="22"/>
        </w:rPr>
        <w:t xml:space="preserve">were </w:t>
      </w:r>
      <w:r w:rsidR="00B43857" w:rsidRPr="007F2727">
        <w:rPr>
          <w:rFonts w:ascii="Arial" w:hAnsi="Arial" w:cs="Arial"/>
          <w:sz w:val="22"/>
        </w:rPr>
        <w:t xml:space="preserve">a way for couples to express how at the point of the birth of the child their emotions, thoughts, actions and focus were completely taken over by the event. It </w:t>
      </w:r>
      <w:r w:rsidRPr="007F2727">
        <w:rPr>
          <w:rFonts w:ascii="Arial" w:hAnsi="Arial" w:cs="Arial"/>
          <w:sz w:val="22"/>
        </w:rPr>
        <w:t xml:space="preserve">was </w:t>
      </w:r>
      <w:r w:rsidR="00B43857" w:rsidRPr="007F2727">
        <w:rPr>
          <w:rFonts w:ascii="Arial" w:hAnsi="Arial" w:cs="Arial"/>
          <w:sz w:val="22"/>
        </w:rPr>
        <w:t>also used to express how poignant the moment was for many of the couples.</w:t>
      </w:r>
    </w:p>
    <w:p w14:paraId="1BD9FE83" w14:textId="77777777" w:rsidR="00B43857" w:rsidRPr="007F2727" w:rsidRDefault="00B43857" w:rsidP="00B43857">
      <w:pPr>
        <w:spacing w:line="480" w:lineRule="auto"/>
        <w:rPr>
          <w:rFonts w:ascii="Arial" w:hAnsi="Arial" w:cs="Arial"/>
          <w:sz w:val="22"/>
        </w:rPr>
      </w:pPr>
    </w:p>
    <w:p w14:paraId="150596DF" w14:textId="77777777" w:rsidR="00B43857" w:rsidRPr="007F2727" w:rsidRDefault="00B43857" w:rsidP="00B43857">
      <w:pPr>
        <w:spacing w:line="480" w:lineRule="auto"/>
        <w:rPr>
          <w:rFonts w:ascii="Arial" w:hAnsi="Arial" w:cs="Arial"/>
          <w:sz w:val="22"/>
        </w:rPr>
      </w:pPr>
      <w:r w:rsidRPr="007F2727">
        <w:rPr>
          <w:rFonts w:ascii="Arial" w:hAnsi="Arial" w:cs="Arial"/>
          <w:sz w:val="22"/>
        </w:rPr>
        <w:t>Parentage as a concept was metaphorically expressed. W</w:t>
      </w:r>
      <w:r w:rsidR="00F72AF9" w:rsidRPr="007F2727">
        <w:rPr>
          <w:rFonts w:ascii="Arial" w:hAnsi="Arial" w:cs="Arial"/>
          <w:sz w:val="22"/>
        </w:rPr>
        <w:t xml:space="preserve">itness statements </w:t>
      </w:r>
      <w:r w:rsidR="00E47384" w:rsidRPr="007F2727">
        <w:rPr>
          <w:rFonts w:ascii="Arial" w:hAnsi="Arial" w:cs="Arial"/>
          <w:sz w:val="22"/>
        </w:rPr>
        <w:t xml:space="preserve">included </w:t>
      </w:r>
      <w:r w:rsidRPr="007F2727">
        <w:rPr>
          <w:rFonts w:ascii="Arial" w:hAnsi="Arial" w:cs="Arial"/>
          <w:sz w:val="22"/>
        </w:rPr>
        <w:t>metaphor</w:t>
      </w:r>
      <w:r w:rsidR="00E47384" w:rsidRPr="007F2727">
        <w:rPr>
          <w:rFonts w:ascii="Arial" w:hAnsi="Arial" w:cs="Arial"/>
          <w:sz w:val="22"/>
        </w:rPr>
        <w:t>ical themes</w:t>
      </w:r>
      <w:r w:rsidR="00F72AF9" w:rsidRPr="007F2727">
        <w:rPr>
          <w:rFonts w:ascii="Arial" w:hAnsi="Arial" w:cs="Arial"/>
          <w:sz w:val="22"/>
        </w:rPr>
        <w:t xml:space="preserve"> </w:t>
      </w:r>
      <w:r w:rsidR="00E47384" w:rsidRPr="007F2727">
        <w:rPr>
          <w:rFonts w:ascii="Arial" w:hAnsi="Arial" w:cs="Arial"/>
          <w:sz w:val="22"/>
        </w:rPr>
        <w:t xml:space="preserve">for example, </w:t>
      </w:r>
      <w:r w:rsidRPr="007F2727">
        <w:rPr>
          <w:rFonts w:ascii="Arial" w:hAnsi="Arial" w:cs="Arial"/>
          <w:sz w:val="22"/>
        </w:rPr>
        <w:t>parent as educator in that commissioning couples saw their parental role as imparting knowledge:</w:t>
      </w:r>
    </w:p>
    <w:p w14:paraId="1279B418" w14:textId="77777777" w:rsidR="00B43857" w:rsidRPr="007F2727" w:rsidRDefault="00B43857" w:rsidP="00B43857">
      <w:pPr>
        <w:spacing w:line="480" w:lineRule="auto"/>
        <w:rPr>
          <w:rFonts w:ascii="Arial" w:hAnsi="Arial" w:cs="Arial"/>
          <w:sz w:val="22"/>
        </w:rPr>
      </w:pPr>
    </w:p>
    <w:p w14:paraId="61FEB058" w14:textId="77777777" w:rsidR="00B43857" w:rsidRPr="007F2727" w:rsidRDefault="00B43857" w:rsidP="00B43857">
      <w:pPr>
        <w:spacing w:line="480" w:lineRule="auto"/>
        <w:ind w:left="720"/>
        <w:rPr>
          <w:rFonts w:ascii="Arial" w:hAnsi="Arial" w:cs="Arial"/>
          <w:i/>
          <w:sz w:val="22"/>
        </w:rPr>
      </w:pPr>
      <w:r w:rsidRPr="007F2727">
        <w:rPr>
          <w:rFonts w:ascii="Arial" w:hAnsi="Arial" w:cs="Arial"/>
          <w:i/>
          <w:sz w:val="22"/>
        </w:rPr>
        <w:t>I have a lot of love to give, and have travelled and want to teach them that there is a big world out there.</w:t>
      </w:r>
    </w:p>
    <w:p w14:paraId="02BFFF95" w14:textId="77777777" w:rsidR="00B43857" w:rsidRPr="007F2727" w:rsidRDefault="00B43857" w:rsidP="00B43857">
      <w:pPr>
        <w:spacing w:line="480" w:lineRule="auto"/>
        <w:rPr>
          <w:rFonts w:ascii="Arial" w:hAnsi="Arial" w:cs="Arial"/>
          <w:sz w:val="22"/>
        </w:rPr>
      </w:pPr>
      <w:r w:rsidRPr="007F2727">
        <w:rPr>
          <w:rFonts w:ascii="Arial" w:hAnsi="Arial" w:cs="Arial"/>
          <w:i/>
          <w:sz w:val="22"/>
        </w:rPr>
        <w:tab/>
      </w:r>
      <w:r w:rsidRPr="007F2727">
        <w:rPr>
          <w:rFonts w:ascii="Arial" w:hAnsi="Arial" w:cs="Arial"/>
          <w:sz w:val="22"/>
        </w:rPr>
        <w:t>(File 1, first applicant)</w:t>
      </w:r>
    </w:p>
    <w:p w14:paraId="1ABCA1EA" w14:textId="77777777" w:rsidR="00B43857" w:rsidRPr="007F2727" w:rsidRDefault="00B43857" w:rsidP="00B43857">
      <w:pPr>
        <w:spacing w:line="480" w:lineRule="auto"/>
        <w:rPr>
          <w:rFonts w:ascii="Arial" w:hAnsi="Arial" w:cs="Arial"/>
          <w:i/>
          <w:sz w:val="22"/>
        </w:rPr>
      </w:pPr>
    </w:p>
    <w:p w14:paraId="519C5CFC" w14:textId="77777777" w:rsidR="00B43857" w:rsidRPr="007F2727" w:rsidRDefault="00E47384" w:rsidP="00B43857">
      <w:pPr>
        <w:spacing w:line="480" w:lineRule="auto"/>
        <w:rPr>
          <w:rFonts w:ascii="Arial" w:hAnsi="Arial" w:cs="Arial"/>
          <w:sz w:val="22"/>
        </w:rPr>
      </w:pPr>
      <w:r w:rsidRPr="007F2727">
        <w:rPr>
          <w:rFonts w:ascii="Arial" w:hAnsi="Arial" w:cs="Arial"/>
          <w:sz w:val="22"/>
        </w:rPr>
        <w:t>P</w:t>
      </w:r>
      <w:r w:rsidR="00B43857" w:rsidRPr="007F2727">
        <w:rPr>
          <w:rFonts w:ascii="Arial" w:hAnsi="Arial" w:cs="Arial"/>
          <w:sz w:val="22"/>
        </w:rPr>
        <w:t>arent as therapist</w:t>
      </w:r>
      <w:r w:rsidRPr="007F2727">
        <w:rPr>
          <w:rFonts w:ascii="Arial" w:hAnsi="Arial" w:cs="Arial"/>
          <w:sz w:val="22"/>
        </w:rPr>
        <w:t xml:space="preserve"> was also used denoting</w:t>
      </w:r>
      <w:r w:rsidR="00B43857" w:rsidRPr="007F2727">
        <w:rPr>
          <w:rFonts w:ascii="Arial" w:hAnsi="Arial" w:cs="Arial"/>
          <w:sz w:val="22"/>
        </w:rPr>
        <w:t xml:space="preserve"> the caregiver role infused with powers to bestow happiness:</w:t>
      </w:r>
    </w:p>
    <w:p w14:paraId="76A80B42" w14:textId="77777777" w:rsidR="00B43857" w:rsidRPr="007F2727" w:rsidRDefault="00B43857" w:rsidP="00B43857">
      <w:pPr>
        <w:spacing w:line="480" w:lineRule="auto"/>
        <w:rPr>
          <w:rFonts w:ascii="Arial" w:hAnsi="Arial" w:cs="Arial"/>
          <w:sz w:val="22"/>
        </w:rPr>
      </w:pPr>
    </w:p>
    <w:p w14:paraId="27C4C968" w14:textId="77777777" w:rsidR="00B43857" w:rsidRPr="007F2727" w:rsidRDefault="00B43857" w:rsidP="00B43857">
      <w:pPr>
        <w:spacing w:line="480" w:lineRule="auto"/>
        <w:ind w:left="720"/>
        <w:rPr>
          <w:rFonts w:ascii="Arial" w:hAnsi="Arial" w:cs="Arial"/>
          <w:i/>
          <w:sz w:val="22"/>
        </w:rPr>
      </w:pPr>
      <w:r w:rsidRPr="007F2727">
        <w:rPr>
          <w:rFonts w:ascii="Arial" w:hAnsi="Arial" w:cs="Arial"/>
          <w:i/>
          <w:sz w:val="22"/>
        </w:rPr>
        <w:t>We love him with all our hearts and will do everything in our power to raise him to be happy and complete.</w:t>
      </w:r>
    </w:p>
    <w:p w14:paraId="436F59F2" w14:textId="77777777" w:rsidR="00B43857" w:rsidRPr="007F2727" w:rsidRDefault="00B43857" w:rsidP="00B43857">
      <w:pPr>
        <w:tabs>
          <w:tab w:val="left" w:pos="2620"/>
        </w:tabs>
        <w:spacing w:line="480" w:lineRule="auto"/>
        <w:rPr>
          <w:rFonts w:ascii="Arial" w:hAnsi="Arial"/>
          <w:sz w:val="22"/>
        </w:rPr>
      </w:pPr>
      <w:r w:rsidRPr="007F2727">
        <w:rPr>
          <w:rFonts w:ascii="Arial" w:hAnsi="Arial"/>
          <w:sz w:val="22"/>
        </w:rPr>
        <w:t xml:space="preserve">           (File 5, joint applicants)</w:t>
      </w:r>
    </w:p>
    <w:p w14:paraId="21DA777A" w14:textId="77777777" w:rsidR="00B43857" w:rsidRPr="007F2727" w:rsidRDefault="00B43857" w:rsidP="00B43857">
      <w:pPr>
        <w:spacing w:line="480" w:lineRule="auto"/>
        <w:rPr>
          <w:rFonts w:ascii="Arial" w:hAnsi="Arial"/>
          <w:sz w:val="22"/>
        </w:rPr>
      </w:pPr>
    </w:p>
    <w:p w14:paraId="55263FA3" w14:textId="77777777" w:rsidR="00BD29B5" w:rsidRPr="007F2727" w:rsidRDefault="00BD29B5" w:rsidP="00B43857">
      <w:pPr>
        <w:spacing w:line="480" w:lineRule="auto"/>
        <w:rPr>
          <w:rFonts w:ascii="Arial" w:hAnsi="Arial"/>
          <w:sz w:val="22"/>
        </w:rPr>
      </w:pPr>
      <w:r w:rsidRPr="007F2727">
        <w:rPr>
          <w:rFonts w:ascii="Arial" w:hAnsi="Arial"/>
          <w:sz w:val="22"/>
        </w:rPr>
        <w:t>Metaphors therefore served to heighten the emotional reporting of events by couples and were commonly used to discuss their relationship with the child.</w:t>
      </w:r>
    </w:p>
    <w:p w14:paraId="37643286" w14:textId="77777777" w:rsidR="00065508" w:rsidRPr="007F2727" w:rsidRDefault="00065508" w:rsidP="00065508">
      <w:pPr>
        <w:spacing w:line="480" w:lineRule="auto"/>
        <w:rPr>
          <w:rFonts w:ascii="Arial" w:hAnsi="Arial" w:cs="Arial"/>
          <w:b/>
          <w:sz w:val="22"/>
        </w:rPr>
      </w:pPr>
    </w:p>
    <w:p w14:paraId="19F2FE26" w14:textId="77777777" w:rsidR="00065508" w:rsidRPr="007F2727" w:rsidRDefault="00065508" w:rsidP="00ED6943">
      <w:pPr>
        <w:spacing w:line="480" w:lineRule="auto"/>
        <w:rPr>
          <w:rFonts w:ascii="Arial" w:hAnsi="Arial" w:cs="Arial"/>
          <w:sz w:val="22"/>
        </w:rPr>
      </w:pPr>
      <w:r w:rsidRPr="007F2727">
        <w:rPr>
          <w:rFonts w:ascii="Arial" w:hAnsi="Arial" w:cs="Arial"/>
          <w:sz w:val="22"/>
        </w:rPr>
        <w:t>Metaphors were also used as a means to distinguish identity. For example couples spoke of how when disclosing the child’s origins they would explain the surrogates role as</w:t>
      </w:r>
      <w:r w:rsidR="008C3F25" w:rsidRPr="007F2727">
        <w:rPr>
          <w:rFonts w:ascii="Arial" w:hAnsi="Arial" w:cs="Arial"/>
          <w:sz w:val="22"/>
        </w:rPr>
        <w:t xml:space="preserve"> ‘Tummy Mummy’ or ‘Incubator.’ </w:t>
      </w:r>
      <w:r w:rsidRPr="007F2727">
        <w:rPr>
          <w:rFonts w:ascii="Arial" w:hAnsi="Arial" w:cs="Arial"/>
          <w:sz w:val="22"/>
        </w:rPr>
        <w:t xml:space="preserve">Couples also self-labelled themselves as parents through their actions and this was used as a means to convey to the court </w:t>
      </w:r>
      <w:r w:rsidRPr="007F2727">
        <w:rPr>
          <w:rFonts w:ascii="Arial" w:hAnsi="Arial" w:cs="Arial"/>
          <w:sz w:val="22"/>
        </w:rPr>
        <w:lastRenderedPageBreak/>
        <w:t>that they considered they had already acquired the right of parentage through their act</w:t>
      </w:r>
      <w:r w:rsidR="00ED6943" w:rsidRPr="007F2727">
        <w:rPr>
          <w:rFonts w:ascii="Arial" w:hAnsi="Arial" w:cs="Arial"/>
          <w:sz w:val="22"/>
        </w:rPr>
        <w:t>ions rather than through legal title</w:t>
      </w:r>
      <w:r w:rsidRPr="007F2727">
        <w:rPr>
          <w:rFonts w:ascii="Arial" w:hAnsi="Arial" w:cs="Arial"/>
          <w:sz w:val="22"/>
        </w:rPr>
        <w:t xml:space="preserve">. </w:t>
      </w:r>
    </w:p>
    <w:p w14:paraId="1A0CA583" w14:textId="77777777" w:rsidR="00065508" w:rsidRPr="007F2727" w:rsidRDefault="00065508" w:rsidP="00065508">
      <w:pPr>
        <w:spacing w:line="480" w:lineRule="auto"/>
        <w:rPr>
          <w:rFonts w:ascii="Arial" w:hAnsi="Arial" w:cs="Arial"/>
          <w:b/>
          <w:sz w:val="22"/>
        </w:rPr>
      </w:pPr>
    </w:p>
    <w:p w14:paraId="723664C9" w14:textId="77777777" w:rsidR="00065508" w:rsidRPr="007F2727" w:rsidRDefault="00065508" w:rsidP="00065508">
      <w:pPr>
        <w:spacing w:line="480" w:lineRule="auto"/>
        <w:rPr>
          <w:rFonts w:ascii="Arial" w:hAnsi="Arial" w:cs="Arial"/>
          <w:sz w:val="22"/>
        </w:rPr>
      </w:pPr>
      <w:r w:rsidRPr="007F2727">
        <w:rPr>
          <w:rFonts w:ascii="Arial" w:hAnsi="Arial" w:cs="Arial"/>
          <w:sz w:val="22"/>
        </w:rPr>
        <w:t>Homosexual commissioning couples also developed self-labels to distinguish each claim to fatherhood such as ‘</w:t>
      </w:r>
      <w:proofErr w:type="spellStart"/>
      <w:r w:rsidRPr="007F2727">
        <w:rPr>
          <w:rFonts w:ascii="Arial" w:hAnsi="Arial" w:cs="Arial"/>
          <w:sz w:val="22"/>
        </w:rPr>
        <w:t>Popa</w:t>
      </w:r>
      <w:proofErr w:type="spellEnd"/>
      <w:r w:rsidRPr="007F2727">
        <w:rPr>
          <w:rFonts w:ascii="Arial" w:hAnsi="Arial" w:cs="Arial"/>
          <w:sz w:val="22"/>
        </w:rPr>
        <w:t>’ and ‘Papa.’ This self-labelling enabled couples to reclaim entitlement to parentage through the reporting process before the question of parentage had been fully determined by the court.</w:t>
      </w:r>
    </w:p>
    <w:p w14:paraId="2BC556D3" w14:textId="77777777" w:rsidR="00065508" w:rsidRPr="007F2727" w:rsidRDefault="00065508" w:rsidP="00065508">
      <w:pPr>
        <w:spacing w:line="480" w:lineRule="auto"/>
        <w:rPr>
          <w:rFonts w:ascii="Arial" w:hAnsi="Arial" w:cs="Arial"/>
          <w:b/>
          <w:sz w:val="22"/>
        </w:rPr>
      </w:pPr>
    </w:p>
    <w:p w14:paraId="4CA0B465" w14:textId="77777777" w:rsidR="00065508" w:rsidRPr="007F2727" w:rsidRDefault="00065508" w:rsidP="00065508">
      <w:pPr>
        <w:spacing w:line="480" w:lineRule="auto"/>
        <w:rPr>
          <w:rFonts w:ascii="Arial" w:hAnsi="Arial" w:cs="Arial"/>
          <w:sz w:val="22"/>
        </w:rPr>
      </w:pPr>
      <w:r w:rsidRPr="007F2727">
        <w:rPr>
          <w:rFonts w:ascii="Arial" w:hAnsi="Arial" w:cs="Arial"/>
          <w:sz w:val="22"/>
        </w:rPr>
        <w:t>These self-labelling codes barely concealed the true meaning; that courts were faced with a finished or completed family</w:t>
      </w:r>
      <w:r w:rsidR="00E47384" w:rsidRPr="007F2727">
        <w:rPr>
          <w:rFonts w:ascii="Arial" w:hAnsi="Arial" w:cs="Arial"/>
          <w:sz w:val="22"/>
        </w:rPr>
        <w:t xml:space="preserve"> and</w:t>
      </w:r>
      <w:r w:rsidRPr="007F2727">
        <w:rPr>
          <w:rFonts w:ascii="Arial" w:hAnsi="Arial" w:cs="Arial"/>
          <w:sz w:val="22"/>
        </w:rPr>
        <w:t xml:space="preserve"> that the courts were merely being asked to process</w:t>
      </w:r>
      <w:r w:rsidR="00E47384" w:rsidRPr="007F2727">
        <w:rPr>
          <w:rFonts w:ascii="Arial" w:hAnsi="Arial" w:cs="Arial"/>
          <w:sz w:val="22"/>
        </w:rPr>
        <w:t xml:space="preserve"> the family</w:t>
      </w:r>
      <w:r w:rsidRPr="007F2727">
        <w:rPr>
          <w:rFonts w:ascii="Arial" w:hAnsi="Arial" w:cs="Arial"/>
          <w:sz w:val="22"/>
        </w:rPr>
        <w:t xml:space="preserve"> in to societal existence through a rubber</w:t>
      </w:r>
      <w:r w:rsidR="00683900" w:rsidRPr="007F2727">
        <w:rPr>
          <w:rFonts w:ascii="Arial" w:hAnsi="Arial" w:cs="Arial"/>
          <w:sz w:val="22"/>
        </w:rPr>
        <w:t>-</w:t>
      </w:r>
      <w:r w:rsidRPr="007F2727">
        <w:rPr>
          <w:rFonts w:ascii="Arial" w:hAnsi="Arial" w:cs="Arial"/>
          <w:sz w:val="22"/>
        </w:rPr>
        <w:t>stamping exercise.</w:t>
      </w:r>
    </w:p>
    <w:p w14:paraId="4C355511" w14:textId="77777777" w:rsidR="00065508" w:rsidRPr="007F2727" w:rsidRDefault="00065508" w:rsidP="00B43857">
      <w:pPr>
        <w:spacing w:line="480" w:lineRule="auto"/>
        <w:rPr>
          <w:rFonts w:ascii="Arial" w:hAnsi="Arial" w:cs="Arial"/>
          <w:sz w:val="22"/>
        </w:rPr>
      </w:pPr>
    </w:p>
    <w:p w14:paraId="350D46DE" w14:textId="77777777" w:rsidR="007A718A" w:rsidRPr="007F2727" w:rsidRDefault="00160A98" w:rsidP="001F47F0">
      <w:pPr>
        <w:spacing w:line="480" w:lineRule="auto"/>
        <w:rPr>
          <w:rFonts w:ascii="Arial" w:hAnsi="Arial" w:cs="Arial"/>
          <w:b/>
          <w:sz w:val="22"/>
        </w:rPr>
      </w:pPr>
      <w:r w:rsidRPr="007F2727">
        <w:rPr>
          <w:rFonts w:ascii="Arial" w:hAnsi="Arial" w:cs="Arial"/>
          <w:b/>
          <w:sz w:val="22"/>
        </w:rPr>
        <w:t>6</w:t>
      </w:r>
      <w:r w:rsidR="00DC04F8" w:rsidRPr="007F2727">
        <w:rPr>
          <w:rFonts w:ascii="Arial" w:hAnsi="Arial" w:cs="Arial"/>
          <w:b/>
          <w:sz w:val="22"/>
        </w:rPr>
        <w:t>. The Parental Order Reporters</w:t>
      </w:r>
      <w:r w:rsidR="007673A2" w:rsidRPr="007F2727">
        <w:rPr>
          <w:rFonts w:ascii="Arial" w:hAnsi="Arial" w:cs="Arial"/>
          <w:b/>
          <w:sz w:val="22"/>
        </w:rPr>
        <w:t>’</w:t>
      </w:r>
      <w:r w:rsidR="007A718A" w:rsidRPr="007F2727">
        <w:rPr>
          <w:rFonts w:ascii="Arial" w:hAnsi="Arial" w:cs="Arial"/>
          <w:b/>
          <w:sz w:val="22"/>
        </w:rPr>
        <w:t xml:space="preserve"> Frame</w:t>
      </w:r>
    </w:p>
    <w:p w14:paraId="59647662" w14:textId="77777777" w:rsidR="00462D49" w:rsidRPr="007F2727" w:rsidRDefault="00462D49" w:rsidP="00B43857">
      <w:pPr>
        <w:spacing w:line="480" w:lineRule="auto"/>
        <w:rPr>
          <w:rFonts w:ascii="Arial" w:hAnsi="Arial" w:cs="Arial"/>
          <w:sz w:val="22"/>
        </w:rPr>
      </w:pPr>
      <w:r w:rsidRPr="007F2727">
        <w:rPr>
          <w:rFonts w:ascii="Arial" w:hAnsi="Arial"/>
          <w:sz w:val="22"/>
        </w:rPr>
        <w:t>The PORs are an important second voice of the commissioning couple in the courtroom</w:t>
      </w:r>
      <w:r w:rsidR="007743AA">
        <w:rPr>
          <w:rFonts w:ascii="Arial" w:hAnsi="Arial"/>
          <w:sz w:val="22"/>
        </w:rPr>
        <w:t>. T</w:t>
      </w:r>
      <w:r w:rsidRPr="007F2727">
        <w:rPr>
          <w:rFonts w:ascii="Arial" w:hAnsi="Arial"/>
          <w:sz w:val="22"/>
        </w:rPr>
        <w:t xml:space="preserve">his is because </w:t>
      </w:r>
      <w:r w:rsidRPr="007F2727">
        <w:rPr>
          <w:rFonts w:ascii="Arial" w:hAnsi="Arial" w:cs="Arial"/>
          <w:sz w:val="22"/>
        </w:rPr>
        <w:t>the</w:t>
      </w:r>
      <w:r w:rsidR="000E3DE8" w:rsidRPr="007F2727">
        <w:rPr>
          <w:rFonts w:ascii="Arial" w:hAnsi="Arial" w:cs="Arial"/>
          <w:sz w:val="22"/>
        </w:rPr>
        <w:t xml:space="preserve"> POR</w:t>
      </w:r>
      <w:r w:rsidRPr="007F2727">
        <w:rPr>
          <w:rFonts w:ascii="Arial" w:hAnsi="Arial" w:cs="Arial"/>
          <w:sz w:val="22"/>
        </w:rPr>
        <w:t xml:space="preserve"> reports carry significant weight and influence with the courts and the recommendations of a POR are rarely if ever disregarded by the court. Reports present an opportunity to use written words to convey interpersonal meaning, signals and opinions </w:t>
      </w:r>
      <w:r w:rsidR="00DF2566" w:rsidRPr="007F2727">
        <w:rPr>
          <w:rFonts w:ascii="Arial" w:hAnsi="Arial" w:cs="Arial"/>
          <w:sz w:val="22"/>
        </w:rPr>
        <w:t xml:space="preserve">(including </w:t>
      </w:r>
      <w:r w:rsidRPr="007F2727">
        <w:rPr>
          <w:rFonts w:ascii="Arial" w:hAnsi="Arial" w:cs="Arial"/>
          <w:sz w:val="22"/>
        </w:rPr>
        <w:t>to the court</w:t>
      </w:r>
      <w:r w:rsidR="00DF2566" w:rsidRPr="007F2727">
        <w:rPr>
          <w:rFonts w:ascii="Arial" w:hAnsi="Arial" w:cs="Arial"/>
          <w:sz w:val="22"/>
        </w:rPr>
        <w:t>)</w:t>
      </w:r>
      <w:r w:rsidRPr="007F2727">
        <w:rPr>
          <w:rFonts w:ascii="Arial" w:hAnsi="Arial" w:cs="Arial"/>
          <w:sz w:val="22"/>
        </w:rPr>
        <w:t xml:space="preserve">. </w:t>
      </w:r>
    </w:p>
    <w:p w14:paraId="7E1E6F3B" w14:textId="77777777" w:rsidR="00462D49" w:rsidRPr="007F2727" w:rsidRDefault="008223BD" w:rsidP="00B43857">
      <w:pPr>
        <w:spacing w:line="480" w:lineRule="auto"/>
        <w:rPr>
          <w:rFonts w:ascii="Arial" w:hAnsi="Arial" w:cs="Arial"/>
          <w:sz w:val="22"/>
        </w:rPr>
      </w:pPr>
      <w:r w:rsidRPr="007F2727">
        <w:rPr>
          <w:rFonts w:ascii="Arial" w:hAnsi="Arial" w:cs="Arial"/>
          <w:sz w:val="22"/>
        </w:rPr>
        <w:t>PORs have access to guidance such as the</w:t>
      </w:r>
      <w:r w:rsidR="009E73F8" w:rsidRPr="007F2727">
        <w:rPr>
          <w:rFonts w:ascii="Arial" w:hAnsi="Arial" w:cs="Arial"/>
          <w:sz w:val="22"/>
        </w:rPr>
        <w:t xml:space="preserve"> as the Parenting Daily Hassles Scale</w:t>
      </w:r>
      <w:r w:rsidR="009E73F8" w:rsidRPr="007F2727">
        <w:rPr>
          <w:rStyle w:val="FootnoteReference"/>
          <w:rFonts w:ascii="Arial" w:hAnsi="Arial" w:cs="Arial"/>
          <w:sz w:val="22"/>
        </w:rPr>
        <w:footnoteReference w:id="56"/>
      </w:r>
      <w:r w:rsidR="009E73F8" w:rsidRPr="007F2727">
        <w:rPr>
          <w:rFonts w:ascii="Arial" w:hAnsi="Arial" w:cs="Arial"/>
          <w:sz w:val="22"/>
        </w:rPr>
        <w:t xml:space="preserve"> </w:t>
      </w:r>
      <w:r w:rsidRPr="007F2727">
        <w:rPr>
          <w:rFonts w:ascii="Arial" w:hAnsi="Arial" w:cs="Arial"/>
          <w:sz w:val="22"/>
        </w:rPr>
        <w:t xml:space="preserve">and the </w:t>
      </w:r>
      <w:proofErr w:type="spellStart"/>
      <w:r w:rsidRPr="007F2727">
        <w:rPr>
          <w:rFonts w:ascii="Arial" w:hAnsi="Arial" w:cs="Arial"/>
          <w:sz w:val="22"/>
        </w:rPr>
        <w:t>Cafcass</w:t>
      </w:r>
      <w:proofErr w:type="spellEnd"/>
      <w:r w:rsidRPr="007F2727">
        <w:rPr>
          <w:rFonts w:ascii="Arial" w:hAnsi="Arial" w:cs="Arial"/>
          <w:sz w:val="22"/>
        </w:rPr>
        <w:t xml:space="preserve"> Adoption and Surrogacy Handbook.</w:t>
      </w:r>
      <w:r w:rsidRPr="007F2727">
        <w:rPr>
          <w:rStyle w:val="FootnoteReference"/>
          <w:rFonts w:ascii="Arial" w:hAnsi="Arial" w:cs="Arial"/>
          <w:sz w:val="22"/>
        </w:rPr>
        <w:footnoteReference w:id="57"/>
      </w:r>
      <w:r w:rsidRPr="007F2727">
        <w:rPr>
          <w:rFonts w:ascii="Arial" w:hAnsi="Arial" w:cs="Arial"/>
          <w:sz w:val="22"/>
        </w:rPr>
        <w:t xml:space="preserve"> </w:t>
      </w:r>
      <w:r w:rsidR="00462D49" w:rsidRPr="007F2727">
        <w:rPr>
          <w:rFonts w:ascii="Arial" w:hAnsi="Arial" w:cs="Arial"/>
          <w:sz w:val="22"/>
        </w:rPr>
        <w:t>The reports were written against a prescribed welfare checklist</w:t>
      </w:r>
      <w:r w:rsidR="00462D49" w:rsidRPr="007F2727">
        <w:rPr>
          <w:rStyle w:val="FootnoteReference"/>
          <w:rFonts w:ascii="Arial" w:hAnsi="Arial" w:cs="Arial"/>
          <w:sz w:val="22"/>
        </w:rPr>
        <w:footnoteReference w:id="58"/>
      </w:r>
      <w:r w:rsidR="00462D49" w:rsidRPr="007F2727">
        <w:rPr>
          <w:rFonts w:ascii="Arial" w:hAnsi="Arial" w:cs="Arial"/>
          <w:sz w:val="22"/>
        </w:rPr>
        <w:t xml:space="preserve"> and the reports included sub-paragraphs relating to such matters as the background to the parental order application (the surrogacy arrangement), the nature of</w:t>
      </w:r>
      <w:r w:rsidR="00E47384" w:rsidRPr="007F2727">
        <w:rPr>
          <w:rFonts w:ascii="Arial" w:hAnsi="Arial" w:cs="Arial"/>
          <w:sz w:val="22"/>
        </w:rPr>
        <w:t xml:space="preserve"> the</w:t>
      </w:r>
      <w:r w:rsidR="00462D49" w:rsidRPr="007F2727">
        <w:rPr>
          <w:rFonts w:ascii="Arial" w:hAnsi="Arial" w:cs="Arial"/>
          <w:sz w:val="22"/>
        </w:rPr>
        <w:t xml:space="preserve"> investigations undertaken and </w:t>
      </w:r>
      <w:r w:rsidR="00E47384" w:rsidRPr="007F2727">
        <w:rPr>
          <w:rFonts w:ascii="Arial" w:hAnsi="Arial" w:cs="Arial"/>
          <w:sz w:val="22"/>
        </w:rPr>
        <w:t xml:space="preserve">the </w:t>
      </w:r>
      <w:r w:rsidR="00462D49" w:rsidRPr="007F2727">
        <w:rPr>
          <w:rFonts w:ascii="Arial" w:hAnsi="Arial" w:cs="Arial"/>
          <w:sz w:val="22"/>
        </w:rPr>
        <w:lastRenderedPageBreak/>
        <w:t>enquiries made by the POR. Any observations relating to the children who were the subject of the parental order application were also noted. Family composition and support networks were also of interest to the PORs. The reports ended with recommendations to the court about the grant of a parental order. Most reports contained numbered paragraphs and some included exhibits such as the surrogacy contract.</w:t>
      </w:r>
    </w:p>
    <w:p w14:paraId="709E1E45" w14:textId="77777777" w:rsidR="00462D49" w:rsidRPr="007F2727" w:rsidRDefault="00462D49" w:rsidP="00B43857">
      <w:pPr>
        <w:spacing w:line="480" w:lineRule="auto"/>
        <w:rPr>
          <w:rFonts w:ascii="Arial" w:hAnsi="Arial" w:cs="Arial"/>
          <w:sz w:val="22"/>
        </w:rPr>
      </w:pPr>
    </w:p>
    <w:p w14:paraId="7CFC365F" w14:textId="77777777" w:rsidR="00C37432" w:rsidRPr="007F2727" w:rsidRDefault="00C37432" w:rsidP="00B43857">
      <w:pPr>
        <w:spacing w:line="480" w:lineRule="auto"/>
        <w:rPr>
          <w:rFonts w:ascii="Arial" w:hAnsi="Arial" w:cs="Arial"/>
          <w:sz w:val="22"/>
        </w:rPr>
      </w:pPr>
      <w:proofErr w:type="spellStart"/>
      <w:r w:rsidRPr="007F2727">
        <w:rPr>
          <w:rFonts w:ascii="Arial" w:hAnsi="Arial" w:cs="Arial"/>
          <w:sz w:val="22"/>
        </w:rPr>
        <w:t>Crawshaw</w:t>
      </w:r>
      <w:proofErr w:type="spellEnd"/>
      <w:r w:rsidRPr="007F2727">
        <w:rPr>
          <w:rFonts w:ascii="Arial" w:hAnsi="Arial" w:cs="Arial"/>
          <w:sz w:val="22"/>
        </w:rPr>
        <w:t xml:space="preserve"> and others</w:t>
      </w:r>
      <w:r w:rsidRPr="007F2727">
        <w:rPr>
          <w:rStyle w:val="FootnoteReference"/>
          <w:rFonts w:ascii="Arial" w:hAnsi="Arial" w:cs="Arial"/>
          <w:sz w:val="22"/>
        </w:rPr>
        <w:footnoteReference w:id="59"/>
      </w:r>
      <w:r w:rsidRPr="007F2727">
        <w:rPr>
          <w:rFonts w:ascii="Arial" w:hAnsi="Arial" w:cs="Arial"/>
          <w:sz w:val="22"/>
        </w:rPr>
        <w:t xml:space="preserve"> in their 2013 study of the work of PORs undertook telephone interviews with 16 PORs. They noted that there was a lack of detailed guidance for PORs about parental order applications and that reliance on the PORs</w:t>
      </w:r>
      <w:r w:rsidR="007743AA">
        <w:rPr>
          <w:rFonts w:ascii="Arial" w:hAnsi="Arial" w:cs="Arial"/>
          <w:sz w:val="22"/>
        </w:rPr>
        <w:t>’</w:t>
      </w:r>
      <w:r w:rsidRPr="007F2727">
        <w:rPr>
          <w:rFonts w:ascii="Arial" w:hAnsi="Arial" w:cs="Arial"/>
          <w:sz w:val="22"/>
        </w:rPr>
        <w:t xml:space="preserve"> own intuition was a necessary part of understanding parental order work. </w:t>
      </w:r>
    </w:p>
    <w:p w14:paraId="72BEDDB5" w14:textId="77777777" w:rsidR="00C37432" w:rsidRPr="007F2727" w:rsidRDefault="00C37432" w:rsidP="00B43857">
      <w:pPr>
        <w:spacing w:line="480" w:lineRule="auto"/>
        <w:rPr>
          <w:rFonts w:ascii="Arial" w:hAnsi="Arial" w:cs="Arial"/>
          <w:sz w:val="22"/>
        </w:rPr>
      </w:pPr>
    </w:p>
    <w:p w14:paraId="1F4C6B0E" w14:textId="77777777" w:rsidR="00462D49" w:rsidRPr="007F2727" w:rsidRDefault="00462D49" w:rsidP="00B43857">
      <w:pPr>
        <w:spacing w:line="480" w:lineRule="auto"/>
        <w:rPr>
          <w:rFonts w:ascii="Arial" w:hAnsi="Arial" w:cs="Arial"/>
          <w:bCs/>
          <w:sz w:val="22"/>
        </w:rPr>
      </w:pPr>
      <w:r w:rsidRPr="007F2727">
        <w:rPr>
          <w:rFonts w:ascii="Arial" w:hAnsi="Arial" w:cs="Arial"/>
          <w:sz w:val="22"/>
        </w:rPr>
        <w:t>The</w:t>
      </w:r>
      <w:r w:rsidR="00C37432" w:rsidRPr="007F2727">
        <w:rPr>
          <w:rFonts w:ascii="Arial" w:hAnsi="Arial" w:cs="Arial"/>
          <w:sz w:val="22"/>
        </w:rPr>
        <w:t xml:space="preserve"> </w:t>
      </w:r>
      <w:r w:rsidR="009D48C7" w:rsidRPr="007F2727">
        <w:rPr>
          <w:rFonts w:ascii="Arial" w:hAnsi="Arial" w:cs="Arial"/>
          <w:sz w:val="22"/>
        </w:rPr>
        <w:t>evidence from the case files suggested</w:t>
      </w:r>
      <w:r w:rsidR="00C37432" w:rsidRPr="007F2727">
        <w:rPr>
          <w:rFonts w:ascii="Arial" w:hAnsi="Arial" w:cs="Arial"/>
          <w:sz w:val="22"/>
        </w:rPr>
        <w:t xml:space="preserve"> that the</w:t>
      </w:r>
      <w:r w:rsidRPr="007F2727">
        <w:rPr>
          <w:rFonts w:ascii="Arial" w:hAnsi="Arial" w:cs="Arial"/>
          <w:sz w:val="22"/>
        </w:rPr>
        <w:t xml:space="preserve"> PORs adopted a style of reporting that was both biographical in nature concentrating on the ‘orientation’ (the actors or events) as well as recasting their own identity on to the story through their reaction and choice of words. Deborah </w:t>
      </w:r>
      <w:proofErr w:type="spellStart"/>
      <w:r w:rsidRPr="007F2727">
        <w:rPr>
          <w:rFonts w:ascii="Arial" w:hAnsi="Arial" w:cs="Arial"/>
          <w:sz w:val="22"/>
        </w:rPr>
        <w:t>Tannen</w:t>
      </w:r>
      <w:proofErr w:type="spellEnd"/>
      <w:r w:rsidRPr="007F2727">
        <w:rPr>
          <w:rFonts w:ascii="Arial" w:hAnsi="Arial" w:cs="Arial"/>
          <w:sz w:val="22"/>
        </w:rPr>
        <w:t xml:space="preserve"> argues that ‘“reported speech” is not reported at all but is creatively constructed by a current speaker in a current situation’.</w:t>
      </w:r>
      <w:r w:rsidRPr="007F2727">
        <w:rPr>
          <w:rStyle w:val="FootnoteReference"/>
          <w:rFonts w:ascii="Arial" w:hAnsi="Arial" w:cs="Arial"/>
          <w:sz w:val="22"/>
        </w:rPr>
        <w:footnoteReference w:id="60"/>
      </w:r>
      <w:r w:rsidRPr="007F2727">
        <w:rPr>
          <w:rFonts w:ascii="Arial" w:hAnsi="Arial" w:cs="Arial"/>
          <w:sz w:val="22"/>
        </w:rPr>
        <w:t xml:space="preserve"> This, </w:t>
      </w:r>
      <w:proofErr w:type="spellStart"/>
      <w:r w:rsidRPr="007F2727">
        <w:rPr>
          <w:rFonts w:ascii="Arial" w:hAnsi="Arial" w:cs="Arial"/>
          <w:sz w:val="22"/>
        </w:rPr>
        <w:t>Tannen</w:t>
      </w:r>
      <w:proofErr w:type="spellEnd"/>
      <w:r w:rsidRPr="007F2727">
        <w:rPr>
          <w:rFonts w:ascii="Arial" w:hAnsi="Arial" w:cs="Arial"/>
          <w:sz w:val="22"/>
        </w:rPr>
        <w:t xml:space="preserve"> argues, is because taking information in one situation and then reproducing that information in a different situation involves a fundamental shift in the nature of the communication and yet the actual truth of the reporting is often not challenged. Dialogue which recounts action or drama can be especially problematic she argues. </w:t>
      </w:r>
      <w:r w:rsidR="00D74B0E" w:rsidRPr="007F2727">
        <w:rPr>
          <w:rFonts w:ascii="Arial" w:hAnsi="Arial" w:cs="Arial"/>
          <w:sz w:val="22"/>
        </w:rPr>
        <w:t>Similarly</w:t>
      </w:r>
      <w:r w:rsidR="00C10182">
        <w:rPr>
          <w:rFonts w:ascii="Arial" w:hAnsi="Arial" w:cs="Arial"/>
          <w:sz w:val="22"/>
        </w:rPr>
        <w:t>,</w:t>
      </w:r>
      <w:r w:rsidR="00D74B0E" w:rsidRPr="007F2727">
        <w:rPr>
          <w:rFonts w:ascii="Arial" w:hAnsi="Arial" w:cs="Arial"/>
          <w:sz w:val="22"/>
        </w:rPr>
        <w:t xml:space="preserve"> narratives may contain reported speech that in </w:t>
      </w:r>
      <w:r w:rsidR="00D74B0E" w:rsidRPr="007F2727">
        <w:rPr>
          <w:rFonts w:ascii="Arial" w:hAnsi="Arial" w:cs="Arial"/>
          <w:sz w:val="22"/>
        </w:rPr>
        <w:lastRenderedPageBreak/>
        <w:t>turn has been ‘creatively constructed’ and so may not be true to their original construction.</w:t>
      </w:r>
      <w:r w:rsidR="00D74B0E" w:rsidRPr="007F2727">
        <w:rPr>
          <w:rStyle w:val="FootnoteReference"/>
          <w:rFonts w:ascii="Arial" w:hAnsi="Arial" w:cs="Arial"/>
          <w:sz w:val="22"/>
        </w:rPr>
        <w:footnoteReference w:id="61"/>
      </w:r>
    </w:p>
    <w:p w14:paraId="51B3CD21" w14:textId="77777777" w:rsidR="00462D49" w:rsidRPr="007F2727" w:rsidRDefault="00462D49" w:rsidP="00B43857">
      <w:pPr>
        <w:spacing w:line="480" w:lineRule="auto"/>
        <w:rPr>
          <w:rFonts w:ascii="Arial" w:hAnsi="Arial" w:cs="Arial"/>
          <w:sz w:val="22"/>
        </w:rPr>
      </w:pPr>
    </w:p>
    <w:p w14:paraId="79D14B0B" w14:textId="77777777" w:rsidR="00462D49" w:rsidRPr="007F2727" w:rsidRDefault="00462D49" w:rsidP="00B43857">
      <w:pPr>
        <w:spacing w:line="480" w:lineRule="auto"/>
        <w:rPr>
          <w:rFonts w:ascii="Arial" w:hAnsi="Arial" w:cs="Arial"/>
          <w:sz w:val="22"/>
        </w:rPr>
      </w:pPr>
      <w:r w:rsidRPr="007F2727">
        <w:rPr>
          <w:rFonts w:ascii="Arial" w:hAnsi="Arial" w:cs="Arial"/>
          <w:sz w:val="22"/>
        </w:rPr>
        <w:t xml:space="preserve">All the </w:t>
      </w:r>
      <w:r w:rsidR="00C37432" w:rsidRPr="007F2727">
        <w:rPr>
          <w:rFonts w:ascii="Arial" w:hAnsi="Arial" w:cs="Arial"/>
          <w:sz w:val="22"/>
        </w:rPr>
        <w:t xml:space="preserve">POR </w:t>
      </w:r>
      <w:r w:rsidRPr="007F2727">
        <w:rPr>
          <w:rFonts w:ascii="Arial" w:hAnsi="Arial" w:cs="Arial"/>
          <w:sz w:val="22"/>
        </w:rPr>
        <w:t>reports were silent as to the order in which the ‘speakers’ (the commissioning couple) were invited to report their experiences and in some circumstances the speakers were given a ‘joint voice’ similar to some of the witness statements</w:t>
      </w:r>
      <w:r w:rsidR="007743AA">
        <w:rPr>
          <w:rFonts w:ascii="Arial" w:hAnsi="Arial" w:cs="Arial"/>
          <w:sz w:val="22"/>
        </w:rPr>
        <w:t>. As</w:t>
      </w:r>
      <w:r w:rsidRPr="007F2727">
        <w:rPr>
          <w:rFonts w:ascii="Arial" w:hAnsi="Arial" w:cs="Arial"/>
          <w:sz w:val="22"/>
        </w:rPr>
        <w:t xml:space="preserve"> such this presented their experiences as shared although in reality the experiences may have been felt at different levels. The reports were used to construct the applicant’s ‘voice’.</w:t>
      </w:r>
      <w:r w:rsidRPr="007F2727">
        <w:rPr>
          <w:rStyle w:val="FootnoteReference"/>
          <w:rFonts w:ascii="Arial" w:hAnsi="Arial" w:cs="Arial"/>
          <w:sz w:val="22"/>
        </w:rPr>
        <w:footnoteReference w:id="62"/>
      </w:r>
      <w:r w:rsidRPr="007F2727">
        <w:rPr>
          <w:rFonts w:ascii="Arial" w:hAnsi="Arial" w:cs="Arial"/>
          <w:sz w:val="22"/>
        </w:rPr>
        <w:t xml:space="preserve"> However, they often did so in a way that represented a simple reporting of the state of affairs that would be expected from the report of a court-appointed official or expert who has to remain impartial and so</w:t>
      </w:r>
      <w:r w:rsidR="00DF3CB7" w:rsidRPr="007F2727">
        <w:rPr>
          <w:rFonts w:ascii="Arial" w:hAnsi="Arial" w:cs="Arial"/>
          <w:sz w:val="22"/>
        </w:rPr>
        <w:t xml:space="preserve"> understandably</w:t>
      </w:r>
      <w:r w:rsidRPr="007F2727">
        <w:rPr>
          <w:rFonts w:ascii="Arial" w:hAnsi="Arial" w:cs="Arial"/>
          <w:sz w:val="22"/>
        </w:rPr>
        <w:t xml:space="preserve"> did not always capture the emotions or passion within the voices that they were reporting.</w:t>
      </w:r>
    </w:p>
    <w:p w14:paraId="6D38DFF3" w14:textId="77777777" w:rsidR="00462D49" w:rsidRPr="007F2727" w:rsidRDefault="00462D49" w:rsidP="00B43857">
      <w:pPr>
        <w:spacing w:line="480" w:lineRule="auto"/>
        <w:rPr>
          <w:rFonts w:ascii="Arial" w:hAnsi="Arial" w:cs="Arial"/>
          <w:sz w:val="22"/>
        </w:rPr>
      </w:pPr>
    </w:p>
    <w:p w14:paraId="39F47054" w14:textId="77777777" w:rsidR="00462D49" w:rsidRPr="007F2727" w:rsidRDefault="00462D49" w:rsidP="00B43857">
      <w:pPr>
        <w:spacing w:line="480" w:lineRule="auto"/>
        <w:rPr>
          <w:rFonts w:ascii="Arial" w:hAnsi="Arial" w:cs="Arial"/>
          <w:sz w:val="22"/>
        </w:rPr>
      </w:pPr>
      <w:r w:rsidRPr="007F2727">
        <w:rPr>
          <w:rFonts w:ascii="Arial" w:hAnsi="Arial" w:cs="Arial"/>
          <w:sz w:val="22"/>
        </w:rPr>
        <w:t>The formality of reporting in the POR reports contrasted with the emotive statements found in the commissioning couples’ witness statements. For example, one can compare the difference in emotional content found in file 23 between the commissioning mother’s account and the POR’s account of how a decision was reached to use surrogacy as a form of fertility treatment:</w:t>
      </w:r>
    </w:p>
    <w:p w14:paraId="71861483" w14:textId="77777777" w:rsidR="00462D49" w:rsidRPr="007F2727" w:rsidRDefault="00462D49" w:rsidP="00B43857">
      <w:pPr>
        <w:spacing w:line="480" w:lineRule="auto"/>
        <w:rPr>
          <w:rFonts w:ascii="Arial" w:hAnsi="Arial" w:cs="Arial"/>
          <w:sz w:val="22"/>
        </w:rPr>
      </w:pPr>
    </w:p>
    <w:p w14:paraId="3FCDE92A"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 xml:space="preserve">(Name of applicant father) and I have always very much wanted to expand our family and over the course of 8 years from the age of 33 we attempted IVF treatment in the hope that I would become pregnant. I have had approximately 18 cycles of IVF over the course of 8 years. I became pregnant on 3 separate occasions and all 3 times had miscarriages. The physical and </w:t>
      </w:r>
      <w:r w:rsidRPr="007F2727">
        <w:rPr>
          <w:rFonts w:ascii="Arial" w:hAnsi="Arial" w:cs="Arial"/>
          <w:i/>
          <w:sz w:val="22"/>
        </w:rPr>
        <w:lastRenderedPageBreak/>
        <w:t>emotional strain of this became more and more difficult to bear. The constant expectation and disappointment with the highs and lows of the entire IVF process caused unbearable strain and stress for me and for us.</w:t>
      </w:r>
    </w:p>
    <w:p w14:paraId="5976C899" w14:textId="77777777" w:rsidR="00462D49" w:rsidRPr="007F2727" w:rsidRDefault="00462D49" w:rsidP="00B43857">
      <w:pPr>
        <w:spacing w:line="480" w:lineRule="auto"/>
        <w:ind w:firstLine="720"/>
        <w:rPr>
          <w:rFonts w:ascii="Arial" w:hAnsi="Arial" w:cs="Arial"/>
          <w:sz w:val="22"/>
        </w:rPr>
      </w:pPr>
      <w:r w:rsidRPr="007F2727">
        <w:rPr>
          <w:rFonts w:ascii="Arial" w:hAnsi="Arial" w:cs="Arial"/>
          <w:sz w:val="22"/>
        </w:rPr>
        <w:t>(File 23, Commissioning mother’s statement).</w:t>
      </w:r>
    </w:p>
    <w:p w14:paraId="3CFA7557" w14:textId="77777777" w:rsidR="00462D49" w:rsidRPr="007F2727" w:rsidRDefault="00462D49" w:rsidP="00B43857">
      <w:pPr>
        <w:spacing w:line="480" w:lineRule="auto"/>
        <w:rPr>
          <w:rFonts w:ascii="Arial" w:hAnsi="Arial" w:cs="Arial"/>
          <w:sz w:val="22"/>
        </w:rPr>
      </w:pPr>
    </w:p>
    <w:p w14:paraId="6F7469B0" w14:textId="77777777" w:rsidR="00462D49" w:rsidRPr="007F2727" w:rsidRDefault="00462D49" w:rsidP="00B43857">
      <w:pPr>
        <w:spacing w:line="480" w:lineRule="auto"/>
        <w:rPr>
          <w:rFonts w:ascii="Arial" w:hAnsi="Arial" w:cs="Arial"/>
          <w:sz w:val="22"/>
        </w:rPr>
      </w:pPr>
      <w:r w:rsidRPr="007F2727">
        <w:rPr>
          <w:rFonts w:ascii="Arial" w:hAnsi="Arial" w:cs="Arial"/>
          <w:sz w:val="22"/>
        </w:rPr>
        <w:t xml:space="preserve">When reported by the parental order </w:t>
      </w:r>
      <w:r w:rsidR="007743AA">
        <w:rPr>
          <w:rFonts w:ascii="Arial" w:hAnsi="Arial" w:cs="Arial"/>
          <w:sz w:val="22"/>
        </w:rPr>
        <w:t xml:space="preserve">reporter </w:t>
      </w:r>
      <w:r w:rsidRPr="007F2727">
        <w:rPr>
          <w:rFonts w:ascii="Arial" w:hAnsi="Arial" w:cs="Arial"/>
          <w:sz w:val="22"/>
        </w:rPr>
        <w:t>this becomes:</w:t>
      </w:r>
    </w:p>
    <w:p w14:paraId="60077208" w14:textId="77777777" w:rsidR="00462D49" w:rsidRPr="007F2727" w:rsidRDefault="00462D49" w:rsidP="00B43857">
      <w:pPr>
        <w:spacing w:line="480" w:lineRule="auto"/>
        <w:rPr>
          <w:rFonts w:ascii="Arial" w:hAnsi="Arial" w:cs="Arial"/>
          <w:sz w:val="22"/>
        </w:rPr>
      </w:pPr>
    </w:p>
    <w:p w14:paraId="18AE88BB"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They wanted to have another child and again tried the IVF route and when their last attempt, at a fertility clinic in (name of country), failed it was suggested to them that they try to have a child through surrogacy and they were recommended to a clinic in the (name of jurisdiction).</w:t>
      </w:r>
    </w:p>
    <w:p w14:paraId="7AC03004" w14:textId="77777777" w:rsidR="00462D49" w:rsidRPr="007F2727" w:rsidRDefault="00462D49" w:rsidP="00B43857">
      <w:pPr>
        <w:spacing w:line="480" w:lineRule="auto"/>
        <w:rPr>
          <w:rFonts w:ascii="Arial" w:hAnsi="Arial" w:cs="Arial"/>
          <w:sz w:val="22"/>
        </w:rPr>
      </w:pPr>
      <w:r w:rsidRPr="007F2727">
        <w:rPr>
          <w:rFonts w:ascii="Arial" w:hAnsi="Arial" w:cs="Arial"/>
          <w:i/>
          <w:sz w:val="22"/>
        </w:rPr>
        <w:tab/>
      </w:r>
      <w:r w:rsidRPr="007F2727">
        <w:rPr>
          <w:rFonts w:ascii="Arial" w:hAnsi="Arial" w:cs="Arial"/>
          <w:sz w:val="22"/>
        </w:rPr>
        <w:t>(File 23, POR).</w:t>
      </w:r>
    </w:p>
    <w:p w14:paraId="39FF1199" w14:textId="77777777" w:rsidR="00462D49" w:rsidRPr="007F2727" w:rsidRDefault="00462D49" w:rsidP="00B43857">
      <w:pPr>
        <w:spacing w:line="480" w:lineRule="auto"/>
        <w:rPr>
          <w:rFonts w:ascii="Arial" w:hAnsi="Arial" w:cs="Arial"/>
          <w:sz w:val="22"/>
        </w:rPr>
      </w:pPr>
    </w:p>
    <w:p w14:paraId="0952F613" w14:textId="77777777" w:rsidR="00462D49" w:rsidRPr="007F2727" w:rsidRDefault="00462D49" w:rsidP="00B43857">
      <w:pPr>
        <w:spacing w:line="480" w:lineRule="auto"/>
        <w:rPr>
          <w:rFonts w:ascii="Arial" w:hAnsi="Arial" w:cs="Arial"/>
          <w:sz w:val="22"/>
        </w:rPr>
      </w:pPr>
      <w:r w:rsidRPr="007F2727">
        <w:rPr>
          <w:rFonts w:ascii="Arial" w:hAnsi="Arial" w:cs="Arial"/>
          <w:sz w:val="22"/>
        </w:rPr>
        <w:t>Some reports did contain language that signified the POR’s own sympathy and affiliation with the commissioning couples’ circumstances and this tended to be when describing their parenting role:</w:t>
      </w:r>
    </w:p>
    <w:p w14:paraId="4EB6E20F" w14:textId="77777777" w:rsidR="00462D49" w:rsidRPr="007F2727" w:rsidRDefault="00462D49" w:rsidP="00B43857">
      <w:pPr>
        <w:spacing w:line="480" w:lineRule="auto"/>
        <w:rPr>
          <w:rFonts w:ascii="Arial" w:hAnsi="Arial" w:cs="Arial"/>
          <w:sz w:val="22"/>
        </w:rPr>
      </w:pPr>
    </w:p>
    <w:p w14:paraId="590B4B44"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0"/>
          <w:szCs w:val="22"/>
        </w:rPr>
        <w:t>(N</w:t>
      </w:r>
      <w:r w:rsidRPr="007F2727">
        <w:rPr>
          <w:rFonts w:ascii="Arial" w:hAnsi="Arial" w:cs="Arial"/>
          <w:i/>
          <w:sz w:val="22"/>
        </w:rPr>
        <w:t>ame of the twins</w:t>
      </w:r>
      <w:r w:rsidRPr="007F2727">
        <w:rPr>
          <w:rFonts w:ascii="Arial" w:hAnsi="Arial" w:cs="Arial"/>
          <w:sz w:val="22"/>
        </w:rPr>
        <w:t xml:space="preserve">) </w:t>
      </w:r>
      <w:r w:rsidRPr="007F2727">
        <w:rPr>
          <w:rFonts w:ascii="Arial" w:hAnsi="Arial" w:cs="Arial"/>
          <w:i/>
          <w:sz w:val="22"/>
        </w:rPr>
        <w:t>have all the love, care and attention, baby clothes, equipment, toys etc. that they could need in a comfortable and well equipped home. The clothes</w:t>
      </w:r>
      <w:r w:rsidR="00B40937" w:rsidRPr="007F2727">
        <w:rPr>
          <w:rFonts w:ascii="Arial" w:hAnsi="Arial" w:cs="Arial"/>
          <w:i/>
          <w:sz w:val="22"/>
        </w:rPr>
        <w:t xml:space="preserve"> (sic)</w:t>
      </w:r>
      <w:r w:rsidRPr="007F2727">
        <w:rPr>
          <w:rFonts w:ascii="Arial" w:hAnsi="Arial" w:cs="Arial"/>
          <w:i/>
          <w:sz w:val="22"/>
        </w:rPr>
        <w:t xml:space="preserve"> are an obvious delight to their parents.</w:t>
      </w:r>
    </w:p>
    <w:p w14:paraId="2153462C"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t>(File 3, POR).</w:t>
      </w:r>
    </w:p>
    <w:p w14:paraId="12B7D0FE" w14:textId="77777777" w:rsidR="00462D49" w:rsidRPr="007F2727" w:rsidRDefault="00462D49" w:rsidP="00B43857">
      <w:pPr>
        <w:spacing w:line="480" w:lineRule="auto"/>
        <w:rPr>
          <w:rFonts w:ascii="Arial" w:hAnsi="Arial" w:cs="Arial"/>
          <w:sz w:val="22"/>
        </w:rPr>
      </w:pPr>
    </w:p>
    <w:p w14:paraId="30D94CEF" w14:textId="77777777" w:rsidR="00462D49" w:rsidRPr="007F2727" w:rsidRDefault="00462D49" w:rsidP="00B43857">
      <w:pPr>
        <w:spacing w:line="480" w:lineRule="auto"/>
        <w:rPr>
          <w:rFonts w:ascii="Arial" w:hAnsi="Arial" w:cs="Arial"/>
          <w:sz w:val="22"/>
        </w:rPr>
      </w:pPr>
      <w:r w:rsidRPr="007F2727">
        <w:rPr>
          <w:rFonts w:ascii="Arial" w:hAnsi="Arial" w:cs="Arial"/>
          <w:sz w:val="22"/>
        </w:rPr>
        <w:t xml:space="preserve">There was a different focus placed by PORs and commissioning couples on what they considered to be important to relay to the courts. If for example one considers file 6, </w:t>
      </w:r>
      <w:r w:rsidR="00B40937" w:rsidRPr="007F2727">
        <w:rPr>
          <w:rFonts w:ascii="Arial" w:hAnsi="Arial" w:cs="Arial"/>
          <w:sz w:val="22"/>
        </w:rPr>
        <w:t xml:space="preserve">on the question of disclosure </w:t>
      </w:r>
      <w:r w:rsidRPr="007F2727">
        <w:rPr>
          <w:rFonts w:ascii="Arial" w:hAnsi="Arial" w:cs="Arial"/>
          <w:sz w:val="22"/>
        </w:rPr>
        <w:t xml:space="preserve">the POR </w:t>
      </w:r>
      <w:r w:rsidR="00B40937" w:rsidRPr="007F2727">
        <w:rPr>
          <w:rFonts w:ascii="Arial" w:hAnsi="Arial" w:cs="Arial"/>
          <w:sz w:val="22"/>
        </w:rPr>
        <w:t xml:space="preserve">that she was </w:t>
      </w:r>
      <w:r w:rsidRPr="007F2727">
        <w:rPr>
          <w:rFonts w:ascii="Arial" w:hAnsi="Arial" w:cs="Arial"/>
          <w:sz w:val="22"/>
        </w:rPr>
        <w:t>‘impressed’</w:t>
      </w:r>
      <w:r w:rsidR="00B40937" w:rsidRPr="007F2727">
        <w:rPr>
          <w:rFonts w:ascii="Arial" w:hAnsi="Arial" w:cs="Arial"/>
          <w:sz w:val="22"/>
        </w:rPr>
        <w:t xml:space="preserve"> by the commissioning couple’s reflections on how to disclose to the child their origins:</w:t>
      </w:r>
      <w:r w:rsidRPr="007F2727">
        <w:rPr>
          <w:rFonts w:ascii="Arial" w:hAnsi="Arial" w:cs="Arial"/>
          <w:sz w:val="22"/>
        </w:rPr>
        <w:t xml:space="preserve"> </w:t>
      </w:r>
    </w:p>
    <w:p w14:paraId="1B692A31" w14:textId="77777777" w:rsidR="00462D49" w:rsidRPr="007F2727" w:rsidRDefault="00462D49" w:rsidP="00B43857">
      <w:pPr>
        <w:spacing w:line="480" w:lineRule="auto"/>
        <w:rPr>
          <w:rFonts w:ascii="Arial" w:hAnsi="Arial" w:cs="Arial"/>
          <w:sz w:val="22"/>
        </w:rPr>
      </w:pPr>
    </w:p>
    <w:p w14:paraId="2C846A93"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lastRenderedPageBreak/>
        <w:t xml:space="preserve">I have discussed this question with the applicants and was impressed by how much thought and preparation they had already done with (surrogate mother) on these issues and intend to do with the twins. </w:t>
      </w:r>
    </w:p>
    <w:p w14:paraId="6EF95BE5" w14:textId="77777777" w:rsidR="00462D49" w:rsidRPr="007F2727" w:rsidRDefault="00462D49" w:rsidP="00B43857">
      <w:pPr>
        <w:spacing w:line="480" w:lineRule="auto"/>
        <w:rPr>
          <w:rFonts w:ascii="Arial" w:hAnsi="Arial" w:cs="Arial"/>
          <w:sz w:val="22"/>
        </w:rPr>
      </w:pPr>
      <w:r w:rsidRPr="007F2727">
        <w:rPr>
          <w:rFonts w:ascii="Arial" w:hAnsi="Arial" w:cs="Arial"/>
          <w:i/>
          <w:sz w:val="22"/>
        </w:rPr>
        <w:tab/>
      </w:r>
      <w:r w:rsidRPr="007F2727">
        <w:rPr>
          <w:rFonts w:ascii="Arial" w:hAnsi="Arial" w:cs="Arial"/>
          <w:sz w:val="22"/>
        </w:rPr>
        <w:t>(File 6, POR).</w:t>
      </w:r>
    </w:p>
    <w:p w14:paraId="6F475FDE" w14:textId="77777777" w:rsidR="00462D49" w:rsidRPr="007F2727" w:rsidRDefault="00462D49" w:rsidP="00B43857">
      <w:pPr>
        <w:spacing w:line="480" w:lineRule="auto"/>
        <w:rPr>
          <w:rFonts w:ascii="Arial" w:hAnsi="Arial" w:cs="Arial"/>
          <w:sz w:val="22"/>
        </w:rPr>
      </w:pPr>
    </w:p>
    <w:p w14:paraId="2035B545" w14:textId="77777777" w:rsidR="00462D49" w:rsidRPr="007F2727" w:rsidRDefault="00462D49" w:rsidP="00B43857">
      <w:pPr>
        <w:spacing w:line="480" w:lineRule="auto"/>
        <w:rPr>
          <w:rFonts w:ascii="Arial" w:hAnsi="Arial" w:cs="Arial"/>
          <w:sz w:val="22"/>
        </w:rPr>
      </w:pPr>
      <w:r w:rsidRPr="007F2727">
        <w:rPr>
          <w:rFonts w:ascii="Arial" w:hAnsi="Arial" w:cs="Arial"/>
          <w:sz w:val="22"/>
        </w:rPr>
        <w:t>This can be compared to the joint statement of the commissioning couple where they do not mention their intention to disclose origins to the child in their witness statement but instead use language to emphasise and enforce their legal claim to the child:</w:t>
      </w:r>
    </w:p>
    <w:p w14:paraId="4777E804" w14:textId="77777777" w:rsidR="00462D49" w:rsidRPr="007F2727" w:rsidRDefault="00462D49" w:rsidP="00B43857">
      <w:pPr>
        <w:spacing w:line="480" w:lineRule="auto"/>
        <w:rPr>
          <w:rFonts w:ascii="Arial" w:hAnsi="Arial" w:cs="Arial"/>
          <w:sz w:val="22"/>
        </w:rPr>
      </w:pPr>
    </w:p>
    <w:p w14:paraId="5E0CB406"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(Surrogate mother) and (surrogate mother’s husband) do not have any legal rights over either (surrogate child 1) or (surrogate child 2) in (name of jurisdiction). We refer to the pre-birth order made on (date)…by virtue of which they have no legal rights or obligations under (name of jurisdiction) law in respect of the children. (Name of surrogate mother) and (name of surrogate mother’s husband) consented with full knowledge and understanding of the legal implications of the pre-birth order being made in (name of jurisdiction). Indeed the court will note from the children’s birth certificate at pages 5 to 6 of the exhibit that we are each named as the children’s mother and father respectively.</w:t>
      </w:r>
    </w:p>
    <w:p w14:paraId="28632A77" w14:textId="77777777" w:rsidR="00462D49" w:rsidRPr="007F2727" w:rsidRDefault="00462D49" w:rsidP="00B43857">
      <w:pPr>
        <w:spacing w:line="480" w:lineRule="auto"/>
        <w:ind w:left="720"/>
        <w:rPr>
          <w:rFonts w:ascii="Arial" w:hAnsi="Arial" w:cs="Arial"/>
          <w:sz w:val="22"/>
        </w:rPr>
      </w:pPr>
      <w:proofErr w:type="gramStart"/>
      <w:r w:rsidRPr="007F2727">
        <w:rPr>
          <w:rFonts w:ascii="Arial" w:hAnsi="Arial" w:cs="Arial"/>
          <w:sz w:val="22"/>
        </w:rPr>
        <w:t>(File 6, joint statement of applicants).</w:t>
      </w:r>
      <w:proofErr w:type="gramEnd"/>
    </w:p>
    <w:p w14:paraId="7F60DA5D" w14:textId="77777777" w:rsidR="00462D49" w:rsidRPr="007F2727" w:rsidRDefault="00462D49" w:rsidP="00B43857">
      <w:pPr>
        <w:spacing w:line="480" w:lineRule="auto"/>
        <w:rPr>
          <w:rFonts w:ascii="Arial" w:hAnsi="Arial" w:cs="Arial"/>
          <w:sz w:val="22"/>
        </w:rPr>
      </w:pPr>
    </w:p>
    <w:p w14:paraId="41A61866" w14:textId="77777777" w:rsidR="00462D49" w:rsidRPr="007F2727" w:rsidRDefault="00462D49" w:rsidP="00B43857">
      <w:pPr>
        <w:spacing w:line="480" w:lineRule="auto"/>
        <w:rPr>
          <w:rFonts w:ascii="Arial" w:hAnsi="Arial" w:cs="Arial"/>
          <w:sz w:val="22"/>
        </w:rPr>
      </w:pPr>
      <w:r w:rsidRPr="007F2727">
        <w:rPr>
          <w:rFonts w:ascii="Arial" w:hAnsi="Arial" w:cs="Arial"/>
          <w:sz w:val="22"/>
        </w:rPr>
        <w:t xml:space="preserve">Therefore the issue of disclosure is not prioritised in the couple’s own reporting back to the court. The emphasis placed by </w:t>
      </w:r>
      <w:r w:rsidR="0028086B" w:rsidRPr="007F2727">
        <w:rPr>
          <w:rFonts w:ascii="Arial" w:hAnsi="Arial" w:cs="Arial"/>
          <w:sz w:val="22"/>
        </w:rPr>
        <w:t xml:space="preserve">this </w:t>
      </w:r>
      <w:r w:rsidRPr="007F2727">
        <w:rPr>
          <w:rFonts w:ascii="Arial" w:hAnsi="Arial" w:cs="Arial"/>
          <w:sz w:val="22"/>
        </w:rPr>
        <w:t>commissioning couple on entitlement suggest</w:t>
      </w:r>
      <w:r w:rsidR="0028086B" w:rsidRPr="007F2727">
        <w:rPr>
          <w:rFonts w:ascii="Arial" w:hAnsi="Arial" w:cs="Arial"/>
          <w:sz w:val="22"/>
        </w:rPr>
        <w:t>s</w:t>
      </w:r>
      <w:r w:rsidRPr="007F2727">
        <w:rPr>
          <w:rFonts w:ascii="Arial" w:hAnsi="Arial" w:cs="Arial"/>
          <w:sz w:val="22"/>
        </w:rPr>
        <w:t xml:space="preserve"> that disclosure of origins to the child was not part of their story for the court and was given less prominence in the retelling of past and future events. </w:t>
      </w:r>
    </w:p>
    <w:p w14:paraId="1C02C937" w14:textId="77777777" w:rsidR="00462D49" w:rsidRPr="007F2727" w:rsidRDefault="00462D49" w:rsidP="00B43857">
      <w:pPr>
        <w:spacing w:line="480" w:lineRule="auto"/>
        <w:rPr>
          <w:rFonts w:ascii="Arial" w:hAnsi="Arial" w:cs="Arial"/>
          <w:sz w:val="22"/>
        </w:rPr>
      </w:pPr>
    </w:p>
    <w:p w14:paraId="31EDF363" w14:textId="77777777" w:rsidR="00462D49" w:rsidRPr="007F2727" w:rsidRDefault="00462D49" w:rsidP="00B43857">
      <w:pPr>
        <w:spacing w:line="480" w:lineRule="auto"/>
        <w:rPr>
          <w:rFonts w:ascii="Arial" w:hAnsi="Arial" w:cs="Arial"/>
          <w:sz w:val="22"/>
        </w:rPr>
      </w:pPr>
      <w:r w:rsidRPr="007F2727">
        <w:rPr>
          <w:rFonts w:ascii="Arial" w:hAnsi="Arial" w:cs="Arial"/>
          <w:sz w:val="22"/>
        </w:rPr>
        <w:lastRenderedPageBreak/>
        <w:t xml:space="preserve">The difference in approaches may be explained by the commissioning couples understanding of the role and purpose of the legal proceedings (being a process to settle the issue of legal parentage) as opposed to the parental reporter’s understanding of their role (to ensure the welfare of the child is met). In addition some of the witness statements were written before receipt of the parental order reports and therefore there </w:t>
      </w:r>
      <w:r w:rsidR="0028086B" w:rsidRPr="007F2727">
        <w:rPr>
          <w:rFonts w:ascii="Arial" w:hAnsi="Arial" w:cs="Arial"/>
          <w:sz w:val="22"/>
        </w:rPr>
        <w:t>did</w:t>
      </w:r>
      <w:r w:rsidRPr="007F2727">
        <w:rPr>
          <w:rFonts w:ascii="Arial" w:hAnsi="Arial" w:cs="Arial"/>
          <w:sz w:val="22"/>
        </w:rPr>
        <w:t xml:space="preserve"> not always </w:t>
      </w:r>
      <w:r w:rsidR="0028086B" w:rsidRPr="007F2727">
        <w:rPr>
          <w:rFonts w:ascii="Arial" w:hAnsi="Arial" w:cs="Arial"/>
          <w:sz w:val="22"/>
        </w:rPr>
        <w:t xml:space="preserve">provide </w:t>
      </w:r>
      <w:r w:rsidRPr="007F2727">
        <w:rPr>
          <w:rFonts w:ascii="Arial" w:hAnsi="Arial" w:cs="Arial"/>
          <w:sz w:val="22"/>
        </w:rPr>
        <w:t xml:space="preserve">an opportunity to respond to the issue of disclosure </w:t>
      </w:r>
      <w:r w:rsidR="0028086B" w:rsidRPr="007F2727">
        <w:rPr>
          <w:rFonts w:ascii="Arial" w:hAnsi="Arial" w:cs="Arial"/>
          <w:sz w:val="22"/>
        </w:rPr>
        <w:t>once</w:t>
      </w:r>
      <w:r w:rsidRPr="007F2727">
        <w:rPr>
          <w:rFonts w:ascii="Arial" w:hAnsi="Arial" w:cs="Arial"/>
          <w:sz w:val="22"/>
        </w:rPr>
        <w:t xml:space="preserve"> raised by the POR. None of the commissioning couples appear to have taken issue with the question of disclosure when raised by the POR during interview. However, there was a difference to be found between those couples who had already given the matter some thought and responded enthusiastically to the suggestion (71%, n = 15) and those who said that they would give the matter serious thought (29%, n = 6).</w:t>
      </w:r>
      <w:r w:rsidRPr="007F2727">
        <w:rPr>
          <w:rStyle w:val="FootnoteReference"/>
          <w:rFonts w:ascii="Arial" w:hAnsi="Arial" w:cs="Arial"/>
          <w:sz w:val="22"/>
        </w:rPr>
        <w:footnoteReference w:id="63"/>
      </w:r>
      <w:r w:rsidRPr="007F2727">
        <w:rPr>
          <w:rFonts w:ascii="Arial" w:hAnsi="Arial" w:cs="Arial"/>
          <w:sz w:val="22"/>
        </w:rPr>
        <w:t xml:space="preserve"> For example, in one file the POR writes:</w:t>
      </w:r>
    </w:p>
    <w:p w14:paraId="109EDD7B" w14:textId="77777777" w:rsidR="00462D49" w:rsidRPr="007F2727" w:rsidRDefault="00462D49" w:rsidP="00B43857">
      <w:pPr>
        <w:spacing w:line="480" w:lineRule="auto"/>
        <w:rPr>
          <w:rFonts w:ascii="Arial" w:hAnsi="Arial" w:cs="Arial"/>
          <w:sz w:val="22"/>
        </w:rPr>
      </w:pPr>
    </w:p>
    <w:p w14:paraId="39A37A38"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Their (sic) intended parents recognise that the knowledge of the children should be a developing process rather than being told the information in a prepared session.</w:t>
      </w:r>
    </w:p>
    <w:p w14:paraId="4F949B92"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t>(File 29, POR)</w:t>
      </w:r>
    </w:p>
    <w:p w14:paraId="13211917" w14:textId="77777777" w:rsidR="00462D49" w:rsidRPr="007F2727" w:rsidRDefault="00462D49" w:rsidP="00B43857">
      <w:pPr>
        <w:spacing w:line="480" w:lineRule="auto"/>
        <w:rPr>
          <w:rFonts w:ascii="Arial" w:hAnsi="Arial" w:cs="Arial"/>
          <w:sz w:val="22"/>
        </w:rPr>
      </w:pPr>
    </w:p>
    <w:p w14:paraId="77CC5427" w14:textId="77777777" w:rsidR="00462D49" w:rsidRPr="007F2727" w:rsidRDefault="00462D49" w:rsidP="00B43857">
      <w:pPr>
        <w:spacing w:line="480" w:lineRule="auto"/>
        <w:rPr>
          <w:rFonts w:ascii="Arial" w:hAnsi="Arial" w:cs="Arial"/>
          <w:sz w:val="22"/>
        </w:rPr>
      </w:pPr>
      <w:r w:rsidRPr="007F2727">
        <w:rPr>
          <w:rFonts w:ascii="Arial" w:hAnsi="Arial" w:cs="Arial"/>
          <w:sz w:val="22"/>
        </w:rPr>
        <w:t>Yet in this same file one of the commissioning couple seems ambiguous about future intentions to disclose and writes:</w:t>
      </w:r>
    </w:p>
    <w:p w14:paraId="74C56356" w14:textId="77777777" w:rsidR="00462D49" w:rsidRPr="007F2727" w:rsidRDefault="00462D49" w:rsidP="00B43857">
      <w:pPr>
        <w:spacing w:line="480" w:lineRule="auto"/>
        <w:rPr>
          <w:rFonts w:ascii="Arial" w:hAnsi="Arial" w:cs="Arial"/>
          <w:sz w:val="22"/>
        </w:rPr>
      </w:pPr>
    </w:p>
    <w:p w14:paraId="5380CE28"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 xml:space="preserve">How will I tell them I wonder? Tell them what? They will one day know that they were lucky enough to have two Daddies, they’ll also know pretty much what its like to have a Mummy. We’ll tell them about the wonderful people who have helped look after them; grannies and granddads and uncles and </w:t>
      </w:r>
      <w:r w:rsidRPr="007F2727">
        <w:rPr>
          <w:rFonts w:ascii="Arial" w:hAnsi="Arial" w:cs="Arial"/>
          <w:i/>
          <w:sz w:val="22"/>
        </w:rPr>
        <w:lastRenderedPageBreak/>
        <w:t>aunts and great uncles and aunts and even a very enthusiastic great granddad.</w:t>
      </w:r>
    </w:p>
    <w:p w14:paraId="0F71AE60" w14:textId="77777777" w:rsidR="00462D49" w:rsidRPr="007F2727" w:rsidRDefault="00462D49" w:rsidP="00B43857">
      <w:pPr>
        <w:spacing w:line="480" w:lineRule="auto"/>
        <w:ind w:left="720"/>
        <w:rPr>
          <w:rFonts w:ascii="Arial" w:hAnsi="Arial" w:cs="Arial"/>
          <w:sz w:val="22"/>
        </w:rPr>
      </w:pPr>
      <w:proofErr w:type="gramStart"/>
      <w:r w:rsidRPr="007F2727">
        <w:rPr>
          <w:rFonts w:ascii="Arial" w:hAnsi="Arial" w:cs="Arial"/>
          <w:sz w:val="22"/>
        </w:rPr>
        <w:t>(File 29, first applicant).</w:t>
      </w:r>
      <w:proofErr w:type="gramEnd"/>
    </w:p>
    <w:p w14:paraId="173B4430" w14:textId="77777777" w:rsidR="00462D49" w:rsidRPr="007F2727" w:rsidRDefault="00462D49" w:rsidP="00B43857">
      <w:pPr>
        <w:spacing w:line="480" w:lineRule="auto"/>
        <w:rPr>
          <w:rFonts w:ascii="Arial" w:hAnsi="Arial" w:cs="Arial"/>
          <w:sz w:val="22"/>
        </w:rPr>
      </w:pPr>
    </w:p>
    <w:p w14:paraId="57B39876" w14:textId="77777777" w:rsidR="00462D49" w:rsidRPr="007F2727" w:rsidRDefault="00462D49" w:rsidP="00B43857">
      <w:pPr>
        <w:spacing w:line="480" w:lineRule="auto"/>
        <w:rPr>
          <w:rFonts w:ascii="Arial" w:hAnsi="Arial" w:cs="Arial"/>
          <w:sz w:val="22"/>
        </w:rPr>
      </w:pPr>
      <w:r w:rsidRPr="007F2727">
        <w:rPr>
          <w:rFonts w:ascii="Arial" w:hAnsi="Arial" w:cs="Arial"/>
          <w:sz w:val="22"/>
        </w:rPr>
        <w:t>There appears to be an almost defiant position adopted that the children will find female role models within the immediate and extended family and</w:t>
      </w:r>
      <w:r w:rsidR="00DB19BD">
        <w:rPr>
          <w:rFonts w:ascii="Arial" w:hAnsi="Arial" w:cs="Arial"/>
          <w:sz w:val="22"/>
        </w:rPr>
        <w:t xml:space="preserve"> the implication was that</w:t>
      </w:r>
      <w:r w:rsidRPr="007F2727">
        <w:rPr>
          <w:rFonts w:ascii="Arial" w:hAnsi="Arial" w:cs="Arial"/>
          <w:sz w:val="22"/>
        </w:rPr>
        <w:t xml:space="preserve"> there was not therefore a need for the child to know the surrogate. This </w:t>
      </w:r>
      <w:r w:rsidR="00DB19BD">
        <w:rPr>
          <w:rFonts w:ascii="Arial" w:hAnsi="Arial" w:cs="Arial"/>
          <w:sz w:val="22"/>
        </w:rPr>
        <w:t xml:space="preserve">particular </w:t>
      </w:r>
      <w:r w:rsidRPr="007F2727">
        <w:rPr>
          <w:rFonts w:ascii="Arial" w:hAnsi="Arial" w:cs="Arial"/>
          <w:sz w:val="22"/>
        </w:rPr>
        <w:t xml:space="preserve">file related to a surrogacy arrangement in a non-western </w:t>
      </w:r>
      <w:proofErr w:type="gramStart"/>
      <w:r w:rsidRPr="007F2727">
        <w:rPr>
          <w:rFonts w:ascii="Arial" w:hAnsi="Arial" w:cs="Arial"/>
          <w:sz w:val="22"/>
        </w:rPr>
        <w:t>country</w:t>
      </w:r>
      <w:r w:rsidR="00371B2F">
        <w:rPr>
          <w:rFonts w:ascii="Arial" w:hAnsi="Arial" w:cs="Arial"/>
          <w:sz w:val="22"/>
        </w:rPr>
        <w:t xml:space="preserve"> </w:t>
      </w:r>
      <w:r w:rsidRPr="007F2727">
        <w:rPr>
          <w:rFonts w:ascii="Arial" w:hAnsi="Arial" w:cs="Arial"/>
          <w:sz w:val="22"/>
        </w:rPr>
        <w:t>.</w:t>
      </w:r>
      <w:proofErr w:type="gramEnd"/>
    </w:p>
    <w:p w14:paraId="1FECDB75" w14:textId="77777777" w:rsidR="00462D49" w:rsidRPr="007F2727" w:rsidRDefault="00462D49" w:rsidP="00B43857">
      <w:pPr>
        <w:spacing w:line="480" w:lineRule="auto"/>
        <w:rPr>
          <w:rFonts w:ascii="Arial" w:hAnsi="Arial" w:cs="Arial"/>
          <w:sz w:val="22"/>
        </w:rPr>
      </w:pPr>
    </w:p>
    <w:p w14:paraId="5CABE341" w14:textId="77777777" w:rsidR="00462D49" w:rsidRPr="007F2727" w:rsidRDefault="00462D49" w:rsidP="00B43857">
      <w:pPr>
        <w:spacing w:line="480" w:lineRule="auto"/>
        <w:rPr>
          <w:rFonts w:ascii="Arial" w:hAnsi="Arial" w:cs="Arial"/>
          <w:sz w:val="22"/>
        </w:rPr>
      </w:pPr>
      <w:r w:rsidRPr="007F2727">
        <w:rPr>
          <w:rFonts w:ascii="Arial" w:hAnsi="Arial" w:cs="Arial"/>
          <w:sz w:val="22"/>
        </w:rPr>
        <w:t>Whilst the PORs often gave their final view on the question of legal parentage, there were some matters that the PORs were careful to leave to the courts but were able to signal their own feelings of concern through signposting. For example, in file 29, the POR was clearly concerned that there was missing documentation relating to the nature and terms of the surrogacy arrangement. Instead of directly stating this they couched their concerns in careful terms to the judge as if imparting a non-verbal marker:</w:t>
      </w:r>
    </w:p>
    <w:p w14:paraId="493A26F4" w14:textId="77777777" w:rsidR="00462D49" w:rsidRPr="007F2727" w:rsidRDefault="00462D49" w:rsidP="00B43857">
      <w:pPr>
        <w:spacing w:line="480" w:lineRule="auto"/>
        <w:rPr>
          <w:rFonts w:ascii="Arial" w:hAnsi="Arial" w:cs="Arial"/>
          <w:sz w:val="22"/>
        </w:rPr>
      </w:pPr>
    </w:p>
    <w:p w14:paraId="56F53F86"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The applicants were able to arrange British passports for all three children and the family returned to their home in England on (date). For some reason the (sic) there is no reference to baby (name of surrogate child 2) on the copies of the flight documentation. I was recently advised that this was because she was in the care of her (nationality) grandmother.</w:t>
      </w:r>
    </w:p>
    <w:p w14:paraId="1992CC34" w14:textId="77777777" w:rsidR="00462D49" w:rsidRPr="007F2727" w:rsidRDefault="00462D49" w:rsidP="00B43857">
      <w:pPr>
        <w:spacing w:line="480" w:lineRule="auto"/>
        <w:ind w:left="720"/>
        <w:rPr>
          <w:rFonts w:ascii="Arial" w:hAnsi="Arial" w:cs="Arial"/>
          <w:i/>
          <w:sz w:val="22"/>
        </w:rPr>
      </w:pPr>
    </w:p>
    <w:p w14:paraId="2FB0962C" w14:textId="77777777" w:rsidR="00462D49" w:rsidRPr="007F2727" w:rsidRDefault="00462D49" w:rsidP="00B43857">
      <w:pPr>
        <w:spacing w:line="480" w:lineRule="auto"/>
        <w:rPr>
          <w:rFonts w:ascii="Arial" w:hAnsi="Arial" w:cs="Arial"/>
          <w:sz w:val="22"/>
        </w:rPr>
      </w:pPr>
      <w:r w:rsidRPr="007F2727">
        <w:rPr>
          <w:rFonts w:ascii="Arial" w:hAnsi="Arial" w:cs="Arial"/>
          <w:sz w:val="22"/>
        </w:rPr>
        <w:t>The use of the words ‘</w:t>
      </w:r>
      <w:r w:rsidRPr="007F2727">
        <w:rPr>
          <w:rFonts w:ascii="Arial" w:hAnsi="Arial" w:cs="Arial"/>
          <w:i/>
          <w:sz w:val="22"/>
        </w:rPr>
        <w:t>for some reason</w:t>
      </w:r>
      <w:r w:rsidRPr="007F2727">
        <w:rPr>
          <w:rFonts w:ascii="Arial" w:hAnsi="Arial" w:cs="Arial"/>
          <w:sz w:val="22"/>
        </w:rPr>
        <w:t>’ suggests a declared confusion on the part of the POR as to why there is no</w:t>
      </w:r>
      <w:r w:rsidR="00BD29B5" w:rsidRPr="007F2727">
        <w:rPr>
          <w:rFonts w:ascii="Arial" w:hAnsi="Arial" w:cs="Arial"/>
          <w:sz w:val="22"/>
        </w:rPr>
        <w:t>t written</w:t>
      </w:r>
      <w:r w:rsidRPr="007F2727">
        <w:rPr>
          <w:rFonts w:ascii="Arial" w:hAnsi="Arial" w:cs="Arial"/>
          <w:sz w:val="22"/>
        </w:rPr>
        <w:t xml:space="preserve"> explanation given for the missing documents. The use of the words ‘</w:t>
      </w:r>
      <w:r w:rsidRPr="007F2727">
        <w:rPr>
          <w:rFonts w:ascii="Arial" w:hAnsi="Arial" w:cs="Arial"/>
          <w:i/>
          <w:sz w:val="22"/>
        </w:rPr>
        <w:t>I was recently advised</w:t>
      </w:r>
      <w:r w:rsidRPr="007F2727">
        <w:rPr>
          <w:rFonts w:ascii="Arial" w:hAnsi="Arial" w:cs="Arial"/>
          <w:sz w:val="22"/>
        </w:rPr>
        <w:t>’ as opposed to for example, ‘</w:t>
      </w:r>
      <w:r w:rsidRPr="007F2727">
        <w:rPr>
          <w:rFonts w:ascii="Arial" w:hAnsi="Arial" w:cs="Arial"/>
          <w:i/>
          <w:sz w:val="22"/>
        </w:rPr>
        <w:t>I have been able to establish</w:t>
      </w:r>
      <w:r w:rsidRPr="007F2727">
        <w:rPr>
          <w:rFonts w:ascii="Arial" w:hAnsi="Arial" w:cs="Arial"/>
          <w:sz w:val="22"/>
        </w:rPr>
        <w:t>’ also signals that the confirmation received is not conclusive.</w:t>
      </w:r>
    </w:p>
    <w:p w14:paraId="247DE111" w14:textId="77777777" w:rsidR="00462D49" w:rsidRPr="007F2727" w:rsidRDefault="00462D49" w:rsidP="00B43857">
      <w:pPr>
        <w:spacing w:line="480" w:lineRule="auto"/>
        <w:rPr>
          <w:rFonts w:ascii="Arial" w:hAnsi="Arial" w:cs="Arial"/>
          <w:sz w:val="22"/>
        </w:rPr>
      </w:pPr>
    </w:p>
    <w:p w14:paraId="0C2FFCCE" w14:textId="77777777" w:rsidR="00462D49" w:rsidRPr="007F2727" w:rsidRDefault="00462D49" w:rsidP="00B43857">
      <w:pPr>
        <w:spacing w:line="480" w:lineRule="auto"/>
        <w:rPr>
          <w:rFonts w:ascii="Arial" w:hAnsi="Arial" w:cs="Arial"/>
          <w:sz w:val="22"/>
        </w:rPr>
      </w:pPr>
      <w:r w:rsidRPr="007F2727">
        <w:rPr>
          <w:rFonts w:ascii="Arial" w:hAnsi="Arial" w:cs="Arial"/>
          <w:sz w:val="22"/>
        </w:rPr>
        <w:lastRenderedPageBreak/>
        <w:t>The PORs followed a pattern of using quotation marks when assigning speech to the commissioning couple or using written markers such as ‘</w:t>
      </w:r>
      <w:r w:rsidRPr="007F2727">
        <w:rPr>
          <w:rFonts w:ascii="Arial" w:hAnsi="Arial" w:cs="Arial"/>
          <w:i/>
          <w:sz w:val="22"/>
        </w:rPr>
        <w:t>I have been told/informed</w:t>
      </w:r>
      <w:r w:rsidRPr="007F2727">
        <w:rPr>
          <w:rFonts w:ascii="Arial" w:hAnsi="Arial" w:cs="Arial"/>
          <w:sz w:val="22"/>
        </w:rPr>
        <w:t>’ or ‘</w:t>
      </w:r>
      <w:r w:rsidRPr="007F2727">
        <w:rPr>
          <w:rFonts w:ascii="Arial" w:hAnsi="Arial" w:cs="Arial"/>
          <w:i/>
          <w:sz w:val="22"/>
        </w:rPr>
        <w:t>the applicants were very clea</w:t>
      </w:r>
      <w:r w:rsidRPr="007F2727">
        <w:rPr>
          <w:rFonts w:ascii="Arial" w:hAnsi="Arial" w:cs="Arial"/>
          <w:sz w:val="22"/>
        </w:rPr>
        <w:t>r</w:t>
      </w:r>
      <w:r w:rsidR="007260D3" w:rsidRPr="007F2727">
        <w:rPr>
          <w:rFonts w:ascii="Arial" w:hAnsi="Arial" w:cs="Arial"/>
          <w:sz w:val="22"/>
        </w:rPr>
        <w:t>’</w:t>
      </w:r>
      <w:r w:rsidRPr="007F2727">
        <w:rPr>
          <w:rFonts w:ascii="Arial" w:hAnsi="Arial" w:cs="Arial"/>
          <w:sz w:val="22"/>
        </w:rPr>
        <w:t xml:space="preserve"> or ‘</w:t>
      </w:r>
      <w:r w:rsidRPr="007F2727">
        <w:rPr>
          <w:rFonts w:ascii="Arial" w:hAnsi="Arial" w:cs="Arial"/>
          <w:i/>
          <w:sz w:val="22"/>
        </w:rPr>
        <w:t>the applicants describe/spoke of</w:t>
      </w:r>
      <w:r w:rsidR="007260D3" w:rsidRPr="007F2727">
        <w:rPr>
          <w:rFonts w:ascii="Arial" w:hAnsi="Arial" w:cs="Arial"/>
          <w:sz w:val="22"/>
        </w:rPr>
        <w:t>.</w:t>
      </w:r>
      <w:r w:rsidRPr="007F2727">
        <w:rPr>
          <w:rFonts w:ascii="Arial" w:hAnsi="Arial" w:cs="Arial"/>
          <w:sz w:val="22"/>
        </w:rPr>
        <w:t>’ However, sometimes this would also be more vaguely expressed as ‘</w:t>
      </w:r>
      <w:r w:rsidRPr="007F2727">
        <w:rPr>
          <w:rFonts w:ascii="Arial" w:hAnsi="Arial" w:cs="Arial"/>
          <w:i/>
          <w:sz w:val="22"/>
        </w:rPr>
        <w:t>I understand</w:t>
      </w:r>
      <w:r w:rsidRPr="007F2727">
        <w:rPr>
          <w:rFonts w:ascii="Arial" w:hAnsi="Arial" w:cs="Arial"/>
          <w:sz w:val="22"/>
        </w:rPr>
        <w:t>.’ At other times it would be unclear whether the adjectives chosen belonged to the POR or the commissioning couple. For example, in file 28 the POR clearly ascribes words to the commissioning couple:</w:t>
      </w:r>
    </w:p>
    <w:p w14:paraId="28022415" w14:textId="77777777" w:rsidR="00462D49" w:rsidRPr="007F2727" w:rsidRDefault="00462D49" w:rsidP="00B43857">
      <w:pPr>
        <w:spacing w:line="480" w:lineRule="auto"/>
        <w:rPr>
          <w:rFonts w:ascii="Arial" w:hAnsi="Arial" w:cs="Arial"/>
          <w:sz w:val="22"/>
        </w:rPr>
      </w:pPr>
    </w:p>
    <w:p w14:paraId="752F0AC6"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The applicants had a room at the hospital next door to (name of surrogate) who they described as a “brilliant surrogate”.</w:t>
      </w:r>
    </w:p>
    <w:p w14:paraId="28BD4345"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t>(File 28, POR).</w:t>
      </w:r>
    </w:p>
    <w:p w14:paraId="7FCA72EC" w14:textId="77777777" w:rsidR="00462D49" w:rsidRPr="007F2727" w:rsidRDefault="00462D49" w:rsidP="00B43857">
      <w:pPr>
        <w:spacing w:line="480" w:lineRule="auto"/>
        <w:rPr>
          <w:rFonts w:ascii="Arial" w:hAnsi="Arial" w:cs="Arial"/>
          <w:sz w:val="22"/>
        </w:rPr>
      </w:pPr>
    </w:p>
    <w:p w14:paraId="14A7C52B" w14:textId="77777777" w:rsidR="00462D49" w:rsidRPr="007F2727" w:rsidRDefault="00462D49" w:rsidP="00B43857">
      <w:pPr>
        <w:spacing w:line="480" w:lineRule="auto"/>
        <w:rPr>
          <w:rFonts w:ascii="Arial" w:hAnsi="Arial" w:cs="Arial"/>
          <w:sz w:val="22"/>
        </w:rPr>
      </w:pPr>
      <w:r w:rsidRPr="007F2727">
        <w:rPr>
          <w:rFonts w:ascii="Arial" w:hAnsi="Arial" w:cs="Arial"/>
          <w:sz w:val="22"/>
        </w:rPr>
        <w:t>But when describing the same couple’s experience of researching surrogacy agencies the POR writes:</w:t>
      </w:r>
    </w:p>
    <w:p w14:paraId="0343B8CC" w14:textId="77777777" w:rsidR="00462D49" w:rsidRPr="007F2727" w:rsidRDefault="00462D49" w:rsidP="00B43857">
      <w:pPr>
        <w:spacing w:line="480" w:lineRule="auto"/>
        <w:rPr>
          <w:rFonts w:ascii="Arial" w:hAnsi="Arial" w:cs="Arial"/>
          <w:sz w:val="22"/>
        </w:rPr>
      </w:pPr>
    </w:p>
    <w:p w14:paraId="58152A19" w14:textId="77777777" w:rsidR="00462D49" w:rsidRPr="007F2727" w:rsidRDefault="00462D49" w:rsidP="00B43857">
      <w:pPr>
        <w:spacing w:line="480" w:lineRule="auto"/>
        <w:ind w:left="720"/>
        <w:rPr>
          <w:rFonts w:ascii="Arial" w:hAnsi="Arial" w:cs="Arial"/>
          <w:i/>
          <w:sz w:val="22"/>
        </w:rPr>
      </w:pPr>
      <w:r w:rsidRPr="007F2727">
        <w:rPr>
          <w:rFonts w:ascii="Arial" w:hAnsi="Arial" w:cs="Arial"/>
          <w:i/>
          <w:sz w:val="22"/>
        </w:rPr>
        <w:t>The applicants also looked into (name of surrogacy agency)’s (sic) in the UK but they heard a couple of bad stories about this agency.</w:t>
      </w:r>
    </w:p>
    <w:p w14:paraId="3EFCDF92"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t>(File 28, POR).</w:t>
      </w:r>
    </w:p>
    <w:p w14:paraId="0619B065" w14:textId="77777777" w:rsidR="00462D49" w:rsidRPr="007F2727" w:rsidRDefault="00462D49" w:rsidP="00B43857">
      <w:pPr>
        <w:spacing w:line="480" w:lineRule="auto"/>
        <w:rPr>
          <w:rFonts w:ascii="Arial" w:hAnsi="Arial" w:cs="Arial"/>
          <w:sz w:val="22"/>
        </w:rPr>
      </w:pPr>
    </w:p>
    <w:p w14:paraId="2290C9B1" w14:textId="77777777" w:rsidR="00462D49" w:rsidRPr="007F2727" w:rsidRDefault="00462D49" w:rsidP="00FF5FD4">
      <w:pPr>
        <w:spacing w:line="480" w:lineRule="auto"/>
        <w:rPr>
          <w:rFonts w:ascii="Arial" w:hAnsi="Arial" w:cs="Arial"/>
          <w:sz w:val="22"/>
        </w:rPr>
      </w:pPr>
      <w:r w:rsidRPr="007F2727">
        <w:rPr>
          <w:rFonts w:ascii="Arial" w:hAnsi="Arial" w:cs="Arial"/>
          <w:sz w:val="22"/>
        </w:rPr>
        <w:t>The adjective ‘bad’ is not ascribed to the commissioning couple through the use of quotation marks but is reported back as part of their account but could in fact be the POR</w:t>
      </w:r>
      <w:r w:rsidR="007743AA">
        <w:rPr>
          <w:rFonts w:ascii="Arial" w:hAnsi="Arial" w:cs="Arial"/>
          <w:sz w:val="22"/>
        </w:rPr>
        <w:t>’</w:t>
      </w:r>
      <w:r w:rsidRPr="007F2727">
        <w:rPr>
          <w:rFonts w:ascii="Arial" w:hAnsi="Arial" w:cs="Arial"/>
          <w:sz w:val="22"/>
        </w:rPr>
        <w:t xml:space="preserve">s own choice of words. This is an example of reported speech that could perhaps reflect the listener’s interpretation rather than the actual words spoken by the storyteller </w:t>
      </w:r>
      <w:bookmarkStart w:id="0" w:name="_Toc362780732"/>
      <w:bookmarkStart w:id="1" w:name="_Toc366413639"/>
    </w:p>
    <w:p w14:paraId="27964B37" w14:textId="77777777" w:rsidR="006C2CF8" w:rsidRPr="007F2727" w:rsidRDefault="006C2CF8" w:rsidP="00FF5FD4">
      <w:pPr>
        <w:spacing w:line="480" w:lineRule="auto"/>
        <w:rPr>
          <w:rFonts w:ascii="Arial" w:hAnsi="Arial" w:cs="Arial"/>
          <w:sz w:val="22"/>
        </w:rPr>
      </w:pPr>
    </w:p>
    <w:p w14:paraId="4BD0547F" w14:textId="77777777" w:rsidR="002B608E" w:rsidRPr="007F2727" w:rsidRDefault="002B608E" w:rsidP="00FF5FD4">
      <w:pPr>
        <w:spacing w:line="480" w:lineRule="auto"/>
        <w:rPr>
          <w:rFonts w:ascii="Arial" w:hAnsi="Arial" w:cs="Arial"/>
          <w:sz w:val="22"/>
        </w:rPr>
      </w:pPr>
      <w:proofErr w:type="spellStart"/>
      <w:r w:rsidRPr="007F2727">
        <w:rPr>
          <w:rFonts w:ascii="Arial" w:hAnsi="Arial" w:cs="Arial"/>
          <w:sz w:val="22"/>
        </w:rPr>
        <w:lastRenderedPageBreak/>
        <w:t>Crawshaw</w:t>
      </w:r>
      <w:proofErr w:type="spellEnd"/>
      <w:r w:rsidRPr="007F2727">
        <w:rPr>
          <w:rFonts w:ascii="Arial" w:hAnsi="Arial" w:cs="Arial"/>
          <w:sz w:val="22"/>
        </w:rPr>
        <w:t xml:space="preserve"> and others</w:t>
      </w:r>
      <w:r w:rsidRPr="007F2727">
        <w:rPr>
          <w:rStyle w:val="FootnoteReference"/>
          <w:rFonts w:ascii="Arial" w:hAnsi="Arial" w:cs="Arial"/>
          <w:sz w:val="22"/>
        </w:rPr>
        <w:footnoteReference w:id="64"/>
      </w:r>
      <w:r w:rsidRPr="007F2727">
        <w:rPr>
          <w:rFonts w:ascii="Arial" w:hAnsi="Arial" w:cs="Arial"/>
          <w:sz w:val="22"/>
        </w:rPr>
        <w:t xml:space="preserve"> note that PORs perceived role constraints that prevented them affecting process or outcome. </w:t>
      </w:r>
      <w:proofErr w:type="spellStart"/>
      <w:r w:rsidRPr="007F2727">
        <w:rPr>
          <w:rFonts w:ascii="Arial" w:hAnsi="Arial" w:cs="Arial"/>
          <w:sz w:val="22"/>
        </w:rPr>
        <w:t>Purewal</w:t>
      </w:r>
      <w:proofErr w:type="spellEnd"/>
      <w:r w:rsidRPr="007F2727">
        <w:rPr>
          <w:rFonts w:ascii="Arial" w:hAnsi="Arial" w:cs="Arial"/>
          <w:sz w:val="22"/>
        </w:rPr>
        <w:t xml:space="preserve"> and others</w:t>
      </w:r>
      <w:r w:rsidRPr="007F2727">
        <w:rPr>
          <w:rStyle w:val="FootnoteReference"/>
          <w:rFonts w:ascii="Arial" w:hAnsi="Arial" w:cs="Arial"/>
          <w:sz w:val="22"/>
        </w:rPr>
        <w:footnoteReference w:id="65"/>
      </w:r>
      <w:r w:rsidRPr="007F2727">
        <w:rPr>
          <w:rFonts w:ascii="Arial" w:hAnsi="Arial" w:cs="Arial"/>
          <w:sz w:val="22"/>
        </w:rPr>
        <w:t xml:space="preserve"> argue that as the recommendations made in POR reports are acted upon by the courts in the vast majority of cases PORs are capable of affecting family formation.</w:t>
      </w:r>
      <w:r w:rsidR="008660AC" w:rsidRPr="007F2727">
        <w:rPr>
          <w:rFonts w:ascii="Arial" w:hAnsi="Arial" w:cs="Arial"/>
          <w:sz w:val="22"/>
        </w:rPr>
        <w:t xml:space="preserve"> </w:t>
      </w:r>
      <w:r w:rsidR="00554D30" w:rsidRPr="007F2727">
        <w:rPr>
          <w:rFonts w:ascii="Arial" w:hAnsi="Arial" w:cs="Arial"/>
          <w:sz w:val="22"/>
        </w:rPr>
        <w:t>In fact</w:t>
      </w:r>
      <w:r w:rsidRPr="007F2727">
        <w:rPr>
          <w:rFonts w:ascii="Arial" w:hAnsi="Arial" w:cs="Arial"/>
          <w:sz w:val="22"/>
        </w:rPr>
        <w:t xml:space="preserve">, the witness statements of the commissioning couples </w:t>
      </w:r>
      <w:r w:rsidR="00554D30" w:rsidRPr="007F2727">
        <w:rPr>
          <w:rFonts w:ascii="Arial" w:hAnsi="Arial" w:cs="Arial"/>
          <w:sz w:val="22"/>
        </w:rPr>
        <w:t>became</w:t>
      </w:r>
      <w:r w:rsidRPr="007F2727">
        <w:rPr>
          <w:rFonts w:ascii="Arial" w:hAnsi="Arial" w:cs="Arial"/>
          <w:sz w:val="22"/>
        </w:rPr>
        <w:t xml:space="preserve"> influential in affecting outcome and even judicial policy and this is discussed below.</w:t>
      </w:r>
    </w:p>
    <w:p w14:paraId="12466BF9" w14:textId="77777777" w:rsidR="002B608E" w:rsidRPr="007F2727" w:rsidRDefault="002B608E" w:rsidP="00FF5FD4">
      <w:pPr>
        <w:spacing w:line="480" w:lineRule="auto"/>
        <w:rPr>
          <w:rFonts w:ascii="Arial" w:hAnsi="Arial" w:cs="Arial"/>
          <w:sz w:val="22"/>
        </w:rPr>
      </w:pPr>
    </w:p>
    <w:bookmarkEnd w:id="0"/>
    <w:bookmarkEnd w:id="1"/>
    <w:p w14:paraId="32A8EF26" w14:textId="77777777" w:rsidR="007A718A" w:rsidRPr="007F2727" w:rsidRDefault="00160A98" w:rsidP="001F47F0">
      <w:pPr>
        <w:spacing w:line="480" w:lineRule="auto"/>
        <w:rPr>
          <w:rFonts w:ascii="Arial" w:hAnsi="Arial" w:cs="Arial"/>
          <w:b/>
          <w:sz w:val="22"/>
        </w:rPr>
      </w:pPr>
      <w:r w:rsidRPr="007F2727">
        <w:rPr>
          <w:rFonts w:ascii="Arial" w:hAnsi="Arial" w:cs="Arial"/>
          <w:b/>
          <w:sz w:val="22"/>
        </w:rPr>
        <w:t>7</w:t>
      </w:r>
      <w:r w:rsidR="00DC04F8" w:rsidRPr="007F2727">
        <w:rPr>
          <w:rFonts w:ascii="Arial" w:hAnsi="Arial" w:cs="Arial"/>
          <w:b/>
          <w:sz w:val="22"/>
        </w:rPr>
        <w:t xml:space="preserve">. </w:t>
      </w:r>
      <w:r w:rsidR="007A718A" w:rsidRPr="007F2727">
        <w:rPr>
          <w:rFonts w:ascii="Arial" w:hAnsi="Arial" w:cs="Arial"/>
          <w:b/>
          <w:sz w:val="22"/>
        </w:rPr>
        <w:t>The Judiciary’s Frame</w:t>
      </w:r>
    </w:p>
    <w:p w14:paraId="15EB476B" w14:textId="77777777" w:rsidR="00462D49" w:rsidRPr="007F2727" w:rsidRDefault="00462D49" w:rsidP="00B43857">
      <w:pPr>
        <w:spacing w:line="480" w:lineRule="auto"/>
        <w:rPr>
          <w:rFonts w:ascii="Arial" w:hAnsi="Arial" w:cs="Arial"/>
          <w:sz w:val="22"/>
        </w:rPr>
      </w:pPr>
      <w:r w:rsidRPr="007F2727">
        <w:rPr>
          <w:rFonts w:ascii="Arial" w:hAnsi="Arial" w:cs="Arial"/>
          <w:sz w:val="22"/>
        </w:rPr>
        <w:t xml:space="preserve">In the case of judgments, forensic linguistics is also a useful tool </w:t>
      </w:r>
      <w:r w:rsidR="00BD29B5" w:rsidRPr="007F2727">
        <w:rPr>
          <w:rFonts w:ascii="Arial" w:hAnsi="Arial" w:cs="Arial"/>
          <w:sz w:val="22"/>
        </w:rPr>
        <w:t>for</w:t>
      </w:r>
      <w:r w:rsidRPr="007F2727">
        <w:rPr>
          <w:rFonts w:ascii="Arial" w:hAnsi="Arial" w:cs="Arial"/>
          <w:sz w:val="22"/>
        </w:rPr>
        <w:t xml:space="preserve"> looking at the judiciary’s own thought processes </w:t>
      </w:r>
      <w:r w:rsidR="007673A2" w:rsidRPr="007F2727">
        <w:rPr>
          <w:rFonts w:ascii="Arial" w:hAnsi="Arial" w:cs="Arial"/>
          <w:sz w:val="22"/>
        </w:rPr>
        <w:t xml:space="preserve">as well as </w:t>
      </w:r>
      <w:r w:rsidRPr="007F2727">
        <w:rPr>
          <w:rFonts w:ascii="Arial" w:hAnsi="Arial" w:cs="Arial"/>
          <w:sz w:val="22"/>
        </w:rPr>
        <w:t>how the judiciary assesses and evaluates international surrogacy</w:t>
      </w:r>
      <w:r w:rsidR="00BD29B5" w:rsidRPr="007F2727">
        <w:rPr>
          <w:rFonts w:ascii="Arial" w:hAnsi="Arial" w:cs="Arial"/>
          <w:sz w:val="22"/>
        </w:rPr>
        <w:t>.</w:t>
      </w:r>
      <w:r w:rsidR="009D4DAF" w:rsidRPr="007F2727">
        <w:rPr>
          <w:rFonts w:ascii="Arial" w:hAnsi="Arial" w:cs="Arial"/>
          <w:sz w:val="22"/>
        </w:rPr>
        <w:t xml:space="preserve"> Maule and </w:t>
      </w:r>
      <w:proofErr w:type="spellStart"/>
      <w:r w:rsidR="009D4DAF" w:rsidRPr="007F2727">
        <w:rPr>
          <w:rFonts w:ascii="Arial" w:hAnsi="Arial" w:cs="Arial"/>
          <w:sz w:val="22"/>
        </w:rPr>
        <w:t>Schmid</w:t>
      </w:r>
      <w:proofErr w:type="spellEnd"/>
      <w:r w:rsidR="009D4DAF" w:rsidRPr="007F2727">
        <w:rPr>
          <w:rStyle w:val="FootnoteReference"/>
          <w:rFonts w:ascii="Arial" w:hAnsi="Arial" w:cs="Arial"/>
          <w:sz w:val="22"/>
        </w:rPr>
        <w:footnoteReference w:id="66"/>
      </w:r>
      <w:r w:rsidR="009D4DAF" w:rsidRPr="007F2727">
        <w:rPr>
          <w:rFonts w:ascii="Arial" w:hAnsi="Arial" w:cs="Arial"/>
          <w:sz w:val="22"/>
        </w:rPr>
        <w:t xml:space="preserve"> argue that there is a need for family practitioners to collect and analyse court decisions relating to child and family policies to help bridge what they call the ‘ecosystem’</w:t>
      </w:r>
      <w:r w:rsidR="004D35C2" w:rsidRPr="007F2727">
        <w:rPr>
          <w:rFonts w:ascii="Arial" w:hAnsi="Arial" w:cs="Arial"/>
          <w:sz w:val="22"/>
        </w:rPr>
        <w:t xml:space="preserve"> (the legal system)</w:t>
      </w:r>
      <w:r w:rsidR="009D4DAF" w:rsidRPr="007F2727">
        <w:rPr>
          <w:rFonts w:ascii="Arial" w:hAnsi="Arial" w:cs="Arial"/>
          <w:sz w:val="22"/>
        </w:rPr>
        <w:t xml:space="preserve"> and the ‘microsystem’</w:t>
      </w:r>
      <w:r w:rsidR="004D35C2" w:rsidRPr="007F2727">
        <w:rPr>
          <w:rFonts w:ascii="Arial" w:hAnsi="Arial" w:cs="Arial"/>
          <w:sz w:val="22"/>
        </w:rPr>
        <w:t xml:space="preserve"> (the family)</w:t>
      </w:r>
      <w:r w:rsidR="009D4DAF" w:rsidRPr="007F2727">
        <w:rPr>
          <w:rFonts w:ascii="Arial" w:hAnsi="Arial" w:cs="Arial"/>
          <w:sz w:val="22"/>
        </w:rPr>
        <w:t>.</w:t>
      </w:r>
      <w:r w:rsidR="00BD29B5" w:rsidRPr="007F2727">
        <w:rPr>
          <w:rFonts w:ascii="Arial" w:hAnsi="Arial" w:cs="Arial"/>
          <w:sz w:val="22"/>
        </w:rPr>
        <w:t xml:space="preserve"> T</w:t>
      </w:r>
      <w:r w:rsidRPr="007F2727">
        <w:rPr>
          <w:rFonts w:ascii="Arial" w:hAnsi="Arial" w:cs="Arial"/>
          <w:sz w:val="22"/>
        </w:rPr>
        <w:t xml:space="preserve">hrough the use of metaphors </w:t>
      </w:r>
      <w:r w:rsidR="009D4DAF" w:rsidRPr="007F2727">
        <w:rPr>
          <w:rFonts w:ascii="Arial" w:hAnsi="Arial" w:cs="Arial"/>
          <w:sz w:val="22"/>
        </w:rPr>
        <w:t xml:space="preserve">and </w:t>
      </w:r>
      <w:r w:rsidRPr="007F2727">
        <w:rPr>
          <w:rFonts w:ascii="Arial" w:hAnsi="Arial" w:cs="Arial"/>
          <w:sz w:val="22"/>
        </w:rPr>
        <w:t>the process of statutory interpretation and analogous reasoning</w:t>
      </w:r>
      <w:r w:rsidR="009D4DAF" w:rsidRPr="007F2727">
        <w:rPr>
          <w:rFonts w:ascii="Arial" w:hAnsi="Arial" w:cs="Arial"/>
          <w:sz w:val="22"/>
        </w:rPr>
        <w:t xml:space="preserve"> it was possible to chart judicial attitudes to international surrogacy</w:t>
      </w:r>
      <w:r w:rsidRPr="007F2727">
        <w:rPr>
          <w:rFonts w:ascii="Arial" w:hAnsi="Arial" w:cs="Arial"/>
          <w:sz w:val="22"/>
        </w:rPr>
        <w:t xml:space="preserve">. </w:t>
      </w:r>
    </w:p>
    <w:p w14:paraId="7E1F99B3" w14:textId="77777777" w:rsidR="00462D49" w:rsidRPr="007F2727" w:rsidRDefault="00462D49" w:rsidP="00B43857">
      <w:pPr>
        <w:spacing w:line="480" w:lineRule="auto"/>
        <w:rPr>
          <w:rFonts w:ascii="Arial" w:hAnsi="Arial" w:cs="Arial"/>
          <w:sz w:val="22"/>
        </w:rPr>
      </w:pPr>
    </w:p>
    <w:p w14:paraId="1D587352" w14:textId="77777777" w:rsidR="00462D49" w:rsidRPr="007F2727" w:rsidRDefault="00462D49" w:rsidP="00B43857">
      <w:pPr>
        <w:spacing w:line="480" w:lineRule="auto"/>
        <w:rPr>
          <w:rFonts w:ascii="Arial" w:hAnsi="Arial"/>
          <w:sz w:val="22"/>
        </w:rPr>
      </w:pPr>
      <w:r w:rsidRPr="007F2727">
        <w:rPr>
          <w:rFonts w:ascii="Arial" w:hAnsi="Arial" w:cs="Arial"/>
          <w:sz w:val="22"/>
        </w:rPr>
        <w:t>All the judgments were High Court judgments since</w:t>
      </w:r>
      <w:r w:rsidR="00DC04F8" w:rsidRPr="007F2727">
        <w:rPr>
          <w:rFonts w:ascii="Arial" w:hAnsi="Arial" w:cs="Arial"/>
          <w:sz w:val="22"/>
        </w:rPr>
        <w:t xml:space="preserve"> at the time of the research</w:t>
      </w:r>
      <w:r w:rsidRPr="007F2727">
        <w:rPr>
          <w:rFonts w:ascii="Arial" w:hAnsi="Arial" w:cs="Arial"/>
          <w:sz w:val="22"/>
        </w:rPr>
        <w:t xml:space="preserve"> no international surrogacy </w:t>
      </w:r>
      <w:proofErr w:type="gramStart"/>
      <w:r w:rsidRPr="007F2727">
        <w:rPr>
          <w:rFonts w:ascii="Arial" w:hAnsi="Arial" w:cs="Arial"/>
          <w:sz w:val="22"/>
        </w:rPr>
        <w:t>cases ha</w:t>
      </w:r>
      <w:r w:rsidR="007743AA">
        <w:rPr>
          <w:rFonts w:ascii="Arial" w:hAnsi="Arial" w:cs="Arial"/>
          <w:sz w:val="22"/>
        </w:rPr>
        <w:t>s</w:t>
      </w:r>
      <w:proofErr w:type="gramEnd"/>
      <w:r w:rsidRPr="007F2727">
        <w:rPr>
          <w:rFonts w:ascii="Arial" w:hAnsi="Arial" w:cs="Arial"/>
          <w:sz w:val="22"/>
        </w:rPr>
        <w:t xml:space="preserve"> been reported a</w:t>
      </w:r>
      <w:r w:rsidR="006955E7" w:rsidRPr="007F2727">
        <w:rPr>
          <w:rFonts w:ascii="Arial" w:hAnsi="Arial" w:cs="Arial"/>
          <w:sz w:val="22"/>
        </w:rPr>
        <w:t>t</w:t>
      </w:r>
      <w:r w:rsidRPr="007F2727">
        <w:rPr>
          <w:rFonts w:ascii="Arial" w:hAnsi="Arial" w:cs="Arial"/>
          <w:sz w:val="22"/>
        </w:rPr>
        <w:t xml:space="preserve"> appeal level.</w:t>
      </w:r>
      <w:r w:rsidRPr="007F2727">
        <w:rPr>
          <w:rStyle w:val="FootnoteReference"/>
          <w:rFonts w:ascii="Arial" w:hAnsi="Arial" w:cs="Arial"/>
          <w:sz w:val="22"/>
        </w:rPr>
        <w:footnoteReference w:id="67"/>
      </w:r>
      <w:r w:rsidRPr="007F2727">
        <w:rPr>
          <w:rFonts w:ascii="Arial" w:hAnsi="Arial" w:cs="Arial"/>
          <w:sz w:val="22"/>
        </w:rPr>
        <w:t xml:space="preserve"> Each case </w:t>
      </w:r>
      <w:r w:rsidRPr="007F2727">
        <w:rPr>
          <w:rFonts w:ascii="Arial" w:hAnsi="Arial" w:cs="Arial"/>
          <w:sz w:val="22"/>
        </w:rPr>
        <w:lastRenderedPageBreak/>
        <w:t xml:space="preserve">brought a new set of issues for determination. </w:t>
      </w:r>
      <w:r w:rsidRPr="007F2727">
        <w:rPr>
          <w:rFonts w:ascii="Arial" w:hAnsi="Arial"/>
          <w:sz w:val="22"/>
        </w:rPr>
        <w:t>Many cases</w:t>
      </w:r>
      <w:r w:rsidRPr="007F2727">
        <w:rPr>
          <w:rStyle w:val="FootnoteReference"/>
          <w:rFonts w:ascii="Arial" w:hAnsi="Arial"/>
          <w:sz w:val="22"/>
        </w:rPr>
        <w:footnoteReference w:id="68"/>
      </w:r>
      <w:r w:rsidRPr="007F2727">
        <w:rPr>
          <w:rFonts w:ascii="Arial" w:hAnsi="Arial"/>
          <w:sz w:val="22"/>
        </w:rPr>
        <w:t xml:space="preserve"> quoted Mr Justice Hedley’s decisions in </w:t>
      </w:r>
      <w:r w:rsidRPr="007F2727">
        <w:rPr>
          <w:rFonts w:ascii="Arial" w:hAnsi="Arial"/>
          <w:i/>
          <w:sz w:val="22"/>
        </w:rPr>
        <w:t>X and Y (Foreign Surrogacy)</w:t>
      </w:r>
      <w:r w:rsidRPr="007F2727">
        <w:rPr>
          <w:rStyle w:val="FootnoteReference"/>
          <w:rFonts w:ascii="Arial" w:hAnsi="Arial"/>
          <w:sz w:val="22"/>
        </w:rPr>
        <w:footnoteReference w:id="69"/>
      </w:r>
      <w:r w:rsidRPr="007F2727">
        <w:rPr>
          <w:rFonts w:ascii="Arial" w:hAnsi="Arial"/>
          <w:sz w:val="22"/>
        </w:rPr>
        <w:t xml:space="preserve"> and </w:t>
      </w:r>
      <w:r w:rsidRPr="007F2727">
        <w:rPr>
          <w:rFonts w:ascii="Arial" w:hAnsi="Arial"/>
          <w:i/>
          <w:sz w:val="22"/>
        </w:rPr>
        <w:t>Re S</w:t>
      </w:r>
      <w:r w:rsidRPr="007F2727">
        <w:rPr>
          <w:rStyle w:val="FootnoteReference"/>
          <w:rFonts w:ascii="Arial" w:hAnsi="Arial"/>
          <w:sz w:val="22"/>
        </w:rPr>
        <w:footnoteReference w:id="70"/>
      </w:r>
      <w:r w:rsidRPr="007F2727">
        <w:rPr>
          <w:rFonts w:ascii="Arial" w:hAnsi="Arial"/>
          <w:i/>
          <w:sz w:val="22"/>
        </w:rPr>
        <w:t xml:space="preserve"> </w:t>
      </w:r>
      <w:r w:rsidRPr="007F2727">
        <w:rPr>
          <w:rFonts w:ascii="Arial" w:hAnsi="Arial"/>
          <w:sz w:val="22"/>
        </w:rPr>
        <w:t xml:space="preserve">as a basis for deciding how to exercise discretionary powers and measure the reasonableness of payments and some </w:t>
      </w:r>
      <w:r w:rsidR="006955E7" w:rsidRPr="007F2727">
        <w:rPr>
          <w:rFonts w:ascii="Arial" w:hAnsi="Arial"/>
          <w:sz w:val="22"/>
        </w:rPr>
        <w:t xml:space="preserve">reported </w:t>
      </w:r>
      <w:r w:rsidRPr="007F2727">
        <w:rPr>
          <w:rFonts w:ascii="Arial" w:hAnsi="Arial"/>
          <w:sz w:val="22"/>
        </w:rPr>
        <w:t xml:space="preserve">cases </w:t>
      </w:r>
      <w:r w:rsidR="006955E7" w:rsidRPr="007F2727">
        <w:rPr>
          <w:rFonts w:ascii="Arial" w:hAnsi="Arial"/>
          <w:sz w:val="22"/>
        </w:rPr>
        <w:t xml:space="preserve">also </w:t>
      </w:r>
      <w:r w:rsidRPr="007F2727">
        <w:rPr>
          <w:rFonts w:ascii="Arial" w:hAnsi="Arial"/>
          <w:sz w:val="22"/>
        </w:rPr>
        <w:t>included metaphors as a means to frame international surrogacy.</w:t>
      </w:r>
    </w:p>
    <w:p w14:paraId="654CDE0A" w14:textId="77777777" w:rsidR="00462D49" w:rsidRPr="007F2727" w:rsidRDefault="00462D49" w:rsidP="00B43857">
      <w:pPr>
        <w:spacing w:line="480" w:lineRule="auto"/>
        <w:rPr>
          <w:rFonts w:ascii="Arial" w:hAnsi="Arial" w:cs="Arial"/>
          <w:b/>
          <w:sz w:val="22"/>
        </w:rPr>
      </w:pPr>
    </w:p>
    <w:p w14:paraId="50EF09E3" w14:textId="77777777" w:rsidR="00462D49" w:rsidRPr="007F2727" w:rsidRDefault="00462D49" w:rsidP="00B43857">
      <w:pPr>
        <w:spacing w:line="480" w:lineRule="auto"/>
        <w:rPr>
          <w:rFonts w:ascii="Arial" w:hAnsi="Arial"/>
          <w:sz w:val="22"/>
        </w:rPr>
      </w:pPr>
      <w:r w:rsidRPr="007F2727">
        <w:rPr>
          <w:rFonts w:ascii="Arial" w:hAnsi="Arial"/>
          <w:sz w:val="22"/>
        </w:rPr>
        <w:t>The judiciary often employed metaphors such as the ‘policing’ metaphor</w:t>
      </w:r>
      <w:r w:rsidR="006955E7" w:rsidRPr="007F2727">
        <w:rPr>
          <w:rFonts w:ascii="Arial" w:hAnsi="Arial"/>
          <w:sz w:val="22"/>
        </w:rPr>
        <w:t>. This was</w:t>
      </w:r>
      <w:r w:rsidRPr="007F2727">
        <w:rPr>
          <w:rFonts w:ascii="Arial" w:hAnsi="Arial"/>
          <w:sz w:val="22"/>
        </w:rPr>
        <w:t xml:space="preserve"> used to signify the gatekeeper role of the court in terms of preventing commercial surrogacy agreements by scrutinising payments</w:t>
      </w:r>
      <w:r w:rsidRPr="007F2727">
        <w:rPr>
          <w:rFonts w:ascii="Arial" w:hAnsi="Arial" w:cs="Arial"/>
          <w:sz w:val="22"/>
        </w:rPr>
        <w:t xml:space="preserve">. For example, in the case of </w:t>
      </w:r>
      <w:r w:rsidRPr="007F2727">
        <w:rPr>
          <w:rFonts w:ascii="Arial" w:hAnsi="Arial"/>
          <w:i/>
          <w:sz w:val="22"/>
        </w:rPr>
        <w:t>In the Matter of X and Y (Children)</w:t>
      </w:r>
      <w:r w:rsidRPr="007F2727">
        <w:rPr>
          <w:rStyle w:val="FootnoteReference"/>
          <w:rFonts w:ascii="Arial" w:hAnsi="Arial"/>
          <w:sz w:val="22"/>
        </w:rPr>
        <w:footnoteReference w:id="71"/>
      </w:r>
      <w:r w:rsidRPr="007F2727">
        <w:rPr>
          <w:rFonts w:ascii="Arial" w:hAnsi="Arial"/>
          <w:sz w:val="22"/>
        </w:rPr>
        <w:t xml:space="preserve"> Sir Nicholas Wall refers to the speech by Hedley J in </w:t>
      </w:r>
      <w:r w:rsidRPr="007F2727">
        <w:rPr>
          <w:rFonts w:ascii="Arial" w:hAnsi="Arial"/>
          <w:i/>
          <w:sz w:val="22"/>
        </w:rPr>
        <w:t>Re L</w:t>
      </w:r>
      <w:r w:rsidRPr="007F2727">
        <w:rPr>
          <w:rStyle w:val="FootnoteReference"/>
          <w:rFonts w:ascii="Arial" w:hAnsi="Arial"/>
          <w:sz w:val="22"/>
        </w:rPr>
        <w:footnoteReference w:id="72"/>
      </w:r>
      <w:r w:rsidRPr="007F2727">
        <w:rPr>
          <w:rFonts w:ascii="Arial" w:hAnsi="Arial"/>
          <w:sz w:val="22"/>
        </w:rPr>
        <w:t>:</w:t>
      </w:r>
    </w:p>
    <w:p w14:paraId="7D5B24A6" w14:textId="77777777" w:rsidR="00462D49" w:rsidRPr="007F2727" w:rsidRDefault="00462D49" w:rsidP="00B43857">
      <w:pPr>
        <w:spacing w:line="480" w:lineRule="auto"/>
        <w:rPr>
          <w:rFonts w:ascii="Arial" w:hAnsi="Arial"/>
          <w:sz w:val="22"/>
        </w:rPr>
      </w:pPr>
    </w:p>
    <w:p w14:paraId="2C99F6AE" w14:textId="77777777" w:rsidR="00462D49" w:rsidRPr="007F2727" w:rsidRDefault="00462D49" w:rsidP="00B43857">
      <w:pPr>
        <w:spacing w:line="480" w:lineRule="auto"/>
        <w:ind w:left="720"/>
        <w:rPr>
          <w:rFonts w:ascii="Arial" w:hAnsi="Arial"/>
          <w:sz w:val="22"/>
        </w:rPr>
      </w:pPr>
      <w:r w:rsidRPr="007F2727">
        <w:rPr>
          <w:rFonts w:ascii="Arial" w:hAnsi="Arial"/>
          <w:sz w:val="22"/>
        </w:rPr>
        <w:t>[T]he court should continue carefully to scrutinise applications for authorisation under Section 54 (8) with a view to policing the public policy matters identified in Re S (Parental Order [2009] EWHC 2977 (</w:t>
      </w:r>
      <w:proofErr w:type="spellStart"/>
      <w:r w:rsidRPr="007F2727">
        <w:rPr>
          <w:rFonts w:ascii="Arial" w:hAnsi="Arial"/>
          <w:sz w:val="22"/>
        </w:rPr>
        <w:t>fam</w:t>
      </w:r>
      <w:proofErr w:type="spellEnd"/>
      <w:r w:rsidRPr="007F2727">
        <w:rPr>
          <w:rFonts w:ascii="Arial" w:hAnsi="Arial"/>
          <w:sz w:val="22"/>
        </w:rPr>
        <w:t>).</w:t>
      </w:r>
      <w:r w:rsidRPr="007F2727">
        <w:rPr>
          <w:rStyle w:val="FootnoteReference"/>
          <w:rFonts w:ascii="Arial" w:hAnsi="Arial"/>
          <w:sz w:val="22"/>
        </w:rPr>
        <w:footnoteReference w:id="73"/>
      </w:r>
    </w:p>
    <w:p w14:paraId="29994D26" w14:textId="77777777" w:rsidR="00462D49" w:rsidRPr="007F2727" w:rsidRDefault="00462D49" w:rsidP="00B43857">
      <w:pPr>
        <w:spacing w:line="480" w:lineRule="auto"/>
        <w:rPr>
          <w:rFonts w:ascii="Arial" w:hAnsi="Arial"/>
          <w:sz w:val="22"/>
        </w:rPr>
      </w:pPr>
    </w:p>
    <w:p w14:paraId="79317FC5" w14:textId="77777777" w:rsidR="00462D49" w:rsidRPr="007F2727" w:rsidRDefault="00462D49" w:rsidP="00B43857">
      <w:pPr>
        <w:spacing w:line="480" w:lineRule="auto"/>
        <w:rPr>
          <w:rFonts w:ascii="Arial" w:hAnsi="Arial"/>
          <w:sz w:val="22"/>
        </w:rPr>
      </w:pPr>
      <w:r w:rsidRPr="007F2727">
        <w:rPr>
          <w:rFonts w:ascii="Arial" w:hAnsi="Arial"/>
          <w:sz w:val="22"/>
        </w:rPr>
        <w:t>The secrecy and stigma surrounding international surrogacy ha</w:t>
      </w:r>
      <w:r w:rsidR="007743AA">
        <w:rPr>
          <w:rFonts w:ascii="Arial" w:hAnsi="Arial"/>
          <w:sz w:val="22"/>
        </w:rPr>
        <w:t>ve</w:t>
      </w:r>
      <w:r w:rsidRPr="007F2727">
        <w:rPr>
          <w:rFonts w:ascii="Arial" w:hAnsi="Arial"/>
          <w:sz w:val="22"/>
        </w:rPr>
        <w:t xml:space="preserve"> also been subject to a metaphor by Mr Justice </w:t>
      </w:r>
      <w:proofErr w:type="gramStart"/>
      <w:r w:rsidRPr="007F2727">
        <w:rPr>
          <w:rFonts w:ascii="Arial" w:hAnsi="Arial"/>
          <w:sz w:val="22"/>
        </w:rPr>
        <w:t>Baker which</w:t>
      </w:r>
      <w:proofErr w:type="gramEnd"/>
      <w:r w:rsidRPr="007F2727">
        <w:rPr>
          <w:rFonts w:ascii="Arial" w:hAnsi="Arial"/>
          <w:sz w:val="22"/>
        </w:rPr>
        <w:t xml:space="preserve"> also</w:t>
      </w:r>
      <w:r w:rsidR="001B1863" w:rsidRPr="007F2727">
        <w:rPr>
          <w:rFonts w:ascii="Arial" w:hAnsi="Arial"/>
          <w:sz w:val="22"/>
        </w:rPr>
        <w:t xml:space="preserve"> helped to</w:t>
      </w:r>
      <w:r w:rsidRPr="007F2727">
        <w:rPr>
          <w:rFonts w:ascii="Arial" w:hAnsi="Arial"/>
          <w:sz w:val="22"/>
        </w:rPr>
        <w:t xml:space="preserve"> convey sympathy for the surrogate: </w:t>
      </w:r>
    </w:p>
    <w:p w14:paraId="7AFFA804" w14:textId="77777777" w:rsidR="00462D49" w:rsidRPr="007F2727" w:rsidRDefault="00462D49" w:rsidP="00B43857">
      <w:pPr>
        <w:spacing w:line="480" w:lineRule="auto"/>
        <w:rPr>
          <w:rFonts w:ascii="Arial" w:hAnsi="Arial"/>
          <w:sz w:val="22"/>
        </w:rPr>
      </w:pPr>
    </w:p>
    <w:p w14:paraId="3CDDA09B"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t>A surrogate mother is not merely a cipher. She plays the most important role in bringing the child into the world. She is a ‘”natural parent” of the child.</w:t>
      </w:r>
      <w:r w:rsidRPr="007F2727">
        <w:rPr>
          <w:rStyle w:val="FootnoteReference"/>
          <w:rFonts w:ascii="Arial" w:hAnsi="Arial" w:cs="Arial"/>
          <w:sz w:val="22"/>
        </w:rPr>
        <w:footnoteReference w:id="74"/>
      </w:r>
      <w:r w:rsidRPr="007F2727">
        <w:rPr>
          <w:rFonts w:ascii="Arial" w:hAnsi="Arial" w:cs="Arial"/>
          <w:sz w:val="22"/>
        </w:rPr>
        <w:t xml:space="preserve"> </w:t>
      </w:r>
    </w:p>
    <w:p w14:paraId="1D673D97" w14:textId="77777777" w:rsidR="00462D49" w:rsidRPr="007F2727" w:rsidRDefault="00462D49" w:rsidP="00B43857">
      <w:pPr>
        <w:spacing w:line="480" w:lineRule="auto"/>
        <w:rPr>
          <w:rFonts w:ascii="Arial" w:hAnsi="Arial" w:cs="Arial"/>
          <w:sz w:val="22"/>
        </w:rPr>
      </w:pPr>
    </w:p>
    <w:p w14:paraId="1CB2972F" w14:textId="77777777" w:rsidR="00462D49" w:rsidRPr="007F2727" w:rsidRDefault="00462D49" w:rsidP="00B43857">
      <w:pPr>
        <w:spacing w:line="480" w:lineRule="auto"/>
        <w:rPr>
          <w:rFonts w:ascii="Arial" w:hAnsi="Arial" w:cs="Arial"/>
          <w:sz w:val="22"/>
        </w:rPr>
      </w:pPr>
      <w:r w:rsidRPr="007F2727">
        <w:rPr>
          <w:rFonts w:ascii="Arial" w:hAnsi="Arial" w:cs="Arial"/>
          <w:sz w:val="22"/>
        </w:rPr>
        <w:t>‘Cipher’ is used to denote the secrecy surrounding surrogacy arrangements and in particular to signal the need to discuss or recognise the surrogate’s role.</w:t>
      </w:r>
    </w:p>
    <w:p w14:paraId="0A5EAAF0" w14:textId="77777777" w:rsidR="00462D49" w:rsidRPr="007F2727" w:rsidRDefault="00462D49" w:rsidP="00B43857">
      <w:pPr>
        <w:spacing w:line="480" w:lineRule="auto"/>
        <w:rPr>
          <w:rFonts w:ascii="Arial" w:hAnsi="Arial"/>
          <w:sz w:val="22"/>
        </w:rPr>
      </w:pPr>
    </w:p>
    <w:p w14:paraId="6CD069E3" w14:textId="6DE8B7A7" w:rsidR="00462D49" w:rsidRPr="007F2727" w:rsidRDefault="00462D49" w:rsidP="00B43857">
      <w:pPr>
        <w:spacing w:line="480" w:lineRule="auto"/>
        <w:rPr>
          <w:rFonts w:ascii="Arial" w:hAnsi="Arial"/>
          <w:sz w:val="22"/>
        </w:rPr>
      </w:pPr>
      <w:r w:rsidRPr="007F2727">
        <w:rPr>
          <w:rFonts w:ascii="Arial" w:hAnsi="Arial"/>
          <w:sz w:val="22"/>
        </w:rPr>
        <w:t>The metaphor of surrogacy as a free market or trade dictated by supply and demand has been echoed in judgments.</w:t>
      </w:r>
      <w:r w:rsidRPr="007F2727">
        <w:rPr>
          <w:rStyle w:val="FootnoteReference"/>
          <w:rFonts w:ascii="Arial" w:hAnsi="Arial"/>
          <w:sz w:val="22"/>
        </w:rPr>
        <w:footnoteReference w:id="75"/>
      </w:r>
      <w:r w:rsidRPr="007F2727">
        <w:rPr>
          <w:rFonts w:ascii="Arial" w:hAnsi="Arial"/>
          <w:sz w:val="22"/>
        </w:rPr>
        <w:t xml:space="preserve"> For example in </w:t>
      </w:r>
      <w:r w:rsidRPr="007F2727">
        <w:rPr>
          <w:rFonts w:ascii="Arial" w:hAnsi="Arial"/>
          <w:i/>
          <w:sz w:val="22"/>
        </w:rPr>
        <w:t>Re P-M</w:t>
      </w:r>
      <w:r w:rsidRPr="007F2727">
        <w:rPr>
          <w:rStyle w:val="FootnoteReference"/>
          <w:rFonts w:ascii="Arial" w:hAnsi="Arial"/>
          <w:i/>
          <w:sz w:val="22"/>
        </w:rPr>
        <w:footnoteReference w:id="76"/>
      </w:r>
      <w:r w:rsidRPr="007F2727">
        <w:rPr>
          <w:rFonts w:ascii="Arial" w:hAnsi="Arial"/>
          <w:sz w:val="22"/>
        </w:rPr>
        <w:t xml:space="preserve"> Mrs Justice </w:t>
      </w:r>
      <w:proofErr w:type="spellStart"/>
      <w:r w:rsidRPr="007F2727">
        <w:rPr>
          <w:rFonts w:ascii="Arial" w:hAnsi="Arial"/>
          <w:sz w:val="22"/>
        </w:rPr>
        <w:t>Theis</w:t>
      </w:r>
      <w:proofErr w:type="spellEnd"/>
      <w:r w:rsidRPr="007F2727">
        <w:rPr>
          <w:rFonts w:ascii="Arial" w:hAnsi="Arial"/>
          <w:sz w:val="22"/>
        </w:rPr>
        <w:t xml:space="preserve"> stated ‘the reality is there is a legal commercial framework, which is driven by supply and demand.’</w:t>
      </w:r>
      <w:r w:rsidRPr="007F2727">
        <w:rPr>
          <w:rStyle w:val="FootnoteReference"/>
          <w:rFonts w:ascii="Arial" w:hAnsi="Arial"/>
          <w:sz w:val="22"/>
        </w:rPr>
        <w:footnoteReference w:id="77"/>
      </w:r>
      <w:r w:rsidRPr="007F2727">
        <w:rPr>
          <w:rFonts w:ascii="Arial" w:hAnsi="Arial"/>
          <w:sz w:val="22"/>
        </w:rPr>
        <w:t xml:space="preserve"> This</w:t>
      </w:r>
      <w:r w:rsidR="001B1863" w:rsidRPr="007F2727">
        <w:rPr>
          <w:rFonts w:ascii="Arial" w:hAnsi="Arial"/>
          <w:sz w:val="22"/>
        </w:rPr>
        <w:t xml:space="preserve"> is an example of</w:t>
      </w:r>
      <w:r w:rsidRPr="007F2727">
        <w:rPr>
          <w:rFonts w:ascii="Arial" w:hAnsi="Arial"/>
          <w:sz w:val="22"/>
        </w:rPr>
        <w:t xml:space="preserve"> analogous reasoning by the court</w:t>
      </w:r>
      <w:r w:rsidR="00C10182">
        <w:rPr>
          <w:rFonts w:ascii="Arial" w:hAnsi="Arial"/>
          <w:sz w:val="22"/>
        </w:rPr>
        <w:t>;</w:t>
      </w:r>
      <w:r w:rsidRPr="007F2727">
        <w:rPr>
          <w:rFonts w:ascii="Arial" w:hAnsi="Arial"/>
          <w:sz w:val="22"/>
        </w:rPr>
        <w:t xml:space="preserve"> payments and commerciality</w:t>
      </w:r>
      <w:r w:rsidR="00371B2F">
        <w:rPr>
          <w:rFonts w:ascii="Arial" w:hAnsi="Arial"/>
          <w:sz w:val="22"/>
        </w:rPr>
        <w:t xml:space="preserve"> within international surrogacy</w:t>
      </w:r>
      <w:r w:rsidR="001B1863" w:rsidRPr="007F2727">
        <w:rPr>
          <w:rFonts w:ascii="Arial" w:hAnsi="Arial"/>
          <w:sz w:val="22"/>
        </w:rPr>
        <w:t xml:space="preserve"> are used</w:t>
      </w:r>
      <w:r w:rsidRPr="007F2727">
        <w:rPr>
          <w:rFonts w:ascii="Arial" w:hAnsi="Arial"/>
          <w:sz w:val="22"/>
        </w:rPr>
        <w:t xml:space="preserve"> </w:t>
      </w:r>
      <w:r w:rsidR="00371B2F">
        <w:rPr>
          <w:rFonts w:ascii="Arial" w:hAnsi="Arial"/>
          <w:sz w:val="22"/>
        </w:rPr>
        <w:t xml:space="preserve">here </w:t>
      </w:r>
      <w:r w:rsidRPr="007F2727">
        <w:rPr>
          <w:rFonts w:ascii="Arial" w:hAnsi="Arial"/>
          <w:sz w:val="22"/>
        </w:rPr>
        <w:t xml:space="preserve">to denote similarity with </w:t>
      </w:r>
      <w:r w:rsidR="00E558B8">
        <w:rPr>
          <w:rFonts w:ascii="Arial" w:hAnsi="Arial"/>
          <w:sz w:val="22"/>
        </w:rPr>
        <w:t>e</w:t>
      </w:r>
      <w:r w:rsidR="00371B2F">
        <w:rPr>
          <w:rFonts w:ascii="Arial" w:hAnsi="Arial"/>
          <w:sz w:val="22"/>
        </w:rPr>
        <w:t xml:space="preserve">conomic principles of </w:t>
      </w:r>
      <w:r w:rsidRPr="007F2727">
        <w:rPr>
          <w:rFonts w:ascii="Arial" w:hAnsi="Arial"/>
          <w:sz w:val="22"/>
        </w:rPr>
        <w:t>trade. The courts also used analogous reasoning by drawing comparisons and similarities between identity and family in a number of cases</w:t>
      </w:r>
      <w:r w:rsidRPr="007F2727">
        <w:rPr>
          <w:rStyle w:val="FootnoteReference"/>
          <w:rFonts w:ascii="Arial" w:hAnsi="Arial"/>
          <w:sz w:val="22"/>
        </w:rPr>
        <w:footnoteReference w:id="78"/>
      </w:r>
      <w:r w:rsidRPr="007F2727">
        <w:rPr>
          <w:rFonts w:ascii="Arial" w:hAnsi="Arial"/>
          <w:sz w:val="22"/>
        </w:rPr>
        <w:t xml:space="preserve"> in order to reach the conclusion that the child’s welfare is met through family identity. For example, in </w:t>
      </w:r>
      <w:r w:rsidRPr="007F2727">
        <w:rPr>
          <w:rFonts w:ascii="Arial" w:hAnsi="Arial"/>
          <w:i/>
          <w:sz w:val="22"/>
        </w:rPr>
        <w:t>Re X (A Child)</w:t>
      </w:r>
      <w:r w:rsidRPr="007F2727">
        <w:rPr>
          <w:rStyle w:val="FootnoteReference"/>
          <w:rFonts w:ascii="Arial" w:hAnsi="Arial"/>
          <w:sz w:val="22"/>
        </w:rPr>
        <w:footnoteReference w:id="79"/>
      </w:r>
      <w:r w:rsidRPr="007F2727">
        <w:rPr>
          <w:rFonts w:ascii="Arial" w:hAnsi="Arial"/>
          <w:sz w:val="22"/>
        </w:rPr>
        <w:t xml:space="preserve"> Sir James </w:t>
      </w:r>
      <w:proofErr w:type="spellStart"/>
      <w:r w:rsidRPr="007F2727">
        <w:rPr>
          <w:rFonts w:ascii="Arial" w:hAnsi="Arial"/>
          <w:sz w:val="22"/>
        </w:rPr>
        <w:t>Munby</w:t>
      </w:r>
      <w:proofErr w:type="spellEnd"/>
      <w:r w:rsidRPr="007F2727">
        <w:rPr>
          <w:rFonts w:ascii="Arial" w:hAnsi="Arial"/>
          <w:sz w:val="22"/>
        </w:rPr>
        <w:t xml:space="preserve"> argues that a parental order is the ‘optimum legal and psychological solution’</w:t>
      </w:r>
      <w:r w:rsidRPr="007F2727">
        <w:rPr>
          <w:rStyle w:val="FootnoteReference"/>
          <w:rFonts w:ascii="Arial" w:hAnsi="Arial"/>
          <w:sz w:val="22"/>
        </w:rPr>
        <w:footnoteReference w:id="80"/>
      </w:r>
      <w:r w:rsidRPr="007F2727">
        <w:rPr>
          <w:rFonts w:ascii="Arial" w:hAnsi="Arial"/>
          <w:sz w:val="22"/>
        </w:rPr>
        <w:t xml:space="preserve"> for the child rather than adoption because only this will secure the child’s identity within the family unit.</w:t>
      </w:r>
    </w:p>
    <w:p w14:paraId="127B2C38" w14:textId="77777777" w:rsidR="00462D49" w:rsidRPr="007F2727" w:rsidRDefault="00462D49" w:rsidP="00B43857">
      <w:pPr>
        <w:spacing w:line="480" w:lineRule="auto"/>
        <w:rPr>
          <w:rFonts w:ascii="Arial" w:hAnsi="Arial"/>
          <w:sz w:val="22"/>
        </w:rPr>
      </w:pPr>
    </w:p>
    <w:p w14:paraId="1A5C1279" w14:textId="77777777" w:rsidR="00462D49" w:rsidRPr="007F2727" w:rsidRDefault="00462D49" w:rsidP="00B43857">
      <w:pPr>
        <w:spacing w:line="480" w:lineRule="auto"/>
        <w:rPr>
          <w:rFonts w:ascii="Arial" w:hAnsi="Arial"/>
          <w:sz w:val="22"/>
        </w:rPr>
      </w:pPr>
      <w:r w:rsidRPr="007F2727">
        <w:rPr>
          <w:rFonts w:ascii="Arial" w:hAnsi="Arial"/>
          <w:sz w:val="22"/>
        </w:rPr>
        <w:t>Non-metaphors were also used to convey messages, for example, spatial orientations such as:</w:t>
      </w:r>
    </w:p>
    <w:p w14:paraId="593D734A" w14:textId="77777777" w:rsidR="00462D49" w:rsidRPr="007F2727" w:rsidRDefault="00462D49" w:rsidP="00B43857">
      <w:pPr>
        <w:spacing w:line="480" w:lineRule="auto"/>
        <w:rPr>
          <w:rFonts w:ascii="Arial" w:hAnsi="Arial"/>
          <w:sz w:val="22"/>
        </w:rPr>
      </w:pPr>
    </w:p>
    <w:p w14:paraId="257CB4BA" w14:textId="77777777" w:rsidR="00462D49" w:rsidRPr="007F2727" w:rsidRDefault="00462D49" w:rsidP="00B43857">
      <w:pPr>
        <w:spacing w:line="480" w:lineRule="auto"/>
        <w:ind w:left="720"/>
        <w:rPr>
          <w:rFonts w:ascii="Arial" w:hAnsi="Arial" w:cs="Arial"/>
          <w:sz w:val="22"/>
        </w:rPr>
      </w:pPr>
      <w:r w:rsidRPr="007F2727">
        <w:rPr>
          <w:rFonts w:ascii="Arial" w:hAnsi="Arial" w:cs="Arial"/>
          <w:sz w:val="22"/>
        </w:rPr>
        <w:lastRenderedPageBreak/>
        <w:t>The message needs to go out loud and clear to encourage parental order applications to be made in respect of children born as a result of international surrogacy, and for them to be made promptly.</w:t>
      </w:r>
      <w:r w:rsidRPr="007F2727">
        <w:rPr>
          <w:rStyle w:val="FootnoteReference"/>
          <w:rFonts w:ascii="Arial" w:hAnsi="Arial" w:cs="Arial"/>
          <w:sz w:val="22"/>
        </w:rPr>
        <w:footnoteReference w:id="81"/>
      </w:r>
    </w:p>
    <w:p w14:paraId="3C2E0B0D" w14:textId="77777777" w:rsidR="00462D49" w:rsidRPr="007F2727" w:rsidRDefault="00462D49" w:rsidP="00B43857">
      <w:pPr>
        <w:spacing w:line="480" w:lineRule="auto"/>
        <w:ind w:left="720"/>
        <w:rPr>
          <w:rFonts w:ascii="Arial" w:hAnsi="Arial" w:cs="Arial"/>
          <w:sz w:val="22"/>
        </w:rPr>
      </w:pPr>
    </w:p>
    <w:p w14:paraId="4D6AD680" w14:textId="77777777" w:rsidR="00462D49" w:rsidRPr="007F2727" w:rsidRDefault="00462D49" w:rsidP="00B43857">
      <w:pPr>
        <w:spacing w:line="480" w:lineRule="auto"/>
        <w:rPr>
          <w:rFonts w:ascii="Arial" w:hAnsi="Arial"/>
          <w:sz w:val="22"/>
        </w:rPr>
      </w:pPr>
      <w:r w:rsidRPr="007F2727">
        <w:rPr>
          <w:rFonts w:ascii="Arial" w:hAnsi="Arial"/>
          <w:sz w:val="22"/>
        </w:rPr>
        <w:t>‘Loud’ and ‘clear’ are also used to send out a warning and to underline the need for the message to be heard. These metaphors and non-metaphors also served another purpose and became what can be described as a kind of sensory metaphor to affect others and to emphasise and highlight the message that follows it. Sensory metaphors were used to warn commissioning couples of the dangers and complexities of international surrogacy. These were messages to avoid a practice, which could be harmful, and where physical sensations were invoked by analogy.</w:t>
      </w:r>
    </w:p>
    <w:p w14:paraId="16B3D21B" w14:textId="77777777" w:rsidR="00462D49" w:rsidRPr="007F2727" w:rsidRDefault="00462D49" w:rsidP="00B43857">
      <w:pPr>
        <w:spacing w:line="480" w:lineRule="auto"/>
        <w:rPr>
          <w:rFonts w:ascii="Arial" w:hAnsi="Arial"/>
          <w:sz w:val="22"/>
        </w:rPr>
      </w:pPr>
    </w:p>
    <w:p w14:paraId="0B9014FA" w14:textId="77777777" w:rsidR="00462D49" w:rsidRPr="007F2727" w:rsidRDefault="00462D49" w:rsidP="00B43857">
      <w:pPr>
        <w:tabs>
          <w:tab w:val="left" w:pos="2620"/>
        </w:tabs>
        <w:spacing w:line="480" w:lineRule="auto"/>
        <w:rPr>
          <w:rFonts w:ascii="Arial" w:hAnsi="Arial"/>
          <w:sz w:val="22"/>
        </w:rPr>
      </w:pPr>
      <w:r w:rsidRPr="007F2727">
        <w:rPr>
          <w:rFonts w:ascii="Arial" w:hAnsi="Arial"/>
          <w:sz w:val="22"/>
        </w:rPr>
        <w:t xml:space="preserve">Another example of a sensory metaphor can be seen in one of the most quoted passages of an international surrogacy judgment taken from the case of </w:t>
      </w:r>
      <w:r w:rsidRPr="007F2727">
        <w:rPr>
          <w:rFonts w:ascii="Arial" w:hAnsi="Arial"/>
          <w:i/>
          <w:sz w:val="22"/>
        </w:rPr>
        <w:t>X and Y,</w:t>
      </w:r>
      <w:r w:rsidRPr="007F2727">
        <w:rPr>
          <w:rStyle w:val="FootnoteReference"/>
          <w:rFonts w:ascii="Arial" w:hAnsi="Arial"/>
          <w:i/>
          <w:sz w:val="22"/>
        </w:rPr>
        <w:footnoteReference w:id="82"/>
      </w:r>
      <w:r w:rsidRPr="007F2727">
        <w:rPr>
          <w:rFonts w:ascii="Arial" w:hAnsi="Arial"/>
          <w:sz w:val="22"/>
        </w:rPr>
        <w:t xml:space="preserve"> which in turn is taken from the work of Blyth.</w:t>
      </w:r>
      <w:r w:rsidRPr="007F2727">
        <w:rPr>
          <w:rStyle w:val="FootnoteReference"/>
          <w:rFonts w:ascii="Arial" w:hAnsi="Arial"/>
          <w:sz w:val="22"/>
        </w:rPr>
        <w:footnoteReference w:id="83"/>
      </w:r>
      <w:r w:rsidRPr="007F2727">
        <w:rPr>
          <w:rFonts w:ascii="Arial" w:hAnsi="Arial"/>
          <w:sz w:val="22"/>
        </w:rPr>
        <w:t xml:space="preserve"> In this case Hedley J described parenthood in these terms: ‘the path to parenthood has been less a journey along a primrose path, more a trek through a thorn forest’.</w:t>
      </w:r>
      <w:r w:rsidRPr="007F2727">
        <w:rPr>
          <w:rStyle w:val="FootnoteReference"/>
          <w:rFonts w:ascii="Arial" w:hAnsi="Arial"/>
          <w:sz w:val="22"/>
        </w:rPr>
        <w:footnoteReference w:id="84"/>
      </w:r>
      <w:r w:rsidRPr="007F2727">
        <w:rPr>
          <w:rFonts w:ascii="Arial" w:hAnsi="Arial"/>
          <w:sz w:val="22"/>
        </w:rPr>
        <w:t xml:space="preserve"> The choice of the analogy between a ‘primrose path’ which is itself an idiom used to convey a pleasurable and easy life, with a ‘thorn forest’ serves to underline how harmful and opaque international surrogacy can be.  Other sensory metaphors have included ‘legal minefield’</w:t>
      </w:r>
      <w:r w:rsidRPr="007F2727">
        <w:rPr>
          <w:rStyle w:val="FootnoteReference"/>
          <w:rFonts w:ascii="Arial" w:hAnsi="Arial"/>
          <w:sz w:val="22"/>
        </w:rPr>
        <w:footnoteReference w:id="85"/>
      </w:r>
      <w:r w:rsidRPr="007F2727">
        <w:rPr>
          <w:rFonts w:ascii="Arial" w:hAnsi="Arial"/>
          <w:sz w:val="22"/>
        </w:rPr>
        <w:t xml:space="preserve"> and ‘pitfalls’</w:t>
      </w:r>
      <w:r w:rsidRPr="007F2727">
        <w:rPr>
          <w:rStyle w:val="FootnoteReference"/>
          <w:rFonts w:ascii="Arial" w:hAnsi="Arial"/>
          <w:sz w:val="22"/>
        </w:rPr>
        <w:footnoteReference w:id="86"/>
      </w:r>
      <w:r w:rsidRPr="007F2727">
        <w:rPr>
          <w:rFonts w:ascii="Arial" w:hAnsi="Arial"/>
          <w:sz w:val="22"/>
        </w:rPr>
        <w:t xml:space="preserve"> and have been used by the judiciary to describe the legal implications of international surrogacy arrangements that go wrong.</w:t>
      </w:r>
    </w:p>
    <w:p w14:paraId="31817305" w14:textId="77777777" w:rsidR="00462D49" w:rsidRPr="007F2727" w:rsidRDefault="00462D49" w:rsidP="00B43857">
      <w:pPr>
        <w:spacing w:line="480" w:lineRule="auto"/>
        <w:rPr>
          <w:rFonts w:ascii="Arial" w:hAnsi="Arial" w:cs="Arial"/>
          <w:sz w:val="22"/>
        </w:rPr>
      </w:pPr>
    </w:p>
    <w:p w14:paraId="4E264322" w14:textId="77777777" w:rsidR="00462D49" w:rsidRPr="007F2727" w:rsidRDefault="00462D49" w:rsidP="00B43857">
      <w:pPr>
        <w:spacing w:line="480" w:lineRule="auto"/>
        <w:rPr>
          <w:rFonts w:ascii="Arial" w:hAnsi="Arial" w:cs="Arial"/>
          <w:sz w:val="22"/>
        </w:rPr>
      </w:pPr>
      <w:r w:rsidRPr="007F2727">
        <w:rPr>
          <w:rFonts w:ascii="Arial" w:hAnsi="Arial" w:cs="Arial"/>
          <w:sz w:val="22"/>
        </w:rPr>
        <w:lastRenderedPageBreak/>
        <w:t xml:space="preserve">Similarly Mrs Justice </w:t>
      </w:r>
      <w:proofErr w:type="spellStart"/>
      <w:r w:rsidRPr="007F2727">
        <w:rPr>
          <w:rFonts w:ascii="Arial" w:hAnsi="Arial" w:cs="Arial"/>
          <w:sz w:val="22"/>
        </w:rPr>
        <w:t>Theis</w:t>
      </w:r>
      <w:proofErr w:type="spellEnd"/>
      <w:r w:rsidRPr="007F2727">
        <w:rPr>
          <w:rFonts w:ascii="Arial" w:hAnsi="Arial" w:cs="Arial"/>
          <w:sz w:val="22"/>
        </w:rPr>
        <w:t xml:space="preserve"> expressed her sympathy for the commissioning couples in </w:t>
      </w:r>
      <w:r w:rsidRPr="007F2727">
        <w:rPr>
          <w:rFonts w:ascii="Arial" w:hAnsi="Arial" w:cs="Arial"/>
          <w:i/>
          <w:sz w:val="22"/>
        </w:rPr>
        <w:t>Re G and M</w:t>
      </w:r>
      <w:r w:rsidRPr="007F2727">
        <w:rPr>
          <w:rStyle w:val="FootnoteReference"/>
          <w:rFonts w:ascii="Arial" w:hAnsi="Arial" w:cs="Arial"/>
          <w:i/>
          <w:sz w:val="22"/>
        </w:rPr>
        <w:footnoteReference w:id="87"/>
      </w:r>
      <w:r w:rsidRPr="007F2727">
        <w:rPr>
          <w:rFonts w:ascii="Arial" w:hAnsi="Arial" w:cs="Arial"/>
          <w:sz w:val="22"/>
        </w:rPr>
        <w:t xml:space="preserve"> by stating that ‘the applicants were clearly caught between a rock and a hard place’.</w:t>
      </w:r>
      <w:r w:rsidRPr="007F2727">
        <w:rPr>
          <w:rStyle w:val="FootnoteReference"/>
          <w:rFonts w:ascii="Arial" w:hAnsi="Arial" w:cs="Arial"/>
          <w:sz w:val="22"/>
        </w:rPr>
        <w:footnoteReference w:id="88"/>
      </w:r>
      <w:r w:rsidRPr="007F2727">
        <w:rPr>
          <w:rFonts w:ascii="Arial" w:hAnsi="Arial" w:cs="Arial"/>
          <w:sz w:val="22"/>
        </w:rPr>
        <w:t xml:space="preserve"> This adage is used to denote being in a difficult situation or making a choice been two difficult situations and again uses sensory images. Thus the metaphors serve to highlight the intractability of international surrogacy as well as to illuminate judicial sympathies to those wishing to become parents using this difficult route.</w:t>
      </w:r>
    </w:p>
    <w:p w14:paraId="2CEA51A9" w14:textId="77777777" w:rsidR="00462D49" w:rsidRPr="007F2727" w:rsidRDefault="00462D49" w:rsidP="00B43857">
      <w:pPr>
        <w:spacing w:line="480" w:lineRule="auto"/>
        <w:rPr>
          <w:rFonts w:ascii="Arial" w:hAnsi="Arial" w:cs="Arial"/>
          <w:sz w:val="22"/>
        </w:rPr>
      </w:pPr>
    </w:p>
    <w:p w14:paraId="344B7FDC" w14:textId="77777777" w:rsidR="00462D49" w:rsidRPr="007F2727" w:rsidRDefault="00462D49" w:rsidP="00B43857">
      <w:pPr>
        <w:spacing w:line="480" w:lineRule="auto"/>
        <w:rPr>
          <w:rFonts w:ascii="Arial" w:hAnsi="Arial"/>
          <w:sz w:val="22"/>
        </w:rPr>
      </w:pPr>
      <w:r w:rsidRPr="007F2727">
        <w:rPr>
          <w:rFonts w:ascii="Arial" w:hAnsi="Arial" w:cs="Arial"/>
          <w:sz w:val="22"/>
        </w:rPr>
        <w:t>As well as using metaphors to emphasise the legal complexities of international surrogacy, the judiciary also used words such as ‘once again’ at the beginning of the reported judgments</w:t>
      </w:r>
      <w:r w:rsidRPr="007F2727">
        <w:rPr>
          <w:rStyle w:val="FootnoteReference"/>
          <w:rFonts w:ascii="Arial" w:hAnsi="Arial" w:cs="Arial"/>
          <w:sz w:val="22"/>
        </w:rPr>
        <w:footnoteReference w:id="89"/>
      </w:r>
      <w:r w:rsidRPr="007F2727">
        <w:rPr>
          <w:rFonts w:ascii="Arial" w:hAnsi="Arial" w:cs="Arial"/>
          <w:sz w:val="22"/>
        </w:rPr>
        <w:t xml:space="preserve"> to signal their exasperation that cases continued to come before them with the messages that they had dispatched seemingly unheeded. Reported judgments continued nevertheless to be dispatched to provide yet another ‘example’</w:t>
      </w:r>
      <w:r w:rsidRPr="007F2727">
        <w:rPr>
          <w:rStyle w:val="FootnoteReference"/>
          <w:rFonts w:ascii="Arial" w:hAnsi="Arial" w:cs="Arial"/>
          <w:sz w:val="22"/>
        </w:rPr>
        <w:footnoteReference w:id="90"/>
      </w:r>
      <w:r w:rsidRPr="007F2727">
        <w:rPr>
          <w:rFonts w:ascii="Arial" w:hAnsi="Arial" w:cs="Arial"/>
          <w:sz w:val="22"/>
        </w:rPr>
        <w:t xml:space="preserve"> or ‘cautionary tale’</w:t>
      </w:r>
      <w:r w:rsidRPr="007F2727">
        <w:rPr>
          <w:rStyle w:val="FootnoteReference"/>
          <w:rFonts w:ascii="Arial" w:hAnsi="Arial" w:cs="Arial"/>
          <w:sz w:val="22"/>
        </w:rPr>
        <w:footnoteReference w:id="91"/>
      </w:r>
      <w:r w:rsidRPr="007F2727">
        <w:rPr>
          <w:rFonts w:ascii="Arial" w:hAnsi="Arial" w:cs="Arial"/>
          <w:sz w:val="22"/>
        </w:rPr>
        <w:t xml:space="preserve"> with the court noting in the case of </w:t>
      </w:r>
      <w:r w:rsidRPr="007F2727">
        <w:rPr>
          <w:rFonts w:ascii="Arial" w:hAnsi="Arial" w:cs="Arial"/>
          <w:i/>
          <w:sz w:val="22"/>
        </w:rPr>
        <w:t>CC v DD</w:t>
      </w:r>
      <w:r w:rsidRPr="007F2727">
        <w:rPr>
          <w:rStyle w:val="FootnoteReference"/>
          <w:rFonts w:ascii="Arial" w:hAnsi="Arial" w:cs="Arial"/>
          <w:sz w:val="22"/>
        </w:rPr>
        <w:footnoteReference w:id="92"/>
      </w:r>
      <w:r w:rsidRPr="007F2727">
        <w:rPr>
          <w:rFonts w:ascii="Arial" w:hAnsi="Arial" w:cs="Arial"/>
          <w:sz w:val="22"/>
        </w:rPr>
        <w:t xml:space="preserve"> that the child would ‘if nothing else leave his mark long term in the legal textbooks that consider this area of law’.</w:t>
      </w:r>
      <w:r w:rsidRPr="007F2727">
        <w:rPr>
          <w:rStyle w:val="FootnoteReference"/>
          <w:rFonts w:ascii="Arial" w:hAnsi="Arial" w:cs="Arial"/>
          <w:sz w:val="22"/>
        </w:rPr>
        <w:footnoteReference w:id="93"/>
      </w:r>
      <w:r w:rsidRPr="007F2727">
        <w:rPr>
          <w:rFonts w:ascii="Arial" w:hAnsi="Arial" w:cs="Arial"/>
          <w:sz w:val="22"/>
        </w:rPr>
        <w:t xml:space="preserve"> </w:t>
      </w:r>
    </w:p>
    <w:p w14:paraId="4F74EEFE" w14:textId="77777777" w:rsidR="00462D49" w:rsidRPr="007F2727" w:rsidRDefault="00462D49" w:rsidP="00B43857">
      <w:pPr>
        <w:spacing w:line="480" w:lineRule="auto"/>
        <w:rPr>
          <w:rFonts w:ascii="Arial" w:hAnsi="Arial" w:cs="Arial"/>
          <w:b/>
          <w:sz w:val="22"/>
        </w:rPr>
      </w:pPr>
    </w:p>
    <w:p w14:paraId="54015878" w14:textId="77777777" w:rsidR="00461ABC" w:rsidRPr="007F2727" w:rsidRDefault="00DC04F8" w:rsidP="00065508">
      <w:pPr>
        <w:spacing w:line="480" w:lineRule="auto"/>
        <w:rPr>
          <w:rFonts w:ascii="Arial" w:hAnsi="Arial" w:cs="Arial"/>
          <w:sz w:val="22"/>
        </w:rPr>
      </w:pPr>
      <w:r w:rsidRPr="007F2727">
        <w:rPr>
          <w:rFonts w:ascii="Arial" w:hAnsi="Arial" w:cs="Arial"/>
          <w:sz w:val="22"/>
        </w:rPr>
        <w:t>The judicial warnings have</w:t>
      </w:r>
      <w:r w:rsidR="00F167BB" w:rsidRPr="007F2727">
        <w:rPr>
          <w:rFonts w:ascii="Arial" w:hAnsi="Arial" w:cs="Arial"/>
          <w:sz w:val="22"/>
        </w:rPr>
        <w:t xml:space="preserve"> also</w:t>
      </w:r>
      <w:r w:rsidRPr="007F2727">
        <w:rPr>
          <w:rFonts w:ascii="Arial" w:hAnsi="Arial" w:cs="Arial"/>
          <w:sz w:val="22"/>
        </w:rPr>
        <w:t xml:space="preserve"> included </w:t>
      </w:r>
      <w:r w:rsidR="00F167BB" w:rsidRPr="007F2727">
        <w:rPr>
          <w:rFonts w:ascii="Arial" w:hAnsi="Arial" w:cs="Arial"/>
          <w:sz w:val="22"/>
        </w:rPr>
        <w:t xml:space="preserve">cautionary </w:t>
      </w:r>
      <w:r w:rsidRPr="007F2727">
        <w:rPr>
          <w:rFonts w:ascii="Arial" w:hAnsi="Arial" w:cs="Arial"/>
          <w:sz w:val="22"/>
        </w:rPr>
        <w:t>messages</w:t>
      </w:r>
      <w:r w:rsidR="00065508" w:rsidRPr="007F2727">
        <w:rPr>
          <w:rFonts w:ascii="Arial" w:hAnsi="Arial" w:cs="Arial"/>
          <w:sz w:val="22"/>
        </w:rPr>
        <w:t xml:space="preserve"> about issues relating to domicile</w:t>
      </w:r>
      <w:r w:rsidR="00F167BB" w:rsidRPr="007F2727">
        <w:rPr>
          <w:rFonts w:ascii="Arial" w:hAnsi="Arial" w:cs="Arial"/>
          <w:sz w:val="22"/>
        </w:rPr>
        <w:t>,</w:t>
      </w:r>
      <w:r w:rsidR="00065508" w:rsidRPr="007F2727">
        <w:rPr>
          <w:rStyle w:val="FootnoteReference"/>
          <w:rFonts w:ascii="Arial" w:hAnsi="Arial" w:cs="Arial"/>
          <w:sz w:val="22"/>
        </w:rPr>
        <w:footnoteReference w:id="94"/>
      </w:r>
      <w:r w:rsidR="00065508" w:rsidRPr="007F2727">
        <w:rPr>
          <w:rFonts w:ascii="Arial" w:hAnsi="Arial" w:cs="Arial"/>
          <w:sz w:val="22"/>
        </w:rPr>
        <w:t xml:space="preserve"> lack of proper legal advice provided to commissioning couples</w:t>
      </w:r>
      <w:r w:rsidRPr="007F2727">
        <w:rPr>
          <w:rFonts w:ascii="Arial" w:hAnsi="Arial" w:cs="Arial"/>
          <w:sz w:val="22"/>
        </w:rPr>
        <w:t>,</w:t>
      </w:r>
      <w:r w:rsidR="00065508" w:rsidRPr="007F2727">
        <w:rPr>
          <w:rStyle w:val="FootnoteReference"/>
          <w:rFonts w:ascii="Arial" w:hAnsi="Arial" w:cs="Arial"/>
          <w:sz w:val="22"/>
        </w:rPr>
        <w:footnoteReference w:id="95"/>
      </w:r>
      <w:r w:rsidR="00065508" w:rsidRPr="007F2727">
        <w:rPr>
          <w:rFonts w:ascii="Arial" w:hAnsi="Arial" w:cs="Arial"/>
          <w:sz w:val="22"/>
        </w:rPr>
        <w:t xml:space="preserve">lack of awareness by surrogacy agencies or clinics in the host country of the legal </w:t>
      </w:r>
      <w:r w:rsidR="00065508" w:rsidRPr="007F2727">
        <w:rPr>
          <w:rFonts w:ascii="Arial" w:hAnsi="Arial" w:cs="Arial"/>
          <w:sz w:val="22"/>
        </w:rPr>
        <w:lastRenderedPageBreak/>
        <w:t>requirements in the UK</w:t>
      </w:r>
      <w:r w:rsidRPr="007F2727">
        <w:rPr>
          <w:rFonts w:ascii="Arial" w:hAnsi="Arial" w:cs="Arial"/>
          <w:sz w:val="22"/>
        </w:rPr>
        <w:t>,</w:t>
      </w:r>
      <w:r w:rsidR="00065508" w:rsidRPr="007F2727">
        <w:rPr>
          <w:rStyle w:val="FootnoteReference"/>
          <w:rFonts w:ascii="Arial" w:hAnsi="Arial" w:cs="Arial"/>
          <w:sz w:val="22"/>
        </w:rPr>
        <w:footnoteReference w:id="96"/>
      </w:r>
      <w:r w:rsidR="00065508" w:rsidRPr="007F2727">
        <w:rPr>
          <w:rFonts w:ascii="Arial" w:hAnsi="Arial" w:cs="Arial"/>
          <w:sz w:val="22"/>
        </w:rPr>
        <w:t xml:space="preserve"> lack of knowledge by family professionals of the laws on surrogacy</w:t>
      </w:r>
      <w:r w:rsidR="00065508" w:rsidRPr="007F2727">
        <w:rPr>
          <w:rStyle w:val="FootnoteReference"/>
          <w:rFonts w:ascii="Arial" w:hAnsi="Arial" w:cs="Arial"/>
          <w:sz w:val="22"/>
        </w:rPr>
        <w:footnoteReference w:id="97"/>
      </w:r>
      <w:r w:rsidR="00065508" w:rsidRPr="007F2727">
        <w:rPr>
          <w:rFonts w:ascii="Arial" w:hAnsi="Arial" w:cs="Arial"/>
          <w:sz w:val="22"/>
        </w:rPr>
        <w:t xml:space="preserve"> and lack of legal knowledge by the parties themselves.</w:t>
      </w:r>
      <w:r w:rsidR="00065508" w:rsidRPr="007F2727">
        <w:rPr>
          <w:rStyle w:val="FootnoteReference"/>
          <w:rFonts w:ascii="Arial" w:hAnsi="Arial" w:cs="Arial"/>
          <w:sz w:val="22"/>
        </w:rPr>
        <w:footnoteReference w:id="98"/>
      </w:r>
      <w:r w:rsidR="00065508" w:rsidRPr="007F2727">
        <w:rPr>
          <w:rFonts w:ascii="Arial" w:hAnsi="Arial" w:cs="Arial"/>
          <w:sz w:val="22"/>
        </w:rPr>
        <w:t xml:space="preserve"> These reported cases have acted to help family professionals such as lawyers, judges and PORs gain a greater understanding of the level of advice and support that needs to be provided to commissioning couples. </w:t>
      </w:r>
    </w:p>
    <w:p w14:paraId="52ABD766" w14:textId="77777777" w:rsidR="00065508" w:rsidRPr="007F2727" w:rsidRDefault="00065508" w:rsidP="00065508">
      <w:pPr>
        <w:spacing w:line="480" w:lineRule="auto"/>
        <w:rPr>
          <w:rFonts w:ascii="Arial" w:hAnsi="Arial" w:cs="Arial"/>
          <w:sz w:val="22"/>
        </w:rPr>
      </w:pPr>
    </w:p>
    <w:p w14:paraId="25733BCC" w14:textId="77777777" w:rsidR="00065508" w:rsidRPr="007F2727" w:rsidRDefault="00065508" w:rsidP="00065508">
      <w:pPr>
        <w:spacing w:line="480" w:lineRule="auto"/>
        <w:rPr>
          <w:rFonts w:ascii="Arial" w:hAnsi="Arial" w:cs="Arial"/>
          <w:sz w:val="22"/>
        </w:rPr>
      </w:pPr>
      <w:r w:rsidRPr="007F2727">
        <w:rPr>
          <w:rFonts w:ascii="Arial" w:hAnsi="Arial" w:cs="Arial"/>
          <w:sz w:val="22"/>
        </w:rPr>
        <w:t xml:space="preserve">However, this judicial mood music, although composed for those involved in surrogacy to listen and move too, has been less effective in reaching the ears of the commissioning couples themselves as the post 2008 cases demonstrate. For example in the case of </w:t>
      </w:r>
      <w:r w:rsidRPr="007F2727">
        <w:rPr>
          <w:rFonts w:ascii="Arial" w:hAnsi="Arial" w:cs="Arial"/>
          <w:i/>
          <w:sz w:val="22"/>
        </w:rPr>
        <w:t>JP v LP, SP and CP</w:t>
      </w:r>
      <w:r w:rsidR="00F167BB" w:rsidRPr="007F2727">
        <w:rPr>
          <w:rStyle w:val="FootnoteReference"/>
          <w:rFonts w:ascii="Arial" w:hAnsi="Arial" w:cs="Arial"/>
          <w:i/>
          <w:sz w:val="22"/>
        </w:rPr>
        <w:footnoteReference w:id="99"/>
      </w:r>
      <w:r w:rsidRPr="007F2727">
        <w:rPr>
          <w:rFonts w:ascii="Arial" w:hAnsi="Arial" w:cs="Arial"/>
          <w:sz w:val="22"/>
        </w:rPr>
        <w:t xml:space="preserve"> the court urged all commissioning couples thinking of </w:t>
      </w:r>
      <w:r w:rsidR="00444736" w:rsidRPr="007F2727">
        <w:rPr>
          <w:rFonts w:ascii="Arial" w:hAnsi="Arial" w:cs="Arial"/>
          <w:sz w:val="22"/>
        </w:rPr>
        <w:t xml:space="preserve">entering </w:t>
      </w:r>
      <w:r w:rsidRPr="007F2727">
        <w:rPr>
          <w:rFonts w:ascii="Arial" w:hAnsi="Arial" w:cs="Arial"/>
          <w:sz w:val="22"/>
        </w:rPr>
        <w:t>international surrogacy</w:t>
      </w:r>
      <w:r w:rsidR="00444736" w:rsidRPr="007F2727">
        <w:rPr>
          <w:rFonts w:ascii="Arial" w:hAnsi="Arial" w:cs="Arial"/>
          <w:sz w:val="22"/>
        </w:rPr>
        <w:t xml:space="preserve"> arrangements</w:t>
      </w:r>
      <w:r w:rsidRPr="007F2727">
        <w:rPr>
          <w:rFonts w:ascii="Arial" w:hAnsi="Arial" w:cs="Arial"/>
          <w:sz w:val="22"/>
        </w:rPr>
        <w:t xml:space="preserve"> to seek legal advice</w:t>
      </w:r>
      <w:r w:rsidR="00444736" w:rsidRPr="007F2727">
        <w:rPr>
          <w:rFonts w:ascii="Arial" w:hAnsi="Arial" w:cs="Arial"/>
          <w:sz w:val="22"/>
        </w:rPr>
        <w:t>.</w:t>
      </w:r>
      <w:r w:rsidRPr="007F2727">
        <w:rPr>
          <w:rFonts w:ascii="Arial" w:hAnsi="Arial" w:cs="Arial"/>
          <w:sz w:val="22"/>
        </w:rPr>
        <w:t xml:space="preserve"> </w:t>
      </w:r>
      <w:r w:rsidR="00444736" w:rsidRPr="007F2727">
        <w:rPr>
          <w:rFonts w:ascii="Arial" w:hAnsi="Arial" w:cs="Arial"/>
          <w:sz w:val="22"/>
        </w:rPr>
        <w:t>L</w:t>
      </w:r>
      <w:r w:rsidRPr="007F2727">
        <w:rPr>
          <w:rFonts w:ascii="Arial" w:hAnsi="Arial" w:cs="Arial"/>
          <w:sz w:val="22"/>
        </w:rPr>
        <w:t xml:space="preserve">ater cases have </w:t>
      </w:r>
      <w:r w:rsidR="00444736" w:rsidRPr="007F2727">
        <w:rPr>
          <w:rFonts w:ascii="Arial" w:hAnsi="Arial" w:cs="Arial"/>
          <w:sz w:val="22"/>
        </w:rPr>
        <w:t xml:space="preserve">however </w:t>
      </w:r>
      <w:r w:rsidRPr="007F2727">
        <w:rPr>
          <w:rFonts w:ascii="Arial" w:hAnsi="Arial" w:cs="Arial"/>
          <w:sz w:val="22"/>
        </w:rPr>
        <w:t>shown that couples continue to make the journey abroad without a full understanding of the legal implications.</w:t>
      </w:r>
      <w:r w:rsidRPr="007F2727">
        <w:rPr>
          <w:rStyle w:val="FootnoteReference"/>
          <w:rFonts w:ascii="Arial" w:hAnsi="Arial" w:cs="Arial"/>
          <w:sz w:val="22"/>
        </w:rPr>
        <w:footnoteReference w:id="100"/>
      </w:r>
      <w:r w:rsidRPr="007F2727">
        <w:rPr>
          <w:rFonts w:ascii="Arial" w:hAnsi="Arial" w:cs="Arial"/>
          <w:sz w:val="22"/>
        </w:rPr>
        <w:t xml:space="preserve"> </w:t>
      </w:r>
      <w:r w:rsidR="00444736" w:rsidRPr="007F2727">
        <w:rPr>
          <w:rFonts w:ascii="Arial" w:hAnsi="Arial" w:cs="Arial"/>
          <w:sz w:val="22"/>
        </w:rPr>
        <w:t>In addition c</w:t>
      </w:r>
      <w:r w:rsidRPr="007F2727">
        <w:rPr>
          <w:rFonts w:ascii="Arial" w:hAnsi="Arial" w:cs="Arial"/>
          <w:sz w:val="22"/>
        </w:rPr>
        <w:t xml:space="preserve">linics continue to fail to secure the surrogate’s consent despite the early warnings given in </w:t>
      </w:r>
      <w:r w:rsidRPr="007F2727">
        <w:rPr>
          <w:rFonts w:ascii="Arial" w:hAnsi="Arial" w:cs="Arial"/>
          <w:i/>
          <w:sz w:val="22"/>
        </w:rPr>
        <w:t>D and L (Surrogacy)</w:t>
      </w:r>
      <w:r w:rsidRPr="007F2727">
        <w:rPr>
          <w:rStyle w:val="FootnoteReference"/>
          <w:rFonts w:ascii="Arial" w:hAnsi="Arial" w:cs="Arial"/>
          <w:sz w:val="22"/>
        </w:rPr>
        <w:footnoteReference w:id="101"/>
      </w:r>
      <w:r w:rsidRPr="007F2727">
        <w:rPr>
          <w:rFonts w:ascii="Arial" w:hAnsi="Arial" w:cs="Arial"/>
          <w:sz w:val="22"/>
        </w:rPr>
        <w:t xml:space="preserve"> as later cases have shown.</w:t>
      </w:r>
      <w:r w:rsidRPr="007F2727">
        <w:rPr>
          <w:rStyle w:val="FootnoteReference"/>
          <w:rFonts w:ascii="Arial" w:hAnsi="Arial" w:cs="Arial"/>
          <w:sz w:val="22"/>
        </w:rPr>
        <w:footnoteReference w:id="102"/>
      </w:r>
      <w:r w:rsidRPr="007F2727">
        <w:rPr>
          <w:rFonts w:ascii="Arial" w:hAnsi="Arial" w:cs="Arial"/>
          <w:sz w:val="22"/>
        </w:rPr>
        <w:t xml:space="preserve"> In the case of </w:t>
      </w:r>
      <w:r w:rsidRPr="007F2727">
        <w:rPr>
          <w:rFonts w:ascii="Arial" w:hAnsi="Arial" w:cs="Arial"/>
          <w:i/>
          <w:sz w:val="22"/>
        </w:rPr>
        <w:t>A and B and C and D</w:t>
      </w:r>
      <w:r w:rsidRPr="007F2727">
        <w:rPr>
          <w:rStyle w:val="FootnoteReference"/>
          <w:rFonts w:ascii="Arial" w:hAnsi="Arial" w:cs="Arial"/>
          <w:sz w:val="22"/>
        </w:rPr>
        <w:footnoteReference w:id="103"/>
      </w:r>
      <w:r w:rsidRPr="007F2727">
        <w:rPr>
          <w:rFonts w:ascii="Arial" w:hAnsi="Arial" w:cs="Arial"/>
          <w:sz w:val="22"/>
        </w:rPr>
        <w:t>the commissio</w:t>
      </w:r>
      <w:r w:rsidR="00461ABC" w:rsidRPr="007F2727">
        <w:rPr>
          <w:rFonts w:ascii="Arial" w:hAnsi="Arial" w:cs="Arial"/>
          <w:sz w:val="22"/>
        </w:rPr>
        <w:t xml:space="preserve">ning couple asked the court to </w:t>
      </w:r>
      <w:r w:rsidRPr="007F2727">
        <w:rPr>
          <w:rFonts w:ascii="Arial" w:hAnsi="Arial" w:cs="Arial"/>
          <w:sz w:val="22"/>
        </w:rPr>
        <w:t>publish the judgment to educate others. The couple stated in their written statements:</w:t>
      </w:r>
    </w:p>
    <w:p w14:paraId="50C9CF7C" w14:textId="77777777" w:rsidR="00065508" w:rsidRPr="007F2727" w:rsidRDefault="00065508" w:rsidP="00065508">
      <w:pPr>
        <w:spacing w:line="480" w:lineRule="auto"/>
        <w:rPr>
          <w:rFonts w:ascii="Arial" w:hAnsi="Arial" w:cs="Arial"/>
          <w:sz w:val="22"/>
        </w:rPr>
      </w:pPr>
    </w:p>
    <w:p w14:paraId="6929A1BC" w14:textId="77777777" w:rsidR="00065508" w:rsidRPr="007F2727" w:rsidRDefault="00065508" w:rsidP="00065508">
      <w:pPr>
        <w:spacing w:line="480" w:lineRule="auto"/>
        <w:ind w:left="720"/>
        <w:rPr>
          <w:rFonts w:ascii="Arial" w:hAnsi="Arial" w:cs="Arial"/>
          <w:sz w:val="22"/>
        </w:rPr>
      </w:pPr>
      <w:r w:rsidRPr="007F2727">
        <w:rPr>
          <w:rFonts w:ascii="Arial" w:hAnsi="Arial" w:cs="Arial"/>
          <w:sz w:val="22"/>
        </w:rPr>
        <w:t>[</w:t>
      </w:r>
      <w:proofErr w:type="gramStart"/>
      <w:r w:rsidRPr="007F2727">
        <w:rPr>
          <w:rFonts w:ascii="Arial" w:hAnsi="Arial" w:cs="Arial"/>
          <w:sz w:val="22"/>
        </w:rPr>
        <w:t>W]e</w:t>
      </w:r>
      <w:proofErr w:type="gramEnd"/>
      <w:r w:rsidRPr="007F2727">
        <w:rPr>
          <w:rFonts w:ascii="Arial" w:hAnsi="Arial" w:cs="Arial"/>
          <w:sz w:val="22"/>
        </w:rPr>
        <w:t xml:space="preserve"> were unaware of any public information that was available to let us know the consequences under UK law of entering into an international surrogacy </w:t>
      </w:r>
      <w:r w:rsidRPr="007F2727">
        <w:rPr>
          <w:rFonts w:ascii="Arial" w:hAnsi="Arial" w:cs="Arial"/>
          <w:sz w:val="22"/>
        </w:rPr>
        <w:lastRenderedPageBreak/>
        <w:t>arrangement. We were unaware that UK law would not necessarily recognise an order made in another jurisdiction’.</w:t>
      </w:r>
      <w:r w:rsidRPr="007F2727">
        <w:rPr>
          <w:rStyle w:val="FootnoteReference"/>
          <w:rFonts w:ascii="Arial" w:hAnsi="Arial" w:cs="Arial"/>
          <w:sz w:val="22"/>
        </w:rPr>
        <w:footnoteReference w:id="104"/>
      </w:r>
    </w:p>
    <w:p w14:paraId="7D2E9364" w14:textId="77777777" w:rsidR="00065508" w:rsidRPr="007F2727" w:rsidRDefault="00065508" w:rsidP="00065508">
      <w:pPr>
        <w:spacing w:line="480" w:lineRule="auto"/>
        <w:rPr>
          <w:rFonts w:ascii="Arial" w:hAnsi="Arial" w:cs="Arial"/>
          <w:sz w:val="22"/>
        </w:rPr>
      </w:pPr>
    </w:p>
    <w:p w14:paraId="7ED96B52" w14:textId="77777777" w:rsidR="00065508" w:rsidRPr="007F2727" w:rsidRDefault="00065508" w:rsidP="00065508">
      <w:pPr>
        <w:spacing w:line="480" w:lineRule="auto"/>
        <w:rPr>
          <w:rFonts w:ascii="Arial" w:hAnsi="Arial" w:cs="Arial"/>
          <w:sz w:val="22"/>
        </w:rPr>
      </w:pPr>
      <w:r w:rsidRPr="007F2727">
        <w:rPr>
          <w:rFonts w:ascii="Arial" w:hAnsi="Arial" w:cs="Arial"/>
          <w:sz w:val="22"/>
        </w:rPr>
        <w:t xml:space="preserve">There was some evidence of the judicial mood music being heard by commissioning couples such as the case of </w:t>
      </w:r>
      <w:r w:rsidRPr="007F2727">
        <w:rPr>
          <w:rFonts w:ascii="Arial" w:hAnsi="Arial" w:cs="Arial"/>
          <w:i/>
          <w:sz w:val="22"/>
        </w:rPr>
        <w:t xml:space="preserve">AB and DE </w:t>
      </w:r>
      <w:r w:rsidRPr="007F2727">
        <w:rPr>
          <w:rStyle w:val="FootnoteReference"/>
          <w:rFonts w:ascii="Arial" w:hAnsi="Arial" w:cs="Arial"/>
          <w:sz w:val="22"/>
        </w:rPr>
        <w:footnoteReference w:id="105"/>
      </w:r>
      <w:r w:rsidRPr="007F2727">
        <w:rPr>
          <w:rFonts w:ascii="Arial" w:hAnsi="Arial" w:cs="Arial"/>
          <w:sz w:val="22"/>
        </w:rPr>
        <w:t xml:space="preserve"> where the commissioning couple took legal advice after becoming aware of the </w:t>
      </w:r>
      <w:proofErr w:type="gramStart"/>
      <w:r w:rsidRPr="007F2727">
        <w:rPr>
          <w:rFonts w:ascii="Arial" w:hAnsi="Arial" w:cs="Arial"/>
          <w:sz w:val="22"/>
        </w:rPr>
        <w:t>complications which resulted in the earlier</w:t>
      </w:r>
      <w:proofErr w:type="gramEnd"/>
      <w:r w:rsidRPr="007F2727">
        <w:rPr>
          <w:rFonts w:ascii="Arial" w:hAnsi="Arial" w:cs="Arial"/>
          <w:sz w:val="22"/>
        </w:rPr>
        <w:t xml:space="preserve"> widely reported case of </w:t>
      </w:r>
      <w:r w:rsidRPr="007F2727">
        <w:rPr>
          <w:rFonts w:ascii="Arial" w:hAnsi="Arial" w:cs="Arial"/>
          <w:i/>
          <w:sz w:val="22"/>
        </w:rPr>
        <w:t>X and Y</w:t>
      </w:r>
      <w:r w:rsidRPr="007F2727">
        <w:rPr>
          <w:rFonts w:ascii="Arial" w:hAnsi="Arial" w:cs="Arial"/>
          <w:sz w:val="22"/>
        </w:rPr>
        <w:t>.</w:t>
      </w:r>
      <w:r w:rsidRPr="007F2727">
        <w:rPr>
          <w:rStyle w:val="FootnoteReference"/>
          <w:rFonts w:ascii="Arial" w:hAnsi="Arial" w:cs="Arial"/>
          <w:sz w:val="22"/>
        </w:rPr>
        <w:footnoteReference w:id="106"/>
      </w:r>
    </w:p>
    <w:p w14:paraId="75F71CB3" w14:textId="77777777" w:rsidR="00065508" w:rsidRPr="007F2727" w:rsidRDefault="00065508" w:rsidP="00065508">
      <w:pPr>
        <w:spacing w:line="480" w:lineRule="auto"/>
        <w:rPr>
          <w:rFonts w:ascii="Arial" w:hAnsi="Arial"/>
          <w:sz w:val="22"/>
        </w:rPr>
      </w:pPr>
    </w:p>
    <w:p w14:paraId="2414FF3B" w14:textId="77777777" w:rsidR="00314D2A" w:rsidRPr="007F2727" w:rsidRDefault="00C10182" w:rsidP="00314D2A">
      <w:pPr>
        <w:spacing w:line="480" w:lineRule="auto"/>
        <w:rPr>
          <w:rFonts w:ascii="Arial" w:hAnsi="Arial"/>
          <w:sz w:val="22"/>
        </w:rPr>
      </w:pPr>
      <w:r>
        <w:rPr>
          <w:rFonts w:ascii="Arial" w:hAnsi="Arial"/>
          <w:sz w:val="22"/>
        </w:rPr>
        <w:t>By 2013, t</w:t>
      </w:r>
      <w:r w:rsidR="00314D2A" w:rsidRPr="007F2727">
        <w:rPr>
          <w:rFonts w:ascii="Arial" w:hAnsi="Arial"/>
          <w:sz w:val="22"/>
        </w:rPr>
        <w:t>he use of sensory metaphors that urged caution in earlier cases</w:t>
      </w:r>
      <w:r>
        <w:rPr>
          <w:rFonts w:ascii="Arial" w:hAnsi="Arial"/>
          <w:sz w:val="22"/>
        </w:rPr>
        <w:t xml:space="preserve"> had</w:t>
      </w:r>
      <w:r w:rsidR="00314D2A" w:rsidRPr="007F2727">
        <w:rPr>
          <w:rFonts w:ascii="Arial" w:hAnsi="Arial"/>
          <w:sz w:val="22"/>
        </w:rPr>
        <w:t xml:space="preserve"> g</w:t>
      </w:r>
      <w:r>
        <w:rPr>
          <w:rFonts w:ascii="Arial" w:hAnsi="Arial"/>
          <w:sz w:val="22"/>
        </w:rPr>
        <w:t>i</w:t>
      </w:r>
      <w:r w:rsidR="00314D2A" w:rsidRPr="007F2727">
        <w:rPr>
          <w:rFonts w:ascii="Arial" w:hAnsi="Arial"/>
          <w:sz w:val="22"/>
        </w:rPr>
        <w:t>ve</w:t>
      </w:r>
      <w:r>
        <w:rPr>
          <w:rFonts w:ascii="Arial" w:hAnsi="Arial"/>
          <w:sz w:val="22"/>
        </w:rPr>
        <w:t>n</w:t>
      </w:r>
      <w:r w:rsidR="00314D2A" w:rsidRPr="007F2727">
        <w:rPr>
          <w:rFonts w:ascii="Arial" w:hAnsi="Arial"/>
          <w:sz w:val="22"/>
        </w:rPr>
        <w:t xml:space="preserve"> way to a much more resigned acceptance of international surrogacy as a practice</w:t>
      </w:r>
      <w:r w:rsidR="00081FCD">
        <w:rPr>
          <w:rFonts w:ascii="Arial" w:hAnsi="Arial"/>
          <w:sz w:val="22"/>
        </w:rPr>
        <w:t>,</w:t>
      </w:r>
      <w:r w:rsidR="007673A2" w:rsidRPr="007F2727">
        <w:rPr>
          <w:rFonts w:ascii="Arial" w:hAnsi="Arial"/>
          <w:sz w:val="22"/>
        </w:rPr>
        <w:t xml:space="preserve"> </w:t>
      </w:r>
      <w:r w:rsidR="00314D2A" w:rsidRPr="007F2727">
        <w:rPr>
          <w:rFonts w:ascii="Arial" w:hAnsi="Arial"/>
          <w:sz w:val="22"/>
        </w:rPr>
        <w:t xml:space="preserve">suggesting that the reported experiences of couples was affecting the judicial approach to the practice. For example, in </w:t>
      </w:r>
      <w:r w:rsidR="00314D2A" w:rsidRPr="007F2727">
        <w:rPr>
          <w:rFonts w:ascii="Arial" w:hAnsi="Arial"/>
          <w:i/>
          <w:sz w:val="22"/>
        </w:rPr>
        <w:t>J v G</w:t>
      </w:r>
      <w:r w:rsidR="00314D2A" w:rsidRPr="007F2727">
        <w:rPr>
          <w:rStyle w:val="FootnoteReference"/>
          <w:rFonts w:ascii="Arial" w:hAnsi="Arial"/>
          <w:sz w:val="22"/>
        </w:rPr>
        <w:footnoteReference w:id="107"/>
      </w:r>
      <w:r w:rsidR="00314D2A" w:rsidRPr="007F2727">
        <w:rPr>
          <w:rFonts w:ascii="Arial" w:hAnsi="Arial"/>
          <w:sz w:val="22"/>
        </w:rPr>
        <w:t xml:space="preserve"> the concern expressed in earlier cases about couples entering international surrogacy arrangements (a pre-action warning) shifted to a concern that couples should be encouraged to apply for a parental order after completing an international surrogacy arrangement (a post-action warning).  Mrs Justice </w:t>
      </w:r>
      <w:proofErr w:type="spellStart"/>
      <w:r w:rsidR="00314D2A" w:rsidRPr="007F2727">
        <w:rPr>
          <w:rFonts w:ascii="Arial" w:hAnsi="Arial"/>
          <w:sz w:val="22"/>
        </w:rPr>
        <w:t>Theis</w:t>
      </w:r>
      <w:proofErr w:type="spellEnd"/>
      <w:r w:rsidR="00314D2A" w:rsidRPr="007F2727">
        <w:rPr>
          <w:rFonts w:ascii="Arial" w:hAnsi="Arial"/>
          <w:sz w:val="22"/>
        </w:rPr>
        <w:t xml:space="preserve"> message was a follows:</w:t>
      </w:r>
    </w:p>
    <w:p w14:paraId="54904C2E" w14:textId="77777777" w:rsidR="00314D2A" w:rsidRPr="007F2727" w:rsidRDefault="00314D2A" w:rsidP="00314D2A">
      <w:pPr>
        <w:spacing w:line="480" w:lineRule="auto"/>
        <w:rPr>
          <w:rFonts w:ascii="Arial" w:hAnsi="Arial"/>
          <w:sz w:val="22"/>
        </w:rPr>
      </w:pPr>
    </w:p>
    <w:p w14:paraId="3EC76112" w14:textId="77777777" w:rsidR="00314D2A" w:rsidRPr="007F2727" w:rsidRDefault="00314D2A" w:rsidP="00314D2A">
      <w:pPr>
        <w:spacing w:line="480" w:lineRule="auto"/>
        <w:ind w:left="720"/>
        <w:rPr>
          <w:rFonts w:ascii="Arial" w:hAnsi="Arial"/>
          <w:sz w:val="22"/>
        </w:rPr>
      </w:pPr>
      <w:r w:rsidRPr="007F2727">
        <w:rPr>
          <w:rFonts w:ascii="Arial" w:hAnsi="Arial"/>
          <w:sz w:val="22"/>
        </w:rPr>
        <w:t>I would like to add a few general observations. Those who embark on this type of surrogacy arrangement are to be encouraged to apply for parental orders. There has been a noticeable increase in such applications being made, which is to be welcomed.</w:t>
      </w:r>
    </w:p>
    <w:p w14:paraId="01E3B9A6" w14:textId="77777777" w:rsidR="00314D2A" w:rsidRPr="007F2727" w:rsidRDefault="00314D2A" w:rsidP="00314D2A">
      <w:pPr>
        <w:spacing w:line="480" w:lineRule="auto"/>
        <w:rPr>
          <w:rFonts w:ascii="Arial" w:hAnsi="Arial"/>
          <w:sz w:val="22"/>
        </w:rPr>
      </w:pPr>
    </w:p>
    <w:p w14:paraId="1855BB12" w14:textId="77777777" w:rsidR="00314D2A" w:rsidRPr="007F2727" w:rsidRDefault="00314D2A" w:rsidP="00314D2A">
      <w:pPr>
        <w:spacing w:line="480" w:lineRule="auto"/>
        <w:rPr>
          <w:rFonts w:ascii="Arial" w:hAnsi="Arial"/>
          <w:sz w:val="22"/>
        </w:rPr>
      </w:pPr>
      <w:r w:rsidRPr="007F2727">
        <w:rPr>
          <w:rFonts w:ascii="Arial" w:hAnsi="Arial"/>
          <w:sz w:val="22"/>
        </w:rPr>
        <w:lastRenderedPageBreak/>
        <w:t>Later judgments</w:t>
      </w:r>
      <w:r w:rsidRPr="007F2727">
        <w:rPr>
          <w:rStyle w:val="FootnoteReference"/>
          <w:rFonts w:ascii="Arial" w:hAnsi="Arial"/>
          <w:sz w:val="22"/>
        </w:rPr>
        <w:footnoteReference w:id="108"/>
      </w:r>
      <w:r w:rsidRPr="007F2727">
        <w:rPr>
          <w:rFonts w:ascii="Arial" w:hAnsi="Arial"/>
          <w:sz w:val="22"/>
        </w:rPr>
        <w:t xml:space="preserve"> tended to end more with a focus on the need for an order for the child’s life-long welfare needs and to keep the new family unit together rather than to publicly chastise those couples who chose international surrogacy as a route or merely to point out the hazards of international surrogacy. Later cases</w:t>
      </w:r>
      <w:r w:rsidRPr="007F2727">
        <w:rPr>
          <w:rStyle w:val="FootnoteReference"/>
          <w:rFonts w:ascii="Arial" w:hAnsi="Arial"/>
          <w:sz w:val="22"/>
        </w:rPr>
        <w:footnoteReference w:id="109"/>
      </w:r>
      <w:r w:rsidRPr="007F2727">
        <w:rPr>
          <w:rFonts w:ascii="Arial" w:hAnsi="Arial"/>
          <w:sz w:val="22"/>
        </w:rPr>
        <w:t xml:space="preserve"> were also careful to distinguish surrogacy from adoption with adoption orders referred to in </w:t>
      </w:r>
      <w:r w:rsidRPr="007F2727">
        <w:rPr>
          <w:rFonts w:ascii="Arial" w:hAnsi="Arial"/>
          <w:i/>
          <w:sz w:val="22"/>
        </w:rPr>
        <w:t>D &amp; G and ED and DD and A &amp; B</w:t>
      </w:r>
      <w:r w:rsidRPr="007F2727">
        <w:rPr>
          <w:rStyle w:val="FootnoteReference"/>
          <w:rFonts w:ascii="Arial" w:hAnsi="Arial"/>
          <w:sz w:val="22"/>
        </w:rPr>
        <w:footnoteReference w:id="110"/>
      </w:r>
      <w:r w:rsidRPr="007F2727">
        <w:rPr>
          <w:rFonts w:ascii="Arial" w:hAnsi="Arial"/>
          <w:sz w:val="22"/>
        </w:rPr>
        <w:t xml:space="preserve"> as ‘a square peg for a round hole’.</w:t>
      </w:r>
      <w:r w:rsidRPr="007F2727">
        <w:rPr>
          <w:rStyle w:val="FootnoteReference"/>
          <w:rFonts w:ascii="Arial" w:hAnsi="Arial"/>
          <w:sz w:val="22"/>
        </w:rPr>
        <w:footnoteReference w:id="111"/>
      </w:r>
      <w:bookmarkStart w:id="2" w:name="_Toc362780739"/>
      <w:bookmarkStart w:id="3" w:name="_Toc366413646"/>
    </w:p>
    <w:bookmarkEnd w:id="2"/>
    <w:bookmarkEnd w:id="3"/>
    <w:p w14:paraId="2BF66A00" w14:textId="77777777" w:rsidR="00461ABC" w:rsidRPr="007F2727" w:rsidRDefault="00461ABC" w:rsidP="00B43857">
      <w:pPr>
        <w:spacing w:line="480" w:lineRule="auto"/>
        <w:rPr>
          <w:rFonts w:ascii="Arial" w:hAnsi="Arial" w:cs="Arial"/>
          <w:sz w:val="22"/>
        </w:rPr>
      </w:pPr>
    </w:p>
    <w:p w14:paraId="274D3EEB" w14:textId="77777777" w:rsidR="00461ABC" w:rsidRPr="007F2727" w:rsidRDefault="00ED6943" w:rsidP="00B43857">
      <w:pPr>
        <w:spacing w:line="480" w:lineRule="auto"/>
        <w:rPr>
          <w:rFonts w:ascii="Arial" w:hAnsi="Arial" w:cs="Arial"/>
          <w:sz w:val="22"/>
        </w:rPr>
      </w:pPr>
      <w:r w:rsidRPr="007F2727">
        <w:rPr>
          <w:rFonts w:ascii="Arial" w:hAnsi="Arial" w:cs="Arial"/>
          <w:sz w:val="22"/>
        </w:rPr>
        <w:t>6</w:t>
      </w:r>
      <w:r w:rsidR="00461ABC" w:rsidRPr="007F2727">
        <w:rPr>
          <w:rFonts w:ascii="Arial" w:hAnsi="Arial" w:cs="Arial"/>
          <w:sz w:val="22"/>
        </w:rPr>
        <w:t>.1 Judicial Policy-Making Through Statutory Interpretation</w:t>
      </w:r>
    </w:p>
    <w:p w14:paraId="59738AB2" w14:textId="77777777" w:rsidR="007673A2" w:rsidRPr="00371B2F" w:rsidRDefault="007673A2" w:rsidP="007673A2">
      <w:pPr>
        <w:spacing w:line="480" w:lineRule="auto"/>
        <w:rPr>
          <w:rFonts w:ascii="Arial" w:hAnsi="Arial" w:cs="Arial"/>
          <w:sz w:val="22"/>
        </w:rPr>
      </w:pPr>
      <w:r w:rsidRPr="007F2727">
        <w:rPr>
          <w:rFonts w:ascii="Arial" w:hAnsi="Arial" w:cs="Arial"/>
          <w:sz w:val="22"/>
        </w:rPr>
        <w:t>The shift in judicial attitudes can best be illustrated by the move</w:t>
      </w:r>
      <w:r w:rsidR="00621018" w:rsidRPr="007F2727">
        <w:rPr>
          <w:rFonts w:ascii="Arial" w:hAnsi="Arial" w:cs="Arial"/>
          <w:sz w:val="22"/>
        </w:rPr>
        <w:t xml:space="preserve"> by members of the judiciary to challenge the current wording of section 54 of the 2008 Act. In order to do so the courts first had to dismantle the conjunction ‘if’ used in section 54 (1) of the Act.</w:t>
      </w:r>
      <w:r w:rsidR="00621018" w:rsidRPr="007F2727">
        <w:rPr>
          <w:rStyle w:val="FootnoteReference"/>
          <w:rFonts w:ascii="Arial" w:hAnsi="Arial" w:cs="Arial"/>
          <w:sz w:val="22"/>
        </w:rPr>
        <w:footnoteReference w:id="112"/>
      </w:r>
      <w:r w:rsidR="00621018" w:rsidRPr="007F2727">
        <w:rPr>
          <w:rFonts w:ascii="Arial" w:hAnsi="Arial" w:cs="Arial"/>
          <w:sz w:val="22"/>
        </w:rPr>
        <w:t xml:space="preserve"> This section provides that a parental order may be made ‘if’ certain conditions are met. </w:t>
      </w:r>
      <w:r w:rsidRPr="007F2727">
        <w:rPr>
          <w:rFonts w:ascii="Arial" w:hAnsi="Arial" w:cs="Arial"/>
          <w:sz w:val="22"/>
        </w:rPr>
        <w:t xml:space="preserve">The conjunction ‘if’ in section 54 (1) would linguistically be constructed as involving a condition to be met before further action could be taken and therefore would have to be read together with </w:t>
      </w:r>
      <w:r w:rsidR="003C4B73" w:rsidRPr="007F2727">
        <w:rPr>
          <w:rFonts w:ascii="Arial" w:hAnsi="Arial" w:cs="Arial"/>
          <w:sz w:val="22"/>
        </w:rPr>
        <w:t xml:space="preserve">other </w:t>
      </w:r>
      <w:r w:rsidRPr="007F2727">
        <w:rPr>
          <w:rFonts w:ascii="Arial" w:hAnsi="Arial" w:cs="Arial"/>
          <w:sz w:val="22"/>
        </w:rPr>
        <w:t>section</w:t>
      </w:r>
      <w:r w:rsidR="003C4B73" w:rsidRPr="007F2727">
        <w:rPr>
          <w:rFonts w:ascii="Arial" w:hAnsi="Arial" w:cs="Arial"/>
          <w:sz w:val="22"/>
        </w:rPr>
        <w:t>s of the Act such as</w:t>
      </w:r>
      <w:r w:rsidRPr="007F2727">
        <w:rPr>
          <w:rFonts w:ascii="Arial" w:hAnsi="Arial" w:cs="Arial"/>
          <w:sz w:val="22"/>
        </w:rPr>
        <w:t xml:space="preserve"> 54 (3) which is itself constructed as imposing a condition and therefore ‘if’ also had to be downgraded in relevance. Drawing on the case of </w:t>
      </w:r>
      <w:r w:rsidRPr="007F2727">
        <w:rPr>
          <w:rFonts w:ascii="Arial" w:hAnsi="Arial" w:cs="Arial"/>
          <w:i/>
          <w:sz w:val="22"/>
        </w:rPr>
        <w:t xml:space="preserve">Howard v </w:t>
      </w:r>
      <w:proofErr w:type="spellStart"/>
      <w:r w:rsidRPr="007F2727">
        <w:rPr>
          <w:rFonts w:ascii="Arial" w:hAnsi="Arial" w:cs="Arial"/>
          <w:i/>
          <w:sz w:val="22"/>
        </w:rPr>
        <w:t>Boddington</w:t>
      </w:r>
      <w:proofErr w:type="spellEnd"/>
      <w:r w:rsidRPr="007F2727">
        <w:rPr>
          <w:rFonts w:ascii="Arial" w:hAnsi="Arial" w:cs="Arial"/>
          <w:sz w:val="22"/>
        </w:rPr>
        <w:t>,</w:t>
      </w:r>
      <w:r w:rsidRPr="007F2727">
        <w:rPr>
          <w:rStyle w:val="FootnoteReference"/>
          <w:rFonts w:ascii="Arial" w:hAnsi="Arial" w:cs="Arial"/>
          <w:sz w:val="22"/>
        </w:rPr>
        <w:footnoteReference w:id="113"/>
      </w:r>
      <w:r w:rsidRPr="007F2727">
        <w:rPr>
          <w:rFonts w:ascii="Arial" w:hAnsi="Arial" w:cs="Arial"/>
          <w:sz w:val="22"/>
        </w:rPr>
        <w:t xml:space="preserve"> Sir James </w:t>
      </w:r>
      <w:proofErr w:type="spellStart"/>
      <w:r w:rsidRPr="007F2727">
        <w:rPr>
          <w:rFonts w:ascii="Arial" w:hAnsi="Arial" w:cs="Arial"/>
          <w:sz w:val="22"/>
        </w:rPr>
        <w:t>Munby</w:t>
      </w:r>
      <w:proofErr w:type="spellEnd"/>
      <w:r w:rsidRPr="007F2727">
        <w:rPr>
          <w:rFonts w:ascii="Arial" w:hAnsi="Arial" w:cs="Arial"/>
          <w:sz w:val="22"/>
        </w:rPr>
        <w:t xml:space="preserve"> decided the word ‘if’ was of a directory nature rather than a mandatory nature,</w:t>
      </w:r>
      <w:r w:rsidRPr="007F2727">
        <w:rPr>
          <w:rStyle w:val="FootnoteReference"/>
          <w:rFonts w:ascii="Arial" w:hAnsi="Arial" w:cs="Arial"/>
          <w:sz w:val="22"/>
        </w:rPr>
        <w:footnoteReference w:id="114"/>
      </w:r>
      <w:r w:rsidRPr="007F2727">
        <w:rPr>
          <w:rFonts w:ascii="Arial" w:hAnsi="Arial" w:cs="Arial"/>
          <w:sz w:val="22"/>
        </w:rPr>
        <w:t xml:space="preserve"> as distinguished</w:t>
      </w:r>
      <w:r w:rsidRPr="007F2727">
        <w:rPr>
          <w:rStyle w:val="FootnoteReference"/>
          <w:rFonts w:ascii="Arial" w:hAnsi="Arial" w:cs="Arial"/>
          <w:sz w:val="22"/>
        </w:rPr>
        <w:footnoteReference w:id="115"/>
      </w:r>
      <w:r w:rsidRPr="007F2727">
        <w:rPr>
          <w:rFonts w:ascii="Arial" w:hAnsi="Arial" w:cs="Arial"/>
          <w:sz w:val="22"/>
        </w:rPr>
        <w:t xml:space="preserve"> and clarified</w:t>
      </w:r>
      <w:r w:rsidRPr="007F2727">
        <w:rPr>
          <w:rStyle w:val="FootnoteReference"/>
          <w:rFonts w:ascii="Arial" w:hAnsi="Arial" w:cs="Arial"/>
          <w:sz w:val="22"/>
        </w:rPr>
        <w:footnoteReference w:id="116"/>
      </w:r>
      <w:r w:rsidRPr="007F2727">
        <w:rPr>
          <w:rFonts w:ascii="Arial" w:hAnsi="Arial" w:cs="Arial"/>
          <w:sz w:val="22"/>
        </w:rPr>
        <w:t xml:space="preserve"> in other cases. The court therefore adopted a practice of ‘reading out’ which involves omitting words from statute.</w:t>
      </w:r>
    </w:p>
    <w:p w14:paraId="409CB9E3" w14:textId="77777777" w:rsidR="007673A2" w:rsidRPr="007F2727" w:rsidRDefault="007673A2" w:rsidP="00B43857">
      <w:pPr>
        <w:spacing w:line="480" w:lineRule="auto"/>
        <w:rPr>
          <w:rFonts w:ascii="Arial" w:hAnsi="Arial" w:cs="Arial"/>
          <w:sz w:val="22"/>
        </w:rPr>
      </w:pPr>
    </w:p>
    <w:p w14:paraId="57941088" w14:textId="77777777" w:rsidR="00621018" w:rsidRPr="007F2727" w:rsidRDefault="003C4B73" w:rsidP="00B43857">
      <w:pPr>
        <w:spacing w:line="480" w:lineRule="auto"/>
        <w:rPr>
          <w:rFonts w:ascii="Arial" w:hAnsi="Arial" w:cs="Arial"/>
          <w:sz w:val="22"/>
        </w:rPr>
      </w:pPr>
      <w:r w:rsidRPr="007F2727">
        <w:rPr>
          <w:rFonts w:ascii="Arial" w:hAnsi="Arial" w:cs="Arial"/>
          <w:sz w:val="22"/>
        </w:rPr>
        <w:t>S</w:t>
      </w:r>
      <w:r w:rsidR="00621018" w:rsidRPr="007F2727">
        <w:rPr>
          <w:rFonts w:ascii="Arial" w:hAnsi="Arial" w:cs="Arial"/>
          <w:sz w:val="22"/>
        </w:rPr>
        <w:t xml:space="preserve">ection 54 (1) – (8) </w:t>
      </w:r>
      <w:r w:rsidRPr="007F2727">
        <w:rPr>
          <w:rFonts w:ascii="Arial" w:hAnsi="Arial" w:cs="Arial"/>
          <w:sz w:val="22"/>
        </w:rPr>
        <w:t xml:space="preserve">read </w:t>
      </w:r>
      <w:r w:rsidR="00621018" w:rsidRPr="007F2727">
        <w:rPr>
          <w:rFonts w:ascii="Arial" w:hAnsi="Arial" w:cs="Arial"/>
          <w:sz w:val="22"/>
        </w:rPr>
        <w:t>together with the sub-sections comprise</w:t>
      </w:r>
      <w:r w:rsidR="007743AA">
        <w:rPr>
          <w:rFonts w:ascii="Arial" w:hAnsi="Arial" w:cs="Arial"/>
          <w:sz w:val="22"/>
        </w:rPr>
        <w:t>s</w:t>
      </w:r>
      <w:r w:rsidR="00621018" w:rsidRPr="007F2727">
        <w:rPr>
          <w:rFonts w:ascii="Arial" w:hAnsi="Arial" w:cs="Arial"/>
          <w:sz w:val="22"/>
        </w:rPr>
        <w:t xml:space="preserve"> ten main conditions.</w:t>
      </w:r>
      <w:r w:rsidRPr="007F2727">
        <w:rPr>
          <w:rFonts w:ascii="Arial" w:hAnsi="Arial" w:cs="Arial"/>
          <w:sz w:val="22"/>
        </w:rPr>
        <w:t xml:space="preserve"> </w:t>
      </w:r>
      <w:r w:rsidR="00621018" w:rsidRPr="007F2727">
        <w:rPr>
          <w:rFonts w:ascii="Arial" w:hAnsi="Arial" w:cs="Arial"/>
          <w:sz w:val="22"/>
        </w:rPr>
        <w:t>As currently drafted section 54 makes all the ten conditions obligatory save two. Only the conditions relating to the consent of the surrogate</w:t>
      </w:r>
      <w:r w:rsidR="00621018" w:rsidRPr="007F2727">
        <w:rPr>
          <w:rStyle w:val="FootnoteReference"/>
          <w:rFonts w:ascii="Arial" w:hAnsi="Arial" w:cs="Arial"/>
          <w:sz w:val="22"/>
        </w:rPr>
        <w:footnoteReference w:id="117"/>
      </w:r>
      <w:r w:rsidR="00621018" w:rsidRPr="007F2727">
        <w:rPr>
          <w:rFonts w:ascii="Arial" w:hAnsi="Arial" w:cs="Arial"/>
          <w:sz w:val="22"/>
        </w:rPr>
        <w:t xml:space="preserve"> and payment of reasonable expenses,</w:t>
      </w:r>
      <w:r w:rsidR="00621018" w:rsidRPr="007F2727">
        <w:rPr>
          <w:rStyle w:val="FootnoteReference"/>
          <w:rFonts w:ascii="Arial" w:hAnsi="Arial" w:cs="Arial"/>
          <w:sz w:val="22"/>
        </w:rPr>
        <w:footnoteReference w:id="118"/>
      </w:r>
      <w:r w:rsidR="00621018" w:rsidRPr="007F2727">
        <w:rPr>
          <w:rFonts w:ascii="Arial" w:hAnsi="Arial" w:cs="Arial"/>
          <w:sz w:val="22"/>
        </w:rPr>
        <w:t xml:space="preserve">gives the court </w:t>
      </w:r>
      <w:proofErr w:type="gramStart"/>
      <w:r w:rsidR="00621018" w:rsidRPr="007F2727">
        <w:rPr>
          <w:rFonts w:ascii="Arial" w:hAnsi="Arial" w:cs="Arial"/>
          <w:sz w:val="22"/>
        </w:rPr>
        <w:t>a discretion</w:t>
      </w:r>
      <w:proofErr w:type="gramEnd"/>
      <w:r w:rsidR="00621018" w:rsidRPr="007F2727">
        <w:rPr>
          <w:rFonts w:ascii="Arial" w:hAnsi="Arial" w:cs="Arial"/>
          <w:sz w:val="22"/>
        </w:rPr>
        <w:t xml:space="preserve"> if the condition is not complied with. In relation to the surrogate’s consent, the court can set aside the requirement for consent where the surrogate cannot be found or is incapable of giving agreement and this is provided for in the Family Procedure Rules.</w:t>
      </w:r>
      <w:r w:rsidR="00621018" w:rsidRPr="007F2727">
        <w:rPr>
          <w:rStyle w:val="FootnoteReference"/>
          <w:rFonts w:ascii="Arial" w:hAnsi="Arial" w:cs="Arial"/>
          <w:sz w:val="22"/>
        </w:rPr>
        <w:footnoteReference w:id="119"/>
      </w:r>
      <w:r w:rsidR="00621018" w:rsidRPr="007F2727">
        <w:rPr>
          <w:rFonts w:ascii="Arial" w:hAnsi="Arial" w:cs="Arial"/>
          <w:sz w:val="22"/>
        </w:rPr>
        <w:t xml:space="preserve"> </w:t>
      </w:r>
    </w:p>
    <w:p w14:paraId="664B0DCA" w14:textId="77777777" w:rsidR="00621018" w:rsidRPr="007F2727" w:rsidRDefault="00621018" w:rsidP="00B43857">
      <w:pPr>
        <w:spacing w:line="480" w:lineRule="auto"/>
        <w:rPr>
          <w:rFonts w:ascii="Arial" w:hAnsi="Arial" w:cs="Arial"/>
          <w:sz w:val="22"/>
        </w:rPr>
      </w:pPr>
    </w:p>
    <w:p w14:paraId="685CFD29" w14:textId="77777777" w:rsidR="003C4B73" w:rsidRPr="007F2727" w:rsidRDefault="00621018" w:rsidP="003C4B73">
      <w:pPr>
        <w:spacing w:line="480" w:lineRule="auto"/>
        <w:rPr>
          <w:rFonts w:ascii="Arial" w:hAnsi="Arial" w:cs="Arial"/>
          <w:sz w:val="22"/>
        </w:rPr>
      </w:pPr>
      <w:r w:rsidRPr="007F2727">
        <w:rPr>
          <w:rFonts w:ascii="Arial" w:hAnsi="Arial" w:cs="Arial"/>
          <w:sz w:val="22"/>
        </w:rPr>
        <w:t>Although judicial discretion has not been written into the remaining eight conditions, so far the court has dismantled the obligatory nature of at least four</w:t>
      </w:r>
      <w:r w:rsidRPr="007F2727">
        <w:rPr>
          <w:rStyle w:val="FootnoteReference"/>
          <w:rFonts w:ascii="Arial" w:hAnsi="Arial" w:cs="Arial"/>
          <w:sz w:val="22"/>
        </w:rPr>
        <w:footnoteReference w:id="120"/>
      </w:r>
      <w:r w:rsidRPr="007F2727">
        <w:rPr>
          <w:rFonts w:ascii="Arial" w:hAnsi="Arial" w:cs="Arial"/>
          <w:sz w:val="22"/>
        </w:rPr>
        <w:t xml:space="preserve"> of the remaining eight conditions by allowing applications to proceed and succeed despite non-compliance. This circumvention of the provisions of section 54 has been achieved through the use of a combination of human rights considerations, artful statutory interpretation and logical and lexical semantics.</w:t>
      </w:r>
      <w:r w:rsidRPr="007F2727">
        <w:rPr>
          <w:rStyle w:val="FootnoteReference"/>
          <w:rFonts w:ascii="Arial" w:hAnsi="Arial" w:cs="Arial"/>
          <w:sz w:val="22"/>
        </w:rPr>
        <w:footnoteReference w:id="121"/>
      </w:r>
      <w:r w:rsidRPr="007F2727">
        <w:rPr>
          <w:rFonts w:ascii="Arial" w:hAnsi="Arial" w:cs="Arial"/>
          <w:sz w:val="22"/>
        </w:rPr>
        <w:t xml:space="preserve"> The conditions relating to the definition of ‘applicants’ in section 54 (1),</w:t>
      </w:r>
      <w:r w:rsidRPr="007F2727">
        <w:rPr>
          <w:rStyle w:val="FootnoteReference"/>
          <w:rFonts w:ascii="Arial" w:hAnsi="Arial" w:cs="Arial"/>
          <w:sz w:val="22"/>
        </w:rPr>
        <w:footnoteReference w:id="122"/>
      </w:r>
      <w:r w:rsidRPr="007F2727">
        <w:rPr>
          <w:rFonts w:ascii="Arial" w:hAnsi="Arial" w:cs="Arial"/>
          <w:sz w:val="22"/>
        </w:rPr>
        <w:t xml:space="preserve"> the enduring nature of a relationship in section 54 (2) (c),</w:t>
      </w:r>
      <w:r w:rsidRPr="007F2727">
        <w:rPr>
          <w:rStyle w:val="FootnoteReference"/>
          <w:rFonts w:ascii="Arial" w:hAnsi="Arial" w:cs="Arial"/>
          <w:sz w:val="22"/>
        </w:rPr>
        <w:footnoteReference w:id="123"/>
      </w:r>
      <w:r w:rsidRPr="007F2727">
        <w:rPr>
          <w:rFonts w:ascii="Arial" w:hAnsi="Arial" w:cs="Arial"/>
          <w:sz w:val="22"/>
        </w:rPr>
        <w:t xml:space="preserve"> the meaning of ‘home’ for the purposes of deciding whether or not the child is living with the applicant under section 54 (4) (a)</w:t>
      </w:r>
      <w:r w:rsidR="00081FCD">
        <w:rPr>
          <w:rFonts w:ascii="Arial" w:hAnsi="Arial" w:cs="Arial"/>
          <w:sz w:val="22"/>
        </w:rPr>
        <w:t>,</w:t>
      </w:r>
      <w:r w:rsidRPr="007F2727">
        <w:rPr>
          <w:rStyle w:val="FootnoteReference"/>
          <w:rFonts w:ascii="Arial" w:hAnsi="Arial" w:cs="Arial"/>
          <w:sz w:val="22"/>
        </w:rPr>
        <w:footnoteReference w:id="124"/>
      </w:r>
      <w:r w:rsidRPr="007F2727">
        <w:rPr>
          <w:rFonts w:ascii="Arial" w:hAnsi="Arial" w:cs="Arial"/>
          <w:sz w:val="22"/>
        </w:rPr>
        <w:t xml:space="preserve"> and the time limit </w:t>
      </w:r>
      <w:r w:rsidRPr="007F2727">
        <w:rPr>
          <w:rFonts w:ascii="Arial" w:hAnsi="Arial" w:cs="Arial"/>
          <w:sz w:val="22"/>
        </w:rPr>
        <w:lastRenderedPageBreak/>
        <w:t>for making an application under section 54 (6)</w:t>
      </w:r>
      <w:r w:rsidRPr="007F2727">
        <w:rPr>
          <w:rStyle w:val="FootnoteReference"/>
          <w:rFonts w:ascii="Arial" w:hAnsi="Arial" w:cs="Arial"/>
          <w:sz w:val="22"/>
        </w:rPr>
        <w:footnoteReference w:id="125"/>
      </w:r>
      <w:r w:rsidRPr="007F2727">
        <w:rPr>
          <w:rFonts w:ascii="Arial" w:hAnsi="Arial" w:cs="Arial"/>
          <w:sz w:val="22"/>
        </w:rPr>
        <w:t xml:space="preserve"> have all been challenged. </w:t>
      </w:r>
      <w:r w:rsidR="003C4B73" w:rsidRPr="007F2727">
        <w:rPr>
          <w:rFonts w:ascii="Arial" w:hAnsi="Arial" w:cs="Arial"/>
          <w:sz w:val="22"/>
        </w:rPr>
        <w:t>The court therefore wanted to achieve its desired result without the limitations of the language of the statute.</w:t>
      </w:r>
    </w:p>
    <w:p w14:paraId="5268F49F" w14:textId="77777777" w:rsidR="00461ABC" w:rsidRPr="007F2727" w:rsidRDefault="00461ABC" w:rsidP="00B43857">
      <w:pPr>
        <w:spacing w:line="480" w:lineRule="auto"/>
        <w:rPr>
          <w:rFonts w:ascii="Arial" w:hAnsi="Arial" w:cs="Arial"/>
          <w:sz w:val="22"/>
        </w:rPr>
      </w:pPr>
    </w:p>
    <w:p w14:paraId="1F7D52BA"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Statutory interpretation often involves linguistic elements to assist the court in either adhering to or departing from the original language of statute. However, the method can be used to justify a given outcome as can be seen by comparing the different decisions reached in the cases of </w:t>
      </w:r>
      <w:r w:rsidRPr="007F2727">
        <w:rPr>
          <w:rFonts w:ascii="Arial" w:hAnsi="Arial" w:cs="Arial"/>
          <w:i/>
          <w:sz w:val="22"/>
        </w:rPr>
        <w:t>Re X (A Child) (Surrogacy: Time Limit)</w:t>
      </w:r>
      <w:r w:rsidRPr="007F2727">
        <w:rPr>
          <w:rStyle w:val="FootnoteReference"/>
          <w:rFonts w:ascii="Arial" w:hAnsi="Arial" w:cs="Arial"/>
          <w:i/>
          <w:sz w:val="22"/>
        </w:rPr>
        <w:footnoteReference w:id="126"/>
      </w:r>
      <w:r w:rsidRPr="007F2727">
        <w:rPr>
          <w:rFonts w:ascii="Arial" w:hAnsi="Arial" w:cs="Arial"/>
          <w:sz w:val="22"/>
        </w:rPr>
        <w:t xml:space="preserve"> and </w:t>
      </w:r>
      <w:r w:rsidRPr="007F2727">
        <w:rPr>
          <w:rFonts w:ascii="Arial" w:hAnsi="Arial" w:cs="Arial"/>
          <w:i/>
          <w:sz w:val="22"/>
        </w:rPr>
        <w:t>Re Z (A Child: Human Fertilisation and Embryology Act: Parental Order),</w:t>
      </w:r>
      <w:r w:rsidRPr="007F2727">
        <w:rPr>
          <w:rStyle w:val="FootnoteReference"/>
          <w:rFonts w:ascii="Arial" w:hAnsi="Arial" w:cs="Arial"/>
          <w:i/>
          <w:sz w:val="22"/>
        </w:rPr>
        <w:footnoteReference w:id="127"/>
      </w:r>
      <w:r w:rsidRPr="007F2727">
        <w:rPr>
          <w:rFonts w:ascii="Arial" w:hAnsi="Arial" w:cs="Arial"/>
          <w:i/>
          <w:sz w:val="22"/>
        </w:rPr>
        <w:t xml:space="preserve"> </w:t>
      </w:r>
      <w:r w:rsidRPr="007F2727">
        <w:rPr>
          <w:rFonts w:ascii="Arial" w:hAnsi="Arial" w:cs="Arial"/>
          <w:sz w:val="22"/>
        </w:rPr>
        <w:t xml:space="preserve">both decisions of Sir James </w:t>
      </w:r>
      <w:proofErr w:type="spellStart"/>
      <w:r w:rsidRPr="007F2727">
        <w:rPr>
          <w:rFonts w:ascii="Arial" w:hAnsi="Arial" w:cs="Arial"/>
          <w:sz w:val="22"/>
        </w:rPr>
        <w:t>Munby</w:t>
      </w:r>
      <w:proofErr w:type="spellEnd"/>
      <w:r w:rsidR="00081FCD">
        <w:rPr>
          <w:rFonts w:ascii="Arial" w:hAnsi="Arial" w:cs="Arial"/>
          <w:sz w:val="22"/>
        </w:rPr>
        <w:t>,</w:t>
      </w:r>
      <w:r w:rsidRPr="007F2727">
        <w:rPr>
          <w:rFonts w:ascii="Arial" w:hAnsi="Arial" w:cs="Arial"/>
          <w:sz w:val="22"/>
        </w:rPr>
        <w:t xml:space="preserve"> the President of the Family Division of the High Court.</w:t>
      </w:r>
    </w:p>
    <w:p w14:paraId="25DB70AE" w14:textId="77777777" w:rsidR="00621018" w:rsidRPr="007F2727" w:rsidRDefault="00621018" w:rsidP="00B43857">
      <w:pPr>
        <w:spacing w:line="480" w:lineRule="auto"/>
        <w:rPr>
          <w:rFonts w:ascii="Arial" w:hAnsi="Arial" w:cs="Arial"/>
          <w:i/>
          <w:sz w:val="22"/>
        </w:rPr>
      </w:pPr>
    </w:p>
    <w:p w14:paraId="6E7E8525"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In the case of </w:t>
      </w:r>
      <w:r w:rsidRPr="007F2727">
        <w:rPr>
          <w:rFonts w:ascii="Arial" w:hAnsi="Arial" w:cs="Arial"/>
          <w:i/>
          <w:sz w:val="22"/>
        </w:rPr>
        <w:t>Re X (A Child) (Surrogacy: Time Limit)</w:t>
      </w:r>
      <w:r w:rsidRPr="007F2727">
        <w:rPr>
          <w:rStyle w:val="FootnoteReference"/>
          <w:rFonts w:ascii="Arial" w:hAnsi="Arial" w:cs="Arial"/>
          <w:i/>
          <w:sz w:val="22"/>
        </w:rPr>
        <w:footnoteReference w:id="128"/>
      </w:r>
      <w:r w:rsidRPr="007F2727">
        <w:rPr>
          <w:rFonts w:ascii="Arial" w:hAnsi="Arial" w:cs="Arial"/>
          <w:i/>
          <w:sz w:val="22"/>
        </w:rPr>
        <w:t xml:space="preserve"> </w:t>
      </w:r>
      <w:r w:rsidRPr="007F2727">
        <w:rPr>
          <w:rFonts w:ascii="Arial" w:hAnsi="Arial" w:cs="Arial"/>
          <w:sz w:val="22"/>
        </w:rPr>
        <w:t>the court had to decide the meaning of the verb ‘must’ in section 54 (3) of the 2008 Act.</w:t>
      </w:r>
      <w:r w:rsidRPr="007F2727">
        <w:rPr>
          <w:rStyle w:val="FootnoteReference"/>
          <w:rFonts w:ascii="Arial" w:hAnsi="Arial" w:cs="Arial"/>
          <w:sz w:val="22"/>
        </w:rPr>
        <w:footnoteReference w:id="129"/>
      </w:r>
      <w:r w:rsidRPr="007F2727">
        <w:rPr>
          <w:rFonts w:ascii="Arial" w:hAnsi="Arial" w:cs="Arial"/>
          <w:sz w:val="22"/>
        </w:rPr>
        <w:t xml:space="preserve"> This section requires a parental order application to be made no later than six months after the birth of the child. The court used statutory interpretation to extend the time limit for making an application from six months to approximately seventeen months. The child in this case was born on 15</w:t>
      </w:r>
      <w:r w:rsidRPr="007F2727">
        <w:rPr>
          <w:rFonts w:ascii="Arial" w:hAnsi="Arial" w:cs="Arial"/>
          <w:sz w:val="22"/>
          <w:vertAlign w:val="superscript"/>
        </w:rPr>
        <w:t>th</w:t>
      </w:r>
      <w:r w:rsidRPr="007F2727">
        <w:rPr>
          <w:rFonts w:ascii="Arial" w:hAnsi="Arial" w:cs="Arial"/>
          <w:sz w:val="22"/>
        </w:rPr>
        <w:t xml:space="preserve"> December 2011 but an application for a parental order was not made until 6</w:t>
      </w:r>
      <w:r w:rsidRPr="007F2727">
        <w:rPr>
          <w:rFonts w:ascii="Arial" w:hAnsi="Arial" w:cs="Arial"/>
          <w:sz w:val="22"/>
          <w:vertAlign w:val="superscript"/>
        </w:rPr>
        <w:t>th</w:t>
      </w:r>
      <w:r w:rsidRPr="007F2727">
        <w:rPr>
          <w:rFonts w:ascii="Arial" w:hAnsi="Arial" w:cs="Arial"/>
          <w:sz w:val="22"/>
        </w:rPr>
        <w:t xml:space="preserve"> July 2013. This extension was achieved by reading down the ordinary meaning of the word ‘must’. </w:t>
      </w:r>
    </w:p>
    <w:p w14:paraId="06C6D6A7" w14:textId="77777777" w:rsidR="00621018" w:rsidRPr="007F2727" w:rsidRDefault="00621018" w:rsidP="00B43857">
      <w:pPr>
        <w:spacing w:line="480" w:lineRule="auto"/>
        <w:rPr>
          <w:rFonts w:ascii="Arial" w:hAnsi="Arial" w:cs="Arial"/>
          <w:sz w:val="22"/>
        </w:rPr>
      </w:pPr>
    </w:p>
    <w:p w14:paraId="1525820A"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The court was unable to find any parliamentary debates on the rationale behind section 54 (3). Considerations were focused on the child’s identity being dependent upon the legal relationship with its parents. Referring to the ‘lifelong’ requirement to treat the welfare of the child as paramount the court argued that it must have been </w:t>
      </w:r>
      <w:r w:rsidRPr="007F2727">
        <w:rPr>
          <w:rFonts w:ascii="Arial" w:hAnsi="Arial" w:cs="Arial"/>
          <w:sz w:val="22"/>
        </w:rPr>
        <w:lastRenderedPageBreak/>
        <w:t>Parliament’s intention for the courts to look to the future when deciding on matters affecting the child.</w:t>
      </w:r>
      <w:r w:rsidRPr="007F2727">
        <w:rPr>
          <w:rStyle w:val="FootnoteReference"/>
          <w:rFonts w:ascii="Arial" w:hAnsi="Arial" w:cs="Arial"/>
          <w:sz w:val="22"/>
        </w:rPr>
        <w:footnoteReference w:id="130"/>
      </w:r>
      <w:r w:rsidRPr="007F2727">
        <w:rPr>
          <w:rFonts w:ascii="Arial" w:hAnsi="Arial" w:cs="Arial"/>
          <w:sz w:val="22"/>
        </w:rPr>
        <w:t xml:space="preserve"> Thus family identity as a concept was capable of deposing key words in written law.</w:t>
      </w:r>
    </w:p>
    <w:p w14:paraId="5AFA640A" w14:textId="77777777" w:rsidR="00621018" w:rsidRPr="007F2727" w:rsidRDefault="00621018" w:rsidP="00B43857">
      <w:pPr>
        <w:spacing w:line="480" w:lineRule="auto"/>
        <w:rPr>
          <w:rFonts w:ascii="Arial" w:hAnsi="Arial" w:cs="Arial"/>
          <w:sz w:val="22"/>
        </w:rPr>
      </w:pPr>
    </w:p>
    <w:p w14:paraId="52DCCC7E" w14:textId="77777777" w:rsidR="00621018" w:rsidRPr="007F2727" w:rsidRDefault="00621018" w:rsidP="00B43857">
      <w:pPr>
        <w:spacing w:line="480" w:lineRule="auto"/>
        <w:rPr>
          <w:rFonts w:ascii="Arial" w:hAnsi="Arial" w:cs="Arial"/>
          <w:sz w:val="22"/>
        </w:rPr>
      </w:pPr>
      <w:r w:rsidRPr="007F2727">
        <w:rPr>
          <w:rFonts w:ascii="Arial" w:hAnsi="Arial" w:cs="Arial"/>
          <w:sz w:val="22"/>
          <w:lang w:val="en-US"/>
        </w:rPr>
        <w:t xml:space="preserve">Whilst Sir James </w:t>
      </w:r>
      <w:proofErr w:type="spellStart"/>
      <w:r w:rsidRPr="007F2727">
        <w:rPr>
          <w:rFonts w:ascii="Arial" w:hAnsi="Arial" w:cs="Arial"/>
          <w:sz w:val="22"/>
          <w:lang w:val="en-US"/>
        </w:rPr>
        <w:t>Munby</w:t>
      </w:r>
      <w:proofErr w:type="spellEnd"/>
      <w:r w:rsidRPr="007F2727">
        <w:rPr>
          <w:rFonts w:ascii="Arial" w:hAnsi="Arial" w:cs="Arial"/>
          <w:sz w:val="22"/>
          <w:lang w:val="en-US"/>
        </w:rPr>
        <w:t xml:space="preserve"> stated: ‘I intend to lay down no principle beyond that which appears from the authorities. Every case will, to a greater or lesser degree, be fact specific,’</w:t>
      </w:r>
      <w:r w:rsidRPr="007F2727">
        <w:rPr>
          <w:rStyle w:val="FootnoteReference"/>
          <w:rFonts w:ascii="Arial" w:hAnsi="Arial" w:cs="Arial"/>
          <w:sz w:val="22"/>
          <w:lang w:val="en-US"/>
        </w:rPr>
        <w:footnoteReference w:id="131"/>
      </w:r>
      <w:r w:rsidRPr="007F2727">
        <w:rPr>
          <w:rFonts w:ascii="Arial" w:hAnsi="Arial" w:cs="Arial"/>
          <w:sz w:val="22"/>
          <w:lang w:val="en-US"/>
        </w:rPr>
        <w:t xml:space="preserve"> his approach was followed in the later case</w:t>
      </w:r>
      <w:r w:rsidR="003C4B73" w:rsidRPr="007F2727">
        <w:rPr>
          <w:rFonts w:ascii="Arial" w:hAnsi="Arial" w:cs="Arial"/>
          <w:sz w:val="22"/>
          <w:lang w:val="en-US"/>
        </w:rPr>
        <w:t>s</w:t>
      </w:r>
      <w:r w:rsidRPr="007F2727">
        <w:rPr>
          <w:rFonts w:ascii="Arial" w:hAnsi="Arial" w:cs="Arial"/>
          <w:sz w:val="22"/>
          <w:lang w:val="en-US"/>
        </w:rPr>
        <w:t xml:space="preserve"> of </w:t>
      </w:r>
      <w:r w:rsidRPr="007F2727">
        <w:rPr>
          <w:rFonts w:ascii="Arial" w:hAnsi="Arial" w:cs="Arial"/>
          <w:i/>
          <w:sz w:val="22"/>
          <w:lang w:val="en-US"/>
        </w:rPr>
        <w:t>AB v CD (Surrogacy-Time Limit and Consent)],</w:t>
      </w:r>
      <w:r w:rsidRPr="007F2727">
        <w:rPr>
          <w:rStyle w:val="FootnoteReference"/>
          <w:rFonts w:ascii="Arial" w:hAnsi="Arial" w:cs="Arial"/>
          <w:sz w:val="22"/>
          <w:lang w:val="en-US"/>
        </w:rPr>
        <w:footnoteReference w:id="132"/>
      </w:r>
      <w:r w:rsidRPr="007F2727">
        <w:rPr>
          <w:rFonts w:ascii="Arial" w:hAnsi="Arial" w:cs="Arial"/>
          <w:sz w:val="22"/>
        </w:rPr>
        <w:t xml:space="preserve"> </w:t>
      </w:r>
      <w:r w:rsidRPr="007F2727">
        <w:rPr>
          <w:rFonts w:ascii="Arial" w:hAnsi="Arial" w:cs="Arial"/>
          <w:i/>
          <w:sz w:val="22"/>
        </w:rPr>
        <w:t>D &amp; G v ED &amp; DD and A &amp; B</w:t>
      </w:r>
      <w:r w:rsidRPr="007F2727">
        <w:rPr>
          <w:rFonts w:ascii="Arial" w:hAnsi="Arial" w:cs="Arial"/>
          <w:sz w:val="22"/>
        </w:rPr>
        <w:t>,</w:t>
      </w:r>
      <w:r w:rsidRPr="007F2727">
        <w:rPr>
          <w:rStyle w:val="FootnoteReference"/>
          <w:rFonts w:ascii="Arial" w:hAnsi="Arial" w:cs="Arial"/>
          <w:sz w:val="22"/>
        </w:rPr>
        <w:footnoteReference w:id="133"/>
      </w:r>
      <w:r w:rsidRPr="007F2727">
        <w:rPr>
          <w:rFonts w:ascii="Arial" w:hAnsi="Arial" w:cs="Arial"/>
          <w:i/>
          <w:sz w:val="22"/>
        </w:rPr>
        <w:t xml:space="preserve"> Re A and B (No.2 Parental Order)</w:t>
      </w:r>
      <w:r w:rsidRPr="007F2727">
        <w:rPr>
          <w:rFonts w:ascii="Arial" w:hAnsi="Arial" w:cs="Arial"/>
          <w:sz w:val="22"/>
        </w:rPr>
        <w:t>,</w:t>
      </w:r>
      <w:r w:rsidRPr="007F2727">
        <w:rPr>
          <w:rStyle w:val="FootnoteReference"/>
          <w:rFonts w:ascii="Arial" w:hAnsi="Arial" w:cs="Arial"/>
          <w:sz w:val="22"/>
        </w:rPr>
        <w:footnoteReference w:id="134"/>
      </w:r>
      <w:r w:rsidRPr="007F2727">
        <w:rPr>
          <w:rFonts w:ascii="Arial" w:hAnsi="Arial" w:cs="Arial"/>
          <w:sz w:val="22"/>
        </w:rPr>
        <w:t xml:space="preserve"> </w:t>
      </w:r>
      <w:r w:rsidRPr="007F2727">
        <w:rPr>
          <w:rFonts w:ascii="Arial" w:hAnsi="Arial" w:cs="Arial"/>
          <w:i/>
          <w:sz w:val="22"/>
        </w:rPr>
        <w:t>A and B v C and D</w:t>
      </w:r>
      <w:r w:rsidRPr="007F2727">
        <w:rPr>
          <w:rStyle w:val="FootnoteReference"/>
          <w:rFonts w:ascii="Arial" w:hAnsi="Arial" w:cs="Arial"/>
          <w:sz w:val="22"/>
        </w:rPr>
        <w:footnoteReference w:id="135"/>
      </w:r>
      <w:r w:rsidRPr="007F2727">
        <w:rPr>
          <w:rFonts w:ascii="Arial" w:hAnsi="Arial" w:cs="Arial"/>
          <w:sz w:val="22"/>
        </w:rPr>
        <w:t xml:space="preserve"> and </w:t>
      </w:r>
      <w:r w:rsidRPr="007F2727">
        <w:rPr>
          <w:rFonts w:ascii="Arial" w:hAnsi="Arial" w:cs="Arial"/>
          <w:i/>
          <w:sz w:val="22"/>
        </w:rPr>
        <w:t>KB and RJ v RT.</w:t>
      </w:r>
      <w:r w:rsidRPr="007F2727">
        <w:rPr>
          <w:rStyle w:val="FootnoteReference"/>
          <w:rFonts w:ascii="Arial" w:hAnsi="Arial" w:cs="Arial"/>
          <w:i/>
          <w:sz w:val="22"/>
        </w:rPr>
        <w:footnoteReference w:id="136"/>
      </w:r>
      <w:r w:rsidRPr="007F2727">
        <w:rPr>
          <w:rFonts w:ascii="Arial" w:hAnsi="Arial" w:cs="Arial"/>
          <w:sz w:val="22"/>
        </w:rPr>
        <w:t xml:space="preserve"> </w:t>
      </w:r>
    </w:p>
    <w:p w14:paraId="7B9DD716" w14:textId="77777777" w:rsidR="00621018" w:rsidRPr="007F2727" w:rsidRDefault="00621018" w:rsidP="00B43857">
      <w:pPr>
        <w:spacing w:line="480" w:lineRule="auto"/>
        <w:rPr>
          <w:rFonts w:ascii="Arial" w:hAnsi="Arial" w:cs="Arial"/>
          <w:sz w:val="22"/>
        </w:rPr>
      </w:pPr>
    </w:p>
    <w:p w14:paraId="7151549C" w14:textId="77777777" w:rsidR="00621018" w:rsidRPr="007F2727" w:rsidRDefault="00621018" w:rsidP="00B43857">
      <w:pPr>
        <w:spacing w:line="480" w:lineRule="auto"/>
        <w:rPr>
          <w:rFonts w:ascii="Arial" w:hAnsi="Arial" w:cs="Arial"/>
          <w:sz w:val="22"/>
          <w:lang w:val="en-US"/>
        </w:rPr>
      </w:pPr>
      <w:r w:rsidRPr="007F2727">
        <w:rPr>
          <w:rFonts w:ascii="Arial" w:hAnsi="Arial" w:cs="Arial"/>
          <w:sz w:val="22"/>
          <w:lang w:val="en-US"/>
        </w:rPr>
        <w:t xml:space="preserve">Sir James </w:t>
      </w:r>
      <w:proofErr w:type="spellStart"/>
      <w:r w:rsidRPr="007F2727">
        <w:rPr>
          <w:rFonts w:ascii="Arial" w:hAnsi="Arial" w:cs="Arial"/>
          <w:sz w:val="22"/>
          <w:lang w:val="en-US"/>
        </w:rPr>
        <w:t>Munby’s</w:t>
      </w:r>
      <w:proofErr w:type="spellEnd"/>
      <w:r w:rsidRPr="007F2727">
        <w:rPr>
          <w:rFonts w:ascii="Arial" w:hAnsi="Arial" w:cs="Arial"/>
          <w:sz w:val="22"/>
          <w:lang w:val="en-US"/>
        </w:rPr>
        <w:t xml:space="preserve"> decision </w:t>
      </w:r>
      <w:r w:rsidRPr="007F2727">
        <w:rPr>
          <w:rFonts w:ascii="Arial" w:hAnsi="Arial" w:cs="Arial"/>
          <w:sz w:val="22"/>
        </w:rPr>
        <w:t xml:space="preserve">was also used to justify reading down a different statutory provision namely section 54 (4) (a) relating to </w:t>
      </w:r>
      <w:r w:rsidR="003C4B73" w:rsidRPr="007F2727">
        <w:rPr>
          <w:rFonts w:ascii="Arial" w:hAnsi="Arial" w:cs="Arial"/>
          <w:sz w:val="22"/>
        </w:rPr>
        <w:t xml:space="preserve">the </w:t>
      </w:r>
      <w:r w:rsidRPr="007F2727">
        <w:rPr>
          <w:rFonts w:ascii="Arial" w:hAnsi="Arial" w:cs="Arial"/>
          <w:sz w:val="22"/>
        </w:rPr>
        <w:t xml:space="preserve">meaning of ‘home’ in the cases of </w:t>
      </w:r>
      <w:r w:rsidRPr="007F2727">
        <w:rPr>
          <w:rFonts w:ascii="Arial" w:hAnsi="Arial" w:cs="Arial"/>
          <w:i/>
          <w:sz w:val="22"/>
        </w:rPr>
        <w:t>Re Z (Foreign Surrogacy: Allocation of Work: Guidance on Parental Order Reports)</w:t>
      </w:r>
      <w:r w:rsidRPr="007F2727">
        <w:rPr>
          <w:rStyle w:val="FootnoteReference"/>
          <w:rFonts w:ascii="Arial" w:hAnsi="Arial" w:cs="Arial"/>
          <w:sz w:val="22"/>
        </w:rPr>
        <w:footnoteReference w:id="137"/>
      </w:r>
      <w:r w:rsidRPr="007F2727">
        <w:rPr>
          <w:rFonts w:ascii="Arial" w:hAnsi="Arial" w:cs="Arial"/>
          <w:sz w:val="22"/>
        </w:rPr>
        <w:t xml:space="preserve"> and </w:t>
      </w:r>
      <w:r w:rsidRPr="007F2727">
        <w:rPr>
          <w:rFonts w:ascii="Arial" w:hAnsi="Arial" w:cs="Arial"/>
          <w:i/>
          <w:sz w:val="22"/>
        </w:rPr>
        <w:t xml:space="preserve">Re </w:t>
      </w:r>
      <w:r w:rsidRPr="007F2727">
        <w:rPr>
          <w:rFonts w:ascii="Arial" w:hAnsi="Arial" w:cs="Arial"/>
          <w:i/>
          <w:sz w:val="22"/>
          <w:lang w:val="en-US"/>
        </w:rPr>
        <w:t>A and B (No.2 Parental Order</w:t>
      </w:r>
      <w:r w:rsidR="00081FCD">
        <w:rPr>
          <w:rFonts w:ascii="Arial" w:hAnsi="Arial" w:cs="Arial"/>
          <w:i/>
          <w:sz w:val="22"/>
          <w:lang w:val="en-US"/>
        </w:rPr>
        <w:t>)</w:t>
      </w:r>
      <w:r w:rsidRPr="007F2727">
        <w:rPr>
          <w:rStyle w:val="FootnoteReference"/>
          <w:rFonts w:ascii="Arial" w:hAnsi="Arial" w:cs="Arial"/>
          <w:sz w:val="22"/>
          <w:lang w:val="en-US"/>
        </w:rPr>
        <w:footnoteReference w:id="138"/>
      </w:r>
      <w:r w:rsidRPr="007F2727">
        <w:rPr>
          <w:rFonts w:ascii="Arial" w:hAnsi="Arial" w:cs="Arial"/>
          <w:sz w:val="22"/>
          <w:lang w:val="en-US"/>
        </w:rPr>
        <w:t xml:space="preserve"> where the applicants were found to have their ‘home’ with the child even though they were not living with the child at the time of the application. Reading down (rather than reading out) involves choosing a particular meaning for words in the statute to ensure compliance. However, this had the effect of giving ‘home’ a vague meaning and it was interpreted as being a condition to be applied at the time of the making of the parental order rather than at the time of the making of the application</w:t>
      </w:r>
      <w:r w:rsidRPr="007F2727">
        <w:rPr>
          <w:rStyle w:val="FootnoteReference"/>
          <w:rFonts w:ascii="Arial" w:hAnsi="Arial" w:cs="Arial"/>
          <w:sz w:val="22"/>
          <w:lang w:val="en-US"/>
        </w:rPr>
        <w:footnoteReference w:id="139"/>
      </w:r>
      <w:r w:rsidRPr="007F2727">
        <w:rPr>
          <w:rFonts w:ascii="Arial" w:hAnsi="Arial" w:cs="Arial"/>
          <w:sz w:val="22"/>
          <w:lang w:val="en-US"/>
        </w:rPr>
        <w:t xml:space="preserve"> and that the making of a parental order activated the right to family life</w:t>
      </w:r>
      <w:r w:rsidR="00461ABC" w:rsidRPr="007F2727">
        <w:rPr>
          <w:rFonts w:ascii="Arial" w:hAnsi="Arial" w:cs="Arial"/>
          <w:sz w:val="22"/>
          <w:lang w:val="en-US"/>
        </w:rPr>
        <w:t>,</w:t>
      </w:r>
      <w:r w:rsidRPr="007F2727">
        <w:rPr>
          <w:rFonts w:ascii="Arial" w:hAnsi="Arial" w:cs="Arial"/>
          <w:sz w:val="22"/>
          <w:lang w:val="en-US"/>
        </w:rPr>
        <w:t xml:space="preserve"> </w:t>
      </w:r>
      <w:r w:rsidR="00461ABC" w:rsidRPr="007F2727">
        <w:rPr>
          <w:rFonts w:ascii="Arial" w:hAnsi="Arial" w:cs="Arial"/>
          <w:sz w:val="22"/>
          <w:lang w:val="en-US"/>
        </w:rPr>
        <w:t xml:space="preserve">one </w:t>
      </w:r>
      <w:r w:rsidRPr="007F2727">
        <w:rPr>
          <w:rFonts w:ascii="Arial" w:hAnsi="Arial" w:cs="Arial"/>
          <w:sz w:val="22"/>
          <w:lang w:val="en-US"/>
        </w:rPr>
        <w:t>aspect of Article 8.</w:t>
      </w:r>
      <w:r w:rsidRPr="007F2727">
        <w:rPr>
          <w:rStyle w:val="FootnoteReference"/>
          <w:rFonts w:ascii="Arial" w:hAnsi="Arial" w:cs="Arial"/>
          <w:sz w:val="22"/>
          <w:lang w:val="en-US"/>
        </w:rPr>
        <w:footnoteReference w:id="140"/>
      </w:r>
    </w:p>
    <w:p w14:paraId="5827DAFC" w14:textId="77777777" w:rsidR="00621018" w:rsidRPr="007F2727" w:rsidRDefault="00621018" w:rsidP="00B43857">
      <w:pPr>
        <w:spacing w:line="480" w:lineRule="auto"/>
        <w:rPr>
          <w:rFonts w:ascii="Arial" w:hAnsi="Arial" w:cs="Arial"/>
          <w:sz w:val="22"/>
          <w:lang w:val="en-US"/>
        </w:rPr>
      </w:pPr>
    </w:p>
    <w:p w14:paraId="0C08C832" w14:textId="77777777" w:rsidR="00621018" w:rsidRPr="007F2727" w:rsidRDefault="00621018" w:rsidP="00B43857">
      <w:pPr>
        <w:spacing w:line="480" w:lineRule="auto"/>
        <w:rPr>
          <w:rFonts w:ascii="Arial" w:hAnsi="Arial" w:cs="Arial"/>
          <w:sz w:val="22"/>
        </w:rPr>
      </w:pPr>
      <w:r w:rsidRPr="007F2727">
        <w:rPr>
          <w:rFonts w:ascii="Arial" w:hAnsi="Arial" w:cs="Arial"/>
          <w:sz w:val="22"/>
          <w:lang w:val="en-US"/>
        </w:rPr>
        <w:t xml:space="preserve">In </w:t>
      </w:r>
      <w:r w:rsidRPr="007F2727">
        <w:rPr>
          <w:rFonts w:ascii="Arial" w:hAnsi="Arial" w:cs="Arial"/>
          <w:i/>
          <w:sz w:val="22"/>
          <w:lang w:val="en-US"/>
        </w:rPr>
        <w:t>DM and LK</w:t>
      </w:r>
      <w:r w:rsidRPr="007F2727">
        <w:rPr>
          <w:rStyle w:val="FootnoteReference"/>
          <w:rFonts w:ascii="Arial" w:hAnsi="Arial" w:cs="Arial"/>
          <w:sz w:val="22"/>
          <w:lang w:val="en-US"/>
        </w:rPr>
        <w:footnoteReference w:id="141"/>
      </w:r>
      <w:r w:rsidRPr="007F2727">
        <w:rPr>
          <w:rFonts w:ascii="Arial" w:hAnsi="Arial" w:cs="Arial"/>
          <w:sz w:val="22"/>
          <w:lang w:val="en-US"/>
        </w:rPr>
        <w:t xml:space="preserve"> the practice of reading down was </w:t>
      </w:r>
      <w:r w:rsidR="00461ABC" w:rsidRPr="007F2727">
        <w:rPr>
          <w:rFonts w:ascii="Arial" w:hAnsi="Arial" w:cs="Arial"/>
          <w:sz w:val="22"/>
          <w:lang w:val="en-US"/>
        </w:rPr>
        <w:t xml:space="preserve">also </w:t>
      </w:r>
      <w:r w:rsidRPr="007F2727">
        <w:rPr>
          <w:rFonts w:ascii="Arial" w:hAnsi="Arial" w:cs="Arial"/>
          <w:sz w:val="22"/>
          <w:lang w:val="en-US"/>
        </w:rPr>
        <w:t xml:space="preserve">used to interpret ‘enduring relationship’ in section 54 (2) (c) as one including a relationship where the parties only lived together part-time. This was </w:t>
      </w:r>
      <w:r w:rsidR="003E635E" w:rsidRPr="007F2727">
        <w:rPr>
          <w:rFonts w:ascii="Arial" w:hAnsi="Arial" w:cs="Arial"/>
          <w:sz w:val="22"/>
          <w:lang w:val="en-US"/>
        </w:rPr>
        <w:t xml:space="preserve">again </w:t>
      </w:r>
      <w:r w:rsidRPr="007F2727">
        <w:rPr>
          <w:rFonts w:ascii="Arial" w:hAnsi="Arial" w:cs="Arial"/>
          <w:sz w:val="22"/>
          <w:lang w:val="en-US"/>
        </w:rPr>
        <w:t xml:space="preserve">achieved by </w:t>
      </w:r>
      <w:r w:rsidR="003E635E" w:rsidRPr="007F2727">
        <w:rPr>
          <w:rFonts w:ascii="Arial" w:hAnsi="Arial" w:cs="Arial"/>
          <w:sz w:val="22"/>
          <w:lang w:val="en-US"/>
        </w:rPr>
        <w:t xml:space="preserve">reference to </w:t>
      </w:r>
      <w:r w:rsidRPr="007F2727">
        <w:rPr>
          <w:rFonts w:ascii="Arial" w:hAnsi="Arial" w:cs="Arial"/>
          <w:sz w:val="22"/>
          <w:lang w:val="en-US"/>
        </w:rPr>
        <w:t>Article 8.</w:t>
      </w:r>
      <w:r w:rsidRPr="007F2727">
        <w:rPr>
          <w:rStyle w:val="FootnoteReference"/>
          <w:rFonts w:ascii="Arial" w:hAnsi="Arial" w:cs="Arial"/>
          <w:sz w:val="22"/>
          <w:lang w:val="en-US"/>
        </w:rPr>
        <w:footnoteReference w:id="142"/>
      </w:r>
      <w:r w:rsidRPr="007F2727">
        <w:rPr>
          <w:sz w:val="22"/>
        </w:rPr>
        <w:t xml:space="preserve"> </w:t>
      </w:r>
      <w:r w:rsidR="003C4B73" w:rsidRPr="007F2727">
        <w:rPr>
          <w:rFonts w:ascii="Arial" w:hAnsi="Arial" w:cs="Arial"/>
          <w:sz w:val="22"/>
        </w:rPr>
        <w:t>I</w:t>
      </w:r>
      <w:r w:rsidRPr="007F2727">
        <w:rPr>
          <w:rFonts w:ascii="Arial" w:hAnsi="Arial" w:cs="Arial"/>
          <w:sz w:val="22"/>
        </w:rPr>
        <w:t xml:space="preserve">n the case of </w:t>
      </w:r>
      <w:r w:rsidRPr="007F2727">
        <w:rPr>
          <w:rFonts w:ascii="Arial" w:hAnsi="Arial" w:cs="Arial"/>
          <w:i/>
          <w:sz w:val="22"/>
        </w:rPr>
        <w:t>A v P</w:t>
      </w:r>
      <w:r w:rsidRPr="007F2727">
        <w:rPr>
          <w:rStyle w:val="FootnoteReference"/>
          <w:rFonts w:ascii="Arial" w:hAnsi="Arial" w:cs="Arial"/>
          <w:sz w:val="22"/>
        </w:rPr>
        <w:footnoteReference w:id="143"/>
      </w:r>
      <w:r w:rsidRPr="007F2727">
        <w:rPr>
          <w:rFonts w:ascii="Arial" w:hAnsi="Arial" w:cs="Arial"/>
          <w:sz w:val="22"/>
        </w:rPr>
        <w:t xml:space="preserve"> the meaning of ‘applicant’ in section 54 (1)</w:t>
      </w:r>
      <w:r w:rsidRPr="007F2727">
        <w:rPr>
          <w:rStyle w:val="FootnoteReference"/>
          <w:rFonts w:ascii="Arial" w:hAnsi="Arial" w:cs="Arial"/>
          <w:sz w:val="22"/>
        </w:rPr>
        <w:footnoteReference w:id="144"/>
      </w:r>
      <w:r w:rsidRPr="007F2727">
        <w:rPr>
          <w:rFonts w:ascii="Arial" w:hAnsi="Arial" w:cs="Arial"/>
          <w:sz w:val="22"/>
        </w:rPr>
        <w:t xml:space="preserve"> was redefined. The applicant-commissioning father in this case died of liver cancer after an application for a parental order was made but before the final decision of the court. The court had to determine whether the cause of action could survive the applicant commissioning father’s death. The court decided that whilst in matrimonial cases a claim might be extinguished by death, a parental order was of a declaratory nature and concerned a child who could also be considered to be an applicant. This is a surprising conclusion given the language structure of the section. It presumes that the people making the application are doing so for the child and the use of the words ‘as the child of the applicants’ suggests the child and the applicants cannot be one and the same person.</w:t>
      </w:r>
      <w:r w:rsidR="00631818" w:rsidRPr="007F2727">
        <w:rPr>
          <w:rFonts w:ascii="Arial" w:hAnsi="Arial" w:cs="Arial"/>
          <w:sz w:val="22"/>
        </w:rPr>
        <w:t xml:space="preserve"> </w:t>
      </w:r>
      <w:r w:rsidRPr="007F2727">
        <w:rPr>
          <w:rFonts w:ascii="Arial" w:hAnsi="Arial" w:cs="Arial"/>
          <w:sz w:val="22"/>
        </w:rPr>
        <w:t>The court took into account the ‘transformative’ nature of section 54 of the 2008 Act and found that ‘the effect of not making an order will be an interference with that family life in that the factual relationship will not be recognised by law’.</w:t>
      </w:r>
      <w:r w:rsidRPr="007F2727">
        <w:rPr>
          <w:rStyle w:val="FootnoteReference"/>
          <w:rFonts w:ascii="Arial" w:hAnsi="Arial" w:cs="Arial"/>
          <w:sz w:val="22"/>
        </w:rPr>
        <w:footnoteReference w:id="145"/>
      </w:r>
      <w:r w:rsidRPr="007F2727">
        <w:rPr>
          <w:rFonts w:ascii="Arial" w:hAnsi="Arial" w:cs="Arial"/>
          <w:sz w:val="22"/>
        </w:rPr>
        <w:t xml:space="preserve">  </w:t>
      </w:r>
    </w:p>
    <w:p w14:paraId="47F4E70D" w14:textId="77777777" w:rsidR="00621018" w:rsidRPr="007F2727" w:rsidRDefault="00621018" w:rsidP="00B43857">
      <w:pPr>
        <w:spacing w:line="480" w:lineRule="auto"/>
        <w:rPr>
          <w:rFonts w:ascii="Arial" w:hAnsi="Arial" w:cs="Arial"/>
          <w:sz w:val="22"/>
        </w:rPr>
      </w:pPr>
    </w:p>
    <w:p w14:paraId="1950C31A"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The court therefore imposed a rights based argument again based on family identity to justify moving away from the ordinary language of the statute. In particular the court was concerned that the child should have the ‘social and emotional benefits of recognition’ of a legal relationship with the commissioning couple, which was important to the child’s identity and would serve to protect that identity in accordance </w:t>
      </w:r>
      <w:r w:rsidRPr="007F2727">
        <w:rPr>
          <w:rFonts w:ascii="Arial" w:hAnsi="Arial" w:cs="Arial"/>
          <w:sz w:val="22"/>
        </w:rPr>
        <w:lastRenderedPageBreak/>
        <w:t>with the U</w:t>
      </w:r>
      <w:r w:rsidR="003E635E" w:rsidRPr="007F2727">
        <w:rPr>
          <w:rFonts w:ascii="Arial" w:hAnsi="Arial" w:cs="Arial"/>
          <w:sz w:val="22"/>
        </w:rPr>
        <w:t xml:space="preserve">nited </w:t>
      </w:r>
      <w:r w:rsidRPr="007F2727">
        <w:rPr>
          <w:rFonts w:ascii="Arial" w:hAnsi="Arial" w:cs="Arial"/>
          <w:sz w:val="22"/>
        </w:rPr>
        <w:t>N</w:t>
      </w:r>
      <w:r w:rsidR="003E635E" w:rsidRPr="007F2727">
        <w:rPr>
          <w:rFonts w:ascii="Arial" w:hAnsi="Arial" w:cs="Arial"/>
          <w:sz w:val="22"/>
        </w:rPr>
        <w:t xml:space="preserve">ations </w:t>
      </w:r>
      <w:r w:rsidRPr="007F2727">
        <w:rPr>
          <w:rFonts w:ascii="Arial" w:hAnsi="Arial" w:cs="Arial"/>
          <w:sz w:val="22"/>
        </w:rPr>
        <w:t>C</w:t>
      </w:r>
      <w:r w:rsidR="003E635E" w:rsidRPr="007F2727">
        <w:rPr>
          <w:rFonts w:ascii="Arial" w:hAnsi="Arial" w:cs="Arial"/>
          <w:sz w:val="22"/>
        </w:rPr>
        <w:t xml:space="preserve">onvention on the </w:t>
      </w:r>
      <w:r w:rsidRPr="007F2727">
        <w:rPr>
          <w:rFonts w:ascii="Arial" w:hAnsi="Arial" w:cs="Arial"/>
          <w:sz w:val="22"/>
        </w:rPr>
        <w:t>R</w:t>
      </w:r>
      <w:r w:rsidR="003E635E" w:rsidRPr="007F2727">
        <w:rPr>
          <w:rFonts w:ascii="Arial" w:hAnsi="Arial" w:cs="Arial"/>
          <w:sz w:val="22"/>
        </w:rPr>
        <w:t xml:space="preserve">ights of the </w:t>
      </w:r>
      <w:r w:rsidRPr="007F2727">
        <w:rPr>
          <w:rFonts w:ascii="Arial" w:hAnsi="Arial" w:cs="Arial"/>
          <w:sz w:val="22"/>
        </w:rPr>
        <w:t>C</w:t>
      </w:r>
      <w:r w:rsidR="003E635E" w:rsidRPr="007F2727">
        <w:rPr>
          <w:rFonts w:ascii="Arial" w:hAnsi="Arial" w:cs="Arial"/>
          <w:sz w:val="22"/>
        </w:rPr>
        <w:t>hild</w:t>
      </w:r>
      <w:r w:rsidR="005A4345" w:rsidRPr="007F2727">
        <w:rPr>
          <w:rFonts w:ascii="Arial" w:hAnsi="Arial" w:cs="Arial"/>
          <w:sz w:val="22"/>
        </w:rPr>
        <w:t xml:space="preserve"> </w:t>
      </w:r>
      <w:r w:rsidRPr="007F2727">
        <w:rPr>
          <w:rFonts w:ascii="Arial" w:hAnsi="Arial" w:cs="Arial"/>
          <w:sz w:val="22"/>
        </w:rPr>
        <w:t>1989.</w:t>
      </w:r>
      <w:r w:rsidRPr="007F2727">
        <w:rPr>
          <w:rStyle w:val="FootnoteReference"/>
          <w:rFonts w:ascii="Arial" w:hAnsi="Arial" w:cs="Arial"/>
          <w:sz w:val="22"/>
        </w:rPr>
        <w:footnoteReference w:id="146"/>
      </w:r>
      <w:r w:rsidRPr="007F2727">
        <w:rPr>
          <w:rFonts w:ascii="Arial" w:hAnsi="Arial" w:cs="Arial"/>
          <w:sz w:val="22"/>
        </w:rPr>
        <w:t xml:space="preserve"> Therefore the rights based argument was also infused with arguments relating to certainty around the identity and wellbeing of the child.</w:t>
      </w:r>
    </w:p>
    <w:p w14:paraId="4A598D11" w14:textId="77777777" w:rsidR="00621018" w:rsidRPr="007F2727" w:rsidRDefault="00621018" w:rsidP="00B43857">
      <w:pPr>
        <w:spacing w:line="480" w:lineRule="auto"/>
        <w:rPr>
          <w:rFonts w:ascii="Arial" w:hAnsi="Arial" w:cs="Arial"/>
          <w:sz w:val="22"/>
        </w:rPr>
      </w:pPr>
    </w:p>
    <w:p w14:paraId="6885B019"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The lack of application of linguistics to statutory interpretation in the case of Re X </w:t>
      </w:r>
      <w:r w:rsidRPr="007F2727">
        <w:rPr>
          <w:rFonts w:ascii="Arial" w:hAnsi="Arial" w:cs="Arial"/>
          <w:i/>
          <w:sz w:val="22"/>
        </w:rPr>
        <w:t>(A Child) (Surrogacy: Time Limit)</w:t>
      </w:r>
      <w:r w:rsidRPr="007F2727">
        <w:rPr>
          <w:rStyle w:val="FootnoteReference"/>
          <w:rFonts w:ascii="Arial" w:hAnsi="Arial" w:cs="Arial"/>
          <w:i/>
          <w:sz w:val="22"/>
        </w:rPr>
        <w:footnoteReference w:id="147"/>
      </w:r>
      <w:r w:rsidRPr="007F2727">
        <w:rPr>
          <w:rFonts w:ascii="Arial" w:hAnsi="Arial" w:cs="Arial"/>
          <w:i/>
          <w:sz w:val="22"/>
        </w:rPr>
        <w:t>and A v P</w:t>
      </w:r>
      <w:r w:rsidRPr="007F2727">
        <w:rPr>
          <w:rStyle w:val="FootnoteReference"/>
          <w:rFonts w:ascii="Arial" w:hAnsi="Arial" w:cs="Arial"/>
          <w:sz w:val="22"/>
        </w:rPr>
        <w:footnoteReference w:id="148"/>
      </w:r>
      <w:r w:rsidRPr="007F2727">
        <w:rPr>
          <w:rFonts w:ascii="Arial" w:hAnsi="Arial" w:cs="Arial"/>
          <w:i/>
          <w:sz w:val="22"/>
        </w:rPr>
        <w:t xml:space="preserve"> </w:t>
      </w:r>
      <w:r w:rsidRPr="007F2727">
        <w:rPr>
          <w:rFonts w:ascii="Arial" w:hAnsi="Arial" w:cs="Arial"/>
          <w:sz w:val="22"/>
        </w:rPr>
        <w:t xml:space="preserve">can be contrasted with the case of </w:t>
      </w:r>
      <w:r w:rsidRPr="007F2727">
        <w:rPr>
          <w:rFonts w:ascii="Arial" w:hAnsi="Arial" w:cs="Arial"/>
          <w:i/>
          <w:sz w:val="22"/>
        </w:rPr>
        <w:t>Re Z (A Child: Human Fertilisation and Embryology Act: Parental Order)</w:t>
      </w:r>
      <w:r w:rsidR="00081FCD">
        <w:rPr>
          <w:rFonts w:ascii="Arial" w:hAnsi="Arial" w:cs="Arial"/>
          <w:i/>
          <w:sz w:val="22"/>
        </w:rPr>
        <w:t xml:space="preserve">, </w:t>
      </w:r>
      <w:r w:rsidR="00081FCD" w:rsidRPr="00371B2F">
        <w:rPr>
          <w:rFonts w:ascii="Arial" w:hAnsi="Arial" w:cs="Arial"/>
          <w:sz w:val="22"/>
        </w:rPr>
        <w:t xml:space="preserve">also heard by Sir James </w:t>
      </w:r>
      <w:proofErr w:type="spellStart"/>
      <w:r w:rsidR="00081FCD" w:rsidRPr="00371B2F">
        <w:rPr>
          <w:rFonts w:ascii="Arial" w:hAnsi="Arial" w:cs="Arial"/>
          <w:sz w:val="22"/>
        </w:rPr>
        <w:t>Munby</w:t>
      </w:r>
      <w:proofErr w:type="spellEnd"/>
      <w:r w:rsidRPr="00371B2F">
        <w:rPr>
          <w:rFonts w:ascii="Arial" w:hAnsi="Arial" w:cs="Arial"/>
          <w:sz w:val="22"/>
        </w:rPr>
        <w:t>.</w:t>
      </w:r>
      <w:r w:rsidRPr="007F2727">
        <w:rPr>
          <w:rStyle w:val="FootnoteReference"/>
          <w:rFonts w:ascii="Arial" w:hAnsi="Arial" w:cs="Arial"/>
          <w:i/>
          <w:sz w:val="22"/>
        </w:rPr>
        <w:footnoteReference w:id="149"/>
      </w:r>
      <w:r w:rsidRPr="007F2727">
        <w:rPr>
          <w:rFonts w:ascii="Arial" w:hAnsi="Arial" w:cs="Arial"/>
          <w:i/>
          <w:sz w:val="22"/>
        </w:rPr>
        <w:t xml:space="preserve"> </w:t>
      </w:r>
      <w:r w:rsidRPr="007F2727">
        <w:rPr>
          <w:rFonts w:ascii="Arial" w:hAnsi="Arial" w:cs="Arial"/>
          <w:sz w:val="22"/>
        </w:rPr>
        <w:t xml:space="preserve">This was an application for a parental order by a single father who would not be eligible to apply under section 54 of the 2008 Act because section 54 (2) only includes couples. </w:t>
      </w:r>
    </w:p>
    <w:p w14:paraId="6BC190A3" w14:textId="77777777" w:rsidR="00621018" w:rsidRPr="007F2727" w:rsidRDefault="00621018" w:rsidP="00B43857">
      <w:pPr>
        <w:spacing w:line="480" w:lineRule="auto"/>
        <w:rPr>
          <w:rFonts w:ascii="Arial" w:hAnsi="Arial" w:cs="Arial"/>
          <w:sz w:val="22"/>
        </w:rPr>
      </w:pPr>
    </w:p>
    <w:p w14:paraId="7BD6AA15"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Whilst Sir James </w:t>
      </w:r>
      <w:proofErr w:type="spellStart"/>
      <w:r w:rsidRPr="007F2727">
        <w:rPr>
          <w:rFonts w:ascii="Arial" w:hAnsi="Arial" w:cs="Arial"/>
          <w:sz w:val="22"/>
        </w:rPr>
        <w:t>Munby</w:t>
      </w:r>
      <w:proofErr w:type="spellEnd"/>
      <w:r w:rsidRPr="007F2727">
        <w:rPr>
          <w:rFonts w:ascii="Arial" w:hAnsi="Arial" w:cs="Arial"/>
          <w:sz w:val="22"/>
        </w:rPr>
        <w:t xml:space="preserve"> could have taken the same approach that he had taken in Re X </w:t>
      </w:r>
      <w:r w:rsidRPr="007F2727">
        <w:rPr>
          <w:rFonts w:ascii="Arial" w:hAnsi="Arial" w:cs="Arial"/>
          <w:i/>
          <w:sz w:val="22"/>
        </w:rPr>
        <w:t>(A Child) (Surrogacy: Time Limit)</w:t>
      </w:r>
      <w:r w:rsidRPr="007F2727">
        <w:rPr>
          <w:rStyle w:val="FootnoteReference"/>
          <w:rFonts w:ascii="Arial" w:hAnsi="Arial" w:cs="Arial"/>
          <w:i/>
          <w:sz w:val="22"/>
        </w:rPr>
        <w:footnoteReference w:id="150"/>
      </w:r>
      <w:r w:rsidRPr="007F2727">
        <w:rPr>
          <w:rFonts w:ascii="Arial" w:hAnsi="Arial" w:cs="Arial"/>
          <w:i/>
          <w:sz w:val="22"/>
        </w:rPr>
        <w:t xml:space="preserve"> </w:t>
      </w:r>
      <w:r w:rsidRPr="007F2727">
        <w:rPr>
          <w:rFonts w:ascii="Arial" w:hAnsi="Arial" w:cs="Arial"/>
          <w:sz w:val="22"/>
        </w:rPr>
        <w:t>and read down the provisions of section 54 (2) as ‘directory’ and therefore not capable of causing the whole proceedings to fail if there was non-compliance with the condition of couple-hood, he was precluded from doing so because this time Parliament’s intention was clearly recorded.</w:t>
      </w:r>
      <w:r w:rsidRPr="007F2727">
        <w:rPr>
          <w:rStyle w:val="FootnoteReference"/>
          <w:rFonts w:ascii="Arial" w:hAnsi="Arial" w:cs="Arial"/>
          <w:sz w:val="22"/>
        </w:rPr>
        <w:footnoteReference w:id="151"/>
      </w:r>
      <w:r w:rsidRPr="007F2727">
        <w:rPr>
          <w:rFonts w:ascii="Arial" w:hAnsi="Arial" w:cs="Arial"/>
          <w:sz w:val="22"/>
        </w:rPr>
        <w:t xml:space="preserve"> </w:t>
      </w:r>
    </w:p>
    <w:p w14:paraId="7547E4FB" w14:textId="77777777" w:rsidR="00621018" w:rsidRPr="007F2727" w:rsidRDefault="00621018" w:rsidP="00B43857">
      <w:pPr>
        <w:spacing w:line="480" w:lineRule="auto"/>
        <w:rPr>
          <w:rFonts w:ascii="Arial" w:hAnsi="Arial" w:cs="Arial"/>
          <w:sz w:val="22"/>
        </w:rPr>
      </w:pPr>
    </w:p>
    <w:p w14:paraId="62286D0A" w14:textId="77777777" w:rsidR="00621018" w:rsidRPr="007F2727" w:rsidRDefault="00621018" w:rsidP="00B43857">
      <w:pPr>
        <w:spacing w:line="480" w:lineRule="auto"/>
        <w:rPr>
          <w:rFonts w:ascii="Arial" w:hAnsi="Arial" w:cs="Arial"/>
          <w:sz w:val="22"/>
        </w:rPr>
      </w:pPr>
      <w:r w:rsidRPr="007F2727">
        <w:rPr>
          <w:rFonts w:ascii="Arial" w:hAnsi="Arial" w:cs="Arial"/>
          <w:sz w:val="22"/>
        </w:rPr>
        <w:t>Whilst the court accepted that section 3 of the Human Rights Act 1998</w:t>
      </w:r>
      <w:r w:rsidRPr="007F2727">
        <w:rPr>
          <w:rStyle w:val="FootnoteReference"/>
          <w:rFonts w:ascii="Arial" w:hAnsi="Arial" w:cs="Arial"/>
          <w:sz w:val="22"/>
        </w:rPr>
        <w:footnoteReference w:id="152"/>
      </w:r>
      <w:r w:rsidRPr="007F2727">
        <w:rPr>
          <w:rFonts w:ascii="Arial" w:hAnsi="Arial" w:cs="Arial"/>
          <w:sz w:val="22"/>
        </w:rPr>
        <w:t xml:space="preserve"> gave the court a right to consider whether the language of a statute was inconsistent with the European Convention on Human Rights 1950, section 3 was itself limited in use because of the use of the word ‘possible’. Section 3 reads: ‘So far as it is possible to do so, primary legislation must be read and given effect in a way which is compatible </w:t>
      </w:r>
      <w:r w:rsidRPr="007F2727">
        <w:rPr>
          <w:rFonts w:ascii="Arial" w:hAnsi="Arial" w:cs="Arial"/>
          <w:sz w:val="22"/>
        </w:rPr>
        <w:lastRenderedPageBreak/>
        <w:t>with Convention rights.’</w:t>
      </w:r>
      <w:r w:rsidRPr="007F2727">
        <w:rPr>
          <w:rStyle w:val="FootnoteReference"/>
          <w:rFonts w:ascii="Arial" w:hAnsi="Arial" w:cs="Arial"/>
          <w:sz w:val="22"/>
        </w:rPr>
        <w:footnoteReference w:id="153"/>
      </w:r>
      <w:r w:rsidRPr="007F2727">
        <w:rPr>
          <w:rFonts w:ascii="Arial" w:hAnsi="Arial" w:cs="Arial"/>
          <w:sz w:val="22"/>
        </w:rPr>
        <w:t xml:space="preserve"> Sir James </w:t>
      </w:r>
      <w:proofErr w:type="spellStart"/>
      <w:r w:rsidRPr="007F2727">
        <w:rPr>
          <w:rFonts w:ascii="Arial" w:hAnsi="Arial" w:cs="Arial"/>
          <w:sz w:val="22"/>
        </w:rPr>
        <w:t>Munby</w:t>
      </w:r>
      <w:proofErr w:type="spellEnd"/>
      <w:r w:rsidRPr="007F2727">
        <w:rPr>
          <w:rFonts w:ascii="Arial" w:hAnsi="Arial" w:cs="Arial"/>
          <w:sz w:val="22"/>
        </w:rPr>
        <w:t xml:space="preserve">, quoting authorities such as </w:t>
      </w:r>
      <w:proofErr w:type="spellStart"/>
      <w:r w:rsidRPr="007F2727">
        <w:rPr>
          <w:rFonts w:ascii="Arial" w:hAnsi="Arial" w:cs="Arial"/>
          <w:i/>
          <w:sz w:val="22"/>
        </w:rPr>
        <w:t>Ghaidan</w:t>
      </w:r>
      <w:proofErr w:type="spellEnd"/>
      <w:r w:rsidRPr="007F2727">
        <w:rPr>
          <w:rFonts w:ascii="Arial" w:hAnsi="Arial" w:cs="Arial"/>
          <w:i/>
          <w:sz w:val="22"/>
        </w:rPr>
        <w:t xml:space="preserve"> v Godin-Mendoza,</w:t>
      </w:r>
      <w:r w:rsidRPr="007F2727">
        <w:rPr>
          <w:rStyle w:val="FootnoteReference"/>
          <w:rFonts w:ascii="Arial" w:hAnsi="Arial" w:cs="Arial"/>
          <w:i/>
          <w:sz w:val="22"/>
        </w:rPr>
        <w:footnoteReference w:id="154"/>
      </w:r>
      <w:r w:rsidRPr="007F2727">
        <w:rPr>
          <w:rFonts w:ascii="Arial" w:hAnsi="Arial" w:cs="Arial"/>
          <w:sz w:val="22"/>
        </w:rPr>
        <w:t xml:space="preserve"> held that section 3 could not be used to interpret the language of the 2008 Act so as to adopt a meaning that was inconsistent with ‘a “fundamental feature”, a ‘cardinal” or ‘essential” principle of the legislation.’</w:t>
      </w:r>
      <w:r w:rsidRPr="007F2727">
        <w:rPr>
          <w:rStyle w:val="FootnoteReference"/>
          <w:rFonts w:ascii="Arial" w:hAnsi="Arial" w:cs="Arial"/>
          <w:sz w:val="22"/>
        </w:rPr>
        <w:footnoteReference w:id="155"/>
      </w:r>
      <w:r w:rsidRPr="007F2727">
        <w:rPr>
          <w:rFonts w:ascii="Arial" w:hAnsi="Arial" w:cs="Arial"/>
          <w:sz w:val="22"/>
        </w:rPr>
        <w:t xml:space="preserve"> However, he was careful to preserve and justify the opposite approach to reading down cases taken in Re </w:t>
      </w:r>
      <w:r w:rsidRPr="007F2727">
        <w:rPr>
          <w:rFonts w:ascii="Arial" w:hAnsi="Arial" w:cs="Arial"/>
          <w:i/>
          <w:sz w:val="22"/>
        </w:rPr>
        <w:t>X (A Child) (Surrogacy: Time Limit)</w:t>
      </w:r>
      <w:r w:rsidRPr="007F2727">
        <w:rPr>
          <w:rStyle w:val="FootnoteReference"/>
          <w:rFonts w:ascii="Arial" w:hAnsi="Arial" w:cs="Arial"/>
          <w:sz w:val="22"/>
        </w:rPr>
        <w:footnoteReference w:id="156"/>
      </w:r>
      <w:r w:rsidRPr="007F2727">
        <w:rPr>
          <w:rFonts w:ascii="Arial" w:hAnsi="Arial" w:cs="Arial"/>
          <w:sz w:val="22"/>
        </w:rPr>
        <w:t xml:space="preserve"> and </w:t>
      </w:r>
      <w:r w:rsidRPr="007F2727">
        <w:rPr>
          <w:rFonts w:ascii="Arial" w:hAnsi="Arial" w:cs="Arial"/>
          <w:i/>
          <w:sz w:val="22"/>
        </w:rPr>
        <w:t>A v P</w:t>
      </w:r>
      <w:r w:rsidRPr="007F2727">
        <w:rPr>
          <w:rStyle w:val="FootnoteReference"/>
          <w:rFonts w:ascii="Arial" w:hAnsi="Arial" w:cs="Arial"/>
          <w:sz w:val="22"/>
        </w:rPr>
        <w:footnoteReference w:id="157"/>
      </w:r>
      <w:r w:rsidRPr="007F2727">
        <w:rPr>
          <w:rFonts w:ascii="Arial" w:hAnsi="Arial" w:cs="Arial"/>
          <w:sz w:val="22"/>
        </w:rPr>
        <w:t xml:space="preserve"> by specifically stating at paragraph 40 of the judgment that it was still permissible to read down sections 54 (3)</w:t>
      </w:r>
      <w:r w:rsidRPr="007F2727">
        <w:rPr>
          <w:rStyle w:val="FootnoteReference"/>
          <w:rFonts w:ascii="Arial" w:hAnsi="Arial" w:cs="Arial"/>
          <w:sz w:val="22"/>
        </w:rPr>
        <w:footnoteReference w:id="158"/>
      </w:r>
      <w:r w:rsidRPr="007F2727">
        <w:rPr>
          <w:rFonts w:ascii="Arial" w:hAnsi="Arial" w:cs="Arial"/>
          <w:sz w:val="22"/>
        </w:rPr>
        <w:t xml:space="preserve"> and section 54 (4).</w:t>
      </w:r>
      <w:r w:rsidRPr="007F2727">
        <w:rPr>
          <w:rStyle w:val="FootnoteReference"/>
          <w:rFonts w:ascii="Arial" w:hAnsi="Arial" w:cs="Arial"/>
          <w:sz w:val="22"/>
        </w:rPr>
        <w:footnoteReference w:id="159"/>
      </w:r>
      <w:r w:rsidRPr="007F2727">
        <w:rPr>
          <w:rFonts w:ascii="Arial" w:hAnsi="Arial" w:cs="Arial"/>
          <w:sz w:val="22"/>
        </w:rPr>
        <w:t xml:space="preserve"> Those sections were not therefore considered ‘essential’ or ‘fundamental’ to the legislation on surrogacy.</w:t>
      </w:r>
    </w:p>
    <w:p w14:paraId="43EBFC36" w14:textId="77777777" w:rsidR="00621018" w:rsidRPr="007F2727" w:rsidRDefault="00621018" w:rsidP="00B43857">
      <w:pPr>
        <w:spacing w:line="480" w:lineRule="auto"/>
        <w:rPr>
          <w:rFonts w:ascii="Arial" w:hAnsi="Arial" w:cs="Arial"/>
          <w:sz w:val="22"/>
        </w:rPr>
      </w:pPr>
    </w:p>
    <w:p w14:paraId="4F378CD1" w14:textId="77777777" w:rsidR="00621018" w:rsidRPr="007F2727" w:rsidRDefault="00621018" w:rsidP="00B43857">
      <w:pPr>
        <w:spacing w:line="480" w:lineRule="auto"/>
        <w:rPr>
          <w:rFonts w:ascii="Arial" w:hAnsi="Arial" w:cs="Arial"/>
          <w:sz w:val="22"/>
        </w:rPr>
      </w:pPr>
      <w:r w:rsidRPr="007F2727">
        <w:rPr>
          <w:rFonts w:ascii="Arial" w:hAnsi="Arial" w:cs="Arial"/>
          <w:sz w:val="22"/>
        </w:rPr>
        <w:t xml:space="preserve">Despite succumbing to the rigidity of the language of section 54, it is clear that Sir James </w:t>
      </w:r>
      <w:proofErr w:type="spellStart"/>
      <w:r w:rsidRPr="007F2727">
        <w:rPr>
          <w:rFonts w:ascii="Arial" w:hAnsi="Arial" w:cs="Arial"/>
          <w:sz w:val="22"/>
        </w:rPr>
        <w:t>Munby</w:t>
      </w:r>
      <w:proofErr w:type="spellEnd"/>
      <w:r w:rsidRPr="007F2727">
        <w:rPr>
          <w:rFonts w:ascii="Arial" w:hAnsi="Arial" w:cs="Arial"/>
          <w:sz w:val="22"/>
        </w:rPr>
        <w:t xml:space="preserve"> in </w:t>
      </w:r>
      <w:r w:rsidRPr="007F2727">
        <w:rPr>
          <w:rFonts w:ascii="Arial" w:hAnsi="Arial" w:cs="Arial"/>
          <w:i/>
          <w:sz w:val="22"/>
        </w:rPr>
        <w:t>Re Z</w:t>
      </w:r>
      <w:r w:rsidRPr="007F2727">
        <w:rPr>
          <w:rStyle w:val="FootnoteReference"/>
          <w:rFonts w:ascii="Arial" w:hAnsi="Arial" w:cs="Arial"/>
          <w:i/>
          <w:sz w:val="22"/>
        </w:rPr>
        <w:footnoteReference w:id="160"/>
      </w:r>
      <w:r w:rsidRPr="007F2727">
        <w:rPr>
          <w:rFonts w:ascii="Arial" w:hAnsi="Arial" w:cs="Arial"/>
          <w:sz w:val="22"/>
        </w:rPr>
        <w:t xml:space="preserve"> felt uncomfortable interpreting the law in a purely lexical semantic way for this case by considering the meaning of section 54 (3) and its relationship to the meaning of language used in the parliamentary debates. This is shown by the final paragraph of the judgment, which is essentially a call for the applicant’s lawyers to make a further application before him purely on the question of the incompatibility of section 54 with Articles 8, 12 and 14 of the European Convention on Human Rights.</w:t>
      </w:r>
      <w:r w:rsidRPr="007F2727">
        <w:rPr>
          <w:rStyle w:val="FootnoteReference"/>
          <w:rFonts w:ascii="Arial" w:hAnsi="Arial" w:cs="Arial"/>
          <w:sz w:val="22"/>
        </w:rPr>
        <w:footnoteReference w:id="161"/>
      </w:r>
      <w:r w:rsidRPr="007F2727">
        <w:rPr>
          <w:rFonts w:ascii="Arial" w:hAnsi="Arial" w:cs="Arial"/>
          <w:sz w:val="22"/>
        </w:rPr>
        <w:t xml:space="preserve"> The matter thus came before Sir James </w:t>
      </w:r>
      <w:proofErr w:type="spellStart"/>
      <w:r w:rsidRPr="007F2727">
        <w:rPr>
          <w:rFonts w:ascii="Arial" w:hAnsi="Arial" w:cs="Arial"/>
          <w:sz w:val="22"/>
        </w:rPr>
        <w:t>Munby</w:t>
      </w:r>
      <w:proofErr w:type="spellEnd"/>
      <w:r w:rsidRPr="007F2727">
        <w:rPr>
          <w:rFonts w:ascii="Arial" w:hAnsi="Arial" w:cs="Arial"/>
          <w:sz w:val="22"/>
        </w:rPr>
        <w:t xml:space="preserve"> once again as </w:t>
      </w:r>
      <w:r w:rsidRPr="007F2727">
        <w:rPr>
          <w:rFonts w:ascii="Arial" w:hAnsi="Arial" w:cs="Arial"/>
          <w:i/>
          <w:sz w:val="22"/>
        </w:rPr>
        <w:t>Re Z (A Child) (No.2)</w:t>
      </w:r>
      <w:r w:rsidRPr="007F2727">
        <w:rPr>
          <w:rStyle w:val="FootnoteReference"/>
          <w:rFonts w:ascii="Arial" w:hAnsi="Arial" w:cs="Arial"/>
          <w:i/>
          <w:sz w:val="22"/>
        </w:rPr>
        <w:footnoteReference w:id="162"/>
      </w:r>
      <w:r w:rsidRPr="007F2727">
        <w:rPr>
          <w:rFonts w:ascii="Arial" w:hAnsi="Arial" w:cs="Arial"/>
          <w:sz w:val="22"/>
        </w:rPr>
        <w:t xml:space="preserve">at which time the court was prepared to make </w:t>
      </w:r>
      <w:r w:rsidRPr="007F2727">
        <w:rPr>
          <w:rFonts w:ascii="Arial" w:hAnsi="Arial" w:cs="Arial"/>
          <w:sz w:val="22"/>
        </w:rPr>
        <w:lastRenderedPageBreak/>
        <w:t>a declaration that section 54 (2) was incompatible with the European Convention on Human Rights.</w:t>
      </w:r>
      <w:r w:rsidRPr="007F2727">
        <w:rPr>
          <w:rStyle w:val="FootnoteReference"/>
          <w:rFonts w:ascii="Arial" w:hAnsi="Arial" w:cs="Arial"/>
          <w:sz w:val="22"/>
        </w:rPr>
        <w:footnoteReference w:id="163"/>
      </w:r>
      <w:r w:rsidRPr="007F2727">
        <w:rPr>
          <w:rFonts w:ascii="Arial" w:hAnsi="Arial" w:cs="Arial"/>
          <w:sz w:val="22"/>
        </w:rPr>
        <w:t xml:space="preserve"> </w:t>
      </w:r>
    </w:p>
    <w:p w14:paraId="212208AB" w14:textId="77777777" w:rsidR="00621018" w:rsidRPr="007F2727" w:rsidRDefault="00621018" w:rsidP="00B43857">
      <w:pPr>
        <w:spacing w:line="480" w:lineRule="auto"/>
        <w:rPr>
          <w:rFonts w:ascii="Arial" w:hAnsi="Arial" w:cs="Arial"/>
          <w:sz w:val="22"/>
        </w:rPr>
      </w:pPr>
    </w:p>
    <w:p w14:paraId="31B33A53" w14:textId="2BA8BC49" w:rsidR="00621018" w:rsidRPr="007F2727" w:rsidRDefault="00621018" w:rsidP="00B43857">
      <w:pPr>
        <w:spacing w:line="480" w:lineRule="auto"/>
        <w:rPr>
          <w:rFonts w:ascii="Arial" w:hAnsi="Arial" w:cs="Arial"/>
          <w:sz w:val="22"/>
        </w:rPr>
      </w:pPr>
      <w:r w:rsidRPr="007F2727">
        <w:rPr>
          <w:rFonts w:ascii="Arial" w:hAnsi="Arial" w:cs="Arial"/>
          <w:sz w:val="22"/>
        </w:rPr>
        <w:t>Adopting a rights based approach has moved the courts one step further towards dismantling section 54 of the 2008 Act</w:t>
      </w:r>
      <w:r w:rsidRPr="007F2727">
        <w:rPr>
          <w:rStyle w:val="FootnoteReference"/>
          <w:rFonts w:ascii="Arial" w:hAnsi="Arial" w:cs="Arial"/>
          <w:sz w:val="22"/>
        </w:rPr>
        <w:footnoteReference w:id="164"/>
      </w:r>
      <w:r w:rsidRPr="007F2727">
        <w:rPr>
          <w:rFonts w:ascii="Arial" w:hAnsi="Arial" w:cs="Arial"/>
          <w:sz w:val="22"/>
        </w:rPr>
        <w:t xml:space="preserve"> altogether. The key cases of </w:t>
      </w:r>
      <w:r w:rsidRPr="007F2727">
        <w:rPr>
          <w:rFonts w:ascii="Arial" w:hAnsi="Arial" w:cs="Arial"/>
          <w:i/>
          <w:sz w:val="22"/>
        </w:rPr>
        <w:t>Re X (A Child) (Surrogacy: Time Limit),</w:t>
      </w:r>
      <w:r w:rsidRPr="007F2727">
        <w:rPr>
          <w:rStyle w:val="FootnoteReference"/>
          <w:rFonts w:ascii="Arial" w:hAnsi="Arial" w:cs="Arial"/>
          <w:i/>
          <w:sz w:val="22"/>
        </w:rPr>
        <w:footnoteReference w:id="165"/>
      </w:r>
      <w:r w:rsidRPr="007F2727">
        <w:rPr>
          <w:rFonts w:ascii="Arial" w:hAnsi="Arial" w:cs="Arial"/>
          <w:i/>
          <w:sz w:val="22"/>
        </w:rPr>
        <w:t xml:space="preserve"> </w:t>
      </w:r>
      <w:r w:rsidRPr="007F2727">
        <w:rPr>
          <w:rFonts w:ascii="Arial" w:hAnsi="Arial" w:cs="Arial"/>
          <w:i/>
          <w:sz w:val="22"/>
          <w:lang w:val="en-US"/>
        </w:rPr>
        <w:t>A v P,</w:t>
      </w:r>
      <w:r w:rsidRPr="007F2727">
        <w:rPr>
          <w:rStyle w:val="FootnoteReference"/>
          <w:rFonts w:ascii="Arial" w:hAnsi="Arial" w:cs="Arial"/>
          <w:i/>
          <w:sz w:val="22"/>
          <w:lang w:val="en-US"/>
        </w:rPr>
        <w:footnoteReference w:id="166"/>
      </w:r>
      <w:r w:rsidRPr="007F2727">
        <w:rPr>
          <w:rFonts w:ascii="Arial" w:hAnsi="Arial" w:cs="Arial"/>
          <w:i/>
          <w:sz w:val="22"/>
          <w:lang w:val="en-US"/>
        </w:rPr>
        <w:t xml:space="preserve"> </w:t>
      </w:r>
      <w:r w:rsidRPr="007F2727">
        <w:rPr>
          <w:rFonts w:ascii="Arial" w:hAnsi="Arial" w:cs="Arial"/>
          <w:i/>
          <w:sz w:val="22"/>
        </w:rPr>
        <w:t xml:space="preserve">Re Z (A Child: Human Fertilisation and Embryology Act: Parental Order) </w:t>
      </w:r>
      <w:r w:rsidRPr="007F2727">
        <w:rPr>
          <w:rFonts w:ascii="Arial" w:hAnsi="Arial" w:cs="Arial"/>
          <w:sz w:val="22"/>
          <w:lang w:val="en-US"/>
        </w:rPr>
        <w:t xml:space="preserve">and </w:t>
      </w:r>
      <w:r w:rsidRPr="007F2727">
        <w:rPr>
          <w:rFonts w:ascii="Arial" w:hAnsi="Arial" w:cs="Arial"/>
          <w:i/>
          <w:sz w:val="22"/>
        </w:rPr>
        <w:t>Re Z (A Child) (No.2)</w:t>
      </w:r>
      <w:r w:rsidRPr="007F2727">
        <w:rPr>
          <w:rStyle w:val="FootnoteReference"/>
          <w:rFonts w:ascii="Arial" w:hAnsi="Arial" w:cs="Arial"/>
          <w:i/>
          <w:sz w:val="22"/>
        </w:rPr>
        <w:footnoteReference w:id="167"/>
      </w:r>
      <w:r w:rsidRPr="007F2727">
        <w:rPr>
          <w:rFonts w:ascii="Arial" w:hAnsi="Arial" w:cs="Arial"/>
          <w:i/>
          <w:sz w:val="22"/>
        </w:rPr>
        <w:t xml:space="preserve"> and DM and LK </w:t>
      </w:r>
      <w:r w:rsidRPr="007F2727">
        <w:rPr>
          <w:rStyle w:val="FootnoteReference"/>
          <w:rFonts w:ascii="Arial" w:hAnsi="Arial" w:cs="Arial"/>
          <w:i/>
          <w:sz w:val="22"/>
        </w:rPr>
        <w:footnoteReference w:id="168"/>
      </w:r>
      <w:r w:rsidRPr="007F2727">
        <w:rPr>
          <w:rFonts w:ascii="Arial" w:hAnsi="Arial" w:cs="Arial"/>
          <w:i/>
          <w:sz w:val="22"/>
        </w:rPr>
        <w:t xml:space="preserve"> </w:t>
      </w:r>
      <w:r w:rsidRPr="007F2727">
        <w:rPr>
          <w:rFonts w:ascii="Arial" w:hAnsi="Arial" w:cs="Arial"/>
          <w:sz w:val="22"/>
        </w:rPr>
        <w:t xml:space="preserve">demonstrate a normative approach to statutory interpretation that is perhaps affected by the sympathies of key members of the judiciary towards international surrogacy despite the recognised risks that it exposes the parties to. Such cases also highlight how the reported experiences of commissioning couples </w:t>
      </w:r>
      <w:r w:rsidR="00D47EBF">
        <w:rPr>
          <w:rFonts w:ascii="Arial" w:hAnsi="Arial" w:cs="Arial"/>
          <w:sz w:val="22"/>
        </w:rPr>
        <w:t xml:space="preserve">have perhaps </w:t>
      </w:r>
      <w:r w:rsidRPr="007F2727">
        <w:rPr>
          <w:rFonts w:ascii="Arial" w:hAnsi="Arial" w:cs="Arial"/>
          <w:sz w:val="22"/>
        </w:rPr>
        <w:t>caused</w:t>
      </w:r>
      <w:r w:rsidR="00D47EBF">
        <w:rPr>
          <w:rFonts w:ascii="Arial" w:hAnsi="Arial" w:cs="Arial"/>
          <w:sz w:val="22"/>
        </w:rPr>
        <w:t xml:space="preserve"> or contributed to</w:t>
      </w:r>
      <w:r w:rsidRPr="007F2727">
        <w:rPr>
          <w:rFonts w:ascii="Arial" w:hAnsi="Arial" w:cs="Arial"/>
          <w:sz w:val="22"/>
        </w:rPr>
        <w:t xml:space="preserve"> a shift in messaging from warnings about international surrogacy to an acceptance of the importance of </w:t>
      </w:r>
      <w:r w:rsidR="001375C3">
        <w:rPr>
          <w:rFonts w:ascii="Arial" w:hAnsi="Arial" w:cs="Arial"/>
          <w:sz w:val="22"/>
        </w:rPr>
        <w:t xml:space="preserve">legally </w:t>
      </w:r>
      <w:r w:rsidRPr="007F2727">
        <w:rPr>
          <w:rFonts w:ascii="Arial" w:hAnsi="Arial" w:cs="Arial"/>
          <w:sz w:val="22"/>
        </w:rPr>
        <w:t>connecting an already finished family to ensure identity for the child.</w:t>
      </w:r>
    </w:p>
    <w:p w14:paraId="43D15074" w14:textId="77777777" w:rsidR="00314D2A" w:rsidRPr="007F2727" w:rsidRDefault="00314D2A" w:rsidP="00B43857">
      <w:pPr>
        <w:spacing w:line="480" w:lineRule="auto"/>
        <w:rPr>
          <w:rFonts w:ascii="Arial" w:hAnsi="Arial" w:cs="Arial"/>
          <w:sz w:val="22"/>
        </w:rPr>
      </w:pPr>
    </w:p>
    <w:p w14:paraId="500844DC" w14:textId="034C026F" w:rsidR="00112A46" w:rsidRPr="007F2727" w:rsidRDefault="00112A46" w:rsidP="00B43857">
      <w:pPr>
        <w:spacing w:line="480" w:lineRule="auto"/>
        <w:rPr>
          <w:rFonts w:ascii="Arial" w:hAnsi="Arial" w:cs="Arial"/>
          <w:sz w:val="22"/>
        </w:rPr>
      </w:pPr>
      <w:r w:rsidRPr="007F2727">
        <w:rPr>
          <w:rFonts w:ascii="Arial" w:hAnsi="Arial" w:cs="Arial"/>
          <w:sz w:val="22"/>
        </w:rPr>
        <w:t xml:space="preserve">Thus collaboration in language between the actors (the commissioning couple) and the expert system (the judiciary and the PORs) </w:t>
      </w:r>
      <w:r w:rsidR="00D47EBF">
        <w:rPr>
          <w:rFonts w:ascii="Arial" w:hAnsi="Arial" w:cs="Arial"/>
          <w:sz w:val="22"/>
        </w:rPr>
        <w:t xml:space="preserve">appears to have </w:t>
      </w:r>
      <w:r w:rsidRPr="007F2727">
        <w:rPr>
          <w:rFonts w:ascii="Arial" w:hAnsi="Arial" w:cs="Arial"/>
          <w:sz w:val="22"/>
        </w:rPr>
        <w:t>helped to reframe international surrogacy as an acceptable method of family formation.</w:t>
      </w:r>
    </w:p>
    <w:p w14:paraId="68469A24" w14:textId="77777777" w:rsidR="00112A46" w:rsidRPr="007F2727" w:rsidRDefault="00112A46" w:rsidP="00B43857">
      <w:pPr>
        <w:spacing w:line="480" w:lineRule="auto"/>
        <w:rPr>
          <w:rFonts w:ascii="Arial" w:hAnsi="Arial" w:cs="Arial"/>
          <w:sz w:val="22"/>
        </w:rPr>
      </w:pPr>
    </w:p>
    <w:p w14:paraId="77943855" w14:textId="77777777" w:rsidR="00A150CF" w:rsidRPr="007F2727" w:rsidRDefault="00B3121D" w:rsidP="00387415">
      <w:pPr>
        <w:spacing w:line="480" w:lineRule="auto"/>
        <w:rPr>
          <w:rFonts w:ascii="Arial" w:hAnsi="Arial" w:cs="Arial"/>
          <w:b/>
          <w:sz w:val="22"/>
        </w:rPr>
      </w:pPr>
      <w:r w:rsidRPr="007F2727">
        <w:rPr>
          <w:rFonts w:ascii="Arial" w:hAnsi="Arial" w:cs="Arial"/>
          <w:b/>
          <w:sz w:val="22"/>
        </w:rPr>
        <w:t>Co</w:t>
      </w:r>
      <w:r w:rsidR="00145F3D" w:rsidRPr="007F2727">
        <w:rPr>
          <w:rFonts w:ascii="Arial" w:hAnsi="Arial" w:cs="Arial"/>
          <w:b/>
          <w:sz w:val="22"/>
        </w:rPr>
        <w:t>n</w:t>
      </w:r>
      <w:r w:rsidRPr="007F2727">
        <w:rPr>
          <w:rFonts w:ascii="Arial" w:hAnsi="Arial" w:cs="Arial"/>
          <w:b/>
          <w:sz w:val="22"/>
        </w:rPr>
        <w:t>clusion</w:t>
      </w:r>
    </w:p>
    <w:p w14:paraId="0C420C3E" w14:textId="4E661B8A" w:rsidR="00A150CF" w:rsidRPr="007F2727" w:rsidRDefault="00057E8D" w:rsidP="00A150CF">
      <w:pPr>
        <w:spacing w:line="480" w:lineRule="auto"/>
        <w:rPr>
          <w:rFonts w:ascii="Arial" w:hAnsi="Arial" w:cs="Arial"/>
          <w:sz w:val="22"/>
        </w:rPr>
      </w:pPr>
      <w:r>
        <w:rPr>
          <w:rFonts w:ascii="Arial" w:hAnsi="Arial" w:cs="Arial"/>
          <w:sz w:val="22"/>
        </w:rPr>
        <w:t>This study suggests that l</w:t>
      </w:r>
      <w:r w:rsidR="00A150CF" w:rsidRPr="007F2727">
        <w:rPr>
          <w:rFonts w:ascii="Arial" w:hAnsi="Arial" w:cs="Arial"/>
          <w:sz w:val="22"/>
        </w:rPr>
        <w:t xml:space="preserve">anguage became a way to affect change </w:t>
      </w:r>
      <w:r w:rsidR="00DC6080" w:rsidRPr="007F2727">
        <w:rPr>
          <w:rFonts w:ascii="Arial" w:hAnsi="Arial" w:cs="Arial"/>
          <w:sz w:val="22"/>
        </w:rPr>
        <w:t xml:space="preserve">by </w:t>
      </w:r>
      <w:r w:rsidR="00301D31" w:rsidRPr="007F2727">
        <w:rPr>
          <w:rFonts w:ascii="Arial" w:hAnsi="Arial" w:cs="Arial"/>
          <w:sz w:val="22"/>
        </w:rPr>
        <w:t>permeating</w:t>
      </w:r>
      <w:r w:rsidR="00A150CF" w:rsidRPr="007F2727">
        <w:rPr>
          <w:rFonts w:ascii="Arial" w:hAnsi="Arial" w:cs="Arial"/>
          <w:sz w:val="22"/>
        </w:rPr>
        <w:t xml:space="preserve"> judicial attitudes to international surrogacy</w:t>
      </w:r>
      <w:r w:rsidR="00301D31" w:rsidRPr="007F2727">
        <w:rPr>
          <w:rFonts w:ascii="Arial" w:hAnsi="Arial" w:cs="Arial"/>
          <w:sz w:val="22"/>
        </w:rPr>
        <w:t xml:space="preserve"> through the use of emotive metaphors and other emotive signifiers</w:t>
      </w:r>
      <w:r w:rsidR="00ED6943" w:rsidRPr="007F2727">
        <w:rPr>
          <w:rFonts w:ascii="Arial" w:hAnsi="Arial" w:cs="Arial"/>
          <w:sz w:val="22"/>
        </w:rPr>
        <w:t xml:space="preserve">. </w:t>
      </w:r>
      <w:r>
        <w:rPr>
          <w:rFonts w:ascii="Arial" w:hAnsi="Arial" w:cs="Arial"/>
          <w:sz w:val="22"/>
        </w:rPr>
        <w:t>It is argued that t</w:t>
      </w:r>
      <w:r w:rsidR="00ED6943" w:rsidRPr="007F2727">
        <w:rPr>
          <w:rFonts w:ascii="Arial" w:hAnsi="Arial" w:cs="Arial"/>
          <w:sz w:val="22"/>
        </w:rPr>
        <w:t>his in turn led to a change in</w:t>
      </w:r>
      <w:r w:rsidR="00DC6080" w:rsidRPr="007F2727">
        <w:rPr>
          <w:rFonts w:ascii="Arial" w:hAnsi="Arial" w:cs="Arial"/>
          <w:sz w:val="22"/>
        </w:rPr>
        <w:t xml:space="preserve"> judicial policy </w:t>
      </w:r>
      <w:r w:rsidR="00DC6080" w:rsidRPr="007F2727">
        <w:rPr>
          <w:rFonts w:ascii="Arial" w:hAnsi="Arial" w:cs="Arial"/>
          <w:sz w:val="22"/>
        </w:rPr>
        <w:lastRenderedPageBreak/>
        <w:t>carved through a redefinition of section 54 of the 2008 Act</w:t>
      </w:r>
      <w:r w:rsidR="00A150CF" w:rsidRPr="007F2727">
        <w:rPr>
          <w:rFonts w:ascii="Arial" w:hAnsi="Arial" w:cs="Arial"/>
          <w:sz w:val="22"/>
        </w:rPr>
        <w:t>. The transformative language</w:t>
      </w:r>
      <w:r w:rsidR="00301D31" w:rsidRPr="007F2727">
        <w:rPr>
          <w:rFonts w:ascii="Arial" w:hAnsi="Arial" w:cs="Arial"/>
          <w:sz w:val="22"/>
        </w:rPr>
        <w:t xml:space="preserve"> of the commissioning couples’ accounts</w:t>
      </w:r>
      <w:r w:rsidR="00A150CF" w:rsidRPr="007F2727">
        <w:rPr>
          <w:rFonts w:ascii="Arial" w:hAnsi="Arial" w:cs="Arial"/>
          <w:sz w:val="22"/>
        </w:rPr>
        <w:t xml:space="preserve"> </w:t>
      </w:r>
      <w:r w:rsidR="00A150CF" w:rsidRPr="007F2727">
        <w:rPr>
          <w:rFonts w:ascii="Arial" w:hAnsi="Arial"/>
          <w:sz w:val="22"/>
        </w:rPr>
        <w:t>acted as a conduit to af</w:t>
      </w:r>
      <w:r w:rsidR="00DC6080" w:rsidRPr="007F2727">
        <w:rPr>
          <w:rFonts w:ascii="Arial" w:hAnsi="Arial"/>
          <w:sz w:val="22"/>
        </w:rPr>
        <w:t>fect the parental order process by</w:t>
      </w:r>
      <w:r w:rsidR="00A150CF" w:rsidRPr="007F2727">
        <w:rPr>
          <w:rFonts w:ascii="Arial" w:hAnsi="Arial"/>
          <w:sz w:val="22"/>
        </w:rPr>
        <w:t xml:space="preserve"> experiential osmosis. The judiciary responded with an orient-focused approach to the 2008 Act and key parts of section 54 were re-interpreted by the judiciary </w:t>
      </w:r>
      <w:r w:rsidR="00A150CF" w:rsidRPr="007F2727">
        <w:rPr>
          <w:rFonts w:ascii="Arial" w:hAnsi="Arial" w:cs="Arial"/>
          <w:sz w:val="22"/>
        </w:rPr>
        <w:t xml:space="preserve">in a responsive approach to decision-making. This in turn was driven not just by the welfare of the child but also by a genuine concern for family formation and family unification to achieve </w:t>
      </w:r>
      <w:r w:rsidR="00301D31" w:rsidRPr="007F2727">
        <w:rPr>
          <w:rFonts w:ascii="Arial" w:hAnsi="Arial" w:cs="Arial"/>
          <w:sz w:val="22"/>
        </w:rPr>
        <w:t xml:space="preserve">family </w:t>
      </w:r>
      <w:r w:rsidR="00A150CF" w:rsidRPr="007F2727">
        <w:rPr>
          <w:rFonts w:ascii="Arial" w:hAnsi="Arial" w:cs="Arial"/>
          <w:sz w:val="22"/>
        </w:rPr>
        <w:t xml:space="preserve">identity for the child. </w:t>
      </w:r>
    </w:p>
    <w:p w14:paraId="5CDC67A2" w14:textId="77777777" w:rsidR="00A150CF" w:rsidRPr="007F2727" w:rsidRDefault="00A150CF" w:rsidP="00884C26">
      <w:pPr>
        <w:spacing w:line="480" w:lineRule="auto"/>
        <w:rPr>
          <w:rFonts w:ascii="Arial" w:hAnsi="Arial" w:cs="Arial"/>
          <w:b/>
          <w:sz w:val="22"/>
        </w:rPr>
      </w:pPr>
    </w:p>
    <w:p w14:paraId="0E80AC23" w14:textId="3E3B4E5B" w:rsidR="008B25B9" w:rsidRPr="007F2727" w:rsidRDefault="00A150CF" w:rsidP="008B25B9">
      <w:pPr>
        <w:spacing w:line="480" w:lineRule="auto"/>
        <w:rPr>
          <w:rFonts w:ascii="Arial" w:hAnsi="Arial" w:cs="Arial"/>
          <w:sz w:val="22"/>
        </w:rPr>
      </w:pPr>
      <w:r w:rsidRPr="007F2727">
        <w:rPr>
          <w:rFonts w:ascii="Arial" w:hAnsi="Arial"/>
          <w:sz w:val="22"/>
        </w:rPr>
        <w:t>The witness statements of commissioning couples played an important role as a window through which the judiciary could view the reality of the practice of international surrogacy</w:t>
      </w:r>
      <w:r w:rsidR="00112A46" w:rsidRPr="007F2727">
        <w:rPr>
          <w:rFonts w:ascii="Arial" w:hAnsi="Arial"/>
          <w:sz w:val="22"/>
        </w:rPr>
        <w:t>.</w:t>
      </w:r>
      <w:r w:rsidRPr="007F2727">
        <w:rPr>
          <w:rFonts w:ascii="Arial" w:hAnsi="Arial"/>
          <w:sz w:val="22"/>
        </w:rPr>
        <w:t xml:space="preserve"> </w:t>
      </w:r>
      <w:r w:rsidR="00112A46" w:rsidRPr="007F2727">
        <w:rPr>
          <w:rFonts w:ascii="Arial" w:hAnsi="Arial"/>
          <w:sz w:val="22"/>
        </w:rPr>
        <w:t>T</w:t>
      </w:r>
      <w:r w:rsidRPr="007F2727">
        <w:rPr>
          <w:rFonts w:ascii="Arial" w:hAnsi="Arial"/>
          <w:sz w:val="22"/>
        </w:rPr>
        <w:t>hrough their stories new issues arrived for resolution and a family-focused approach enabled the courts to justify by-passing some of the perceived harshness of section 54</w:t>
      </w:r>
      <w:r w:rsidR="00ED6943" w:rsidRPr="007F2727">
        <w:rPr>
          <w:rFonts w:ascii="Arial" w:hAnsi="Arial"/>
          <w:sz w:val="22"/>
        </w:rPr>
        <w:t xml:space="preserve"> of the 2008 Act</w:t>
      </w:r>
      <w:r w:rsidRPr="007F2727">
        <w:rPr>
          <w:rFonts w:ascii="Arial" w:hAnsi="Arial"/>
          <w:sz w:val="22"/>
        </w:rPr>
        <w:t xml:space="preserve"> </w:t>
      </w:r>
      <w:r w:rsidRPr="007F2727">
        <w:rPr>
          <w:rFonts w:ascii="Arial" w:hAnsi="Arial" w:cs="Arial"/>
          <w:sz w:val="22"/>
        </w:rPr>
        <w:t xml:space="preserve">with its notional boundaries to the </w:t>
      </w:r>
      <w:r w:rsidR="00DC6080" w:rsidRPr="007F2727">
        <w:rPr>
          <w:rFonts w:ascii="Arial" w:hAnsi="Arial" w:cs="Arial"/>
          <w:sz w:val="22"/>
        </w:rPr>
        <w:t>acquisition of parentage title for commissioning couples</w:t>
      </w:r>
      <w:r w:rsidRPr="007F2727">
        <w:rPr>
          <w:rFonts w:ascii="Arial" w:hAnsi="Arial" w:cs="Arial"/>
          <w:sz w:val="22"/>
        </w:rPr>
        <w:t>. This was achieved through the use of statutory interpretation applying both linguistic and non-linguistic approaches as befitted the outcome the courts wanted to achieve. Therefore</w:t>
      </w:r>
      <w:r w:rsidR="001375C3">
        <w:rPr>
          <w:rFonts w:ascii="Arial" w:hAnsi="Arial" w:cs="Arial"/>
          <w:sz w:val="22"/>
        </w:rPr>
        <w:t>,</w:t>
      </w:r>
      <w:r w:rsidRPr="007F2727">
        <w:rPr>
          <w:rFonts w:ascii="Arial" w:hAnsi="Arial" w:cs="Arial"/>
          <w:sz w:val="22"/>
        </w:rPr>
        <w:t xml:space="preserve"> </w:t>
      </w:r>
      <w:r w:rsidR="00057E8D">
        <w:rPr>
          <w:rFonts w:ascii="Arial" w:hAnsi="Arial" w:cs="Arial"/>
          <w:sz w:val="22"/>
        </w:rPr>
        <w:t xml:space="preserve">it is suggested that </w:t>
      </w:r>
      <w:r w:rsidRPr="007F2727">
        <w:rPr>
          <w:rFonts w:ascii="Arial" w:hAnsi="Arial" w:cs="Arial"/>
          <w:sz w:val="22"/>
        </w:rPr>
        <w:t>as well as being a means to legal parenthood, parental order applications also became a means to impart new information about non-traditional parentage processes, legal identities and kinships to the judiciary. This knowledge was then reformulated by the judiciary into a risk versus rights discourse intended to be disseminated to lay participants and experts alike. T</w:t>
      </w:r>
      <w:r w:rsidR="008B25B9" w:rsidRPr="007F2727">
        <w:rPr>
          <w:rFonts w:ascii="Arial" w:hAnsi="Arial" w:cs="Arial"/>
          <w:sz w:val="22"/>
        </w:rPr>
        <w:t>he sensory metaphors</w:t>
      </w:r>
      <w:r w:rsidRPr="007F2727">
        <w:rPr>
          <w:rFonts w:ascii="Arial" w:hAnsi="Arial" w:cs="Arial"/>
          <w:sz w:val="22"/>
        </w:rPr>
        <w:t xml:space="preserve"> gave way to</w:t>
      </w:r>
      <w:r w:rsidR="00DC6080" w:rsidRPr="007F2727">
        <w:rPr>
          <w:rFonts w:ascii="Arial" w:hAnsi="Arial" w:cs="Arial"/>
          <w:sz w:val="22"/>
        </w:rPr>
        <w:t xml:space="preserve"> a new outlook</w:t>
      </w:r>
      <w:r w:rsidR="008B25B9" w:rsidRPr="007F2727">
        <w:rPr>
          <w:rFonts w:ascii="Arial" w:hAnsi="Arial" w:cs="Arial"/>
          <w:sz w:val="22"/>
        </w:rPr>
        <w:t xml:space="preserve"> </w:t>
      </w:r>
      <w:r w:rsidR="00DC6080" w:rsidRPr="007F2727">
        <w:rPr>
          <w:rFonts w:ascii="Arial" w:hAnsi="Arial" w:cs="Arial"/>
          <w:sz w:val="22"/>
        </w:rPr>
        <w:t xml:space="preserve">on the identity of a child, one that was inextricably linked to their settled family unit. </w:t>
      </w:r>
    </w:p>
    <w:p w14:paraId="79587EF9" w14:textId="77777777" w:rsidR="00A150CF" w:rsidRPr="007F2727" w:rsidRDefault="00A150CF" w:rsidP="00DC6080">
      <w:pPr>
        <w:spacing w:line="480" w:lineRule="auto"/>
        <w:rPr>
          <w:rFonts w:ascii="Arial" w:hAnsi="Arial" w:cs="Arial"/>
          <w:bCs/>
          <w:sz w:val="22"/>
        </w:rPr>
      </w:pPr>
    </w:p>
    <w:p w14:paraId="530C0281" w14:textId="77777777" w:rsidR="000352DD" w:rsidRPr="007F2727" w:rsidRDefault="000352DD" w:rsidP="00884C26">
      <w:pPr>
        <w:spacing w:line="480" w:lineRule="auto"/>
        <w:rPr>
          <w:rFonts w:ascii="Arial" w:hAnsi="Arial" w:cs="Arial"/>
          <w:bCs/>
          <w:sz w:val="22"/>
        </w:rPr>
      </w:pPr>
    </w:p>
    <w:sectPr w:rsidR="000352DD" w:rsidRPr="007F2727" w:rsidSect="00C13039">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51471" w14:textId="77777777" w:rsidR="00D47EBF" w:rsidRDefault="00D47EBF" w:rsidP="009467B8">
      <w:r>
        <w:separator/>
      </w:r>
    </w:p>
  </w:endnote>
  <w:endnote w:type="continuationSeparator" w:id="0">
    <w:p w14:paraId="31A91429" w14:textId="77777777" w:rsidR="00D47EBF" w:rsidRDefault="00D47EBF" w:rsidP="0094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2A87" w:usb1="80000000" w:usb2="00000008" w:usb3="00000000" w:csb0="000001FF" w:csb1="00000000"/>
  </w:font>
  <w:font w:name="Segoe UI">
    <w:altName w:val="Arial"/>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84E6" w14:textId="77777777" w:rsidR="00D47EBF" w:rsidRDefault="00D47EBF" w:rsidP="007D2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F616B" w14:textId="77777777" w:rsidR="00D47EBF" w:rsidRDefault="00D47E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2D27" w14:textId="77777777" w:rsidR="00D47EBF" w:rsidRDefault="00D47EBF" w:rsidP="007D2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537">
      <w:rPr>
        <w:rStyle w:val="PageNumber"/>
        <w:noProof/>
      </w:rPr>
      <w:t>1</w:t>
    </w:r>
    <w:r>
      <w:rPr>
        <w:rStyle w:val="PageNumber"/>
      </w:rPr>
      <w:fldChar w:fldCharType="end"/>
    </w:r>
  </w:p>
  <w:p w14:paraId="04E3144D" w14:textId="77777777" w:rsidR="00D47EBF" w:rsidRDefault="00D47E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CFC43" w14:textId="77777777" w:rsidR="00D47EBF" w:rsidRDefault="00D47EBF" w:rsidP="009467B8">
      <w:r>
        <w:separator/>
      </w:r>
    </w:p>
  </w:footnote>
  <w:footnote w:type="continuationSeparator" w:id="0">
    <w:p w14:paraId="0440ACE9" w14:textId="77777777" w:rsidR="00D47EBF" w:rsidRDefault="00D47EBF" w:rsidP="009467B8">
      <w:r>
        <w:continuationSeparator/>
      </w:r>
    </w:p>
  </w:footnote>
  <w:footnote w:id="1">
    <w:p w14:paraId="12D2DBC9" w14:textId="77777777" w:rsidR="00D47EBF" w:rsidRPr="00EE0835" w:rsidRDefault="00D47EBF">
      <w:pPr>
        <w:pStyle w:val="FootnoteText"/>
        <w:rPr>
          <w:lang w:val="en-US"/>
        </w:rPr>
      </w:pPr>
      <w:r>
        <w:rPr>
          <w:rStyle w:val="FootnoteReference"/>
        </w:rPr>
        <w:footnoteRef/>
      </w:r>
      <w:r>
        <w:t xml:space="preserve"> </w:t>
      </w:r>
      <w:r>
        <w:rPr>
          <w:lang w:val="en-US"/>
        </w:rPr>
        <w:t>This article is based on the findings of the author’s PhD thesis completed in September 2017</w:t>
      </w:r>
    </w:p>
  </w:footnote>
  <w:footnote w:id="2">
    <w:p w14:paraId="3E466B16" w14:textId="77777777" w:rsidR="00D47EBF" w:rsidRPr="00734E35" w:rsidRDefault="00D47EBF">
      <w:pPr>
        <w:pStyle w:val="FootnoteText"/>
      </w:pPr>
      <w:r>
        <w:rPr>
          <w:rStyle w:val="FootnoteReference"/>
        </w:rPr>
        <w:footnoteRef/>
      </w:r>
      <w:r>
        <w:t xml:space="preserve"> </w:t>
      </w:r>
      <w:r w:rsidRPr="00231A4C">
        <w:t>In order to reflect the role that contracts play in the surrogacy process and to emphasis the requirements of the Human Fertilisation and Embryology Act 200</w:t>
      </w:r>
      <w:r>
        <w:t>8</w:t>
      </w:r>
      <w:r w:rsidRPr="00231A4C">
        <w:t xml:space="preserve">, s.54, the term ‘commissioning couple’ is used by the author throughout this article. </w:t>
      </w:r>
      <w:r>
        <w:t>However, several terms are in use and some of the parental order reporters are quoted as using the term ‘intended parents.’</w:t>
      </w:r>
    </w:p>
  </w:footnote>
  <w:footnote w:id="3">
    <w:p w14:paraId="2E870642" w14:textId="77777777" w:rsidR="00D47EBF" w:rsidRPr="00A419AF" w:rsidRDefault="00D47EBF">
      <w:pPr>
        <w:pStyle w:val="FootnoteText"/>
        <w:rPr>
          <w:lang w:val="en-US"/>
        </w:rPr>
      </w:pPr>
      <w:r>
        <w:rPr>
          <w:rStyle w:val="FootnoteReference"/>
        </w:rPr>
        <w:footnoteRef/>
      </w:r>
      <w:r>
        <w:t xml:space="preserve"> </w:t>
      </w:r>
      <w:proofErr w:type="gramStart"/>
      <w:r>
        <w:rPr>
          <w:lang w:val="en-US"/>
        </w:rPr>
        <w:t>Surrogacy Arrangements Act 1985, s 1A.</w:t>
      </w:r>
      <w:proofErr w:type="gramEnd"/>
    </w:p>
  </w:footnote>
  <w:footnote w:id="4">
    <w:p w14:paraId="0D07CE99" w14:textId="77777777" w:rsidR="00D47EBF" w:rsidRPr="00C24B17" w:rsidRDefault="00D47EBF" w:rsidP="00EF3566">
      <w:pPr>
        <w:pStyle w:val="FootnoteText"/>
        <w:rPr>
          <w:lang w:val="en-US"/>
        </w:rPr>
      </w:pPr>
      <w:r>
        <w:rPr>
          <w:rStyle w:val="FootnoteReference"/>
        </w:rPr>
        <w:footnoteRef/>
      </w:r>
      <w:r>
        <w:t xml:space="preserve"> </w:t>
      </w:r>
      <w:proofErr w:type="gramStart"/>
      <w:r>
        <w:rPr>
          <w:lang w:val="en-US"/>
        </w:rPr>
        <w:t xml:space="preserve">See Human </w:t>
      </w:r>
      <w:proofErr w:type="spellStart"/>
      <w:r>
        <w:rPr>
          <w:lang w:val="en-US"/>
        </w:rPr>
        <w:t>Fertilisation</w:t>
      </w:r>
      <w:proofErr w:type="spellEnd"/>
      <w:r>
        <w:rPr>
          <w:lang w:val="en-US"/>
        </w:rPr>
        <w:t xml:space="preserve"> and Embryology (Parental Orders) Regulation 2010, s 2 and Adoption and Children Act 2002, s 1 (4).</w:t>
      </w:r>
      <w:proofErr w:type="gramEnd"/>
    </w:p>
  </w:footnote>
  <w:footnote w:id="5">
    <w:p w14:paraId="7F8D7508" w14:textId="1CE8FE61" w:rsidR="00D47EBF" w:rsidRPr="00887537" w:rsidRDefault="00D47EBF" w:rsidP="008C5105">
      <w:pPr>
        <w:pStyle w:val="EndnoteText"/>
        <w:rPr>
          <w:sz w:val="24"/>
          <w:szCs w:val="24"/>
        </w:rPr>
      </w:pPr>
      <w:r>
        <w:rPr>
          <w:rStyle w:val="FootnoteReference"/>
        </w:rPr>
        <w:footnoteRef/>
      </w:r>
      <w:r>
        <w:t xml:space="preserve"> </w:t>
      </w:r>
      <w:proofErr w:type="gramStart"/>
      <w:r w:rsidRPr="008C5105">
        <w:rPr>
          <w:sz w:val="24"/>
          <w:szCs w:val="24"/>
        </w:rPr>
        <w:t>Human Fertilisation and Embryology Act 2008, s 54 (8).</w:t>
      </w:r>
      <w:proofErr w:type="gramEnd"/>
      <w:r w:rsidRPr="008C5105">
        <w:rPr>
          <w:sz w:val="24"/>
          <w:szCs w:val="24"/>
        </w:rPr>
        <w:t xml:space="preserve"> See cases such as Re L (A Minor) [2010] EWHC 3146 (</w:t>
      </w:r>
      <w:proofErr w:type="spellStart"/>
      <w:r w:rsidRPr="008C5105">
        <w:rPr>
          <w:sz w:val="24"/>
          <w:szCs w:val="24"/>
        </w:rPr>
        <w:t>fam</w:t>
      </w:r>
      <w:proofErr w:type="spellEnd"/>
      <w:r w:rsidRPr="008C5105">
        <w:rPr>
          <w:sz w:val="24"/>
          <w:szCs w:val="24"/>
        </w:rPr>
        <w:t>), In the Matter of X and Y (Children) [2011] EWHC 3147 (</w:t>
      </w:r>
      <w:proofErr w:type="spellStart"/>
      <w:r w:rsidRPr="008C5105">
        <w:rPr>
          <w:sz w:val="24"/>
          <w:szCs w:val="24"/>
        </w:rPr>
        <w:t>fam</w:t>
      </w:r>
      <w:proofErr w:type="spellEnd"/>
      <w:r w:rsidRPr="008C5105">
        <w:rPr>
          <w:sz w:val="24"/>
          <w:szCs w:val="24"/>
        </w:rPr>
        <w:t>), A, A v P,</w:t>
      </w:r>
      <w:r>
        <w:rPr>
          <w:sz w:val="24"/>
          <w:szCs w:val="24"/>
        </w:rPr>
        <w:t xml:space="preserve"> </w:t>
      </w:r>
      <w:r w:rsidRPr="008C5105">
        <w:rPr>
          <w:sz w:val="24"/>
          <w:szCs w:val="24"/>
        </w:rPr>
        <w:t>P, B [2011] EWHC 1738 (</w:t>
      </w:r>
      <w:proofErr w:type="spellStart"/>
      <w:r w:rsidRPr="008C5105">
        <w:rPr>
          <w:sz w:val="24"/>
          <w:szCs w:val="24"/>
        </w:rPr>
        <w:t>fam</w:t>
      </w:r>
      <w:proofErr w:type="spellEnd"/>
      <w:r w:rsidRPr="008C5105">
        <w:rPr>
          <w:sz w:val="24"/>
          <w:szCs w:val="24"/>
        </w:rPr>
        <w:t>), Re: IJ (A Child) [2011] EWHC 921, D and L (Surrogacy) [2012] EWHC 2631 (</w:t>
      </w:r>
      <w:proofErr w:type="spellStart"/>
      <w:r w:rsidRPr="008C5105">
        <w:rPr>
          <w:sz w:val="24"/>
          <w:szCs w:val="24"/>
        </w:rPr>
        <w:t>fam</w:t>
      </w:r>
      <w:proofErr w:type="spellEnd"/>
      <w:r w:rsidRPr="008C5105">
        <w:rPr>
          <w:sz w:val="24"/>
          <w:szCs w:val="24"/>
        </w:rPr>
        <w:t>), A &amp; B v SA [2013] EWHC 426 (</w:t>
      </w:r>
      <w:proofErr w:type="spellStart"/>
      <w:r w:rsidRPr="008C5105">
        <w:rPr>
          <w:sz w:val="24"/>
          <w:szCs w:val="24"/>
        </w:rPr>
        <w:t>fam</w:t>
      </w:r>
      <w:proofErr w:type="spellEnd"/>
      <w:r w:rsidRPr="008C5105">
        <w:rPr>
          <w:sz w:val="24"/>
          <w:szCs w:val="24"/>
        </w:rPr>
        <w:t>), J v G [2013] All ER (D) 36 (Jun), AB v DE [2013] EWHC 2413 (</w:t>
      </w:r>
      <w:proofErr w:type="spellStart"/>
      <w:r w:rsidRPr="008C5105">
        <w:rPr>
          <w:sz w:val="24"/>
          <w:szCs w:val="24"/>
        </w:rPr>
        <w:t>fam</w:t>
      </w:r>
      <w:proofErr w:type="spellEnd"/>
      <w:r w:rsidRPr="008C5105">
        <w:rPr>
          <w:sz w:val="24"/>
          <w:szCs w:val="24"/>
        </w:rPr>
        <w:t>), Re P-M [2013] EWHC 2328 (</w:t>
      </w:r>
      <w:proofErr w:type="spellStart"/>
      <w:r w:rsidRPr="008C5105">
        <w:rPr>
          <w:sz w:val="24"/>
          <w:szCs w:val="24"/>
        </w:rPr>
        <w:t>fam</w:t>
      </w:r>
      <w:proofErr w:type="spellEnd"/>
      <w:r w:rsidRPr="008C5105">
        <w:rPr>
          <w:sz w:val="24"/>
          <w:szCs w:val="24"/>
        </w:rPr>
        <w:t>), Re C [2013] EWHC 2408 (</w:t>
      </w:r>
      <w:proofErr w:type="spellStart"/>
      <w:r w:rsidRPr="008C5105">
        <w:rPr>
          <w:sz w:val="24"/>
          <w:szCs w:val="24"/>
        </w:rPr>
        <w:t>fam</w:t>
      </w:r>
      <w:proofErr w:type="spellEnd"/>
      <w:r w:rsidRPr="008C5105">
        <w:rPr>
          <w:sz w:val="24"/>
          <w:szCs w:val="24"/>
        </w:rPr>
        <w:t>), Re W [2013] EWHC 3570 (</w:t>
      </w:r>
      <w:proofErr w:type="spellStart"/>
      <w:r w:rsidRPr="008C5105">
        <w:rPr>
          <w:sz w:val="24"/>
          <w:szCs w:val="24"/>
        </w:rPr>
        <w:t>fam</w:t>
      </w:r>
      <w:proofErr w:type="spellEnd"/>
      <w:r w:rsidRPr="008C5105">
        <w:rPr>
          <w:sz w:val="24"/>
          <w:szCs w:val="24"/>
        </w:rPr>
        <w:t>), Re WT (Surrogacy)[2014] EWHC 1303 (</w:t>
      </w:r>
      <w:proofErr w:type="spellStart"/>
      <w:r w:rsidRPr="008C5105">
        <w:rPr>
          <w:sz w:val="24"/>
          <w:szCs w:val="24"/>
        </w:rPr>
        <w:t>fam</w:t>
      </w:r>
      <w:proofErr w:type="spellEnd"/>
      <w:r w:rsidRPr="008C5105">
        <w:rPr>
          <w:sz w:val="24"/>
          <w:szCs w:val="24"/>
        </w:rPr>
        <w:t>), Re G and M [2014] EWHC 1561 (</w:t>
      </w:r>
      <w:proofErr w:type="spellStart"/>
      <w:r w:rsidRPr="008C5105">
        <w:rPr>
          <w:sz w:val="24"/>
          <w:szCs w:val="24"/>
        </w:rPr>
        <w:t>fam</w:t>
      </w:r>
      <w:proofErr w:type="spellEnd"/>
      <w:r w:rsidRPr="008C5105">
        <w:rPr>
          <w:sz w:val="24"/>
          <w:szCs w:val="24"/>
        </w:rPr>
        <w:t>), CC v DD [2014] 1307 (</w:t>
      </w:r>
      <w:proofErr w:type="spellStart"/>
      <w:r w:rsidRPr="008C5105">
        <w:rPr>
          <w:sz w:val="24"/>
          <w:szCs w:val="24"/>
        </w:rPr>
        <w:t>fam</w:t>
      </w:r>
      <w:proofErr w:type="spellEnd"/>
      <w:r w:rsidRPr="008C5105">
        <w:rPr>
          <w:sz w:val="24"/>
          <w:szCs w:val="24"/>
        </w:rPr>
        <w:t>), RE X (A Child) (Surrogacy: Time Limit) [2014] EWHC 3135, , AB v CD (Surrogacy – Time Limit and Consent) [2015] EWFC 12</w:t>
      </w:r>
      <w:r w:rsidRPr="00887537">
        <w:rPr>
          <w:sz w:val="24"/>
          <w:szCs w:val="24"/>
        </w:rPr>
        <w:t>,</w:t>
      </w:r>
      <w:r>
        <w:rPr>
          <w:sz w:val="24"/>
          <w:szCs w:val="24"/>
        </w:rPr>
        <w:t xml:space="preserve"> R and S v T (Surrogacy Service, Consent and Payments) [2015] EWFC 22,  Re Z (Foreign Surrogacy: Allocation of Work: Guidance on Parental Order Reports) [2015] EWFC 90, D &amp; G v ED &amp; DD and A &amp; B [2015] EWHC 911 (</w:t>
      </w:r>
      <w:proofErr w:type="spellStart"/>
      <w:r>
        <w:rPr>
          <w:sz w:val="24"/>
          <w:szCs w:val="24"/>
        </w:rPr>
        <w:t>fam</w:t>
      </w:r>
      <w:proofErr w:type="spellEnd"/>
      <w:r>
        <w:rPr>
          <w:sz w:val="24"/>
          <w:szCs w:val="24"/>
        </w:rPr>
        <w:t>), Re X (Foreign Surrogacy – Child’s Name) [2016 EWHC 1068 (</w:t>
      </w:r>
      <w:proofErr w:type="spellStart"/>
      <w:r>
        <w:rPr>
          <w:sz w:val="24"/>
          <w:szCs w:val="24"/>
        </w:rPr>
        <w:t>fam</w:t>
      </w:r>
      <w:proofErr w:type="spellEnd"/>
      <w:r>
        <w:rPr>
          <w:sz w:val="24"/>
          <w:szCs w:val="24"/>
        </w:rPr>
        <w:t>) and KB and RJ v RT [2016] EWHC 760 (</w:t>
      </w:r>
      <w:proofErr w:type="spellStart"/>
      <w:r>
        <w:rPr>
          <w:sz w:val="24"/>
          <w:szCs w:val="24"/>
        </w:rPr>
        <w:t>fam</w:t>
      </w:r>
      <w:proofErr w:type="spellEnd"/>
      <w:r>
        <w:rPr>
          <w:sz w:val="24"/>
          <w:szCs w:val="24"/>
        </w:rPr>
        <w:t>)</w:t>
      </w:r>
      <w:r>
        <w:rPr>
          <w:i/>
          <w:sz w:val="24"/>
          <w:szCs w:val="24"/>
        </w:rPr>
        <w:t xml:space="preserve"> </w:t>
      </w:r>
    </w:p>
  </w:footnote>
  <w:footnote w:id="6">
    <w:p w14:paraId="70CFAF9C" w14:textId="77777777" w:rsidR="00D47EBF" w:rsidRPr="00EF3566" w:rsidRDefault="00D47EBF">
      <w:pPr>
        <w:pStyle w:val="FootnoteText"/>
        <w:rPr>
          <w:lang w:val="en-US"/>
        </w:rPr>
      </w:pPr>
      <w:r>
        <w:rPr>
          <w:rStyle w:val="FootnoteReference"/>
        </w:rPr>
        <w:footnoteRef/>
      </w:r>
      <w:r>
        <w:t xml:space="preserve"> </w:t>
      </w:r>
      <w:r w:rsidRPr="009D40E1">
        <w:rPr>
          <w:lang w:val="en-US"/>
        </w:rPr>
        <w:t xml:space="preserve">European Parliament, Committee on Foreign Affairs, </w:t>
      </w:r>
      <w:r w:rsidRPr="00631809">
        <w:rPr>
          <w:lang w:val="en-US"/>
        </w:rPr>
        <w:t>Report on the Annual Report on Human Rights and Democracy in the World 2014 and the European Union’s Policy on the Matter</w:t>
      </w:r>
      <w:r w:rsidRPr="009D40E1">
        <w:rPr>
          <w:lang w:val="en-US"/>
        </w:rPr>
        <w:t xml:space="preserve"> (Plenary Sitting, A8-0344/2015, 2015) Resolution 114.</w:t>
      </w:r>
    </w:p>
  </w:footnote>
  <w:footnote w:id="7">
    <w:p w14:paraId="6A90EFAD" w14:textId="77777777" w:rsidR="00D47EBF" w:rsidRPr="007B2447" w:rsidRDefault="00D47EBF" w:rsidP="007B2447">
      <w:pPr>
        <w:pStyle w:val="EndnoteText"/>
        <w:rPr>
          <w:sz w:val="24"/>
          <w:szCs w:val="24"/>
          <w:lang w:val="en-US"/>
        </w:rPr>
      </w:pPr>
      <w:r>
        <w:rPr>
          <w:rStyle w:val="FootnoteReference"/>
        </w:rPr>
        <w:footnoteRef/>
      </w:r>
      <w:r>
        <w:t xml:space="preserve"> </w:t>
      </w:r>
      <w:r w:rsidRPr="009D40E1">
        <w:rPr>
          <w:sz w:val="24"/>
          <w:szCs w:val="24"/>
        </w:rPr>
        <w:t>The right to reproductive freedom in India was upheld in the case of BK</w:t>
      </w:r>
      <w:r w:rsidRPr="009D40E1">
        <w:rPr>
          <w:i/>
          <w:sz w:val="24"/>
          <w:szCs w:val="24"/>
        </w:rPr>
        <w:t xml:space="preserve"> </w:t>
      </w:r>
      <w:proofErr w:type="spellStart"/>
      <w:r w:rsidRPr="009D40E1">
        <w:rPr>
          <w:sz w:val="24"/>
          <w:szCs w:val="24"/>
        </w:rPr>
        <w:t>Parthsarathi</w:t>
      </w:r>
      <w:proofErr w:type="spellEnd"/>
      <w:r w:rsidRPr="009D40E1">
        <w:rPr>
          <w:sz w:val="24"/>
          <w:szCs w:val="24"/>
        </w:rPr>
        <w:t xml:space="preserve"> </w:t>
      </w:r>
      <w:proofErr w:type="spellStart"/>
      <w:r w:rsidRPr="009D40E1">
        <w:rPr>
          <w:sz w:val="24"/>
          <w:szCs w:val="24"/>
        </w:rPr>
        <w:t>vs</w:t>
      </w:r>
      <w:proofErr w:type="spellEnd"/>
      <w:r w:rsidRPr="009D40E1">
        <w:rPr>
          <w:sz w:val="24"/>
          <w:szCs w:val="24"/>
        </w:rPr>
        <w:t xml:space="preserve"> Govt. of AP (1999) (5) ALT715</w:t>
      </w:r>
      <w:r w:rsidRPr="009D40E1">
        <w:rPr>
          <w:sz w:val="24"/>
          <w:szCs w:val="24"/>
          <w:lang w:val="en-US"/>
        </w:rPr>
        <w:t xml:space="preserve"> and commercial surro</w:t>
      </w:r>
      <w:r>
        <w:rPr>
          <w:sz w:val="24"/>
          <w:szCs w:val="24"/>
          <w:lang w:val="en-US"/>
        </w:rPr>
        <w:t xml:space="preserve">gacy in India was first </w:t>
      </w:r>
      <w:proofErr w:type="spellStart"/>
      <w:r>
        <w:rPr>
          <w:sz w:val="24"/>
          <w:szCs w:val="24"/>
          <w:lang w:val="en-US"/>
        </w:rPr>
        <w:t>recognis</w:t>
      </w:r>
      <w:r w:rsidRPr="009D40E1">
        <w:rPr>
          <w:sz w:val="24"/>
          <w:szCs w:val="24"/>
          <w:lang w:val="en-US"/>
        </w:rPr>
        <w:t>ed</w:t>
      </w:r>
      <w:proofErr w:type="spellEnd"/>
      <w:r w:rsidRPr="009D40E1">
        <w:rPr>
          <w:sz w:val="24"/>
          <w:szCs w:val="24"/>
          <w:lang w:val="en-US"/>
        </w:rPr>
        <w:t xml:space="preserve"> in the Supreme Court decision </w:t>
      </w:r>
      <w:r w:rsidRPr="009D40E1">
        <w:rPr>
          <w:sz w:val="24"/>
          <w:szCs w:val="24"/>
        </w:rPr>
        <w:t xml:space="preserve">Baby </w:t>
      </w:r>
      <w:proofErr w:type="spellStart"/>
      <w:r w:rsidRPr="009D40E1">
        <w:rPr>
          <w:sz w:val="24"/>
          <w:szCs w:val="24"/>
        </w:rPr>
        <w:t>Manji</w:t>
      </w:r>
      <w:proofErr w:type="spellEnd"/>
      <w:r w:rsidRPr="009D40E1">
        <w:rPr>
          <w:sz w:val="24"/>
          <w:szCs w:val="24"/>
        </w:rPr>
        <w:t xml:space="preserve"> Yamada v Union of India (2008) 13 SCC 158. However, India has now taken steps to ban commercial surrogacy under the Surrogacy (Regulation) Bill 2016 and allow only altruistic surrogacy by same-sex married couples </w:t>
      </w:r>
      <w:proofErr w:type="gramStart"/>
      <w:r w:rsidRPr="009D40E1">
        <w:rPr>
          <w:sz w:val="24"/>
          <w:szCs w:val="24"/>
        </w:rPr>
        <w:t>who</w:t>
      </w:r>
      <w:proofErr w:type="gramEnd"/>
      <w:r w:rsidRPr="009D40E1">
        <w:rPr>
          <w:sz w:val="24"/>
          <w:szCs w:val="24"/>
        </w:rPr>
        <w:t xml:space="preserve"> are Indian nationals.</w:t>
      </w:r>
    </w:p>
  </w:footnote>
  <w:footnote w:id="8">
    <w:p w14:paraId="5547B15D" w14:textId="77777777" w:rsidR="00D47EBF" w:rsidRPr="007B2447" w:rsidRDefault="00D47EBF" w:rsidP="007B2447">
      <w:pPr>
        <w:pStyle w:val="EndnoteText"/>
        <w:rPr>
          <w:sz w:val="24"/>
          <w:szCs w:val="24"/>
          <w:lang w:val="en-US"/>
        </w:rPr>
      </w:pPr>
      <w:r>
        <w:rPr>
          <w:rStyle w:val="FootnoteReference"/>
        </w:rPr>
        <w:footnoteRef/>
      </w:r>
      <w:r>
        <w:t xml:space="preserve"> </w:t>
      </w:r>
      <w:r w:rsidRPr="009D40E1">
        <w:rPr>
          <w:sz w:val="24"/>
          <w:szCs w:val="24"/>
        </w:rPr>
        <w:t>In the aftermath of the media attention surrounding the ‘Baby Gammy’ case where an Australian couple were alleged to have rejected a child with Down’s Syndrome who was part of a twin birth following a surrogacy contract with a Thai surrogate Thailand banned Surrogacy in 2014 under its Thailand Civil and Commercial Code.</w:t>
      </w:r>
    </w:p>
  </w:footnote>
  <w:footnote w:id="9">
    <w:p w14:paraId="3A6C1DBE" w14:textId="77777777" w:rsidR="00D47EBF" w:rsidRPr="00116E78" w:rsidRDefault="00D47EBF" w:rsidP="00116E78">
      <w:pPr>
        <w:pStyle w:val="EndnoteText"/>
        <w:rPr>
          <w:sz w:val="24"/>
          <w:szCs w:val="24"/>
          <w:lang w:val="en-US"/>
        </w:rPr>
      </w:pPr>
      <w:r>
        <w:rPr>
          <w:rStyle w:val="FootnoteReference"/>
        </w:rPr>
        <w:footnoteRef/>
      </w:r>
      <w:r>
        <w:t xml:space="preserve"> </w:t>
      </w:r>
      <w:r w:rsidRPr="009D40E1">
        <w:rPr>
          <w:sz w:val="24"/>
          <w:szCs w:val="24"/>
          <w:lang w:val="en-US"/>
        </w:rPr>
        <w:t>Cambodia banned commercial surrogacy in October 2016.</w:t>
      </w:r>
    </w:p>
  </w:footnote>
  <w:footnote w:id="10">
    <w:p w14:paraId="60BDDD82" w14:textId="77777777" w:rsidR="00D47EBF" w:rsidRPr="00CD4447" w:rsidRDefault="00D47EBF" w:rsidP="004E00EC">
      <w:pPr>
        <w:pStyle w:val="EndnoteText"/>
      </w:pPr>
      <w:r>
        <w:rPr>
          <w:rStyle w:val="FootnoteReference"/>
        </w:rPr>
        <w:footnoteRef/>
      </w:r>
      <w:r>
        <w:t xml:space="preserve"> </w:t>
      </w:r>
      <w:r w:rsidRPr="004E00EC">
        <w:rPr>
          <w:sz w:val="24"/>
          <w:szCs w:val="24"/>
        </w:rPr>
        <w:t xml:space="preserve">See the differing statistics provided to the authors of research into surrogacy arrangements including international surrogacy: </w:t>
      </w:r>
      <w:r w:rsidRPr="00EA4909">
        <w:rPr>
          <w:sz w:val="24"/>
          <w:szCs w:val="24"/>
        </w:rPr>
        <w:t xml:space="preserve">M </w:t>
      </w:r>
      <w:proofErr w:type="spellStart"/>
      <w:r w:rsidRPr="009D40E1">
        <w:rPr>
          <w:sz w:val="24"/>
          <w:szCs w:val="24"/>
          <w:lang w:val="en-US"/>
        </w:rPr>
        <w:t>Crawshaw</w:t>
      </w:r>
      <w:proofErr w:type="spellEnd"/>
      <w:r w:rsidRPr="009D40E1">
        <w:rPr>
          <w:sz w:val="24"/>
          <w:szCs w:val="24"/>
          <w:lang w:val="en-US"/>
        </w:rPr>
        <w:t>,</w:t>
      </w:r>
      <w:r>
        <w:rPr>
          <w:sz w:val="24"/>
          <w:szCs w:val="24"/>
          <w:lang w:val="en-US"/>
        </w:rPr>
        <w:t xml:space="preserve"> E </w:t>
      </w:r>
      <w:r w:rsidRPr="009D40E1">
        <w:rPr>
          <w:sz w:val="24"/>
          <w:szCs w:val="24"/>
          <w:lang w:val="en-US"/>
        </w:rPr>
        <w:t>Blyth</w:t>
      </w:r>
      <w:r>
        <w:rPr>
          <w:sz w:val="24"/>
          <w:szCs w:val="24"/>
          <w:lang w:val="en-US"/>
        </w:rPr>
        <w:t>, and</w:t>
      </w:r>
      <w:r w:rsidRPr="009D40E1">
        <w:rPr>
          <w:sz w:val="24"/>
          <w:szCs w:val="24"/>
          <w:lang w:val="en-US"/>
        </w:rPr>
        <w:t xml:space="preserve"> </w:t>
      </w:r>
      <w:r>
        <w:rPr>
          <w:sz w:val="24"/>
          <w:szCs w:val="24"/>
          <w:lang w:val="en-US"/>
        </w:rPr>
        <w:t xml:space="preserve">O Van Den </w:t>
      </w:r>
      <w:proofErr w:type="spellStart"/>
      <w:r>
        <w:rPr>
          <w:sz w:val="24"/>
          <w:szCs w:val="24"/>
          <w:lang w:val="en-US"/>
        </w:rPr>
        <w:t>Akker</w:t>
      </w:r>
      <w:proofErr w:type="spellEnd"/>
      <w:r>
        <w:rPr>
          <w:sz w:val="24"/>
          <w:szCs w:val="24"/>
          <w:lang w:val="en-US"/>
        </w:rPr>
        <w:t>, ‘</w:t>
      </w:r>
      <w:r w:rsidRPr="009D40E1">
        <w:rPr>
          <w:sz w:val="24"/>
          <w:szCs w:val="24"/>
          <w:lang w:val="en-US"/>
        </w:rPr>
        <w:t>The Changing Profile of Surrogacy in the UK: Implications for National and In</w:t>
      </w:r>
      <w:r>
        <w:rPr>
          <w:sz w:val="24"/>
          <w:szCs w:val="24"/>
          <w:lang w:val="en-US"/>
        </w:rPr>
        <w:t>ternational Policy and Practice’</w:t>
      </w:r>
      <w:r w:rsidRPr="009D40E1">
        <w:rPr>
          <w:sz w:val="24"/>
          <w:szCs w:val="24"/>
          <w:lang w:val="en-US"/>
        </w:rPr>
        <w:t xml:space="preserve"> </w:t>
      </w:r>
      <w:r>
        <w:rPr>
          <w:sz w:val="24"/>
          <w:szCs w:val="24"/>
          <w:lang w:val="en-US"/>
        </w:rPr>
        <w:t xml:space="preserve">(2012) 43 (3) </w:t>
      </w:r>
      <w:r w:rsidRPr="00EA4909">
        <w:rPr>
          <w:sz w:val="24"/>
          <w:szCs w:val="24"/>
          <w:lang w:val="en-US"/>
        </w:rPr>
        <w:t>Journal of Social Welfare and Family Law</w:t>
      </w:r>
      <w:r>
        <w:rPr>
          <w:sz w:val="24"/>
          <w:szCs w:val="24"/>
          <w:lang w:val="en-US"/>
        </w:rPr>
        <w:t xml:space="preserve"> 267 and </w:t>
      </w:r>
      <w:r w:rsidRPr="00EA4909">
        <w:rPr>
          <w:sz w:val="24"/>
          <w:szCs w:val="24"/>
        </w:rPr>
        <w:t xml:space="preserve">K </w:t>
      </w:r>
      <w:r w:rsidRPr="009D40E1">
        <w:rPr>
          <w:sz w:val="24"/>
          <w:szCs w:val="24"/>
          <w:lang w:val="en-US"/>
        </w:rPr>
        <w:t xml:space="preserve">Horsey, </w:t>
      </w:r>
      <w:r w:rsidRPr="009D40E1">
        <w:rPr>
          <w:i/>
          <w:sz w:val="24"/>
          <w:szCs w:val="24"/>
          <w:lang w:val="en-US"/>
        </w:rPr>
        <w:t>Surrogacy in the UK: Myth Busting and Reform, Report of the Surrogacy UK Working Group on Surrogacy Law Reform</w:t>
      </w:r>
      <w:r>
        <w:rPr>
          <w:sz w:val="24"/>
          <w:szCs w:val="24"/>
          <w:lang w:val="en-US"/>
        </w:rPr>
        <w:t xml:space="preserve">  (Surrogacy UK 2015),</w:t>
      </w:r>
      <w:r w:rsidRPr="009D40E1">
        <w:rPr>
          <w:sz w:val="24"/>
          <w:szCs w:val="24"/>
          <w:lang w:val="en-US"/>
        </w:rPr>
        <w:t xml:space="preserve"> 13</w:t>
      </w:r>
    </w:p>
  </w:footnote>
  <w:footnote w:id="11">
    <w:p w14:paraId="6EE7BC1C" w14:textId="77777777" w:rsidR="00D47EBF" w:rsidRPr="00C75F7E" w:rsidRDefault="00D47EBF" w:rsidP="00D42F03">
      <w:pPr>
        <w:pStyle w:val="FootnoteText"/>
        <w:rPr>
          <w:lang w:val="en-US"/>
        </w:rPr>
      </w:pPr>
      <w:r>
        <w:rPr>
          <w:rStyle w:val="FootnoteReference"/>
        </w:rPr>
        <w:footnoteRef/>
      </w:r>
      <w:r>
        <w:t xml:space="preserve"> </w:t>
      </w:r>
      <w:proofErr w:type="gramStart"/>
      <w:r>
        <w:rPr>
          <w:lang w:val="en-US"/>
        </w:rPr>
        <w:t xml:space="preserve">Human </w:t>
      </w:r>
      <w:proofErr w:type="spellStart"/>
      <w:r>
        <w:rPr>
          <w:lang w:val="en-US"/>
        </w:rPr>
        <w:t>Fertilisation</w:t>
      </w:r>
      <w:proofErr w:type="spellEnd"/>
      <w:r>
        <w:rPr>
          <w:lang w:val="en-US"/>
        </w:rPr>
        <w:t xml:space="preserve"> and Embryology Act 2008, s 54.</w:t>
      </w:r>
      <w:proofErr w:type="gramEnd"/>
    </w:p>
  </w:footnote>
  <w:footnote w:id="12">
    <w:p w14:paraId="4B286FFD" w14:textId="77777777" w:rsidR="00D47EBF" w:rsidRPr="00A01F8F" w:rsidRDefault="00D47EBF" w:rsidP="00D42F03">
      <w:pPr>
        <w:pStyle w:val="EndnoteText"/>
        <w:rPr>
          <w:sz w:val="24"/>
          <w:szCs w:val="24"/>
        </w:rPr>
      </w:pPr>
      <w:r>
        <w:rPr>
          <w:rStyle w:val="FootnoteReference"/>
        </w:rPr>
        <w:footnoteRef/>
      </w:r>
      <w:r>
        <w:t xml:space="preserve"> </w:t>
      </w:r>
      <w:r w:rsidRPr="00EA4909">
        <w:rPr>
          <w:sz w:val="24"/>
          <w:szCs w:val="24"/>
        </w:rPr>
        <w:t xml:space="preserve">M </w:t>
      </w:r>
      <w:proofErr w:type="spellStart"/>
      <w:r w:rsidRPr="009D40E1">
        <w:rPr>
          <w:sz w:val="24"/>
          <w:szCs w:val="24"/>
          <w:lang w:val="en-US"/>
        </w:rPr>
        <w:t>Crawshaw</w:t>
      </w:r>
      <w:proofErr w:type="spellEnd"/>
      <w:r w:rsidRPr="009D40E1">
        <w:rPr>
          <w:sz w:val="24"/>
          <w:szCs w:val="24"/>
          <w:lang w:val="en-US"/>
        </w:rPr>
        <w:t>,</w:t>
      </w:r>
      <w:r>
        <w:rPr>
          <w:sz w:val="24"/>
          <w:szCs w:val="24"/>
          <w:lang w:val="en-US"/>
        </w:rPr>
        <w:t xml:space="preserve"> E </w:t>
      </w:r>
      <w:r w:rsidRPr="009D40E1">
        <w:rPr>
          <w:sz w:val="24"/>
          <w:szCs w:val="24"/>
          <w:lang w:val="en-US"/>
        </w:rPr>
        <w:t>Blyth</w:t>
      </w:r>
      <w:r>
        <w:rPr>
          <w:sz w:val="24"/>
          <w:szCs w:val="24"/>
          <w:lang w:val="en-US"/>
        </w:rPr>
        <w:t>, and</w:t>
      </w:r>
      <w:r w:rsidRPr="009D40E1">
        <w:rPr>
          <w:sz w:val="24"/>
          <w:szCs w:val="24"/>
          <w:lang w:val="en-US"/>
        </w:rPr>
        <w:t xml:space="preserve"> </w:t>
      </w:r>
      <w:r>
        <w:rPr>
          <w:sz w:val="24"/>
          <w:szCs w:val="24"/>
          <w:lang w:val="en-US"/>
        </w:rPr>
        <w:t xml:space="preserve">O Van Den </w:t>
      </w:r>
      <w:proofErr w:type="spellStart"/>
      <w:r>
        <w:rPr>
          <w:sz w:val="24"/>
          <w:szCs w:val="24"/>
          <w:lang w:val="en-US"/>
        </w:rPr>
        <w:t>Akker</w:t>
      </w:r>
      <w:proofErr w:type="spellEnd"/>
      <w:r>
        <w:rPr>
          <w:sz w:val="24"/>
          <w:szCs w:val="24"/>
          <w:lang w:val="en-US"/>
        </w:rPr>
        <w:t>, ‘</w:t>
      </w:r>
      <w:r w:rsidRPr="009D40E1">
        <w:rPr>
          <w:sz w:val="24"/>
          <w:szCs w:val="24"/>
          <w:lang w:val="en-US"/>
        </w:rPr>
        <w:t>The Changing Profile of Surrogacy in the UK: Implications for National and In</w:t>
      </w:r>
      <w:r>
        <w:rPr>
          <w:sz w:val="24"/>
          <w:szCs w:val="24"/>
          <w:lang w:val="en-US"/>
        </w:rPr>
        <w:t>ternational Policy and Practice’</w:t>
      </w:r>
      <w:r w:rsidRPr="009D40E1">
        <w:rPr>
          <w:sz w:val="24"/>
          <w:szCs w:val="24"/>
          <w:lang w:val="en-US"/>
        </w:rPr>
        <w:t xml:space="preserve"> </w:t>
      </w:r>
      <w:r>
        <w:rPr>
          <w:sz w:val="24"/>
          <w:szCs w:val="24"/>
          <w:lang w:val="en-US"/>
        </w:rPr>
        <w:t xml:space="preserve">(2012) 43 (3) </w:t>
      </w:r>
      <w:r w:rsidRPr="00EA4909">
        <w:rPr>
          <w:sz w:val="24"/>
          <w:szCs w:val="24"/>
          <w:lang w:val="en-US"/>
        </w:rPr>
        <w:t>Journal of Social Welfare and Family Law</w:t>
      </w:r>
      <w:r>
        <w:rPr>
          <w:sz w:val="24"/>
          <w:szCs w:val="24"/>
          <w:lang w:val="en-US"/>
        </w:rPr>
        <w:t xml:space="preserve"> 267. </w:t>
      </w:r>
      <w:r w:rsidRPr="009D40E1">
        <w:rPr>
          <w:sz w:val="24"/>
          <w:szCs w:val="24"/>
          <w:lang w:val="en-US"/>
        </w:rPr>
        <w:t>Note that these figures do not include the years 2012 and 2013.</w:t>
      </w:r>
    </w:p>
  </w:footnote>
  <w:footnote w:id="13">
    <w:p w14:paraId="695D1373" w14:textId="77777777" w:rsidR="00D47EBF" w:rsidRPr="00624BBF" w:rsidRDefault="00D47EBF" w:rsidP="00D42F03">
      <w:pPr>
        <w:pStyle w:val="EndnoteText"/>
        <w:rPr>
          <w:sz w:val="24"/>
          <w:szCs w:val="24"/>
        </w:rPr>
      </w:pPr>
      <w:r>
        <w:rPr>
          <w:rStyle w:val="FootnoteReference"/>
        </w:rPr>
        <w:footnoteRef/>
      </w:r>
      <w:r>
        <w:t xml:space="preserve"> </w:t>
      </w:r>
      <w:r w:rsidRPr="00EA4909">
        <w:rPr>
          <w:sz w:val="24"/>
          <w:szCs w:val="24"/>
        </w:rPr>
        <w:t xml:space="preserve">K </w:t>
      </w:r>
      <w:r w:rsidRPr="009D40E1">
        <w:rPr>
          <w:sz w:val="24"/>
          <w:szCs w:val="24"/>
          <w:lang w:val="en-US"/>
        </w:rPr>
        <w:t xml:space="preserve">Horsey, </w:t>
      </w:r>
      <w:r w:rsidRPr="009D40E1">
        <w:rPr>
          <w:i/>
          <w:sz w:val="24"/>
          <w:szCs w:val="24"/>
          <w:lang w:val="en-US"/>
        </w:rPr>
        <w:t>Surrogacy in the UK: Myth Busting and Reform, Report of the Surrogacy UK Working Group on Surrogacy Law Reform</w:t>
      </w:r>
      <w:r>
        <w:rPr>
          <w:sz w:val="24"/>
          <w:szCs w:val="24"/>
          <w:lang w:val="en-US"/>
        </w:rPr>
        <w:t xml:space="preserve">  (Surrogacy UK 2015),</w:t>
      </w:r>
      <w:r w:rsidRPr="009D40E1">
        <w:rPr>
          <w:sz w:val="24"/>
          <w:szCs w:val="24"/>
          <w:lang w:val="en-US"/>
        </w:rPr>
        <w:t xml:space="preserve"> 13</w:t>
      </w:r>
      <w:r>
        <w:rPr>
          <w:sz w:val="24"/>
          <w:szCs w:val="24"/>
          <w:lang w:val="en-US"/>
        </w:rPr>
        <w:t>.</w:t>
      </w:r>
    </w:p>
  </w:footnote>
  <w:footnote w:id="14">
    <w:p w14:paraId="32C01B1D" w14:textId="77777777" w:rsidR="00D47EBF" w:rsidRDefault="00D47EBF">
      <w:pPr>
        <w:pStyle w:val="FootnoteText"/>
        <w:rPr>
          <w:lang w:val="en-US"/>
        </w:rPr>
      </w:pPr>
      <w:r>
        <w:rPr>
          <w:rStyle w:val="FootnoteReference"/>
        </w:rPr>
        <w:footnoteRef/>
      </w:r>
      <w:r>
        <w:t xml:space="preserve"> For example, the General Register Office statistics as reported by </w:t>
      </w:r>
      <w:r w:rsidRPr="00EA4909">
        <w:t xml:space="preserve">M </w:t>
      </w:r>
      <w:proofErr w:type="spellStart"/>
      <w:r w:rsidRPr="009D40E1">
        <w:rPr>
          <w:lang w:val="en-US"/>
        </w:rPr>
        <w:t>Crawshaw</w:t>
      </w:r>
      <w:proofErr w:type="spellEnd"/>
      <w:r w:rsidRPr="009D40E1">
        <w:rPr>
          <w:lang w:val="en-US"/>
        </w:rPr>
        <w:t>,</w:t>
      </w:r>
      <w:r>
        <w:rPr>
          <w:lang w:val="en-US"/>
        </w:rPr>
        <w:t xml:space="preserve"> E </w:t>
      </w:r>
    </w:p>
    <w:p w14:paraId="0EDCF670" w14:textId="77777777" w:rsidR="00D47EBF" w:rsidRPr="00231A4C" w:rsidRDefault="00D47EBF">
      <w:pPr>
        <w:pStyle w:val="FootnoteText"/>
      </w:pPr>
      <w:r w:rsidRPr="009D40E1">
        <w:rPr>
          <w:lang w:val="en-US"/>
        </w:rPr>
        <w:t>Blyth</w:t>
      </w:r>
      <w:r>
        <w:rPr>
          <w:lang w:val="en-US"/>
        </w:rPr>
        <w:t>, and</w:t>
      </w:r>
      <w:r w:rsidRPr="009D40E1">
        <w:rPr>
          <w:lang w:val="en-US"/>
        </w:rPr>
        <w:t xml:space="preserve"> </w:t>
      </w:r>
      <w:r>
        <w:rPr>
          <w:lang w:val="en-US"/>
        </w:rPr>
        <w:t xml:space="preserve">O Van Den </w:t>
      </w:r>
      <w:proofErr w:type="spellStart"/>
      <w:r>
        <w:rPr>
          <w:lang w:val="en-US"/>
        </w:rPr>
        <w:t>Akker</w:t>
      </w:r>
      <w:proofErr w:type="spellEnd"/>
      <w:r>
        <w:rPr>
          <w:lang w:val="en-US"/>
        </w:rPr>
        <w:t xml:space="preserve"> in their article ‘</w:t>
      </w:r>
      <w:r w:rsidRPr="009D40E1">
        <w:rPr>
          <w:lang w:val="en-US"/>
        </w:rPr>
        <w:t>The Changing Profile of Surrogacy in the UK: Implications for National and In</w:t>
      </w:r>
      <w:r>
        <w:rPr>
          <w:lang w:val="en-US"/>
        </w:rPr>
        <w:t>ternational Policy and Practice’</w:t>
      </w:r>
      <w:r w:rsidRPr="009D40E1">
        <w:rPr>
          <w:lang w:val="en-US"/>
        </w:rPr>
        <w:t xml:space="preserve"> </w:t>
      </w:r>
      <w:r>
        <w:rPr>
          <w:lang w:val="en-US"/>
        </w:rPr>
        <w:t xml:space="preserve">(2012) 43 (3) </w:t>
      </w:r>
      <w:r w:rsidRPr="00EA4909">
        <w:rPr>
          <w:lang w:val="en-US"/>
        </w:rPr>
        <w:t>Journal of Social Welfare and Family Law</w:t>
      </w:r>
      <w:r>
        <w:rPr>
          <w:lang w:val="en-US"/>
        </w:rPr>
        <w:t xml:space="preserve"> 267, show that in 2011 there were 17 reported international surrogacy cases. However, the Ministry of Justice figures reports only 6 files for international surrogacy in 2011 as reported by </w:t>
      </w:r>
      <w:r w:rsidRPr="00EA4909">
        <w:t xml:space="preserve">K </w:t>
      </w:r>
      <w:r w:rsidRPr="009D40E1">
        <w:rPr>
          <w:lang w:val="en-US"/>
        </w:rPr>
        <w:t xml:space="preserve">Horsey, </w:t>
      </w:r>
      <w:r w:rsidRPr="009D40E1">
        <w:rPr>
          <w:i/>
          <w:lang w:val="en-US"/>
        </w:rPr>
        <w:t>Surrogacy in the UK: Myth Busting and Reform, Report of the Surrogacy UK Working Group on Surrogacy Law Reform</w:t>
      </w:r>
      <w:r>
        <w:rPr>
          <w:lang w:val="en-US"/>
        </w:rPr>
        <w:t xml:space="preserve">  (Surrogacy UK 2015), 14 Table 2.1.1. See also </w:t>
      </w:r>
      <w:r>
        <w:t>‘Cafcass Study of Parental Order Applications Made in 2013/14’ (Cafcass 2015) for confirmation that there exists some  incorrect recording of children cases as parental order cases between 2013-2014.</w:t>
      </w:r>
    </w:p>
  </w:footnote>
  <w:footnote w:id="15">
    <w:p w14:paraId="4DE6E46E" w14:textId="77777777" w:rsidR="00D47EBF" w:rsidRPr="00190CFA" w:rsidRDefault="00D47EBF" w:rsidP="00D42F03">
      <w:pPr>
        <w:pStyle w:val="EndnoteText"/>
        <w:rPr>
          <w:sz w:val="24"/>
          <w:szCs w:val="24"/>
          <w:lang w:val="en-US"/>
        </w:rPr>
      </w:pPr>
      <w:r>
        <w:rPr>
          <w:rStyle w:val="FootnoteReference"/>
        </w:rPr>
        <w:footnoteRef/>
      </w:r>
      <w:r>
        <w:t xml:space="preserve"> </w:t>
      </w:r>
      <w:r w:rsidRPr="00B8431F">
        <w:rPr>
          <w:sz w:val="24"/>
          <w:szCs w:val="24"/>
        </w:rPr>
        <w:t xml:space="preserve">K </w:t>
      </w:r>
      <w:r w:rsidRPr="00DD66EA">
        <w:rPr>
          <w:sz w:val="24"/>
          <w:szCs w:val="24"/>
          <w:lang w:val="en-US"/>
        </w:rPr>
        <w:t xml:space="preserve">Horsey, </w:t>
      </w:r>
      <w:r w:rsidRPr="00DD66EA">
        <w:rPr>
          <w:i/>
          <w:sz w:val="24"/>
          <w:szCs w:val="24"/>
          <w:lang w:val="en-US"/>
        </w:rPr>
        <w:t>Surrogacy in the UK: Myth Busting and Reform, Report of the Surrogacy UK Working Group on Surrogacy Law Reform</w:t>
      </w:r>
      <w:r>
        <w:rPr>
          <w:sz w:val="24"/>
          <w:szCs w:val="24"/>
          <w:lang w:val="en-US"/>
        </w:rPr>
        <w:t xml:space="preserve"> (Surrogacy UK 2015)</w:t>
      </w:r>
      <w:r w:rsidRPr="00DD66EA">
        <w:rPr>
          <w:sz w:val="24"/>
          <w:szCs w:val="24"/>
          <w:lang w:val="en-US"/>
        </w:rPr>
        <w:t>, Table 2.1.1 and Table 2.1.2, 14.</w:t>
      </w:r>
    </w:p>
  </w:footnote>
  <w:footnote w:id="16">
    <w:p w14:paraId="2DD61D37" w14:textId="77777777" w:rsidR="00D47EBF" w:rsidRPr="00231A4C" w:rsidRDefault="00D47EBF">
      <w:pPr>
        <w:pStyle w:val="FootnoteText"/>
      </w:pPr>
      <w:r>
        <w:rPr>
          <w:rStyle w:val="FootnoteReference"/>
        </w:rPr>
        <w:footnoteRef/>
      </w:r>
      <w:r>
        <w:t xml:space="preserve"> ‘Cafcass Study of Parental Order Applications Made in 2013/14’ (Cafcass 2015), 15.</w:t>
      </w:r>
    </w:p>
  </w:footnote>
  <w:footnote w:id="17">
    <w:p w14:paraId="0A2B84E0" w14:textId="77777777" w:rsidR="00D47EBF" w:rsidRPr="00CD3F43" w:rsidRDefault="00D47EBF">
      <w:pPr>
        <w:pStyle w:val="FootnoteText"/>
      </w:pPr>
      <w:r>
        <w:rPr>
          <w:rStyle w:val="FootnoteReference"/>
        </w:rPr>
        <w:footnoteRef/>
      </w:r>
      <w:r>
        <w:t xml:space="preserve"> </w:t>
      </w:r>
      <w:r>
        <w:t xml:space="preserve">See Cafcass published response to a Freedom of Information </w:t>
      </w:r>
      <w:r>
        <w:t xml:space="preserve">Request </w:t>
      </w:r>
      <w:r>
        <w:fldChar w:fldCharType="begin"/>
      </w:r>
      <w:r>
        <w:instrText xml:space="preserve"> HYPERLINK "https://www.cafcass.gov.uk/about-cafcass/transparency-information/freedom-of-information/2015-disclosure-log/accessed" </w:instrText>
      </w:r>
      <w:r>
        <w:fldChar w:fldCharType="separate"/>
      </w:r>
      <w:r w:rsidRPr="00CD3F43">
        <w:rPr>
          <w:rStyle w:val="Hyperlink"/>
        </w:rPr>
        <w:t>https://www.cafcass.gov.uk/about-cafcass/transparency-information/freedom-of-information/2015-disclosure-log/</w:t>
      </w:r>
      <w:r w:rsidRPr="009C23B0">
        <w:rPr>
          <w:rStyle w:val="Hyperlink"/>
        </w:rPr>
        <w:t>accessed</w:t>
      </w:r>
      <w:r>
        <w:rPr>
          <w:rStyle w:val="Hyperlink"/>
        </w:rPr>
        <w:fldChar w:fldCharType="end"/>
      </w:r>
      <w:r>
        <w:t xml:space="preserve"> 10 May 2017.</w:t>
      </w:r>
    </w:p>
  </w:footnote>
  <w:footnote w:id="18">
    <w:p w14:paraId="42953A33" w14:textId="77777777" w:rsidR="00D47EBF" w:rsidRPr="00BC4F1C" w:rsidRDefault="00D47EBF" w:rsidP="00846F39">
      <w:pPr>
        <w:pStyle w:val="FootnoteText"/>
      </w:pPr>
      <w:r>
        <w:rPr>
          <w:rStyle w:val="FootnoteReference"/>
        </w:rPr>
        <w:footnoteRef/>
      </w:r>
      <w:r>
        <w:t xml:space="preserve"> </w:t>
      </w:r>
      <w:r>
        <w:t>See for example, The Economist ‘As Demand for Surrogacy Soars, More Countries are Trying to Ban it’13 May 2017&lt;</w:t>
      </w:r>
      <w:r>
        <w:fldChar w:fldCharType="begin"/>
      </w:r>
      <w:r>
        <w:instrText xml:space="preserve"> HYPERLINK "https://www.economist.com/news/international/21721926-many-feminists-and-religious-leaders-regard-it-exploitation-demand-surrogacy" </w:instrText>
      </w:r>
      <w:r>
        <w:fldChar w:fldCharType="separate"/>
      </w:r>
      <w:r w:rsidRPr="00463CB0">
        <w:rPr>
          <w:rStyle w:val="Hyperlink"/>
        </w:rPr>
        <w:t>https://www.economist.com/news/international/21721926-many-feminists-and-religious-leaders-regard-it-exploitation-demand-surrogacy</w:t>
      </w:r>
      <w:r>
        <w:rPr>
          <w:rStyle w:val="Hyperlink"/>
        </w:rPr>
        <w:fldChar w:fldCharType="end"/>
      </w:r>
      <w:r>
        <w:t xml:space="preserve">&gt; accessed on 16th April 2018. See also J Doward, The Guardian, ‘Childless UK Couples Forced Abroad to Find Surrogates’ 20 February 2016 </w:t>
      </w:r>
      <w:r>
        <w:fldChar w:fldCharType="begin"/>
      </w:r>
      <w:r>
        <w:instrText xml:space="preserve"> HYPERLINK "https://www.theguardian.com/lifeandstyle/2016/feb/20/childless-uk-couples-forced-abroad-surrogatesaccessed" </w:instrText>
      </w:r>
      <w:r>
        <w:fldChar w:fldCharType="separate"/>
      </w:r>
      <w:r w:rsidRPr="00C66A7D">
        <w:rPr>
          <w:rStyle w:val="Hyperlink"/>
        </w:rPr>
        <w:t>https://www.theguardian.com/lifeandstyle/2016/feb/20/childless-uk-couples-forced-abroad-surrogates</w:t>
      </w:r>
      <w:r w:rsidRPr="00463CB0">
        <w:rPr>
          <w:rStyle w:val="Hyperlink"/>
        </w:rPr>
        <w:t>accessed</w:t>
      </w:r>
      <w:r>
        <w:rPr>
          <w:rStyle w:val="Hyperlink"/>
        </w:rPr>
        <w:fldChar w:fldCharType="end"/>
      </w:r>
      <w:r>
        <w:t xml:space="preserve"> 16th April 2018.</w:t>
      </w:r>
    </w:p>
  </w:footnote>
  <w:footnote w:id="19">
    <w:p w14:paraId="35909412" w14:textId="4EC86A9C" w:rsidR="00D47EBF" w:rsidRPr="00CF61FD" w:rsidRDefault="00D47EBF" w:rsidP="00792B3A">
      <w:pPr>
        <w:pStyle w:val="EndnoteText"/>
        <w:rPr>
          <w:sz w:val="24"/>
          <w:szCs w:val="24"/>
          <w:lang w:val="en-US"/>
        </w:rPr>
      </w:pPr>
      <w:r>
        <w:rPr>
          <w:rStyle w:val="FootnoteReference"/>
        </w:rPr>
        <w:footnoteRef/>
      </w:r>
      <w:r>
        <w:t xml:space="preserve"> </w:t>
      </w:r>
      <w:r w:rsidRPr="009D40E1">
        <w:rPr>
          <w:sz w:val="24"/>
          <w:szCs w:val="24"/>
          <w:lang w:val="en-US"/>
        </w:rPr>
        <w:t>Se</w:t>
      </w:r>
      <w:r>
        <w:rPr>
          <w:sz w:val="24"/>
          <w:szCs w:val="24"/>
          <w:lang w:val="en-US"/>
        </w:rPr>
        <w:t>e for example, E Blyth,</w:t>
      </w:r>
      <w:r w:rsidRPr="009D40E1">
        <w:rPr>
          <w:sz w:val="24"/>
          <w:szCs w:val="24"/>
          <w:lang w:val="en-US"/>
        </w:rPr>
        <w:t xml:space="preserve"> ‘I wanted to be interesting. I wanted to be able to say “I’ve done something interesting in my life”: Interviews with surr</w:t>
      </w:r>
      <w:r>
        <w:rPr>
          <w:sz w:val="24"/>
          <w:szCs w:val="24"/>
          <w:lang w:val="en-US"/>
        </w:rPr>
        <w:t xml:space="preserve">ogate mothers in Britain’ (1994) 12 </w:t>
      </w:r>
      <w:r w:rsidRPr="009A4717">
        <w:rPr>
          <w:sz w:val="24"/>
          <w:szCs w:val="24"/>
          <w:lang w:val="en-US"/>
        </w:rPr>
        <w:t>Journal of Reproductive and Infant Psychology</w:t>
      </w:r>
      <w:r>
        <w:rPr>
          <w:sz w:val="24"/>
          <w:szCs w:val="24"/>
          <w:lang w:val="en-US"/>
        </w:rPr>
        <w:t xml:space="preserve"> 189, CH </w:t>
      </w:r>
      <w:proofErr w:type="spellStart"/>
      <w:r w:rsidRPr="009D40E1">
        <w:rPr>
          <w:sz w:val="24"/>
          <w:szCs w:val="24"/>
          <w:lang w:val="en-US"/>
        </w:rPr>
        <w:t>Kleinpeter</w:t>
      </w:r>
      <w:proofErr w:type="spellEnd"/>
      <w:r>
        <w:rPr>
          <w:sz w:val="24"/>
          <w:szCs w:val="24"/>
          <w:lang w:val="en-US"/>
        </w:rPr>
        <w:t xml:space="preserve">, </w:t>
      </w:r>
      <w:r w:rsidRPr="009D40E1">
        <w:rPr>
          <w:sz w:val="24"/>
          <w:szCs w:val="24"/>
          <w:lang w:val="en-US"/>
        </w:rPr>
        <w:t>and</w:t>
      </w:r>
      <w:r>
        <w:rPr>
          <w:sz w:val="24"/>
          <w:szCs w:val="24"/>
          <w:lang w:val="en-US"/>
        </w:rPr>
        <w:t xml:space="preserve"> MM </w:t>
      </w:r>
      <w:proofErr w:type="spellStart"/>
      <w:r w:rsidRPr="009D40E1">
        <w:rPr>
          <w:sz w:val="24"/>
          <w:szCs w:val="24"/>
          <w:lang w:val="en-US"/>
        </w:rPr>
        <w:t>Hohman</w:t>
      </w:r>
      <w:proofErr w:type="spellEnd"/>
      <w:r w:rsidRPr="009D40E1">
        <w:rPr>
          <w:sz w:val="24"/>
          <w:szCs w:val="24"/>
          <w:lang w:val="en-US"/>
        </w:rPr>
        <w:t>,</w:t>
      </w:r>
      <w:r>
        <w:rPr>
          <w:sz w:val="24"/>
          <w:szCs w:val="24"/>
          <w:lang w:val="en-US"/>
        </w:rPr>
        <w:t xml:space="preserve"> </w:t>
      </w:r>
      <w:r w:rsidRPr="009D40E1">
        <w:rPr>
          <w:sz w:val="24"/>
          <w:szCs w:val="24"/>
          <w:lang w:val="en-US"/>
        </w:rPr>
        <w:t>Surrogate Motherhood: Personality Traits and Satisfaction</w:t>
      </w:r>
      <w:r>
        <w:rPr>
          <w:sz w:val="24"/>
          <w:szCs w:val="24"/>
          <w:lang w:val="en-US"/>
        </w:rPr>
        <w:t xml:space="preserve"> with Service Providers’ (2000) 87 </w:t>
      </w:r>
      <w:r w:rsidRPr="00B8431F">
        <w:rPr>
          <w:sz w:val="24"/>
          <w:szCs w:val="24"/>
          <w:lang w:val="en-US"/>
        </w:rPr>
        <w:t>Psychological Reports</w:t>
      </w:r>
      <w:r>
        <w:rPr>
          <w:sz w:val="24"/>
          <w:szCs w:val="24"/>
          <w:lang w:val="en-US"/>
        </w:rPr>
        <w:t xml:space="preserve">, 957, O </w:t>
      </w:r>
      <w:r w:rsidRPr="009D40E1">
        <w:rPr>
          <w:sz w:val="24"/>
          <w:szCs w:val="24"/>
          <w:lang w:val="en-US"/>
        </w:rPr>
        <w:t xml:space="preserve">Van Den </w:t>
      </w:r>
      <w:proofErr w:type="spellStart"/>
      <w:r w:rsidRPr="009D40E1">
        <w:rPr>
          <w:sz w:val="24"/>
          <w:szCs w:val="24"/>
          <w:lang w:val="en-US"/>
        </w:rPr>
        <w:t>Akker</w:t>
      </w:r>
      <w:proofErr w:type="spellEnd"/>
      <w:r>
        <w:rPr>
          <w:sz w:val="24"/>
          <w:szCs w:val="24"/>
          <w:lang w:val="en-US"/>
        </w:rPr>
        <w:t>,  ‘</w:t>
      </w:r>
      <w:r w:rsidRPr="009D40E1">
        <w:rPr>
          <w:sz w:val="24"/>
          <w:szCs w:val="24"/>
          <w:lang w:val="en-US"/>
        </w:rPr>
        <w:t>Surrogate Mot</w:t>
      </w:r>
      <w:r>
        <w:rPr>
          <w:sz w:val="24"/>
          <w:szCs w:val="24"/>
          <w:lang w:val="en-US"/>
        </w:rPr>
        <w:t xml:space="preserve">herhood: A critical perspective’ (2007) </w:t>
      </w:r>
      <w:r w:rsidRPr="009D40E1">
        <w:rPr>
          <w:sz w:val="24"/>
          <w:szCs w:val="24"/>
          <w:lang w:val="en-US"/>
        </w:rPr>
        <w:t xml:space="preserve">13 </w:t>
      </w:r>
      <w:r w:rsidRPr="00B8431F">
        <w:rPr>
          <w:sz w:val="24"/>
          <w:szCs w:val="24"/>
          <w:lang w:val="en-US"/>
        </w:rPr>
        <w:t>Human Reproduction Update</w:t>
      </w:r>
      <w:r>
        <w:rPr>
          <w:sz w:val="24"/>
          <w:szCs w:val="24"/>
          <w:lang w:val="en-US"/>
        </w:rPr>
        <w:t xml:space="preserve"> 53, A </w:t>
      </w:r>
      <w:proofErr w:type="spellStart"/>
      <w:r w:rsidRPr="009D40E1">
        <w:rPr>
          <w:sz w:val="24"/>
          <w:szCs w:val="24"/>
          <w:lang w:val="en-US"/>
        </w:rPr>
        <w:t>Pande</w:t>
      </w:r>
      <w:proofErr w:type="spellEnd"/>
      <w:r>
        <w:rPr>
          <w:sz w:val="24"/>
          <w:szCs w:val="24"/>
          <w:lang w:val="en-US"/>
        </w:rPr>
        <w:t>,  ‘</w:t>
      </w:r>
      <w:r w:rsidRPr="009D40E1">
        <w:rPr>
          <w:sz w:val="24"/>
          <w:szCs w:val="24"/>
          <w:lang w:val="en-US"/>
        </w:rPr>
        <w:t xml:space="preserve">Commercial Surrogacy in India: Manufacturing </w:t>
      </w:r>
      <w:r>
        <w:rPr>
          <w:sz w:val="24"/>
          <w:szCs w:val="24"/>
          <w:lang w:val="en-US"/>
        </w:rPr>
        <w:t xml:space="preserve">a Perfect Mother Worker’ (2010) 35 </w:t>
      </w:r>
      <w:r w:rsidRPr="00B8431F">
        <w:rPr>
          <w:sz w:val="24"/>
          <w:szCs w:val="24"/>
          <w:lang w:val="en-US"/>
        </w:rPr>
        <w:t>Sign</w:t>
      </w:r>
      <w:r w:rsidRPr="009A4717">
        <w:rPr>
          <w:sz w:val="24"/>
          <w:szCs w:val="24"/>
          <w:lang w:val="en-US"/>
        </w:rPr>
        <w:t xml:space="preserve">s </w:t>
      </w:r>
      <w:r>
        <w:rPr>
          <w:sz w:val="24"/>
          <w:szCs w:val="24"/>
          <w:lang w:val="en-US"/>
        </w:rPr>
        <w:t xml:space="preserve">4, 969, S </w:t>
      </w:r>
      <w:proofErr w:type="spellStart"/>
      <w:r>
        <w:rPr>
          <w:sz w:val="24"/>
          <w:szCs w:val="24"/>
          <w:lang w:val="en-US"/>
        </w:rPr>
        <w:t>Golombok</w:t>
      </w:r>
      <w:proofErr w:type="spellEnd"/>
      <w:r>
        <w:rPr>
          <w:sz w:val="24"/>
          <w:szCs w:val="24"/>
          <w:lang w:val="en-US"/>
        </w:rPr>
        <w:t xml:space="preserve">, J Readings, L Blake, P </w:t>
      </w:r>
      <w:r w:rsidRPr="009D40E1">
        <w:rPr>
          <w:sz w:val="24"/>
          <w:szCs w:val="24"/>
          <w:lang w:val="en-US"/>
        </w:rPr>
        <w:t>Casey,</w:t>
      </w:r>
      <w:r>
        <w:rPr>
          <w:sz w:val="24"/>
          <w:szCs w:val="24"/>
          <w:lang w:val="en-US"/>
        </w:rPr>
        <w:t xml:space="preserve"> A </w:t>
      </w:r>
      <w:r w:rsidRPr="009D40E1">
        <w:rPr>
          <w:sz w:val="24"/>
          <w:szCs w:val="24"/>
          <w:lang w:val="en-US"/>
        </w:rPr>
        <w:t>Marks,</w:t>
      </w:r>
      <w:r>
        <w:rPr>
          <w:sz w:val="24"/>
          <w:szCs w:val="24"/>
          <w:lang w:val="en-US"/>
        </w:rPr>
        <w:t xml:space="preserve"> V </w:t>
      </w:r>
      <w:proofErr w:type="spellStart"/>
      <w:r w:rsidRPr="009D40E1">
        <w:rPr>
          <w:sz w:val="24"/>
          <w:szCs w:val="24"/>
          <w:lang w:val="en-US"/>
        </w:rPr>
        <w:t>Jadva</w:t>
      </w:r>
      <w:proofErr w:type="spellEnd"/>
      <w:r>
        <w:rPr>
          <w:sz w:val="24"/>
          <w:szCs w:val="24"/>
          <w:lang w:val="en-US"/>
        </w:rPr>
        <w:t>,  ‘</w:t>
      </w:r>
      <w:r w:rsidRPr="009D40E1">
        <w:rPr>
          <w:sz w:val="24"/>
          <w:szCs w:val="24"/>
          <w:lang w:val="en-US"/>
        </w:rPr>
        <w:t>Families created through surrogacy: mother-child relationships and children’s psychological adjustme</w:t>
      </w:r>
      <w:r>
        <w:rPr>
          <w:sz w:val="24"/>
          <w:szCs w:val="24"/>
          <w:lang w:val="en-US"/>
        </w:rPr>
        <w:t xml:space="preserve">nt at age 7’ (2011) 47 (6) </w:t>
      </w:r>
      <w:r w:rsidRPr="0025472D">
        <w:rPr>
          <w:sz w:val="24"/>
          <w:szCs w:val="24"/>
          <w:lang w:val="en-US"/>
        </w:rPr>
        <w:t>Developmental Psychology</w:t>
      </w:r>
      <w:r>
        <w:rPr>
          <w:i/>
          <w:sz w:val="24"/>
          <w:szCs w:val="24"/>
          <w:lang w:val="en-US"/>
        </w:rPr>
        <w:t xml:space="preserve">, </w:t>
      </w:r>
      <w:r>
        <w:rPr>
          <w:sz w:val="24"/>
          <w:szCs w:val="24"/>
          <w:lang w:val="en-US"/>
        </w:rPr>
        <w:t xml:space="preserve"> 1</w:t>
      </w:r>
      <w:r w:rsidRPr="009D40E1">
        <w:rPr>
          <w:sz w:val="24"/>
          <w:szCs w:val="24"/>
          <w:lang w:val="en-US"/>
        </w:rPr>
        <w:t>579</w:t>
      </w:r>
      <w:r>
        <w:rPr>
          <w:sz w:val="24"/>
          <w:szCs w:val="24"/>
          <w:lang w:val="en-US"/>
        </w:rPr>
        <w:t xml:space="preserve">,  V </w:t>
      </w:r>
      <w:proofErr w:type="spellStart"/>
      <w:r w:rsidRPr="009D40E1">
        <w:rPr>
          <w:sz w:val="24"/>
          <w:szCs w:val="24"/>
          <w:lang w:val="en-US"/>
        </w:rPr>
        <w:t>Jadva</w:t>
      </w:r>
      <w:proofErr w:type="spellEnd"/>
      <w:r w:rsidRPr="009D40E1">
        <w:rPr>
          <w:sz w:val="24"/>
          <w:szCs w:val="24"/>
          <w:lang w:val="en-US"/>
        </w:rPr>
        <w:t>,</w:t>
      </w:r>
      <w:r>
        <w:rPr>
          <w:sz w:val="24"/>
          <w:szCs w:val="24"/>
          <w:lang w:val="en-US"/>
        </w:rPr>
        <w:t xml:space="preserve">,  L Blake, P </w:t>
      </w:r>
      <w:r w:rsidRPr="009D40E1">
        <w:rPr>
          <w:sz w:val="24"/>
          <w:szCs w:val="24"/>
          <w:lang w:val="en-US"/>
        </w:rPr>
        <w:t>Casey</w:t>
      </w:r>
      <w:r>
        <w:rPr>
          <w:sz w:val="24"/>
          <w:szCs w:val="24"/>
          <w:lang w:val="en-US"/>
        </w:rPr>
        <w:t xml:space="preserve"> and S </w:t>
      </w:r>
      <w:proofErr w:type="spellStart"/>
      <w:r w:rsidRPr="009D40E1">
        <w:rPr>
          <w:sz w:val="24"/>
          <w:szCs w:val="24"/>
          <w:lang w:val="en-US"/>
        </w:rPr>
        <w:t>Golombok</w:t>
      </w:r>
      <w:proofErr w:type="spellEnd"/>
      <w:r>
        <w:rPr>
          <w:sz w:val="24"/>
          <w:szCs w:val="24"/>
          <w:lang w:val="en-US"/>
        </w:rPr>
        <w:t>,  ‘Surrogacy Families 10 Years O</w:t>
      </w:r>
      <w:r w:rsidRPr="009D40E1">
        <w:rPr>
          <w:sz w:val="24"/>
          <w:szCs w:val="24"/>
          <w:lang w:val="en-US"/>
        </w:rPr>
        <w:t>n: relationship with the surrogate, decisions over disclosure and the children’s understan</w:t>
      </w:r>
      <w:r>
        <w:rPr>
          <w:sz w:val="24"/>
          <w:szCs w:val="24"/>
          <w:lang w:val="en-US"/>
        </w:rPr>
        <w:t xml:space="preserve">ding of their surrogacy origin’ (2012) 27 </w:t>
      </w:r>
      <w:r w:rsidRPr="0025472D">
        <w:rPr>
          <w:sz w:val="24"/>
          <w:szCs w:val="24"/>
          <w:lang w:val="en-US"/>
        </w:rPr>
        <w:t>Human Reproduction</w:t>
      </w:r>
      <w:r>
        <w:rPr>
          <w:sz w:val="24"/>
          <w:szCs w:val="24"/>
          <w:lang w:val="en-US"/>
        </w:rPr>
        <w:t xml:space="preserve">  3008</w:t>
      </w:r>
      <w:r w:rsidRPr="009D40E1">
        <w:rPr>
          <w:sz w:val="24"/>
          <w:szCs w:val="24"/>
        </w:rPr>
        <w:t xml:space="preserve">, </w:t>
      </w:r>
      <w:r>
        <w:rPr>
          <w:sz w:val="24"/>
          <w:szCs w:val="24"/>
        </w:rPr>
        <w:t xml:space="preserve">S </w:t>
      </w:r>
      <w:proofErr w:type="spellStart"/>
      <w:r w:rsidRPr="009D40E1">
        <w:rPr>
          <w:sz w:val="24"/>
          <w:szCs w:val="24"/>
          <w:lang w:val="en-US"/>
        </w:rPr>
        <w:t>Imrie</w:t>
      </w:r>
      <w:proofErr w:type="spellEnd"/>
      <w:r>
        <w:rPr>
          <w:sz w:val="24"/>
          <w:szCs w:val="24"/>
          <w:lang w:val="en-US"/>
        </w:rPr>
        <w:t xml:space="preserve"> and V </w:t>
      </w:r>
      <w:proofErr w:type="spellStart"/>
      <w:r>
        <w:rPr>
          <w:sz w:val="24"/>
          <w:szCs w:val="24"/>
          <w:lang w:val="en-US"/>
        </w:rPr>
        <w:t>Jadva</w:t>
      </w:r>
      <w:proofErr w:type="spellEnd"/>
      <w:r>
        <w:rPr>
          <w:sz w:val="24"/>
          <w:szCs w:val="24"/>
          <w:lang w:val="en-US"/>
        </w:rPr>
        <w:t xml:space="preserve">, </w:t>
      </w:r>
      <w:r w:rsidRPr="009D40E1">
        <w:rPr>
          <w:sz w:val="24"/>
          <w:szCs w:val="24"/>
          <w:lang w:val="en-US"/>
        </w:rPr>
        <w:t xml:space="preserve"> ‘Surrogacy </w:t>
      </w:r>
      <w:r>
        <w:rPr>
          <w:sz w:val="24"/>
          <w:szCs w:val="24"/>
          <w:lang w:val="en-US"/>
        </w:rPr>
        <w:t xml:space="preserve">Law: a Call for Change?’ (2013) 5 </w:t>
      </w:r>
      <w:proofErr w:type="spellStart"/>
      <w:r w:rsidRPr="009A4717">
        <w:rPr>
          <w:sz w:val="24"/>
          <w:szCs w:val="24"/>
          <w:lang w:val="en-US"/>
        </w:rPr>
        <w:t>Bionews</w:t>
      </w:r>
      <w:proofErr w:type="spellEnd"/>
      <w:r>
        <w:rPr>
          <w:sz w:val="24"/>
          <w:szCs w:val="24"/>
          <w:lang w:val="en-US"/>
        </w:rPr>
        <w:t xml:space="preserve"> 716, E </w:t>
      </w:r>
      <w:proofErr w:type="spellStart"/>
      <w:r w:rsidRPr="009D40E1">
        <w:rPr>
          <w:sz w:val="24"/>
          <w:szCs w:val="24"/>
          <w:lang w:val="en-US"/>
        </w:rPr>
        <w:t>Teman</w:t>
      </w:r>
      <w:proofErr w:type="spellEnd"/>
      <w:r w:rsidRPr="009D40E1">
        <w:rPr>
          <w:sz w:val="24"/>
          <w:szCs w:val="24"/>
          <w:lang w:val="en-US"/>
        </w:rPr>
        <w:t>,</w:t>
      </w:r>
      <w:r>
        <w:rPr>
          <w:sz w:val="24"/>
          <w:szCs w:val="24"/>
          <w:lang w:val="en-US"/>
        </w:rPr>
        <w:t xml:space="preserve"> </w:t>
      </w:r>
      <w:r w:rsidRPr="00097692">
        <w:rPr>
          <w:i/>
          <w:sz w:val="24"/>
          <w:szCs w:val="24"/>
          <w:lang w:val="en-US"/>
        </w:rPr>
        <w:t>Birthing a Mother</w:t>
      </w:r>
      <w:r w:rsidRPr="009D40E1">
        <w:rPr>
          <w:sz w:val="24"/>
          <w:szCs w:val="24"/>
          <w:lang w:val="en-US"/>
        </w:rPr>
        <w:t xml:space="preserve">: </w:t>
      </w:r>
      <w:r w:rsidRPr="009D40E1">
        <w:rPr>
          <w:i/>
          <w:sz w:val="24"/>
          <w:szCs w:val="24"/>
          <w:lang w:val="en-US"/>
        </w:rPr>
        <w:t>The Surrogate Body and the Pregnant Self</w:t>
      </w:r>
      <w:r>
        <w:rPr>
          <w:sz w:val="24"/>
          <w:szCs w:val="24"/>
          <w:lang w:val="en-US"/>
        </w:rPr>
        <w:t>, (</w:t>
      </w:r>
      <w:r w:rsidRPr="009D40E1">
        <w:rPr>
          <w:sz w:val="24"/>
          <w:szCs w:val="24"/>
          <w:lang w:val="en-US"/>
        </w:rPr>
        <w:t>Univ</w:t>
      </w:r>
      <w:r>
        <w:rPr>
          <w:sz w:val="24"/>
          <w:szCs w:val="24"/>
          <w:lang w:val="en-US"/>
        </w:rPr>
        <w:t xml:space="preserve">ersity of California Press 2010) and L Blake, N </w:t>
      </w:r>
      <w:proofErr w:type="spellStart"/>
      <w:r>
        <w:rPr>
          <w:sz w:val="24"/>
          <w:szCs w:val="24"/>
          <w:lang w:val="en-US"/>
        </w:rPr>
        <w:t>Carone</w:t>
      </w:r>
      <w:proofErr w:type="spellEnd"/>
      <w:r>
        <w:rPr>
          <w:sz w:val="24"/>
          <w:szCs w:val="24"/>
          <w:lang w:val="en-US"/>
        </w:rPr>
        <w:t xml:space="preserve">, E </w:t>
      </w:r>
      <w:proofErr w:type="spellStart"/>
      <w:r>
        <w:rPr>
          <w:sz w:val="24"/>
          <w:szCs w:val="24"/>
          <w:lang w:val="en-US"/>
        </w:rPr>
        <w:t>Raffanello</w:t>
      </w:r>
      <w:proofErr w:type="spellEnd"/>
      <w:r>
        <w:rPr>
          <w:sz w:val="24"/>
          <w:szCs w:val="24"/>
          <w:lang w:val="en-US"/>
        </w:rPr>
        <w:t xml:space="preserve">, J </w:t>
      </w:r>
      <w:proofErr w:type="spellStart"/>
      <w:r>
        <w:rPr>
          <w:sz w:val="24"/>
          <w:szCs w:val="24"/>
          <w:lang w:val="en-US"/>
        </w:rPr>
        <w:t>Slutsky</w:t>
      </w:r>
      <w:proofErr w:type="spellEnd"/>
      <w:r>
        <w:rPr>
          <w:sz w:val="24"/>
          <w:szCs w:val="24"/>
          <w:lang w:val="en-US"/>
        </w:rPr>
        <w:t xml:space="preserve">, AA </w:t>
      </w:r>
      <w:proofErr w:type="spellStart"/>
      <w:r>
        <w:rPr>
          <w:sz w:val="24"/>
          <w:szCs w:val="24"/>
          <w:lang w:val="en-US"/>
        </w:rPr>
        <w:t>Ehrhardt</w:t>
      </w:r>
      <w:proofErr w:type="spellEnd"/>
      <w:r>
        <w:rPr>
          <w:sz w:val="24"/>
          <w:szCs w:val="24"/>
          <w:lang w:val="en-US"/>
        </w:rPr>
        <w:t xml:space="preserve">, and S </w:t>
      </w:r>
      <w:proofErr w:type="spellStart"/>
      <w:r>
        <w:rPr>
          <w:sz w:val="24"/>
          <w:szCs w:val="24"/>
          <w:lang w:val="en-US"/>
        </w:rPr>
        <w:t>Golombok</w:t>
      </w:r>
      <w:proofErr w:type="spellEnd"/>
      <w:r>
        <w:rPr>
          <w:sz w:val="24"/>
          <w:szCs w:val="24"/>
          <w:lang w:val="en-US"/>
        </w:rPr>
        <w:t xml:space="preserve">, ‘Gay Fathers’ Motivations for and Feelings about Surrogacy as a Path to Parenthood’ (2017) 32 (4) </w:t>
      </w:r>
      <w:r w:rsidRPr="00885BCF">
        <w:rPr>
          <w:sz w:val="24"/>
          <w:szCs w:val="24"/>
          <w:lang w:val="en-US"/>
        </w:rPr>
        <w:t>Human Reproduction</w:t>
      </w:r>
      <w:r>
        <w:rPr>
          <w:sz w:val="24"/>
          <w:szCs w:val="24"/>
          <w:lang w:val="en-US"/>
        </w:rPr>
        <w:t>, 860.</w:t>
      </w:r>
    </w:p>
  </w:footnote>
  <w:footnote w:id="20">
    <w:p w14:paraId="068D4B96" w14:textId="77777777" w:rsidR="00D47EBF" w:rsidRPr="008C5105" w:rsidRDefault="00D47EBF" w:rsidP="008C5105">
      <w:pPr>
        <w:pStyle w:val="EndnoteText"/>
        <w:rPr>
          <w:sz w:val="24"/>
          <w:szCs w:val="24"/>
          <w:lang w:val="en-US"/>
        </w:rPr>
      </w:pPr>
      <w:r>
        <w:rPr>
          <w:rStyle w:val="FootnoteReference"/>
        </w:rPr>
        <w:footnoteRef/>
      </w:r>
      <w:r>
        <w:t xml:space="preserve"> </w:t>
      </w:r>
      <w:r w:rsidRPr="009D40E1">
        <w:rPr>
          <w:sz w:val="24"/>
          <w:szCs w:val="24"/>
        </w:rPr>
        <w:t>See for exampl</w:t>
      </w:r>
      <w:r>
        <w:rPr>
          <w:sz w:val="24"/>
          <w:szCs w:val="24"/>
        </w:rPr>
        <w:t xml:space="preserve">e, British Medical Association, </w:t>
      </w:r>
      <w:r w:rsidRPr="009D40E1">
        <w:rPr>
          <w:i/>
          <w:sz w:val="24"/>
          <w:szCs w:val="24"/>
        </w:rPr>
        <w:t>Changing Conceptions of Motherhood</w:t>
      </w:r>
      <w:r>
        <w:rPr>
          <w:sz w:val="24"/>
          <w:szCs w:val="24"/>
        </w:rPr>
        <w:t xml:space="preserve"> (BMA publications 1996), 8, M </w:t>
      </w:r>
      <w:proofErr w:type="spellStart"/>
      <w:r>
        <w:rPr>
          <w:sz w:val="24"/>
          <w:szCs w:val="24"/>
        </w:rPr>
        <w:t>Crawshaw</w:t>
      </w:r>
      <w:proofErr w:type="spellEnd"/>
      <w:r>
        <w:rPr>
          <w:sz w:val="24"/>
          <w:szCs w:val="24"/>
        </w:rPr>
        <w:t xml:space="preserve">, E </w:t>
      </w:r>
      <w:r w:rsidRPr="009D40E1">
        <w:rPr>
          <w:sz w:val="24"/>
          <w:szCs w:val="24"/>
        </w:rPr>
        <w:t>Blyth</w:t>
      </w:r>
      <w:r>
        <w:rPr>
          <w:sz w:val="24"/>
          <w:szCs w:val="24"/>
        </w:rPr>
        <w:t xml:space="preserve"> and O Van Den </w:t>
      </w:r>
      <w:proofErr w:type="spellStart"/>
      <w:r>
        <w:rPr>
          <w:sz w:val="24"/>
          <w:szCs w:val="24"/>
        </w:rPr>
        <w:t>Akker</w:t>
      </w:r>
      <w:proofErr w:type="spellEnd"/>
      <w:r>
        <w:rPr>
          <w:sz w:val="24"/>
          <w:szCs w:val="24"/>
        </w:rPr>
        <w:t>,  ‘</w:t>
      </w:r>
      <w:r w:rsidRPr="009D40E1">
        <w:rPr>
          <w:sz w:val="24"/>
          <w:szCs w:val="24"/>
        </w:rPr>
        <w:t>The Changing Profile of Surrogacy in the UK – Implications for National and Internati</w:t>
      </w:r>
      <w:r>
        <w:rPr>
          <w:sz w:val="24"/>
          <w:szCs w:val="24"/>
        </w:rPr>
        <w:t>onal Policy and Practice’ (2012)</w:t>
      </w:r>
      <w:r w:rsidRPr="009D40E1">
        <w:rPr>
          <w:sz w:val="24"/>
          <w:szCs w:val="24"/>
        </w:rPr>
        <w:t xml:space="preserve"> </w:t>
      </w:r>
      <w:r>
        <w:rPr>
          <w:sz w:val="24"/>
          <w:szCs w:val="24"/>
        </w:rPr>
        <w:t xml:space="preserve">43 (3) </w:t>
      </w:r>
      <w:r w:rsidRPr="009A4717">
        <w:rPr>
          <w:sz w:val="24"/>
          <w:szCs w:val="24"/>
        </w:rPr>
        <w:t>Journal of Social Welfare and Family Law</w:t>
      </w:r>
      <w:r>
        <w:rPr>
          <w:i/>
          <w:sz w:val="24"/>
          <w:szCs w:val="24"/>
        </w:rPr>
        <w:t>,</w:t>
      </w:r>
      <w:r>
        <w:rPr>
          <w:sz w:val="24"/>
          <w:szCs w:val="24"/>
        </w:rPr>
        <w:t xml:space="preserve"> 267.</w:t>
      </w:r>
    </w:p>
  </w:footnote>
  <w:footnote w:id="21">
    <w:p w14:paraId="7599732F" w14:textId="77777777" w:rsidR="00D47EBF" w:rsidRPr="00624BBF" w:rsidRDefault="00D47EBF" w:rsidP="00792B3A">
      <w:r>
        <w:rPr>
          <w:rStyle w:val="FootnoteReference"/>
        </w:rPr>
        <w:footnoteRef/>
      </w:r>
      <w:r>
        <w:t xml:space="preserve"> See for example, S </w:t>
      </w:r>
      <w:proofErr w:type="spellStart"/>
      <w:r>
        <w:t>Purewal</w:t>
      </w:r>
      <w:proofErr w:type="spellEnd"/>
      <w:r>
        <w:t xml:space="preserve">, M </w:t>
      </w:r>
      <w:proofErr w:type="spellStart"/>
      <w:r w:rsidRPr="009D40E1">
        <w:t>Crawshaw</w:t>
      </w:r>
      <w:proofErr w:type="spellEnd"/>
      <w:r>
        <w:t xml:space="preserve"> and O Van Den </w:t>
      </w:r>
      <w:proofErr w:type="spellStart"/>
      <w:r>
        <w:t>Akker</w:t>
      </w:r>
      <w:proofErr w:type="spellEnd"/>
      <w:r>
        <w:t xml:space="preserve">, </w:t>
      </w:r>
      <w:r w:rsidRPr="009D40E1">
        <w:t>Completing the surrogate motherhood process: Parental order reporters’ attitudes towards surrogacy arrangements, role amb</w:t>
      </w:r>
      <w:r>
        <w:t xml:space="preserve">iguity and role conflict’ </w:t>
      </w:r>
      <w:r w:rsidRPr="009D40E1">
        <w:t xml:space="preserve"> </w:t>
      </w:r>
      <w:r>
        <w:t xml:space="preserve">(2012) 15 (2) </w:t>
      </w:r>
      <w:r w:rsidRPr="00536421">
        <w:t>Human Fertility</w:t>
      </w:r>
      <w:r>
        <w:t xml:space="preserve"> 94, M </w:t>
      </w:r>
      <w:proofErr w:type="spellStart"/>
      <w:r>
        <w:t>Crawshaw</w:t>
      </w:r>
      <w:proofErr w:type="spellEnd"/>
      <w:r>
        <w:t xml:space="preserve">, S </w:t>
      </w:r>
      <w:proofErr w:type="spellStart"/>
      <w:r w:rsidRPr="009D40E1">
        <w:t>Purewal</w:t>
      </w:r>
      <w:proofErr w:type="spellEnd"/>
      <w:r>
        <w:t xml:space="preserve"> and O </w:t>
      </w:r>
      <w:r w:rsidRPr="009D40E1">
        <w:t xml:space="preserve">Van Den </w:t>
      </w:r>
      <w:proofErr w:type="spellStart"/>
      <w:r w:rsidRPr="009D40E1">
        <w:t>Akker</w:t>
      </w:r>
      <w:proofErr w:type="spellEnd"/>
      <w:r w:rsidRPr="009D40E1">
        <w:t>,</w:t>
      </w:r>
      <w:r>
        <w:t xml:space="preserve"> </w:t>
      </w:r>
      <w:r w:rsidRPr="009D40E1">
        <w:t>Working at the Margins: The Views and Experiences of Court Social Workers on Parental Orders Work i</w:t>
      </w:r>
      <w:r>
        <w:t>n Surrogacy Arrangements (2013)</w:t>
      </w:r>
      <w:r w:rsidRPr="009D40E1">
        <w:t xml:space="preserve"> </w:t>
      </w:r>
      <w:r>
        <w:t xml:space="preserve">43 </w:t>
      </w:r>
      <w:r w:rsidRPr="00536421">
        <w:t>British Journal of Social Work</w:t>
      </w:r>
      <w:r>
        <w:t>, 1225.</w:t>
      </w:r>
    </w:p>
  </w:footnote>
  <w:footnote w:id="22">
    <w:p w14:paraId="1AE4CD09" w14:textId="77777777" w:rsidR="00D47EBF" w:rsidRPr="00A4134A" w:rsidRDefault="00D47EBF">
      <w:pPr>
        <w:pStyle w:val="FootnoteText"/>
        <w:rPr>
          <w:lang w:val="en-US"/>
        </w:rPr>
      </w:pPr>
      <w:r>
        <w:rPr>
          <w:rStyle w:val="FootnoteReference"/>
        </w:rPr>
        <w:footnoteRef/>
      </w:r>
      <w:r>
        <w:t xml:space="preserve"> </w:t>
      </w:r>
      <w:r>
        <w:rPr>
          <w:lang w:val="en-US"/>
        </w:rPr>
        <w:t xml:space="preserve">John Gibbons, </w:t>
      </w:r>
      <w:r w:rsidRPr="00CF2B9C">
        <w:rPr>
          <w:i/>
          <w:lang w:val="en-US"/>
        </w:rPr>
        <w:t>Forensic Linguistics: An Introduction to Language in the Justice System</w:t>
      </w:r>
      <w:r>
        <w:rPr>
          <w:lang w:val="en-US"/>
        </w:rPr>
        <w:t xml:space="preserve"> (First published 2003, Blackwell Publishing 2005).</w:t>
      </w:r>
    </w:p>
  </w:footnote>
  <w:footnote w:id="23">
    <w:p w14:paraId="569A8897" w14:textId="77777777" w:rsidR="00D47EBF" w:rsidRPr="00837CBD" w:rsidRDefault="00D47EBF">
      <w:pPr>
        <w:pStyle w:val="FootnoteText"/>
        <w:rPr>
          <w:lang w:val="en-US"/>
        </w:rPr>
      </w:pPr>
      <w:r>
        <w:rPr>
          <w:rStyle w:val="FootnoteReference"/>
        </w:rPr>
        <w:footnoteRef/>
      </w:r>
      <w:r>
        <w:t xml:space="preserve"> </w:t>
      </w:r>
      <w:r>
        <w:rPr>
          <w:lang w:val="en-US"/>
        </w:rPr>
        <w:t>S Hale and J Gibbons, ‘Varying Realities Patterned Changes in the Interpreter’s Representation of Courtroom and External Realities’ (1999) 20 (2) Applied Linguistics, 57.</w:t>
      </w:r>
    </w:p>
  </w:footnote>
  <w:footnote w:id="24">
    <w:p w14:paraId="0176FD26" w14:textId="77777777" w:rsidR="00D47EBF" w:rsidRPr="00CA06A6" w:rsidRDefault="00D47EBF" w:rsidP="005A3A83">
      <w:pPr>
        <w:pStyle w:val="FootnoteText"/>
        <w:rPr>
          <w:lang w:val="en-US"/>
        </w:rPr>
      </w:pPr>
      <w:r>
        <w:rPr>
          <w:rStyle w:val="FootnoteReference"/>
        </w:rPr>
        <w:footnoteRef/>
      </w:r>
      <w:r>
        <w:t xml:space="preserve"> </w:t>
      </w:r>
      <w:proofErr w:type="gramStart"/>
      <w:r>
        <w:rPr>
          <w:lang w:val="en-US"/>
        </w:rPr>
        <w:t>Gibbons (n 22), 147.</w:t>
      </w:r>
      <w:proofErr w:type="gramEnd"/>
    </w:p>
  </w:footnote>
  <w:footnote w:id="25">
    <w:p w14:paraId="4CDA4AAF" w14:textId="77777777" w:rsidR="00D47EBF" w:rsidRPr="0073388D" w:rsidRDefault="00D47EBF" w:rsidP="005A3A83">
      <w:pPr>
        <w:pStyle w:val="FootnoteText"/>
        <w:rPr>
          <w:lang w:val="en-US"/>
        </w:rPr>
      </w:pPr>
      <w:r>
        <w:rPr>
          <w:rStyle w:val="FootnoteReference"/>
        </w:rPr>
        <w:footnoteRef/>
      </w:r>
      <w:r>
        <w:rPr>
          <w:lang w:val="en-US"/>
        </w:rPr>
        <w:t xml:space="preserve"> </w:t>
      </w:r>
      <w:proofErr w:type="gramStart"/>
      <w:r>
        <w:rPr>
          <w:lang w:val="en-US"/>
        </w:rPr>
        <w:t>Ibid 150.</w:t>
      </w:r>
      <w:proofErr w:type="gramEnd"/>
      <w:r>
        <w:rPr>
          <w:lang w:val="en-US"/>
        </w:rPr>
        <w:t xml:space="preserve"> </w:t>
      </w:r>
    </w:p>
  </w:footnote>
  <w:footnote w:id="26">
    <w:p w14:paraId="6D6FF809" w14:textId="77777777" w:rsidR="00D47EBF" w:rsidRPr="00994577" w:rsidRDefault="00D47EBF" w:rsidP="007C3BF2">
      <w:pPr>
        <w:pStyle w:val="FootnoteText"/>
        <w:rPr>
          <w:lang w:val="en-US"/>
        </w:rPr>
      </w:pPr>
      <w:r>
        <w:rPr>
          <w:rStyle w:val="FootnoteReference"/>
        </w:rPr>
        <w:footnoteRef/>
      </w:r>
      <w:r>
        <w:t xml:space="preserve"> </w:t>
      </w:r>
      <w:proofErr w:type="gramStart"/>
      <w:r>
        <w:rPr>
          <w:lang w:val="en-US"/>
        </w:rPr>
        <w:t>Gibbons (n 22) 10.</w:t>
      </w:r>
      <w:proofErr w:type="gramEnd"/>
    </w:p>
  </w:footnote>
  <w:footnote w:id="27">
    <w:p w14:paraId="7B8B5C1D" w14:textId="77777777" w:rsidR="00D47EBF" w:rsidRPr="00A802E4" w:rsidRDefault="00D47EBF">
      <w:pPr>
        <w:pStyle w:val="FootnoteText"/>
      </w:pPr>
      <w:r>
        <w:rPr>
          <w:rStyle w:val="FootnoteReference"/>
        </w:rPr>
        <w:footnoteRef/>
      </w:r>
      <w:r>
        <w:t xml:space="preserve"> 17 of the files contained both witness statements and parental order reports, 7 of the files contained only witness statements and 6 of the files contained only parental order reports. Files were accessed on specific pre-arranged dates and were to be accessed on an ‘as is’ basis unless there was a complete absence of data that met the author’s criteria</w:t>
      </w:r>
    </w:p>
  </w:footnote>
  <w:footnote w:id="28">
    <w:p w14:paraId="2C59C5A3" w14:textId="77777777" w:rsidR="00D47EBF" w:rsidRPr="005A3A83" w:rsidRDefault="00D47EBF" w:rsidP="0096219E">
      <w:pPr>
        <w:pStyle w:val="EndnoteText"/>
        <w:rPr>
          <w:sz w:val="24"/>
          <w:szCs w:val="24"/>
          <w:lang w:val="en-US"/>
        </w:rPr>
      </w:pPr>
      <w:r>
        <w:rPr>
          <w:rStyle w:val="FootnoteReference"/>
        </w:rPr>
        <w:footnoteRef/>
      </w:r>
      <w:r>
        <w:t xml:space="preserve"> J </w:t>
      </w:r>
      <w:r>
        <w:rPr>
          <w:sz w:val="24"/>
          <w:szCs w:val="24"/>
          <w:lang w:val="en-US"/>
        </w:rPr>
        <w:t>Bruner</w:t>
      </w:r>
      <w:r w:rsidRPr="009D40E1">
        <w:rPr>
          <w:sz w:val="24"/>
          <w:szCs w:val="24"/>
          <w:lang w:val="en-US"/>
        </w:rPr>
        <w:t xml:space="preserve"> </w:t>
      </w:r>
      <w:r w:rsidRPr="009D40E1">
        <w:rPr>
          <w:i/>
          <w:sz w:val="24"/>
          <w:szCs w:val="24"/>
          <w:lang w:val="en-US"/>
        </w:rPr>
        <w:t>Making Stories</w:t>
      </w:r>
      <w:r>
        <w:rPr>
          <w:sz w:val="24"/>
          <w:szCs w:val="24"/>
          <w:lang w:val="en-US"/>
        </w:rPr>
        <w:t xml:space="preserve"> (Harvard University Press 2003)</w:t>
      </w:r>
      <w:r w:rsidRPr="009D40E1">
        <w:rPr>
          <w:sz w:val="24"/>
          <w:szCs w:val="24"/>
          <w:lang w:val="en-US"/>
        </w:rPr>
        <w:t>.</w:t>
      </w:r>
    </w:p>
  </w:footnote>
  <w:footnote w:id="29">
    <w:p w14:paraId="0AFFD6DC" w14:textId="77777777" w:rsidR="00D47EBF" w:rsidRPr="00674CED" w:rsidRDefault="00D47EBF" w:rsidP="0096219E">
      <w:pPr>
        <w:pStyle w:val="FootnoteText"/>
        <w:rPr>
          <w:lang w:val="en-US"/>
        </w:rPr>
      </w:pPr>
      <w:r>
        <w:rPr>
          <w:rStyle w:val="FootnoteReference"/>
        </w:rPr>
        <w:footnoteRef/>
      </w:r>
      <w:r>
        <w:t xml:space="preserve"> Applying a word of phrase to an object or action figuratively. </w:t>
      </w:r>
      <w:r>
        <w:rPr>
          <w:lang w:val="en-US"/>
        </w:rPr>
        <w:t xml:space="preserve">See the work of George </w:t>
      </w:r>
      <w:proofErr w:type="spellStart"/>
      <w:r>
        <w:rPr>
          <w:lang w:val="en-US"/>
        </w:rPr>
        <w:t>Lakoff</w:t>
      </w:r>
      <w:proofErr w:type="spellEnd"/>
      <w:r>
        <w:rPr>
          <w:lang w:val="en-US"/>
        </w:rPr>
        <w:t xml:space="preserve"> and Mark Johnson, </w:t>
      </w:r>
      <w:r w:rsidRPr="000D1854">
        <w:rPr>
          <w:i/>
          <w:lang w:val="en-US"/>
        </w:rPr>
        <w:t>Metaphors We Live By</w:t>
      </w:r>
      <w:r>
        <w:rPr>
          <w:i/>
          <w:lang w:val="en-US"/>
        </w:rPr>
        <w:t xml:space="preserve"> </w:t>
      </w:r>
      <w:r>
        <w:rPr>
          <w:lang w:val="en-US"/>
        </w:rPr>
        <w:t>(First published 1980, The University of Chicago Press 2003).</w:t>
      </w:r>
    </w:p>
  </w:footnote>
  <w:footnote w:id="30">
    <w:p w14:paraId="13E264D4" w14:textId="77777777" w:rsidR="00D47EBF" w:rsidRPr="00190CFA" w:rsidRDefault="00D47EBF" w:rsidP="0096219E">
      <w:pPr>
        <w:pStyle w:val="FootnoteText"/>
        <w:rPr>
          <w:lang w:val="en-US"/>
        </w:rPr>
      </w:pPr>
      <w:r>
        <w:rPr>
          <w:rStyle w:val="FootnoteReference"/>
        </w:rPr>
        <w:footnoteRef/>
      </w:r>
      <w:r>
        <w:t xml:space="preserve"> Gunther Kress, </w:t>
      </w:r>
      <w:r w:rsidRPr="00810362">
        <w:rPr>
          <w:i/>
        </w:rPr>
        <w:t>Linguistic Processes in Sociocultural Practice</w:t>
      </w:r>
      <w:r>
        <w:t xml:space="preserve"> (Second edition, Oxford University Press 1989), 70.</w:t>
      </w:r>
    </w:p>
  </w:footnote>
  <w:footnote w:id="31">
    <w:p w14:paraId="6F42E79D" w14:textId="77777777" w:rsidR="00D47EBF" w:rsidRPr="00231A4C" w:rsidRDefault="00D47EBF">
      <w:pPr>
        <w:pStyle w:val="FootnoteText"/>
      </w:pPr>
      <w:r>
        <w:rPr>
          <w:rStyle w:val="FootnoteReference"/>
        </w:rPr>
        <w:footnoteRef/>
      </w:r>
      <w:r>
        <w:t xml:space="preserve"> The number of files was arrived at by HMCTS after conducting a search of their case management system ‘FamilyMan’for those cases involving parental order applications in the High Court or Principal Registry for the period 6</w:t>
      </w:r>
      <w:r w:rsidRPr="00231A4C">
        <w:rPr>
          <w:vertAlign w:val="superscript"/>
        </w:rPr>
        <w:t>th</w:t>
      </w:r>
      <w:r>
        <w:t xml:space="preserve"> April 2009 to the date of the grant of the author’s Privileged Access Agreement (January 2014).</w:t>
      </w:r>
    </w:p>
  </w:footnote>
  <w:footnote w:id="32">
    <w:p w14:paraId="74BC60A0" w14:textId="77777777" w:rsidR="00D47EBF" w:rsidRPr="00231A4C" w:rsidRDefault="00D47EBF">
      <w:pPr>
        <w:pStyle w:val="FootnoteText"/>
      </w:pPr>
      <w:r>
        <w:rPr>
          <w:rStyle w:val="FootnoteReference"/>
        </w:rPr>
        <w:footnoteRef/>
      </w:r>
      <w:r>
        <w:t xml:space="preserve"> It was not possible for the author to trawl through case files and select her own sample as this was not permitted under the terms of the Privileged Access Agreement as it would have been disruptive to court time and business.</w:t>
      </w:r>
    </w:p>
  </w:footnote>
  <w:footnote w:id="33">
    <w:p w14:paraId="79D3DE38" w14:textId="77777777" w:rsidR="00D47EBF" w:rsidRPr="00C24B17" w:rsidRDefault="00D47EBF">
      <w:pPr>
        <w:pStyle w:val="FootnoteText"/>
        <w:rPr>
          <w:lang w:val="en-US"/>
        </w:rPr>
      </w:pPr>
      <w:r>
        <w:rPr>
          <w:rStyle w:val="FootnoteReference"/>
        </w:rPr>
        <w:footnoteRef/>
      </w:r>
      <w:r>
        <w:t xml:space="preserve"> </w:t>
      </w:r>
      <w:r>
        <w:rPr>
          <w:lang w:val="en-US"/>
        </w:rPr>
        <w:t xml:space="preserve">Whilst at the time of this article Parliament has agreed to consult on the amendment of the Human </w:t>
      </w:r>
      <w:proofErr w:type="spellStart"/>
      <w:r>
        <w:rPr>
          <w:lang w:val="en-US"/>
        </w:rPr>
        <w:t>Fertilisation</w:t>
      </w:r>
      <w:proofErr w:type="spellEnd"/>
      <w:r>
        <w:rPr>
          <w:lang w:val="en-US"/>
        </w:rPr>
        <w:t xml:space="preserve"> and Embryology Act 2008 to include single people following the decision in Re Z (A Child) (No.2) [2016] EWHC 1191 (</w:t>
      </w:r>
      <w:proofErr w:type="spellStart"/>
      <w:r>
        <w:rPr>
          <w:lang w:val="en-US"/>
        </w:rPr>
        <w:t>fam</w:t>
      </w:r>
      <w:proofErr w:type="spellEnd"/>
      <w:r>
        <w:rPr>
          <w:lang w:val="en-US"/>
        </w:rPr>
        <w:t>) this amendment was not in force at the time of the research.</w:t>
      </w:r>
    </w:p>
  </w:footnote>
  <w:footnote w:id="34">
    <w:p w14:paraId="50011389" w14:textId="77777777" w:rsidR="00D47EBF" w:rsidRPr="00231A4C" w:rsidRDefault="00D47EBF">
      <w:pPr>
        <w:pStyle w:val="FootnoteText"/>
      </w:pPr>
      <w:r>
        <w:rPr>
          <w:rStyle w:val="FootnoteReference"/>
        </w:rPr>
        <w:footnoteRef/>
      </w:r>
      <w:r>
        <w:t xml:space="preserve"> The inclusion of files was arrived at by HMCTS in consultation with the Ministry of Justice Data Access Panel and it is unknown to the author whether the equal inclusion of files by sexual orientation was accidental or by design.</w:t>
      </w:r>
    </w:p>
  </w:footnote>
  <w:footnote w:id="35">
    <w:p w14:paraId="54575F16" w14:textId="77777777" w:rsidR="00D47EBF" w:rsidRPr="004E00EC" w:rsidRDefault="00D47EBF">
      <w:pPr>
        <w:pStyle w:val="FootnoteText"/>
        <w:rPr>
          <w:lang w:val="en-US"/>
        </w:rPr>
      </w:pPr>
      <w:r>
        <w:rPr>
          <w:rStyle w:val="FootnoteReference"/>
        </w:rPr>
        <w:footnoteRef/>
      </w:r>
      <w:r>
        <w:t xml:space="preserve"> 47% of individuals came from this group</w:t>
      </w:r>
    </w:p>
  </w:footnote>
  <w:footnote w:id="36">
    <w:p w14:paraId="36E7B38C" w14:textId="77777777" w:rsidR="00D47EBF" w:rsidRPr="00B55D1C" w:rsidRDefault="00D47EBF">
      <w:pPr>
        <w:pStyle w:val="FootnoteText"/>
      </w:pPr>
      <w:r>
        <w:rPr>
          <w:rStyle w:val="FootnoteReference"/>
        </w:rPr>
        <w:footnoteRef/>
      </w:r>
      <w:r>
        <w:t xml:space="preserve"> 24% of individuals were from this higher occupational group.</w:t>
      </w:r>
    </w:p>
  </w:footnote>
  <w:footnote w:id="37">
    <w:p w14:paraId="71DFD28E" w14:textId="77777777" w:rsidR="00D47EBF" w:rsidRPr="004E00EC" w:rsidRDefault="00D47EBF">
      <w:pPr>
        <w:pStyle w:val="FootnoteText"/>
        <w:rPr>
          <w:lang w:val="en-US"/>
        </w:rPr>
      </w:pPr>
      <w:r>
        <w:rPr>
          <w:rStyle w:val="FootnoteReference"/>
        </w:rPr>
        <w:footnoteRef/>
      </w:r>
      <w:r>
        <w:t xml:space="preserve"> Approximately 3% of individuals declared themselves as ‘homemakers’ or ‘carers’.</w:t>
      </w:r>
    </w:p>
  </w:footnote>
  <w:footnote w:id="38">
    <w:p w14:paraId="329D837A" w14:textId="77777777" w:rsidR="00D47EBF" w:rsidRPr="004E00EC" w:rsidRDefault="00D47EBF">
      <w:pPr>
        <w:pStyle w:val="FootnoteText"/>
        <w:rPr>
          <w:lang w:val="en-US"/>
        </w:rPr>
      </w:pPr>
      <w:r>
        <w:rPr>
          <w:rStyle w:val="FootnoteReference"/>
        </w:rPr>
        <w:footnoteRef/>
      </w:r>
      <w:r>
        <w:t xml:space="preserve"> </w:t>
      </w:r>
      <w:proofErr w:type="gramStart"/>
      <w:r>
        <w:rPr>
          <w:lang w:val="en-US"/>
        </w:rPr>
        <w:t>Approximately 24% of individuals.</w:t>
      </w:r>
      <w:proofErr w:type="gramEnd"/>
      <w:r>
        <w:rPr>
          <w:lang w:val="en-US"/>
        </w:rPr>
        <w:t xml:space="preserve"> One file did not contain any information on the couple’s profession.</w:t>
      </w:r>
    </w:p>
  </w:footnote>
  <w:footnote w:id="39">
    <w:p w14:paraId="5FC9BCC1" w14:textId="77777777" w:rsidR="00D47EBF" w:rsidRPr="00A802E4" w:rsidRDefault="00D47EBF">
      <w:pPr>
        <w:pStyle w:val="FootnoteText"/>
      </w:pPr>
      <w:r>
        <w:rPr>
          <w:rStyle w:val="FootnoteReference"/>
        </w:rPr>
        <w:footnoteRef/>
      </w:r>
      <w:r>
        <w:t xml:space="preserve"> Cases were identified using the search term ‘surrogacy’ in legal databases such as Westlaw UK, Lawtel, Lexis Nexis and Family Law Online. The author then selected those cases that met the inclusion criteria for the research. Some of the court judgments related to the case files to which the author was granted access but as not all cases are reported it was not possible to match all case files to the selected court judgments to achieve true triangulation. </w:t>
      </w:r>
    </w:p>
  </w:footnote>
  <w:footnote w:id="40">
    <w:p w14:paraId="595B255C" w14:textId="77777777" w:rsidR="00D47EBF" w:rsidRPr="005A3A83" w:rsidRDefault="00D47EBF">
      <w:pPr>
        <w:pStyle w:val="FootnoteText"/>
        <w:rPr>
          <w:lang w:val="en-US"/>
        </w:rPr>
      </w:pPr>
      <w:r>
        <w:rPr>
          <w:rStyle w:val="FootnoteReference"/>
        </w:rPr>
        <w:footnoteRef/>
      </w:r>
      <w:r>
        <w:t xml:space="preserve"> Containing reference to other legal decisions or legal textbooks.</w:t>
      </w:r>
    </w:p>
  </w:footnote>
  <w:footnote w:id="41">
    <w:p w14:paraId="18B50DD2" w14:textId="77777777" w:rsidR="00D47EBF" w:rsidRPr="00986DCA" w:rsidRDefault="00D47EBF">
      <w:pPr>
        <w:pStyle w:val="FootnoteText"/>
        <w:rPr>
          <w:lang w:val="en-US"/>
        </w:rPr>
      </w:pPr>
      <w:r>
        <w:rPr>
          <w:rStyle w:val="FootnoteReference"/>
        </w:rPr>
        <w:footnoteRef/>
      </w:r>
      <w:r>
        <w:t xml:space="preserve"> </w:t>
      </w:r>
      <w:r>
        <w:rPr>
          <w:lang w:val="en-US"/>
        </w:rPr>
        <w:t xml:space="preserve">HES </w:t>
      </w:r>
      <w:proofErr w:type="spellStart"/>
      <w:r>
        <w:rPr>
          <w:lang w:val="en-US"/>
        </w:rPr>
        <w:t>Mattila</w:t>
      </w:r>
      <w:proofErr w:type="spellEnd"/>
      <w:r>
        <w:rPr>
          <w:lang w:val="en-US"/>
        </w:rPr>
        <w:t xml:space="preserve">, </w:t>
      </w:r>
      <w:r w:rsidRPr="00986DCA">
        <w:rPr>
          <w:i/>
          <w:lang w:val="en-US"/>
        </w:rPr>
        <w:t xml:space="preserve">Comparative Legal Linguistics: Language in Law, Latin and Modern Lingua </w:t>
      </w:r>
      <w:proofErr w:type="spellStart"/>
      <w:r w:rsidRPr="00986DCA">
        <w:rPr>
          <w:i/>
          <w:lang w:val="en-US"/>
        </w:rPr>
        <w:t>Francas</w:t>
      </w:r>
      <w:proofErr w:type="spellEnd"/>
      <w:r w:rsidRPr="00986DCA">
        <w:rPr>
          <w:i/>
          <w:lang w:val="en-US"/>
        </w:rPr>
        <w:t xml:space="preserve"> </w:t>
      </w:r>
      <w:r>
        <w:rPr>
          <w:lang w:val="en-US"/>
        </w:rPr>
        <w:t>(</w:t>
      </w:r>
      <w:proofErr w:type="spellStart"/>
      <w:r>
        <w:rPr>
          <w:lang w:val="en-US"/>
        </w:rPr>
        <w:t>Ashgate</w:t>
      </w:r>
      <w:proofErr w:type="spellEnd"/>
      <w:r>
        <w:rPr>
          <w:lang w:val="en-US"/>
        </w:rPr>
        <w:t xml:space="preserve"> 2013)</w:t>
      </w:r>
    </w:p>
  </w:footnote>
  <w:footnote w:id="42">
    <w:p w14:paraId="74DFEB21" w14:textId="77777777" w:rsidR="00D47EBF" w:rsidRPr="00231A4C" w:rsidRDefault="00D47EBF" w:rsidP="00EE5C46">
      <w:pPr>
        <w:pStyle w:val="FootnoteText"/>
      </w:pPr>
      <w:r>
        <w:rPr>
          <w:rStyle w:val="FootnoteReference"/>
        </w:rPr>
        <w:footnoteRef/>
      </w:r>
      <w:r>
        <w:t xml:space="preserve"> See Family Procedure Rules 2010 (as amended) Part 13 r 13 and r 14 although oral evidence may be given. In private correspondence to the author the lead family judge Mrs Justice Theis indicated that it was generally unusual for oral testimony to be given in parental order final hearings.</w:t>
      </w:r>
    </w:p>
  </w:footnote>
  <w:footnote w:id="43">
    <w:p w14:paraId="4D4C59E2" w14:textId="77777777" w:rsidR="00D47EBF" w:rsidRPr="00D96A0C" w:rsidRDefault="00D47EBF" w:rsidP="007775BA">
      <w:pPr>
        <w:pStyle w:val="FootnoteText"/>
        <w:rPr>
          <w:lang w:val="en-US"/>
        </w:rPr>
      </w:pPr>
      <w:r>
        <w:rPr>
          <w:rStyle w:val="FootnoteReference"/>
        </w:rPr>
        <w:footnoteRef/>
      </w:r>
      <w:r>
        <w:t xml:space="preserve"> </w:t>
      </w:r>
      <w:r>
        <w:rPr>
          <w:lang w:val="en-US"/>
        </w:rPr>
        <w:t xml:space="preserve">W </w:t>
      </w:r>
      <w:proofErr w:type="spellStart"/>
      <w:r>
        <w:rPr>
          <w:lang w:val="en-US"/>
        </w:rPr>
        <w:t>Labov</w:t>
      </w:r>
      <w:proofErr w:type="spellEnd"/>
      <w:r>
        <w:rPr>
          <w:lang w:val="en-US"/>
        </w:rPr>
        <w:t xml:space="preserve"> and J </w:t>
      </w:r>
      <w:proofErr w:type="spellStart"/>
      <w:r>
        <w:rPr>
          <w:lang w:val="en-US"/>
        </w:rPr>
        <w:t>Waletzky</w:t>
      </w:r>
      <w:proofErr w:type="spellEnd"/>
      <w:r>
        <w:rPr>
          <w:lang w:val="en-US"/>
        </w:rPr>
        <w:t>, ‘Narrative Analysis’ in J Helm (</w:t>
      </w:r>
      <w:proofErr w:type="spellStart"/>
      <w:r>
        <w:rPr>
          <w:lang w:val="en-US"/>
        </w:rPr>
        <w:t>ed</w:t>
      </w:r>
      <w:proofErr w:type="spellEnd"/>
      <w:r>
        <w:rPr>
          <w:lang w:val="en-US"/>
        </w:rPr>
        <w:t>) Essays on the Verbal and Visual Arts’ (University of Washington Press 1967), 19. This is an approach most closely associated with Narrative Research.</w:t>
      </w:r>
    </w:p>
  </w:footnote>
  <w:footnote w:id="44">
    <w:p w14:paraId="0521078D" w14:textId="77777777" w:rsidR="00D47EBF" w:rsidRPr="004E00EC" w:rsidRDefault="00D47EBF">
      <w:pPr>
        <w:pStyle w:val="FootnoteText"/>
        <w:rPr>
          <w:lang w:val="en-US"/>
        </w:rPr>
      </w:pPr>
      <w:r>
        <w:rPr>
          <w:rStyle w:val="FootnoteReference"/>
        </w:rPr>
        <w:footnoteRef/>
      </w:r>
      <w:r>
        <w:t xml:space="preserve"> </w:t>
      </w:r>
      <w:r>
        <w:rPr>
          <w:lang w:val="en-US"/>
        </w:rPr>
        <w:t>This is sometimes referred to as ‘the result’.</w:t>
      </w:r>
    </w:p>
  </w:footnote>
  <w:footnote w:id="45">
    <w:p w14:paraId="5F2B5488" w14:textId="77777777" w:rsidR="00D47EBF" w:rsidRPr="0051542A" w:rsidRDefault="00D47EBF" w:rsidP="00084638">
      <w:pPr>
        <w:pStyle w:val="FootnoteText"/>
        <w:rPr>
          <w:lang w:val="en-US"/>
        </w:rPr>
      </w:pPr>
      <w:r>
        <w:rPr>
          <w:rStyle w:val="FootnoteReference"/>
        </w:rPr>
        <w:footnoteRef/>
      </w:r>
      <w:r>
        <w:t xml:space="preserve"> </w:t>
      </w:r>
      <w:r>
        <w:rPr>
          <w:lang w:val="en-US"/>
        </w:rPr>
        <w:t>FPR 2010, Part 17 and Part 22.</w:t>
      </w:r>
    </w:p>
  </w:footnote>
  <w:footnote w:id="46">
    <w:p w14:paraId="1C56DAF9" w14:textId="77777777" w:rsidR="00D47EBF" w:rsidRPr="00D5757C" w:rsidRDefault="00D47EBF" w:rsidP="00084638">
      <w:pPr>
        <w:pStyle w:val="FootnoteText"/>
        <w:rPr>
          <w:lang w:val="en-US"/>
        </w:rPr>
      </w:pPr>
      <w:r>
        <w:rPr>
          <w:rStyle w:val="FootnoteReference"/>
        </w:rPr>
        <w:footnoteRef/>
      </w:r>
      <w:r>
        <w:t xml:space="preserve"> </w:t>
      </w:r>
      <w:r>
        <w:rPr>
          <w:lang w:val="en-US"/>
        </w:rPr>
        <w:t>Ibid, Part 22.</w:t>
      </w:r>
    </w:p>
  </w:footnote>
  <w:footnote w:id="47">
    <w:p w14:paraId="4B1B35B5" w14:textId="77777777" w:rsidR="00D47EBF" w:rsidRPr="004E00EC" w:rsidRDefault="00D47EBF">
      <w:pPr>
        <w:pStyle w:val="FootnoteText"/>
        <w:rPr>
          <w:lang w:val="en-US"/>
        </w:rPr>
      </w:pPr>
      <w:r>
        <w:rPr>
          <w:rStyle w:val="FootnoteReference"/>
        </w:rPr>
        <w:footnoteRef/>
      </w:r>
      <w:r>
        <w:t xml:space="preserve"> </w:t>
      </w:r>
      <w:r>
        <w:rPr>
          <w:lang w:val="en-US"/>
        </w:rPr>
        <w:t xml:space="preserve">S </w:t>
      </w:r>
      <w:proofErr w:type="spellStart"/>
      <w:r>
        <w:rPr>
          <w:lang w:val="en-US"/>
        </w:rPr>
        <w:t>Camiss</w:t>
      </w:r>
      <w:proofErr w:type="spellEnd"/>
      <w:r>
        <w:rPr>
          <w:lang w:val="en-US"/>
        </w:rPr>
        <w:t>, “He Goes Off and I Think he Took the Child”: Narrative Reproduction in the Courtroom’ (2006) Kings Law Journal 71.</w:t>
      </w:r>
    </w:p>
  </w:footnote>
  <w:footnote w:id="48">
    <w:p w14:paraId="6DE843E2" w14:textId="77777777" w:rsidR="00D47EBF" w:rsidRPr="00A67CF5" w:rsidRDefault="00D47EBF" w:rsidP="00084638">
      <w:pPr>
        <w:pStyle w:val="FootnoteText"/>
        <w:rPr>
          <w:lang w:val="en-US"/>
        </w:rPr>
      </w:pPr>
      <w:r>
        <w:rPr>
          <w:rStyle w:val="FootnoteReference"/>
        </w:rPr>
        <w:footnoteRef/>
      </w:r>
      <w:r>
        <w:t xml:space="preserve"> </w:t>
      </w:r>
      <w:proofErr w:type="gramStart"/>
      <w:r>
        <w:rPr>
          <w:lang w:val="en-US"/>
        </w:rPr>
        <w:t>HFEA 2008, s 54.</w:t>
      </w:r>
      <w:proofErr w:type="gramEnd"/>
    </w:p>
  </w:footnote>
  <w:footnote w:id="49">
    <w:p w14:paraId="02811ADC" w14:textId="4EB53A0F" w:rsidR="00D47EBF" w:rsidRPr="00ED0C5C" w:rsidRDefault="00D47EBF" w:rsidP="00084638">
      <w:pPr>
        <w:pStyle w:val="FootnoteText"/>
        <w:rPr>
          <w:lang w:val="en-US"/>
        </w:rPr>
      </w:pPr>
      <w:r>
        <w:rPr>
          <w:rStyle w:val="FootnoteReference"/>
        </w:rPr>
        <w:footnoteRef/>
      </w:r>
      <w:r>
        <w:t xml:space="preserve"> </w:t>
      </w:r>
      <w:proofErr w:type="gramStart"/>
      <w:r>
        <w:rPr>
          <w:lang w:val="en-US"/>
        </w:rPr>
        <w:t xml:space="preserve">W </w:t>
      </w:r>
      <w:proofErr w:type="spellStart"/>
      <w:r>
        <w:rPr>
          <w:lang w:val="en-US"/>
        </w:rPr>
        <w:t>Labov</w:t>
      </w:r>
      <w:proofErr w:type="spellEnd"/>
      <w:r>
        <w:rPr>
          <w:lang w:val="en-US"/>
        </w:rPr>
        <w:t>, ‘Narrative Pre-Construction’ (2006) 16 (1) Narrative Enquiry 37.</w:t>
      </w:r>
      <w:proofErr w:type="gramEnd"/>
    </w:p>
  </w:footnote>
  <w:footnote w:id="50">
    <w:p w14:paraId="2DF010D0" w14:textId="77777777" w:rsidR="00D47EBF" w:rsidRPr="00ED0C5C" w:rsidRDefault="00D47EBF" w:rsidP="00084638">
      <w:pPr>
        <w:pStyle w:val="FootnoteText"/>
        <w:rPr>
          <w:lang w:val="en-US"/>
        </w:rPr>
      </w:pPr>
      <w:r>
        <w:rPr>
          <w:rStyle w:val="FootnoteReference"/>
        </w:rPr>
        <w:footnoteRef/>
      </w:r>
      <w:r>
        <w:t xml:space="preserve"> </w:t>
      </w:r>
      <w:proofErr w:type="gramStart"/>
      <w:r>
        <w:rPr>
          <w:lang w:val="en-US"/>
        </w:rPr>
        <w:t>Ibid 38.</w:t>
      </w:r>
      <w:proofErr w:type="gramEnd"/>
    </w:p>
    <w:p w14:paraId="6DC1B974" w14:textId="77777777" w:rsidR="00D47EBF" w:rsidRPr="00320364" w:rsidRDefault="00D47EBF" w:rsidP="00084638">
      <w:pPr>
        <w:pStyle w:val="FootnoteText"/>
        <w:rPr>
          <w:lang w:val="en-US"/>
        </w:rPr>
      </w:pPr>
    </w:p>
  </w:footnote>
  <w:footnote w:id="51">
    <w:p w14:paraId="3BF48955" w14:textId="77777777" w:rsidR="00D47EBF" w:rsidRPr="00AD44E6" w:rsidRDefault="00D47EBF" w:rsidP="00EB255B">
      <w:pPr>
        <w:pStyle w:val="FootnoteText"/>
        <w:rPr>
          <w:lang w:val="en-US"/>
        </w:rPr>
      </w:pPr>
      <w:r>
        <w:rPr>
          <w:rStyle w:val="FootnoteReference"/>
        </w:rPr>
        <w:footnoteRef/>
      </w:r>
      <w:r>
        <w:t xml:space="preserve"> </w:t>
      </w:r>
      <w:proofErr w:type="gramStart"/>
      <w:r>
        <w:rPr>
          <w:lang w:val="en-US"/>
        </w:rPr>
        <w:t>HFEA 2008, s 54 (4) (b).</w:t>
      </w:r>
      <w:proofErr w:type="gramEnd"/>
    </w:p>
  </w:footnote>
  <w:footnote w:id="52">
    <w:p w14:paraId="2F4554D3" w14:textId="77777777" w:rsidR="00D47EBF" w:rsidRPr="00AD44E6" w:rsidRDefault="00D47EBF" w:rsidP="00EB255B">
      <w:pPr>
        <w:pStyle w:val="FootnoteText"/>
        <w:rPr>
          <w:lang w:val="en-US"/>
        </w:rPr>
      </w:pPr>
      <w:r>
        <w:rPr>
          <w:rStyle w:val="FootnoteReference"/>
        </w:rPr>
        <w:footnoteRef/>
      </w:r>
      <w:r>
        <w:t xml:space="preserve"> </w:t>
      </w:r>
      <w:proofErr w:type="gramStart"/>
      <w:r>
        <w:rPr>
          <w:lang w:val="en-US"/>
        </w:rPr>
        <w:t>HFEA 2008, s 54 (6).</w:t>
      </w:r>
      <w:proofErr w:type="gramEnd"/>
    </w:p>
  </w:footnote>
  <w:footnote w:id="53">
    <w:p w14:paraId="11D3FF6B" w14:textId="77777777" w:rsidR="00D47EBF" w:rsidRPr="00AD44E6" w:rsidRDefault="00D47EBF" w:rsidP="00EB255B">
      <w:pPr>
        <w:pStyle w:val="FootnoteText"/>
        <w:rPr>
          <w:lang w:val="en-US"/>
        </w:rPr>
      </w:pPr>
      <w:r>
        <w:rPr>
          <w:rStyle w:val="FootnoteReference"/>
        </w:rPr>
        <w:footnoteRef/>
      </w:r>
      <w:r>
        <w:t xml:space="preserve"> </w:t>
      </w:r>
      <w:proofErr w:type="gramStart"/>
      <w:r>
        <w:rPr>
          <w:lang w:val="en-US"/>
        </w:rPr>
        <w:t>HFEA 2008, s 54 (8).</w:t>
      </w:r>
      <w:proofErr w:type="gramEnd"/>
    </w:p>
  </w:footnote>
  <w:footnote w:id="54">
    <w:p w14:paraId="0CFA5A68" w14:textId="77777777" w:rsidR="00D47EBF" w:rsidRPr="00F72AF9" w:rsidRDefault="00D47EBF">
      <w:pPr>
        <w:pStyle w:val="FootnoteText"/>
      </w:pPr>
      <w:r>
        <w:rPr>
          <w:rStyle w:val="FootnoteReference"/>
        </w:rPr>
        <w:footnoteRef/>
      </w:r>
      <w:r>
        <w:t xml:space="preserve"> See Mauss’ gift theory in </w:t>
      </w:r>
      <w:r>
        <w:rPr>
          <w:lang w:val="en-US"/>
        </w:rPr>
        <w:t xml:space="preserve">Marcel </w:t>
      </w:r>
      <w:proofErr w:type="spellStart"/>
      <w:r>
        <w:rPr>
          <w:lang w:val="en-US"/>
        </w:rPr>
        <w:t>Mauss</w:t>
      </w:r>
      <w:proofErr w:type="spellEnd"/>
      <w:r>
        <w:rPr>
          <w:lang w:val="en-US"/>
        </w:rPr>
        <w:t xml:space="preserve">, </w:t>
      </w:r>
      <w:r w:rsidRPr="00126E07">
        <w:rPr>
          <w:i/>
          <w:lang w:val="en-US"/>
        </w:rPr>
        <w:t>The Gift: The Form and Reason for Exchange in Archaic Societies</w:t>
      </w:r>
      <w:r>
        <w:rPr>
          <w:lang w:val="en-US"/>
        </w:rPr>
        <w:t xml:space="preserve"> (First published 1950, Routledge 2002).</w:t>
      </w:r>
    </w:p>
  </w:footnote>
  <w:footnote w:id="55">
    <w:p w14:paraId="7B6AF389" w14:textId="09611ED6" w:rsidR="00D47EBF" w:rsidRPr="007437BB" w:rsidRDefault="00D47EBF" w:rsidP="00B43857">
      <w:pPr>
        <w:pStyle w:val="FootnoteText"/>
        <w:rPr>
          <w:lang w:val="en-US"/>
        </w:rPr>
      </w:pPr>
      <w:r>
        <w:rPr>
          <w:rStyle w:val="FootnoteReference"/>
        </w:rPr>
        <w:footnoteRef/>
      </w:r>
      <w:r>
        <w:t xml:space="preserve"> </w:t>
      </w:r>
      <w:proofErr w:type="spellStart"/>
      <w:r>
        <w:rPr>
          <w:lang w:val="en-US"/>
        </w:rPr>
        <w:t>Lakoff</w:t>
      </w:r>
      <w:proofErr w:type="spellEnd"/>
      <w:r>
        <w:rPr>
          <w:lang w:val="en-US"/>
        </w:rPr>
        <w:t xml:space="preserve"> and Johnson (n29) 14.</w:t>
      </w:r>
    </w:p>
  </w:footnote>
  <w:footnote w:id="56">
    <w:p w14:paraId="510DD1F8" w14:textId="77777777" w:rsidR="00D47EBF" w:rsidRPr="00793FC5" w:rsidRDefault="00D47EBF" w:rsidP="009E73F8">
      <w:pPr>
        <w:pStyle w:val="FootnoteText"/>
        <w:rPr>
          <w:lang w:val="en-US"/>
        </w:rPr>
      </w:pPr>
      <w:r>
        <w:rPr>
          <w:rStyle w:val="FootnoteReference"/>
        </w:rPr>
        <w:footnoteRef/>
      </w:r>
      <w:r>
        <w:t xml:space="preserve"> Department of Health’s Parenting Daily Hassles Scale measures the impact of 20 daily pressures on a carer which is designed to test an individual’s experience of being a parent and is used by Cafcass.</w:t>
      </w:r>
    </w:p>
  </w:footnote>
  <w:footnote w:id="57">
    <w:p w14:paraId="1A3CF309" w14:textId="77777777" w:rsidR="00D47EBF" w:rsidRPr="00231A4C" w:rsidRDefault="00D47EBF">
      <w:pPr>
        <w:pStyle w:val="FootnoteText"/>
      </w:pPr>
      <w:r>
        <w:rPr>
          <w:rStyle w:val="FootnoteReference"/>
        </w:rPr>
        <w:footnoteRef/>
      </w:r>
      <w:r>
        <w:t xml:space="preserve"> Launched in 2014 and available at </w:t>
      </w:r>
      <w:hyperlink r:id="rId1" w:history="1">
        <w:r w:rsidRPr="00BB6194">
          <w:rPr>
            <w:rStyle w:val="Hyperlink"/>
          </w:rPr>
          <w:t>http://www.gmfcf.org/uploads/5/5/4/0/55401763/adoption_and_surrogacy_handbook_final_for_launch_08_01_14.pdf</w:t>
        </w:r>
      </w:hyperlink>
      <w:r>
        <w:t xml:space="preserve"> accessed 16th April 2018.</w:t>
      </w:r>
    </w:p>
  </w:footnote>
  <w:footnote w:id="58">
    <w:p w14:paraId="2F444EE0" w14:textId="77777777" w:rsidR="00D47EBF" w:rsidRPr="0063102C" w:rsidRDefault="00D47EBF" w:rsidP="00462D49">
      <w:pPr>
        <w:pStyle w:val="FootnoteText"/>
        <w:rPr>
          <w:lang w:val="en-US"/>
        </w:rPr>
      </w:pPr>
      <w:r>
        <w:rPr>
          <w:rStyle w:val="FootnoteReference"/>
        </w:rPr>
        <w:footnoteRef/>
      </w:r>
      <w:r>
        <w:t xml:space="preserve"> Adoption and Children Act 2002, s 1 (4).</w:t>
      </w:r>
    </w:p>
  </w:footnote>
  <w:footnote w:id="59">
    <w:p w14:paraId="6A92C076" w14:textId="77777777" w:rsidR="00D47EBF" w:rsidRPr="004E00EC" w:rsidRDefault="00D47EBF">
      <w:pPr>
        <w:pStyle w:val="FootnoteText"/>
      </w:pPr>
      <w:r>
        <w:rPr>
          <w:rStyle w:val="FootnoteReference"/>
        </w:rPr>
        <w:footnoteRef/>
      </w:r>
      <w:r>
        <w:t xml:space="preserve"> M Crawshaw, S Purewal and O Van Den Akker, ‘Working at the Margins: The Views and Experiences of Court Social Workers on Parental Orders Work in Surrogacy Arrangements’(2013) 43 British Journal of Social Work, 1225.</w:t>
      </w:r>
    </w:p>
  </w:footnote>
  <w:footnote w:id="60">
    <w:p w14:paraId="1AEE6DF3" w14:textId="77777777" w:rsidR="00D47EBF" w:rsidRPr="00184EDF" w:rsidRDefault="00D47EBF" w:rsidP="00462D49">
      <w:pPr>
        <w:pStyle w:val="FootnoteText"/>
        <w:rPr>
          <w:lang w:val="en-US"/>
        </w:rPr>
      </w:pPr>
      <w:r>
        <w:rPr>
          <w:rStyle w:val="FootnoteReference"/>
        </w:rPr>
        <w:footnoteRef/>
      </w:r>
      <w:r>
        <w:t xml:space="preserve"> </w:t>
      </w:r>
      <w:r>
        <w:rPr>
          <w:lang w:val="en-US"/>
        </w:rPr>
        <w:t xml:space="preserve">Deborah </w:t>
      </w:r>
      <w:proofErr w:type="spellStart"/>
      <w:r>
        <w:rPr>
          <w:lang w:val="en-US"/>
        </w:rPr>
        <w:t>Tannen</w:t>
      </w:r>
      <w:proofErr w:type="spellEnd"/>
      <w:r>
        <w:rPr>
          <w:lang w:val="en-US"/>
        </w:rPr>
        <w:t xml:space="preserve">, </w:t>
      </w:r>
      <w:r w:rsidRPr="00233097">
        <w:rPr>
          <w:i/>
          <w:lang w:val="en-US"/>
        </w:rPr>
        <w:t>Talking Voices: Repetition, Dialogue, and Imagery in Conversational Discourse</w:t>
      </w:r>
      <w:r>
        <w:rPr>
          <w:lang w:val="en-US"/>
        </w:rPr>
        <w:t xml:space="preserve"> (First published 1989, Cambridge University Press 2007) 107.</w:t>
      </w:r>
    </w:p>
  </w:footnote>
  <w:footnote w:id="61">
    <w:p w14:paraId="47FCB927" w14:textId="77777777" w:rsidR="00D47EBF" w:rsidRPr="008D29BF" w:rsidRDefault="00D47EBF" w:rsidP="00D74B0E">
      <w:pPr>
        <w:pStyle w:val="FootnoteText"/>
        <w:rPr>
          <w:lang w:val="en-US"/>
        </w:rPr>
      </w:pPr>
      <w:r>
        <w:rPr>
          <w:rStyle w:val="FootnoteReference"/>
        </w:rPr>
        <w:footnoteRef/>
      </w:r>
      <w:r>
        <w:t xml:space="preserve"> Ibid </w:t>
      </w:r>
      <w:r>
        <w:rPr>
          <w:lang w:val="en-US"/>
        </w:rPr>
        <w:t>105.</w:t>
      </w:r>
    </w:p>
  </w:footnote>
  <w:footnote w:id="62">
    <w:p w14:paraId="4557D7A6" w14:textId="77777777" w:rsidR="00D47EBF" w:rsidRPr="008725F0" w:rsidRDefault="00D47EBF" w:rsidP="00462D49">
      <w:pPr>
        <w:pStyle w:val="FootnoteText"/>
        <w:rPr>
          <w:lang w:val="en-US"/>
        </w:rPr>
      </w:pPr>
      <w:r>
        <w:rPr>
          <w:rStyle w:val="FootnoteReference"/>
        </w:rPr>
        <w:footnoteRef/>
      </w:r>
      <w:r>
        <w:t xml:space="preserve"> </w:t>
      </w:r>
      <w:r>
        <w:rPr>
          <w:lang w:val="en-US"/>
        </w:rPr>
        <w:t xml:space="preserve">See MM </w:t>
      </w:r>
      <w:proofErr w:type="spellStart"/>
      <w:r>
        <w:rPr>
          <w:lang w:val="en-US"/>
        </w:rPr>
        <w:t>Bakhtin</w:t>
      </w:r>
      <w:proofErr w:type="spellEnd"/>
      <w:r>
        <w:rPr>
          <w:lang w:val="en-US"/>
        </w:rPr>
        <w:t xml:space="preserve">, </w:t>
      </w:r>
      <w:r w:rsidRPr="00294210">
        <w:rPr>
          <w:i/>
          <w:lang w:val="en-US"/>
        </w:rPr>
        <w:t xml:space="preserve">Dialogic Imagination: Four Essays by MM </w:t>
      </w:r>
      <w:proofErr w:type="spellStart"/>
      <w:r w:rsidRPr="00294210">
        <w:rPr>
          <w:i/>
          <w:lang w:val="en-US"/>
        </w:rPr>
        <w:t>Bakhtin</w:t>
      </w:r>
      <w:proofErr w:type="spellEnd"/>
      <w:r>
        <w:rPr>
          <w:lang w:val="en-US"/>
        </w:rPr>
        <w:t xml:space="preserve"> (University of Texas Press 1982).</w:t>
      </w:r>
    </w:p>
  </w:footnote>
  <w:footnote w:id="63">
    <w:p w14:paraId="55F8C3E9" w14:textId="77777777" w:rsidR="00D47EBF" w:rsidRPr="00C425DB" w:rsidRDefault="00D47EBF" w:rsidP="00462D49">
      <w:pPr>
        <w:pStyle w:val="FootnoteText"/>
        <w:rPr>
          <w:lang w:val="en-US"/>
        </w:rPr>
      </w:pPr>
      <w:r>
        <w:rPr>
          <w:rStyle w:val="FootnoteReference"/>
        </w:rPr>
        <w:footnoteRef/>
      </w:r>
      <w:r>
        <w:t xml:space="preserve"> </w:t>
      </w:r>
      <w:r>
        <w:rPr>
          <w:lang w:val="en-US"/>
        </w:rPr>
        <w:t>4 out of the 25 files containing POR reports contained insufficient to ascertain whether disclosure was discussed.</w:t>
      </w:r>
    </w:p>
  </w:footnote>
  <w:footnote w:id="64">
    <w:p w14:paraId="43809BDC" w14:textId="77777777" w:rsidR="00D47EBF" w:rsidRPr="004E00EC" w:rsidRDefault="00D47EBF">
      <w:pPr>
        <w:pStyle w:val="FootnoteText"/>
      </w:pPr>
      <w:r>
        <w:rPr>
          <w:rStyle w:val="FootnoteReference"/>
        </w:rPr>
        <w:footnoteRef/>
      </w:r>
      <w:r>
        <w:t xml:space="preserve"> M Crawshaw, S Purewal and O Van Den Akker, ‘Working at the Margins: The Views and Experiences of Court Social Workers on Parental Orders Work in Surrogacy Arrangements’(2013) 43 British Journal of Social Work, 1239. </w:t>
      </w:r>
    </w:p>
  </w:footnote>
  <w:footnote w:id="65">
    <w:p w14:paraId="37E81513" w14:textId="77777777" w:rsidR="00D47EBF" w:rsidRPr="004E00EC" w:rsidRDefault="00D47EBF">
      <w:pPr>
        <w:pStyle w:val="FootnoteText"/>
      </w:pPr>
      <w:r>
        <w:rPr>
          <w:rStyle w:val="FootnoteReference"/>
        </w:rPr>
        <w:footnoteRef/>
      </w:r>
      <w:r>
        <w:t xml:space="preserve"> S Purewal, M Crawshaw and O Van Den Akker, ‘Completing the Motherhood Process: Parental Order Reporters’ Attitudes Towards Surrogacy Arrangements, Role Ambiguity and Role Conflict’ (2012) 15 (2) Human Fertility, 94.</w:t>
      </w:r>
    </w:p>
  </w:footnote>
  <w:footnote w:id="66">
    <w:p w14:paraId="5D7D3EAF" w14:textId="77777777" w:rsidR="00D47EBF" w:rsidRPr="004E00EC" w:rsidRDefault="00D47EBF">
      <w:pPr>
        <w:pStyle w:val="FootnoteText"/>
      </w:pPr>
      <w:r>
        <w:rPr>
          <w:rStyle w:val="FootnoteReference"/>
        </w:rPr>
        <w:footnoteRef/>
      </w:r>
      <w:r>
        <w:t xml:space="preserve"> LS Maule and K Schmid, ‘Assisted Reproduction and the Courts: The Case of California’ (2006) 27 (4) </w:t>
      </w:r>
      <w:r w:rsidRPr="004305D6">
        <w:t>Journal of Family Issues</w:t>
      </w:r>
      <w:r>
        <w:t xml:space="preserve"> 464.</w:t>
      </w:r>
    </w:p>
  </w:footnote>
  <w:footnote w:id="67">
    <w:p w14:paraId="28DAB60A" w14:textId="77777777" w:rsidR="00D47EBF" w:rsidRPr="00DC5A1C" w:rsidRDefault="00D47EBF" w:rsidP="00462D49">
      <w:pPr>
        <w:pStyle w:val="FootnoteText"/>
        <w:rPr>
          <w:lang w:val="en-US"/>
        </w:rPr>
      </w:pPr>
      <w:r>
        <w:rPr>
          <w:rStyle w:val="FootnoteReference"/>
        </w:rPr>
        <w:footnoteRef/>
      </w:r>
      <w:r>
        <w:t xml:space="preserve"> Although one reported domestic surrogacy case has reached the Court of Appeal. See Re M (a child) [2017] EWCA Civ 228.</w:t>
      </w:r>
    </w:p>
  </w:footnote>
  <w:footnote w:id="68">
    <w:p w14:paraId="698657C6" w14:textId="77777777" w:rsidR="00D47EBF" w:rsidRPr="00A85BA5" w:rsidRDefault="00D47EBF" w:rsidP="00462D49">
      <w:pPr>
        <w:pStyle w:val="FootnoteText"/>
        <w:rPr>
          <w:lang w:val="en-US"/>
        </w:rPr>
      </w:pPr>
      <w:r>
        <w:rPr>
          <w:rStyle w:val="FootnoteReference"/>
        </w:rPr>
        <w:footnoteRef/>
      </w:r>
      <w:r>
        <w:t xml:space="preserve"> </w:t>
      </w:r>
      <w:proofErr w:type="spellStart"/>
      <w:r>
        <w:rPr>
          <w:lang w:val="en-US"/>
        </w:rPr>
        <w:t>Eg</w:t>
      </w:r>
      <w:proofErr w:type="spellEnd"/>
      <w:r>
        <w:rPr>
          <w:lang w:val="en-US"/>
        </w:rPr>
        <w:t xml:space="preserve"> Re K (Minors: Foreign Surrogacy) [2010] EWHC 1180, Re L (a minor) [2010] EWHC 3146, </w:t>
      </w:r>
      <w:r w:rsidRPr="00B46A55">
        <w:t xml:space="preserve">In the Matter of X and Y (Children) [2011] </w:t>
      </w:r>
      <w:r>
        <w:t>EWHC 3147</w:t>
      </w:r>
      <w:r>
        <w:rPr>
          <w:lang w:val="en-US"/>
        </w:rPr>
        <w:t>, Re IJ [2011] EWHC 921 (</w:t>
      </w:r>
      <w:proofErr w:type="spellStart"/>
      <w:r>
        <w:rPr>
          <w:lang w:val="en-US"/>
        </w:rPr>
        <w:t>fam</w:t>
      </w:r>
      <w:proofErr w:type="spellEnd"/>
      <w:r>
        <w:rPr>
          <w:lang w:val="en-US"/>
        </w:rPr>
        <w:t>) and A v P, P, B [2011] EWHC 1738.</w:t>
      </w:r>
    </w:p>
  </w:footnote>
  <w:footnote w:id="69">
    <w:p w14:paraId="61E24555" w14:textId="77777777" w:rsidR="00D47EBF" w:rsidRPr="00A85BA5" w:rsidRDefault="00D47EBF" w:rsidP="00462D49">
      <w:pPr>
        <w:pStyle w:val="FootnoteText"/>
        <w:rPr>
          <w:lang w:val="en-US"/>
        </w:rPr>
      </w:pPr>
      <w:r>
        <w:rPr>
          <w:rStyle w:val="FootnoteReference"/>
        </w:rPr>
        <w:footnoteRef/>
      </w:r>
      <w:r>
        <w:t xml:space="preserve"> X and Y </w:t>
      </w:r>
      <w:r>
        <w:rPr>
          <w:lang w:val="en-US"/>
        </w:rPr>
        <w:t>[2008] EWHC 3030 (</w:t>
      </w:r>
      <w:proofErr w:type="spellStart"/>
      <w:r>
        <w:rPr>
          <w:lang w:val="en-US"/>
        </w:rPr>
        <w:t>fam</w:t>
      </w:r>
      <w:proofErr w:type="spellEnd"/>
      <w:r>
        <w:rPr>
          <w:lang w:val="en-US"/>
        </w:rPr>
        <w:t>).</w:t>
      </w:r>
    </w:p>
  </w:footnote>
  <w:footnote w:id="70">
    <w:p w14:paraId="408AB821" w14:textId="77777777" w:rsidR="00D47EBF" w:rsidRPr="00A85BA5" w:rsidRDefault="00D47EBF" w:rsidP="00462D49">
      <w:pPr>
        <w:pStyle w:val="FootnoteText"/>
        <w:rPr>
          <w:lang w:val="en-US"/>
        </w:rPr>
      </w:pPr>
      <w:r>
        <w:rPr>
          <w:rStyle w:val="FootnoteReference"/>
        </w:rPr>
        <w:footnoteRef/>
      </w:r>
      <w:r>
        <w:t xml:space="preserve"> </w:t>
      </w:r>
      <w:r>
        <w:t>Re S (Parental Order) [2009] EWHC 2977.</w:t>
      </w:r>
    </w:p>
  </w:footnote>
  <w:footnote w:id="71">
    <w:p w14:paraId="24C69332" w14:textId="77777777" w:rsidR="00D47EBF" w:rsidRPr="0051700E" w:rsidRDefault="00D47EBF" w:rsidP="00462D49">
      <w:r>
        <w:rPr>
          <w:rStyle w:val="FootnoteReference"/>
        </w:rPr>
        <w:footnoteRef/>
      </w:r>
      <w:r>
        <w:t xml:space="preserve"> X and Y (Children) [2011] (n 67).</w:t>
      </w:r>
    </w:p>
  </w:footnote>
  <w:footnote w:id="72">
    <w:p w14:paraId="7109AA65" w14:textId="77777777" w:rsidR="00D47EBF" w:rsidRPr="0041306B" w:rsidRDefault="00D47EBF" w:rsidP="00462D49">
      <w:pPr>
        <w:pStyle w:val="FootnoteText"/>
        <w:rPr>
          <w:lang w:val="en-US"/>
        </w:rPr>
      </w:pPr>
      <w:r>
        <w:rPr>
          <w:rStyle w:val="FootnoteReference"/>
        </w:rPr>
        <w:footnoteRef/>
      </w:r>
      <w:r>
        <w:t xml:space="preserve"> </w:t>
      </w:r>
      <w:proofErr w:type="gramStart"/>
      <w:r>
        <w:rPr>
          <w:lang w:val="en-US"/>
        </w:rPr>
        <w:t>Re L (a minor) [2010] EWHC 3146</w:t>
      </w:r>
      <w:r>
        <w:t>.</w:t>
      </w:r>
      <w:proofErr w:type="gramEnd"/>
    </w:p>
  </w:footnote>
  <w:footnote w:id="73">
    <w:p w14:paraId="1ADADE9A" w14:textId="77777777" w:rsidR="00D47EBF" w:rsidRPr="007F44C5" w:rsidRDefault="00D47EBF" w:rsidP="00462D49">
      <w:r>
        <w:rPr>
          <w:rStyle w:val="FootnoteReference"/>
        </w:rPr>
        <w:footnoteRef/>
      </w:r>
      <w:r>
        <w:t xml:space="preserve"> X and Y (Children) (n 67), [36].</w:t>
      </w:r>
    </w:p>
  </w:footnote>
  <w:footnote w:id="74">
    <w:p w14:paraId="599A81CD" w14:textId="77777777" w:rsidR="00D47EBF" w:rsidRPr="00DE001A" w:rsidRDefault="00D47EBF" w:rsidP="00462D49">
      <w:r>
        <w:rPr>
          <w:rStyle w:val="FootnoteReference"/>
        </w:rPr>
        <w:footnoteRef/>
      </w:r>
      <w:r>
        <w:t xml:space="preserve"> D and L [2012] EWHC 2631 (</w:t>
      </w:r>
      <w:proofErr w:type="spellStart"/>
      <w:r>
        <w:t>fam</w:t>
      </w:r>
      <w:proofErr w:type="spellEnd"/>
      <w:r>
        <w:t>), [25].</w:t>
      </w:r>
    </w:p>
  </w:footnote>
  <w:footnote w:id="75">
    <w:p w14:paraId="177276BB" w14:textId="77777777" w:rsidR="00D47EBF" w:rsidRPr="00651158" w:rsidRDefault="00D47EBF" w:rsidP="00462D49">
      <w:pPr>
        <w:pStyle w:val="FootnoteText"/>
        <w:rPr>
          <w:lang w:val="en-US"/>
        </w:rPr>
      </w:pPr>
      <w:r>
        <w:rPr>
          <w:rStyle w:val="FootnoteReference"/>
        </w:rPr>
        <w:footnoteRef/>
      </w:r>
      <w:r>
        <w:t xml:space="preserve"> Eg </w:t>
      </w:r>
      <w:r>
        <w:rPr>
          <w:lang w:val="en-US"/>
        </w:rPr>
        <w:t xml:space="preserve">JP v LP </w:t>
      </w:r>
      <w:r w:rsidRPr="00256D63">
        <w:t xml:space="preserve">JP v LP, </w:t>
      </w:r>
      <w:r>
        <w:t>SP and CP [2014] EWHC 595 (Fam)</w:t>
      </w:r>
      <w:r>
        <w:rPr>
          <w:lang w:val="en-US"/>
        </w:rPr>
        <w:t>.</w:t>
      </w:r>
    </w:p>
  </w:footnote>
  <w:footnote w:id="76">
    <w:p w14:paraId="1D41B4EF" w14:textId="77777777" w:rsidR="00D47EBF" w:rsidRPr="00214BE3" w:rsidRDefault="00D47EBF" w:rsidP="00462D49">
      <w:pPr>
        <w:pStyle w:val="FootnoteText"/>
        <w:rPr>
          <w:lang w:val="en-US"/>
        </w:rPr>
      </w:pPr>
      <w:r>
        <w:rPr>
          <w:rStyle w:val="FootnoteReference"/>
        </w:rPr>
        <w:footnoteRef/>
      </w:r>
      <w:r>
        <w:t xml:space="preserve"> Re P-M </w:t>
      </w:r>
      <w:r w:rsidRPr="00B06BF4">
        <w:t>(Parental Order: Payments to Surrogacy Agency) [2013]</w:t>
      </w:r>
      <w:r w:rsidRPr="004A04A3">
        <w:t xml:space="preserve"> </w:t>
      </w:r>
      <w:r w:rsidRPr="00B06BF4">
        <w:t>EWHC 232</w:t>
      </w:r>
      <w:r>
        <w:t>8 (fam)</w:t>
      </w:r>
      <w:r>
        <w:rPr>
          <w:lang w:val="en-US"/>
        </w:rPr>
        <w:t>.</w:t>
      </w:r>
    </w:p>
  </w:footnote>
  <w:footnote w:id="77">
    <w:p w14:paraId="7CC6F5DC" w14:textId="77777777" w:rsidR="00D47EBF" w:rsidRPr="003E5A8F" w:rsidRDefault="00D47EBF" w:rsidP="00462D49">
      <w:pPr>
        <w:pStyle w:val="FootnoteText"/>
        <w:rPr>
          <w:lang w:val="en-US"/>
        </w:rPr>
      </w:pPr>
      <w:r>
        <w:rPr>
          <w:rStyle w:val="FootnoteReference"/>
        </w:rPr>
        <w:footnoteRef/>
      </w:r>
      <w:r>
        <w:t xml:space="preserve"> Ibid</w:t>
      </w:r>
      <w:r>
        <w:rPr>
          <w:lang w:val="en-US"/>
        </w:rPr>
        <w:t xml:space="preserve"> [19].</w:t>
      </w:r>
    </w:p>
  </w:footnote>
  <w:footnote w:id="78">
    <w:p w14:paraId="77D2EC3C" w14:textId="77777777" w:rsidR="00D47EBF" w:rsidRPr="000152C4" w:rsidRDefault="00D47EBF" w:rsidP="00462D49">
      <w:pPr>
        <w:pStyle w:val="FootnoteText"/>
        <w:rPr>
          <w:lang w:val="en-US"/>
        </w:rPr>
      </w:pPr>
      <w:r>
        <w:rPr>
          <w:rStyle w:val="FootnoteReference"/>
        </w:rPr>
        <w:footnoteRef/>
      </w:r>
      <w:r>
        <w:t xml:space="preserve"> </w:t>
      </w:r>
      <w:proofErr w:type="spellStart"/>
      <w:r>
        <w:rPr>
          <w:lang w:val="en-US"/>
        </w:rPr>
        <w:t>Eg</w:t>
      </w:r>
      <w:proofErr w:type="spellEnd"/>
      <w:r>
        <w:rPr>
          <w:lang w:val="en-US"/>
        </w:rPr>
        <w:t xml:space="preserve"> A v P (n 67), [28], J v G </w:t>
      </w:r>
      <w:r w:rsidRPr="00B46A55">
        <w:t>[2013</w:t>
      </w:r>
      <w:r>
        <w:t>]</w:t>
      </w:r>
      <w:r w:rsidRPr="00B46A55">
        <w:t xml:space="preserve"> EWHC 1432 (fam)</w:t>
      </w:r>
      <w:r>
        <w:rPr>
          <w:lang w:val="en-US"/>
        </w:rPr>
        <w:t>, [27], AB and DE [2013] EWHC 2413, (</w:t>
      </w:r>
      <w:proofErr w:type="spellStart"/>
      <w:r>
        <w:rPr>
          <w:lang w:val="en-US"/>
        </w:rPr>
        <w:t>fam</w:t>
      </w:r>
      <w:proofErr w:type="spellEnd"/>
      <w:r>
        <w:rPr>
          <w:lang w:val="en-US"/>
        </w:rPr>
        <w:t xml:space="preserve">), [34], D &amp; G </w:t>
      </w:r>
      <w:r>
        <w:t>v ED &amp; DD and A &amp; B [2015] EWHC 911</w:t>
      </w:r>
      <w:r>
        <w:rPr>
          <w:lang w:val="en-US"/>
        </w:rPr>
        <w:t xml:space="preserve">, [61], Re A and B (No.2) EWHC 2080, [76], AB v CD [2015] EWFC 12, [71] and Re X (A Child) </w:t>
      </w:r>
      <w:r>
        <w:t>(Surrogacy: Time Limit) [2014] EWHC 3135</w:t>
      </w:r>
      <w:r>
        <w:rPr>
          <w:lang w:val="en-US"/>
        </w:rPr>
        <w:t>, [54 - 61].</w:t>
      </w:r>
    </w:p>
  </w:footnote>
  <w:footnote w:id="79">
    <w:p w14:paraId="71BDA89D" w14:textId="13DA7F8D" w:rsidR="00D47EBF" w:rsidRPr="005C79D1" w:rsidRDefault="00D47EBF" w:rsidP="00462D49">
      <w:pPr>
        <w:pStyle w:val="FootnoteText"/>
        <w:rPr>
          <w:lang w:val="en-US"/>
        </w:rPr>
      </w:pPr>
      <w:r>
        <w:rPr>
          <w:rStyle w:val="FootnoteReference"/>
        </w:rPr>
        <w:footnoteRef/>
      </w:r>
      <w:r>
        <w:t xml:space="preserve"> Ibid </w:t>
      </w:r>
      <w:r>
        <w:rPr>
          <w:lang w:val="en-US"/>
        </w:rPr>
        <w:t>Re X (A Child).</w:t>
      </w:r>
    </w:p>
  </w:footnote>
  <w:footnote w:id="80">
    <w:p w14:paraId="13FA81C1" w14:textId="77777777" w:rsidR="00D47EBF" w:rsidRPr="005C79D1" w:rsidRDefault="00D47EBF" w:rsidP="00462D49">
      <w:pPr>
        <w:pStyle w:val="FootnoteText"/>
        <w:rPr>
          <w:lang w:val="en-US"/>
        </w:rPr>
      </w:pPr>
      <w:r>
        <w:rPr>
          <w:rStyle w:val="FootnoteReference"/>
        </w:rPr>
        <w:footnoteRef/>
      </w:r>
      <w:r>
        <w:t xml:space="preserve"> </w:t>
      </w:r>
      <w:proofErr w:type="gramStart"/>
      <w:r>
        <w:rPr>
          <w:lang w:val="en-US"/>
        </w:rPr>
        <w:t>Re X (A Child) (n 77), [54].</w:t>
      </w:r>
      <w:proofErr w:type="gramEnd"/>
    </w:p>
  </w:footnote>
  <w:footnote w:id="81">
    <w:p w14:paraId="0C508030" w14:textId="2420555B" w:rsidR="00D47EBF" w:rsidRPr="00DE001A" w:rsidRDefault="00D47EBF" w:rsidP="00462D49">
      <w:pPr>
        <w:pStyle w:val="FootnoteText"/>
        <w:rPr>
          <w:lang w:val="en-US"/>
        </w:rPr>
      </w:pPr>
      <w:r>
        <w:rPr>
          <w:rStyle w:val="FootnoteReference"/>
        </w:rPr>
        <w:footnoteRef/>
      </w:r>
      <w:r>
        <w:t xml:space="preserve"> Per Mrs Justice Theis in J v G (n78), [30].</w:t>
      </w:r>
    </w:p>
  </w:footnote>
  <w:footnote w:id="82">
    <w:p w14:paraId="07527853" w14:textId="05DEFA52" w:rsidR="00D47EBF" w:rsidRPr="00AC5E22" w:rsidRDefault="00D47EBF" w:rsidP="00462D49">
      <w:pPr>
        <w:pStyle w:val="FootnoteText"/>
        <w:rPr>
          <w:lang w:val="en-US"/>
        </w:rPr>
      </w:pPr>
      <w:r>
        <w:rPr>
          <w:rStyle w:val="FootnoteReference"/>
        </w:rPr>
        <w:footnoteRef/>
      </w:r>
      <w:r>
        <w:t xml:space="preserve"> X and Y (n 78).</w:t>
      </w:r>
    </w:p>
  </w:footnote>
  <w:footnote w:id="83">
    <w:p w14:paraId="01DEB530" w14:textId="77777777" w:rsidR="00D47EBF" w:rsidRPr="005362CD" w:rsidRDefault="00D47EBF" w:rsidP="00462D49">
      <w:pPr>
        <w:pStyle w:val="FootnoteText"/>
        <w:rPr>
          <w:lang w:val="en-US"/>
        </w:rPr>
      </w:pPr>
      <w:r>
        <w:rPr>
          <w:rStyle w:val="FootnoteReference"/>
        </w:rPr>
        <w:footnoteRef/>
      </w:r>
      <w:r>
        <w:t xml:space="preserve"> E </w:t>
      </w:r>
      <w:r>
        <w:rPr>
          <w:lang w:val="en-US"/>
        </w:rPr>
        <w:t>Blyth, ‘Not a Primrose Path’: Commissioning parents’ experience of Surrogacy Arrangements in Britain’ (1995) Journal of Reproductive Infant Psychology 13, 189.</w:t>
      </w:r>
    </w:p>
  </w:footnote>
  <w:footnote w:id="84">
    <w:p w14:paraId="57D9AC48" w14:textId="6B06A23C" w:rsidR="00D47EBF" w:rsidRPr="00775F5B" w:rsidRDefault="00D47EBF" w:rsidP="00462D49">
      <w:pPr>
        <w:pStyle w:val="FootnoteText"/>
        <w:rPr>
          <w:lang w:val="en-US"/>
        </w:rPr>
      </w:pPr>
      <w:r>
        <w:rPr>
          <w:rStyle w:val="FootnoteReference"/>
        </w:rPr>
        <w:footnoteRef/>
      </w:r>
      <w:r>
        <w:t xml:space="preserve"> X and Y (n 78), [2].</w:t>
      </w:r>
    </w:p>
  </w:footnote>
  <w:footnote w:id="85">
    <w:p w14:paraId="54B328B0" w14:textId="77777777" w:rsidR="00D47EBF" w:rsidRPr="003954B8" w:rsidRDefault="00D47EBF" w:rsidP="00462D49">
      <w:pPr>
        <w:pStyle w:val="FootnoteText"/>
        <w:rPr>
          <w:lang w:val="en-US"/>
        </w:rPr>
      </w:pPr>
      <w:r>
        <w:rPr>
          <w:rStyle w:val="FootnoteReference"/>
        </w:rPr>
        <w:footnoteRef/>
      </w:r>
      <w:r>
        <w:t xml:space="preserve"> Re G and M [2014] EWHC 1561, [1].</w:t>
      </w:r>
    </w:p>
  </w:footnote>
  <w:footnote w:id="86">
    <w:p w14:paraId="782CD34E" w14:textId="476436B6" w:rsidR="00D47EBF" w:rsidRPr="00CF5048" w:rsidRDefault="00D47EBF" w:rsidP="00462D49">
      <w:pPr>
        <w:pStyle w:val="FootnoteText"/>
        <w:rPr>
          <w:lang w:val="en-US"/>
        </w:rPr>
      </w:pPr>
      <w:r>
        <w:rPr>
          <w:rStyle w:val="FootnoteReference"/>
        </w:rPr>
        <w:footnoteRef/>
      </w:r>
      <w:r>
        <w:t xml:space="preserve"> Re S (n 70), [27].</w:t>
      </w:r>
    </w:p>
  </w:footnote>
  <w:footnote w:id="87">
    <w:p w14:paraId="6AB362B3" w14:textId="3D8EF9AC" w:rsidR="00D47EBF" w:rsidRPr="000B6EF6" w:rsidRDefault="00D47EBF" w:rsidP="00462D49">
      <w:pPr>
        <w:pStyle w:val="FootnoteText"/>
        <w:rPr>
          <w:lang w:val="en-US"/>
        </w:rPr>
      </w:pPr>
      <w:r>
        <w:rPr>
          <w:rStyle w:val="FootnoteReference"/>
        </w:rPr>
        <w:footnoteRef/>
      </w:r>
      <w:r>
        <w:t xml:space="preserve"> Re G and M (n 85).</w:t>
      </w:r>
    </w:p>
  </w:footnote>
  <w:footnote w:id="88">
    <w:p w14:paraId="7EDE6788" w14:textId="310CFE9F" w:rsidR="00D47EBF" w:rsidRPr="00C74ED4" w:rsidRDefault="00D47EBF" w:rsidP="00462D49">
      <w:pPr>
        <w:pStyle w:val="FootnoteText"/>
        <w:rPr>
          <w:lang w:val="en-US"/>
        </w:rPr>
      </w:pPr>
      <w:r>
        <w:rPr>
          <w:rStyle w:val="FootnoteReference"/>
        </w:rPr>
        <w:footnoteRef/>
      </w:r>
      <w:r>
        <w:t xml:space="preserve"> </w:t>
      </w:r>
      <w:r>
        <w:rPr>
          <w:lang w:val="en-US"/>
        </w:rPr>
        <w:t>Re G and M (n 85), [21].</w:t>
      </w:r>
    </w:p>
  </w:footnote>
  <w:footnote w:id="89">
    <w:p w14:paraId="3536CBEF" w14:textId="046E3D2D" w:rsidR="00D47EBF" w:rsidRPr="00CB1D25" w:rsidRDefault="00D47EBF" w:rsidP="00462D49">
      <w:pPr>
        <w:pStyle w:val="FootnoteText"/>
        <w:rPr>
          <w:lang w:val="en-US"/>
        </w:rPr>
      </w:pPr>
      <w:r>
        <w:rPr>
          <w:rStyle w:val="FootnoteReference"/>
        </w:rPr>
        <w:footnoteRef/>
      </w:r>
      <w:r>
        <w:t xml:space="preserve"> </w:t>
      </w:r>
      <w:proofErr w:type="spellStart"/>
      <w:proofErr w:type="gramStart"/>
      <w:r>
        <w:rPr>
          <w:lang w:val="en-US"/>
        </w:rPr>
        <w:t>Eg</w:t>
      </w:r>
      <w:proofErr w:type="spellEnd"/>
      <w:r>
        <w:rPr>
          <w:lang w:val="en-US"/>
        </w:rPr>
        <w:t xml:space="preserve"> Z, B v C [2011] EWHC 3181, [1], AB v CD (n 77), [1], Re A and B (No.2) (n 78), [1] and Re X (Foreign Surrogacy – Child’s Name) [2016] EWHC 1068, [5].</w:t>
      </w:r>
      <w:proofErr w:type="gramEnd"/>
    </w:p>
  </w:footnote>
  <w:footnote w:id="90">
    <w:p w14:paraId="123A6FA9" w14:textId="331833A8" w:rsidR="00D47EBF" w:rsidRPr="00CB1D25" w:rsidRDefault="00D47EBF" w:rsidP="00462D49">
      <w:pPr>
        <w:pStyle w:val="FootnoteText"/>
        <w:rPr>
          <w:lang w:val="en-US"/>
        </w:rPr>
      </w:pPr>
      <w:r>
        <w:rPr>
          <w:rStyle w:val="FootnoteReference"/>
        </w:rPr>
        <w:footnoteRef/>
      </w:r>
      <w:r>
        <w:t xml:space="preserve"> </w:t>
      </w:r>
      <w:proofErr w:type="spellStart"/>
      <w:r>
        <w:rPr>
          <w:lang w:val="en-US"/>
        </w:rPr>
        <w:t>Eg</w:t>
      </w:r>
      <w:proofErr w:type="spellEnd"/>
      <w:r>
        <w:rPr>
          <w:lang w:val="en-US"/>
        </w:rPr>
        <w:t xml:space="preserve"> Re D </w:t>
      </w:r>
      <w:r w:rsidRPr="00F63F91">
        <w:t xml:space="preserve">(A Child) </w:t>
      </w:r>
      <w:r>
        <w:t>[</w:t>
      </w:r>
      <w:r w:rsidRPr="00F63F91">
        <w:t>2014</w:t>
      </w:r>
      <w:r>
        <w:t>]</w:t>
      </w:r>
      <w:r w:rsidRPr="00F63F91">
        <w:t xml:space="preserve"> EWHC 2121</w:t>
      </w:r>
      <w:r>
        <w:rPr>
          <w:lang w:val="en-US"/>
        </w:rPr>
        <w:t xml:space="preserve">, [1], Re G and M (n 85), [1] and R and S v T </w:t>
      </w:r>
      <w:r>
        <w:t xml:space="preserve">EWFC </w:t>
      </w:r>
      <w:proofErr w:type="gramStart"/>
      <w:r>
        <w:t>12</w:t>
      </w:r>
      <w:r>
        <w:rPr>
          <w:lang w:val="en-US"/>
        </w:rPr>
        <w:t xml:space="preserve"> ,</w:t>
      </w:r>
      <w:proofErr w:type="gramEnd"/>
      <w:r>
        <w:rPr>
          <w:lang w:val="en-US"/>
        </w:rPr>
        <w:t xml:space="preserve"> [2], </w:t>
      </w:r>
    </w:p>
  </w:footnote>
  <w:footnote w:id="91">
    <w:p w14:paraId="66DA6615" w14:textId="77777777" w:rsidR="00D47EBF" w:rsidRPr="00C02DF5" w:rsidRDefault="00D47EBF" w:rsidP="00462D49">
      <w:pPr>
        <w:pStyle w:val="FootnoteText"/>
        <w:rPr>
          <w:lang w:val="en-US"/>
        </w:rPr>
      </w:pPr>
      <w:r>
        <w:rPr>
          <w:rStyle w:val="FootnoteReference"/>
        </w:rPr>
        <w:footnoteRef/>
      </w:r>
      <w:r>
        <w:t xml:space="preserve"> </w:t>
      </w:r>
      <w:proofErr w:type="spellStart"/>
      <w:proofErr w:type="gramStart"/>
      <w:r>
        <w:rPr>
          <w:lang w:val="en-US"/>
        </w:rPr>
        <w:t>Eg</w:t>
      </w:r>
      <w:proofErr w:type="spellEnd"/>
      <w:r>
        <w:rPr>
          <w:lang w:val="en-US"/>
        </w:rPr>
        <w:t xml:space="preserve"> Re WT </w:t>
      </w:r>
      <w:r>
        <w:t>(Surrogacy) [2014] EWHC 1303 (fam)</w:t>
      </w:r>
      <w:r>
        <w:rPr>
          <w:lang w:val="en-US"/>
        </w:rPr>
        <w:t>.</w:t>
      </w:r>
      <w:proofErr w:type="gramEnd"/>
    </w:p>
  </w:footnote>
  <w:footnote w:id="92">
    <w:p w14:paraId="638B1C9A" w14:textId="77777777" w:rsidR="00D47EBF" w:rsidRPr="00CB1D25" w:rsidRDefault="00D47EBF" w:rsidP="00462D49">
      <w:pPr>
        <w:pStyle w:val="FootnoteText"/>
        <w:rPr>
          <w:lang w:val="en-US"/>
        </w:rPr>
      </w:pPr>
      <w:r>
        <w:rPr>
          <w:rStyle w:val="FootnoteReference"/>
        </w:rPr>
        <w:footnoteRef/>
      </w:r>
      <w:r>
        <w:t xml:space="preserve"> CC v DD [2014] 1307 (fam)</w:t>
      </w:r>
      <w:r>
        <w:rPr>
          <w:lang w:val="en-US"/>
        </w:rPr>
        <w:t>.</w:t>
      </w:r>
    </w:p>
  </w:footnote>
  <w:footnote w:id="93">
    <w:p w14:paraId="6AD52C24" w14:textId="77777777" w:rsidR="00D47EBF" w:rsidRPr="00CB1D25" w:rsidRDefault="00D47EBF" w:rsidP="00462D49">
      <w:pPr>
        <w:pStyle w:val="FootnoteText"/>
        <w:rPr>
          <w:lang w:val="en-US"/>
        </w:rPr>
      </w:pPr>
      <w:r>
        <w:rPr>
          <w:rStyle w:val="FootnoteReference"/>
        </w:rPr>
        <w:footnoteRef/>
      </w:r>
      <w:r>
        <w:t xml:space="preserve"> </w:t>
      </w:r>
      <w:proofErr w:type="gramStart"/>
      <w:r>
        <w:rPr>
          <w:lang w:val="en-US"/>
        </w:rPr>
        <w:t>ibid, [1].</w:t>
      </w:r>
      <w:proofErr w:type="gramEnd"/>
    </w:p>
  </w:footnote>
  <w:footnote w:id="94">
    <w:p w14:paraId="0F0B4603" w14:textId="77777777" w:rsidR="00D47EBF" w:rsidRPr="005269FB" w:rsidRDefault="00D47EBF" w:rsidP="00065508">
      <w:pPr>
        <w:pStyle w:val="FootnoteText"/>
        <w:rPr>
          <w:lang w:val="en-US"/>
        </w:rPr>
      </w:pPr>
      <w:r>
        <w:rPr>
          <w:rStyle w:val="FootnoteReference"/>
        </w:rPr>
        <w:footnoteRef/>
      </w:r>
      <w:r>
        <w:t xml:space="preserve"> </w:t>
      </w:r>
      <w:r>
        <w:rPr>
          <w:lang w:val="en-US"/>
        </w:rPr>
        <w:t xml:space="preserve">See for example, Z, B v C, </w:t>
      </w:r>
      <w:proofErr w:type="spellStart"/>
      <w:r>
        <w:rPr>
          <w:lang w:val="en-US"/>
        </w:rPr>
        <w:t>Cafcass</w:t>
      </w:r>
      <w:proofErr w:type="spellEnd"/>
      <w:r>
        <w:rPr>
          <w:lang w:val="en-US"/>
        </w:rPr>
        <w:t xml:space="preserve"> Legal as Advocate to the Court [2011] EWHC 3181 (</w:t>
      </w:r>
      <w:proofErr w:type="spellStart"/>
      <w:r>
        <w:rPr>
          <w:lang w:val="en-US"/>
        </w:rPr>
        <w:t>fam</w:t>
      </w:r>
      <w:proofErr w:type="spellEnd"/>
      <w:r>
        <w:rPr>
          <w:lang w:val="en-US"/>
        </w:rPr>
        <w:t>) A &amp; B v SA [2013] EWHC 426 (</w:t>
      </w:r>
      <w:proofErr w:type="spellStart"/>
      <w:r>
        <w:rPr>
          <w:lang w:val="en-US"/>
        </w:rPr>
        <w:t>fam</w:t>
      </w:r>
      <w:proofErr w:type="spellEnd"/>
      <w:r>
        <w:rPr>
          <w:lang w:val="en-US"/>
        </w:rPr>
        <w:t>) Re G (Surrogacy: Foreign Domicile) [2008] 1 FLR 1047, CC v DD [2014] EWHC 1307 (</w:t>
      </w:r>
      <w:proofErr w:type="spellStart"/>
      <w:r>
        <w:rPr>
          <w:lang w:val="en-US"/>
        </w:rPr>
        <w:t>fam</w:t>
      </w:r>
      <w:proofErr w:type="spellEnd"/>
      <w:r>
        <w:rPr>
          <w:lang w:val="en-US"/>
        </w:rPr>
        <w:t xml:space="preserve">). </w:t>
      </w:r>
    </w:p>
  </w:footnote>
  <w:footnote w:id="95">
    <w:p w14:paraId="3E8987FA" w14:textId="21FD1E8D" w:rsidR="00D47EBF" w:rsidRPr="005269FB" w:rsidRDefault="00D47EBF" w:rsidP="00065508">
      <w:pPr>
        <w:pStyle w:val="FootnoteText"/>
        <w:rPr>
          <w:lang w:val="en-US"/>
        </w:rPr>
      </w:pPr>
      <w:r>
        <w:rPr>
          <w:rStyle w:val="FootnoteReference"/>
        </w:rPr>
        <w:footnoteRef/>
      </w:r>
      <w:r>
        <w:t xml:space="preserve"> </w:t>
      </w:r>
      <w:r>
        <w:rPr>
          <w:lang w:val="en-US"/>
        </w:rPr>
        <w:t>See for example, Re G and M (n 85).</w:t>
      </w:r>
    </w:p>
  </w:footnote>
  <w:footnote w:id="96">
    <w:p w14:paraId="3D326613" w14:textId="2E078D81" w:rsidR="00D47EBF" w:rsidRPr="00917565" w:rsidRDefault="00D47EBF" w:rsidP="00065508">
      <w:pPr>
        <w:pStyle w:val="FootnoteText"/>
        <w:rPr>
          <w:lang w:val="en-US"/>
        </w:rPr>
      </w:pPr>
      <w:r>
        <w:rPr>
          <w:rStyle w:val="FootnoteReference"/>
        </w:rPr>
        <w:footnoteRef/>
      </w:r>
      <w:r>
        <w:t xml:space="preserve"> </w:t>
      </w:r>
      <w:r>
        <w:rPr>
          <w:lang w:val="en-US"/>
        </w:rPr>
        <w:t>See for example, Re IJ (A Child) [2011] (n 68), Re WT (Surrogacy) [2014] EWHC 1303, Re D (A Child) [2014] EWHC 2121.</w:t>
      </w:r>
    </w:p>
  </w:footnote>
  <w:footnote w:id="97">
    <w:p w14:paraId="5182C217" w14:textId="77777777" w:rsidR="00D47EBF" w:rsidRPr="00310782" w:rsidRDefault="00D47EBF" w:rsidP="00065508">
      <w:pPr>
        <w:pStyle w:val="FootnoteText"/>
        <w:rPr>
          <w:lang w:val="en-US"/>
        </w:rPr>
      </w:pPr>
      <w:r>
        <w:rPr>
          <w:rStyle w:val="FootnoteReference"/>
        </w:rPr>
        <w:footnoteRef/>
      </w:r>
      <w:r>
        <w:t xml:space="preserve"> </w:t>
      </w:r>
      <w:r>
        <w:rPr>
          <w:lang w:val="en-US"/>
        </w:rPr>
        <w:t>See for example, Mr. G and Mrs. G [2012] EWHC 1979 (</w:t>
      </w:r>
      <w:proofErr w:type="spellStart"/>
      <w:r>
        <w:rPr>
          <w:lang w:val="en-US"/>
        </w:rPr>
        <w:t>fam</w:t>
      </w:r>
      <w:proofErr w:type="spellEnd"/>
      <w:r>
        <w:rPr>
          <w:lang w:val="en-US"/>
        </w:rPr>
        <w:t>) JP, v LP, SP and CP [2014] EWHC 595 (</w:t>
      </w:r>
      <w:proofErr w:type="spellStart"/>
      <w:r>
        <w:rPr>
          <w:lang w:val="en-US"/>
        </w:rPr>
        <w:t>fam</w:t>
      </w:r>
      <w:proofErr w:type="spellEnd"/>
      <w:r>
        <w:rPr>
          <w:lang w:val="en-US"/>
        </w:rPr>
        <w:t>).</w:t>
      </w:r>
    </w:p>
  </w:footnote>
  <w:footnote w:id="98">
    <w:p w14:paraId="205CC85F" w14:textId="77777777" w:rsidR="00D47EBF" w:rsidRPr="00E20686" w:rsidRDefault="00D47EBF" w:rsidP="00065508">
      <w:pPr>
        <w:pStyle w:val="FootnoteText"/>
        <w:rPr>
          <w:lang w:val="en-US"/>
        </w:rPr>
      </w:pPr>
      <w:r>
        <w:rPr>
          <w:rStyle w:val="FootnoteReference"/>
        </w:rPr>
        <w:footnoteRef/>
      </w:r>
      <w:r>
        <w:t xml:space="preserve"> </w:t>
      </w:r>
      <w:r>
        <w:rPr>
          <w:lang w:val="en-US"/>
        </w:rPr>
        <w:t>See for example, A &amp; B v SA [2013] EWHC 426 (</w:t>
      </w:r>
      <w:proofErr w:type="spellStart"/>
      <w:r>
        <w:rPr>
          <w:lang w:val="en-US"/>
        </w:rPr>
        <w:t>fam</w:t>
      </w:r>
      <w:proofErr w:type="spellEnd"/>
      <w:r>
        <w:rPr>
          <w:lang w:val="en-US"/>
        </w:rPr>
        <w:t>), Re W [2013] EWHC 3570 (</w:t>
      </w:r>
      <w:proofErr w:type="spellStart"/>
      <w:r>
        <w:rPr>
          <w:lang w:val="en-US"/>
        </w:rPr>
        <w:t>fam</w:t>
      </w:r>
      <w:proofErr w:type="spellEnd"/>
      <w:r>
        <w:rPr>
          <w:lang w:val="en-US"/>
        </w:rPr>
        <w:t xml:space="preserve">). </w:t>
      </w:r>
    </w:p>
  </w:footnote>
  <w:footnote w:id="99">
    <w:p w14:paraId="227F9A16" w14:textId="77777777" w:rsidR="00D47EBF" w:rsidRPr="00231A4C" w:rsidRDefault="00D47EBF">
      <w:pPr>
        <w:pStyle w:val="FootnoteText"/>
      </w:pPr>
      <w:r>
        <w:rPr>
          <w:rStyle w:val="FootnoteReference"/>
        </w:rPr>
        <w:footnoteRef/>
      </w:r>
      <w:r>
        <w:t xml:space="preserve"> </w:t>
      </w:r>
      <w:r w:rsidRPr="00231A4C">
        <w:t>JP v LP, SP and CP [2014] EWHC 595</w:t>
      </w:r>
    </w:p>
  </w:footnote>
  <w:footnote w:id="100">
    <w:p w14:paraId="144712F7" w14:textId="77777777" w:rsidR="00D47EBF" w:rsidRPr="006C42EB" w:rsidRDefault="00D47EBF" w:rsidP="00065508">
      <w:pPr>
        <w:pStyle w:val="FootnoteText"/>
        <w:rPr>
          <w:lang w:val="en-US"/>
        </w:rPr>
      </w:pPr>
      <w:r>
        <w:rPr>
          <w:rStyle w:val="FootnoteReference"/>
        </w:rPr>
        <w:footnoteRef/>
      </w:r>
      <w:r>
        <w:t xml:space="preserve"> </w:t>
      </w:r>
      <w:r>
        <w:rPr>
          <w:lang w:val="en-US"/>
        </w:rPr>
        <w:t xml:space="preserve">See for example, Re Z (A Child: Human </w:t>
      </w:r>
      <w:proofErr w:type="spellStart"/>
      <w:r>
        <w:rPr>
          <w:lang w:val="en-US"/>
        </w:rPr>
        <w:t>Fertilisation</w:t>
      </w:r>
      <w:proofErr w:type="spellEnd"/>
      <w:r>
        <w:rPr>
          <w:lang w:val="en-US"/>
        </w:rPr>
        <w:t xml:space="preserve"> and Embryology Act: Parental Order) [2015] EWFC 73.</w:t>
      </w:r>
    </w:p>
  </w:footnote>
  <w:footnote w:id="101">
    <w:p w14:paraId="05AF4076" w14:textId="77777777" w:rsidR="00D47EBF" w:rsidRPr="00B8615D" w:rsidRDefault="00D47EBF" w:rsidP="00065508">
      <w:pPr>
        <w:pStyle w:val="FootnoteText"/>
        <w:rPr>
          <w:lang w:val="en-US"/>
        </w:rPr>
      </w:pPr>
      <w:r>
        <w:rPr>
          <w:rStyle w:val="FootnoteReference"/>
        </w:rPr>
        <w:footnoteRef/>
      </w:r>
      <w:r>
        <w:t xml:space="preserve"> </w:t>
      </w:r>
      <w:r w:rsidRPr="00210F56">
        <w:t>D and L (Su</w:t>
      </w:r>
      <w:r>
        <w:t>rrogacy) [2012] EWHC 2631 (fam).</w:t>
      </w:r>
    </w:p>
  </w:footnote>
  <w:footnote w:id="102">
    <w:p w14:paraId="2F48A138" w14:textId="77777777" w:rsidR="00D47EBF" w:rsidRPr="00B8615D" w:rsidRDefault="00D47EBF" w:rsidP="00065508">
      <w:pPr>
        <w:pStyle w:val="FootnoteText"/>
        <w:rPr>
          <w:lang w:val="en-US"/>
        </w:rPr>
      </w:pPr>
      <w:r>
        <w:rPr>
          <w:rStyle w:val="FootnoteReference"/>
        </w:rPr>
        <w:footnoteRef/>
      </w:r>
      <w:r>
        <w:t xml:space="preserve"> </w:t>
      </w:r>
      <w:r>
        <w:rPr>
          <w:lang w:val="en-US"/>
        </w:rPr>
        <w:t>See for example R and S v T (Surrogacy: Service, Consent and Payments) [2015] EWFC 22.</w:t>
      </w:r>
    </w:p>
  </w:footnote>
  <w:footnote w:id="103">
    <w:p w14:paraId="105DBD95" w14:textId="77777777" w:rsidR="00D47EBF" w:rsidRPr="00FB2194" w:rsidRDefault="00D47EBF" w:rsidP="00065508">
      <w:pPr>
        <w:pStyle w:val="FootnoteText"/>
        <w:rPr>
          <w:lang w:val="en-US"/>
        </w:rPr>
      </w:pPr>
      <w:r>
        <w:rPr>
          <w:rStyle w:val="FootnoteReference"/>
        </w:rPr>
        <w:footnoteRef/>
      </w:r>
      <w:r>
        <w:t xml:space="preserve"> </w:t>
      </w:r>
      <w:r>
        <w:rPr>
          <w:lang w:val="en-US"/>
        </w:rPr>
        <w:t xml:space="preserve"> A and B and CX and D [2016] EWFC 42.</w:t>
      </w:r>
    </w:p>
  </w:footnote>
  <w:footnote w:id="104">
    <w:p w14:paraId="773EC79B" w14:textId="77777777" w:rsidR="00D47EBF" w:rsidRPr="00FA0E80" w:rsidRDefault="00D47EBF" w:rsidP="00065508">
      <w:pPr>
        <w:pStyle w:val="FootnoteText"/>
        <w:rPr>
          <w:lang w:val="en-US"/>
        </w:rPr>
      </w:pPr>
      <w:r>
        <w:rPr>
          <w:rStyle w:val="FootnoteReference"/>
        </w:rPr>
        <w:footnoteRef/>
      </w:r>
      <w:r>
        <w:t xml:space="preserve"> </w:t>
      </w:r>
      <w:proofErr w:type="gramStart"/>
      <w:r>
        <w:rPr>
          <w:lang w:val="en-US"/>
        </w:rPr>
        <w:t>Ibid, [9].</w:t>
      </w:r>
      <w:proofErr w:type="gramEnd"/>
    </w:p>
  </w:footnote>
  <w:footnote w:id="105">
    <w:p w14:paraId="3E7C7447" w14:textId="77777777" w:rsidR="00D47EBF" w:rsidRPr="00755FC1" w:rsidRDefault="00D47EBF" w:rsidP="00065508">
      <w:r>
        <w:rPr>
          <w:rStyle w:val="FootnoteReference"/>
        </w:rPr>
        <w:footnoteRef/>
      </w:r>
      <w:r>
        <w:t xml:space="preserve"> AB and DE [2013] EWHC 2413 (</w:t>
      </w:r>
      <w:proofErr w:type="spellStart"/>
      <w:r>
        <w:t>fam</w:t>
      </w:r>
      <w:proofErr w:type="spellEnd"/>
      <w:r>
        <w:t>).</w:t>
      </w:r>
    </w:p>
  </w:footnote>
  <w:footnote w:id="106">
    <w:p w14:paraId="4785A215" w14:textId="21DF2DAD" w:rsidR="00D47EBF" w:rsidRPr="005D3B85" w:rsidRDefault="00D47EBF" w:rsidP="00065508">
      <w:pPr>
        <w:pStyle w:val="FootnoteText"/>
        <w:rPr>
          <w:lang w:val="en-US"/>
        </w:rPr>
      </w:pPr>
      <w:r>
        <w:rPr>
          <w:rStyle w:val="FootnoteReference"/>
        </w:rPr>
        <w:footnoteRef/>
      </w:r>
      <w:r>
        <w:t xml:space="preserve"> </w:t>
      </w:r>
      <w:r w:rsidRPr="004F00A3">
        <w:t xml:space="preserve">X and Y </w:t>
      </w:r>
      <w:r>
        <w:t>(Foreign Surrogacy) (n 68).</w:t>
      </w:r>
    </w:p>
  </w:footnote>
  <w:footnote w:id="107">
    <w:p w14:paraId="6CA7D4BF" w14:textId="245D2AEE" w:rsidR="00D47EBF" w:rsidRPr="001B0903" w:rsidRDefault="00D47EBF" w:rsidP="00314D2A">
      <w:pPr>
        <w:pStyle w:val="FootnoteText"/>
        <w:rPr>
          <w:lang w:val="en-US"/>
        </w:rPr>
      </w:pPr>
      <w:r>
        <w:rPr>
          <w:rStyle w:val="FootnoteReference"/>
        </w:rPr>
        <w:footnoteRef/>
      </w:r>
      <w:r>
        <w:rPr>
          <w:lang w:val="en-US"/>
        </w:rPr>
        <w:t xml:space="preserve"> </w:t>
      </w:r>
      <w:proofErr w:type="gramStart"/>
      <w:r>
        <w:rPr>
          <w:lang w:val="en-US"/>
        </w:rPr>
        <w:t>J v G (n 78), [30].</w:t>
      </w:r>
      <w:proofErr w:type="gramEnd"/>
    </w:p>
  </w:footnote>
  <w:footnote w:id="108">
    <w:p w14:paraId="7D998A69" w14:textId="79E4E5E7" w:rsidR="00D47EBF" w:rsidRPr="001B0903" w:rsidRDefault="00D47EBF" w:rsidP="00314D2A">
      <w:pPr>
        <w:pStyle w:val="FootnoteText"/>
        <w:rPr>
          <w:lang w:val="en-US"/>
        </w:rPr>
      </w:pPr>
      <w:r>
        <w:rPr>
          <w:rStyle w:val="FootnoteReference"/>
        </w:rPr>
        <w:footnoteRef/>
      </w:r>
      <w:r>
        <w:t xml:space="preserve"> </w:t>
      </w:r>
      <w:proofErr w:type="spellStart"/>
      <w:r>
        <w:rPr>
          <w:lang w:val="en-US"/>
        </w:rPr>
        <w:t>Eg</w:t>
      </w:r>
      <w:proofErr w:type="spellEnd"/>
      <w:r>
        <w:rPr>
          <w:lang w:val="en-US"/>
        </w:rPr>
        <w:t xml:space="preserve"> AB and DE [2013] EWHC 2413, Re P-M (n 76), Re X (A Child) (n 78), Re Z (Foreign Surrogacy </w:t>
      </w:r>
      <w:r>
        <w:t>[2015] EWFC 90</w:t>
      </w:r>
      <w:r>
        <w:rPr>
          <w:lang w:val="en-US"/>
        </w:rPr>
        <w:t xml:space="preserve">, AB v CD </w:t>
      </w:r>
      <w:r>
        <w:t>Surrogacy – Time Limit and Consent) [2015] EWFC 12</w:t>
      </w:r>
      <w:r>
        <w:rPr>
          <w:lang w:val="en-US"/>
        </w:rPr>
        <w:t>, Re A and B (No.2) (</w:t>
      </w:r>
      <w:r>
        <w:t>Parental Order) [2015] EWHC 2080</w:t>
      </w:r>
      <w:r>
        <w:rPr>
          <w:lang w:val="en-US"/>
        </w:rPr>
        <w:t xml:space="preserve">, KB and RJ </w:t>
      </w:r>
      <w:r>
        <w:t>KB and RJ v RT [2016] EWHC 760 (fam)</w:t>
      </w:r>
      <w:r>
        <w:rPr>
          <w:lang w:val="en-US"/>
        </w:rPr>
        <w:t>, DM and LK [2016] EWHC 270 (</w:t>
      </w:r>
      <w:proofErr w:type="spellStart"/>
      <w:r>
        <w:rPr>
          <w:lang w:val="en-US"/>
        </w:rPr>
        <w:t>fam</w:t>
      </w:r>
      <w:proofErr w:type="spellEnd"/>
      <w:r>
        <w:rPr>
          <w:lang w:val="en-US"/>
        </w:rPr>
        <w:t>).</w:t>
      </w:r>
    </w:p>
  </w:footnote>
  <w:footnote w:id="109">
    <w:p w14:paraId="065FD50F" w14:textId="7260C63C" w:rsidR="00D47EBF" w:rsidRPr="00CA1F47" w:rsidRDefault="00D47EBF" w:rsidP="00314D2A">
      <w:pPr>
        <w:pStyle w:val="FootnoteText"/>
        <w:rPr>
          <w:lang w:val="en-US"/>
        </w:rPr>
      </w:pPr>
      <w:r>
        <w:rPr>
          <w:rStyle w:val="FootnoteReference"/>
        </w:rPr>
        <w:footnoteRef/>
      </w:r>
      <w:r>
        <w:t xml:space="preserve"> </w:t>
      </w:r>
      <w:proofErr w:type="spellStart"/>
      <w:proofErr w:type="gramStart"/>
      <w:r>
        <w:rPr>
          <w:lang w:val="en-US"/>
        </w:rPr>
        <w:t>Eg</w:t>
      </w:r>
      <w:proofErr w:type="spellEnd"/>
      <w:r>
        <w:rPr>
          <w:lang w:val="en-US"/>
        </w:rPr>
        <w:t xml:space="preserve"> CC v DD </w:t>
      </w:r>
      <w:r w:rsidRPr="00617F79">
        <w:rPr>
          <w:lang w:val="en-US"/>
        </w:rPr>
        <w:t>[2014] EWHC 1307</w:t>
      </w:r>
      <w:r>
        <w:rPr>
          <w:lang w:val="en-US"/>
        </w:rPr>
        <w:t xml:space="preserve">, AB v CD [2015] EWFC 12, </w:t>
      </w:r>
      <w:r w:rsidRPr="00CA1F47">
        <w:t>D &amp;</w:t>
      </w:r>
      <w:r>
        <w:t xml:space="preserve"> G (n 78).</w:t>
      </w:r>
      <w:proofErr w:type="gramEnd"/>
    </w:p>
  </w:footnote>
  <w:footnote w:id="110">
    <w:p w14:paraId="257D5E1E" w14:textId="2E0A6337" w:rsidR="00D47EBF" w:rsidRPr="00CA1F47" w:rsidRDefault="00D47EBF" w:rsidP="00314D2A">
      <w:pPr>
        <w:pStyle w:val="FootnoteText"/>
        <w:rPr>
          <w:lang w:val="en-US"/>
        </w:rPr>
      </w:pPr>
      <w:r>
        <w:rPr>
          <w:rStyle w:val="FootnoteReference"/>
        </w:rPr>
        <w:footnoteRef/>
      </w:r>
      <w:r>
        <w:t xml:space="preserve"> D &amp; G (n 78).</w:t>
      </w:r>
    </w:p>
  </w:footnote>
  <w:footnote w:id="111">
    <w:p w14:paraId="55906B2E" w14:textId="41813FD5" w:rsidR="00D47EBF" w:rsidRPr="00CA1F47" w:rsidRDefault="00D47EBF" w:rsidP="00314D2A">
      <w:pPr>
        <w:pStyle w:val="FootnoteText"/>
        <w:rPr>
          <w:lang w:val="en-US"/>
        </w:rPr>
      </w:pPr>
      <w:r>
        <w:rPr>
          <w:rStyle w:val="FootnoteReference"/>
        </w:rPr>
        <w:footnoteRef/>
      </w:r>
      <w:r>
        <w:t xml:space="preserve"> ibid, [68].</w:t>
      </w:r>
    </w:p>
  </w:footnote>
  <w:footnote w:id="112">
    <w:p w14:paraId="206CAC17" w14:textId="77777777" w:rsidR="00D47EBF" w:rsidRPr="000428A5" w:rsidRDefault="00D47EBF" w:rsidP="00621018">
      <w:pPr>
        <w:pStyle w:val="FootnoteText"/>
        <w:rPr>
          <w:lang w:val="en-US"/>
        </w:rPr>
      </w:pPr>
      <w:r>
        <w:rPr>
          <w:rStyle w:val="FootnoteReference"/>
        </w:rPr>
        <w:footnoteRef/>
      </w:r>
      <w:r>
        <w:t xml:space="preserve"> </w:t>
      </w:r>
      <w:proofErr w:type="gramStart"/>
      <w:r>
        <w:rPr>
          <w:lang w:val="en-US"/>
        </w:rPr>
        <w:t>HFEA, s 54 (1).</w:t>
      </w:r>
      <w:proofErr w:type="gramEnd"/>
    </w:p>
  </w:footnote>
  <w:footnote w:id="113">
    <w:p w14:paraId="0412A2CF" w14:textId="77777777" w:rsidR="00D47EBF" w:rsidRPr="00E470CA" w:rsidRDefault="00D47EBF" w:rsidP="007673A2">
      <w:r>
        <w:rPr>
          <w:rStyle w:val="FootnoteReference"/>
        </w:rPr>
        <w:footnoteRef/>
      </w:r>
      <w:r>
        <w:t xml:space="preserve"> </w:t>
      </w:r>
      <w:proofErr w:type="gramStart"/>
      <w:r w:rsidRPr="00E470CA">
        <w:t xml:space="preserve">Howard v </w:t>
      </w:r>
      <w:proofErr w:type="spellStart"/>
      <w:r w:rsidRPr="00E470CA">
        <w:t>Boddington</w:t>
      </w:r>
      <w:proofErr w:type="spellEnd"/>
      <w:r w:rsidRPr="00E470CA">
        <w:t xml:space="preserve"> (1877) 2 PD 203.</w:t>
      </w:r>
      <w:proofErr w:type="gramEnd"/>
    </w:p>
  </w:footnote>
  <w:footnote w:id="114">
    <w:p w14:paraId="59FC985E" w14:textId="77777777" w:rsidR="00D47EBF" w:rsidRPr="008F4344" w:rsidRDefault="00D47EBF" w:rsidP="007673A2">
      <w:pPr>
        <w:pStyle w:val="FootnoteText"/>
        <w:rPr>
          <w:lang w:val="en-US"/>
        </w:rPr>
      </w:pPr>
      <w:r>
        <w:rPr>
          <w:rStyle w:val="FootnoteReference"/>
        </w:rPr>
        <w:footnoteRef/>
      </w:r>
      <w:r>
        <w:t xml:space="preserve"> ibid</w:t>
      </w:r>
    </w:p>
  </w:footnote>
  <w:footnote w:id="115">
    <w:p w14:paraId="4A6E3EB1" w14:textId="77777777" w:rsidR="00D47EBF" w:rsidRPr="008F4344" w:rsidRDefault="00D47EBF" w:rsidP="007673A2">
      <w:pPr>
        <w:pStyle w:val="FootnoteText"/>
        <w:rPr>
          <w:lang w:val="en-US"/>
        </w:rPr>
      </w:pPr>
      <w:r>
        <w:rPr>
          <w:rStyle w:val="FootnoteReference"/>
        </w:rPr>
        <w:footnoteRef/>
      </w:r>
      <w:r>
        <w:t xml:space="preserve"> Eg London &amp; Clydeside Estates Ltd v Aberdeen District Council [1980] 1 WLR 182, Wang v Commissioner of Inland Revenue [1994] 1 WLR 1286 and R v Soneji and Another [2005] UKHL 49.</w:t>
      </w:r>
    </w:p>
  </w:footnote>
  <w:footnote w:id="116">
    <w:p w14:paraId="0267DF66" w14:textId="16F72854" w:rsidR="00D47EBF" w:rsidRPr="008F4344" w:rsidRDefault="00D47EBF" w:rsidP="007673A2">
      <w:pPr>
        <w:pStyle w:val="FootnoteText"/>
        <w:rPr>
          <w:lang w:val="en-US"/>
        </w:rPr>
      </w:pPr>
      <w:r>
        <w:rPr>
          <w:rStyle w:val="FootnoteReference"/>
        </w:rPr>
        <w:footnoteRef/>
      </w:r>
      <w:r>
        <w:t xml:space="preserve"> Ibid [189] (Lord Hailsham).</w:t>
      </w:r>
    </w:p>
  </w:footnote>
  <w:footnote w:id="117">
    <w:p w14:paraId="65F21063" w14:textId="77777777" w:rsidR="00D47EBF" w:rsidRPr="00E17723" w:rsidRDefault="00D47EBF" w:rsidP="00621018">
      <w:pPr>
        <w:pStyle w:val="FootnoteText"/>
        <w:rPr>
          <w:lang w:val="en-US"/>
        </w:rPr>
      </w:pPr>
      <w:r>
        <w:rPr>
          <w:rStyle w:val="FootnoteReference"/>
        </w:rPr>
        <w:footnoteRef/>
      </w:r>
      <w:r>
        <w:t xml:space="preserve"> </w:t>
      </w:r>
      <w:proofErr w:type="gramStart"/>
      <w:r>
        <w:rPr>
          <w:lang w:val="en-US"/>
        </w:rPr>
        <w:t>HFEA 2008, s 54 (6).</w:t>
      </w:r>
      <w:proofErr w:type="gramEnd"/>
    </w:p>
  </w:footnote>
  <w:footnote w:id="118">
    <w:p w14:paraId="126B98FC" w14:textId="77777777" w:rsidR="00D47EBF" w:rsidRPr="00E17723" w:rsidRDefault="00D47EBF" w:rsidP="00621018">
      <w:pPr>
        <w:pStyle w:val="FootnoteText"/>
        <w:rPr>
          <w:lang w:val="en-US"/>
        </w:rPr>
      </w:pPr>
      <w:r>
        <w:rPr>
          <w:rStyle w:val="FootnoteReference"/>
        </w:rPr>
        <w:footnoteRef/>
      </w:r>
      <w:r>
        <w:t xml:space="preserve"> </w:t>
      </w:r>
      <w:proofErr w:type="gramStart"/>
      <w:r>
        <w:rPr>
          <w:lang w:val="en-US"/>
        </w:rPr>
        <w:t>HFEA 2008, s 54 (8).</w:t>
      </w:r>
      <w:proofErr w:type="gramEnd"/>
    </w:p>
  </w:footnote>
  <w:footnote w:id="119">
    <w:p w14:paraId="44D8BF0F" w14:textId="77777777" w:rsidR="00D47EBF" w:rsidRPr="00FE6804" w:rsidRDefault="00D47EBF" w:rsidP="00621018">
      <w:pPr>
        <w:pStyle w:val="FootnoteText"/>
        <w:rPr>
          <w:lang w:val="en-US"/>
        </w:rPr>
      </w:pPr>
      <w:r>
        <w:rPr>
          <w:rStyle w:val="FootnoteReference"/>
        </w:rPr>
        <w:footnoteRef/>
      </w:r>
      <w:r>
        <w:t xml:space="preserve"> </w:t>
      </w:r>
      <w:r>
        <w:rPr>
          <w:lang w:val="en-US"/>
        </w:rPr>
        <w:t>FPR 2010, Part 13 rule 10 and HFEA 2008, s 54 (7).</w:t>
      </w:r>
    </w:p>
  </w:footnote>
  <w:footnote w:id="120">
    <w:p w14:paraId="4A266F2D" w14:textId="77777777" w:rsidR="00D47EBF" w:rsidRDefault="00D47EBF" w:rsidP="00621018">
      <w:pPr>
        <w:pStyle w:val="FootnoteText"/>
        <w:rPr>
          <w:lang w:val="en-US"/>
        </w:rPr>
      </w:pPr>
      <w:r>
        <w:rPr>
          <w:rStyle w:val="FootnoteReference"/>
        </w:rPr>
        <w:footnoteRef/>
      </w:r>
      <w:r>
        <w:t xml:space="preserve"> </w:t>
      </w:r>
      <w:r>
        <w:rPr>
          <w:lang w:val="en-US"/>
        </w:rPr>
        <w:t xml:space="preserve">These relate to HFEA 2008, s 54 (2), s 54 (2) </w:t>
      </w:r>
    </w:p>
    <w:p w14:paraId="3F83EB30" w14:textId="77777777" w:rsidR="00D47EBF" w:rsidRPr="00E17723" w:rsidRDefault="00D47EBF" w:rsidP="00621018">
      <w:pPr>
        <w:pStyle w:val="FootnoteText"/>
        <w:rPr>
          <w:lang w:val="en-US"/>
        </w:rPr>
      </w:pPr>
      <w:r>
        <w:rPr>
          <w:lang w:val="en-US"/>
        </w:rPr>
        <w:t>(c), s 54 (3) and s 54 (a).</w:t>
      </w:r>
    </w:p>
  </w:footnote>
  <w:footnote w:id="121">
    <w:p w14:paraId="42E2621C" w14:textId="77777777" w:rsidR="00D47EBF" w:rsidRPr="004F3DF9" w:rsidRDefault="00D47EBF" w:rsidP="00621018">
      <w:pPr>
        <w:pStyle w:val="FootnoteText"/>
        <w:rPr>
          <w:lang w:val="en-US"/>
        </w:rPr>
      </w:pPr>
      <w:r>
        <w:rPr>
          <w:rStyle w:val="FootnoteReference"/>
        </w:rPr>
        <w:footnoteRef/>
      </w:r>
      <w:r>
        <w:t xml:space="preserve"> </w:t>
      </w:r>
      <w:r>
        <w:rPr>
          <w:lang w:val="en-US"/>
        </w:rPr>
        <w:t>Logical semantics is the study of linguistics in the context of the logical and sensible assumptions about meaning whilst lexical semantics is the analysis of the meaning of language using its relationship to other words.</w:t>
      </w:r>
    </w:p>
  </w:footnote>
  <w:footnote w:id="122">
    <w:p w14:paraId="01DAA591" w14:textId="0E24DF8F" w:rsidR="00D47EBF" w:rsidRPr="00CB76EA" w:rsidRDefault="00D47EBF" w:rsidP="00621018">
      <w:pPr>
        <w:pStyle w:val="FootnoteText"/>
        <w:rPr>
          <w:lang w:val="en-US"/>
        </w:rPr>
      </w:pPr>
      <w:r>
        <w:rPr>
          <w:rStyle w:val="FootnoteReference"/>
        </w:rPr>
        <w:footnoteRef/>
      </w:r>
      <w:r>
        <w:t xml:space="preserve"> </w:t>
      </w:r>
      <w:r>
        <w:rPr>
          <w:lang w:val="en-US"/>
        </w:rPr>
        <w:t xml:space="preserve">See </w:t>
      </w:r>
      <w:proofErr w:type="gramStart"/>
      <w:r w:rsidRPr="00210F56">
        <w:t>A</w:t>
      </w:r>
      <w:proofErr w:type="gramEnd"/>
      <w:r w:rsidRPr="00210F56">
        <w:t xml:space="preserve"> </w:t>
      </w:r>
      <w:r>
        <w:t>v P (n 68).</w:t>
      </w:r>
    </w:p>
  </w:footnote>
  <w:footnote w:id="123">
    <w:p w14:paraId="3C0E538A" w14:textId="77777777" w:rsidR="00D47EBF" w:rsidRPr="00CB76EA" w:rsidRDefault="00D47EBF" w:rsidP="00621018">
      <w:pPr>
        <w:pStyle w:val="FootnoteText"/>
        <w:rPr>
          <w:lang w:val="en-US"/>
        </w:rPr>
      </w:pPr>
      <w:r>
        <w:rPr>
          <w:rStyle w:val="FootnoteReference"/>
        </w:rPr>
        <w:footnoteRef/>
      </w:r>
      <w:r>
        <w:t xml:space="preserve"> </w:t>
      </w:r>
      <w:proofErr w:type="gramStart"/>
      <w:r>
        <w:rPr>
          <w:lang w:val="en-US"/>
        </w:rPr>
        <w:t>See DM and LK [2016] EWHC 270 (</w:t>
      </w:r>
      <w:proofErr w:type="spellStart"/>
      <w:r>
        <w:rPr>
          <w:lang w:val="en-US"/>
        </w:rPr>
        <w:t>fam</w:t>
      </w:r>
      <w:proofErr w:type="spellEnd"/>
      <w:r>
        <w:rPr>
          <w:lang w:val="en-US"/>
        </w:rPr>
        <w:t>).</w:t>
      </w:r>
      <w:proofErr w:type="gramEnd"/>
    </w:p>
  </w:footnote>
  <w:footnote w:id="124">
    <w:p w14:paraId="0CA7A0E4" w14:textId="3D2D0DB1" w:rsidR="00D47EBF" w:rsidRPr="00E454C6" w:rsidRDefault="00D47EBF" w:rsidP="00621018">
      <w:pPr>
        <w:pStyle w:val="FootnoteText"/>
        <w:rPr>
          <w:lang w:val="en-US"/>
        </w:rPr>
      </w:pPr>
      <w:r>
        <w:rPr>
          <w:rStyle w:val="FootnoteReference"/>
        </w:rPr>
        <w:footnoteRef/>
      </w:r>
      <w:r>
        <w:t xml:space="preserve"> </w:t>
      </w:r>
      <w:r>
        <w:rPr>
          <w:lang w:val="en-US"/>
        </w:rPr>
        <w:t xml:space="preserve">See Re Z (Foreign Surrogacy) </w:t>
      </w:r>
      <w:r>
        <w:t>(n 108)</w:t>
      </w:r>
      <w:r>
        <w:rPr>
          <w:lang w:val="en-US"/>
        </w:rPr>
        <w:t>.</w:t>
      </w:r>
    </w:p>
  </w:footnote>
  <w:footnote w:id="125">
    <w:p w14:paraId="15D40773" w14:textId="4CEBFF05" w:rsidR="00D47EBF" w:rsidRPr="00CB76EA" w:rsidRDefault="00D47EBF" w:rsidP="00621018">
      <w:pPr>
        <w:pStyle w:val="FootnoteText"/>
        <w:rPr>
          <w:lang w:val="en-US"/>
        </w:rPr>
      </w:pPr>
      <w:r>
        <w:rPr>
          <w:rStyle w:val="FootnoteReference"/>
        </w:rPr>
        <w:footnoteRef/>
      </w:r>
      <w:r>
        <w:t xml:space="preserve"> </w:t>
      </w:r>
      <w:r>
        <w:rPr>
          <w:lang w:val="en-US"/>
        </w:rPr>
        <w:t>See Re X (A Child) (n 78).</w:t>
      </w:r>
    </w:p>
  </w:footnote>
  <w:footnote w:id="126">
    <w:p w14:paraId="022E783C" w14:textId="77777777" w:rsidR="00D47EBF" w:rsidRPr="006F12D9" w:rsidRDefault="00D47EBF" w:rsidP="00621018">
      <w:pPr>
        <w:pStyle w:val="FootnoteText"/>
        <w:rPr>
          <w:lang w:val="en-US"/>
        </w:rPr>
      </w:pPr>
      <w:r>
        <w:rPr>
          <w:rStyle w:val="FootnoteReference"/>
        </w:rPr>
        <w:footnoteRef/>
      </w:r>
      <w:r>
        <w:t xml:space="preserve"> Ibid</w:t>
      </w:r>
      <w:r w:rsidRPr="006F12D9">
        <w:t>.</w:t>
      </w:r>
    </w:p>
  </w:footnote>
  <w:footnote w:id="127">
    <w:p w14:paraId="4BC744C7" w14:textId="55522B17" w:rsidR="00D47EBF" w:rsidRPr="006F12D9" w:rsidRDefault="00D47EBF" w:rsidP="00621018">
      <w:pPr>
        <w:pStyle w:val="FootnoteText"/>
        <w:rPr>
          <w:lang w:val="en-US"/>
        </w:rPr>
      </w:pPr>
      <w:r>
        <w:rPr>
          <w:rStyle w:val="FootnoteReference"/>
        </w:rPr>
        <w:footnoteRef/>
      </w:r>
      <w:r>
        <w:t xml:space="preserve"> Re Z (Foreign Surrogacy) (n 108).</w:t>
      </w:r>
    </w:p>
  </w:footnote>
  <w:footnote w:id="128">
    <w:p w14:paraId="36A65BDD" w14:textId="1953BA47" w:rsidR="00D47EBF" w:rsidRPr="00F261D4" w:rsidRDefault="00D47EBF" w:rsidP="00621018">
      <w:pPr>
        <w:pStyle w:val="FootnoteText"/>
        <w:rPr>
          <w:lang w:val="en-US"/>
        </w:rPr>
      </w:pPr>
      <w:r>
        <w:rPr>
          <w:rStyle w:val="FootnoteReference"/>
        </w:rPr>
        <w:footnoteRef/>
      </w:r>
      <w:r>
        <w:t xml:space="preserve"> Re X (A Child) (n 78).</w:t>
      </w:r>
    </w:p>
  </w:footnote>
  <w:footnote w:id="129">
    <w:p w14:paraId="271F0866" w14:textId="77777777" w:rsidR="00D47EBF" w:rsidRPr="007B759B" w:rsidRDefault="00D47EBF" w:rsidP="00621018">
      <w:pPr>
        <w:pStyle w:val="FootnoteText"/>
        <w:rPr>
          <w:lang w:val="en-US"/>
        </w:rPr>
      </w:pPr>
      <w:r>
        <w:rPr>
          <w:rStyle w:val="FootnoteReference"/>
        </w:rPr>
        <w:footnoteRef/>
      </w:r>
      <w:r>
        <w:t xml:space="preserve"> </w:t>
      </w:r>
      <w:proofErr w:type="gramStart"/>
      <w:r>
        <w:rPr>
          <w:lang w:val="en-US"/>
        </w:rPr>
        <w:t>HFEA 2008, s 54 (3).</w:t>
      </w:r>
      <w:proofErr w:type="gramEnd"/>
    </w:p>
  </w:footnote>
  <w:footnote w:id="130">
    <w:p w14:paraId="6C920619" w14:textId="45DCF86B" w:rsidR="00D47EBF" w:rsidRPr="00803630" w:rsidRDefault="00D47EBF" w:rsidP="00621018">
      <w:pPr>
        <w:pStyle w:val="FootnoteText"/>
        <w:rPr>
          <w:lang w:val="en-US"/>
        </w:rPr>
      </w:pPr>
      <w:r>
        <w:rPr>
          <w:rStyle w:val="FootnoteReference"/>
        </w:rPr>
        <w:footnoteRef/>
      </w:r>
      <w:r>
        <w:t xml:space="preserve"> Re X (A Child) (n 78), </w:t>
      </w:r>
      <w:r>
        <w:rPr>
          <w:lang w:val="en-US"/>
        </w:rPr>
        <w:t>[55].</w:t>
      </w:r>
    </w:p>
  </w:footnote>
  <w:footnote w:id="131">
    <w:p w14:paraId="3900CD24" w14:textId="77777777" w:rsidR="00D47EBF" w:rsidRPr="00B807D1" w:rsidRDefault="00D47EBF" w:rsidP="00621018">
      <w:pPr>
        <w:pStyle w:val="FootnoteText"/>
        <w:rPr>
          <w:lang w:val="en-US"/>
        </w:rPr>
      </w:pPr>
      <w:r>
        <w:rPr>
          <w:rStyle w:val="FootnoteReference"/>
        </w:rPr>
        <w:footnoteRef/>
      </w:r>
      <w:r>
        <w:t xml:space="preserve"> Ibid, [65].</w:t>
      </w:r>
    </w:p>
  </w:footnote>
  <w:footnote w:id="132">
    <w:p w14:paraId="6ECAB2D2" w14:textId="4932F8B0" w:rsidR="00D47EBF" w:rsidRPr="005C64D6" w:rsidRDefault="00D47EBF" w:rsidP="00621018">
      <w:pPr>
        <w:pStyle w:val="FootnoteText"/>
        <w:rPr>
          <w:lang w:val="en-US"/>
        </w:rPr>
      </w:pPr>
      <w:r>
        <w:rPr>
          <w:rStyle w:val="FootnoteReference"/>
        </w:rPr>
        <w:footnoteRef/>
      </w:r>
      <w:r>
        <w:t xml:space="preserve"> </w:t>
      </w:r>
      <w:proofErr w:type="gramStart"/>
      <w:r>
        <w:rPr>
          <w:lang w:val="en-US"/>
        </w:rPr>
        <w:t>AB v CD (n 78).</w:t>
      </w:r>
      <w:proofErr w:type="gramEnd"/>
    </w:p>
  </w:footnote>
  <w:footnote w:id="133">
    <w:p w14:paraId="713B0CD6" w14:textId="437B4D48" w:rsidR="00D47EBF" w:rsidRPr="007115D8" w:rsidRDefault="00D47EBF" w:rsidP="00621018">
      <w:pPr>
        <w:pStyle w:val="FootnoteText"/>
        <w:rPr>
          <w:lang w:val="en-US"/>
        </w:rPr>
      </w:pPr>
      <w:r>
        <w:rPr>
          <w:rStyle w:val="FootnoteReference"/>
        </w:rPr>
        <w:footnoteRef/>
      </w:r>
      <w:r>
        <w:t xml:space="preserve"> D and G (n 78)</w:t>
      </w:r>
      <w:r w:rsidRPr="007115D8">
        <w:t>.</w:t>
      </w:r>
    </w:p>
  </w:footnote>
  <w:footnote w:id="134">
    <w:p w14:paraId="016852F9" w14:textId="77777777" w:rsidR="00D47EBF" w:rsidRPr="003D4556" w:rsidRDefault="00D47EBF" w:rsidP="00621018">
      <w:pPr>
        <w:pStyle w:val="FootnoteText"/>
        <w:rPr>
          <w:lang w:val="en-US"/>
        </w:rPr>
      </w:pPr>
      <w:r>
        <w:rPr>
          <w:rStyle w:val="FootnoteReference"/>
        </w:rPr>
        <w:footnoteRef/>
      </w:r>
      <w:r>
        <w:t xml:space="preserve"> EWHC 2080 (fam).</w:t>
      </w:r>
    </w:p>
  </w:footnote>
  <w:footnote w:id="135">
    <w:p w14:paraId="1A43DD39" w14:textId="77777777" w:rsidR="00D47EBF" w:rsidRPr="007D70CD" w:rsidRDefault="00D47EBF" w:rsidP="00621018">
      <w:pPr>
        <w:pStyle w:val="FootnoteText"/>
        <w:rPr>
          <w:lang w:val="en-US"/>
        </w:rPr>
      </w:pPr>
      <w:r>
        <w:rPr>
          <w:rStyle w:val="FootnoteReference"/>
        </w:rPr>
        <w:footnoteRef/>
      </w:r>
      <w:r>
        <w:t xml:space="preserve"> A and B (No.2 Parental Order) [2015] EWHC 2080</w:t>
      </w:r>
      <w:r w:rsidRPr="007D70CD">
        <w:t>.</w:t>
      </w:r>
    </w:p>
  </w:footnote>
  <w:footnote w:id="136">
    <w:p w14:paraId="388A811E" w14:textId="77777777" w:rsidR="00D47EBF" w:rsidRPr="007D70CD" w:rsidRDefault="00D47EBF" w:rsidP="00621018">
      <w:pPr>
        <w:pStyle w:val="FootnoteText"/>
        <w:rPr>
          <w:lang w:val="en-US"/>
        </w:rPr>
      </w:pPr>
      <w:r>
        <w:rPr>
          <w:rStyle w:val="FootnoteReference"/>
        </w:rPr>
        <w:footnoteRef/>
      </w:r>
      <w:r>
        <w:t xml:space="preserve"> </w:t>
      </w:r>
      <w:proofErr w:type="gramStart"/>
      <w:r>
        <w:rPr>
          <w:lang w:val="en-US"/>
        </w:rPr>
        <w:t xml:space="preserve">KB and RJ </w:t>
      </w:r>
      <w:r>
        <w:t>v RT [2016] EWHC 760</w:t>
      </w:r>
      <w:r>
        <w:rPr>
          <w:lang w:val="en-US"/>
        </w:rPr>
        <w:t>.</w:t>
      </w:r>
      <w:proofErr w:type="gramEnd"/>
    </w:p>
  </w:footnote>
  <w:footnote w:id="137">
    <w:p w14:paraId="34881DB9" w14:textId="6AFFDBAE" w:rsidR="00D47EBF" w:rsidRPr="003D4556" w:rsidRDefault="00D47EBF" w:rsidP="00621018">
      <w:r>
        <w:rPr>
          <w:rStyle w:val="FootnoteReference"/>
        </w:rPr>
        <w:footnoteRef/>
      </w:r>
      <w:r>
        <w:t xml:space="preserve"> </w:t>
      </w:r>
      <w:proofErr w:type="gramStart"/>
      <w:r>
        <w:t>Re Z (Foreign Surrogacy) (n 108).</w:t>
      </w:r>
      <w:proofErr w:type="gramEnd"/>
    </w:p>
  </w:footnote>
  <w:footnote w:id="138">
    <w:p w14:paraId="64E91ED1" w14:textId="77777777" w:rsidR="00D47EBF" w:rsidRPr="003D4556" w:rsidRDefault="00D47EBF" w:rsidP="00621018">
      <w:pPr>
        <w:pStyle w:val="FootnoteText"/>
        <w:rPr>
          <w:lang w:val="en-US"/>
        </w:rPr>
      </w:pPr>
      <w:r>
        <w:rPr>
          <w:rStyle w:val="FootnoteReference"/>
        </w:rPr>
        <w:footnoteRef/>
      </w:r>
      <w:r>
        <w:t xml:space="preserve"> [2015] EWHC 2080 (fam).</w:t>
      </w:r>
    </w:p>
  </w:footnote>
  <w:footnote w:id="139">
    <w:p w14:paraId="5E50253F" w14:textId="0C9988F9" w:rsidR="00D47EBF" w:rsidRPr="00D9567A" w:rsidRDefault="00D47EBF" w:rsidP="00621018">
      <w:pPr>
        <w:pStyle w:val="FootnoteText"/>
        <w:rPr>
          <w:lang w:val="en-US"/>
        </w:rPr>
      </w:pPr>
      <w:r>
        <w:rPr>
          <w:rStyle w:val="FootnoteReference"/>
        </w:rPr>
        <w:footnoteRef/>
      </w:r>
      <w:r>
        <w:t xml:space="preserve"> </w:t>
      </w:r>
      <w:r>
        <w:rPr>
          <w:lang w:val="en-US"/>
        </w:rPr>
        <w:t xml:space="preserve">See </w:t>
      </w:r>
      <w:r w:rsidRPr="00D9567A">
        <w:t>Re Z (Foreign S</w:t>
      </w:r>
      <w:r>
        <w:t>urrogacy) (n 108), [94].</w:t>
      </w:r>
    </w:p>
  </w:footnote>
  <w:footnote w:id="140">
    <w:p w14:paraId="43B1BC40" w14:textId="145155CF" w:rsidR="00D47EBF" w:rsidRPr="00BB603F" w:rsidRDefault="00D47EBF" w:rsidP="00621018">
      <w:pPr>
        <w:pStyle w:val="FootnoteText"/>
        <w:rPr>
          <w:lang w:val="en-US"/>
        </w:rPr>
      </w:pPr>
      <w:r>
        <w:rPr>
          <w:rStyle w:val="FootnoteReference"/>
        </w:rPr>
        <w:footnoteRef/>
      </w:r>
      <w:r>
        <w:t xml:space="preserve"> </w:t>
      </w:r>
      <w:r>
        <w:rPr>
          <w:lang w:val="en-US"/>
        </w:rPr>
        <w:t>ECHR 1950, Article 8.</w:t>
      </w:r>
    </w:p>
  </w:footnote>
  <w:footnote w:id="141">
    <w:p w14:paraId="148FBF57" w14:textId="77777777" w:rsidR="00D47EBF" w:rsidRPr="00DE1BD4" w:rsidRDefault="00D47EBF" w:rsidP="00621018">
      <w:pPr>
        <w:pStyle w:val="FootnoteText"/>
        <w:rPr>
          <w:lang w:val="en-US"/>
        </w:rPr>
      </w:pPr>
      <w:r>
        <w:rPr>
          <w:rStyle w:val="FootnoteReference"/>
        </w:rPr>
        <w:footnoteRef/>
      </w:r>
      <w:r>
        <w:rPr>
          <w:lang w:val="en-US"/>
        </w:rPr>
        <w:t xml:space="preserve"> DM and LK [2016] EWHC 270 (</w:t>
      </w:r>
      <w:proofErr w:type="spellStart"/>
      <w:r>
        <w:rPr>
          <w:lang w:val="en-US"/>
        </w:rPr>
        <w:t>fam</w:t>
      </w:r>
      <w:proofErr w:type="spellEnd"/>
      <w:r>
        <w:rPr>
          <w:lang w:val="en-US"/>
        </w:rPr>
        <w:t>)</w:t>
      </w:r>
      <w:r>
        <w:t>.</w:t>
      </w:r>
    </w:p>
  </w:footnote>
  <w:footnote w:id="142">
    <w:p w14:paraId="69AC2925" w14:textId="77777777" w:rsidR="00D47EBF" w:rsidRPr="008E5758" w:rsidRDefault="00D47EBF" w:rsidP="00621018">
      <w:pPr>
        <w:pStyle w:val="FootnoteText"/>
        <w:rPr>
          <w:lang w:val="en-US"/>
        </w:rPr>
      </w:pPr>
      <w:r>
        <w:rPr>
          <w:rStyle w:val="FootnoteReference"/>
        </w:rPr>
        <w:footnoteRef/>
      </w:r>
      <w:r>
        <w:t xml:space="preserve"> </w:t>
      </w:r>
      <w:r>
        <w:rPr>
          <w:lang w:val="en-US"/>
        </w:rPr>
        <w:t>ECHR 1950, Article 8.</w:t>
      </w:r>
    </w:p>
  </w:footnote>
  <w:footnote w:id="143">
    <w:p w14:paraId="0CB367A8" w14:textId="644858BF" w:rsidR="00D47EBF" w:rsidRPr="00565BC6" w:rsidRDefault="00D47EBF" w:rsidP="00621018">
      <w:pPr>
        <w:pStyle w:val="FootnoteText"/>
        <w:rPr>
          <w:lang w:val="en-US"/>
        </w:rPr>
      </w:pPr>
      <w:r>
        <w:rPr>
          <w:rStyle w:val="FootnoteReference"/>
        </w:rPr>
        <w:footnoteRef/>
      </w:r>
      <w:r>
        <w:t xml:space="preserve"> </w:t>
      </w:r>
      <w:proofErr w:type="gramStart"/>
      <w:r>
        <w:rPr>
          <w:lang w:val="en-US"/>
        </w:rPr>
        <w:t>A v P (n 57).</w:t>
      </w:r>
      <w:proofErr w:type="gramEnd"/>
    </w:p>
  </w:footnote>
  <w:footnote w:id="144">
    <w:p w14:paraId="599C4B22" w14:textId="77777777" w:rsidR="00D47EBF" w:rsidRPr="00476BDC" w:rsidRDefault="00D47EBF" w:rsidP="00621018">
      <w:pPr>
        <w:pStyle w:val="FootnoteText"/>
        <w:rPr>
          <w:lang w:val="en-US"/>
        </w:rPr>
      </w:pPr>
      <w:r>
        <w:rPr>
          <w:rStyle w:val="FootnoteReference"/>
        </w:rPr>
        <w:footnoteRef/>
      </w:r>
      <w:r>
        <w:t xml:space="preserve"> </w:t>
      </w:r>
      <w:proofErr w:type="gramStart"/>
      <w:r>
        <w:rPr>
          <w:lang w:val="en-US"/>
        </w:rPr>
        <w:t>HFEA 2008, s 54 (1).</w:t>
      </w:r>
      <w:proofErr w:type="gramEnd"/>
    </w:p>
  </w:footnote>
  <w:footnote w:id="145">
    <w:p w14:paraId="5BFB2C8B" w14:textId="77777777" w:rsidR="00D47EBF" w:rsidRPr="007B759B" w:rsidRDefault="00D47EBF" w:rsidP="00621018">
      <w:pPr>
        <w:pStyle w:val="FootnoteText"/>
      </w:pPr>
      <w:r>
        <w:rPr>
          <w:rStyle w:val="FootnoteReference"/>
        </w:rPr>
        <w:footnoteRef/>
      </w:r>
      <w:r>
        <w:t xml:space="preserve"> Ibid, </w:t>
      </w:r>
      <w:r>
        <w:rPr>
          <w:lang w:val="en-US"/>
        </w:rPr>
        <w:t>[24].</w:t>
      </w:r>
    </w:p>
  </w:footnote>
  <w:footnote w:id="146">
    <w:p w14:paraId="4DE8BE7E" w14:textId="70B9B9DA" w:rsidR="00D47EBF" w:rsidRPr="003E7F16" w:rsidRDefault="00D47EBF" w:rsidP="00621018">
      <w:pPr>
        <w:pStyle w:val="FootnoteText"/>
        <w:rPr>
          <w:lang w:val="en-US"/>
        </w:rPr>
      </w:pPr>
      <w:r>
        <w:rPr>
          <w:rStyle w:val="FootnoteReference"/>
        </w:rPr>
        <w:footnoteRef/>
      </w:r>
      <w:r>
        <w:t xml:space="preserve"> </w:t>
      </w:r>
      <w:r>
        <w:rPr>
          <w:lang w:val="en-US"/>
        </w:rPr>
        <w:t xml:space="preserve"> </w:t>
      </w:r>
      <w:proofErr w:type="gramStart"/>
      <w:r>
        <w:rPr>
          <w:lang w:val="en-US"/>
        </w:rPr>
        <w:t>A v P (n 68), [26 – 27].</w:t>
      </w:r>
      <w:proofErr w:type="gramEnd"/>
    </w:p>
  </w:footnote>
  <w:footnote w:id="147">
    <w:p w14:paraId="74E0B41F" w14:textId="201BD277" w:rsidR="00D47EBF" w:rsidRPr="00075F59" w:rsidRDefault="00D47EBF" w:rsidP="00621018">
      <w:pPr>
        <w:pStyle w:val="FootnoteText"/>
        <w:rPr>
          <w:lang w:val="en-US"/>
        </w:rPr>
      </w:pPr>
      <w:r>
        <w:rPr>
          <w:rStyle w:val="FootnoteReference"/>
        </w:rPr>
        <w:footnoteRef/>
      </w:r>
      <w:r>
        <w:t xml:space="preserve"> Re X (a child) (n 78).</w:t>
      </w:r>
    </w:p>
  </w:footnote>
  <w:footnote w:id="148">
    <w:p w14:paraId="6B6B0CFC" w14:textId="6665D2DB" w:rsidR="00D47EBF" w:rsidRPr="00565BC6" w:rsidRDefault="00D47EBF" w:rsidP="00621018">
      <w:pPr>
        <w:pStyle w:val="FootnoteText"/>
        <w:rPr>
          <w:lang w:val="en-US"/>
        </w:rPr>
      </w:pPr>
      <w:r>
        <w:rPr>
          <w:rStyle w:val="FootnoteReference"/>
        </w:rPr>
        <w:footnoteRef/>
      </w:r>
      <w:r>
        <w:t xml:space="preserve"> </w:t>
      </w:r>
      <w:r>
        <w:rPr>
          <w:lang w:val="en-US"/>
        </w:rPr>
        <w:t xml:space="preserve"> </w:t>
      </w:r>
      <w:proofErr w:type="gramStart"/>
      <w:r>
        <w:rPr>
          <w:lang w:val="en-US"/>
        </w:rPr>
        <w:t>A v P (n 68).</w:t>
      </w:r>
      <w:proofErr w:type="gramEnd"/>
    </w:p>
  </w:footnote>
  <w:footnote w:id="149">
    <w:p w14:paraId="04DE05FA" w14:textId="77777777" w:rsidR="00D47EBF" w:rsidRPr="00CD5EF2" w:rsidRDefault="00D47EBF" w:rsidP="00621018">
      <w:pPr>
        <w:pStyle w:val="FootnoteText"/>
        <w:rPr>
          <w:lang w:val="en-US"/>
        </w:rPr>
      </w:pPr>
      <w:r>
        <w:rPr>
          <w:rStyle w:val="FootnoteReference"/>
        </w:rPr>
        <w:footnoteRef/>
      </w:r>
      <w:r>
        <w:t xml:space="preserve"> Z (a child) [2015] EWFC 73</w:t>
      </w:r>
      <w:r w:rsidRPr="00CD5EF2">
        <w:t>.</w:t>
      </w:r>
    </w:p>
  </w:footnote>
  <w:footnote w:id="150">
    <w:p w14:paraId="549806FC" w14:textId="6B56FB2A" w:rsidR="00D47EBF" w:rsidRPr="00CD5EF2" w:rsidRDefault="00D47EBF" w:rsidP="00621018">
      <w:pPr>
        <w:pStyle w:val="FootnoteText"/>
        <w:rPr>
          <w:lang w:val="en-US"/>
        </w:rPr>
      </w:pPr>
      <w:r>
        <w:rPr>
          <w:rStyle w:val="FootnoteReference"/>
        </w:rPr>
        <w:footnoteRef/>
      </w:r>
      <w:r>
        <w:t xml:space="preserve"> Re X (A Child) (n 78).</w:t>
      </w:r>
    </w:p>
  </w:footnote>
  <w:footnote w:id="151">
    <w:p w14:paraId="6750D01B" w14:textId="77777777" w:rsidR="00D47EBF" w:rsidRPr="00FD2AA0" w:rsidRDefault="00D47EBF" w:rsidP="00621018">
      <w:pPr>
        <w:pStyle w:val="FootnoteText"/>
        <w:rPr>
          <w:lang w:val="en-US"/>
        </w:rPr>
      </w:pPr>
      <w:r>
        <w:rPr>
          <w:rStyle w:val="FootnoteReference"/>
        </w:rPr>
        <w:footnoteRef/>
      </w:r>
      <w:r>
        <w:t xml:space="preserve"> Human Fertilisation and Embryology Bill HC Deb</w:t>
      </w:r>
      <w:r>
        <w:rPr>
          <w:lang w:val="en-US"/>
        </w:rPr>
        <w:t xml:space="preserve"> 12 June 2008, col 248. This amendment was tabled by Dr. John Pugh on behalf of Dr. Evan Harris.</w:t>
      </w:r>
    </w:p>
  </w:footnote>
  <w:footnote w:id="152">
    <w:p w14:paraId="224C7E7E" w14:textId="77777777" w:rsidR="00D47EBF" w:rsidRPr="00BE50A1" w:rsidRDefault="00D47EBF" w:rsidP="00621018">
      <w:pPr>
        <w:pStyle w:val="FootnoteText"/>
        <w:rPr>
          <w:lang w:val="en-US"/>
        </w:rPr>
      </w:pPr>
      <w:r>
        <w:rPr>
          <w:rStyle w:val="FootnoteReference"/>
        </w:rPr>
        <w:footnoteRef/>
      </w:r>
      <w:r>
        <w:t xml:space="preserve"> </w:t>
      </w:r>
      <w:proofErr w:type="gramStart"/>
      <w:r>
        <w:rPr>
          <w:lang w:val="en-US"/>
        </w:rPr>
        <w:t>Human Rights Act 1998, s 3.</w:t>
      </w:r>
      <w:proofErr w:type="gramEnd"/>
    </w:p>
  </w:footnote>
  <w:footnote w:id="153">
    <w:p w14:paraId="6B9D63B7" w14:textId="17E8F4BC" w:rsidR="00D47EBF" w:rsidRPr="00BE50A1" w:rsidRDefault="00D47EBF" w:rsidP="00621018">
      <w:pPr>
        <w:pStyle w:val="FootnoteText"/>
        <w:rPr>
          <w:lang w:val="en-US"/>
        </w:rPr>
      </w:pPr>
      <w:r>
        <w:rPr>
          <w:rStyle w:val="FootnoteReference"/>
        </w:rPr>
        <w:footnoteRef/>
      </w:r>
      <w:r>
        <w:t xml:space="preserve"> </w:t>
      </w:r>
      <w:r>
        <w:rPr>
          <w:lang w:val="en-US"/>
        </w:rPr>
        <w:t>Ibid.</w:t>
      </w:r>
    </w:p>
  </w:footnote>
  <w:footnote w:id="154">
    <w:p w14:paraId="10074950" w14:textId="77777777" w:rsidR="00D47EBF" w:rsidRPr="000727CA" w:rsidRDefault="00D47EBF" w:rsidP="00621018">
      <w:pPr>
        <w:pStyle w:val="FootnoteText"/>
        <w:rPr>
          <w:lang w:val="en-US"/>
        </w:rPr>
      </w:pPr>
      <w:r>
        <w:rPr>
          <w:rStyle w:val="FootnoteReference"/>
        </w:rPr>
        <w:footnoteRef/>
      </w:r>
      <w:r>
        <w:t xml:space="preserve"> </w:t>
      </w:r>
      <w:r w:rsidRPr="000727CA">
        <w:t>[2004</w:t>
      </w:r>
      <w:r>
        <w:t>] UKHL 30.</w:t>
      </w:r>
    </w:p>
  </w:footnote>
  <w:footnote w:id="155">
    <w:p w14:paraId="02942FD9" w14:textId="5F017EE7" w:rsidR="00D47EBF" w:rsidRPr="000727CA" w:rsidRDefault="00D47EBF" w:rsidP="00621018">
      <w:pPr>
        <w:pStyle w:val="FootnoteText"/>
        <w:rPr>
          <w:lang w:val="en-US"/>
        </w:rPr>
      </w:pPr>
      <w:r>
        <w:rPr>
          <w:rStyle w:val="FootnoteReference"/>
        </w:rPr>
        <w:footnoteRef/>
      </w:r>
      <w:r>
        <w:t xml:space="preserve"> </w:t>
      </w:r>
      <w:r w:rsidRPr="00CD5EF2">
        <w:t xml:space="preserve">Re Z (A </w:t>
      </w:r>
      <w:r>
        <w:t>Child) (n 108), [37].</w:t>
      </w:r>
    </w:p>
  </w:footnote>
  <w:footnote w:id="156">
    <w:p w14:paraId="09FC4AA3" w14:textId="576E3D02" w:rsidR="00D47EBF" w:rsidRPr="00FB5ADB" w:rsidRDefault="00D47EBF" w:rsidP="00621018">
      <w:pPr>
        <w:pStyle w:val="FootnoteText"/>
        <w:rPr>
          <w:lang w:val="en-US"/>
        </w:rPr>
      </w:pPr>
      <w:r>
        <w:rPr>
          <w:rStyle w:val="FootnoteReference"/>
        </w:rPr>
        <w:footnoteRef/>
      </w:r>
      <w:r>
        <w:t xml:space="preserve"> Re X (n 78).</w:t>
      </w:r>
    </w:p>
  </w:footnote>
  <w:footnote w:id="157">
    <w:p w14:paraId="2EC8088A" w14:textId="3B274E71" w:rsidR="00D47EBF" w:rsidRPr="00FB5ADB" w:rsidRDefault="00D47EBF" w:rsidP="00621018">
      <w:pPr>
        <w:pStyle w:val="FootnoteText"/>
        <w:rPr>
          <w:lang w:val="en-US"/>
        </w:rPr>
      </w:pPr>
      <w:r>
        <w:rPr>
          <w:rStyle w:val="FootnoteReference"/>
        </w:rPr>
        <w:footnoteRef/>
      </w:r>
      <w:r>
        <w:t xml:space="preserve"> </w:t>
      </w:r>
      <w:proofErr w:type="gramStart"/>
      <w:r>
        <w:rPr>
          <w:lang w:val="en-US"/>
        </w:rPr>
        <w:t>A v P (n 68).</w:t>
      </w:r>
      <w:proofErr w:type="gramEnd"/>
    </w:p>
  </w:footnote>
  <w:footnote w:id="158">
    <w:p w14:paraId="4AFC5EE1" w14:textId="77777777" w:rsidR="00D47EBF" w:rsidRPr="00FB5ADB" w:rsidRDefault="00D47EBF" w:rsidP="00621018">
      <w:pPr>
        <w:pStyle w:val="FootnoteText"/>
        <w:rPr>
          <w:lang w:val="en-US"/>
        </w:rPr>
      </w:pPr>
      <w:r>
        <w:rPr>
          <w:rStyle w:val="FootnoteReference"/>
        </w:rPr>
        <w:footnoteRef/>
      </w:r>
      <w:r>
        <w:t xml:space="preserve"> </w:t>
      </w:r>
      <w:proofErr w:type="gramStart"/>
      <w:r>
        <w:rPr>
          <w:lang w:val="en-US"/>
        </w:rPr>
        <w:t>HFEA 2008, s 54 (3).</w:t>
      </w:r>
      <w:proofErr w:type="gramEnd"/>
      <w:r>
        <w:rPr>
          <w:lang w:val="en-US"/>
        </w:rPr>
        <w:t xml:space="preserve"> This section relates to the six-month time limit to apply for a parental order.</w:t>
      </w:r>
    </w:p>
  </w:footnote>
  <w:footnote w:id="159">
    <w:p w14:paraId="4ED0B6A4" w14:textId="77777777" w:rsidR="00D47EBF" w:rsidRPr="00FB5ADB" w:rsidRDefault="00D47EBF" w:rsidP="00621018">
      <w:pPr>
        <w:pStyle w:val="FootnoteText"/>
        <w:rPr>
          <w:lang w:val="en-US"/>
        </w:rPr>
      </w:pPr>
      <w:r>
        <w:rPr>
          <w:rStyle w:val="FootnoteReference"/>
        </w:rPr>
        <w:footnoteRef/>
      </w:r>
      <w:r>
        <w:t xml:space="preserve"> </w:t>
      </w:r>
      <w:proofErr w:type="gramStart"/>
      <w:r>
        <w:rPr>
          <w:lang w:val="en-US"/>
        </w:rPr>
        <w:t>HFEA 2008, s 54 (4).</w:t>
      </w:r>
      <w:proofErr w:type="gramEnd"/>
      <w:r>
        <w:rPr>
          <w:lang w:val="en-US"/>
        </w:rPr>
        <w:t xml:space="preserve"> This is the requirement that the child’s home must be with the applicants.</w:t>
      </w:r>
    </w:p>
  </w:footnote>
  <w:footnote w:id="160">
    <w:p w14:paraId="37FB8C18" w14:textId="097EDE5D" w:rsidR="00D47EBF" w:rsidRPr="006C0C99" w:rsidRDefault="00D47EBF" w:rsidP="00621018">
      <w:pPr>
        <w:pStyle w:val="FootnoteText"/>
        <w:rPr>
          <w:lang w:val="en-US"/>
        </w:rPr>
      </w:pPr>
      <w:r>
        <w:rPr>
          <w:rStyle w:val="FootnoteReference"/>
        </w:rPr>
        <w:footnoteRef/>
      </w:r>
      <w:r>
        <w:t xml:space="preserve"> Re Z (a child) (n 10</w:t>
      </w:r>
      <w:bookmarkStart w:id="4" w:name="_GoBack"/>
      <w:r>
        <w:t>8</w:t>
      </w:r>
      <w:bookmarkEnd w:id="4"/>
      <w:r>
        <w:t>)</w:t>
      </w:r>
      <w:r w:rsidRPr="00CD5EF2">
        <w:t>.</w:t>
      </w:r>
    </w:p>
  </w:footnote>
  <w:footnote w:id="161">
    <w:p w14:paraId="483A3861" w14:textId="77777777" w:rsidR="00D47EBF" w:rsidRPr="00D131D2" w:rsidRDefault="00D47EBF" w:rsidP="00621018">
      <w:pPr>
        <w:pStyle w:val="FootnoteText"/>
        <w:rPr>
          <w:lang w:val="en-US"/>
        </w:rPr>
      </w:pPr>
      <w:r>
        <w:rPr>
          <w:rStyle w:val="FootnoteReference"/>
        </w:rPr>
        <w:footnoteRef/>
      </w:r>
      <w:r>
        <w:t xml:space="preserve"> </w:t>
      </w:r>
      <w:r>
        <w:rPr>
          <w:lang w:val="en-US"/>
        </w:rPr>
        <w:t>ECHR 1950, Articles 8, 12 and 14.</w:t>
      </w:r>
    </w:p>
  </w:footnote>
  <w:footnote w:id="162">
    <w:p w14:paraId="7C91BBE6" w14:textId="77777777" w:rsidR="00D47EBF" w:rsidRPr="00D131D2" w:rsidRDefault="00D47EBF" w:rsidP="00621018">
      <w:pPr>
        <w:pStyle w:val="FootnoteText"/>
        <w:rPr>
          <w:lang w:val="en-US"/>
        </w:rPr>
      </w:pPr>
      <w:r>
        <w:rPr>
          <w:rStyle w:val="FootnoteReference"/>
        </w:rPr>
        <w:footnoteRef/>
      </w:r>
      <w:r>
        <w:t xml:space="preserve"> </w:t>
      </w:r>
      <w:proofErr w:type="gramStart"/>
      <w:r>
        <w:rPr>
          <w:lang w:val="en-US"/>
        </w:rPr>
        <w:t>Re Z (no.2) [2016] EWHC 1191 (</w:t>
      </w:r>
      <w:proofErr w:type="spellStart"/>
      <w:r>
        <w:rPr>
          <w:lang w:val="en-US"/>
        </w:rPr>
        <w:t>fam</w:t>
      </w:r>
      <w:proofErr w:type="spellEnd"/>
      <w:r>
        <w:rPr>
          <w:lang w:val="en-US"/>
        </w:rPr>
        <w:t>).</w:t>
      </w:r>
      <w:proofErr w:type="gramEnd"/>
    </w:p>
  </w:footnote>
  <w:footnote w:id="163">
    <w:p w14:paraId="7DE25E83" w14:textId="77777777" w:rsidR="00D47EBF" w:rsidRPr="00D131D2" w:rsidRDefault="00D47EBF" w:rsidP="00621018">
      <w:pPr>
        <w:pStyle w:val="FootnoteText"/>
        <w:rPr>
          <w:lang w:val="en-US"/>
        </w:rPr>
      </w:pPr>
      <w:r>
        <w:rPr>
          <w:rStyle w:val="FootnoteReference"/>
        </w:rPr>
        <w:footnoteRef/>
      </w:r>
      <w:r>
        <w:t xml:space="preserve"> </w:t>
      </w:r>
      <w:r>
        <w:rPr>
          <w:lang w:val="en-US"/>
        </w:rPr>
        <w:t>ECHR 1950. The court held that there was incompatibility with Article 14 when taken in conjunction with Article 8.</w:t>
      </w:r>
    </w:p>
  </w:footnote>
  <w:footnote w:id="164">
    <w:p w14:paraId="7050C072" w14:textId="77777777" w:rsidR="00D47EBF" w:rsidRPr="00D00B06" w:rsidRDefault="00D47EBF" w:rsidP="00621018">
      <w:pPr>
        <w:pStyle w:val="FootnoteText"/>
        <w:rPr>
          <w:lang w:val="en-US"/>
        </w:rPr>
      </w:pPr>
      <w:r>
        <w:rPr>
          <w:rStyle w:val="FootnoteReference"/>
        </w:rPr>
        <w:footnoteRef/>
      </w:r>
      <w:r>
        <w:t xml:space="preserve"> </w:t>
      </w:r>
      <w:proofErr w:type="gramStart"/>
      <w:r>
        <w:rPr>
          <w:lang w:val="en-US"/>
        </w:rPr>
        <w:t>HFEA 2008, s 54.</w:t>
      </w:r>
      <w:proofErr w:type="gramEnd"/>
    </w:p>
  </w:footnote>
  <w:footnote w:id="165">
    <w:p w14:paraId="64F3D52A" w14:textId="77777777" w:rsidR="00D47EBF" w:rsidRPr="00202C43" w:rsidRDefault="00D47EBF" w:rsidP="00621018">
      <w:pPr>
        <w:pStyle w:val="FootnoteText"/>
        <w:rPr>
          <w:lang w:val="en-US"/>
        </w:rPr>
      </w:pPr>
      <w:r>
        <w:rPr>
          <w:rStyle w:val="FootnoteReference"/>
        </w:rPr>
        <w:footnoteRef/>
      </w:r>
      <w:r>
        <w:t xml:space="preserve"> Re X (A Child) (n 77).</w:t>
      </w:r>
    </w:p>
  </w:footnote>
  <w:footnote w:id="166">
    <w:p w14:paraId="7945A0EB" w14:textId="77777777" w:rsidR="00D47EBF" w:rsidRPr="00202C43" w:rsidRDefault="00D47EBF" w:rsidP="00621018">
      <w:pPr>
        <w:pStyle w:val="FootnoteText"/>
        <w:rPr>
          <w:lang w:val="en-US"/>
        </w:rPr>
      </w:pPr>
      <w:r>
        <w:rPr>
          <w:rStyle w:val="FootnoteReference"/>
        </w:rPr>
        <w:footnoteRef/>
      </w:r>
      <w:r>
        <w:t xml:space="preserve"> </w:t>
      </w:r>
      <w:proofErr w:type="gramStart"/>
      <w:r>
        <w:rPr>
          <w:lang w:val="en-US"/>
        </w:rPr>
        <w:t>A v P (n 56).</w:t>
      </w:r>
      <w:proofErr w:type="gramEnd"/>
    </w:p>
  </w:footnote>
  <w:footnote w:id="167">
    <w:p w14:paraId="7F3B5074" w14:textId="77777777" w:rsidR="00D47EBF" w:rsidRPr="00B41BDF" w:rsidRDefault="00D47EBF" w:rsidP="00621018">
      <w:pPr>
        <w:pStyle w:val="FootnoteText"/>
        <w:rPr>
          <w:lang w:val="en-US"/>
        </w:rPr>
      </w:pPr>
      <w:r>
        <w:rPr>
          <w:rStyle w:val="FootnoteReference"/>
        </w:rPr>
        <w:footnoteRef/>
      </w:r>
      <w:r>
        <w:t xml:space="preserve"> </w:t>
      </w:r>
      <w:r>
        <w:rPr>
          <w:lang w:val="en-US"/>
        </w:rPr>
        <w:t>DM and LK (n 112).</w:t>
      </w:r>
    </w:p>
  </w:footnote>
  <w:footnote w:id="168">
    <w:p w14:paraId="218A605D" w14:textId="77777777" w:rsidR="00D47EBF" w:rsidRPr="002144C3" w:rsidRDefault="00D47EBF" w:rsidP="00621018">
      <w:pPr>
        <w:pStyle w:val="FootnoteText"/>
        <w:rPr>
          <w:lang w:val="en-US"/>
        </w:rPr>
      </w:pPr>
      <w:r>
        <w:rPr>
          <w:rStyle w:val="FootnoteReference"/>
        </w:rPr>
        <w:footnoteRef/>
      </w:r>
      <w:r w:rsidRPr="00763297">
        <w:rPr>
          <w:lang w:val="en-US"/>
        </w:rPr>
        <w:t xml:space="preserve"> </w:t>
      </w:r>
      <w:r>
        <w:rPr>
          <w:lang w:val="en-US"/>
        </w:rPr>
        <w:t>Re Z (n 107) and Re Z (no.2) (n 161).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51"/>
    <w:rsid w:val="00005B9C"/>
    <w:rsid w:val="0001049F"/>
    <w:rsid w:val="00030F27"/>
    <w:rsid w:val="000352DD"/>
    <w:rsid w:val="00041DFC"/>
    <w:rsid w:val="0004413A"/>
    <w:rsid w:val="000546E5"/>
    <w:rsid w:val="00054AF9"/>
    <w:rsid w:val="00057E8D"/>
    <w:rsid w:val="00062BA7"/>
    <w:rsid w:val="00065508"/>
    <w:rsid w:val="00076002"/>
    <w:rsid w:val="0008014C"/>
    <w:rsid w:val="00081FCD"/>
    <w:rsid w:val="00083327"/>
    <w:rsid w:val="00084638"/>
    <w:rsid w:val="00084EE2"/>
    <w:rsid w:val="00091FF2"/>
    <w:rsid w:val="00097E51"/>
    <w:rsid w:val="000B1F54"/>
    <w:rsid w:val="000C03C1"/>
    <w:rsid w:val="000D4762"/>
    <w:rsid w:val="000D4D63"/>
    <w:rsid w:val="000E0FBB"/>
    <w:rsid w:val="000E14D0"/>
    <w:rsid w:val="000E3DE8"/>
    <w:rsid w:val="000F49E9"/>
    <w:rsid w:val="000F5DBE"/>
    <w:rsid w:val="00112A46"/>
    <w:rsid w:val="001145AD"/>
    <w:rsid w:val="00116E78"/>
    <w:rsid w:val="00131770"/>
    <w:rsid w:val="001375C3"/>
    <w:rsid w:val="00140587"/>
    <w:rsid w:val="00145F3D"/>
    <w:rsid w:val="001500A2"/>
    <w:rsid w:val="00157769"/>
    <w:rsid w:val="00160A98"/>
    <w:rsid w:val="0016345E"/>
    <w:rsid w:val="00170204"/>
    <w:rsid w:val="00190CFA"/>
    <w:rsid w:val="00193B7D"/>
    <w:rsid w:val="001A1599"/>
    <w:rsid w:val="001B0A80"/>
    <w:rsid w:val="001B0E76"/>
    <w:rsid w:val="001B1863"/>
    <w:rsid w:val="001C3195"/>
    <w:rsid w:val="001D3158"/>
    <w:rsid w:val="001D4824"/>
    <w:rsid w:val="001D5A3D"/>
    <w:rsid w:val="001E0CF4"/>
    <w:rsid w:val="001E537C"/>
    <w:rsid w:val="001F268D"/>
    <w:rsid w:val="001F468B"/>
    <w:rsid w:val="001F47F0"/>
    <w:rsid w:val="001F6331"/>
    <w:rsid w:val="00204265"/>
    <w:rsid w:val="0022387C"/>
    <w:rsid w:val="00231A4C"/>
    <w:rsid w:val="00232A89"/>
    <w:rsid w:val="00236E19"/>
    <w:rsid w:val="00240B97"/>
    <w:rsid w:val="00241A14"/>
    <w:rsid w:val="00243AC4"/>
    <w:rsid w:val="00244914"/>
    <w:rsid w:val="0025472D"/>
    <w:rsid w:val="00255089"/>
    <w:rsid w:val="0028086B"/>
    <w:rsid w:val="002839F8"/>
    <w:rsid w:val="002A5662"/>
    <w:rsid w:val="002A690A"/>
    <w:rsid w:val="002B4133"/>
    <w:rsid w:val="002B608E"/>
    <w:rsid w:val="002C470E"/>
    <w:rsid w:val="002D561C"/>
    <w:rsid w:val="002E060E"/>
    <w:rsid w:val="002F435B"/>
    <w:rsid w:val="002F4D4A"/>
    <w:rsid w:val="00300E68"/>
    <w:rsid w:val="00301994"/>
    <w:rsid w:val="00301D31"/>
    <w:rsid w:val="00302852"/>
    <w:rsid w:val="003136C2"/>
    <w:rsid w:val="00314D2A"/>
    <w:rsid w:val="00324E76"/>
    <w:rsid w:val="003264E8"/>
    <w:rsid w:val="00326861"/>
    <w:rsid w:val="00336942"/>
    <w:rsid w:val="00350AAB"/>
    <w:rsid w:val="00353281"/>
    <w:rsid w:val="00362898"/>
    <w:rsid w:val="00371B2F"/>
    <w:rsid w:val="00377C07"/>
    <w:rsid w:val="00386B92"/>
    <w:rsid w:val="00387415"/>
    <w:rsid w:val="0038788B"/>
    <w:rsid w:val="0039070D"/>
    <w:rsid w:val="003932D6"/>
    <w:rsid w:val="00393942"/>
    <w:rsid w:val="003A0823"/>
    <w:rsid w:val="003C4B73"/>
    <w:rsid w:val="003C5916"/>
    <w:rsid w:val="003C593C"/>
    <w:rsid w:val="003E1894"/>
    <w:rsid w:val="003E1F3C"/>
    <w:rsid w:val="003E328A"/>
    <w:rsid w:val="003E635E"/>
    <w:rsid w:val="00401A42"/>
    <w:rsid w:val="00411104"/>
    <w:rsid w:val="00411410"/>
    <w:rsid w:val="004171C6"/>
    <w:rsid w:val="00444736"/>
    <w:rsid w:val="00451703"/>
    <w:rsid w:val="004559C2"/>
    <w:rsid w:val="00461ABC"/>
    <w:rsid w:val="00462156"/>
    <w:rsid w:val="00462D49"/>
    <w:rsid w:val="004821A6"/>
    <w:rsid w:val="00497730"/>
    <w:rsid w:val="004B3A7A"/>
    <w:rsid w:val="004B6784"/>
    <w:rsid w:val="004C3F84"/>
    <w:rsid w:val="004D35C2"/>
    <w:rsid w:val="004E00EC"/>
    <w:rsid w:val="004E1416"/>
    <w:rsid w:val="004E35BF"/>
    <w:rsid w:val="004E5CC2"/>
    <w:rsid w:val="004F4892"/>
    <w:rsid w:val="00500C93"/>
    <w:rsid w:val="0050177D"/>
    <w:rsid w:val="00536421"/>
    <w:rsid w:val="00540557"/>
    <w:rsid w:val="00554D30"/>
    <w:rsid w:val="00556125"/>
    <w:rsid w:val="005561E6"/>
    <w:rsid w:val="005603F8"/>
    <w:rsid w:val="005637C9"/>
    <w:rsid w:val="00563C62"/>
    <w:rsid w:val="005643CD"/>
    <w:rsid w:val="00564D3B"/>
    <w:rsid w:val="00565E3F"/>
    <w:rsid w:val="00581DB7"/>
    <w:rsid w:val="00582E25"/>
    <w:rsid w:val="005A2F5D"/>
    <w:rsid w:val="005A3A83"/>
    <w:rsid w:val="005A4345"/>
    <w:rsid w:val="005A55FC"/>
    <w:rsid w:val="005B0F20"/>
    <w:rsid w:val="005B3160"/>
    <w:rsid w:val="005C710E"/>
    <w:rsid w:val="005D055C"/>
    <w:rsid w:val="005D2EEE"/>
    <w:rsid w:val="005D65D0"/>
    <w:rsid w:val="005D7A53"/>
    <w:rsid w:val="005E6368"/>
    <w:rsid w:val="005E64F0"/>
    <w:rsid w:val="005F2327"/>
    <w:rsid w:val="006020B5"/>
    <w:rsid w:val="006032A1"/>
    <w:rsid w:val="006071EA"/>
    <w:rsid w:val="006161EE"/>
    <w:rsid w:val="00617F79"/>
    <w:rsid w:val="00621018"/>
    <w:rsid w:val="00624BBF"/>
    <w:rsid w:val="00625FB0"/>
    <w:rsid w:val="00631818"/>
    <w:rsid w:val="0063370C"/>
    <w:rsid w:val="00640149"/>
    <w:rsid w:val="0064042F"/>
    <w:rsid w:val="00642160"/>
    <w:rsid w:val="00645570"/>
    <w:rsid w:val="0065036C"/>
    <w:rsid w:val="00674CED"/>
    <w:rsid w:val="0068163F"/>
    <w:rsid w:val="00683900"/>
    <w:rsid w:val="0069525C"/>
    <w:rsid w:val="006955E7"/>
    <w:rsid w:val="006A4C7A"/>
    <w:rsid w:val="006A555A"/>
    <w:rsid w:val="006A649C"/>
    <w:rsid w:val="006A6DCE"/>
    <w:rsid w:val="006B2CAF"/>
    <w:rsid w:val="006B37FA"/>
    <w:rsid w:val="006B6247"/>
    <w:rsid w:val="006C2CF8"/>
    <w:rsid w:val="006D1777"/>
    <w:rsid w:val="006E4852"/>
    <w:rsid w:val="006F0659"/>
    <w:rsid w:val="006F4266"/>
    <w:rsid w:val="006F589A"/>
    <w:rsid w:val="00705CF9"/>
    <w:rsid w:val="00710715"/>
    <w:rsid w:val="00715278"/>
    <w:rsid w:val="00715A65"/>
    <w:rsid w:val="007260D3"/>
    <w:rsid w:val="007268E5"/>
    <w:rsid w:val="007336C8"/>
    <w:rsid w:val="00734E35"/>
    <w:rsid w:val="00735BA1"/>
    <w:rsid w:val="007441FD"/>
    <w:rsid w:val="0074714E"/>
    <w:rsid w:val="00756F40"/>
    <w:rsid w:val="0075707B"/>
    <w:rsid w:val="007673A2"/>
    <w:rsid w:val="007743AA"/>
    <w:rsid w:val="007759F1"/>
    <w:rsid w:val="007775BA"/>
    <w:rsid w:val="00780FF0"/>
    <w:rsid w:val="00782508"/>
    <w:rsid w:val="0078748A"/>
    <w:rsid w:val="00791EB2"/>
    <w:rsid w:val="00792B3A"/>
    <w:rsid w:val="007A6C38"/>
    <w:rsid w:val="007A718A"/>
    <w:rsid w:val="007B2447"/>
    <w:rsid w:val="007B6877"/>
    <w:rsid w:val="007C27E1"/>
    <w:rsid w:val="007C3BF2"/>
    <w:rsid w:val="007D21AB"/>
    <w:rsid w:val="007D2251"/>
    <w:rsid w:val="007D5AC4"/>
    <w:rsid w:val="007E292C"/>
    <w:rsid w:val="007E2BE4"/>
    <w:rsid w:val="007E5C66"/>
    <w:rsid w:val="007F0151"/>
    <w:rsid w:val="007F2727"/>
    <w:rsid w:val="007F4AB3"/>
    <w:rsid w:val="00820A4A"/>
    <w:rsid w:val="00820DF2"/>
    <w:rsid w:val="008223BD"/>
    <w:rsid w:val="008318F8"/>
    <w:rsid w:val="00837CBD"/>
    <w:rsid w:val="00842217"/>
    <w:rsid w:val="00846F39"/>
    <w:rsid w:val="00847BF4"/>
    <w:rsid w:val="00861CCB"/>
    <w:rsid w:val="008660AC"/>
    <w:rsid w:val="00884C26"/>
    <w:rsid w:val="00885BCF"/>
    <w:rsid w:val="00885D47"/>
    <w:rsid w:val="00887537"/>
    <w:rsid w:val="008956E4"/>
    <w:rsid w:val="00897B9F"/>
    <w:rsid w:val="00897C50"/>
    <w:rsid w:val="008A20C6"/>
    <w:rsid w:val="008A4A95"/>
    <w:rsid w:val="008B25B9"/>
    <w:rsid w:val="008B2724"/>
    <w:rsid w:val="008C3F25"/>
    <w:rsid w:val="008C459F"/>
    <w:rsid w:val="008C5105"/>
    <w:rsid w:val="008E1693"/>
    <w:rsid w:val="008E3D82"/>
    <w:rsid w:val="008E7B79"/>
    <w:rsid w:val="00901A3E"/>
    <w:rsid w:val="00904090"/>
    <w:rsid w:val="009055A1"/>
    <w:rsid w:val="00906102"/>
    <w:rsid w:val="0091062B"/>
    <w:rsid w:val="00913E39"/>
    <w:rsid w:val="0091570B"/>
    <w:rsid w:val="00920917"/>
    <w:rsid w:val="00926741"/>
    <w:rsid w:val="00930295"/>
    <w:rsid w:val="00942612"/>
    <w:rsid w:val="009458D2"/>
    <w:rsid w:val="009467B8"/>
    <w:rsid w:val="0095224A"/>
    <w:rsid w:val="009555FC"/>
    <w:rsid w:val="00957BE1"/>
    <w:rsid w:val="00957D47"/>
    <w:rsid w:val="00957EEE"/>
    <w:rsid w:val="0096219E"/>
    <w:rsid w:val="00975CCB"/>
    <w:rsid w:val="00986987"/>
    <w:rsid w:val="00986DCA"/>
    <w:rsid w:val="00994577"/>
    <w:rsid w:val="00996126"/>
    <w:rsid w:val="009A2454"/>
    <w:rsid w:val="009A2FE9"/>
    <w:rsid w:val="009A4717"/>
    <w:rsid w:val="009B3152"/>
    <w:rsid w:val="009B5F34"/>
    <w:rsid w:val="009D48C7"/>
    <w:rsid w:val="009D4DAF"/>
    <w:rsid w:val="009E73F8"/>
    <w:rsid w:val="009F0236"/>
    <w:rsid w:val="009F5A9E"/>
    <w:rsid w:val="009F636A"/>
    <w:rsid w:val="00A01F8F"/>
    <w:rsid w:val="00A04ED1"/>
    <w:rsid w:val="00A14EA3"/>
    <w:rsid w:val="00A150CF"/>
    <w:rsid w:val="00A15CB1"/>
    <w:rsid w:val="00A259E3"/>
    <w:rsid w:val="00A4134A"/>
    <w:rsid w:val="00A419AF"/>
    <w:rsid w:val="00A4593C"/>
    <w:rsid w:val="00A649A6"/>
    <w:rsid w:val="00A64DE6"/>
    <w:rsid w:val="00A802E4"/>
    <w:rsid w:val="00A82F62"/>
    <w:rsid w:val="00A97B9B"/>
    <w:rsid w:val="00AB6E38"/>
    <w:rsid w:val="00AB7A4E"/>
    <w:rsid w:val="00AD1B9E"/>
    <w:rsid w:val="00AD2129"/>
    <w:rsid w:val="00AD44E6"/>
    <w:rsid w:val="00AE1329"/>
    <w:rsid w:val="00AE26BE"/>
    <w:rsid w:val="00AF464A"/>
    <w:rsid w:val="00AF74EB"/>
    <w:rsid w:val="00B0463D"/>
    <w:rsid w:val="00B10FBA"/>
    <w:rsid w:val="00B14981"/>
    <w:rsid w:val="00B23D61"/>
    <w:rsid w:val="00B2504A"/>
    <w:rsid w:val="00B26742"/>
    <w:rsid w:val="00B3121D"/>
    <w:rsid w:val="00B31464"/>
    <w:rsid w:val="00B400B4"/>
    <w:rsid w:val="00B40937"/>
    <w:rsid w:val="00B43857"/>
    <w:rsid w:val="00B506ED"/>
    <w:rsid w:val="00B529D0"/>
    <w:rsid w:val="00B53CC9"/>
    <w:rsid w:val="00B55D1C"/>
    <w:rsid w:val="00B5605F"/>
    <w:rsid w:val="00B67A30"/>
    <w:rsid w:val="00B7481E"/>
    <w:rsid w:val="00B76B83"/>
    <w:rsid w:val="00B83015"/>
    <w:rsid w:val="00B8431F"/>
    <w:rsid w:val="00B96D3D"/>
    <w:rsid w:val="00BA2340"/>
    <w:rsid w:val="00BC2FE5"/>
    <w:rsid w:val="00BD29B5"/>
    <w:rsid w:val="00BF23AD"/>
    <w:rsid w:val="00BF482F"/>
    <w:rsid w:val="00C10182"/>
    <w:rsid w:val="00C13039"/>
    <w:rsid w:val="00C15421"/>
    <w:rsid w:val="00C24B17"/>
    <w:rsid w:val="00C302AE"/>
    <w:rsid w:val="00C33651"/>
    <w:rsid w:val="00C37432"/>
    <w:rsid w:val="00C4373A"/>
    <w:rsid w:val="00C4535D"/>
    <w:rsid w:val="00C55903"/>
    <w:rsid w:val="00C63405"/>
    <w:rsid w:val="00C66A7D"/>
    <w:rsid w:val="00C67665"/>
    <w:rsid w:val="00C75F7E"/>
    <w:rsid w:val="00C8346C"/>
    <w:rsid w:val="00C83CA0"/>
    <w:rsid w:val="00C93850"/>
    <w:rsid w:val="00CA19CC"/>
    <w:rsid w:val="00CB6BCE"/>
    <w:rsid w:val="00CC1330"/>
    <w:rsid w:val="00CC3758"/>
    <w:rsid w:val="00CC7679"/>
    <w:rsid w:val="00CD3F43"/>
    <w:rsid w:val="00CD4447"/>
    <w:rsid w:val="00CF2B9C"/>
    <w:rsid w:val="00CF3C6D"/>
    <w:rsid w:val="00CF61FD"/>
    <w:rsid w:val="00CF62FD"/>
    <w:rsid w:val="00D07BDB"/>
    <w:rsid w:val="00D135E1"/>
    <w:rsid w:val="00D2681B"/>
    <w:rsid w:val="00D42F03"/>
    <w:rsid w:val="00D47EBF"/>
    <w:rsid w:val="00D51773"/>
    <w:rsid w:val="00D617D7"/>
    <w:rsid w:val="00D74B0E"/>
    <w:rsid w:val="00D77D53"/>
    <w:rsid w:val="00D806B2"/>
    <w:rsid w:val="00D833DE"/>
    <w:rsid w:val="00D9066F"/>
    <w:rsid w:val="00D96A0C"/>
    <w:rsid w:val="00DA0D71"/>
    <w:rsid w:val="00DA134D"/>
    <w:rsid w:val="00DB19BD"/>
    <w:rsid w:val="00DB1B81"/>
    <w:rsid w:val="00DB5C51"/>
    <w:rsid w:val="00DB6743"/>
    <w:rsid w:val="00DB7B29"/>
    <w:rsid w:val="00DB7D2A"/>
    <w:rsid w:val="00DC04F8"/>
    <w:rsid w:val="00DC6080"/>
    <w:rsid w:val="00DC74F4"/>
    <w:rsid w:val="00DD1C19"/>
    <w:rsid w:val="00DE33D4"/>
    <w:rsid w:val="00DF2566"/>
    <w:rsid w:val="00DF3CB7"/>
    <w:rsid w:val="00E1628F"/>
    <w:rsid w:val="00E439D6"/>
    <w:rsid w:val="00E448C4"/>
    <w:rsid w:val="00E47384"/>
    <w:rsid w:val="00E53888"/>
    <w:rsid w:val="00E558B8"/>
    <w:rsid w:val="00E560B9"/>
    <w:rsid w:val="00E5688F"/>
    <w:rsid w:val="00E5781D"/>
    <w:rsid w:val="00E67E55"/>
    <w:rsid w:val="00E76B78"/>
    <w:rsid w:val="00E933F6"/>
    <w:rsid w:val="00E97C72"/>
    <w:rsid w:val="00EA4909"/>
    <w:rsid w:val="00EB080A"/>
    <w:rsid w:val="00EB255B"/>
    <w:rsid w:val="00EB2B07"/>
    <w:rsid w:val="00EC1ED2"/>
    <w:rsid w:val="00EC3C44"/>
    <w:rsid w:val="00ED6943"/>
    <w:rsid w:val="00EE0835"/>
    <w:rsid w:val="00EE1311"/>
    <w:rsid w:val="00EE5C46"/>
    <w:rsid w:val="00EF3566"/>
    <w:rsid w:val="00EF3A4D"/>
    <w:rsid w:val="00F0181F"/>
    <w:rsid w:val="00F019CC"/>
    <w:rsid w:val="00F0344A"/>
    <w:rsid w:val="00F167BB"/>
    <w:rsid w:val="00F343AA"/>
    <w:rsid w:val="00F562E2"/>
    <w:rsid w:val="00F57E65"/>
    <w:rsid w:val="00F6304C"/>
    <w:rsid w:val="00F72AF9"/>
    <w:rsid w:val="00F900BD"/>
    <w:rsid w:val="00FA214E"/>
    <w:rsid w:val="00FB57C3"/>
    <w:rsid w:val="00FC6585"/>
    <w:rsid w:val="00FD449D"/>
    <w:rsid w:val="00FE509A"/>
    <w:rsid w:val="00FF5D3E"/>
    <w:rsid w:val="00FF5F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79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51"/>
    <w:rPr>
      <w:sz w:val="24"/>
      <w:szCs w:val="24"/>
      <w:lang w:val="en-GB" w:eastAsia="en-US"/>
    </w:rPr>
  </w:style>
  <w:style w:type="paragraph" w:styleId="Heading3">
    <w:name w:val="heading 3"/>
    <w:basedOn w:val="Normal"/>
    <w:next w:val="Normal"/>
    <w:link w:val="Heading3Char"/>
    <w:uiPriority w:val="9"/>
    <w:unhideWhenUsed/>
    <w:qFormat/>
    <w:rsid w:val="00462D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67B8"/>
    <w:rPr>
      <w:rFonts w:eastAsia="MS Mincho"/>
      <w:lang w:val="x-none" w:eastAsia="x-none"/>
    </w:rPr>
  </w:style>
  <w:style w:type="character" w:customStyle="1" w:styleId="FootnoteTextChar">
    <w:name w:val="Footnote Text Char"/>
    <w:basedOn w:val="DefaultParagraphFont"/>
    <w:link w:val="FootnoteText"/>
    <w:uiPriority w:val="99"/>
    <w:rsid w:val="009467B8"/>
    <w:rPr>
      <w:rFonts w:eastAsia="MS Mincho"/>
      <w:sz w:val="24"/>
      <w:szCs w:val="24"/>
      <w:lang w:val="x-none" w:eastAsia="x-none"/>
    </w:rPr>
  </w:style>
  <w:style w:type="character" w:styleId="FootnoteReference">
    <w:name w:val="footnote reference"/>
    <w:uiPriority w:val="99"/>
    <w:unhideWhenUsed/>
    <w:rsid w:val="009467B8"/>
    <w:rPr>
      <w:vertAlign w:val="superscript"/>
    </w:rPr>
  </w:style>
  <w:style w:type="paragraph" w:styleId="EndnoteText">
    <w:name w:val="endnote text"/>
    <w:basedOn w:val="Normal"/>
    <w:link w:val="EndnoteTextChar"/>
    <w:uiPriority w:val="99"/>
    <w:unhideWhenUsed/>
    <w:rsid w:val="006161EE"/>
    <w:rPr>
      <w:rFonts w:eastAsia="MS Mincho"/>
      <w:sz w:val="20"/>
      <w:szCs w:val="20"/>
    </w:rPr>
  </w:style>
  <w:style w:type="character" w:customStyle="1" w:styleId="EndnoteTextChar">
    <w:name w:val="Endnote Text Char"/>
    <w:basedOn w:val="DefaultParagraphFont"/>
    <w:link w:val="EndnoteText"/>
    <w:uiPriority w:val="99"/>
    <w:rsid w:val="006161EE"/>
    <w:rPr>
      <w:rFonts w:eastAsia="MS Mincho"/>
      <w:lang w:val="en-GB" w:eastAsia="en-US"/>
    </w:rPr>
  </w:style>
  <w:style w:type="character" w:styleId="EndnoteReference">
    <w:name w:val="endnote reference"/>
    <w:basedOn w:val="DefaultParagraphFont"/>
    <w:uiPriority w:val="99"/>
    <w:unhideWhenUsed/>
    <w:rsid w:val="006161EE"/>
    <w:rPr>
      <w:vertAlign w:val="superscript"/>
    </w:rPr>
  </w:style>
  <w:style w:type="character" w:styleId="Hyperlink">
    <w:name w:val="Hyperlink"/>
    <w:uiPriority w:val="99"/>
    <w:unhideWhenUsed/>
    <w:rsid w:val="00B3121D"/>
    <w:rPr>
      <w:color w:val="0000FF"/>
      <w:u w:val="single"/>
    </w:rPr>
  </w:style>
  <w:style w:type="paragraph" w:styleId="Footer">
    <w:name w:val="footer"/>
    <w:basedOn w:val="Normal"/>
    <w:link w:val="FooterChar"/>
    <w:uiPriority w:val="99"/>
    <w:unhideWhenUsed/>
    <w:rsid w:val="00640149"/>
    <w:pPr>
      <w:tabs>
        <w:tab w:val="center" w:pos="4320"/>
        <w:tab w:val="right" w:pos="8640"/>
      </w:tabs>
    </w:pPr>
  </w:style>
  <w:style w:type="character" w:customStyle="1" w:styleId="FooterChar">
    <w:name w:val="Footer Char"/>
    <w:basedOn w:val="DefaultParagraphFont"/>
    <w:link w:val="Footer"/>
    <w:uiPriority w:val="99"/>
    <w:rsid w:val="00640149"/>
    <w:rPr>
      <w:sz w:val="24"/>
      <w:szCs w:val="24"/>
      <w:lang w:val="en-GB" w:eastAsia="en-US"/>
    </w:rPr>
  </w:style>
  <w:style w:type="character" w:styleId="PageNumber">
    <w:name w:val="page number"/>
    <w:basedOn w:val="DefaultParagraphFont"/>
    <w:uiPriority w:val="99"/>
    <w:semiHidden/>
    <w:unhideWhenUsed/>
    <w:rsid w:val="00640149"/>
  </w:style>
  <w:style w:type="paragraph" w:customStyle="1" w:styleId="Normal0">
    <w:name w:val="[Normal]"/>
    <w:qFormat/>
    <w:rsid w:val="00C6340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en-GB" w:eastAsia="en-GB"/>
    </w:rPr>
  </w:style>
  <w:style w:type="character" w:customStyle="1" w:styleId="Heading3Char">
    <w:name w:val="Heading 3 Char"/>
    <w:basedOn w:val="DefaultParagraphFont"/>
    <w:link w:val="Heading3"/>
    <w:uiPriority w:val="9"/>
    <w:rsid w:val="00462D49"/>
    <w:rPr>
      <w:rFonts w:asciiTheme="majorHAnsi" w:eastAsiaTheme="majorEastAsia" w:hAnsiTheme="majorHAnsi" w:cstheme="majorBidi"/>
      <w:b/>
      <w:bCs/>
      <w:color w:val="4F81BD" w:themeColor="accent1"/>
      <w:sz w:val="24"/>
      <w:szCs w:val="24"/>
      <w:lang w:val="en-GB" w:eastAsia="en-US"/>
    </w:rPr>
  </w:style>
  <w:style w:type="paragraph" w:styleId="BalloonText">
    <w:name w:val="Balloon Text"/>
    <w:basedOn w:val="Normal"/>
    <w:link w:val="BalloonTextChar"/>
    <w:uiPriority w:val="99"/>
    <w:semiHidden/>
    <w:unhideWhenUsed/>
    <w:rsid w:val="0084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17"/>
    <w:rPr>
      <w:rFonts w:ascii="Segoe UI" w:hAnsi="Segoe UI" w:cs="Segoe UI"/>
      <w:sz w:val="18"/>
      <w:szCs w:val="18"/>
      <w:lang w:val="en-GB" w:eastAsia="en-US"/>
    </w:rPr>
  </w:style>
  <w:style w:type="paragraph" w:styleId="Header">
    <w:name w:val="header"/>
    <w:basedOn w:val="Normal"/>
    <w:link w:val="HeaderChar"/>
    <w:uiPriority w:val="99"/>
    <w:unhideWhenUsed/>
    <w:rsid w:val="000E0FBB"/>
    <w:pPr>
      <w:tabs>
        <w:tab w:val="center" w:pos="4513"/>
        <w:tab w:val="right" w:pos="9026"/>
      </w:tabs>
    </w:pPr>
  </w:style>
  <w:style w:type="character" w:customStyle="1" w:styleId="HeaderChar">
    <w:name w:val="Header Char"/>
    <w:basedOn w:val="DefaultParagraphFont"/>
    <w:link w:val="Header"/>
    <w:uiPriority w:val="99"/>
    <w:rsid w:val="000E0FBB"/>
    <w:rPr>
      <w:sz w:val="24"/>
      <w:szCs w:val="24"/>
      <w:lang w:val="en-GB" w:eastAsia="en-US"/>
    </w:rPr>
  </w:style>
  <w:style w:type="character" w:styleId="CommentReference">
    <w:name w:val="annotation reference"/>
    <w:basedOn w:val="DefaultParagraphFont"/>
    <w:uiPriority w:val="99"/>
    <w:semiHidden/>
    <w:unhideWhenUsed/>
    <w:rsid w:val="007743AA"/>
    <w:rPr>
      <w:sz w:val="16"/>
      <w:szCs w:val="16"/>
    </w:rPr>
  </w:style>
  <w:style w:type="paragraph" w:styleId="CommentText">
    <w:name w:val="annotation text"/>
    <w:basedOn w:val="Normal"/>
    <w:link w:val="CommentTextChar"/>
    <w:uiPriority w:val="99"/>
    <w:semiHidden/>
    <w:unhideWhenUsed/>
    <w:rsid w:val="007743AA"/>
    <w:rPr>
      <w:sz w:val="20"/>
      <w:szCs w:val="20"/>
    </w:rPr>
  </w:style>
  <w:style w:type="character" w:customStyle="1" w:styleId="CommentTextChar">
    <w:name w:val="Comment Text Char"/>
    <w:basedOn w:val="DefaultParagraphFont"/>
    <w:link w:val="CommentText"/>
    <w:uiPriority w:val="99"/>
    <w:semiHidden/>
    <w:rsid w:val="007743AA"/>
    <w:rPr>
      <w:lang w:val="en-GB" w:eastAsia="en-US"/>
    </w:rPr>
  </w:style>
  <w:style w:type="paragraph" w:styleId="CommentSubject">
    <w:name w:val="annotation subject"/>
    <w:basedOn w:val="CommentText"/>
    <w:next w:val="CommentText"/>
    <w:link w:val="CommentSubjectChar"/>
    <w:uiPriority w:val="99"/>
    <w:semiHidden/>
    <w:unhideWhenUsed/>
    <w:rsid w:val="007743AA"/>
    <w:rPr>
      <w:b/>
      <w:bCs/>
    </w:rPr>
  </w:style>
  <w:style w:type="character" w:customStyle="1" w:styleId="CommentSubjectChar">
    <w:name w:val="Comment Subject Char"/>
    <w:basedOn w:val="CommentTextChar"/>
    <w:link w:val="CommentSubject"/>
    <w:uiPriority w:val="99"/>
    <w:semiHidden/>
    <w:rsid w:val="007743AA"/>
    <w:rPr>
      <w:b/>
      <w:bCs/>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51"/>
    <w:rPr>
      <w:sz w:val="24"/>
      <w:szCs w:val="24"/>
      <w:lang w:val="en-GB" w:eastAsia="en-US"/>
    </w:rPr>
  </w:style>
  <w:style w:type="paragraph" w:styleId="Heading3">
    <w:name w:val="heading 3"/>
    <w:basedOn w:val="Normal"/>
    <w:next w:val="Normal"/>
    <w:link w:val="Heading3Char"/>
    <w:uiPriority w:val="9"/>
    <w:unhideWhenUsed/>
    <w:qFormat/>
    <w:rsid w:val="00462D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67B8"/>
    <w:rPr>
      <w:rFonts w:eastAsia="MS Mincho"/>
      <w:lang w:val="x-none" w:eastAsia="x-none"/>
    </w:rPr>
  </w:style>
  <w:style w:type="character" w:customStyle="1" w:styleId="FootnoteTextChar">
    <w:name w:val="Footnote Text Char"/>
    <w:basedOn w:val="DefaultParagraphFont"/>
    <w:link w:val="FootnoteText"/>
    <w:uiPriority w:val="99"/>
    <w:rsid w:val="009467B8"/>
    <w:rPr>
      <w:rFonts w:eastAsia="MS Mincho"/>
      <w:sz w:val="24"/>
      <w:szCs w:val="24"/>
      <w:lang w:val="x-none" w:eastAsia="x-none"/>
    </w:rPr>
  </w:style>
  <w:style w:type="character" w:styleId="FootnoteReference">
    <w:name w:val="footnote reference"/>
    <w:uiPriority w:val="99"/>
    <w:unhideWhenUsed/>
    <w:rsid w:val="009467B8"/>
    <w:rPr>
      <w:vertAlign w:val="superscript"/>
    </w:rPr>
  </w:style>
  <w:style w:type="paragraph" w:styleId="EndnoteText">
    <w:name w:val="endnote text"/>
    <w:basedOn w:val="Normal"/>
    <w:link w:val="EndnoteTextChar"/>
    <w:uiPriority w:val="99"/>
    <w:unhideWhenUsed/>
    <w:rsid w:val="006161EE"/>
    <w:rPr>
      <w:rFonts w:eastAsia="MS Mincho"/>
      <w:sz w:val="20"/>
      <w:szCs w:val="20"/>
    </w:rPr>
  </w:style>
  <w:style w:type="character" w:customStyle="1" w:styleId="EndnoteTextChar">
    <w:name w:val="Endnote Text Char"/>
    <w:basedOn w:val="DefaultParagraphFont"/>
    <w:link w:val="EndnoteText"/>
    <w:uiPriority w:val="99"/>
    <w:rsid w:val="006161EE"/>
    <w:rPr>
      <w:rFonts w:eastAsia="MS Mincho"/>
      <w:lang w:val="en-GB" w:eastAsia="en-US"/>
    </w:rPr>
  </w:style>
  <w:style w:type="character" w:styleId="EndnoteReference">
    <w:name w:val="endnote reference"/>
    <w:basedOn w:val="DefaultParagraphFont"/>
    <w:uiPriority w:val="99"/>
    <w:unhideWhenUsed/>
    <w:rsid w:val="006161EE"/>
    <w:rPr>
      <w:vertAlign w:val="superscript"/>
    </w:rPr>
  </w:style>
  <w:style w:type="character" w:styleId="Hyperlink">
    <w:name w:val="Hyperlink"/>
    <w:uiPriority w:val="99"/>
    <w:unhideWhenUsed/>
    <w:rsid w:val="00B3121D"/>
    <w:rPr>
      <w:color w:val="0000FF"/>
      <w:u w:val="single"/>
    </w:rPr>
  </w:style>
  <w:style w:type="paragraph" w:styleId="Footer">
    <w:name w:val="footer"/>
    <w:basedOn w:val="Normal"/>
    <w:link w:val="FooterChar"/>
    <w:uiPriority w:val="99"/>
    <w:unhideWhenUsed/>
    <w:rsid w:val="00640149"/>
    <w:pPr>
      <w:tabs>
        <w:tab w:val="center" w:pos="4320"/>
        <w:tab w:val="right" w:pos="8640"/>
      </w:tabs>
    </w:pPr>
  </w:style>
  <w:style w:type="character" w:customStyle="1" w:styleId="FooterChar">
    <w:name w:val="Footer Char"/>
    <w:basedOn w:val="DefaultParagraphFont"/>
    <w:link w:val="Footer"/>
    <w:uiPriority w:val="99"/>
    <w:rsid w:val="00640149"/>
    <w:rPr>
      <w:sz w:val="24"/>
      <w:szCs w:val="24"/>
      <w:lang w:val="en-GB" w:eastAsia="en-US"/>
    </w:rPr>
  </w:style>
  <w:style w:type="character" w:styleId="PageNumber">
    <w:name w:val="page number"/>
    <w:basedOn w:val="DefaultParagraphFont"/>
    <w:uiPriority w:val="99"/>
    <w:semiHidden/>
    <w:unhideWhenUsed/>
    <w:rsid w:val="00640149"/>
  </w:style>
  <w:style w:type="paragraph" w:customStyle="1" w:styleId="Normal0">
    <w:name w:val="[Normal]"/>
    <w:qFormat/>
    <w:rsid w:val="00C6340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en-GB" w:eastAsia="en-GB"/>
    </w:rPr>
  </w:style>
  <w:style w:type="character" w:customStyle="1" w:styleId="Heading3Char">
    <w:name w:val="Heading 3 Char"/>
    <w:basedOn w:val="DefaultParagraphFont"/>
    <w:link w:val="Heading3"/>
    <w:uiPriority w:val="9"/>
    <w:rsid w:val="00462D49"/>
    <w:rPr>
      <w:rFonts w:asciiTheme="majorHAnsi" w:eastAsiaTheme="majorEastAsia" w:hAnsiTheme="majorHAnsi" w:cstheme="majorBidi"/>
      <w:b/>
      <w:bCs/>
      <w:color w:val="4F81BD" w:themeColor="accent1"/>
      <w:sz w:val="24"/>
      <w:szCs w:val="24"/>
      <w:lang w:val="en-GB" w:eastAsia="en-US"/>
    </w:rPr>
  </w:style>
  <w:style w:type="paragraph" w:styleId="BalloonText">
    <w:name w:val="Balloon Text"/>
    <w:basedOn w:val="Normal"/>
    <w:link w:val="BalloonTextChar"/>
    <w:uiPriority w:val="99"/>
    <w:semiHidden/>
    <w:unhideWhenUsed/>
    <w:rsid w:val="0084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217"/>
    <w:rPr>
      <w:rFonts w:ascii="Segoe UI" w:hAnsi="Segoe UI" w:cs="Segoe UI"/>
      <w:sz w:val="18"/>
      <w:szCs w:val="18"/>
      <w:lang w:val="en-GB" w:eastAsia="en-US"/>
    </w:rPr>
  </w:style>
  <w:style w:type="paragraph" w:styleId="Header">
    <w:name w:val="header"/>
    <w:basedOn w:val="Normal"/>
    <w:link w:val="HeaderChar"/>
    <w:uiPriority w:val="99"/>
    <w:unhideWhenUsed/>
    <w:rsid w:val="000E0FBB"/>
    <w:pPr>
      <w:tabs>
        <w:tab w:val="center" w:pos="4513"/>
        <w:tab w:val="right" w:pos="9026"/>
      </w:tabs>
    </w:pPr>
  </w:style>
  <w:style w:type="character" w:customStyle="1" w:styleId="HeaderChar">
    <w:name w:val="Header Char"/>
    <w:basedOn w:val="DefaultParagraphFont"/>
    <w:link w:val="Header"/>
    <w:uiPriority w:val="99"/>
    <w:rsid w:val="000E0FBB"/>
    <w:rPr>
      <w:sz w:val="24"/>
      <w:szCs w:val="24"/>
      <w:lang w:val="en-GB" w:eastAsia="en-US"/>
    </w:rPr>
  </w:style>
  <w:style w:type="character" w:styleId="CommentReference">
    <w:name w:val="annotation reference"/>
    <w:basedOn w:val="DefaultParagraphFont"/>
    <w:uiPriority w:val="99"/>
    <w:semiHidden/>
    <w:unhideWhenUsed/>
    <w:rsid w:val="007743AA"/>
    <w:rPr>
      <w:sz w:val="16"/>
      <w:szCs w:val="16"/>
    </w:rPr>
  </w:style>
  <w:style w:type="paragraph" w:styleId="CommentText">
    <w:name w:val="annotation text"/>
    <w:basedOn w:val="Normal"/>
    <w:link w:val="CommentTextChar"/>
    <w:uiPriority w:val="99"/>
    <w:semiHidden/>
    <w:unhideWhenUsed/>
    <w:rsid w:val="007743AA"/>
    <w:rPr>
      <w:sz w:val="20"/>
      <w:szCs w:val="20"/>
    </w:rPr>
  </w:style>
  <w:style w:type="character" w:customStyle="1" w:styleId="CommentTextChar">
    <w:name w:val="Comment Text Char"/>
    <w:basedOn w:val="DefaultParagraphFont"/>
    <w:link w:val="CommentText"/>
    <w:uiPriority w:val="99"/>
    <w:semiHidden/>
    <w:rsid w:val="007743AA"/>
    <w:rPr>
      <w:lang w:val="en-GB" w:eastAsia="en-US"/>
    </w:rPr>
  </w:style>
  <w:style w:type="paragraph" w:styleId="CommentSubject">
    <w:name w:val="annotation subject"/>
    <w:basedOn w:val="CommentText"/>
    <w:next w:val="CommentText"/>
    <w:link w:val="CommentSubjectChar"/>
    <w:uiPriority w:val="99"/>
    <w:semiHidden/>
    <w:unhideWhenUsed/>
    <w:rsid w:val="007743AA"/>
    <w:rPr>
      <w:b/>
      <w:bCs/>
    </w:rPr>
  </w:style>
  <w:style w:type="character" w:customStyle="1" w:styleId="CommentSubjectChar">
    <w:name w:val="Comment Subject Char"/>
    <w:basedOn w:val="CommentTextChar"/>
    <w:link w:val="CommentSubject"/>
    <w:uiPriority w:val="99"/>
    <w:semiHidden/>
    <w:rsid w:val="007743A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gmfcf.org/uploads/5/5/4/0/55401763/adoption_and_surrogacy_handbook_final_for_launch_08_01_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FCC5-CE3B-DD4E-930C-B79A621E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10203</Words>
  <Characters>58159</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Office 2004 Test Drive User</cp:lastModifiedBy>
  <cp:revision>8</cp:revision>
  <cp:lastPrinted>2018-05-04T14:28:00Z</cp:lastPrinted>
  <dcterms:created xsi:type="dcterms:W3CDTF">2018-05-26T20:45:00Z</dcterms:created>
  <dcterms:modified xsi:type="dcterms:W3CDTF">2018-06-05T09:59:00Z</dcterms:modified>
</cp:coreProperties>
</file>