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AC" w:rsidRDefault="00554DAC" w:rsidP="003D63D7">
      <w:pPr>
        <w:pStyle w:val="Default"/>
        <w:jc w:val="center"/>
        <w:rPr>
          <w:rFonts w:ascii="Century Gothic" w:hAnsi="Century Gothic"/>
          <w:b/>
          <w:bCs/>
          <w:color w:val="00000A"/>
          <w:sz w:val="40"/>
          <w:szCs w:val="40"/>
        </w:rPr>
      </w:pPr>
      <w:bookmarkStart w:id="0" w:name="_GoBack"/>
      <w:bookmarkEnd w:id="0"/>
    </w:p>
    <w:p w:rsidR="003D63D7" w:rsidRDefault="00707AA7" w:rsidP="003D63D7">
      <w:pPr>
        <w:pStyle w:val="Default"/>
        <w:jc w:val="center"/>
        <w:rPr>
          <w:b/>
          <w:bCs/>
          <w:color w:val="00000A"/>
        </w:rPr>
      </w:pPr>
      <w:r>
        <w:rPr>
          <w:b/>
          <w:bCs/>
          <w:color w:val="00000A"/>
        </w:rPr>
        <w:t>Off EU Go</w:t>
      </w:r>
      <w:r w:rsidR="00BB4FE4">
        <w:rPr>
          <w:b/>
          <w:bCs/>
          <w:color w:val="00000A"/>
        </w:rPr>
        <w:t>.</w:t>
      </w:r>
      <w:r w:rsidR="000B4F87">
        <w:rPr>
          <w:b/>
          <w:bCs/>
          <w:color w:val="00000A"/>
        </w:rPr>
        <w:t xml:space="preserve"> </w:t>
      </w:r>
      <w:r w:rsidR="00624D66" w:rsidRPr="004616CB">
        <w:rPr>
          <w:b/>
          <w:bCs/>
          <w:color w:val="00000A"/>
        </w:rPr>
        <w:t>Brexit</w:t>
      </w:r>
      <w:r w:rsidR="004616CB" w:rsidRPr="004616CB">
        <w:rPr>
          <w:b/>
          <w:bCs/>
          <w:color w:val="00000A"/>
        </w:rPr>
        <w:t>, the UK Labour Market</w:t>
      </w:r>
      <w:r w:rsidR="00624D66" w:rsidRPr="004616CB">
        <w:rPr>
          <w:b/>
          <w:bCs/>
          <w:color w:val="00000A"/>
        </w:rPr>
        <w:t xml:space="preserve"> and Immigration </w:t>
      </w:r>
    </w:p>
    <w:p w:rsidR="000B4F87" w:rsidRPr="004616CB" w:rsidRDefault="000B4F87" w:rsidP="003D63D7">
      <w:pPr>
        <w:pStyle w:val="Default"/>
        <w:jc w:val="center"/>
        <w:rPr>
          <w:b/>
          <w:bCs/>
          <w:color w:val="00000A"/>
        </w:rPr>
      </w:pPr>
    </w:p>
    <w:p w:rsidR="003D63D7" w:rsidRPr="004616CB" w:rsidRDefault="003D63D7" w:rsidP="003D63D7">
      <w:pPr>
        <w:pStyle w:val="Default"/>
        <w:jc w:val="center"/>
        <w:rPr>
          <w:b/>
          <w:bCs/>
          <w:color w:val="00000A"/>
        </w:rPr>
      </w:pPr>
    </w:p>
    <w:p w:rsidR="003D63D7" w:rsidRPr="004616CB" w:rsidRDefault="003D63D7" w:rsidP="003D63D7">
      <w:pPr>
        <w:pStyle w:val="Default"/>
        <w:jc w:val="center"/>
        <w:rPr>
          <w:b/>
          <w:bCs/>
          <w:color w:val="00000A"/>
        </w:rPr>
      </w:pPr>
      <w:r w:rsidRPr="004616CB">
        <w:rPr>
          <w:b/>
          <w:bCs/>
          <w:color w:val="00000A"/>
        </w:rPr>
        <w:t>Jonathan Wadsworth</w:t>
      </w:r>
    </w:p>
    <w:p w:rsidR="00DC25DE" w:rsidRPr="004616CB" w:rsidRDefault="00DC25DE" w:rsidP="003D63D7">
      <w:pPr>
        <w:pStyle w:val="Default"/>
        <w:jc w:val="center"/>
        <w:rPr>
          <w:b/>
          <w:bCs/>
          <w:color w:val="00000A"/>
        </w:rPr>
      </w:pPr>
    </w:p>
    <w:p w:rsidR="00BB4FE4" w:rsidRDefault="00BB4FE4" w:rsidP="003D63D7">
      <w:pPr>
        <w:pStyle w:val="Default"/>
        <w:jc w:val="center"/>
        <w:rPr>
          <w:b/>
          <w:bCs/>
          <w:color w:val="00000A"/>
        </w:rPr>
      </w:pPr>
      <w:r w:rsidRPr="004616CB">
        <w:rPr>
          <w:b/>
          <w:bCs/>
          <w:color w:val="00000A"/>
        </w:rPr>
        <w:t xml:space="preserve">Economics Department </w:t>
      </w:r>
      <w:r w:rsidR="003D63D7" w:rsidRPr="004616CB">
        <w:rPr>
          <w:b/>
          <w:bCs/>
          <w:color w:val="00000A"/>
        </w:rPr>
        <w:t>Royal Holloway</w:t>
      </w:r>
      <w:r w:rsidR="00554DAC" w:rsidRPr="004616CB">
        <w:rPr>
          <w:b/>
          <w:bCs/>
          <w:color w:val="00000A"/>
        </w:rPr>
        <w:t xml:space="preserve"> </w:t>
      </w:r>
      <w:r>
        <w:rPr>
          <w:b/>
          <w:bCs/>
          <w:color w:val="00000A"/>
        </w:rPr>
        <w:t>University of London and</w:t>
      </w:r>
      <w:r w:rsidR="003D63D7" w:rsidRPr="004616CB">
        <w:rPr>
          <w:b/>
          <w:bCs/>
          <w:color w:val="00000A"/>
        </w:rPr>
        <w:t xml:space="preserve"> </w:t>
      </w:r>
    </w:p>
    <w:p w:rsidR="00DC25DE" w:rsidRDefault="003D63D7" w:rsidP="003D63D7">
      <w:pPr>
        <w:pStyle w:val="Default"/>
        <w:jc w:val="center"/>
        <w:rPr>
          <w:b/>
          <w:bCs/>
          <w:color w:val="00000A"/>
        </w:rPr>
      </w:pPr>
      <w:r w:rsidRPr="004616CB">
        <w:rPr>
          <w:b/>
          <w:bCs/>
          <w:color w:val="00000A"/>
        </w:rPr>
        <w:t>C</w:t>
      </w:r>
      <w:r w:rsidR="004616CB" w:rsidRPr="004616CB">
        <w:rPr>
          <w:b/>
          <w:bCs/>
          <w:color w:val="00000A"/>
        </w:rPr>
        <w:t xml:space="preserve">entre for </w:t>
      </w:r>
      <w:r w:rsidRPr="004616CB">
        <w:rPr>
          <w:b/>
          <w:bCs/>
          <w:color w:val="00000A"/>
        </w:rPr>
        <w:t>E</w:t>
      </w:r>
      <w:r w:rsidR="004616CB" w:rsidRPr="004616CB">
        <w:rPr>
          <w:b/>
          <w:bCs/>
          <w:color w:val="00000A"/>
        </w:rPr>
        <w:t xml:space="preserve">conomic </w:t>
      </w:r>
      <w:r w:rsidRPr="004616CB">
        <w:rPr>
          <w:b/>
          <w:bCs/>
          <w:color w:val="00000A"/>
        </w:rPr>
        <w:t>P</w:t>
      </w:r>
      <w:r w:rsidR="004616CB" w:rsidRPr="004616CB">
        <w:rPr>
          <w:b/>
          <w:bCs/>
          <w:color w:val="00000A"/>
        </w:rPr>
        <w:t>erformance at</w:t>
      </w:r>
      <w:r w:rsidRPr="004616CB">
        <w:rPr>
          <w:b/>
          <w:bCs/>
          <w:color w:val="00000A"/>
        </w:rPr>
        <w:t xml:space="preserve"> the LSE, CReAM</w:t>
      </w:r>
      <w:r w:rsidR="004616CB" w:rsidRPr="004616CB">
        <w:rPr>
          <w:b/>
          <w:bCs/>
          <w:color w:val="00000A"/>
        </w:rPr>
        <w:t>, IZA</w:t>
      </w:r>
    </w:p>
    <w:p w:rsidR="004616CB" w:rsidRDefault="004616CB" w:rsidP="004616CB">
      <w:pPr>
        <w:pStyle w:val="Default"/>
        <w:rPr>
          <w:b/>
          <w:bCs/>
          <w:color w:val="00000A"/>
        </w:rPr>
      </w:pPr>
    </w:p>
    <w:p w:rsidR="004616CB" w:rsidRDefault="004616CB" w:rsidP="004616CB">
      <w:pPr>
        <w:pStyle w:val="Default"/>
        <w:rPr>
          <w:b/>
          <w:bCs/>
          <w:color w:val="00000A"/>
        </w:rPr>
      </w:pPr>
    </w:p>
    <w:p w:rsidR="004616CB" w:rsidRDefault="004616CB" w:rsidP="004616CB">
      <w:pPr>
        <w:pStyle w:val="Default"/>
        <w:rPr>
          <w:b/>
          <w:bCs/>
          <w:color w:val="00000A"/>
        </w:rPr>
      </w:pPr>
    </w:p>
    <w:p w:rsidR="004616CB" w:rsidRDefault="004616CB" w:rsidP="004616CB">
      <w:pPr>
        <w:pStyle w:val="Default"/>
        <w:rPr>
          <w:b/>
          <w:bCs/>
          <w:color w:val="00000A"/>
        </w:rPr>
      </w:pPr>
    </w:p>
    <w:p w:rsidR="004616CB" w:rsidRDefault="004616CB" w:rsidP="004616CB">
      <w:pPr>
        <w:pStyle w:val="Default"/>
        <w:rPr>
          <w:b/>
          <w:bCs/>
          <w:color w:val="00000A"/>
        </w:rPr>
      </w:pPr>
      <w:r>
        <w:rPr>
          <w:b/>
          <w:bCs/>
          <w:color w:val="00000A"/>
        </w:rPr>
        <w:t>Address for correspondence:</w:t>
      </w:r>
    </w:p>
    <w:p w:rsidR="004616CB" w:rsidRDefault="004616CB" w:rsidP="004616CB">
      <w:pPr>
        <w:pStyle w:val="Default"/>
        <w:rPr>
          <w:b/>
          <w:bCs/>
          <w:color w:val="00000A"/>
        </w:rPr>
      </w:pPr>
      <w:r>
        <w:rPr>
          <w:b/>
          <w:bCs/>
          <w:color w:val="00000A"/>
        </w:rPr>
        <w:t>Economics Department</w:t>
      </w:r>
    </w:p>
    <w:p w:rsidR="004616CB" w:rsidRDefault="004616CB" w:rsidP="004616CB">
      <w:pPr>
        <w:pStyle w:val="Default"/>
        <w:rPr>
          <w:b/>
          <w:bCs/>
          <w:color w:val="00000A"/>
        </w:rPr>
      </w:pPr>
      <w:r>
        <w:rPr>
          <w:b/>
          <w:bCs/>
          <w:color w:val="00000A"/>
        </w:rPr>
        <w:t>Royal Holloway College</w:t>
      </w:r>
    </w:p>
    <w:p w:rsidR="004616CB" w:rsidRDefault="004616CB" w:rsidP="004616CB">
      <w:pPr>
        <w:pStyle w:val="Default"/>
        <w:rPr>
          <w:b/>
          <w:bCs/>
          <w:color w:val="00000A"/>
        </w:rPr>
      </w:pPr>
      <w:r>
        <w:rPr>
          <w:b/>
          <w:bCs/>
          <w:color w:val="00000A"/>
        </w:rPr>
        <w:t>University of London</w:t>
      </w:r>
    </w:p>
    <w:p w:rsidR="004616CB" w:rsidRDefault="004616CB" w:rsidP="004616CB">
      <w:pPr>
        <w:pStyle w:val="Default"/>
        <w:rPr>
          <w:b/>
          <w:bCs/>
          <w:color w:val="00000A"/>
        </w:rPr>
      </w:pPr>
      <w:r>
        <w:rPr>
          <w:b/>
          <w:bCs/>
          <w:color w:val="00000A"/>
        </w:rPr>
        <w:t>Egham TW20 0EX</w:t>
      </w:r>
    </w:p>
    <w:p w:rsidR="004616CB" w:rsidRDefault="004616CB" w:rsidP="004616CB">
      <w:pPr>
        <w:pStyle w:val="Default"/>
        <w:rPr>
          <w:b/>
          <w:bCs/>
          <w:color w:val="00000A"/>
        </w:rPr>
      </w:pPr>
    </w:p>
    <w:p w:rsidR="004616CB" w:rsidRDefault="004616CB" w:rsidP="004616CB">
      <w:pPr>
        <w:pStyle w:val="Default"/>
        <w:rPr>
          <w:b/>
          <w:bCs/>
          <w:color w:val="00000A"/>
        </w:rPr>
      </w:pPr>
      <w:r>
        <w:rPr>
          <w:b/>
          <w:bCs/>
          <w:color w:val="00000A"/>
        </w:rPr>
        <w:t xml:space="preserve">E-mail: </w:t>
      </w:r>
      <w:hyperlink r:id="rId8" w:history="1">
        <w:r w:rsidRPr="009F2194">
          <w:rPr>
            <w:rStyle w:val="Hyperlink"/>
            <w:b/>
            <w:bCs/>
          </w:rPr>
          <w:t>j.wadsworth@rhul.ac.uk</w:t>
        </w:r>
      </w:hyperlink>
    </w:p>
    <w:p w:rsidR="004616CB" w:rsidRPr="004616CB" w:rsidRDefault="004616CB" w:rsidP="004616CB">
      <w:pPr>
        <w:pStyle w:val="Default"/>
        <w:rPr>
          <w:b/>
          <w:bCs/>
          <w:color w:val="00000A"/>
        </w:rPr>
      </w:pPr>
    </w:p>
    <w:p w:rsidR="004616CB" w:rsidRDefault="004616CB" w:rsidP="003D63D7">
      <w:pPr>
        <w:pStyle w:val="Default"/>
        <w:jc w:val="center"/>
        <w:rPr>
          <w:b/>
          <w:bCs/>
          <w:color w:val="00000A"/>
        </w:rPr>
      </w:pPr>
    </w:p>
    <w:p w:rsidR="00471343" w:rsidRDefault="00471343" w:rsidP="003D63D7">
      <w:pPr>
        <w:pStyle w:val="Default"/>
        <w:jc w:val="center"/>
        <w:rPr>
          <w:b/>
          <w:bCs/>
          <w:color w:val="00000A"/>
        </w:rPr>
      </w:pPr>
    </w:p>
    <w:p w:rsidR="00471343" w:rsidRDefault="00471343" w:rsidP="003D63D7">
      <w:pPr>
        <w:pStyle w:val="Default"/>
        <w:jc w:val="center"/>
        <w:rPr>
          <w:b/>
          <w:bCs/>
          <w:color w:val="00000A"/>
        </w:rPr>
      </w:pPr>
    </w:p>
    <w:p w:rsidR="00471343" w:rsidRDefault="00471343" w:rsidP="003D63D7">
      <w:pPr>
        <w:pStyle w:val="Default"/>
        <w:jc w:val="center"/>
        <w:rPr>
          <w:b/>
          <w:bCs/>
          <w:color w:val="00000A"/>
        </w:rPr>
      </w:pPr>
      <w:r>
        <w:rPr>
          <w:b/>
          <w:bCs/>
          <w:color w:val="00000A"/>
        </w:rPr>
        <w:t>Abstract</w:t>
      </w:r>
    </w:p>
    <w:p w:rsidR="00471343" w:rsidRDefault="00471343" w:rsidP="003D63D7">
      <w:pPr>
        <w:pStyle w:val="Default"/>
        <w:jc w:val="center"/>
        <w:rPr>
          <w:b/>
          <w:bCs/>
          <w:color w:val="00000A"/>
        </w:rPr>
      </w:pPr>
    </w:p>
    <w:p w:rsidR="00471343" w:rsidRDefault="00CC61CB" w:rsidP="00471343">
      <w:pPr>
        <w:pStyle w:val="Default"/>
        <w:spacing w:line="480" w:lineRule="auto"/>
        <w:jc w:val="both"/>
        <w:rPr>
          <w:bCs/>
          <w:color w:val="00000A"/>
        </w:rPr>
      </w:pPr>
      <w:r>
        <w:rPr>
          <w:bCs/>
          <w:color w:val="00000A"/>
        </w:rPr>
        <w:t xml:space="preserve">Immigration </w:t>
      </w:r>
      <w:r w:rsidR="00197F95">
        <w:rPr>
          <w:bCs/>
          <w:color w:val="00000A"/>
        </w:rPr>
        <w:t xml:space="preserve">remains a highly contentious issue </w:t>
      </w:r>
      <w:r>
        <w:rPr>
          <w:bCs/>
          <w:color w:val="00000A"/>
        </w:rPr>
        <w:t xml:space="preserve">and its </w:t>
      </w:r>
      <w:r w:rsidR="00BB629D">
        <w:rPr>
          <w:bCs/>
          <w:color w:val="00000A"/>
        </w:rPr>
        <w:t xml:space="preserve">purported effects in the </w:t>
      </w:r>
      <w:r>
        <w:rPr>
          <w:bCs/>
          <w:color w:val="00000A"/>
        </w:rPr>
        <w:t>labo</w:t>
      </w:r>
      <w:r w:rsidR="00197F95">
        <w:rPr>
          <w:bCs/>
          <w:color w:val="00000A"/>
        </w:rPr>
        <w:t xml:space="preserve">ur market are still </w:t>
      </w:r>
      <w:r>
        <w:rPr>
          <w:bCs/>
          <w:color w:val="00000A"/>
        </w:rPr>
        <w:t>contestable</w:t>
      </w:r>
      <w:r w:rsidR="00197F95">
        <w:rPr>
          <w:bCs/>
          <w:color w:val="00000A"/>
        </w:rPr>
        <w:t xml:space="preserve">. Against this background, </w:t>
      </w:r>
      <w:r w:rsidR="00CE34F9">
        <w:rPr>
          <w:bCs/>
          <w:color w:val="00000A"/>
        </w:rPr>
        <w:t>the UK looks set to undertake a large overhaul of its immigration policy following the decision to leave the EU</w:t>
      </w:r>
      <w:r>
        <w:rPr>
          <w:bCs/>
          <w:color w:val="00000A"/>
        </w:rPr>
        <w:t xml:space="preserve">.  </w:t>
      </w:r>
      <w:r w:rsidR="00CE34F9">
        <w:rPr>
          <w:bCs/>
          <w:color w:val="00000A"/>
        </w:rPr>
        <w:t>To try to inform the debate, t</w:t>
      </w:r>
      <w:r w:rsidR="00471343">
        <w:rPr>
          <w:bCs/>
          <w:color w:val="00000A"/>
        </w:rPr>
        <w:t xml:space="preserve">his study summarises the key patterns and changes in the </w:t>
      </w:r>
      <w:r w:rsidR="00113446">
        <w:rPr>
          <w:bCs/>
          <w:color w:val="00000A"/>
        </w:rPr>
        <w:t xml:space="preserve">UK </w:t>
      </w:r>
      <w:r w:rsidR="00471343">
        <w:rPr>
          <w:bCs/>
          <w:color w:val="00000A"/>
        </w:rPr>
        <w:t xml:space="preserve">labour market </w:t>
      </w:r>
      <w:r w:rsidR="00113446">
        <w:rPr>
          <w:bCs/>
          <w:color w:val="00000A"/>
        </w:rPr>
        <w:t xml:space="preserve">regarding </w:t>
      </w:r>
      <w:r w:rsidR="00471343">
        <w:rPr>
          <w:bCs/>
          <w:color w:val="00000A"/>
        </w:rPr>
        <w:t>immigration</w:t>
      </w:r>
      <w:r w:rsidR="00113446">
        <w:rPr>
          <w:bCs/>
          <w:color w:val="00000A"/>
        </w:rPr>
        <w:t xml:space="preserve"> </w:t>
      </w:r>
      <w:r w:rsidR="00471343">
        <w:rPr>
          <w:bCs/>
          <w:color w:val="00000A"/>
        </w:rPr>
        <w:t>i</w:t>
      </w:r>
      <w:r w:rsidR="00BB4FE4">
        <w:rPr>
          <w:bCs/>
          <w:color w:val="00000A"/>
        </w:rPr>
        <w:t xml:space="preserve">n the run-up to </w:t>
      </w:r>
      <w:r>
        <w:rPr>
          <w:bCs/>
          <w:color w:val="00000A"/>
        </w:rPr>
        <w:t xml:space="preserve">and the immediate aftermath of </w:t>
      </w:r>
      <w:r w:rsidR="00BB4FE4">
        <w:rPr>
          <w:bCs/>
          <w:color w:val="00000A"/>
        </w:rPr>
        <w:t>the Brexit vote</w:t>
      </w:r>
      <w:r>
        <w:rPr>
          <w:bCs/>
          <w:color w:val="00000A"/>
        </w:rPr>
        <w:t>. The paper</w:t>
      </w:r>
      <w:r w:rsidR="00980134">
        <w:rPr>
          <w:bCs/>
          <w:color w:val="00000A"/>
        </w:rPr>
        <w:t xml:space="preserve"> </w:t>
      </w:r>
      <w:r w:rsidR="004B5A1B">
        <w:rPr>
          <w:bCs/>
          <w:color w:val="00000A"/>
        </w:rPr>
        <w:t xml:space="preserve">then </w:t>
      </w:r>
      <w:r w:rsidR="00980134">
        <w:rPr>
          <w:bCs/>
          <w:color w:val="00000A"/>
        </w:rPr>
        <w:t xml:space="preserve">offers some ideas that could explain </w:t>
      </w:r>
      <w:r>
        <w:rPr>
          <w:bCs/>
          <w:color w:val="00000A"/>
        </w:rPr>
        <w:t>why immigration ap</w:t>
      </w:r>
      <w:r w:rsidR="004B5A1B">
        <w:rPr>
          <w:bCs/>
          <w:color w:val="00000A"/>
        </w:rPr>
        <w:t>pears to have had little effect</w:t>
      </w:r>
      <w:r>
        <w:rPr>
          <w:bCs/>
          <w:color w:val="00000A"/>
        </w:rPr>
        <w:t>, either positive or negative</w:t>
      </w:r>
      <w:r w:rsidR="00BB629D">
        <w:rPr>
          <w:bCs/>
          <w:color w:val="00000A"/>
        </w:rPr>
        <w:t>,</w:t>
      </w:r>
      <w:r>
        <w:rPr>
          <w:bCs/>
          <w:color w:val="00000A"/>
        </w:rPr>
        <w:t xml:space="preserve"> on the wage and employment outcomes of UK-born residents</w:t>
      </w:r>
      <w:r w:rsidR="004B5A1B">
        <w:rPr>
          <w:bCs/>
          <w:color w:val="00000A"/>
        </w:rPr>
        <w:t xml:space="preserve">. It next </w:t>
      </w:r>
      <w:r w:rsidR="00471343">
        <w:rPr>
          <w:bCs/>
          <w:color w:val="00000A"/>
        </w:rPr>
        <w:t>outlines the current state of the labour market and the role of EU immigrants in it</w:t>
      </w:r>
      <w:r w:rsidR="00980134">
        <w:rPr>
          <w:bCs/>
          <w:color w:val="00000A"/>
        </w:rPr>
        <w:t xml:space="preserve"> as the UK edges toward Brexit</w:t>
      </w:r>
      <w:r w:rsidR="00BB4FE4">
        <w:rPr>
          <w:bCs/>
          <w:color w:val="00000A"/>
        </w:rPr>
        <w:t xml:space="preserve">. </w:t>
      </w:r>
      <w:r w:rsidR="00471343">
        <w:rPr>
          <w:bCs/>
          <w:color w:val="00000A"/>
        </w:rPr>
        <w:t xml:space="preserve"> </w:t>
      </w:r>
      <w:r w:rsidR="00BB4FE4">
        <w:rPr>
          <w:bCs/>
          <w:color w:val="00000A"/>
        </w:rPr>
        <w:t>The paper then</w:t>
      </w:r>
      <w:r w:rsidR="00471343">
        <w:rPr>
          <w:bCs/>
          <w:color w:val="00000A"/>
        </w:rPr>
        <w:t xml:space="preserve"> considers </w:t>
      </w:r>
      <w:r w:rsidR="00BB4FE4">
        <w:rPr>
          <w:bCs/>
          <w:color w:val="00000A"/>
        </w:rPr>
        <w:t xml:space="preserve">where change may be seen most strongly following Brexit and discusses </w:t>
      </w:r>
      <w:r w:rsidR="00AC697F">
        <w:rPr>
          <w:bCs/>
          <w:color w:val="00000A"/>
        </w:rPr>
        <w:t xml:space="preserve">the many </w:t>
      </w:r>
      <w:r w:rsidR="00471343">
        <w:rPr>
          <w:bCs/>
          <w:color w:val="00000A"/>
        </w:rPr>
        <w:t>possible immigration policy options open to the government after the UK leaves the EU</w:t>
      </w:r>
      <w:r w:rsidR="00BB4FE4">
        <w:rPr>
          <w:bCs/>
          <w:color w:val="00000A"/>
        </w:rPr>
        <w:t>.</w:t>
      </w:r>
    </w:p>
    <w:p w:rsidR="00471343" w:rsidRDefault="00471343" w:rsidP="00471343">
      <w:pPr>
        <w:pStyle w:val="Default"/>
        <w:jc w:val="both"/>
        <w:rPr>
          <w:b/>
          <w:bCs/>
          <w:color w:val="00000A"/>
        </w:rPr>
      </w:pPr>
    </w:p>
    <w:p w:rsidR="00471343" w:rsidRDefault="00471343" w:rsidP="00471343">
      <w:pPr>
        <w:pStyle w:val="Default"/>
        <w:jc w:val="both"/>
        <w:rPr>
          <w:b/>
          <w:bCs/>
          <w:color w:val="00000A"/>
        </w:rPr>
        <w:sectPr w:rsidR="00471343" w:rsidSect="00D77F95">
          <w:footerReference w:type="default" r:id="rId9"/>
          <w:pgSz w:w="11906" w:h="16838" w:code="9"/>
          <w:pgMar w:top="1440" w:right="1440" w:bottom="1440" w:left="1440" w:header="709" w:footer="709" w:gutter="0"/>
          <w:cols w:space="708"/>
          <w:titlePg/>
          <w:docGrid w:linePitch="360"/>
        </w:sectPr>
      </w:pPr>
    </w:p>
    <w:p w:rsidR="004616CB" w:rsidRDefault="004616CB" w:rsidP="00356CBC">
      <w:pPr>
        <w:pStyle w:val="Default"/>
        <w:jc w:val="center"/>
        <w:rPr>
          <w:b/>
          <w:bCs/>
          <w:color w:val="00000A"/>
        </w:rPr>
        <w:sectPr w:rsidR="004616CB" w:rsidSect="00356CBC">
          <w:pgSz w:w="11906" w:h="16838"/>
          <w:pgMar w:top="1440" w:right="1440" w:bottom="1440" w:left="1440" w:header="708" w:footer="708" w:gutter="0"/>
          <w:pgNumType w:start="1"/>
          <w:cols w:space="708"/>
          <w:docGrid w:linePitch="360"/>
        </w:sectPr>
      </w:pPr>
    </w:p>
    <w:p w:rsidR="00C655CD" w:rsidRDefault="00C655CD" w:rsidP="00C655CD">
      <w:pPr>
        <w:pStyle w:val="Default"/>
        <w:jc w:val="center"/>
        <w:rPr>
          <w:b/>
          <w:bCs/>
          <w:color w:val="00000A"/>
        </w:rPr>
      </w:pPr>
      <w:r>
        <w:rPr>
          <w:b/>
          <w:bCs/>
          <w:color w:val="00000A"/>
        </w:rPr>
        <w:t xml:space="preserve">Off EU Go? </w:t>
      </w:r>
      <w:r w:rsidRPr="004616CB">
        <w:rPr>
          <w:b/>
          <w:bCs/>
          <w:color w:val="00000A"/>
        </w:rPr>
        <w:t xml:space="preserve">Brexit, the UK Labour Market and Immigration </w:t>
      </w:r>
    </w:p>
    <w:p w:rsidR="00C655CD" w:rsidRDefault="00C655CD" w:rsidP="00D125B9">
      <w:pPr>
        <w:pStyle w:val="Default"/>
        <w:rPr>
          <w:b/>
          <w:bCs/>
          <w:color w:val="00000A"/>
        </w:rPr>
      </w:pPr>
    </w:p>
    <w:p w:rsidR="00C655CD" w:rsidRDefault="00C655CD" w:rsidP="00D125B9">
      <w:pPr>
        <w:pStyle w:val="Default"/>
        <w:rPr>
          <w:b/>
          <w:bCs/>
          <w:color w:val="00000A"/>
        </w:rPr>
      </w:pPr>
    </w:p>
    <w:p w:rsidR="00C655CD" w:rsidRDefault="00C655CD" w:rsidP="00D125B9">
      <w:pPr>
        <w:pStyle w:val="Default"/>
        <w:rPr>
          <w:b/>
          <w:bCs/>
          <w:color w:val="00000A"/>
        </w:rPr>
      </w:pPr>
    </w:p>
    <w:p w:rsidR="004616CB" w:rsidRDefault="00707AA7" w:rsidP="00D125B9">
      <w:pPr>
        <w:pStyle w:val="Default"/>
        <w:rPr>
          <w:b/>
          <w:bCs/>
          <w:color w:val="00000A"/>
        </w:rPr>
      </w:pPr>
      <w:r>
        <w:rPr>
          <w:b/>
          <w:bCs/>
          <w:color w:val="00000A"/>
        </w:rPr>
        <w:t xml:space="preserve">1. </w:t>
      </w:r>
      <w:r w:rsidR="004616CB">
        <w:rPr>
          <w:b/>
          <w:bCs/>
          <w:color w:val="00000A"/>
        </w:rPr>
        <w:t>Introduction</w:t>
      </w:r>
    </w:p>
    <w:p w:rsidR="004616CB" w:rsidRDefault="004616CB" w:rsidP="00D125B9">
      <w:pPr>
        <w:pStyle w:val="Default"/>
        <w:rPr>
          <w:b/>
          <w:bCs/>
          <w:color w:val="00000A"/>
        </w:rPr>
      </w:pPr>
    </w:p>
    <w:p w:rsidR="005B1091" w:rsidRDefault="006F6C68" w:rsidP="00356CBC">
      <w:pPr>
        <w:pStyle w:val="Default"/>
        <w:spacing w:line="480" w:lineRule="auto"/>
        <w:jc w:val="both"/>
        <w:rPr>
          <w:bCs/>
          <w:color w:val="00000A"/>
        </w:rPr>
      </w:pPr>
      <w:r>
        <w:rPr>
          <w:bCs/>
          <w:color w:val="00000A"/>
        </w:rPr>
        <w:t xml:space="preserve">Immigration’s effects on the labour market </w:t>
      </w:r>
      <w:r w:rsidR="0053595A">
        <w:rPr>
          <w:bCs/>
          <w:color w:val="00000A"/>
        </w:rPr>
        <w:t>continues to be</w:t>
      </w:r>
      <w:r>
        <w:rPr>
          <w:bCs/>
          <w:color w:val="00000A"/>
        </w:rPr>
        <w:t xml:space="preserve"> one of the mostly keenly contested areas of economics and in the wider public debate. </w:t>
      </w:r>
      <w:r w:rsidR="00CC61CB">
        <w:rPr>
          <w:bCs/>
          <w:color w:val="00000A"/>
        </w:rPr>
        <w:t>Immigration to the U</w:t>
      </w:r>
      <w:r w:rsidR="00086F86">
        <w:rPr>
          <w:bCs/>
          <w:color w:val="00000A"/>
        </w:rPr>
        <w:t xml:space="preserve">nited </w:t>
      </w:r>
      <w:r w:rsidR="00CC61CB">
        <w:rPr>
          <w:bCs/>
          <w:color w:val="00000A"/>
        </w:rPr>
        <w:t>K</w:t>
      </w:r>
      <w:r w:rsidR="00086F86">
        <w:rPr>
          <w:bCs/>
          <w:color w:val="00000A"/>
        </w:rPr>
        <w:t>ingdom, (UK),</w:t>
      </w:r>
      <w:r w:rsidR="00CC61CB">
        <w:rPr>
          <w:bCs/>
          <w:color w:val="00000A"/>
        </w:rPr>
        <w:t xml:space="preserve"> has risen significantly over the past twenty years and </w:t>
      </w:r>
      <w:r w:rsidR="004C73FB">
        <w:rPr>
          <w:bCs/>
          <w:color w:val="00000A"/>
        </w:rPr>
        <w:t>was almost certainly a key driver underpinning the decision to leave the E</w:t>
      </w:r>
      <w:r w:rsidR="00086F86">
        <w:rPr>
          <w:bCs/>
          <w:color w:val="00000A"/>
        </w:rPr>
        <w:t xml:space="preserve">uropean </w:t>
      </w:r>
      <w:r w:rsidR="004C73FB">
        <w:rPr>
          <w:bCs/>
          <w:color w:val="00000A"/>
        </w:rPr>
        <w:t>U</w:t>
      </w:r>
      <w:r w:rsidR="00086F86">
        <w:rPr>
          <w:bCs/>
          <w:color w:val="00000A"/>
        </w:rPr>
        <w:t xml:space="preserve">nion, (EU), </w:t>
      </w:r>
      <w:r w:rsidR="004C73FB">
        <w:rPr>
          <w:bCs/>
          <w:color w:val="00000A"/>
        </w:rPr>
        <w:t>following the result of the UK referendum in June 2016. Yet m</w:t>
      </w:r>
      <w:r w:rsidR="007A52CD">
        <w:rPr>
          <w:bCs/>
          <w:color w:val="00000A"/>
        </w:rPr>
        <w:t>ore than t</w:t>
      </w:r>
      <w:r w:rsidR="00356CBC">
        <w:rPr>
          <w:bCs/>
          <w:color w:val="00000A"/>
        </w:rPr>
        <w:t xml:space="preserve">wo years after one of the most significant </w:t>
      </w:r>
      <w:r w:rsidR="00FF1346">
        <w:rPr>
          <w:bCs/>
          <w:color w:val="00000A"/>
        </w:rPr>
        <w:t xml:space="preserve">votes and consequent </w:t>
      </w:r>
      <w:r w:rsidR="00356CBC">
        <w:rPr>
          <w:bCs/>
          <w:color w:val="00000A"/>
        </w:rPr>
        <w:t xml:space="preserve">changes </w:t>
      </w:r>
      <w:r w:rsidR="007A52CD">
        <w:rPr>
          <w:bCs/>
          <w:color w:val="00000A"/>
        </w:rPr>
        <w:t>of policy direction in</w:t>
      </w:r>
      <w:r w:rsidR="00356CBC">
        <w:rPr>
          <w:bCs/>
          <w:color w:val="00000A"/>
        </w:rPr>
        <w:t xml:space="preserve"> recent history are we any wiser as to the consequences? The short answer is of course no, since Brexit has not yet happened</w:t>
      </w:r>
      <w:r w:rsidR="00850685">
        <w:rPr>
          <w:bCs/>
          <w:color w:val="00000A"/>
        </w:rPr>
        <w:t>,</w:t>
      </w:r>
      <w:r w:rsidR="00356CBC">
        <w:rPr>
          <w:bCs/>
          <w:color w:val="00000A"/>
        </w:rPr>
        <w:t xml:space="preserve"> nor will it before 2021</w:t>
      </w:r>
      <w:r w:rsidR="007A52CD">
        <w:rPr>
          <w:rStyle w:val="FootnoteReference"/>
          <w:bCs/>
          <w:color w:val="00000A"/>
        </w:rPr>
        <w:footnoteReference w:id="1"/>
      </w:r>
      <w:r w:rsidR="00850685">
        <w:rPr>
          <w:bCs/>
          <w:color w:val="00000A"/>
        </w:rPr>
        <w:t xml:space="preserve">. </w:t>
      </w:r>
      <w:r w:rsidR="00FF1346">
        <w:rPr>
          <w:bCs/>
          <w:color w:val="00000A"/>
        </w:rPr>
        <w:t xml:space="preserve">Intermediate negotiations do not appear to have yet produced any definitive plans.  </w:t>
      </w:r>
      <w:r w:rsidR="00850685">
        <w:rPr>
          <w:bCs/>
          <w:color w:val="00000A"/>
        </w:rPr>
        <w:t>A</w:t>
      </w:r>
      <w:r w:rsidR="00356CBC">
        <w:rPr>
          <w:bCs/>
          <w:color w:val="00000A"/>
        </w:rPr>
        <w:t>s such no policies have yet emerged to elucidate what the labour market environment</w:t>
      </w:r>
      <w:r w:rsidR="00707AA7">
        <w:rPr>
          <w:bCs/>
          <w:color w:val="00000A"/>
        </w:rPr>
        <w:t>, the focus of this article,</w:t>
      </w:r>
      <w:r w:rsidR="00761D30">
        <w:rPr>
          <w:bCs/>
          <w:color w:val="00000A"/>
        </w:rPr>
        <w:t xml:space="preserve"> is likely to look like</w:t>
      </w:r>
      <w:r w:rsidR="00356CBC">
        <w:rPr>
          <w:bCs/>
          <w:color w:val="00000A"/>
        </w:rPr>
        <w:t xml:space="preserve"> after that time.</w:t>
      </w:r>
      <w:r w:rsidR="001213CE">
        <w:rPr>
          <w:bCs/>
          <w:color w:val="00000A"/>
        </w:rPr>
        <w:t xml:space="preserve"> </w:t>
      </w:r>
      <w:r w:rsidR="00356CBC">
        <w:rPr>
          <w:bCs/>
          <w:color w:val="00000A"/>
        </w:rPr>
        <w:t xml:space="preserve">What we can do </w:t>
      </w:r>
      <w:r w:rsidR="005F3C8D">
        <w:rPr>
          <w:bCs/>
          <w:color w:val="00000A"/>
        </w:rPr>
        <w:t xml:space="preserve">instead </w:t>
      </w:r>
      <w:r w:rsidR="00356CBC">
        <w:rPr>
          <w:bCs/>
          <w:color w:val="00000A"/>
        </w:rPr>
        <w:t xml:space="preserve">is look at what has happened in the labour market in </w:t>
      </w:r>
      <w:r w:rsidR="00163837">
        <w:rPr>
          <w:bCs/>
          <w:color w:val="00000A"/>
        </w:rPr>
        <w:t xml:space="preserve">both </w:t>
      </w:r>
      <w:r w:rsidR="00356CBC">
        <w:rPr>
          <w:bCs/>
          <w:color w:val="00000A"/>
        </w:rPr>
        <w:t xml:space="preserve">the </w:t>
      </w:r>
      <w:r w:rsidR="00635AA5">
        <w:rPr>
          <w:bCs/>
          <w:color w:val="00000A"/>
        </w:rPr>
        <w:t xml:space="preserve">run-up to and the </w:t>
      </w:r>
      <w:r w:rsidR="00707AA7">
        <w:rPr>
          <w:bCs/>
          <w:color w:val="00000A"/>
        </w:rPr>
        <w:t>short period of time</w:t>
      </w:r>
      <w:r w:rsidR="00356CBC">
        <w:rPr>
          <w:bCs/>
          <w:color w:val="00000A"/>
        </w:rPr>
        <w:t xml:space="preserve"> following the vote</w:t>
      </w:r>
      <w:r w:rsidR="00163837">
        <w:rPr>
          <w:bCs/>
          <w:color w:val="00000A"/>
        </w:rPr>
        <w:t>. Using this we then undertake some informed speculation</w:t>
      </w:r>
      <w:r w:rsidR="00356CBC">
        <w:rPr>
          <w:bCs/>
          <w:color w:val="00000A"/>
        </w:rPr>
        <w:t xml:space="preserve"> as to likely areas of </w:t>
      </w:r>
      <w:r w:rsidR="00511DB0">
        <w:rPr>
          <w:bCs/>
          <w:color w:val="00000A"/>
        </w:rPr>
        <w:t xml:space="preserve">immigration </w:t>
      </w:r>
      <w:r w:rsidR="00356CBC">
        <w:rPr>
          <w:bCs/>
          <w:color w:val="00000A"/>
        </w:rPr>
        <w:t>policy that will help shape the labour market in years to come</w:t>
      </w:r>
      <w:r w:rsidR="00707AA7">
        <w:rPr>
          <w:bCs/>
          <w:color w:val="00000A"/>
        </w:rPr>
        <w:t xml:space="preserve">. </w:t>
      </w:r>
    </w:p>
    <w:p w:rsidR="005B1091" w:rsidRDefault="005B1091" w:rsidP="00356CBC">
      <w:pPr>
        <w:pStyle w:val="Default"/>
        <w:spacing w:line="480" w:lineRule="auto"/>
        <w:jc w:val="both"/>
        <w:rPr>
          <w:bCs/>
          <w:color w:val="00000A"/>
        </w:rPr>
      </w:pPr>
    </w:p>
    <w:p w:rsidR="00356CBC" w:rsidRDefault="00707AA7" w:rsidP="00356CBC">
      <w:pPr>
        <w:pStyle w:val="Default"/>
        <w:spacing w:line="480" w:lineRule="auto"/>
        <w:jc w:val="both"/>
        <w:rPr>
          <w:bCs/>
          <w:color w:val="00000A"/>
        </w:rPr>
      </w:pPr>
      <w:r>
        <w:rPr>
          <w:bCs/>
          <w:color w:val="00000A"/>
        </w:rPr>
        <w:t xml:space="preserve">Section 2 gives some background to the key patterns and changes in the labour market and in (EU) immigration in the run-up to the Brexit vote in an effort to see if </w:t>
      </w:r>
      <w:r w:rsidR="00761D30">
        <w:rPr>
          <w:bCs/>
          <w:color w:val="00000A"/>
        </w:rPr>
        <w:t xml:space="preserve">the </w:t>
      </w:r>
      <w:r w:rsidR="00C65171">
        <w:rPr>
          <w:bCs/>
          <w:color w:val="00000A"/>
        </w:rPr>
        <w:t>immigration damaged the economic prospects of UK-born workers, which, if so, could have helped explain the Br</w:t>
      </w:r>
      <w:r>
        <w:rPr>
          <w:bCs/>
          <w:color w:val="00000A"/>
        </w:rPr>
        <w:t xml:space="preserve">exit vote. Section 3 outlines the current state of the labour market and the role of EU immigrants in it with a view to assessing </w:t>
      </w:r>
      <w:r w:rsidR="00001F4E">
        <w:rPr>
          <w:bCs/>
          <w:color w:val="00000A"/>
        </w:rPr>
        <w:t xml:space="preserve">what has happened following the vote and </w:t>
      </w:r>
      <w:r>
        <w:rPr>
          <w:bCs/>
          <w:color w:val="00000A"/>
        </w:rPr>
        <w:t>where change, if indeed</w:t>
      </w:r>
      <w:r w:rsidR="005A686E">
        <w:rPr>
          <w:bCs/>
          <w:color w:val="00000A"/>
        </w:rPr>
        <w:t xml:space="preserve"> sustained </w:t>
      </w:r>
      <w:r>
        <w:rPr>
          <w:bCs/>
          <w:color w:val="00000A"/>
        </w:rPr>
        <w:t xml:space="preserve">change </w:t>
      </w:r>
      <w:r w:rsidR="005B1091">
        <w:rPr>
          <w:bCs/>
          <w:color w:val="00000A"/>
        </w:rPr>
        <w:t xml:space="preserve">in migrant numbers </w:t>
      </w:r>
      <w:r>
        <w:rPr>
          <w:bCs/>
          <w:color w:val="00000A"/>
        </w:rPr>
        <w:t>there</w:t>
      </w:r>
      <w:r w:rsidR="005B1091">
        <w:rPr>
          <w:bCs/>
          <w:color w:val="00000A"/>
        </w:rPr>
        <w:t xml:space="preserve"> will be</w:t>
      </w:r>
      <w:r w:rsidR="005A686E">
        <w:rPr>
          <w:bCs/>
          <w:color w:val="00000A"/>
        </w:rPr>
        <w:t xml:space="preserve"> after Bre</w:t>
      </w:r>
      <w:r w:rsidR="00CC61CB">
        <w:rPr>
          <w:bCs/>
          <w:color w:val="00000A"/>
        </w:rPr>
        <w:t>x</w:t>
      </w:r>
      <w:r w:rsidR="005A686E">
        <w:rPr>
          <w:bCs/>
          <w:color w:val="00000A"/>
        </w:rPr>
        <w:t>i</w:t>
      </w:r>
      <w:r w:rsidR="00CC61CB">
        <w:rPr>
          <w:bCs/>
          <w:color w:val="00000A"/>
        </w:rPr>
        <w:t>t</w:t>
      </w:r>
      <w:r>
        <w:rPr>
          <w:bCs/>
          <w:color w:val="00000A"/>
        </w:rPr>
        <w:t xml:space="preserve">, may be seen most strongly. </w:t>
      </w:r>
      <w:r w:rsidR="005B1091">
        <w:rPr>
          <w:bCs/>
          <w:color w:val="00000A"/>
        </w:rPr>
        <w:t xml:space="preserve"> </w:t>
      </w:r>
      <w:r w:rsidR="005B1091">
        <w:rPr>
          <w:bCs/>
          <w:color w:val="00000A"/>
        </w:rPr>
        <w:lastRenderedPageBreak/>
        <w:t xml:space="preserve">Section 4 considers some </w:t>
      </w:r>
      <w:r w:rsidR="00001F4E">
        <w:rPr>
          <w:bCs/>
          <w:color w:val="00000A"/>
        </w:rPr>
        <w:t xml:space="preserve">of the many </w:t>
      </w:r>
      <w:r w:rsidR="005B1091">
        <w:rPr>
          <w:bCs/>
          <w:color w:val="00000A"/>
        </w:rPr>
        <w:t xml:space="preserve">possible </w:t>
      </w:r>
      <w:r w:rsidR="00001F4E">
        <w:rPr>
          <w:bCs/>
          <w:color w:val="00000A"/>
        </w:rPr>
        <w:t xml:space="preserve">labour market related </w:t>
      </w:r>
      <w:r w:rsidR="005B1091">
        <w:rPr>
          <w:bCs/>
          <w:color w:val="00000A"/>
        </w:rPr>
        <w:t>immigration policy options open to the government after the UK leaves the EU</w:t>
      </w:r>
      <w:r w:rsidR="00163837">
        <w:rPr>
          <w:bCs/>
          <w:color w:val="00000A"/>
        </w:rPr>
        <w:t>.</w:t>
      </w:r>
    </w:p>
    <w:p w:rsidR="00163837" w:rsidRDefault="00163837" w:rsidP="00356CBC">
      <w:pPr>
        <w:pStyle w:val="Default"/>
        <w:spacing w:line="480" w:lineRule="auto"/>
        <w:jc w:val="both"/>
        <w:rPr>
          <w:bCs/>
          <w:color w:val="00000A"/>
        </w:rPr>
      </w:pPr>
    </w:p>
    <w:p w:rsidR="00356CBC" w:rsidRPr="00356CBC" w:rsidRDefault="00707AA7" w:rsidP="00356CBC">
      <w:pPr>
        <w:pStyle w:val="Default"/>
        <w:spacing w:line="480" w:lineRule="auto"/>
        <w:jc w:val="both"/>
        <w:rPr>
          <w:b/>
          <w:bCs/>
          <w:color w:val="00000A"/>
        </w:rPr>
      </w:pPr>
      <w:r>
        <w:rPr>
          <w:b/>
          <w:bCs/>
          <w:color w:val="00000A"/>
        </w:rPr>
        <w:t xml:space="preserve">2. </w:t>
      </w:r>
      <w:r w:rsidR="00356CBC" w:rsidRPr="00356CBC">
        <w:rPr>
          <w:b/>
          <w:bCs/>
          <w:color w:val="00000A"/>
        </w:rPr>
        <w:t>The Way We Were</w:t>
      </w:r>
    </w:p>
    <w:p w:rsidR="00373A34" w:rsidRDefault="00CF533D" w:rsidP="00373A34">
      <w:pPr>
        <w:pStyle w:val="Default"/>
        <w:spacing w:line="480" w:lineRule="auto"/>
        <w:jc w:val="both"/>
        <w:rPr>
          <w:bCs/>
          <w:color w:val="00000A"/>
        </w:rPr>
      </w:pPr>
      <w:r>
        <w:rPr>
          <w:bCs/>
          <w:color w:val="00000A"/>
        </w:rPr>
        <w:t>Despite the large</w:t>
      </w:r>
      <w:r w:rsidR="004D6FCA">
        <w:rPr>
          <w:bCs/>
          <w:color w:val="00000A"/>
        </w:rPr>
        <w:t>st</w:t>
      </w:r>
      <w:r>
        <w:rPr>
          <w:bCs/>
          <w:color w:val="00000A"/>
        </w:rPr>
        <w:t xml:space="preserve"> </w:t>
      </w:r>
      <w:r w:rsidR="004D6FCA">
        <w:rPr>
          <w:bCs/>
          <w:color w:val="00000A"/>
        </w:rPr>
        <w:t>collapse</w:t>
      </w:r>
      <w:r>
        <w:rPr>
          <w:bCs/>
          <w:color w:val="00000A"/>
        </w:rPr>
        <w:t xml:space="preserve"> in GDP</w:t>
      </w:r>
      <w:r w:rsidR="002A622C">
        <w:rPr>
          <w:bCs/>
          <w:color w:val="00000A"/>
        </w:rPr>
        <w:t xml:space="preserve"> for 80 years</w:t>
      </w:r>
      <w:r>
        <w:rPr>
          <w:bCs/>
          <w:color w:val="00000A"/>
        </w:rPr>
        <w:t>, t</w:t>
      </w:r>
      <w:r w:rsidR="00356CBC">
        <w:rPr>
          <w:bCs/>
          <w:color w:val="00000A"/>
        </w:rPr>
        <w:t xml:space="preserve">he </w:t>
      </w:r>
      <w:r w:rsidR="00567A1B">
        <w:rPr>
          <w:bCs/>
          <w:color w:val="00000A"/>
        </w:rPr>
        <w:t>Gre</w:t>
      </w:r>
      <w:r w:rsidR="004D6FCA">
        <w:rPr>
          <w:bCs/>
          <w:color w:val="00000A"/>
        </w:rPr>
        <w:t>at Recession did not generate</w:t>
      </w:r>
      <w:r w:rsidR="002A622C">
        <w:rPr>
          <w:bCs/>
          <w:color w:val="00000A"/>
        </w:rPr>
        <w:t xml:space="preserve"> the</w:t>
      </w:r>
      <w:r w:rsidR="004D6FCA">
        <w:rPr>
          <w:bCs/>
          <w:color w:val="00000A"/>
        </w:rPr>
        <w:t xml:space="preserve"> </w:t>
      </w:r>
      <w:r w:rsidR="00567A1B">
        <w:rPr>
          <w:bCs/>
          <w:color w:val="00000A"/>
        </w:rPr>
        <w:t>major rise</w:t>
      </w:r>
      <w:r w:rsidR="004D6FCA">
        <w:rPr>
          <w:bCs/>
          <w:color w:val="00000A"/>
        </w:rPr>
        <w:t>s</w:t>
      </w:r>
      <w:r w:rsidR="00567A1B">
        <w:rPr>
          <w:bCs/>
          <w:color w:val="00000A"/>
        </w:rPr>
        <w:t xml:space="preserve"> in unemployment, or fall</w:t>
      </w:r>
      <w:r w:rsidR="004D6FCA">
        <w:rPr>
          <w:bCs/>
          <w:color w:val="00000A"/>
        </w:rPr>
        <w:t>s</w:t>
      </w:r>
      <w:r w:rsidR="00567A1B">
        <w:rPr>
          <w:bCs/>
          <w:color w:val="00000A"/>
        </w:rPr>
        <w:t xml:space="preserve"> in employment</w:t>
      </w:r>
      <w:r w:rsidR="001213CE">
        <w:rPr>
          <w:bCs/>
          <w:color w:val="00000A"/>
        </w:rPr>
        <w:t xml:space="preserve"> in the UK</w:t>
      </w:r>
      <w:r w:rsidR="00567A1B">
        <w:rPr>
          <w:bCs/>
          <w:color w:val="00000A"/>
        </w:rPr>
        <w:t>, that many commentators had expected. Instead the adjustmen</w:t>
      </w:r>
      <w:r>
        <w:rPr>
          <w:bCs/>
          <w:color w:val="00000A"/>
        </w:rPr>
        <w:t xml:space="preserve">t </w:t>
      </w:r>
      <w:r w:rsidR="002A622C">
        <w:rPr>
          <w:bCs/>
          <w:color w:val="00000A"/>
        </w:rPr>
        <w:t xml:space="preserve">to the large negative shock </w:t>
      </w:r>
      <w:r>
        <w:rPr>
          <w:bCs/>
          <w:color w:val="00000A"/>
        </w:rPr>
        <w:t xml:space="preserve">was primarily manifested in </w:t>
      </w:r>
      <w:r w:rsidR="00567A1B">
        <w:rPr>
          <w:bCs/>
          <w:color w:val="00000A"/>
        </w:rPr>
        <w:t>falling real wages –</w:t>
      </w:r>
      <w:r w:rsidR="002A622C">
        <w:rPr>
          <w:bCs/>
          <w:color w:val="00000A"/>
        </w:rPr>
        <w:t xml:space="preserve"> </w:t>
      </w:r>
      <w:r w:rsidR="00567A1B">
        <w:rPr>
          <w:bCs/>
          <w:color w:val="00000A"/>
        </w:rPr>
        <w:t xml:space="preserve">in the order of 10 to 15% </w:t>
      </w:r>
      <w:r w:rsidR="005B1091">
        <w:rPr>
          <w:bCs/>
          <w:color w:val="00000A"/>
        </w:rPr>
        <w:t xml:space="preserve">depending on which price deflator is used </w:t>
      </w:r>
      <w:r w:rsidR="00567A1B">
        <w:rPr>
          <w:bCs/>
          <w:color w:val="00000A"/>
        </w:rPr>
        <w:t>- unprecedented in modern British history and of similar magnitude across the wage distribution.</w:t>
      </w:r>
      <w:r w:rsidR="00CE0D23">
        <w:rPr>
          <w:rStyle w:val="FootnoteReference"/>
          <w:bCs/>
          <w:color w:val="00000A"/>
        </w:rPr>
        <w:footnoteReference w:id="2"/>
      </w:r>
      <w:r w:rsidR="00567A1B">
        <w:rPr>
          <w:bCs/>
          <w:color w:val="00000A"/>
        </w:rPr>
        <w:t xml:space="preserve"> </w:t>
      </w:r>
      <w:r w:rsidR="00A20EF9">
        <w:rPr>
          <w:bCs/>
          <w:color w:val="00000A"/>
        </w:rPr>
        <w:t xml:space="preserve">Arguably the recession </w:t>
      </w:r>
      <w:r w:rsidR="001213CE">
        <w:rPr>
          <w:bCs/>
          <w:color w:val="00000A"/>
        </w:rPr>
        <w:t xml:space="preserve">may have </w:t>
      </w:r>
      <w:r w:rsidR="005928A0">
        <w:rPr>
          <w:bCs/>
          <w:color w:val="00000A"/>
        </w:rPr>
        <w:t>fed some of the resentment</w:t>
      </w:r>
      <w:r w:rsidR="00854B55">
        <w:rPr>
          <w:bCs/>
          <w:color w:val="00000A"/>
        </w:rPr>
        <w:t xml:space="preserve"> seen in public opinion polls</w:t>
      </w:r>
      <w:r w:rsidR="005928A0">
        <w:rPr>
          <w:bCs/>
          <w:color w:val="00000A"/>
        </w:rPr>
        <w:t xml:space="preserve"> </w:t>
      </w:r>
      <w:r w:rsidR="001213CE">
        <w:rPr>
          <w:bCs/>
          <w:color w:val="00000A"/>
        </w:rPr>
        <w:t xml:space="preserve">over this period </w:t>
      </w:r>
      <w:r w:rsidR="005928A0">
        <w:rPr>
          <w:bCs/>
          <w:color w:val="00000A"/>
        </w:rPr>
        <w:t>toward rising immigration</w:t>
      </w:r>
      <w:r w:rsidR="00854B55">
        <w:rPr>
          <w:bCs/>
          <w:color w:val="00000A"/>
        </w:rPr>
        <w:t>.</w:t>
      </w:r>
      <w:r w:rsidR="00854B55">
        <w:rPr>
          <w:rStyle w:val="FootnoteReference"/>
          <w:bCs/>
          <w:color w:val="00000A"/>
        </w:rPr>
        <w:footnoteReference w:id="3"/>
      </w:r>
      <w:r w:rsidR="00854B55">
        <w:rPr>
          <w:bCs/>
          <w:color w:val="00000A"/>
        </w:rPr>
        <w:t xml:space="preserve"> </w:t>
      </w:r>
      <w:r w:rsidR="005928A0">
        <w:rPr>
          <w:bCs/>
          <w:color w:val="00000A"/>
        </w:rPr>
        <w:t xml:space="preserve">However it is hard to see a connection between </w:t>
      </w:r>
      <w:r w:rsidR="00854B55">
        <w:rPr>
          <w:bCs/>
          <w:color w:val="00000A"/>
        </w:rPr>
        <w:t xml:space="preserve">the timing of </w:t>
      </w:r>
      <w:r w:rsidR="00C95465">
        <w:rPr>
          <w:bCs/>
          <w:color w:val="00000A"/>
        </w:rPr>
        <w:t xml:space="preserve">changes in </w:t>
      </w:r>
      <w:r w:rsidR="005928A0">
        <w:rPr>
          <w:bCs/>
          <w:color w:val="00000A"/>
        </w:rPr>
        <w:t xml:space="preserve">unemployment and or falling real wages with the </w:t>
      </w:r>
      <w:r w:rsidR="00C95465">
        <w:rPr>
          <w:bCs/>
          <w:color w:val="00000A"/>
        </w:rPr>
        <w:t xml:space="preserve">pattern of </w:t>
      </w:r>
      <w:r w:rsidR="004A70A3">
        <w:rPr>
          <w:bCs/>
          <w:color w:val="00000A"/>
        </w:rPr>
        <w:t>immigration. As</w:t>
      </w:r>
      <w:r w:rsidR="004A70A3" w:rsidRPr="004A70A3">
        <w:rPr>
          <w:bCs/>
          <w:color w:val="00000A"/>
        </w:rPr>
        <w:t xml:space="preserve"> </w:t>
      </w:r>
      <w:r w:rsidR="004A70A3" w:rsidRPr="004A70A3">
        <w:rPr>
          <w:bCs/>
          <w:color w:val="00000A"/>
        </w:rPr>
        <w:fldChar w:fldCharType="begin"/>
      </w:r>
      <w:r w:rsidR="004A70A3" w:rsidRPr="004A70A3">
        <w:rPr>
          <w:bCs/>
          <w:color w:val="00000A"/>
        </w:rPr>
        <w:instrText xml:space="preserve"> REF _Ref512496561 \h  \* MERGEFORMAT </w:instrText>
      </w:r>
      <w:r w:rsidR="004A70A3" w:rsidRPr="004A70A3">
        <w:rPr>
          <w:bCs/>
          <w:color w:val="00000A"/>
        </w:rPr>
      </w:r>
      <w:r w:rsidR="004A70A3" w:rsidRPr="004A70A3">
        <w:rPr>
          <w:bCs/>
          <w:color w:val="00000A"/>
        </w:rPr>
        <w:fldChar w:fldCharType="separate"/>
      </w:r>
      <w:r w:rsidR="004A70A3" w:rsidRPr="004A70A3">
        <w:t xml:space="preserve">Table </w:t>
      </w:r>
      <w:r w:rsidR="004A70A3" w:rsidRPr="004A70A3">
        <w:rPr>
          <w:noProof/>
        </w:rPr>
        <w:t>1</w:t>
      </w:r>
      <w:r w:rsidR="004A70A3" w:rsidRPr="004A70A3">
        <w:rPr>
          <w:bCs/>
          <w:color w:val="00000A"/>
        </w:rPr>
        <w:fldChar w:fldCharType="end"/>
      </w:r>
      <w:r w:rsidR="00854B55">
        <w:rPr>
          <w:bCs/>
          <w:color w:val="00000A"/>
        </w:rPr>
        <w:t xml:space="preserve"> </w:t>
      </w:r>
      <w:r w:rsidR="004A70A3">
        <w:rPr>
          <w:bCs/>
          <w:color w:val="00000A"/>
        </w:rPr>
        <w:t>and</w:t>
      </w:r>
      <w:r w:rsidR="004A70A3" w:rsidRPr="004A70A3">
        <w:rPr>
          <w:bCs/>
          <w:color w:val="00000A"/>
        </w:rPr>
        <w:t xml:space="preserve"> </w:t>
      </w:r>
      <w:r w:rsidR="004A70A3" w:rsidRPr="004A70A3">
        <w:rPr>
          <w:bCs/>
          <w:color w:val="00000A"/>
        </w:rPr>
        <w:fldChar w:fldCharType="begin"/>
      </w:r>
      <w:r w:rsidR="004A70A3" w:rsidRPr="004A70A3">
        <w:rPr>
          <w:bCs/>
          <w:color w:val="00000A"/>
        </w:rPr>
        <w:instrText xml:space="preserve"> REF _Ref512496606 \h  \* MERGEFORMAT </w:instrText>
      </w:r>
      <w:r w:rsidR="004A70A3" w:rsidRPr="004A70A3">
        <w:rPr>
          <w:bCs/>
          <w:color w:val="00000A"/>
        </w:rPr>
      </w:r>
      <w:r w:rsidR="004A70A3" w:rsidRPr="004A70A3">
        <w:rPr>
          <w:bCs/>
          <w:color w:val="00000A"/>
        </w:rPr>
        <w:fldChar w:fldCharType="separate"/>
      </w:r>
      <w:r w:rsidR="004A70A3" w:rsidRPr="004A70A3">
        <w:t xml:space="preserve">Figure </w:t>
      </w:r>
      <w:r w:rsidR="004A70A3" w:rsidRPr="004A70A3">
        <w:rPr>
          <w:noProof/>
        </w:rPr>
        <w:t>1</w:t>
      </w:r>
      <w:r w:rsidR="004A70A3" w:rsidRPr="004A70A3">
        <w:rPr>
          <w:bCs/>
          <w:color w:val="00000A"/>
        </w:rPr>
        <w:fldChar w:fldCharType="end"/>
      </w:r>
      <w:r w:rsidR="004A70A3" w:rsidRPr="004A70A3">
        <w:rPr>
          <w:bCs/>
          <w:color w:val="00000A"/>
        </w:rPr>
        <w:t xml:space="preserve"> </w:t>
      </w:r>
      <w:r w:rsidR="004A70A3">
        <w:rPr>
          <w:bCs/>
          <w:color w:val="00000A"/>
        </w:rPr>
        <w:t>show</w:t>
      </w:r>
      <w:r w:rsidR="00854B55">
        <w:rPr>
          <w:bCs/>
          <w:color w:val="00000A"/>
        </w:rPr>
        <w:t>, immigration to t</w:t>
      </w:r>
      <w:r w:rsidR="00C67341">
        <w:rPr>
          <w:bCs/>
          <w:color w:val="00000A"/>
        </w:rPr>
        <w:t>he UK had been growing from aro</w:t>
      </w:r>
      <w:r w:rsidR="00854B55">
        <w:rPr>
          <w:bCs/>
          <w:color w:val="00000A"/>
        </w:rPr>
        <w:t>und 1995</w:t>
      </w:r>
      <w:r w:rsidR="00C67341">
        <w:rPr>
          <w:bCs/>
          <w:color w:val="00000A"/>
        </w:rPr>
        <w:t>, primarily from outside the EU</w:t>
      </w:r>
      <w:r w:rsidR="00C06DC4">
        <w:rPr>
          <w:bCs/>
          <w:color w:val="00000A"/>
        </w:rPr>
        <w:t xml:space="preserve"> until the admission of the A10 accession countries in 2004, when Britain, Ireland and Sweden opened up their labour markets to migrants from the former central and Eastern European Soviet bloc along with Cyprus and Malta. </w:t>
      </w:r>
      <w:r w:rsidR="00C67341">
        <w:rPr>
          <w:bCs/>
          <w:color w:val="00000A"/>
        </w:rPr>
        <w:t xml:space="preserve">Immigration from the EU </w:t>
      </w:r>
      <w:r w:rsidR="00C06DC4">
        <w:rPr>
          <w:bCs/>
          <w:color w:val="00000A"/>
        </w:rPr>
        <w:t xml:space="preserve">thereafter </w:t>
      </w:r>
      <w:r w:rsidR="00C67341">
        <w:rPr>
          <w:bCs/>
          <w:color w:val="00000A"/>
        </w:rPr>
        <w:t>began rising</w:t>
      </w:r>
      <w:r w:rsidR="00C06DC4">
        <w:rPr>
          <w:bCs/>
          <w:color w:val="00000A"/>
        </w:rPr>
        <w:t>, primarily from these countries,</w:t>
      </w:r>
      <w:r w:rsidR="00C67341">
        <w:rPr>
          <w:bCs/>
          <w:color w:val="00000A"/>
        </w:rPr>
        <w:t xml:space="preserve"> </w:t>
      </w:r>
      <w:r w:rsidR="00C06DC4">
        <w:rPr>
          <w:bCs/>
          <w:color w:val="00000A"/>
        </w:rPr>
        <w:t xml:space="preserve">in tandem with continued rises in Non-EU immigration. </w:t>
      </w:r>
      <w:r w:rsidR="00BB4217">
        <w:rPr>
          <w:bCs/>
          <w:color w:val="00000A"/>
        </w:rPr>
        <w:t xml:space="preserve"> </w:t>
      </w:r>
    </w:p>
    <w:p w:rsidR="00C67341" w:rsidRPr="00C67341" w:rsidRDefault="00C67341" w:rsidP="00C67341">
      <w:pPr>
        <w:pStyle w:val="Caption"/>
        <w:spacing w:after="0"/>
        <w:jc w:val="both"/>
        <w:rPr>
          <w:rFonts w:ascii="Times New Roman" w:hAnsi="Times New Roman" w:cs="Times New Roman"/>
          <w:b/>
          <w:i w:val="0"/>
          <w:color w:val="auto"/>
          <w:sz w:val="24"/>
          <w:szCs w:val="24"/>
        </w:rPr>
      </w:pPr>
      <w:bookmarkStart w:id="1" w:name="_Ref512496561"/>
      <w:r w:rsidRPr="004A70A3">
        <w:rPr>
          <w:rFonts w:ascii="Times New Roman" w:hAnsi="Times New Roman" w:cs="Times New Roman"/>
          <w:b/>
          <w:i w:val="0"/>
          <w:color w:val="auto"/>
          <w:sz w:val="24"/>
          <w:szCs w:val="24"/>
        </w:rPr>
        <w:t xml:space="preserve">Table </w:t>
      </w:r>
      <w:r w:rsidRPr="004A70A3">
        <w:rPr>
          <w:rFonts w:ascii="Times New Roman" w:hAnsi="Times New Roman" w:cs="Times New Roman"/>
          <w:b/>
          <w:i w:val="0"/>
          <w:color w:val="auto"/>
          <w:sz w:val="24"/>
          <w:szCs w:val="24"/>
        </w:rPr>
        <w:fldChar w:fldCharType="begin"/>
      </w:r>
      <w:r w:rsidRPr="004A70A3">
        <w:rPr>
          <w:rFonts w:ascii="Times New Roman" w:hAnsi="Times New Roman" w:cs="Times New Roman"/>
          <w:b/>
          <w:i w:val="0"/>
          <w:color w:val="auto"/>
          <w:sz w:val="24"/>
          <w:szCs w:val="24"/>
        </w:rPr>
        <w:instrText xml:space="preserve"> SEQ Table \* ARABIC </w:instrText>
      </w:r>
      <w:r w:rsidRPr="004A70A3">
        <w:rPr>
          <w:rFonts w:ascii="Times New Roman" w:hAnsi="Times New Roman" w:cs="Times New Roman"/>
          <w:b/>
          <w:i w:val="0"/>
          <w:color w:val="auto"/>
          <w:sz w:val="24"/>
          <w:szCs w:val="24"/>
        </w:rPr>
        <w:fldChar w:fldCharType="separate"/>
      </w:r>
      <w:r w:rsidR="007B4357">
        <w:rPr>
          <w:rFonts w:ascii="Times New Roman" w:hAnsi="Times New Roman" w:cs="Times New Roman"/>
          <w:b/>
          <w:i w:val="0"/>
          <w:noProof/>
          <w:color w:val="auto"/>
          <w:sz w:val="24"/>
          <w:szCs w:val="24"/>
        </w:rPr>
        <w:t>1</w:t>
      </w:r>
      <w:r w:rsidRPr="004A70A3">
        <w:rPr>
          <w:rFonts w:ascii="Times New Roman" w:hAnsi="Times New Roman" w:cs="Times New Roman"/>
          <w:b/>
          <w:i w:val="0"/>
          <w:color w:val="auto"/>
          <w:sz w:val="24"/>
          <w:szCs w:val="24"/>
        </w:rPr>
        <w:fldChar w:fldCharType="end"/>
      </w:r>
      <w:bookmarkEnd w:id="1"/>
      <w:r w:rsidRPr="004A70A3">
        <w:rPr>
          <w:rFonts w:ascii="Times New Roman" w:hAnsi="Times New Roman" w:cs="Times New Roman"/>
          <w:b/>
          <w:bCs/>
          <w:i w:val="0"/>
          <w:color w:val="auto"/>
          <w:sz w:val="24"/>
          <w:szCs w:val="24"/>
        </w:rPr>
        <w:t xml:space="preserve">: Immigrants </w:t>
      </w:r>
      <w:r w:rsidR="00576D27">
        <w:rPr>
          <w:rFonts w:ascii="Times New Roman" w:hAnsi="Times New Roman" w:cs="Times New Roman"/>
          <w:b/>
          <w:bCs/>
          <w:i w:val="0"/>
          <w:color w:val="auto"/>
          <w:sz w:val="24"/>
          <w:szCs w:val="24"/>
        </w:rPr>
        <w:t xml:space="preserve">and </w:t>
      </w:r>
      <w:r w:rsidRPr="00C67341">
        <w:rPr>
          <w:rFonts w:ascii="Times New Roman" w:hAnsi="Times New Roman" w:cs="Times New Roman"/>
          <w:b/>
          <w:bCs/>
          <w:i w:val="0"/>
          <w:color w:val="auto"/>
          <w:sz w:val="24"/>
          <w:szCs w:val="24"/>
        </w:rPr>
        <w:t xml:space="preserve">the UK </w:t>
      </w:r>
      <w:r w:rsidR="00576D27">
        <w:rPr>
          <w:rFonts w:ascii="Times New Roman" w:hAnsi="Times New Roman" w:cs="Times New Roman"/>
          <w:b/>
          <w:bCs/>
          <w:i w:val="0"/>
          <w:color w:val="auto"/>
          <w:sz w:val="24"/>
          <w:szCs w:val="24"/>
        </w:rPr>
        <w:t>Population</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164"/>
        <w:gridCol w:w="1163"/>
        <w:gridCol w:w="1230"/>
        <w:gridCol w:w="1315"/>
        <w:gridCol w:w="1315"/>
        <w:gridCol w:w="1315"/>
        <w:gridCol w:w="867"/>
      </w:tblGrid>
      <w:tr w:rsidR="00F80540" w:rsidRPr="004616CB" w:rsidTr="00095526">
        <w:tc>
          <w:tcPr>
            <w:tcW w:w="435" w:type="pct"/>
            <w:shd w:val="clear" w:color="auto" w:fill="auto"/>
          </w:tcPr>
          <w:p w:rsidR="00F80540" w:rsidRPr="004616CB" w:rsidRDefault="00F80540" w:rsidP="00F80540">
            <w:pPr>
              <w:pStyle w:val="Default"/>
              <w:jc w:val="both"/>
              <w:rPr>
                <w:color w:val="auto"/>
              </w:rPr>
            </w:pPr>
          </w:p>
        </w:tc>
        <w:tc>
          <w:tcPr>
            <w:tcW w:w="635" w:type="pct"/>
            <w:shd w:val="clear" w:color="auto" w:fill="auto"/>
          </w:tcPr>
          <w:p w:rsidR="00F80540" w:rsidRPr="004616CB" w:rsidRDefault="00F80540" w:rsidP="00F80540">
            <w:pPr>
              <w:pStyle w:val="Default"/>
              <w:jc w:val="both"/>
              <w:rPr>
                <w:color w:val="auto"/>
              </w:rPr>
            </w:pPr>
            <w:r w:rsidRPr="004616CB">
              <w:rPr>
                <w:color w:val="auto"/>
              </w:rPr>
              <w:t xml:space="preserve">Total </w:t>
            </w:r>
          </w:p>
          <w:p w:rsidR="00F80540" w:rsidRPr="004616CB" w:rsidRDefault="00F80540" w:rsidP="00F80540">
            <w:pPr>
              <w:pStyle w:val="Default"/>
              <w:jc w:val="both"/>
              <w:rPr>
                <w:color w:val="auto"/>
              </w:rPr>
            </w:pPr>
            <w:r w:rsidRPr="004616CB">
              <w:rPr>
                <w:color w:val="auto"/>
              </w:rPr>
              <w:t>(millions)</w:t>
            </w:r>
          </w:p>
        </w:tc>
        <w:tc>
          <w:tcPr>
            <w:tcW w:w="634" w:type="pct"/>
            <w:shd w:val="clear" w:color="auto" w:fill="auto"/>
          </w:tcPr>
          <w:p w:rsidR="00F80540" w:rsidRPr="004616CB" w:rsidRDefault="00F80540" w:rsidP="00F80540">
            <w:pPr>
              <w:pStyle w:val="Default"/>
              <w:jc w:val="both"/>
              <w:rPr>
                <w:color w:val="auto"/>
              </w:rPr>
            </w:pPr>
            <w:r w:rsidRPr="004616CB">
              <w:rPr>
                <w:color w:val="auto"/>
              </w:rPr>
              <w:t>UK-born (millions)</w:t>
            </w:r>
          </w:p>
        </w:tc>
        <w:tc>
          <w:tcPr>
            <w:tcW w:w="671" w:type="pct"/>
            <w:shd w:val="clear" w:color="auto" w:fill="auto"/>
          </w:tcPr>
          <w:p w:rsidR="00F80540" w:rsidRPr="004616CB" w:rsidRDefault="00F80540" w:rsidP="00F80540">
            <w:pPr>
              <w:pStyle w:val="Default"/>
              <w:jc w:val="both"/>
              <w:rPr>
                <w:color w:val="auto"/>
              </w:rPr>
            </w:pPr>
            <w:r w:rsidRPr="004616CB">
              <w:rPr>
                <w:color w:val="auto"/>
              </w:rPr>
              <w:t>Immigrant  (millions)</w:t>
            </w:r>
          </w:p>
        </w:tc>
        <w:tc>
          <w:tcPr>
            <w:tcW w:w="717" w:type="pct"/>
          </w:tcPr>
          <w:p w:rsidR="00F80540" w:rsidRPr="004616CB" w:rsidRDefault="00F80540" w:rsidP="00F80540">
            <w:pPr>
              <w:pStyle w:val="Default"/>
              <w:jc w:val="both"/>
              <w:rPr>
                <w:color w:val="auto"/>
              </w:rPr>
            </w:pPr>
            <w:r w:rsidRPr="004616CB">
              <w:rPr>
                <w:color w:val="auto"/>
              </w:rPr>
              <w:t xml:space="preserve"> EU (millions)</w:t>
            </w:r>
          </w:p>
        </w:tc>
        <w:tc>
          <w:tcPr>
            <w:tcW w:w="717" w:type="pct"/>
          </w:tcPr>
          <w:p w:rsidR="00F80540" w:rsidRDefault="00F80540" w:rsidP="00F80540">
            <w:pPr>
              <w:pStyle w:val="Default"/>
              <w:jc w:val="both"/>
              <w:rPr>
                <w:color w:val="auto"/>
              </w:rPr>
            </w:pPr>
            <w:r>
              <w:rPr>
                <w:color w:val="auto"/>
              </w:rPr>
              <w:t>Non-EU</w:t>
            </w:r>
          </w:p>
          <w:p w:rsidR="00F80540" w:rsidRPr="004616CB" w:rsidRDefault="00F80540" w:rsidP="00F80540">
            <w:pPr>
              <w:pStyle w:val="Default"/>
              <w:jc w:val="both"/>
              <w:rPr>
                <w:color w:val="auto"/>
              </w:rPr>
            </w:pPr>
            <w:r>
              <w:rPr>
                <w:color w:val="auto"/>
              </w:rPr>
              <w:t>(millions)</w:t>
            </w:r>
          </w:p>
        </w:tc>
        <w:tc>
          <w:tcPr>
            <w:tcW w:w="717" w:type="pct"/>
            <w:shd w:val="clear" w:color="auto" w:fill="auto"/>
          </w:tcPr>
          <w:p w:rsidR="00F80540" w:rsidRPr="004616CB" w:rsidRDefault="00F80540" w:rsidP="00F80540">
            <w:pPr>
              <w:pStyle w:val="Default"/>
              <w:jc w:val="both"/>
              <w:rPr>
                <w:color w:val="auto"/>
              </w:rPr>
            </w:pPr>
            <w:r w:rsidRPr="004616CB">
              <w:rPr>
                <w:color w:val="auto"/>
              </w:rPr>
              <w:t>Immigrant share (%)</w:t>
            </w:r>
          </w:p>
        </w:tc>
        <w:tc>
          <w:tcPr>
            <w:tcW w:w="473" w:type="pct"/>
          </w:tcPr>
          <w:p w:rsidR="00F80540" w:rsidRPr="004616CB" w:rsidRDefault="00F80540" w:rsidP="00F80540">
            <w:pPr>
              <w:pStyle w:val="Default"/>
              <w:jc w:val="both"/>
              <w:rPr>
                <w:color w:val="auto"/>
              </w:rPr>
            </w:pPr>
            <w:r w:rsidRPr="004616CB">
              <w:rPr>
                <w:color w:val="auto"/>
              </w:rPr>
              <w:t>EU share</w:t>
            </w:r>
          </w:p>
        </w:tc>
      </w:tr>
      <w:tr w:rsidR="00F80540" w:rsidRPr="004616CB" w:rsidTr="00095526">
        <w:tc>
          <w:tcPr>
            <w:tcW w:w="435" w:type="pct"/>
            <w:shd w:val="clear" w:color="auto" w:fill="auto"/>
          </w:tcPr>
          <w:p w:rsidR="00F80540" w:rsidRPr="004616CB" w:rsidRDefault="00F80540" w:rsidP="00F80540">
            <w:pPr>
              <w:pStyle w:val="Default"/>
              <w:jc w:val="both"/>
              <w:rPr>
                <w:b/>
                <w:i/>
                <w:color w:val="auto"/>
              </w:rPr>
            </w:pPr>
            <w:r w:rsidRPr="004616CB">
              <w:rPr>
                <w:b/>
                <w:i/>
                <w:color w:val="auto"/>
              </w:rPr>
              <w:t>Total</w:t>
            </w:r>
          </w:p>
        </w:tc>
        <w:tc>
          <w:tcPr>
            <w:tcW w:w="635" w:type="pct"/>
            <w:shd w:val="clear" w:color="auto" w:fill="auto"/>
          </w:tcPr>
          <w:p w:rsidR="00F80540" w:rsidRPr="004616CB" w:rsidRDefault="00F80540" w:rsidP="00F80540">
            <w:pPr>
              <w:pStyle w:val="Default"/>
              <w:jc w:val="both"/>
              <w:rPr>
                <w:color w:val="auto"/>
              </w:rPr>
            </w:pPr>
          </w:p>
        </w:tc>
        <w:tc>
          <w:tcPr>
            <w:tcW w:w="634" w:type="pct"/>
            <w:shd w:val="clear" w:color="auto" w:fill="auto"/>
          </w:tcPr>
          <w:p w:rsidR="00F80540" w:rsidRPr="004616CB" w:rsidRDefault="00F80540" w:rsidP="00F80540">
            <w:pPr>
              <w:pStyle w:val="Default"/>
              <w:jc w:val="both"/>
              <w:rPr>
                <w:color w:val="auto"/>
              </w:rPr>
            </w:pPr>
          </w:p>
        </w:tc>
        <w:tc>
          <w:tcPr>
            <w:tcW w:w="671" w:type="pct"/>
            <w:shd w:val="clear" w:color="auto" w:fill="auto"/>
          </w:tcPr>
          <w:p w:rsidR="00F80540" w:rsidRPr="004616CB" w:rsidRDefault="00F80540" w:rsidP="00F80540">
            <w:pPr>
              <w:pStyle w:val="Default"/>
              <w:jc w:val="both"/>
              <w:rPr>
                <w:color w:val="auto"/>
              </w:rPr>
            </w:pPr>
          </w:p>
        </w:tc>
        <w:tc>
          <w:tcPr>
            <w:tcW w:w="717" w:type="pct"/>
          </w:tcPr>
          <w:p w:rsidR="00F80540" w:rsidRPr="004616CB" w:rsidRDefault="00F80540" w:rsidP="00F80540">
            <w:pPr>
              <w:pStyle w:val="Default"/>
              <w:jc w:val="both"/>
              <w:rPr>
                <w:color w:val="auto"/>
              </w:rPr>
            </w:pPr>
          </w:p>
        </w:tc>
        <w:tc>
          <w:tcPr>
            <w:tcW w:w="717" w:type="pct"/>
          </w:tcPr>
          <w:p w:rsidR="00F80540" w:rsidRPr="004616CB" w:rsidRDefault="00F80540" w:rsidP="00F80540">
            <w:pPr>
              <w:pStyle w:val="Default"/>
              <w:jc w:val="both"/>
              <w:rPr>
                <w:color w:val="auto"/>
              </w:rPr>
            </w:pPr>
          </w:p>
        </w:tc>
        <w:tc>
          <w:tcPr>
            <w:tcW w:w="717" w:type="pct"/>
            <w:shd w:val="clear" w:color="auto" w:fill="auto"/>
          </w:tcPr>
          <w:p w:rsidR="00F80540" w:rsidRPr="004616CB" w:rsidRDefault="00F80540" w:rsidP="00F80540">
            <w:pPr>
              <w:pStyle w:val="Default"/>
              <w:jc w:val="both"/>
              <w:rPr>
                <w:color w:val="auto"/>
              </w:rPr>
            </w:pPr>
          </w:p>
        </w:tc>
        <w:tc>
          <w:tcPr>
            <w:tcW w:w="473" w:type="pct"/>
          </w:tcPr>
          <w:p w:rsidR="00F80540" w:rsidRPr="004616CB" w:rsidRDefault="00F80540" w:rsidP="00F80540">
            <w:pPr>
              <w:pStyle w:val="Default"/>
              <w:jc w:val="both"/>
              <w:rPr>
                <w:color w:val="auto"/>
              </w:rPr>
            </w:pPr>
          </w:p>
        </w:tc>
      </w:tr>
      <w:tr w:rsidR="00F80540" w:rsidRPr="004616CB" w:rsidTr="00095526">
        <w:tc>
          <w:tcPr>
            <w:tcW w:w="435" w:type="pct"/>
            <w:shd w:val="clear" w:color="auto" w:fill="auto"/>
          </w:tcPr>
          <w:p w:rsidR="00F80540" w:rsidRPr="004616CB" w:rsidRDefault="00F80540" w:rsidP="00F80540">
            <w:pPr>
              <w:pStyle w:val="Default"/>
              <w:jc w:val="both"/>
              <w:rPr>
                <w:color w:val="auto"/>
              </w:rPr>
            </w:pPr>
            <w:r w:rsidRPr="004616CB">
              <w:rPr>
                <w:color w:val="auto"/>
              </w:rPr>
              <w:t>1975</w:t>
            </w:r>
          </w:p>
        </w:tc>
        <w:tc>
          <w:tcPr>
            <w:tcW w:w="635" w:type="pct"/>
            <w:shd w:val="clear" w:color="auto" w:fill="auto"/>
          </w:tcPr>
          <w:p w:rsidR="00F80540" w:rsidRPr="004616CB" w:rsidRDefault="00F80540" w:rsidP="00F80540">
            <w:pPr>
              <w:pStyle w:val="Default"/>
              <w:jc w:val="both"/>
              <w:rPr>
                <w:color w:val="auto"/>
              </w:rPr>
            </w:pPr>
            <w:r w:rsidRPr="004616CB">
              <w:rPr>
                <w:color w:val="auto"/>
              </w:rPr>
              <w:t>55.3</w:t>
            </w:r>
          </w:p>
        </w:tc>
        <w:tc>
          <w:tcPr>
            <w:tcW w:w="634" w:type="pct"/>
            <w:shd w:val="clear" w:color="auto" w:fill="auto"/>
          </w:tcPr>
          <w:p w:rsidR="00F80540" w:rsidRPr="004616CB" w:rsidRDefault="00F80540" w:rsidP="00F80540">
            <w:pPr>
              <w:pStyle w:val="Default"/>
              <w:jc w:val="both"/>
              <w:rPr>
                <w:color w:val="auto"/>
              </w:rPr>
            </w:pPr>
            <w:r w:rsidRPr="004616CB">
              <w:rPr>
                <w:color w:val="auto"/>
              </w:rPr>
              <w:t>52.1</w:t>
            </w:r>
          </w:p>
        </w:tc>
        <w:tc>
          <w:tcPr>
            <w:tcW w:w="671" w:type="pct"/>
            <w:shd w:val="clear" w:color="auto" w:fill="auto"/>
          </w:tcPr>
          <w:p w:rsidR="00F80540" w:rsidRPr="004616CB" w:rsidRDefault="00F80540" w:rsidP="00F80540">
            <w:pPr>
              <w:pStyle w:val="Default"/>
              <w:jc w:val="both"/>
              <w:rPr>
                <w:color w:val="auto"/>
              </w:rPr>
            </w:pPr>
            <w:r w:rsidRPr="004616CB">
              <w:rPr>
                <w:color w:val="auto"/>
              </w:rPr>
              <w:t>3.2</w:t>
            </w:r>
          </w:p>
        </w:tc>
        <w:tc>
          <w:tcPr>
            <w:tcW w:w="717" w:type="pct"/>
          </w:tcPr>
          <w:p w:rsidR="00F80540" w:rsidRPr="004616CB" w:rsidRDefault="00F80540" w:rsidP="00F80540">
            <w:pPr>
              <w:pStyle w:val="Default"/>
              <w:jc w:val="both"/>
              <w:rPr>
                <w:color w:val="auto"/>
              </w:rPr>
            </w:pPr>
            <w:r w:rsidRPr="004616CB">
              <w:rPr>
                <w:color w:val="auto"/>
              </w:rPr>
              <w:t>0.9</w:t>
            </w:r>
          </w:p>
        </w:tc>
        <w:tc>
          <w:tcPr>
            <w:tcW w:w="717" w:type="pct"/>
          </w:tcPr>
          <w:p w:rsidR="00F80540" w:rsidRPr="004616CB" w:rsidRDefault="00F80540" w:rsidP="00F80540">
            <w:pPr>
              <w:pStyle w:val="Default"/>
              <w:jc w:val="both"/>
              <w:rPr>
                <w:color w:val="auto"/>
              </w:rPr>
            </w:pPr>
            <w:r>
              <w:rPr>
                <w:color w:val="auto"/>
              </w:rPr>
              <w:t>2.3</w:t>
            </w:r>
          </w:p>
        </w:tc>
        <w:tc>
          <w:tcPr>
            <w:tcW w:w="717" w:type="pct"/>
            <w:shd w:val="clear" w:color="auto" w:fill="auto"/>
          </w:tcPr>
          <w:p w:rsidR="00F80540" w:rsidRPr="004616CB" w:rsidRDefault="00F80540" w:rsidP="00F80540">
            <w:pPr>
              <w:pStyle w:val="Default"/>
              <w:jc w:val="both"/>
              <w:rPr>
                <w:color w:val="auto"/>
              </w:rPr>
            </w:pPr>
            <w:r w:rsidRPr="004616CB">
              <w:rPr>
                <w:color w:val="auto"/>
              </w:rPr>
              <w:t xml:space="preserve">  5.8%</w:t>
            </w:r>
          </w:p>
        </w:tc>
        <w:tc>
          <w:tcPr>
            <w:tcW w:w="473" w:type="pct"/>
          </w:tcPr>
          <w:p w:rsidR="00F80540" w:rsidRPr="004616CB" w:rsidRDefault="00F80540" w:rsidP="00F80540">
            <w:pPr>
              <w:pStyle w:val="Default"/>
              <w:jc w:val="both"/>
              <w:rPr>
                <w:color w:val="auto"/>
              </w:rPr>
            </w:pPr>
            <w:r w:rsidRPr="004616CB">
              <w:rPr>
                <w:color w:val="auto"/>
              </w:rPr>
              <w:t>1.6%</w:t>
            </w:r>
          </w:p>
        </w:tc>
      </w:tr>
      <w:tr w:rsidR="00F80540" w:rsidRPr="004616CB" w:rsidTr="00095526">
        <w:tc>
          <w:tcPr>
            <w:tcW w:w="435" w:type="pct"/>
            <w:shd w:val="clear" w:color="auto" w:fill="auto"/>
          </w:tcPr>
          <w:p w:rsidR="00F80540" w:rsidRPr="004616CB" w:rsidRDefault="00F80540" w:rsidP="00F80540">
            <w:pPr>
              <w:pStyle w:val="Default"/>
              <w:jc w:val="both"/>
              <w:rPr>
                <w:color w:val="auto"/>
              </w:rPr>
            </w:pPr>
            <w:r w:rsidRPr="004616CB">
              <w:rPr>
                <w:color w:val="auto"/>
              </w:rPr>
              <w:t>1995</w:t>
            </w:r>
          </w:p>
        </w:tc>
        <w:tc>
          <w:tcPr>
            <w:tcW w:w="635" w:type="pct"/>
            <w:shd w:val="clear" w:color="auto" w:fill="auto"/>
          </w:tcPr>
          <w:p w:rsidR="00F80540" w:rsidRPr="004616CB" w:rsidRDefault="00F80540" w:rsidP="00F80540">
            <w:pPr>
              <w:pStyle w:val="Default"/>
              <w:jc w:val="both"/>
              <w:rPr>
                <w:color w:val="auto"/>
              </w:rPr>
            </w:pPr>
            <w:r w:rsidRPr="004616CB">
              <w:rPr>
                <w:color w:val="auto"/>
              </w:rPr>
              <w:t>57.2</w:t>
            </w:r>
          </w:p>
        </w:tc>
        <w:tc>
          <w:tcPr>
            <w:tcW w:w="634" w:type="pct"/>
            <w:shd w:val="clear" w:color="auto" w:fill="auto"/>
          </w:tcPr>
          <w:p w:rsidR="00F80540" w:rsidRPr="004616CB" w:rsidRDefault="00F80540" w:rsidP="00F80540">
            <w:pPr>
              <w:pStyle w:val="Default"/>
              <w:jc w:val="both"/>
              <w:rPr>
                <w:color w:val="auto"/>
              </w:rPr>
            </w:pPr>
            <w:r w:rsidRPr="004616CB">
              <w:rPr>
                <w:color w:val="auto"/>
              </w:rPr>
              <w:t>53.3</w:t>
            </w:r>
          </w:p>
        </w:tc>
        <w:tc>
          <w:tcPr>
            <w:tcW w:w="671" w:type="pct"/>
            <w:shd w:val="clear" w:color="auto" w:fill="auto"/>
          </w:tcPr>
          <w:p w:rsidR="00F80540" w:rsidRPr="004616CB" w:rsidRDefault="00F80540" w:rsidP="00F80540">
            <w:pPr>
              <w:pStyle w:val="Default"/>
              <w:jc w:val="both"/>
              <w:rPr>
                <w:color w:val="auto"/>
              </w:rPr>
            </w:pPr>
            <w:r w:rsidRPr="004616CB">
              <w:rPr>
                <w:color w:val="auto"/>
              </w:rPr>
              <w:t>3.8</w:t>
            </w:r>
          </w:p>
        </w:tc>
        <w:tc>
          <w:tcPr>
            <w:tcW w:w="717" w:type="pct"/>
          </w:tcPr>
          <w:p w:rsidR="00F80540" w:rsidRPr="004616CB" w:rsidRDefault="00F80540" w:rsidP="00F80540">
            <w:pPr>
              <w:pStyle w:val="Default"/>
              <w:jc w:val="both"/>
              <w:rPr>
                <w:color w:val="auto"/>
              </w:rPr>
            </w:pPr>
            <w:r w:rsidRPr="004616CB">
              <w:rPr>
                <w:color w:val="auto"/>
              </w:rPr>
              <w:t>1.1</w:t>
            </w:r>
          </w:p>
        </w:tc>
        <w:tc>
          <w:tcPr>
            <w:tcW w:w="717" w:type="pct"/>
          </w:tcPr>
          <w:p w:rsidR="00F80540" w:rsidRPr="004616CB" w:rsidRDefault="00F80540" w:rsidP="00F80540">
            <w:pPr>
              <w:pStyle w:val="Default"/>
              <w:jc w:val="both"/>
              <w:rPr>
                <w:color w:val="auto"/>
              </w:rPr>
            </w:pPr>
            <w:r>
              <w:rPr>
                <w:color w:val="auto"/>
              </w:rPr>
              <w:t>2.7</w:t>
            </w:r>
          </w:p>
        </w:tc>
        <w:tc>
          <w:tcPr>
            <w:tcW w:w="717" w:type="pct"/>
            <w:shd w:val="clear" w:color="auto" w:fill="auto"/>
          </w:tcPr>
          <w:p w:rsidR="00F80540" w:rsidRPr="004616CB" w:rsidRDefault="00F80540" w:rsidP="00F80540">
            <w:pPr>
              <w:pStyle w:val="Default"/>
              <w:jc w:val="both"/>
              <w:rPr>
                <w:color w:val="auto"/>
              </w:rPr>
            </w:pPr>
            <w:r w:rsidRPr="004616CB">
              <w:rPr>
                <w:color w:val="auto"/>
              </w:rPr>
              <w:t xml:space="preserve">  6.7%</w:t>
            </w:r>
          </w:p>
        </w:tc>
        <w:tc>
          <w:tcPr>
            <w:tcW w:w="473" w:type="pct"/>
          </w:tcPr>
          <w:p w:rsidR="00F80540" w:rsidRPr="004616CB" w:rsidRDefault="00F80540" w:rsidP="00F80540">
            <w:pPr>
              <w:pStyle w:val="Default"/>
              <w:jc w:val="both"/>
              <w:rPr>
                <w:color w:val="auto"/>
              </w:rPr>
            </w:pPr>
            <w:r w:rsidRPr="004616CB">
              <w:rPr>
                <w:color w:val="auto"/>
              </w:rPr>
              <w:t>1.9%</w:t>
            </w:r>
          </w:p>
        </w:tc>
      </w:tr>
      <w:tr w:rsidR="00F80540" w:rsidRPr="004616CB" w:rsidTr="00095526">
        <w:tc>
          <w:tcPr>
            <w:tcW w:w="435" w:type="pct"/>
            <w:shd w:val="clear" w:color="auto" w:fill="auto"/>
          </w:tcPr>
          <w:p w:rsidR="00F80540" w:rsidRDefault="00F80540" w:rsidP="00F80540">
            <w:pPr>
              <w:pStyle w:val="Default"/>
              <w:jc w:val="both"/>
              <w:rPr>
                <w:color w:val="auto"/>
              </w:rPr>
            </w:pPr>
            <w:r>
              <w:rPr>
                <w:color w:val="auto"/>
              </w:rPr>
              <w:t>2003</w:t>
            </w:r>
          </w:p>
        </w:tc>
        <w:tc>
          <w:tcPr>
            <w:tcW w:w="635" w:type="pct"/>
            <w:shd w:val="clear" w:color="auto" w:fill="auto"/>
          </w:tcPr>
          <w:p w:rsidR="00F80540" w:rsidRDefault="00F80540" w:rsidP="00F80540">
            <w:pPr>
              <w:pStyle w:val="Default"/>
              <w:jc w:val="both"/>
              <w:rPr>
                <w:color w:val="auto"/>
              </w:rPr>
            </w:pPr>
            <w:r>
              <w:rPr>
                <w:color w:val="auto"/>
              </w:rPr>
              <w:t>58.7</w:t>
            </w:r>
          </w:p>
        </w:tc>
        <w:tc>
          <w:tcPr>
            <w:tcW w:w="634" w:type="pct"/>
            <w:shd w:val="clear" w:color="auto" w:fill="auto"/>
          </w:tcPr>
          <w:p w:rsidR="00F80540" w:rsidRDefault="00F80540" w:rsidP="00F80540">
            <w:pPr>
              <w:pStyle w:val="Default"/>
              <w:jc w:val="both"/>
              <w:rPr>
                <w:color w:val="auto"/>
              </w:rPr>
            </w:pPr>
            <w:r>
              <w:rPr>
                <w:color w:val="auto"/>
              </w:rPr>
              <w:t>53.6</w:t>
            </w:r>
          </w:p>
        </w:tc>
        <w:tc>
          <w:tcPr>
            <w:tcW w:w="671" w:type="pct"/>
            <w:shd w:val="clear" w:color="auto" w:fill="auto"/>
          </w:tcPr>
          <w:p w:rsidR="00F80540" w:rsidRDefault="00F80540" w:rsidP="00F80540">
            <w:pPr>
              <w:pStyle w:val="Default"/>
              <w:jc w:val="both"/>
              <w:rPr>
                <w:color w:val="auto"/>
              </w:rPr>
            </w:pPr>
            <w:r>
              <w:rPr>
                <w:color w:val="auto"/>
              </w:rPr>
              <w:t>5.1</w:t>
            </w:r>
          </w:p>
        </w:tc>
        <w:tc>
          <w:tcPr>
            <w:tcW w:w="717" w:type="pct"/>
          </w:tcPr>
          <w:p w:rsidR="00F80540" w:rsidRDefault="00F80540" w:rsidP="00F80540">
            <w:pPr>
              <w:pStyle w:val="Default"/>
              <w:jc w:val="both"/>
              <w:rPr>
                <w:color w:val="auto"/>
              </w:rPr>
            </w:pPr>
            <w:r>
              <w:rPr>
                <w:color w:val="auto"/>
              </w:rPr>
              <w:t>1.3</w:t>
            </w:r>
          </w:p>
        </w:tc>
        <w:tc>
          <w:tcPr>
            <w:tcW w:w="717" w:type="pct"/>
          </w:tcPr>
          <w:p w:rsidR="00F80540" w:rsidRDefault="00F80540" w:rsidP="00F80540">
            <w:pPr>
              <w:pStyle w:val="Default"/>
              <w:jc w:val="both"/>
              <w:rPr>
                <w:color w:val="auto"/>
              </w:rPr>
            </w:pPr>
            <w:r>
              <w:rPr>
                <w:color w:val="auto"/>
              </w:rPr>
              <w:t>3.8</w:t>
            </w:r>
          </w:p>
        </w:tc>
        <w:tc>
          <w:tcPr>
            <w:tcW w:w="717" w:type="pct"/>
            <w:shd w:val="clear" w:color="auto" w:fill="auto"/>
          </w:tcPr>
          <w:p w:rsidR="00F80540" w:rsidRDefault="00F80540" w:rsidP="00F80540">
            <w:pPr>
              <w:pStyle w:val="Default"/>
              <w:jc w:val="both"/>
              <w:rPr>
                <w:color w:val="auto"/>
              </w:rPr>
            </w:pPr>
            <w:r>
              <w:rPr>
                <w:color w:val="auto"/>
              </w:rPr>
              <w:t xml:space="preserve">  8.7%</w:t>
            </w:r>
          </w:p>
        </w:tc>
        <w:tc>
          <w:tcPr>
            <w:tcW w:w="473" w:type="pct"/>
          </w:tcPr>
          <w:p w:rsidR="00F80540" w:rsidRDefault="00F80540" w:rsidP="00F80540">
            <w:pPr>
              <w:pStyle w:val="Default"/>
              <w:jc w:val="both"/>
              <w:rPr>
                <w:color w:val="auto"/>
              </w:rPr>
            </w:pPr>
            <w:r>
              <w:rPr>
                <w:color w:val="auto"/>
              </w:rPr>
              <w:t>2.1%</w:t>
            </w:r>
          </w:p>
        </w:tc>
      </w:tr>
      <w:tr w:rsidR="00F80540" w:rsidRPr="004616CB" w:rsidTr="00095526">
        <w:tc>
          <w:tcPr>
            <w:tcW w:w="435"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2016</w:t>
            </w:r>
          </w:p>
        </w:tc>
        <w:tc>
          <w:tcPr>
            <w:tcW w:w="635"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64.7</w:t>
            </w:r>
          </w:p>
        </w:tc>
        <w:tc>
          <w:tcPr>
            <w:tcW w:w="634"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55.6</w:t>
            </w:r>
          </w:p>
        </w:tc>
        <w:tc>
          <w:tcPr>
            <w:tcW w:w="671"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9.1</w:t>
            </w:r>
          </w:p>
        </w:tc>
        <w:tc>
          <w:tcPr>
            <w:tcW w:w="717" w:type="pct"/>
            <w:tcBorders>
              <w:bottom w:val="dashSmallGap" w:sz="4" w:space="0" w:color="auto"/>
            </w:tcBorders>
          </w:tcPr>
          <w:p w:rsidR="00F80540" w:rsidRPr="004616CB" w:rsidRDefault="00F80540" w:rsidP="00F80540">
            <w:pPr>
              <w:pStyle w:val="Default"/>
              <w:jc w:val="both"/>
              <w:rPr>
                <w:color w:val="auto"/>
              </w:rPr>
            </w:pPr>
            <w:r>
              <w:rPr>
                <w:color w:val="auto"/>
              </w:rPr>
              <w:t>3.6</w:t>
            </w:r>
          </w:p>
        </w:tc>
        <w:tc>
          <w:tcPr>
            <w:tcW w:w="717" w:type="pct"/>
            <w:tcBorders>
              <w:bottom w:val="dashSmallGap" w:sz="4" w:space="0" w:color="auto"/>
            </w:tcBorders>
          </w:tcPr>
          <w:p w:rsidR="00F80540" w:rsidRDefault="00F80540" w:rsidP="00F80540">
            <w:pPr>
              <w:pStyle w:val="Default"/>
              <w:jc w:val="both"/>
              <w:rPr>
                <w:color w:val="auto"/>
              </w:rPr>
            </w:pPr>
            <w:r>
              <w:rPr>
                <w:color w:val="auto"/>
              </w:rPr>
              <w:t>5.5</w:t>
            </w:r>
          </w:p>
        </w:tc>
        <w:tc>
          <w:tcPr>
            <w:tcW w:w="717"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14.0%</w:t>
            </w:r>
          </w:p>
        </w:tc>
        <w:tc>
          <w:tcPr>
            <w:tcW w:w="473" w:type="pct"/>
            <w:tcBorders>
              <w:bottom w:val="dashSmallGap" w:sz="4" w:space="0" w:color="auto"/>
            </w:tcBorders>
          </w:tcPr>
          <w:p w:rsidR="00F80540" w:rsidRPr="004616CB" w:rsidRDefault="00F80540" w:rsidP="00F80540">
            <w:pPr>
              <w:pStyle w:val="Default"/>
              <w:jc w:val="both"/>
              <w:rPr>
                <w:color w:val="auto"/>
              </w:rPr>
            </w:pPr>
            <w:r>
              <w:rPr>
                <w:color w:val="auto"/>
              </w:rPr>
              <w:t>5.6%</w:t>
            </w:r>
          </w:p>
        </w:tc>
      </w:tr>
      <w:tr w:rsidR="00095526" w:rsidRPr="004616CB" w:rsidTr="00095526">
        <w:tc>
          <w:tcPr>
            <w:tcW w:w="435" w:type="pct"/>
            <w:shd w:val="clear" w:color="auto" w:fill="auto"/>
          </w:tcPr>
          <w:p w:rsidR="00095526" w:rsidRDefault="00095526" w:rsidP="00F80540">
            <w:pPr>
              <w:pStyle w:val="Default"/>
              <w:jc w:val="both"/>
              <w:rPr>
                <w:color w:val="auto"/>
              </w:rPr>
            </w:pPr>
            <w:r>
              <w:rPr>
                <w:color w:val="auto"/>
              </w:rPr>
              <w:lastRenderedPageBreak/>
              <w:t>2017</w:t>
            </w:r>
          </w:p>
        </w:tc>
        <w:tc>
          <w:tcPr>
            <w:tcW w:w="635" w:type="pct"/>
            <w:shd w:val="clear" w:color="auto" w:fill="auto"/>
          </w:tcPr>
          <w:p w:rsidR="00095526" w:rsidRDefault="00647906" w:rsidP="00F80540">
            <w:pPr>
              <w:pStyle w:val="Default"/>
              <w:jc w:val="both"/>
              <w:rPr>
                <w:color w:val="auto"/>
              </w:rPr>
            </w:pPr>
            <w:r>
              <w:rPr>
                <w:color w:val="auto"/>
              </w:rPr>
              <w:t>65.0</w:t>
            </w:r>
          </w:p>
        </w:tc>
        <w:tc>
          <w:tcPr>
            <w:tcW w:w="634" w:type="pct"/>
            <w:shd w:val="clear" w:color="auto" w:fill="auto"/>
          </w:tcPr>
          <w:p w:rsidR="00095526" w:rsidRDefault="00647906" w:rsidP="00F80540">
            <w:pPr>
              <w:pStyle w:val="Default"/>
              <w:jc w:val="both"/>
              <w:rPr>
                <w:color w:val="auto"/>
              </w:rPr>
            </w:pPr>
            <w:r>
              <w:rPr>
                <w:color w:val="auto"/>
              </w:rPr>
              <w:t>55.5</w:t>
            </w:r>
          </w:p>
        </w:tc>
        <w:tc>
          <w:tcPr>
            <w:tcW w:w="671" w:type="pct"/>
            <w:shd w:val="clear" w:color="auto" w:fill="auto"/>
          </w:tcPr>
          <w:p w:rsidR="00095526" w:rsidRDefault="00647906" w:rsidP="00F80540">
            <w:pPr>
              <w:pStyle w:val="Default"/>
              <w:jc w:val="both"/>
              <w:rPr>
                <w:color w:val="auto"/>
              </w:rPr>
            </w:pPr>
            <w:r>
              <w:rPr>
                <w:color w:val="auto"/>
              </w:rPr>
              <w:t>9.5</w:t>
            </w:r>
          </w:p>
        </w:tc>
        <w:tc>
          <w:tcPr>
            <w:tcW w:w="717" w:type="pct"/>
          </w:tcPr>
          <w:p w:rsidR="00095526" w:rsidRDefault="00647906" w:rsidP="00F80540">
            <w:pPr>
              <w:pStyle w:val="Default"/>
              <w:jc w:val="both"/>
              <w:rPr>
                <w:color w:val="auto"/>
              </w:rPr>
            </w:pPr>
            <w:r>
              <w:rPr>
                <w:color w:val="auto"/>
              </w:rPr>
              <w:t>3.7</w:t>
            </w:r>
          </w:p>
        </w:tc>
        <w:tc>
          <w:tcPr>
            <w:tcW w:w="717" w:type="pct"/>
          </w:tcPr>
          <w:p w:rsidR="00095526" w:rsidRDefault="00647906" w:rsidP="00F80540">
            <w:pPr>
              <w:pStyle w:val="Default"/>
              <w:jc w:val="both"/>
              <w:rPr>
                <w:color w:val="auto"/>
              </w:rPr>
            </w:pPr>
            <w:r>
              <w:rPr>
                <w:color w:val="auto"/>
              </w:rPr>
              <w:t>5.8</w:t>
            </w:r>
          </w:p>
        </w:tc>
        <w:tc>
          <w:tcPr>
            <w:tcW w:w="717" w:type="pct"/>
            <w:shd w:val="clear" w:color="auto" w:fill="auto"/>
          </w:tcPr>
          <w:p w:rsidR="00095526" w:rsidRDefault="00647906" w:rsidP="00F80540">
            <w:pPr>
              <w:pStyle w:val="Default"/>
              <w:jc w:val="both"/>
              <w:rPr>
                <w:color w:val="auto"/>
              </w:rPr>
            </w:pPr>
            <w:r>
              <w:rPr>
                <w:color w:val="auto"/>
              </w:rPr>
              <w:t>14.6%</w:t>
            </w:r>
          </w:p>
        </w:tc>
        <w:tc>
          <w:tcPr>
            <w:tcW w:w="473" w:type="pct"/>
          </w:tcPr>
          <w:p w:rsidR="00095526" w:rsidRDefault="00647906" w:rsidP="00F80540">
            <w:pPr>
              <w:pStyle w:val="Default"/>
              <w:jc w:val="both"/>
              <w:rPr>
                <w:color w:val="auto"/>
              </w:rPr>
            </w:pPr>
            <w:r>
              <w:rPr>
                <w:color w:val="auto"/>
              </w:rPr>
              <w:t>5.6%</w:t>
            </w:r>
          </w:p>
        </w:tc>
      </w:tr>
      <w:tr w:rsidR="00F80540" w:rsidRPr="004616CB" w:rsidTr="00095526">
        <w:tc>
          <w:tcPr>
            <w:tcW w:w="435" w:type="pct"/>
            <w:shd w:val="clear" w:color="auto" w:fill="auto"/>
          </w:tcPr>
          <w:p w:rsidR="00F80540" w:rsidRPr="004616CB" w:rsidRDefault="00F80540" w:rsidP="00F80540">
            <w:pPr>
              <w:pStyle w:val="Default"/>
              <w:jc w:val="both"/>
              <w:rPr>
                <w:color w:val="auto"/>
              </w:rPr>
            </w:pPr>
            <w:r>
              <w:rPr>
                <w:color w:val="auto"/>
              </w:rPr>
              <w:t>2018</w:t>
            </w:r>
          </w:p>
        </w:tc>
        <w:tc>
          <w:tcPr>
            <w:tcW w:w="635" w:type="pct"/>
            <w:shd w:val="clear" w:color="auto" w:fill="auto"/>
          </w:tcPr>
          <w:p w:rsidR="00F80540" w:rsidRPr="004616CB" w:rsidRDefault="00FF06AB" w:rsidP="00F80540">
            <w:pPr>
              <w:pStyle w:val="Default"/>
              <w:jc w:val="both"/>
              <w:rPr>
                <w:color w:val="auto"/>
              </w:rPr>
            </w:pPr>
            <w:r>
              <w:rPr>
                <w:color w:val="auto"/>
              </w:rPr>
              <w:t>65.5</w:t>
            </w:r>
          </w:p>
        </w:tc>
        <w:tc>
          <w:tcPr>
            <w:tcW w:w="634" w:type="pct"/>
            <w:shd w:val="clear" w:color="auto" w:fill="auto"/>
          </w:tcPr>
          <w:p w:rsidR="00F80540" w:rsidRPr="004616CB" w:rsidRDefault="00F80540" w:rsidP="00F80540">
            <w:pPr>
              <w:pStyle w:val="Default"/>
              <w:jc w:val="both"/>
              <w:rPr>
                <w:color w:val="auto"/>
              </w:rPr>
            </w:pPr>
            <w:r>
              <w:rPr>
                <w:color w:val="auto"/>
              </w:rPr>
              <w:t>56.3</w:t>
            </w:r>
          </w:p>
        </w:tc>
        <w:tc>
          <w:tcPr>
            <w:tcW w:w="671" w:type="pct"/>
            <w:shd w:val="clear" w:color="auto" w:fill="auto"/>
          </w:tcPr>
          <w:p w:rsidR="00F80540" w:rsidRPr="004616CB" w:rsidRDefault="00F80540" w:rsidP="00F80540">
            <w:pPr>
              <w:pStyle w:val="Default"/>
              <w:jc w:val="both"/>
              <w:rPr>
                <w:color w:val="auto"/>
              </w:rPr>
            </w:pPr>
            <w:r>
              <w:rPr>
                <w:color w:val="auto"/>
              </w:rPr>
              <w:t>9.2</w:t>
            </w:r>
          </w:p>
        </w:tc>
        <w:tc>
          <w:tcPr>
            <w:tcW w:w="717" w:type="pct"/>
          </w:tcPr>
          <w:p w:rsidR="00F80540" w:rsidRPr="004616CB" w:rsidRDefault="00FF06AB" w:rsidP="00F80540">
            <w:pPr>
              <w:pStyle w:val="Default"/>
              <w:jc w:val="both"/>
              <w:rPr>
                <w:color w:val="auto"/>
              </w:rPr>
            </w:pPr>
            <w:r>
              <w:rPr>
                <w:color w:val="auto"/>
              </w:rPr>
              <w:t>3.6</w:t>
            </w:r>
          </w:p>
        </w:tc>
        <w:tc>
          <w:tcPr>
            <w:tcW w:w="717" w:type="pct"/>
          </w:tcPr>
          <w:p w:rsidR="00F80540" w:rsidRDefault="00D71F54" w:rsidP="00F80540">
            <w:pPr>
              <w:pStyle w:val="Default"/>
              <w:jc w:val="both"/>
              <w:rPr>
                <w:color w:val="auto"/>
              </w:rPr>
            </w:pPr>
            <w:r>
              <w:rPr>
                <w:color w:val="auto"/>
              </w:rPr>
              <w:t>5.6</w:t>
            </w:r>
          </w:p>
        </w:tc>
        <w:tc>
          <w:tcPr>
            <w:tcW w:w="717" w:type="pct"/>
            <w:shd w:val="clear" w:color="auto" w:fill="auto"/>
          </w:tcPr>
          <w:p w:rsidR="00F80540" w:rsidRPr="004616CB" w:rsidRDefault="00F80540" w:rsidP="00F80540">
            <w:pPr>
              <w:pStyle w:val="Default"/>
              <w:jc w:val="both"/>
              <w:rPr>
                <w:color w:val="auto"/>
              </w:rPr>
            </w:pPr>
            <w:r>
              <w:rPr>
                <w:color w:val="auto"/>
              </w:rPr>
              <w:t>14.1</w:t>
            </w:r>
            <w:r w:rsidRPr="004616CB">
              <w:rPr>
                <w:color w:val="auto"/>
              </w:rPr>
              <w:t>%</w:t>
            </w:r>
          </w:p>
        </w:tc>
        <w:tc>
          <w:tcPr>
            <w:tcW w:w="473" w:type="pct"/>
          </w:tcPr>
          <w:p w:rsidR="00F80540" w:rsidRPr="004616CB" w:rsidRDefault="00F80540" w:rsidP="00F80540">
            <w:pPr>
              <w:pStyle w:val="Default"/>
              <w:jc w:val="both"/>
              <w:rPr>
                <w:color w:val="auto"/>
              </w:rPr>
            </w:pPr>
            <w:r>
              <w:rPr>
                <w:color w:val="auto"/>
              </w:rPr>
              <w:t>6.0</w:t>
            </w:r>
            <w:r w:rsidRPr="004616CB">
              <w:rPr>
                <w:color w:val="auto"/>
              </w:rPr>
              <w:t>%</w:t>
            </w:r>
          </w:p>
        </w:tc>
      </w:tr>
      <w:tr w:rsidR="00F80540" w:rsidRPr="004616CB" w:rsidTr="00095526">
        <w:tc>
          <w:tcPr>
            <w:tcW w:w="1070" w:type="pct"/>
            <w:gridSpan w:val="2"/>
            <w:shd w:val="clear" w:color="auto" w:fill="auto"/>
          </w:tcPr>
          <w:p w:rsidR="00F80540" w:rsidRPr="004616CB" w:rsidRDefault="00F80540" w:rsidP="00F80540">
            <w:pPr>
              <w:pStyle w:val="Default"/>
              <w:jc w:val="both"/>
              <w:rPr>
                <w:color w:val="auto"/>
              </w:rPr>
            </w:pPr>
            <w:r w:rsidRPr="004616CB">
              <w:rPr>
                <w:b/>
                <w:i/>
                <w:color w:val="auto"/>
              </w:rPr>
              <w:t>Working age</w:t>
            </w:r>
          </w:p>
        </w:tc>
        <w:tc>
          <w:tcPr>
            <w:tcW w:w="634" w:type="pct"/>
            <w:shd w:val="clear" w:color="auto" w:fill="auto"/>
          </w:tcPr>
          <w:p w:rsidR="00F80540" w:rsidRPr="004616CB" w:rsidRDefault="00F80540" w:rsidP="00F80540">
            <w:pPr>
              <w:pStyle w:val="Default"/>
              <w:jc w:val="both"/>
              <w:rPr>
                <w:color w:val="auto"/>
              </w:rPr>
            </w:pPr>
          </w:p>
        </w:tc>
        <w:tc>
          <w:tcPr>
            <w:tcW w:w="671" w:type="pct"/>
            <w:shd w:val="clear" w:color="auto" w:fill="auto"/>
          </w:tcPr>
          <w:p w:rsidR="00F80540" w:rsidRPr="004616CB" w:rsidRDefault="00F80540" w:rsidP="00F80540">
            <w:pPr>
              <w:pStyle w:val="Default"/>
              <w:jc w:val="both"/>
              <w:rPr>
                <w:color w:val="auto"/>
              </w:rPr>
            </w:pPr>
          </w:p>
        </w:tc>
        <w:tc>
          <w:tcPr>
            <w:tcW w:w="717" w:type="pct"/>
          </w:tcPr>
          <w:p w:rsidR="00F80540" w:rsidRPr="004616CB" w:rsidRDefault="00F80540" w:rsidP="00F80540">
            <w:pPr>
              <w:pStyle w:val="Default"/>
              <w:jc w:val="both"/>
              <w:rPr>
                <w:color w:val="auto"/>
              </w:rPr>
            </w:pPr>
          </w:p>
        </w:tc>
        <w:tc>
          <w:tcPr>
            <w:tcW w:w="717" w:type="pct"/>
          </w:tcPr>
          <w:p w:rsidR="00F80540" w:rsidRPr="004616CB" w:rsidRDefault="00F80540" w:rsidP="00F80540">
            <w:pPr>
              <w:pStyle w:val="Default"/>
              <w:jc w:val="both"/>
              <w:rPr>
                <w:color w:val="auto"/>
              </w:rPr>
            </w:pPr>
          </w:p>
        </w:tc>
        <w:tc>
          <w:tcPr>
            <w:tcW w:w="717" w:type="pct"/>
            <w:shd w:val="clear" w:color="auto" w:fill="auto"/>
          </w:tcPr>
          <w:p w:rsidR="00F80540" w:rsidRPr="004616CB" w:rsidRDefault="00F80540" w:rsidP="00F80540">
            <w:pPr>
              <w:pStyle w:val="Default"/>
              <w:jc w:val="both"/>
              <w:rPr>
                <w:color w:val="auto"/>
              </w:rPr>
            </w:pPr>
          </w:p>
        </w:tc>
        <w:tc>
          <w:tcPr>
            <w:tcW w:w="473" w:type="pct"/>
          </w:tcPr>
          <w:p w:rsidR="00F80540" w:rsidRPr="004616CB" w:rsidRDefault="00F80540" w:rsidP="00F80540">
            <w:pPr>
              <w:pStyle w:val="Default"/>
              <w:jc w:val="both"/>
              <w:rPr>
                <w:color w:val="auto"/>
              </w:rPr>
            </w:pPr>
          </w:p>
        </w:tc>
      </w:tr>
      <w:tr w:rsidR="00F80540" w:rsidRPr="004616CB" w:rsidTr="00095526">
        <w:tc>
          <w:tcPr>
            <w:tcW w:w="435" w:type="pct"/>
            <w:shd w:val="clear" w:color="auto" w:fill="auto"/>
          </w:tcPr>
          <w:p w:rsidR="00F80540" w:rsidRPr="004616CB" w:rsidRDefault="00F80540" w:rsidP="00F80540">
            <w:pPr>
              <w:pStyle w:val="Default"/>
              <w:jc w:val="both"/>
              <w:rPr>
                <w:color w:val="auto"/>
              </w:rPr>
            </w:pPr>
            <w:r w:rsidRPr="004616CB">
              <w:rPr>
                <w:color w:val="auto"/>
              </w:rPr>
              <w:t>1975</w:t>
            </w:r>
          </w:p>
        </w:tc>
        <w:tc>
          <w:tcPr>
            <w:tcW w:w="635" w:type="pct"/>
            <w:shd w:val="clear" w:color="auto" w:fill="auto"/>
          </w:tcPr>
          <w:p w:rsidR="00F80540" w:rsidRPr="004616CB" w:rsidRDefault="00F80540" w:rsidP="00F80540">
            <w:pPr>
              <w:pStyle w:val="Default"/>
              <w:jc w:val="both"/>
              <w:rPr>
                <w:color w:val="auto"/>
              </w:rPr>
            </w:pPr>
            <w:r w:rsidRPr="004616CB">
              <w:rPr>
                <w:color w:val="auto"/>
              </w:rPr>
              <w:t>33.6</w:t>
            </w:r>
          </w:p>
        </w:tc>
        <w:tc>
          <w:tcPr>
            <w:tcW w:w="634" w:type="pct"/>
            <w:shd w:val="clear" w:color="auto" w:fill="auto"/>
          </w:tcPr>
          <w:p w:rsidR="00F80540" w:rsidRPr="004616CB" w:rsidRDefault="00F80540" w:rsidP="00F80540">
            <w:pPr>
              <w:pStyle w:val="Default"/>
              <w:jc w:val="both"/>
              <w:rPr>
                <w:color w:val="auto"/>
              </w:rPr>
            </w:pPr>
            <w:r w:rsidRPr="004616CB">
              <w:rPr>
                <w:color w:val="auto"/>
              </w:rPr>
              <w:t>31.2</w:t>
            </w:r>
          </w:p>
        </w:tc>
        <w:tc>
          <w:tcPr>
            <w:tcW w:w="671" w:type="pct"/>
            <w:shd w:val="clear" w:color="auto" w:fill="auto"/>
          </w:tcPr>
          <w:p w:rsidR="00F80540" w:rsidRPr="004616CB" w:rsidRDefault="00F80540" w:rsidP="00F80540">
            <w:pPr>
              <w:pStyle w:val="Default"/>
              <w:jc w:val="both"/>
              <w:rPr>
                <w:color w:val="auto"/>
              </w:rPr>
            </w:pPr>
            <w:r w:rsidRPr="004616CB">
              <w:rPr>
                <w:color w:val="auto"/>
              </w:rPr>
              <w:t>2.5</w:t>
            </w:r>
          </w:p>
        </w:tc>
        <w:tc>
          <w:tcPr>
            <w:tcW w:w="717" w:type="pct"/>
          </w:tcPr>
          <w:p w:rsidR="00F80540" w:rsidRPr="004616CB" w:rsidRDefault="00F80540" w:rsidP="00F80540">
            <w:pPr>
              <w:pStyle w:val="Default"/>
              <w:jc w:val="both"/>
              <w:rPr>
                <w:color w:val="auto"/>
              </w:rPr>
            </w:pPr>
            <w:r w:rsidRPr="004616CB">
              <w:rPr>
                <w:color w:val="auto"/>
              </w:rPr>
              <w:t>0.7</w:t>
            </w:r>
          </w:p>
        </w:tc>
        <w:tc>
          <w:tcPr>
            <w:tcW w:w="717" w:type="pct"/>
          </w:tcPr>
          <w:p w:rsidR="00F80540" w:rsidRPr="004616CB" w:rsidRDefault="00E62FC2" w:rsidP="00F80540">
            <w:pPr>
              <w:pStyle w:val="Default"/>
              <w:jc w:val="both"/>
              <w:rPr>
                <w:color w:val="auto"/>
              </w:rPr>
            </w:pPr>
            <w:r>
              <w:rPr>
                <w:color w:val="auto"/>
              </w:rPr>
              <w:t>1.8</w:t>
            </w:r>
          </w:p>
        </w:tc>
        <w:tc>
          <w:tcPr>
            <w:tcW w:w="717" w:type="pct"/>
            <w:shd w:val="clear" w:color="auto" w:fill="auto"/>
          </w:tcPr>
          <w:p w:rsidR="00F80540" w:rsidRPr="004616CB" w:rsidRDefault="00F80540" w:rsidP="00F80540">
            <w:pPr>
              <w:pStyle w:val="Default"/>
              <w:jc w:val="both"/>
              <w:rPr>
                <w:color w:val="auto"/>
              </w:rPr>
            </w:pPr>
            <w:r w:rsidRPr="004616CB">
              <w:rPr>
                <w:color w:val="auto"/>
              </w:rPr>
              <w:t xml:space="preserve">  7.3%</w:t>
            </w:r>
          </w:p>
        </w:tc>
        <w:tc>
          <w:tcPr>
            <w:tcW w:w="473" w:type="pct"/>
          </w:tcPr>
          <w:p w:rsidR="00F80540" w:rsidRPr="004616CB" w:rsidRDefault="00F80540" w:rsidP="00F80540">
            <w:pPr>
              <w:pStyle w:val="Default"/>
              <w:jc w:val="both"/>
              <w:rPr>
                <w:color w:val="auto"/>
              </w:rPr>
            </w:pPr>
            <w:r w:rsidRPr="004616CB">
              <w:rPr>
                <w:color w:val="auto"/>
              </w:rPr>
              <w:t>2.2%</w:t>
            </w:r>
          </w:p>
        </w:tc>
      </w:tr>
      <w:tr w:rsidR="00F80540" w:rsidRPr="004616CB" w:rsidTr="00095526">
        <w:tc>
          <w:tcPr>
            <w:tcW w:w="435" w:type="pct"/>
            <w:shd w:val="clear" w:color="auto" w:fill="auto"/>
          </w:tcPr>
          <w:p w:rsidR="00F80540" w:rsidRPr="004616CB" w:rsidRDefault="00F80540" w:rsidP="00F80540">
            <w:pPr>
              <w:pStyle w:val="Default"/>
              <w:jc w:val="both"/>
              <w:rPr>
                <w:color w:val="auto"/>
              </w:rPr>
            </w:pPr>
            <w:r w:rsidRPr="004616CB">
              <w:rPr>
                <w:color w:val="auto"/>
              </w:rPr>
              <w:t>1995</w:t>
            </w:r>
          </w:p>
        </w:tc>
        <w:tc>
          <w:tcPr>
            <w:tcW w:w="635" w:type="pct"/>
            <w:shd w:val="clear" w:color="auto" w:fill="auto"/>
          </w:tcPr>
          <w:p w:rsidR="00F80540" w:rsidRPr="004616CB" w:rsidRDefault="00F80540" w:rsidP="00F80540">
            <w:pPr>
              <w:pStyle w:val="Default"/>
              <w:jc w:val="both"/>
              <w:rPr>
                <w:color w:val="auto"/>
              </w:rPr>
            </w:pPr>
            <w:r w:rsidRPr="004616CB">
              <w:rPr>
                <w:color w:val="auto"/>
              </w:rPr>
              <w:t>36.4</w:t>
            </w:r>
          </w:p>
        </w:tc>
        <w:tc>
          <w:tcPr>
            <w:tcW w:w="634" w:type="pct"/>
            <w:shd w:val="clear" w:color="auto" w:fill="auto"/>
          </w:tcPr>
          <w:p w:rsidR="00F80540" w:rsidRPr="004616CB" w:rsidRDefault="00F80540" w:rsidP="00F80540">
            <w:pPr>
              <w:pStyle w:val="Default"/>
              <w:jc w:val="both"/>
              <w:rPr>
                <w:color w:val="auto"/>
              </w:rPr>
            </w:pPr>
            <w:r w:rsidRPr="004616CB">
              <w:rPr>
                <w:color w:val="auto"/>
              </w:rPr>
              <w:t>33.4</w:t>
            </w:r>
          </w:p>
        </w:tc>
        <w:tc>
          <w:tcPr>
            <w:tcW w:w="671" w:type="pct"/>
            <w:shd w:val="clear" w:color="auto" w:fill="auto"/>
          </w:tcPr>
          <w:p w:rsidR="00F80540" w:rsidRPr="004616CB" w:rsidRDefault="00F80540" w:rsidP="00F80540">
            <w:pPr>
              <w:pStyle w:val="Default"/>
              <w:jc w:val="both"/>
              <w:rPr>
                <w:color w:val="auto"/>
              </w:rPr>
            </w:pPr>
            <w:r w:rsidRPr="004616CB">
              <w:rPr>
                <w:color w:val="auto"/>
              </w:rPr>
              <w:t>3.0</w:t>
            </w:r>
          </w:p>
        </w:tc>
        <w:tc>
          <w:tcPr>
            <w:tcW w:w="717" w:type="pct"/>
          </w:tcPr>
          <w:p w:rsidR="00F80540" w:rsidRPr="004616CB" w:rsidRDefault="00F80540" w:rsidP="00F80540">
            <w:pPr>
              <w:pStyle w:val="Default"/>
              <w:jc w:val="both"/>
              <w:rPr>
                <w:color w:val="auto"/>
              </w:rPr>
            </w:pPr>
            <w:r w:rsidRPr="004616CB">
              <w:rPr>
                <w:color w:val="auto"/>
              </w:rPr>
              <w:t>0.8</w:t>
            </w:r>
          </w:p>
        </w:tc>
        <w:tc>
          <w:tcPr>
            <w:tcW w:w="717" w:type="pct"/>
          </w:tcPr>
          <w:p w:rsidR="00F80540" w:rsidRPr="004616CB" w:rsidRDefault="00E62FC2" w:rsidP="00F80540">
            <w:pPr>
              <w:pStyle w:val="Default"/>
              <w:jc w:val="both"/>
              <w:rPr>
                <w:color w:val="auto"/>
              </w:rPr>
            </w:pPr>
            <w:r>
              <w:rPr>
                <w:color w:val="auto"/>
              </w:rPr>
              <w:t>2.2</w:t>
            </w:r>
          </w:p>
        </w:tc>
        <w:tc>
          <w:tcPr>
            <w:tcW w:w="717" w:type="pct"/>
            <w:shd w:val="clear" w:color="auto" w:fill="auto"/>
          </w:tcPr>
          <w:p w:rsidR="00F80540" w:rsidRPr="004616CB" w:rsidRDefault="00F80540" w:rsidP="00F80540">
            <w:pPr>
              <w:pStyle w:val="Default"/>
              <w:jc w:val="both"/>
              <w:rPr>
                <w:color w:val="auto"/>
              </w:rPr>
            </w:pPr>
            <w:r w:rsidRPr="004616CB">
              <w:rPr>
                <w:color w:val="auto"/>
              </w:rPr>
              <w:t xml:space="preserve">  8.2%</w:t>
            </w:r>
          </w:p>
        </w:tc>
        <w:tc>
          <w:tcPr>
            <w:tcW w:w="473" w:type="pct"/>
          </w:tcPr>
          <w:p w:rsidR="00F80540" w:rsidRPr="004616CB" w:rsidRDefault="00F80540" w:rsidP="00F80540">
            <w:pPr>
              <w:pStyle w:val="Default"/>
              <w:jc w:val="both"/>
              <w:rPr>
                <w:color w:val="auto"/>
              </w:rPr>
            </w:pPr>
            <w:r w:rsidRPr="004616CB">
              <w:rPr>
                <w:color w:val="auto"/>
              </w:rPr>
              <w:t>2.0%</w:t>
            </w:r>
          </w:p>
        </w:tc>
      </w:tr>
      <w:tr w:rsidR="00F80540" w:rsidRPr="004616CB" w:rsidTr="00095526">
        <w:tc>
          <w:tcPr>
            <w:tcW w:w="435" w:type="pct"/>
            <w:shd w:val="clear" w:color="auto" w:fill="auto"/>
          </w:tcPr>
          <w:p w:rsidR="00F80540" w:rsidRDefault="00F80540" w:rsidP="00F80540">
            <w:pPr>
              <w:pStyle w:val="Default"/>
              <w:jc w:val="both"/>
              <w:rPr>
                <w:color w:val="auto"/>
              </w:rPr>
            </w:pPr>
            <w:r>
              <w:rPr>
                <w:color w:val="auto"/>
              </w:rPr>
              <w:t>2003</w:t>
            </w:r>
          </w:p>
        </w:tc>
        <w:tc>
          <w:tcPr>
            <w:tcW w:w="635" w:type="pct"/>
            <w:shd w:val="clear" w:color="auto" w:fill="auto"/>
          </w:tcPr>
          <w:p w:rsidR="00F80540" w:rsidRDefault="00F80540" w:rsidP="00F80540">
            <w:pPr>
              <w:pStyle w:val="Default"/>
              <w:jc w:val="both"/>
              <w:rPr>
                <w:color w:val="auto"/>
              </w:rPr>
            </w:pPr>
            <w:r>
              <w:rPr>
                <w:color w:val="auto"/>
              </w:rPr>
              <w:t>38.0</w:t>
            </w:r>
          </w:p>
        </w:tc>
        <w:tc>
          <w:tcPr>
            <w:tcW w:w="634" w:type="pct"/>
            <w:shd w:val="clear" w:color="auto" w:fill="auto"/>
          </w:tcPr>
          <w:p w:rsidR="00F80540" w:rsidRDefault="0071199A" w:rsidP="00F80540">
            <w:pPr>
              <w:pStyle w:val="Default"/>
              <w:jc w:val="both"/>
              <w:rPr>
                <w:color w:val="auto"/>
              </w:rPr>
            </w:pPr>
            <w:r>
              <w:rPr>
                <w:color w:val="auto"/>
              </w:rPr>
              <w:t>34.0</w:t>
            </w:r>
          </w:p>
        </w:tc>
        <w:tc>
          <w:tcPr>
            <w:tcW w:w="671" w:type="pct"/>
            <w:shd w:val="clear" w:color="auto" w:fill="auto"/>
          </w:tcPr>
          <w:p w:rsidR="00F80540" w:rsidRDefault="00DE79FE" w:rsidP="00F80540">
            <w:pPr>
              <w:pStyle w:val="Default"/>
              <w:jc w:val="both"/>
              <w:rPr>
                <w:color w:val="auto"/>
              </w:rPr>
            </w:pPr>
            <w:r>
              <w:rPr>
                <w:color w:val="auto"/>
              </w:rPr>
              <w:t>4.0</w:t>
            </w:r>
          </w:p>
        </w:tc>
        <w:tc>
          <w:tcPr>
            <w:tcW w:w="717" w:type="pct"/>
          </w:tcPr>
          <w:p w:rsidR="00F80540" w:rsidRDefault="00DE79FE" w:rsidP="00F80540">
            <w:pPr>
              <w:pStyle w:val="Default"/>
              <w:jc w:val="both"/>
              <w:rPr>
                <w:color w:val="auto"/>
              </w:rPr>
            </w:pPr>
            <w:r>
              <w:rPr>
                <w:color w:val="auto"/>
              </w:rPr>
              <w:t>0.9</w:t>
            </w:r>
          </w:p>
        </w:tc>
        <w:tc>
          <w:tcPr>
            <w:tcW w:w="717" w:type="pct"/>
          </w:tcPr>
          <w:p w:rsidR="00F80540" w:rsidRDefault="00DE79FE" w:rsidP="00F80540">
            <w:pPr>
              <w:pStyle w:val="Default"/>
              <w:jc w:val="both"/>
              <w:rPr>
                <w:color w:val="auto"/>
              </w:rPr>
            </w:pPr>
            <w:r>
              <w:rPr>
                <w:color w:val="auto"/>
              </w:rPr>
              <w:t>3.1</w:t>
            </w:r>
          </w:p>
        </w:tc>
        <w:tc>
          <w:tcPr>
            <w:tcW w:w="717" w:type="pct"/>
            <w:shd w:val="clear" w:color="auto" w:fill="auto"/>
          </w:tcPr>
          <w:p w:rsidR="00F80540" w:rsidRDefault="00892937" w:rsidP="00F80540">
            <w:pPr>
              <w:pStyle w:val="Default"/>
              <w:jc w:val="both"/>
              <w:rPr>
                <w:color w:val="auto"/>
              </w:rPr>
            </w:pPr>
            <w:r>
              <w:rPr>
                <w:color w:val="auto"/>
              </w:rPr>
              <w:t>10.5%</w:t>
            </w:r>
          </w:p>
        </w:tc>
        <w:tc>
          <w:tcPr>
            <w:tcW w:w="473" w:type="pct"/>
          </w:tcPr>
          <w:p w:rsidR="00F80540" w:rsidRDefault="00C91A34" w:rsidP="00F80540">
            <w:pPr>
              <w:pStyle w:val="Default"/>
              <w:jc w:val="both"/>
              <w:rPr>
                <w:color w:val="auto"/>
              </w:rPr>
            </w:pPr>
            <w:r>
              <w:rPr>
                <w:color w:val="auto"/>
              </w:rPr>
              <w:t>2.3%</w:t>
            </w:r>
          </w:p>
        </w:tc>
      </w:tr>
      <w:tr w:rsidR="00F80540" w:rsidRPr="004616CB" w:rsidTr="00095526">
        <w:tc>
          <w:tcPr>
            <w:tcW w:w="435"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2016</w:t>
            </w:r>
          </w:p>
        </w:tc>
        <w:tc>
          <w:tcPr>
            <w:tcW w:w="635"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41.0</w:t>
            </w:r>
          </w:p>
        </w:tc>
        <w:tc>
          <w:tcPr>
            <w:tcW w:w="634"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33.6</w:t>
            </w:r>
          </w:p>
        </w:tc>
        <w:tc>
          <w:tcPr>
            <w:tcW w:w="671"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7.4</w:t>
            </w:r>
          </w:p>
        </w:tc>
        <w:tc>
          <w:tcPr>
            <w:tcW w:w="717" w:type="pct"/>
            <w:tcBorders>
              <w:bottom w:val="dashSmallGap" w:sz="4" w:space="0" w:color="auto"/>
            </w:tcBorders>
          </w:tcPr>
          <w:p w:rsidR="00F80540" w:rsidRPr="004616CB" w:rsidRDefault="00F80540" w:rsidP="00F80540">
            <w:pPr>
              <w:pStyle w:val="Default"/>
              <w:jc w:val="both"/>
              <w:rPr>
                <w:color w:val="auto"/>
              </w:rPr>
            </w:pPr>
            <w:r>
              <w:rPr>
                <w:color w:val="auto"/>
              </w:rPr>
              <w:t>2.9</w:t>
            </w:r>
          </w:p>
        </w:tc>
        <w:tc>
          <w:tcPr>
            <w:tcW w:w="717" w:type="pct"/>
            <w:tcBorders>
              <w:bottom w:val="dashSmallGap" w:sz="4" w:space="0" w:color="auto"/>
            </w:tcBorders>
          </w:tcPr>
          <w:p w:rsidR="00F80540" w:rsidRDefault="00E62FC2" w:rsidP="00F80540">
            <w:pPr>
              <w:pStyle w:val="Default"/>
              <w:jc w:val="both"/>
              <w:rPr>
                <w:color w:val="auto"/>
              </w:rPr>
            </w:pPr>
            <w:r>
              <w:rPr>
                <w:color w:val="auto"/>
              </w:rPr>
              <w:t>4.5</w:t>
            </w:r>
          </w:p>
        </w:tc>
        <w:tc>
          <w:tcPr>
            <w:tcW w:w="717" w:type="pct"/>
            <w:tcBorders>
              <w:bottom w:val="dashSmallGap" w:sz="4" w:space="0" w:color="auto"/>
            </w:tcBorders>
            <w:shd w:val="clear" w:color="auto" w:fill="auto"/>
          </w:tcPr>
          <w:p w:rsidR="00F80540" w:rsidRPr="004616CB" w:rsidRDefault="00F80540" w:rsidP="00F80540">
            <w:pPr>
              <w:pStyle w:val="Default"/>
              <w:jc w:val="both"/>
              <w:rPr>
                <w:color w:val="auto"/>
              </w:rPr>
            </w:pPr>
            <w:r>
              <w:rPr>
                <w:color w:val="auto"/>
              </w:rPr>
              <w:t>18.0%</w:t>
            </w:r>
          </w:p>
        </w:tc>
        <w:tc>
          <w:tcPr>
            <w:tcW w:w="473" w:type="pct"/>
            <w:tcBorders>
              <w:bottom w:val="dashSmallGap" w:sz="4" w:space="0" w:color="auto"/>
            </w:tcBorders>
          </w:tcPr>
          <w:p w:rsidR="00F80540" w:rsidRPr="004616CB" w:rsidRDefault="00F80540" w:rsidP="00F80540">
            <w:pPr>
              <w:pStyle w:val="Default"/>
              <w:jc w:val="both"/>
              <w:rPr>
                <w:color w:val="auto"/>
              </w:rPr>
            </w:pPr>
            <w:r>
              <w:rPr>
                <w:color w:val="auto"/>
              </w:rPr>
              <w:t>7.1%</w:t>
            </w:r>
          </w:p>
        </w:tc>
      </w:tr>
      <w:tr w:rsidR="00095526" w:rsidRPr="004616CB" w:rsidTr="00095526">
        <w:tc>
          <w:tcPr>
            <w:tcW w:w="435" w:type="pct"/>
            <w:shd w:val="clear" w:color="auto" w:fill="auto"/>
          </w:tcPr>
          <w:p w:rsidR="00095526" w:rsidRDefault="00095526" w:rsidP="00F80540">
            <w:pPr>
              <w:pStyle w:val="Default"/>
              <w:jc w:val="both"/>
              <w:rPr>
                <w:color w:val="auto"/>
              </w:rPr>
            </w:pPr>
            <w:r>
              <w:rPr>
                <w:color w:val="auto"/>
              </w:rPr>
              <w:t>2017</w:t>
            </w:r>
          </w:p>
        </w:tc>
        <w:tc>
          <w:tcPr>
            <w:tcW w:w="635" w:type="pct"/>
            <w:shd w:val="clear" w:color="auto" w:fill="auto"/>
          </w:tcPr>
          <w:p w:rsidR="00095526" w:rsidRDefault="00647906" w:rsidP="00F80540">
            <w:pPr>
              <w:pStyle w:val="Default"/>
              <w:jc w:val="both"/>
              <w:rPr>
                <w:color w:val="auto"/>
              </w:rPr>
            </w:pPr>
            <w:r>
              <w:rPr>
                <w:color w:val="auto"/>
              </w:rPr>
              <w:t>41.1</w:t>
            </w:r>
          </w:p>
        </w:tc>
        <w:tc>
          <w:tcPr>
            <w:tcW w:w="634" w:type="pct"/>
            <w:shd w:val="clear" w:color="auto" w:fill="auto"/>
          </w:tcPr>
          <w:p w:rsidR="00095526" w:rsidRDefault="00647906" w:rsidP="00F80540">
            <w:pPr>
              <w:pStyle w:val="Default"/>
              <w:jc w:val="both"/>
              <w:rPr>
                <w:color w:val="auto"/>
              </w:rPr>
            </w:pPr>
            <w:r>
              <w:rPr>
                <w:color w:val="auto"/>
              </w:rPr>
              <w:t>33.4</w:t>
            </w:r>
          </w:p>
        </w:tc>
        <w:tc>
          <w:tcPr>
            <w:tcW w:w="671" w:type="pct"/>
            <w:shd w:val="clear" w:color="auto" w:fill="auto"/>
          </w:tcPr>
          <w:p w:rsidR="00095526" w:rsidRDefault="00647906" w:rsidP="00F80540">
            <w:pPr>
              <w:pStyle w:val="Default"/>
              <w:jc w:val="both"/>
              <w:rPr>
                <w:color w:val="auto"/>
              </w:rPr>
            </w:pPr>
            <w:r>
              <w:rPr>
                <w:color w:val="auto"/>
              </w:rPr>
              <w:t>7.7</w:t>
            </w:r>
          </w:p>
        </w:tc>
        <w:tc>
          <w:tcPr>
            <w:tcW w:w="717" w:type="pct"/>
          </w:tcPr>
          <w:p w:rsidR="00095526" w:rsidRDefault="00647906" w:rsidP="00F80540">
            <w:pPr>
              <w:pStyle w:val="Default"/>
              <w:jc w:val="both"/>
              <w:rPr>
                <w:color w:val="auto"/>
              </w:rPr>
            </w:pPr>
            <w:r>
              <w:rPr>
                <w:color w:val="auto"/>
              </w:rPr>
              <w:t>3.0</w:t>
            </w:r>
          </w:p>
        </w:tc>
        <w:tc>
          <w:tcPr>
            <w:tcW w:w="717" w:type="pct"/>
          </w:tcPr>
          <w:p w:rsidR="00095526" w:rsidRDefault="00647906" w:rsidP="00F80540">
            <w:pPr>
              <w:pStyle w:val="Default"/>
              <w:jc w:val="both"/>
              <w:rPr>
                <w:color w:val="auto"/>
              </w:rPr>
            </w:pPr>
            <w:r>
              <w:rPr>
                <w:color w:val="auto"/>
              </w:rPr>
              <w:t>4.8</w:t>
            </w:r>
          </w:p>
        </w:tc>
        <w:tc>
          <w:tcPr>
            <w:tcW w:w="717" w:type="pct"/>
            <w:shd w:val="clear" w:color="auto" w:fill="auto"/>
          </w:tcPr>
          <w:p w:rsidR="00095526" w:rsidRDefault="00647906" w:rsidP="00F80540">
            <w:pPr>
              <w:pStyle w:val="Default"/>
              <w:jc w:val="both"/>
              <w:rPr>
                <w:color w:val="auto"/>
              </w:rPr>
            </w:pPr>
            <w:r>
              <w:rPr>
                <w:color w:val="auto"/>
              </w:rPr>
              <w:t>18.8%</w:t>
            </w:r>
          </w:p>
        </w:tc>
        <w:tc>
          <w:tcPr>
            <w:tcW w:w="473" w:type="pct"/>
          </w:tcPr>
          <w:p w:rsidR="00095526" w:rsidRDefault="00647906" w:rsidP="00F80540">
            <w:pPr>
              <w:pStyle w:val="Default"/>
              <w:jc w:val="both"/>
              <w:rPr>
                <w:color w:val="auto"/>
              </w:rPr>
            </w:pPr>
            <w:r>
              <w:rPr>
                <w:color w:val="auto"/>
              </w:rPr>
              <w:t>7.2%</w:t>
            </w:r>
          </w:p>
        </w:tc>
      </w:tr>
      <w:tr w:rsidR="00F80540" w:rsidRPr="004616CB" w:rsidTr="00095526">
        <w:tc>
          <w:tcPr>
            <w:tcW w:w="435" w:type="pct"/>
            <w:shd w:val="clear" w:color="auto" w:fill="auto"/>
          </w:tcPr>
          <w:p w:rsidR="00F80540" w:rsidRPr="004616CB" w:rsidRDefault="00F80540" w:rsidP="00F80540">
            <w:pPr>
              <w:pStyle w:val="Default"/>
              <w:jc w:val="both"/>
              <w:rPr>
                <w:color w:val="auto"/>
              </w:rPr>
            </w:pPr>
            <w:r>
              <w:rPr>
                <w:color w:val="auto"/>
              </w:rPr>
              <w:t>2018</w:t>
            </w:r>
          </w:p>
        </w:tc>
        <w:tc>
          <w:tcPr>
            <w:tcW w:w="635" w:type="pct"/>
            <w:shd w:val="clear" w:color="auto" w:fill="auto"/>
          </w:tcPr>
          <w:p w:rsidR="00F80540" w:rsidRPr="004616CB" w:rsidRDefault="00F80540" w:rsidP="00F80540">
            <w:pPr>
              <w:pStyle w:val="Default"/>
              <w:jc w:val="both"/>
              <w:rPr>
                <w:color w:val="auto"/>
              </w:rPr>
            </w:pPr>
            <w:r>
              <w:rPr>
                <w:color w:val="auto"/>
              </w:rPr>
              <w:t>41.2</w:t>
            </w:r>
          </w:p>
        </w:tc>
        <w:tc>
          <w:tcPr>
            <w:tcW w:w="634" w:type="pct"/>
            <w:shd w:val="clear" w:color="auto" w:fill="auto"/>
          </w:tcPr>
          <w:p w:rsidR="00F80540" w:rsidRPr="004616CB" w:rsidRDefault="00F80540" w:rsidP="00F80540">
            <w:pPr>
              <w:pStyle w:val="Default"/>
              <w:jc w:val="both"/>
              <w:rPr>
                <w:color w:val="auto"/>
              </w:rPr>
            </w:pPr>
            <w:r>
              <w:rPr>
                <w:color w:val="auto"/>
              </w:rPr>
              <w:t>33.7</w:t>
            </w:r>
          </w:p>
        </w:tc>
        <w:tc>
          <w:tcPr>
            <w:tcW w:w="671" w:type="pct"/>
            <w:shd w:val="clear" w:color="auto" w:fill="auto"/>
          </w:tcPr>
          <w:p w:rsidR="00F80540" w:rsidRPr="004616CB" w:rsidRDefault="00F80540" w:rsidP="00F80540">
            <w:pPr>
              <w:pStyle w:val="Default"/>
              <w:jc w:val="both"/>
              <w:rPr>
                <w:color w:val="auto"/>
              </w:rPr>
            </w:pPr>
            <w:r>
              <w:rPr>
                <w:color w:val="auto"/>
              </w:rPr>
              <w:t>7.5</w:t>
            </w:r>
          </w:p>
        </w:tc>
        <w:tc>
          <w:tcPr>
            <w:tcW w:w="717" w:type="pct"/>
          </w:tcPr>
          <w:p w:rsidR="00F80540" w:rsidRPr="004616CB" w:rsidRDefault="006C4529" w:rsidP="00F80540">
            <w:pPr>
              <w:pStyle w:val="Default"/>
              <w:jc w:val="both"/>
              <w:rPr>
                <w:color w:val="auto"/>
              </w:rPr>
            </w:pPr>
            <w:r>
              <w:rPr>
                <w:color w:val="auto"/>
              </w:rPr>
              <w:t>2.9</w:t>
            </w:r>
          </w:p>
        </w:tc>
        <w:tc>
          <w:tcPr>
            <w:tcW w:w="717" w:type="pct"/>
          </w:tcPr>
          <w:p w:rsidR="00F80540" w:rsidRDefault="006C4529" w:rsidP="00F80540">
            <w:pPr>
              <w:pStyle w:val="Default"/>
              <w:jc w:val="both"/>
              <w:rPr>
                <w:color w:val="auto"/>
              </w:rPr>
            </w:pPr>
            <w:r>
              <w:rPr>
                <w:color w:val="auto"/>
              </w:rPr>
              <w:t>4.6</w:t>
            </w:r>
          </w:p>
        </w:tc>
        <w:tc>
          <w:tcPr>
            <w:tcW w:w="717" w:type="pct"/>
            <w:shd w:val="clear" w:color="auto" w:fill="auto"/>
          </w:tcPr>
          <w:p w:rsidR="00F80540" w:rsidRPr="004616CB" w:rsidRDefault="00F80540" w:rsidP="00F80540">
            <w:pPr>
              <w:pStyle w:val="Default"/>
              <w:jc w:val="both"/>
              <w:rPr>
                <w:color w:val="auto"/>
              </w:rPr>
            </w:pPr>
            <w:r>
              <w:rPr>
                <w:color w:val="auto"/>
              </w:rPr>
              <w:t>18.2</w:t>
            </w:r>
            <w:r w:rsidRPr="004616CB">
              <w:rPr>
                <w:color w:val="auto"/>
              </w:rPr>
              <w:t>%</w:t>
            </w:r>
          </w:p>
        </w:tc>
        <w:tc>
          <w:tcPr>
            <w:tcW w:w="473" w:type="pct"/>
          </w:tcPr>
          <w:p w:rsidR="00F80540" w:rsidRPr="004616CB" w:rsidRDefault="006C4529" w:rsidP="00F80540">
            <w:pPr>
              <w:pStyle w:val="Default"/>
              <w:jc w:val="both"/>
              <w:rPr>
                <w:color w:val="auto"/>
              </w:rPr>
            </w:pPr>
            <w:r>
              <w:rPr>
                <w:color w:val="auto"/>
              </w:rPr>
              <w:t>7.0</w:t>
            </w:r>
            <w:r w:rsidR="00F80540" w:rsidRPr="004616CB">
              <w:rPr>
                <w:color w:val="auto"/>
              </w:rPr>
              <w:t>%</w:t>
            </w:r>
          </w:p>
        </w:tc>
      </w:tr>
    </w:tbl>
    <w:p w:rsidR="00C67341" w:rsidRPr="004616CB" w:rsidRDefault="00C67341" w:rsidP="00C67341">
      <w:pPr>
        <w:pStyle w:val="Default"/>
        <w:jc w:val="both"/>
      </w:pPr>
      <w:r w:rsidRPr="004616CB">
        <w:rPr>
          <w:b/>
        </w:rPr>
        <w:t>Source:</w:t>
      </w:r>
      <w:r w:rsidRPr="004616CB">
        <w:t xml:space="preserve"> </w:t>
      </w:r>
      <w:r w:rsidR="004A70A3">
        <w:rPr>
          <w:lang w:eastAsia="en-GB"/>
        </w:rPr>
        <w:t>author</w:t>
      </w:r>
      <w:r w:rsidRPr="004616CB">
        <w:rPr>
          <w:lang w:eastAsia="en-GB"/>
        </w:rPr>
        <w:t xml:space="preserve"> analysis of Labour Force Survey</w:t>
      </w:r>
      <w:r w:rsidRPr="004616CB">
        <w:t xml:space="preserve">. </w:t>
      </w:r>
      <w:r w:rsidRPr="004616CB">
        <w:rPr>
          <w:color w:val="auto"/>
        </w:rPr>
        <w:t>W</w:t>
      </w:r>
      <w:r w:rsidRPr="004616CB">
        <w:rPr>
          <w:bCs/>
          <w:color w:val="auto"/>
        </w:rPr>
        <w:t>orking age population is 16-64.</w:t>
      </w:r>
    </w:p>
    <w:p w:rsidR="00C67341" w:rsidRPr="004616CB" w:rsidRDefault="00C67341" w:rsidP="00C67341">
      <w:pPr>
        <w:pStyle w:val="Default"/>
        <w:jc w:val="both"/>
        <w:rPr>
          <w:color w:val="auto"/>
        </w:rPr>
      </w:pPr>
    </w:p>
    <w:p w:rsidR="00983369" w:rsidRDefault="00983369" w:rsidP="00356CBC">
      <w:pPr>
        <w:pStyle w:val="Default"/>
        <w:spacing w:line="480" w:lineRule="auto"/>
        <w:jc w:val="both"/>
        <w:rPr>
          <w:bCs/>
          <w:color w:val="00000A"/>
        </w:rPr>
      </w:pPr>
    </w:p>
    <w:p w:rsidR="00C67341" w:rsidRDefault="00DF2EC7" w:rsidP="00356CBC">
      <w:pPr>
        <w:pStyle w:val="Default"/>
        <w:spacing w:line="480" w:lineRule="auto"/>
        <w:jc w:val="both"/>
        <w:rPr>
          <w:bCs/>
          <w:color w:val="00000A"/>
        </w:rPr>
      </w:pPr>
      <w:r>
        <w:rPr>
          <w:bCs/>
          <w:color w:val="00000A"/>
        </w:rPr>
        <w:t xml:space="preserve">However as </w:t>
      </w:r>
      <w:r w:rsidRPr="0024337D">
        <w:rPr>
          <w:bCs/>
          <w:color w:val="00000A"/>
        </w:rPr>
        <w:fldChar w:fldCharType="begin"/>
      </w:r>
      <w:r w:rsidRPr="0024337D">
        <w:rPr>
          <w:bCs/>
          <w:color w:val="00000A"/>
        </w:rPr>
        <w:instrText xml:space="preserve"> REF _Ref512496606 \h </w:instrText>
      </w:r>
      <w:r w:rsidR="0024337D" w:rsidRPr="0024337D">
        <w:rPr>
          <w:bCs/>
          <w:color w:val="00000A"/>
        </w:rPr>
        <w:instrText xml:space="preserve"> \* MERGEFORMAT </w:instrText>
      </w:r>
      <w:r w:rsidRPr="0024337D">
        <w:rPr>
          <w:bCs/>
          <w:color w:val="00000A"/>
        </w:rPr>
      </w:r>
      <w:r w:rsidRPr="0024337D">
        <w:rPr>
          <w:bCs/>
          <w:color w:val="00000A"/>
        </w:rPr>
        <w:fldChar w:fldCharType="separate"/>
      </w:r>
      <w:r w:rsidRPr="0024337D">
        <w:t xml:space="preserve">Figure </w:t>
      </w:r>
      <w:r w:rsidRPr="0024337D">
        <w:rPr>
          <w:noProof/>
        </w:rPr>
        <w:t>1</w:t>
      </w:r>
      <w:r w:rsidRPr="0024337D">
        <w:rPr>
          <w:bCs/>
          <w:color w:val="00000A"/>
        </w:rPr>
        <w:fldChar w:fldCharType="end"/>
      </w:r>
      <w:r>
        <w:rPr>
          <w:bCs/>
          <w:color w:val="00000A"/>
        </w:rPr>
        <w:t xml:space="preserve"> also shows i</w:t>
      </w:r>
      <w:r w:rsidR="004A70A3">
        <w:rPr>
          <w:bCs/>
          <w:color w:val="00000A"/>
        </w:rPr>
        <w:t>mmigration from the EU</w:t>
      </w:r>
      <w:r w:rsidR="009E224C">
        <w:rPr>
          <w:bCs/>
          <w:color w:val="00000A"/>
        </w:rPr>
        <w:t xml:space="preserve"> and elsewhere </w:t>
      </w:r>
      <w:r w:rsidR="004A70A3">
        <w:rPr>
          <w:bCs/>
          <w:color w:val="00000A"/>
        </w:rPr>
        <w:t xml:space="preserve">rose in the run up to the recession and kept rising through the recession and beyond. So it is hard to argue that (EU) immigration is associated with </w:t>
      </w:r>
      <w:r w:rsidR="00A13D6D">
        <w:rPr>
          <w:bCs/>
          <w:color w:val="00000A"/>
        </w:rPr>
        <w:t xml:space="preserve">increased unemployment of UK-born workers, </w:t>
      </w:r>
      <w:r w:rsidR="004A70A3">
        <w:rPr>
          <w:bCs/>
          <w:color w:val="00000A"/>
        </w:rPr>
        <w:t xml:space="preserve">since it rose both while unemployment </w:t>
      </w:r>
      <w:r w:rsidRPr="00A13D6D">
        <w:rPr>
          <w:bCs/>
          <w:color w:val="00000A"/>
        </w:rPr>
        <w:t>of the UK-born</w:t>
      </w:r>
      <w:r w:rsidRPr="00DF2EC7">
        <w:rPr>
          <w:bCs/>
          <w:i/>
          <w:color w:val="00000A"/>
        </w:rPr>
        <w:t xml:space="preserve"> </w:t>
      </w:r>
      <w:r w:rsidR="004A70A3">
        <w:rPr>
          <w:bCs/>
          <w:color w:val="00000A"/>
        </w:rPr>
        <w:t xml:space="preserve">was rising </w:t>
      </w:r>
      <w:r w:rsidR="004A70A3" w:rsidRPr="00A13D6D">
        <w:rPr>
          <w:bCs/>
          <w:i/>
          <w:color w:val="00000A"/>
        </w:rPr>
        <w:t>and</w:t>
      </w:r>
      <w:r w:rsidR="004A70A3">
        <w:rPr>
          <w:bCs/>
          <w:color w:val="00000A"/>
        </w:rPr>
        <w:t xml:space="preserve"> while </w:t>
      </w:r>
      <w:r>
        <w:rPr>
          <w:bCs/>
          <w:color w:val="00000A"/>
        </w:rPr>
        <w:t xml:space="preserve">unemployment </w:t>
      </w:r>
      <w:r w:rsidRPr="00A13D6D">
        <w:rPr>
          <w:bCs/>
          <w:color w:val="00000A"/>
        </w:rPr>
        <w:t>of the UK-born</w:t>
      </w:r>
      <w:r w:rsidR="004A70A3" w:rsidRPr="00A13D6D">
        <w:rPr>
          <w:bCs/>
          <w:color w:val="00000A"/>
        </w:rPr>
        <w:t xml:space="preserve"> </w:t>
      </w:r>
      <w:r w:rsidR="004A70A3">
        <w:rPr>
          <w:bCs/>
          <w:color w:val="00000A"/>
        </w:rPr>
        <w:t xml:space="preserve">was falling. </w:t>
      </w:r>
    </w:p>
    <w:p w:rsidR="00C67341" w:rsidRPr="00D2386F" w:rsidRDefault="00C67341" w:rsidP="00D2386F">
      <w:pPr>
        <w:pStyle w:val="Caption"/>
        <w:spacing w:after="0"/>
        <w:jc w:val="both"/>
        <w:rPr>
          <w:rFonts w:ascii="Times New Roman" w:hAnsi="Times New Roman" w:cs="Times New Roman"/>
          <w:b/>
          <w:i w:val="0"/>
          <w:color w:val="auto"/>
          <w:sz w:val="24"/>
          <w:szCs w:val="24"/>
        </w:rPr>
      </w:pPr>
      <w:r w:rsidRPr="00D2386F">
        <w:rPr>
          <w:rFonts w:ascii="Times New Roman" w:hAnsi="Times New Roman" w:cs="Times New Roman"/>
          <w:b/>
          <w:bCs/>
          <w:i w:val="0"/>
          <w:color w:val="auto"/>
          <w:sz w:val="24"/>
          <w:szCs w:val="24"/>
        </w:rPr>
        <w:t xml:space="preserve"> </w:t>
      </w:r>
      <w:bookmarkStart w:id="2" w:name="_Ref512496606"/>
      <w:r w:rsidRPr="00D2386F">
        <w:rPr>
          <w:rFonts w:ascii="Times New Roman" w:hAnsi="Times New Roman" w:cs="Times New Roman"/>
          <w:b/>
          <w:i w:val="0"/>
          <w:color w:val="auto"/>
          <w:sz w:val="24"/>
          <w:szCs w:val="24"/>
        </w:rPr>
        <w:t xml:space="preserve">Figure </w:t>
      </w:r>
      <w:r w:rsidRPr="00D2386F">
        <w:rPr>
          <w:rFonts w:ascii="Times New Roman" w:hAnsi="Times New Roman" w:cs="Times New Roman"/>
          <w:b/>
          <w:i w:val="0"/>
          <w:color w:val="auto"/>
          <w:sz w:val="24"/>
          <w:szCs w:val="24"/>
        </w:rPr>
        <w:fldChar w:fldCharType="begin"/>
      </w:r>
      <w:r w:rsidRPr="00D2386F">
        <w:rPr>
          <w:rFonts w:ascii="Times New Roman" w:hAnsi="Times New Roman" w:cs="Times New Roman"/>
          <w:b/>
          <w:i w:val="0"/>
          <w:color w:val="auto"/>
          <w:sz w:val="24"/>
          <w:szCs w:val="24"/>
        </w:rPr>
        <w:instrText xml:space="preserve"> SEQ Figure \* ARABIC </w:instrText>
      </w:r>
      <w:r w:rsidRPr="00D2386F">
        <w:rPr>
          <w:rFonts w:ascii="Times New Roman" w:hAnsi="Times New Roman" w:cs="Times New Roman"/>
          <w:b/>
          <w:i w:val="0"/>
          <w:color w:val="auto"/>
          <w:sz w:val="24"/>
          <w:szCs w:val="24"/>
        </w:rPr>
        <w:fldChar w:fldCharType="separate"/>
      </w:r>
      <w:r w:rsidR="000A23BB" w:rsidRPr="00D2386F">
        <w:rPr>
          <w:rFonts w:ascii="Times New Roman" w:hAnsi="Times New Roman" w:cs="Times New Roman"/>
          <w:b/>
          <w:i w:val="0"/>
          <w:noProof/>
          <w:color w:val="auto"/>
          <w:sz w:val="24"/>
          <w:szCs w:val="24"/>
        </w:rPr>
        <w:t>1</w:t>
      </w:r>
      <w:r w:rsidRPr="00D2386F">
        <w:rPr>
          <w:rFonts w:ascii="Times New Roman" w:hAnsi="Times New Roman" w:cs="Times New Roman"/>
          <w:b/>
          <w:i w:val="0"/>
          <w:color w:val="auto"/>
          <w:sz w:val="24"/>
          <w:szCs w:val="24"/>
        </w:rPr>
        <w:fldChar w:fldCharType="end"/>
      </w:r>
      <w:bookmarkEnd w:id="2"/>
      <w:r w:rsidRPr="00D2386F">
        <w:rPr>
          <w:rFonts w:ascii="Times New Roman" w:hAnsi="Times New Roman" w:cs="Times New Roman"/>
          <w:b/>
          <w:i w:val="0"/>
          <w:color w:val="auto"/>
          <w:sz w:val="24"/>
          <w:szCs w:val="24"/>
        </w:rPr>
        <w:t>. Immigration</w:t>
      </w:r>
      <w:r w:rsidR="00BF7C0D" w:rsidRPr="00D2386F">
        <w:rPr>
          <w:rFonts w:ascii="Times New Roman" w:hAnsi="Times New Roman" w:cs="Times New Roman"/>
          <w:b/>
          <w:i w:val="0"/>
          <w:color w:val="auto"/>
          <w:sz w:val="24"/>
          <w:szCs w:val="24"/>
        </w:rPr>
        <w:t xml:space="preserve"> and Unemployment of UK-Born,</w:t>
      </w:r>
      <w:r w:rsidR="002F1CBD" w:rsidRPr="00D2386F">
        <w:rPr>
          <w:rFonts w:ascii="Times New Roman" w:hAnsi="Times New Roman" w:cs="Times New Roman"/>
          <w:b/>
          <w:i w:val="0"/>
          <w:color w:val="auto"/>
          <w:sz w:val="24"/>
          <w:szCs w:val="24"/>
        </w:rPr>
        <w:t xml:space="preserve"> 1995-2018</w:t>
      </w:r>
    </w:p>
    <w:p w:rsidR="00C67341" w:rsidRDefault="00BF0FC9" w:rsidP="004A70A3">
      <w:pPr>
        <w:spacing w:after="0" w:line="240" w:lineRule="auto"/>
        <w:jc w:val="both"/>
      </w:pPr>
      <w:r w:rsidRPr="00BF0FC9">
        <w:rPr>
          <w:noProof/>
          <w:lang w:val="en-US"/>
        </w:rPr>
        <w:drawing>
          <wp:inline distT="0" distB="0" distL="0" distR="0">
            <wp:extent cx="5196840" cy="3779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5014" cy="3785465"/>
                    </a:xfrm>
                    <a:prstGeom prst="rect">
                      <a:avLst/>
                    </a:prstGeom>
                    <a:noFill/>
                    <a:ln>
                      <a:noFill/>
                    </a:ln>
                  </pic:spPr>
                </pic:pic>
              </a:graphicData>
            </a:graphic>
          </wp:inline>
        </w:drawing>
      </w:r>
    </w:p>
    <w:p w:rsidR="00390D55" w:rsidRDefault="004A70A3" w:rsidP="004A70A3">
      <w:pPr>
        <w:spacing w:after="0" w:line="240" w:lineRule="auto"/>
        <w:jc w:val="both"/>
        <w:rPr>
          <w:rFonts w:ascii="Times New Roman" w:hAnsi="Times New Roman" w:cs="Times New Roman"/>
          <w:sz w:val="20"/>
          <w:szCs w:val="20"/>
        </w:rPr>
      </w:pPr>
      <w:r w:rsidRPr="009F3B2C">
        <w:rPr>
          <w:rFonts w:ascii="Times New Roman" w:hAnsi="Times New Roman" w:cs="Times New Roman"/>
          <w:b/>
          <w:sz w:val="20"/>
          <w:szCs w:val="20"/>
        </w:rPr>
        <w:t>Source:</w:t>
      </w:r>
      <w:r w:rsidRPr="009F3B2C">
        <w:rPr>
          <w:rFonts w:ascii="Times New Roman" w:hAnsi="Times New Roman" w:cs="Times New Roman"/>
          <w:sz w:val="20"/>
          <w:szCs w:val="20"/>
        </w:rPr>
        <w:t xml:space="preserve"> </w:t>
      </w:r>
      <w:r w:rsidR="00AB4523">
        <w:rPr>
          <w:rFonts w:ascii="Times New Roman" w:hAnsi="Times New Roman" w:cs="Times New Roman"/>
          <w:sz w:val="20"/>
          <w:szCs w:val="20"/>
          <w:lang w:eastAsia="en-GB"/>
        </w:rPr>
        <w:t>A</w:t>
      </w:r>
      <w:r w:rsidRPr="009F3B2C">
        <w:rPr>
          <w:rFonts w:ascii="Times New Roman" w:hAnsi="Times New Roman" w:cs="Times New Roman"/>
          <w:sz w:val="20"/>
          <w:szCs w:val="20"/>
          <w:lang w:eastAsia="en-GB"/>
        </w:rPr>
        <w:t>uthor analysis of Labour Force Survey</w:t>
      </w:r>
      <w:r w:rsidRPr="009F3B2C">
        <w:rPr>
          <w:rFonts w:ascii="Times New Roman" w:hAnsi="Times New Roman" w:cs="Times New Roman"/>
          <w:sz w:val="20"/>
          <w:szCs w:val="20"/>
        </w:rPr>
        <w:t>.</w:t>
      </w:r>
      <w:r w:rsidR="00086F86">
        <w:rPr>
          <w:rFonts w:ascii="Times New Roman" w:hAnsi="Times New Roman" w:cs="Times New Roman"/>
          <w:sz w:val="20"/>
          <w:szCs w:val="20"/>
        </w:rPr>
        <w:t xml:space="preserve"> </w:t>
      </w:r>
    </w:p>
    <w:p w:rsidR="004A70A3" w:rsidRPr="009F3B2C" w:rsidRDefault="00086F86" w:rsidP="004A70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Notes: </w:t>
      </w:r>
      <w:r w:rsidR="003B6C2B">
        <w:rPr>
          <w:rFonts w:ascii="Times New Roman" w:hAnsi="Times New Roman" w:cs="Times New Roman"/>
          <w:sz w:val="20"/>
          <w:szCs w:val="20"/>
        </w:rPr>
        <w:t xml:space="preserve">population </w:t>
      </w:r>
      <w:r>
        <w:rPr>
          <w:rFonts w:ascii="Times New Roman" w:hAnsi="Times New Roman" w:cs="Times New Roman"/>
          <w:sz w:val="20"/>
          <w:szCs w:val="20"/>
        </w:rPr>
        <w:t>used is</w:t>
      </w:r>
      <w:r w:rsidR="003B6C2B">
        <w:rPr>
          <w:rFonts w:ascii="Times New Roman" w:hAnsi="Times New Roman" w:cs="Times New Roman"/>
          <w:sz w:val="20"/>
          <w:szCs w:val="20"/>
        </w:rPr>
        <w:t xml:space="preserve"> working age</w:t>
      </w:r>
      <w:r>
        <w:rPr>
          <w:rFonts w:ascii="Times New Roman" w:hAnsi="Times New Roman" w:cs="Times New Roman"/>
          <w:sz w:val="20"/>
          <w:szCs w:val="20"/>
        </w:rPr>
        <w:t xml:space="preserve"> (16-64)</w:t>
      </w:r>
      <w:r w:rsidR="003B6C2B">
        <w:rPr>
          <w:rFonts w:ascii="Times New Roman" w:hAnsi="Times New Roman" w:cs="Times New Roman"/>
          <w:sz w:val="20"/>
          <w:szCs w:val="20"/>
        </w:rPr>
        <w:t xml:space="preserve">. </w:t>
      </w:r>
      <w:r w:rsidR="00AB4523">
        <w:rPr>
          <w:rFonts w:ascii="Times New Roman" w:hAnsi="Times New Roman" w:cs="Times New Roman"/>
          <w:sz w:val="20"/>
          <w:szCs w:val="20"/>
        </w:rPr>
        <w:t>Vertical solid line shows timing</w:t>
      </w:r>
      <w:r w:rsidR="00C81A9E">
        <w:rPr>
          <w:rFonts w:ascii="Times New Roman" w:hAnsi="Times New Roman" w:cs="Times New Roman"/>
          <w:sz w:val="20"/>
          <w:szCs w:val="20"/>
        </w:rPr>
        <w:t xml:space="preserve"> of Brexit vote.</w:t>
      </w:r>
    </w:p>
    <w:p w:rsidR="00BF7BE8" w:rsidRPr="00C67341" w:rsidRDefault="00BF7BE8" w:rsidP="004A70A3">
      <w:pPr>
        <w:spacing w:after="0" w:line="240" w:lineRule="auto"/>
        <w:jc w:val="both"/>
      </w:pPr>
    </w:p>
    <w:p w:rsidR="00BF7BE8" w:rsidRDefault="00BF7BE8" w:rsidP="00BF7BE8">
      <w:pPr>
        <w:pStyle w:val="Caption"/>
        <w:spacing w:after="0"/>
        <w:jc w:val="both"/>
        <w:rPr>
          <w:rFonts w:ascii="Times New Roman" w:hAnsi="Times New Roman" w:cs="Times New Roman"/>
          <w:b/>
          <w:i w:val="0"/>
          <w:sz w:val="24"/>
          <w:szCs w:val="24"/>
        </w:rPr>
      </w:pPr>
    </w:p>
    <w:p w:rsidR="008820CD" w:rsidRDefault="008820CD" w:rsidP="008820CD">
      <w:pPr>
        <w:pStyle w:val="Default"/>
        <w:spacing w:line="480" w:lineRule="auto"/>
        <w:jc w:val="both"/>
        <w:rPr>
          <w:bCs/>
          <w:color w:val="00000A"/>
        </w:rPr>
      </w:pPr>
      <w:bookmarkStart w:id="3" w:name="_Ref512499198"/>
      <w:r>
        <w:rPr>
          <w:bCs/>
          <w:color w:val="00000A"/>
        </w:rPr>
        <w:t>Likewise, the</w:t>
      </w:r>
      <w:r w:rsidR="00B76225">
        <w:rPr>
          <w:bCs/>
          <w:color w:val="00000A"/>
        </w:rPr>
        <w:t>re was a</w:t>
      </w:r>
      <w:r>
        <w:rPr>
          <w:bCs/>
          <w:color w:val="00000A"/>
        </w:rPr>
        <w:t xml:space="preserve"> sustained fall in real wages, unprecedented in recent UK history, which </w:t>
      </w:r>
      <w:r>
        <w:rPr>
          <w:bCs/>
          <w:color w:val="00000A"/>
        </w:rPr>
        <w:lastRenderedPageBreak/>
        <w:t>began in 2010 (</w:t>
      </w:r>
      <w:r w:rsidRPr="00B37A43">
        <w:rPr>
          <w:bCs/>
          <w:color w:val="00000A"/>
        </w:rPr>
        <w:fldChar w:fldCharType="begin"/>
      </w:r>
      <w:r w:rsidRPr="00B37A43">
        <w:rPr>
          <w:bCs/>
          <w:color w:val="00000A"/>
        </w:rPr>
        <w:instrText xml:space="preserve"> REF _Ref512499198 \h  \* MERGEFORMAT </w:instrText>
      </w:r>
      <w:r w:rsidRPr="00B37A43">
        <w:rPr>
          <w:bCs/>
          <w:color w:val="00000A"/>
        </w:rPr>
      </w:r>
      <w:r w:rsidRPr="00B37A43">
        <w:rPr>
          <w:bCs/>
          <w:color w:val="00000A"/>
        </w:rPr>
        <w:fldChar w:fldCharType="separate"/>
      </w:r>
      <w:r w:rsidRPr="00B37A43">
        <w:rPr>
          <w:color w:val="auto"/>
        </w:rPr>
        <w:t xml:space="preserve">Figure </w:t>
      </w:r>
      <w:r w:rsidRPr="00B37A43">
        <w:rPr>
          <w:noProof/>
          <w:color w:val="auto"/>
        </w:rPr>
        <w:t>2</w:t>
      </w:r>
      <w:r w:rsidRPr="00B37A43">
        <w:rPr>
          <w:bCs/>
          <w:color w:val="00000A"/>
        </w:rPr>
        <w:fldChar w:fldCharType="end"/>
      </w:r>
      <w:r>
        <w:rPr>
          <w:bCs/>
          <w:color w:val="00000A"/>
        </w:rPr>
        <w:t xml:space="preserve">) </w:t>
      </w:r>
      <w:r w:rsidR="009E224C">
        <w:rPr>
          <w:bCs/>
          <w:color w:val="00000A"/>
        </w:rPr>
        <w:t xml:space="preserve">in a period of </w:t>
      </w:r>
      <w:r>
        <w:rPr>
          <w:bCs/>
          <w:color w:val="00000A"/>
        </w:rPr>
        <w:t>rising immigration</w:t>
      </w:r>
      <w:r w:rsidR="009E224C">
        <w:rPr>
          <w:bCs/>
          <w:color w:val="00000A"/>
        </w:rPr>
        <w:t>, (Total and</w:t>
      </w:r>
      <w:r w:rsidR="002C66EE">
        <w:rPr>
          <w:bCs/>
          <w:color w:val="00000A"/>
        </w:rPr>
        <w:t xml:space="preserve"> EU)</w:t>
      </w:r>
      <w:r>
        <w:rPr>
          <w:bCs/>
          <w:color w:val="00000A"/>
        </w:rPr>
        <w:t xml:space="preserve">. But real wages (of the UK-Born) also </w:t>
      </w:r>
      <w:r w:rsidR="00B76225">
        <w:rPr>
          <w:bCs/>
          <w:color w:val="00000A"/>
        </w:rPr>
        <w:t>g</w:t>
      </w:r>
      <w:r w:rsidR="00BE7CD3">
        <w:rPr>
          <w:bCs/>
          <w:color w:val="00000A"/>
        </w:rPr>
        <w:t xml:space="preserve">rew </w:t>
      </w:r>
      <w:r w:rsidR="00F2583E">
        <w:rPr>
          <w:bCs/>
          <w:color w:val="00000A"/>
        </w:rPr>
        <w:t xml:space="preserve">in periods </w:t>
      </w:r>
      <w:r w:rsidR="002C66EE">
        <w:rPr>
          <w:bCs/>
          <w:color w:val="00000A"/>
        </w:rPr>
        <w:t xml:space="preserve">when </w:t>
      </w:r>
      <w:r w:rsidR="00BE7CD3">
        <w:rPr>
          <w:bCs/>
          <w:color w:val="00000A"/>
        </w:rPr>
        <w:t>immigration was risi</w:t>
      </w:r>
      <w:r>
        <w:rPr>
          <w:bCs/>
          <w:color w:val="00000A"/>
        </w:rPr>
        <w:t>ng. Again it is hard to argue that trends in EU immigration line up with changes in real wages.</w:t>
      </w:r>
    </w:p>
    <w:p w:rsidR="00356CBC" w:rsidRPr="00BF7BE8" w:rsidRDefault="0062696D" w:rsidP="00BF7BE8">
      <w:pPr>
        <w:pStyle w:val="Caption"/>
        <w:spacing w:after="0"/>
        <w:jc w:val="both"/>
        <w:rPr>
          <w:rFonts w:ascii="Times New Roman" w:hAnsi="Times New Roman" w:cs="Times New Roman"/>
          <w:b/>
          <w:bCs/>
          <w:i w:val="0"/>
          <w:color w:val="auto"/>
          <w:sz w:val="24"/>
          <w:szCs w:val="24"/>
        </w:rPr>
      </w:pPr>
      <w:r w:rsidRPr="00BF7BE8">
        <w:rPr>
          <w:rFonts w:ascii="Times New Roman" w:hAnsi="Times New Roman" w:cs="Times New Roman"/>
          <w:b/>
          <w:i w:val="0"/>
          <w:color w:val="auto"/>
          <w:sz w:val="24"/>
          <w:szCs w:val="24"/>
        </w:rPr>
        <w:t xml:space="preserve">Figure </w:t>
      </w:r>
      <w:r w:rsidRPr="00BF7BE8">
        <w:rPr>
          <w:rFonts w:ascii="Times New Roman" w:hAnsi="Times New Roman" w:cs="Times New Roman"/>
          <w:b/>
          <w:i w:val="0"/>
          <w:color w:val="auto"/>
          <w:sz w:val="24"/>
          <w:szCs w:val="24"/>
        </w:rPr>
        <w:fldChar w:fldCharType="begin"/>
      </w:r>
      <w:r w:rsidRPr="00BF7BE8">
        <w:rPr>
          <w:rFonts w:ascii="Times New Roman" w:hAnsi="Times New Roman" w:cs="Times New Roman"/>
          <w:b/>
          <w:i w:val="0"/>
          <w:color w:val="auto"/>
          <w:sz w:val="24"/>
          <w:szCs w:val="24"/>
        </w:rPr>
        <w:instrText xml:space="preserve"> SEQ Figure \* ARABIC </w:instrText>
      </w:r>
      <w:r w:rsidRPr="00BF7BE8">
        <w:rPr>
          <w:rFonts w:ascii="Times New Roman" w:hAnsi="Times New Roman" w:cs="Times New Roman"/>
          <w:b/>
          <w:i w:val="0"/>
          <w:color w:val="auto"/>
          <w:sz w:val="24"/>
          <w:szCs w:val="24"/>
        </w:rPr>
        <w:fldChar w:fldCharType="separate"/>
      </w:r>
      <w:r w:rsidR="000A23BB">
        <w:rPr>
          <w:rFonts w:ascii="Times New Roman" w:hAnsi="Times New Roman" w:cs="Times New Roman"/>
          <w:b/>
          <w:i w:val="0"/>
          <w:noProof/>
          <w:color w:val="auto"/>
          <w:sz w:val="24"/>
          <w:szCs w:val="24"/>
        </w:rPr>
        <w:t>2</w:t>
      </w:r>
      <w:r w:rsidRPr="00BF7BE8">
        <w:rPr>
          <w:rFonts w:ascii="Times New Roman" w:hAnsi="Times New Roman" w:cs="Times New Roman"/>
          <w:b/>
          <w:i w:val="0"/>
          <w:color w:val="auto"/>
          <w:sz w:val="24"/>
          <w:szCs w:val="24"/>
        </w:rPr>
        <w:fldChar w:fldCharType="end"/>
      </w:r>
      <w:bookmarkEnd w:id="3"/>
      <w:r w:rsidRPr="00BF7BE8">
        <w:rPr>
          <w:rFonts w:ascii="Times New Roman" w:hAnsi="Times New Roman" w:cs="Times New Roman"/>
          <w:b/>
          <w:i w:val="0"/>
          <w:color w:val="auto"/>
          <w:sz w:val="24"/>
          <w:szCs w:val="24"/>
        </w:rPr>
        <w:t>. EU Immigration and Real Wages</w:t>
      </w:r>
      <w:r w:rsidR="00B76225">
        <w:rPr>
          <w:rFonts w:ascii="Times New Roman" w:hAnsi="Times New Roman" w:cs="Times New Roman"/>
          <w:b/>
          <w:i w:val="0"/>
          <w:color w:val="auto"/>
          <w:sz w:val="24"/>
          <w:szCs w:val="24"/>
        </w:rPr>
        <w:t xml:space="preserve"> of UK-Born Individuals</w:t>
      </w:r>
      <w:r w:rsidRPr="00BF7BE8">
        <w:rPr>
          <w:rFonts w:ascii="Times New Roman" w:hAnsi="Times New Roman" w:cs="Times New Roman"/>
          <w:b/>
          <w:i w:val="0"/>
          <w:color w:val="auto"/>
          <w:sz w:val="24"/>
          <w:szCs w:val="24"/>
        </w:rPr>
        <w:t xml:space="preserve"> </w:t>
      </w:r>
    </w:p>
    <w:p w:rsidR="00DC1F33" w:rsidRDefault="00B76225" w:rsidP="000078AF">
      <w:pPr>
        <w:pStyle w:val="Default"/>
        <w:jc w:val="both"/>
        <w:rPr>
          <w:b/>
        </w:rPr>
      </w:pPr>
      <w:r w:rsidRPr="00B76225">
        <w:rPr>
          <w:b/>
          <w:noProof/>
          <w:lang w:val="en-US" w:eastAsia="en-US"/>
        </w:rPr>
        <w:drawing>
          <wp:inline distT="0" distB="0" distL="0" distR="0">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390D55" w:rsidRDefault="0062696D" w:rsidP="000078AF">
      <w:pPr>
        <w:pStyle w:val="Default"/>
        <w:jc w:val="both"/>
        <w:rPr>
          <w:sz w:val="20"/>
          <w:szCs w:val="20"/>
        </w:rPr>
      </w:pPr>
      <w:r w:rsidRPr="00DC1F33">
        <w:rPr>
          <w:sz w:val="20"/>
          <w:szCs w:val="20"/>
        </w:rPr>
        <w:t xml:space="preserve">Source: </w:t>
      </w:r>
      <w:r w:rsidR="00B76225">
        <w:rPr>
          <w:sz w:val="20"/>
          <w:szCs w:val="20"/>
          <w:lang w:eastAsia="en-GB"/>
        </w:rPr>
        <w:t>A</w:t>
      </w:r>
      <w:r w:rsidRPr="00DC1F33">
        <w:rPr>
          <w:sz w:val="20"/>
          <w:szCs w:val="20"/>
          <w:lang w:eastAsia="en-GB"/>
        </w:rPr>
        <w:t>uthor analysis of Labour Force Survey</w:t>
      </w:r>
      <w:r w:rsidRPr="00DC1F33">
        <w:rPr>
          <w:sz w:val="20"/>
          <w:szCs w:val="20"/>
        </w:rPr>
        <w:t>.</w:t>
      </w:r>
      <w:r w:rsidR="00DC1F33">
        <w:rPr>
          <w:sz w:val="20"/>
          <w:szCs w:val="20"/>
        </w:rPr>
        <w:t xml:space="preserve"> </w:t>
      </w:r>
    </w:p>
    <w:p w:rsidR="0062696D" w:rsidRPr="00DC1F33" w:rsidRDefault="00390D55" w:rsidP="000078AF">
      <w:pPr>
        <w:pStyle w:val="Default"/>
        <w:jc w:val="both"/>
        <w:rPr>
          <w:bCs/>
          <w:color w:val="00000A"/>
          <w:sz w:val="20"/>
          <w:szCs w:val="20"/>
        </w:rPr>
      </w:pPr>
      <w:r>
        <w:rPr>
          <w:sz w:val="20"/>
          <w:szCs w:val="20"/>
        </w:rPr>
        <w:t xml:space="preserve">Notes: </w:t>
      </w:r>
      <w:r w:rsidR="00DC1F33">
        <w:rPr>
          <w:sz w:val="20"/>
          <w:szCs w:val="20"/>
        </w:rPr>
        <w:t>Real hourly</w:t>
      </w:r>
      <w:r w:rsidR="000E248C">
        <w:rPr>
          <w:sz w:val="20"/>
          <w:szCs w:val="20"/>
        </w:rPr>
        <w:t xml:space="preserve"> wages </w:t>
      </w:r>
      <w:r>
        <w:rPr>
          <w:sz w:val="20"/>
          <w:szCs w:val="20"/>
        </w:rPr>
        <w:t xml:space="preserve">is median hourly wage of UK-born employees deflated by </w:t>
      </w:r>
      <w:r w:rsidR="00DC1F33">
        <w:rPr>
          <w:sz w:val="20"/>
          <w:szCs w:val="20"/>
        </w:rPr>
        <w:t>the RPI deflator.</w:t>
      </w:r>
      <w:r>
        <w:rPr>
          <w:sz w:val="20"/>
          <w:szCs w:val="20"/>
        </w:rPr>
        <w:t xml:space="preserve"> Sample Population is working age.</w:t>
      </w:r>
    </w:p>
    <w:p w:rsidR="0062696D" w:rsidRDefault="0062696D" w:rsidP="005928A0">
      <w:pPr>
        <w:pStyle w:val="Default"/>
        <w:spacing w:line="480" w:lineRule="auto"/>
        <w:jc w:val="both"/>
        <w:rPr>
          <w:bCs/>
          <w:color w:val="00000A"/>
        </w:rPr>
      </w:pPr>
    </w:p>
    <w:p w:rsidR="00AE460C" w:rsidRDefault="00B76225" w:rsidP="00AE460C">
      <w:pPr>
        <w:spacing w:after="0" w:line="480" w:lineRule="auto"/>
        <w:jc w:val="both"/>
        <w:rPr>
          <w:rFonts w:ascii="Times New Roman" w:hAnsi="Times New Roman" w:cs="Times New Roman"/>
          <w:sz w:val="24"/>
          <w:szCs w:val="24"/>
        </w:rPr>
      </w:pPr>
      <w:r w:rsidRPr="00AE460C">
        <w:rPr>
          <w:rFonts w:ascii="Times New Roman" w:hAnsi="Times New Roman" w:cs="Times New Roman"/>
          <w:bCs/>
          <w:color w:val="00000A"/>
          <w:sz w:val="24"/>
          <w:szCs w:val="24"/>
        </w:rPr>
        <w:t xml:space="preserve">Another way </w:t>
      </w:r>
      <w:r w:rsidR="00544960" w:rsidRPr="00AE460C">
        <w:rPr>
          <w:rFonts w:ascii="Times New Roman" w:hAnsi="Times New Roman" w:cs="Times New Roman"/>
          <w:bCs/>
          <w:color w:val="00000A"/>
          <w:sz w:val="24"/>
          <w:szCs w:val="24"/>
        </w:rPr>
        <w:t>to get a sense of this apparent lack of association between immigration and wages and employment of natives is to plot changes in wages or unemployment of natives against changes in immigration</w:t>
      </w:r>
      <w:r w:rsidR="00EF66E7" w:rsidRPr="00AE460C">
        <w:rPr>
          <w:rFonts w:ascii="Times New Roman" w:hAnsi="Times New Roman" w:cs="Times New Roman"/>
          <w:bCs/>
          <w:color w:val="00000A"/>
          <w:sz w:val="24"/>
          <w:szCs w:val="24"/>
        </w:rPr>
        <w:t xml:space="preserve"> for a set of areas over time. </w:t>
      </w:r>
      <w:r w:rsidR="00AE460C">
        <w:rPr>
          <w:rFonts w:ascii="Times New Roman" w:hAnsi="Times New Roman" w:cs="Times New Roman"/>
          <w:bCs/>
          <w:color w:val="00000A"/>
          <w:sz w:val="24"/>
          <w:szCs w:val="24"/>
        </w:rPr>
        <w:t xml:space="preserve">This shows whether </w:t>
      </w:r>
      <w:r w:rsidR="00AE460C" w:rsidRPr="00AE460C">
        <w:rPr>
          <w:rFonts w:ascii="Times New Roman" w:hAnsi="Times New Roman" w:cs="Times New Roman"/>
          <w:sz w:val="24"/>
          <w:szCs w:val="24"/>
          <w:lang w:eastAsia="en-GB"/>
        </w:rPr>
        <w:t xml:space="preserve">areas of the UK that had larger influxes of immigrants also had worse job and wage outcomes for the UK-born relative to other areas. </w:t>
      </w:r>
      <w:r w:rsidR="00AE460C" w:rsidRPr="00AE460C">
        <w:rPr>
          <w:rFonts w:ascii="Times New Roman" w:hAnsi="Times New Roman" w:cs="Times New Roman"/>
          <w:sz w:val="24"/>
          <w:szCs w:val="24"/>
        </w:rPr>
        <w:t>Looking at change</w:t>
      </w:r>
      <w:r w:rsidR="00AE460C">
        <w:rPr>
          <w:rFonts w:ascii="Times New Roman" w:hAnsi="Times New Roman" w:cs="Times New Roman"/>
          <w:sz w:val="24"/>
          <w:szCs w:val="24"/>
        </w:rPr>
        <w:t>s</w:t>
      </w:r>
      <w:r w:rsidR="00AE460C" w:rsidRPr="00AE460C">
        <w:rPr>
          <w:rFonts w:ascii="Times New Roman" w:hAnsi="Times New Roman" w:cs="Times New Roman"/>
          <w:sz w:val="24"/>
          <w:szCs w:val="24"/>
        </w:rPr>
        <w:t xml:space="preserve"> over time </w:t>
      </w:r>
      <w:r w:rsidR="00AE460C">
        <w:rPr>
          <w:rFonts w:ascii="Times New Roman" w:hAnsi="Times New Roman" w:cs="Times New Roman"/>
          <w:sz w:val="24"/>
          <w:szCs w:val="24"/>
        </w:rPr>
        <w:t xml:space="preserve">also </w:t>
      </w:r>
      <w:r w:rsidR="00FC3C54">
        <w:rPr>
          <w:rFonts w:ascii="Times New Roman" w:hAnsi="Times New Roman" w:cs="Times New Roman"/>
          <w:sz w:val="24"/>
          <w:szCs w:val="24"/>
        </w:rPr>
        <w:t>nets out</w:t>
      </w:r>
      <w:r w:rsidR="00AE460C" w:rsidRPr="00AE460C">
        <w:rPr>
          <w:rFonts w:ascii="Times New Roman" w:hAnsi="Times New Roman" w:cs="Times New Roman"/>
          <w:sz w:val="24"/>
          <w:szCs w:val="24"/>
        </w:rPr>
        <w:t xml:space="preserve"> other features of the local labour market that could also explain</w:t>
      </w:r>
      <w:r w:rsidR="00FC3C54">
        <w:rPr>
          <w:rFonts w:ascii="Times New Roman" w:hAnsi="Times New Roman" w:cs="Times New Roman"/>
          <w:sz w:val="24"/>
          <w:szCs w:val="24"/>
        </w:rPr>
        <w:t xml:space="preserve"> changes in </w:t>
      </w:r>
      <w:r w:rsidR="00AE460C" w:rsidRPr="00AE460C">
        <w:rPr>
          <w:rFonts w:ascii="Times New Roman" w:hAnsi="Times New Roman" w:cs="Times New Roman"/>
          <w:sz w:val="24"/>
          <w:szCs w:val="24"/>
        </w:rPr>
        <w:t>unemployment and wages in those areas.</w:t>
      </w:r>
      <w:r w:rsidR="00AE460C">
        <w:rPr>
          <w:rFonts w:ascii="Times New Roman" w:hAnsi="Times New Roman" w:cs="Times New Roman"/>
          <w:sz w:val="24"/>
          <w:szCs w:val="24"/>
        </w:rPr>
        <w:t xml:space="preserve"> </w:t>
      </w:r>
    </w:p>
    <w:p w:rsidR="00AE460C" w:rsidRPr="00AE460C" w:rsidRDefault="00AE460C" w:rsidP="00AE460C">
      <w:pPr>
        <w:spacing w:after="0" w:line="480" w:lineRule="auto"/>
        <w:jc w:val="both"/>
        <w:rPr>
          <w:rFonts w:ascii="Times New Roman" w:hAnsi="Times New Roman" w:cs="Times New Roman"/>
          <w:sz w:val="24"/>
          <w:szCs w:val="24"/>
        </w:rPr>
      </w:pPr>
    </w:p>
    <w:p w:rsidR="00AE460C" w:rsidRPr="00AE460C" w:rsidRDefault="007361D5" w:rsidP="00AE460C">
      <w:pPr>
        <w:spacing w:after="0" w:line="480" w:lineRule="auto"/>
        <w:jc w:val="both"/>
        <w:rPr>
          <w:rFonts w:ascii="Times New Roman" w:hAnsi="Times New Roman" w:cs="Times New Roman"/>
          <w:sz w:val="24"/>
          <w:szCs w:val="24"/>
          <w:lang w:eastAsia="en-GB"/>
        </w:rPr>
      </w:pPr>
      <w:r>
        <w:rPr>
          <w:rFonts w:ascii="Times New Roman" w:hAnsi="Times New Roman" w:cs="Times New Roman"/>
          <w:bCs/>
          <w:color w:val="00000A"/>
          <w:sz w:val="24"/>
          <w:szCs w:val="24"/>
        </w:rPr>
        <w:t>Figures 3 to 5</w:t>
      </w:r>
      <w:r w:rsidR="00AE460C" w:rsidRPr="00AE460C">
        <w:rPr>
          <w:rFonts w:ascii="Times New Roman" w:hAnsi="Times New Roman" w:cs="Times New Roman"/>
          <w:bCs/>
          <w:color w:val="00000A"/>
          <w:sz w:val="24"/>
          <w:szCs w:val="24"/>
        </w:rPr>
        <w:t xml:space="preserve"> below attempt to do this. In the Figures each dot represents an area. The areas correspond, broadly, to English counties and Scottish and Welsh administrative areas. </w:t>
      </w:r>
      <w:r w:rsidR="00AE460C" w:rsidRPr="00AE460C">
        <w:rPr>
          <w:rFonts w:ascii="Times New Roman" w:hAnsi="Times New Roman" w:cs="Times New Roman"/>
          <w:sz w:val="24"/>
          <w:szCs w:val="24"/>
          <w:lang w:eastAsia="en-GB"/>
        </w:rPr>
        <w:t xml:space="preserve">The solid </w:t>
      </w:r>
      <w:r w:rsidR="00AE460C" w:rsidRPr="00AE460C">
        <w:rPr>
          <w:rFonts w:ascii="Times New Roman" w:hAnsi="Times New Roman" w:cs="Times New Roman"/>
          <w:sz w:val="24"/>
          <w:szCs w:val="24"/>
          <w:lang w:eastAsia="en-GB"/>
        </w:rPr>
        <w:lastRenderedPageBreak/>
        <w:t>red line summarises the relationship between</w:t>
      </w:r>
      <w:r w:rsidR="00EC73D5">
        <w:rPr>
          <w:rFonts w:ascii="Times New Roman" w:hAnsi="Times New Roman" w:cs="Times New Roman"/>
          <w:sz w:val="24"/>
          <w:szCs w:val="24"/>
          <w:lang w:eastAsia="en-GB"/>
        </w:rPr>
        <w:t xml:space="preserve"> changes in</w:t>
      </w:r>
      <w:r w:rsidR="00AE460C" w:rsidRPr="00AE460C">
        <w:rPr>
          <w:rFonts w:ascii="Times New Roman" w:hAnsi="Times New Roman" w:cs="Times New Roman"/>
          <w:sz w:val="24"/>
          <w:szCs w:val="24"/>
          <w:lang w:eastAsia="en-GB"/>
        </w:rPr>
        <w:t xml:space="preserve"> (EU) immigration </w:t>
      </w:r>
      <w:r w:rsidR="00EC73D5">
        <w:rPr>
          <w:rFonts w:ascii="Times New Roman" w:hAnsi="Times New Roman" w:cs="Times New Roman"/>
          <w:sz w:val="24"/>
          <w:szCs w:val="24"/>
          <w:lang w:eastAsia="en-GB"/>
        </w:rPr>
        <w:t xml:space="preserve">into the area </w:t>
      </w:r>
      <w:r w:rsidR="00AE460C" w:rsidRPr="00AE460C">
        <w:rPr>
          <w:rFonts w:ascii="Times New Roman" w:hAnsi="Times New Roman" w:cs="Times New Roman"/>
          <w:sz w:val="24"/>
          <w:szCs w:val="24"/>
          <w:lang w:eastAsia="en-GB"/>
        </w:rPr>
        <w:t xml:space="preserve">and </w:t>
      </w:r>
      <w:r w:rsidR="00EC73D5">
        <w:rPr>
          <w:rFonts w:ascii="Times New Roman" w:hAnsi="Times New Roman" w:cs="Times New Roman"/>
          <w:sz w:val="24"/>
          <w:szCs w:val="24"/>
          <w:lang w:eastAsia="en-GB"/>
        </w:rPr>
        <w:t xml:space="preserve">changes in the </w:t>
      </w:r>
      <w:r w:rsidR="00AE460C" w:rsidRPr="00AE460C">
        <w:rPr>
          <w:rFonts w:ascii="Times New Roman" w:hAnsi="Times New Roman" w:cs="Times New Roman"/>
          <w:sz w:val="24"/>
          <w:szCs w:val="24"/>
          <w:lang w:eastAsia="en-GB"/>
        </w:rPr>
        <w:t>unemployment rates</w:t>
      </w:r>
      <w:r w:rsidR="00EC73D5">
        <w:rPr>
          <w:rFonts w:ascii="Times New Roman" w:hAnsi="Times New Roman" w:cs="Times New Roman"/>
          <w:sz w:val="24"/>
          <w:szCs w:val="24"/>
          <w:lang w:eastAsia="en-GB"/>
        </w:rPr>
        <w:t xml:space="preserve"> of UK-born individuals living in that area</w:t>
      </w:r>
      <w:r w:rsidR="00852E62">
        <w:rPr>
          <w:rFonts w:ascii="Times New Roman" w:hAnsi="Times New Roman" w:cs="Times New Roman"/>
          <w:sz w:val="24"/>
          <w:szCs w:val="24"/>
          <w:lang w:eastAsia="en-GB"/>
        </w:rPr>
        <w:t xml:space="preserve"> over the period 2008 to 2016</w:t>
      </w:r>
      <w:r w:rsidR="00AE460C" w:rsidRPr="00AE460C">
        <w:rPr>
          <w:rFonts w:ascii="Times New Roman" w:hAnsi="Times New Roman" w:cs="Times New Roman"/>
          <w:sz w:val="24"/>
          <w:szCs w:val="24"/>
          <w:lang w:eastAsia="en-GB"/>
        </w:rPr>
        <w:t>.</w:t>
      </w:r>
      <w:r w:rsidR="00852E62">
        <w:rPr>
          <w:rStyle w:val="FootnoteReference"/>
          <w:rFonts w:ascii="Times New Roman" w:hAnsi="Times New Roman" w:cs="Times New Roman"/>
          <w:sz w:val="24"/>
          <w:szCs w:val="24"/>
          <w:lang w:eastAsia="en-GB"/>
        </w:rPr>
        <w:footnoteReference w:id="4"/>
      </w:r>
      <w:r w:rsidR="00AE460C" w:rsidRPr="00AE460C">
        <w:rPr>
          <w:rFonts w:ascii="Times New Roman" w:hAnsi="Times New Roman" w:cs="Times New Roman"/>
          <w:sz w:val="24"/>
          <w:szCs w:val="24"/>
          <w:lang w:eastAsia="en-GB"/>
        </w:rPr>
        <w:t xml:space="preserve"> If immigration increased unemployment, we would expect a strong </w:t>
      </w:r>
      <w:r w:rsidR="00AE460C" w:rsidRPr="00AE460C">
        <w:rPr>
          <w:rFonts w:ascii="Times New Roman" w:hAnsi="Times New Roman" w:cs="Times New Roman"/>
          <w:i/>
          <w:sz w:val="24"/>
          <w:szCs w:val="24"/>
          <w:lang w:eastAsia="en-GB"/>
        </w:rPr>
        <w:t>upward</w:t>
      </w:r>
      <w:r w:rsidR="00AE460C" w:rsidRPr="00AE460C">
        <w:rPr>
          <w:rFonts w:ascii="Times New Roman" w:hAnsi="Times New Roman" w:cs="Times New Roman"/>
          <w:sz w:val="24"/>
          <w:szCs w:val="24"/>
          <w:lang w:eastAsia="en-GB"/>
        </w:rPr>
        <w:t xml:space="preserve"> sloping line: more immigrants would mean more unemployment for local workers. It is clear from the graph that there is no positive relationship between immigration and unemployment rates of those born in the UK. If anything, the relationship is negative, suggesting areas with more immigration experienced larger falls in unemployment for the UK-born over this period.</w:t>
      </w:r>
    </w:p>
    <w:p w:rsidR="00AE460C" w:rsidRPr="00AE460C" w:rsidRDefault="00AE460C" w:rsidP="00385DC6">
      <w:pPr>
        <w:spacing w:after="0" w:line="240" w:lineRule="auto"/>
        <w:jc w:val="both"/>
        <w:rPr>
          <w:rFonts w:ascii="Times New Roman" w:hAnsi="Times New Roman" w:cs="Times New Roman"/>
          <w:b/>
          <w:sz w:val="24"/>
          <w:szCs w:val="24"/>
          <w:lang w:eastAsia="en-GB"/>
        </w:rPr>
      </w:pPr>
      <w:r w:rsidRPr="00AE460C">
        <w:rPr>
          <w:rFonts w:ascii="Times New Roman" w:hAnsi="Times New Roman" w:cs="Times New Roman"/>
          <w:b/>
          <w:sz w:val="24"/>
          <w:szCs w:val="24"/>
        </w:rPr>
        <w:t xml:space="preserve"> Figure 3. </w:t>
      </w:r>
      <w:r w:rsidRPr="00AE460C">
        <w:rPr>
          <w:rFonts w:ascii="Times New Roman" w:hAnsi="Times New Roman" w:cs="Times New Roman"/>
          <w:b/>
          <w:sz w:val="24"/>
          <w:szCs w:val="24"/>
          <w:lang w:eastAsia="en-GB"/>
        </w:rPr>
        <w:t>Unemployment rates of UK-born and EU Immigration</w:t>
      </w:r>
    </w:p>
    <w:p w:rsidR="00B76225" w:rsidRDefault="00B76225" w:rsidP="004632AD">
      <w:pPr>
        <w:spacing w:after="0" w:line="240" w:lineRule="auto"/>
        <w:jc w:val="both"/>
        <w:rPr>
          <w:b/>
          <w:lang w:eastAsia="en-GB"/>
        </w:rPr>
      </w:pPr>
      <w:r w:rsidRPr="00E63CD9">
        <w:rPr>
          <w:b/>
          <w:lang w:eastAsia="en-GB"/>
        </w:rPr>
        <w:t xml:space="preserve"> </w:t>
      </w:r>
      <w:r>
        <w:rPr>
          <w:noProof/>
          <w:lang w:val="en-US"/>
        </w:rPr>
        <w:drawing>
          <wp:inline distT="0" distB="0" distL="0" distR="0" wp14:anchorId="5B5D3CC6" wp14:editId="22F165ED">
            <wp:extent cx="5516454" cy="4037181"/>
            <wp:effectExtent l="0" t="0" r="0" b="1905"/>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538881" cy="4053594"/>
                    </a:xfrm>
                    <a:prstGeom prst="rect">
                      <a:avLst/>
                    </a:prstGeom>
                    <a:noFill/>
                    <a:ln w="9525">
                      <a:noFill/>
                      <a:miter lim="800000"/>
                      <a:headEnd/>
                      <a:tailEnd/>
                    </a:ln>
                  </pic:spPr>
                </pic:pic>
              </a:graphicData>
            </a:graphic>
          </wp:inline>
        </w:drawing>
      </w:r>
    </w:p>
    <w:p w:rsidR="004632AD" w:rsidRPr="00D82861" w:rsidRDefault="004632AD" w:rsidP="004632AD">
      <w:pPr>
        <w:pStyle w:val="Default"/>
        <w:jc w:val="both"/>
        <w:rPr>
          <w:bCs/>
          <w:color w:val="00000A"/>
          <w:sz w:val="20"/>
          <w:szCs w:val="20"/>
        </w:rPr>
      </w:pPr>
      <w:r w:rsidRPr="00D82861">
        <w:rPr>
          <w:sz w:val="20"/>
          <w:szCs w:val="20"/>
        </w:rPr>
        <w:t xml:space="preserve">Source: </w:t>
      </w:r>
      <w:r w:rsidRPr="00D82861">
        <w:rPr>
          <w:sz w:val="20"/>
          <w:szCs w:val="20"/>
          <w:lang w:eastAsia="en-GB"/>
        </w:rPr>
        <w:t>Author analysis of Labour Force Survey</w:t>
      </w:r>
      <w:r w:rsidRPr="00D82861">
        <w:rPr>
          <w:sz w:val="20"/>
          <w:szCs w:val="20"/>
        </w:rPr>
        <w:t xml:space="preserve">. </w:t>
      </w:r>
      <w:r w:rsidR="00D82861" w:rsidRPr="00D82861">
        <w:rPr>
          <w:sz w:val="20"/>
          <w:szCs w:val="20"/>
          <w:lang w:eastAsia="en-GB"/>
        </w:rPr>
        <w:t xml:space="preserve">Notes: Each dot represents a UK </w:t>
      </w:r>
      <w:r w:rsidR="00D82861">
        <w:rPr>
          <w:sz w:val="20"/>
          <w:szCs w:val="20"/>
          <w:lang w:eastAsia="en-GB"/>
        </w:rPr>
        <w:t>“county”</w:t>
      </w:r>
      <w:r w:rsidR="00D82861" w:rsidRPr="00D82861">
        <w:rPr>
          <w:sz w:val="20"/>
          <w:szCs w:val="20"/>
          <w:lang w:eastAsia="en-GB"/>
        </w:rPr>
        <w:t xml:space="preserve">. </w:t>
      </w:r>
      <w:r w:rsidR="00D82861" w:rsidRPr="00D82861">
        <w:rPr>
          <w:sz w:val="20"/>
          <w:szCs w:val="20"/>
        </w:rPr>
        <w:t xml:space="preserve">The solid line is the predicted ‘best fit’ from a regression of </w:t>
      </w:r>
      <w:r w:rsidR="00D82861">
        <w:rPr>
          <w:sz w:val="20"/>
          <w:szCs w:val="20"/>
        </w:rPr>
        <w:t xml:space="preserve">the county percentage point </w:t>
      </w:r>
      <w:r w:rsidR="00D82861" w:rsidRPr="00D82861">
        <w:rPr>
          <w:sz w:val="20"/>
          <w:szCs w:val="20"/>
        </w:rPr>
        <w:t xml:space="preserve">change in </w:t>
      </w:r>
      <w:r w:rsidR="00D82861">
        <w:rPr>
          <w:sz w:val="20"/>
          <w:szCs w:val="20"/>
        </w:rPr>
        <w:t xml:space="preserve">unemployment rate of UK-born workers </w:t>
      </w:r>
      <w:r w:rsidR="00D82861" w:rsidRPr="00D82861">
        <w:rPr>
          <w:sz w:val="20"/>
          <w:szCs w:val="20"/>
        </w:rPr>
        <w:t xml:space="preserve">on the </w:t>
      </w:r>
      <w:r w:rsidR="00D82861">
        <w:rPr>
          <w:sz w:val="20"/>
          <w:szCs w:val="20"/>
        </w:rPr>
        <w:t xml:space="preserve">county-level percentage point </w:t>
      </w:r>
      <w:r w:rsidR="00D82861" w:rsidRPr="00D82861">
        <w:rPr>
          <w:sz w:val="20"/>
          <w:szCs w:val="20"/>
        </w:rPr>
        <w:t>change in share of immigrants. These are weighted by the sample population in each area.</w:t>
      </w:r>
    </w:p>
    <w:p w:rsidR="004632AD" w:rsidRDefault="004632AD" w:rsidP="004632AD">
      <w:pPr>
        <w:spacing w:after="0" w:line="240" w:lineRule="auto"/>
        <w:jc w:val="both"/>
        <w:rPr>
          <w:rFonts w:ascii="Times New Roman" w:hAnsi="Times New Roman" w:cs="Times New Roman"/>
          <w:sz w:val="24"/>
          <w:szCs w:val="24"/>
          <w:lang w:eastAsia="en-GB"/>
        </w:rPr>
      </w:pPr>
    </w:p>
    <w:p w:rsidR="00AE460C" w:rsidRPr="00AE460C" w:rsidRDefault="00AE460C" w:rsidP="00AE460C">
      <w:pPr>
        <w:spacing w:after="0" w:line="480" w:lineRule="auto"/>
        <w:jc w:val="both"/>
        <w:rPr>
          <w:rFonts w:ascii="Times New Roman" w:hAnsi="Times New Roman" w:cs="Times New Roman"/>
          <w:sz w:val="24"/>
          <w:szCs w:val="24"/>
          <w:lang w:eastAsia="en-GB"/>
        </w:rPr>
      </w:pPr>
      <w:r w:rsidRPr="00AE460C">
        <w:rPr>
          <w:rFonts w:ascii="Times New Roman" w:hAnsi="Times New Roman" w:cs="Times New Roman"/>
          <w:sz w:val="24"/>
          <w:szCs w:val="24"/>
          <w:lang w:eastAsia="en-GB"/>
        </w:rPr>
        <w:lastRenderedPageBreak/>
        <w:t>So why do some people think immigration has hurt jobs? Look at two a</w:t>
      </w:r>
      <w:r>
        <w:rPr>
          <w:rFonts w:ascii="Times New Roman" w:hAnsi="Times New Roman" w:cs="Times New Roman"/>
          <w:sz w:val="24"/>
          <w:szCs w:val="24"/>
          <w:lang w:eastAsia="en-GB"/>
        </w:rPr>
        <w:t>reas – dots A and B in Figure 3</w:t>
      </w:r>
      <w:r w:rsidRPr="00AE460C">
        <w:rPr>
          <w:rFonts w:ascii="Times New Roman" w:hAnsi="Times New Roman" w:cs="Times New Roman"/>
          <w:sz w:val="24"/>
          <w:szCs w:val="24"/>
          <w:lang w:eastAsia="en-GB"/>
        </w:rPr>
        <w:t xml:space="preserve">. Both have had increases in the EU immigrant share of over </w:t>
      </w:r>
      <w:r>
        <w:rPr>
          <w:rFonts w:ascii="Times New Roman" w:hAnsi="Times New Roman" w:cs="Times New Roman"/>
          <w:sz w:val="24"/>
          <w:szCs w:val="24"/>
          <w:lang w:eastAsia="en-GB"/>
        </w:rPr>
        <w:t>5 percentage points</w:t>
      </w:r>
      <w:r w:rsidRPr="00AE460C">
        <w:rPr>
          <w:rFonts w:ascii="Times New Roman" w:hAnsi="Times New Roman" w:cs="Times New Roman"/>
          <w:sz w:val="24"/>
          <w:szCs w:val="24"/>
          <w:lang w:eastAsia="en-GB"/>
        </w:rPr>
        <w:t xml:space="preserve"> – well above the national average. In area A, unemployment for the UK-</w:t>
      </w:r>
      <w:r>
        <w:rPr>
          <w:rFonts w:ascii="Times New Roman" w:hAnsi="Times New Roman" w:cs="Times New Roman"/>
          <w:sz w:val="24"/>
          <w:szCs w:val="24"/>
          <w:lang w:eastAsia="en-GB"/>
        </w:rPr>
        <w:t>born has risen</w:t>
      </w:r>
      <w:r w:rsidRPr="00AE460C">
        <w:rPr>
          <w:rFonts w:ascii="Times New Roman" w:hAnsi="Times New Roman" w:cs="Times New Roman"/>
          <w:sz w:val="24"/>
          <w:szCs w:val="24"/>
          <w:lang w:eastAsia="en-GB"/>
        </w:rPr>
        <w:t>. So in area A, it</w:t>
      </w:r>
      <w:r w:rsidR="00EC73D5">
        <w:rPr>
          <w:rFonts w:ascii="Times New Roman" w:hAnsi="Times New Roman" w:cs="Times New Roman"/>
          <w:sz w:val="24"/>
          <w:szCs w:val="24"/>
          <w:lang w:eastAsia="en-GB"/>
        </w:rPr>
        <w:t xml:space="preserve"> may</w:t>
      </w:r>
      <w:r w:rsidRPr="00AE460C">
        <w:rPr>
          <w:rFonts w:ascii="Times New Roman" w:hAnsi="Times New Roman" w:cs="Times New Roman"/>
          <w:sz w:val="24"/>
          <w:szCs w:val="24"/>
          <w:lang w:eastAsia="en-GB"/>
        </w:rPr>
        <w:t xml:space="preserve"> feel like immigrants are bad for jobs. But </w:t>
      </w:r>
      <w:r w:rsidR="0053219A">
        <w:rPr>
          <w:rFonts w:ascii="Times New Roman" w:hAnsi="Times New Roman" w:cs="Times New Roman"/>
          <w:sz w:val="24"/>
          <w:szCs w:val="24"/>
          <w:lang w:eastAsia="en-GB"/>
        </w:rPr>
        <w:t xml:space="preserve">area B also </w:t>
      </w:r>
      <w:r w:rsidRPr="00AE460C">
        <w:rPr>
          <w:rFonts w:ascii="Times New Roman" w:hAnsi="Times New Roman" w:cs="Times New Roman"/>
          <w:sz w:val="24"/>
          <w:szCs w:val="24"/>
          <w:lang w:eastAsia="en-GB"/>
        </w:rPr>
        <w:t xml:space="preserve">had a </w:t>
      </w:r>
      <w:r w:rsidR="0053219A">
        <w:rPr>
          <w:rFonts w:ascii="Times New Roman" w:hAnsi="Times New Roman" w:cs="Times New Roman"/>
          <w:sz w:val="24"/>
          <w:szCs w:val="24"/>
          <w:lang w:eastAsia="en-GB"/>
        </w:rPr>
        <w:t>large</w:t>
      </w:r>
      <w:r w:rsidRPr="00AE460C">
        <w:rPr>
          <w:rFonts w:ascii="Times New Roman" w:hAnsi="Times New Roman" w:cs="Times New Roman"/>
          <w:sz w:val="24"/>
          <w:szCs w:val="24"/>
          <w:lang w:eastAsia="en-GB"/>
        </w:rPr>
        <w:t xml:space="preserve"> increase in immigration, while unemployment </w:t>
      </w:r>
      <w:r w:rsidR="0053219A">
        <w:rPr>
          <w:rFonts w:ascii="Times New Roman" w:hAnsi="Times New Roman" w:cs="Times New Roman"/>
          <w:sz w:val="24"/>
          <w:szCs w:val="24"/>
          <w:lang w:eastAsia="en-GB"/>
        </w:rPr>
        <w:t>t</w:t>
      </w:r>
      <w:r w:rsidRPr="00AE460C">
        <w:rPr>
          <w:rFonts w:ascii="Times New Roman" w:hAnsi="Times New Roman" w:cs="Times New Roman"/>
          <w:sz w:val="24"/>
          <w:szCs w:val="24"/>
          <w:lang w:eastAsia="en-GB"/>
        </w:rPr>
        <w:t>here has</w:t>
      </w:r>
      <w:r>
        <w:rPr>
          <w:rFonts w:ascii="Times New Roman" w:hAnsi="Times New Roman" w:cs="Times New Roman"/>
          <w:sz w:val="24"/>
          <w:szCs w:val="24"/>
          <w:lang w:eastAsia="en-GB"/>
        </w:rPr>
        <w:t xml:space="preserve"> fallen</w:t>
      </w:r>
      <w:r w:rsidRPr="00AE460C">
        <w:rPr>
          <w:rFonts w:ascii="Times New Roman" w:hAnsi="Times New Roman" w:cs="Times New Roman"/>
          <w:sz w:val="24"/>
          <w:szCs w:val="24"/>
          <w:lang w:eastAsia="en-GB"/>
        </w:rPr>
        <w:t xml:space="preserve">. Therefore, just because immigration and unemployment both go up in an area does not mean that immigration is the reason for rising unemployment, since it is quite easy to find areas where </w:t>
      </w:r>
      <w:r>
        <w:rPr>
          <w:rFonts w:ascii="Times New Roman" w:hAnsi="Times New Roman" w:cs="Times New Roman"/>
          <w:sz w:val="24"/>
          <w:szCs w:val="24"/>
          <w:lang w:eastAsia="en-GB"/>
        </w:rPr>
        <w:t xml:space="preserve">immigration went </w:t>
      </w:r>
      <w:r w:rsidRPr="00AE460C">
        <w:rPr>
          <w:rFonts w:ascii="Times New Roman" w:hAnsi="Times New Roman" w:cs="Times New Roman"/>
          <w:sz w:val="24"/>
          <w:szCs w:val="24"/>
          <w:lang w:eastAsia="en-GB"/>
        </w:rPr>
        <w:t xml:space="preserve">up and unemployment fell. Something else must underlie the </w:t>
      </w:r>
      <w:r w:rsidR="0053219A">
        <w:rPr>
          <w:rFonts w:ascii="Times New Roman" w:hAnsi="Times New Roman" w:cs="Times New Roman"/>
          <w:sz w:val="24"/>
          <w:szCs w:val="24"/>
          <w:lang w:eastAsia="en-GB"/>
        </w:rPr>
        <w:t>mis</w:t>
      </w:r>
      <w:r w:rsidRPr="00AE460C">
        <w:rPr>
          <w:rFonts w:ascii="Times New Roman" w:hAnsi="Times New Roman" w:cs="Times New Roman"/>
          <w:sz w:val="24"/>
          <w:szCs w:val="24"/>
          <w:lang w:eastAsia="en-GB"/>
        </w:rPr>
        <w:t>fortune</w:t>
      </w:r>
      <w:r w:rsidR="0053219A">
        <w:rPr>
          <w:rFonts w:ascii="Times New Roman" w:hAnsi="Times New Roman" w:cs="Times New Roman"/>
          <w:sz w:val="24"/>
          <w:szCs w:val="24"/>
          <w:lang w:eastAsia="en-GB"/>
        </w:rPr>
        <w:t>s</w:t>
      </w:r>
      <w:r w:rsidRPr="00AE460C">
        <w:rPr>
          <w:rFonts w:ascii="Times New Roman" w:hAnsi="Times New Roman" w:cs="Times New Roman"/>
          <w:sz w:val="24"/>
          <w:szCs w:val="24"/>
          <w:lang w:eastAsia="en-GB"/>
        </w:rPr>
        <w:t xml:space="preserve"> of UK-born individuals </w:t>
      </w:r>
      <w:r w:rsidR="00FE22F0">
        <w:rPr>
          <w:rFonts w:ascii="Times New Roman" w:hAnsi="Times New Roman" w:cs="Times New Roman"/>
          <w:sz w:val="24"/>
          <w:szCs w:val="24"/>
          <w:lang w:eastAsia="en-GB"/>
        </w:rPr>
        <w:t xml:space="preserve">living in </w:t>
      </w:r>
      <w:r w:rsidRPr="00AE460C">
        <w:rPr>
          <w:rFonts w:ascii="Times New Roman" w:hAnsi="Times New Roman" w:cs="Times New Roman"/>
          <w:sz w:val="24"/>
          <w:szCs w:val="24"/>
          <w:lang w:eastAsia="en-GB"/>
        </w:rPr>
        <w:t>areas with rising unemployment</w:t>
      </w:r>
      <w:r>
        <w:rPr>
          <w:rFonts w:ascii="Times New Roman" w:hAnsi="Times New Roman" w:cs="Times New Roman"/>
          <w:sz w:val="24"/>
          <w:szCs w:val="24"/>
          <w:lang w:eastAsia="en-GB"/>
        </w:rPr>
        <w:t xml:space="preserve"> over this period</w:t>
      </w:r>
      <w:r w:rsidRPr="00AE460C">
        <w:rPr>
          <w:rFonts w:ascii="Times New Roman" w:hAnsi="Times New Roman" w:cs="Times New Roman"/>
          <w:sz w:val="24"/>
          <w:szCs w:val="24"/>
          <w:lang w:eastAsia="en-GB"/>
        </w:rPr>
        <w:t>.</w:t>
      </w:r>
    </w:p>
    <w:p w:rsidR="00AE460C" w:rsidRPr="00AE460C" w:rsidRDefault="00AE460C" w:rsidP="00AE460C">
      <w:pPr>
        <w:spacing w:after="0" w:line="480" w:lineRule="auto"/>
        <w:jc w:val="both"/>
        <w:rPr>
          <w:rFonts w:ascii="Times New Roman" w:hAnsi="Times New Roman" w:cs="Times New Roman"/>
          <w:sz w:val="24"/>
          <w:szCs w:val="24"/>
          <w:lang w:eastAsia="en-GB"/>
        </w:rPr>
      </w:pPr>
    </w:p>
    <w:p w:rsidR="00AE460C" w:rsidRPr="00AE460C" w:rsidRDefault="00AE460C" w:rsidP="00AE460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en-GB"/>
        </w:rPr>
        <w:t>Figure 4</w:t>
      </w:r>
      <w:r w:rsidRPr="00AE460C">
        <w:rPr>
          <w:rFonts w:ascii="Times New Roman" w:hAnsi="Times New Roman" w:cs="Times New Roman"/>
          <w:sz w:val="24"/>
          <w:szCs w:val="24"/>
          <w:lang w:eastAsia="en-GB"/>
        </w:rPr>
        <w:t xml:space="preserve"> provides the same analysis of the impact of </w:t>
      </w:r>
      <w:r>
        <w:rPr>
          <w:rFonts w:ascii="Times New Roman" w:hAnsi="Times New Roman" w:cs="Times New Roman"/>
          <w:sz w:val="24"/>
          <w:szCs w:val="24"/>
          <w:lang w:eastAsia="en-GB"/>
        </w:rPr>
        <w:t xml:space="preserve">EU </w:t>
      </w:r>
      <w:r w:rsidRPr="00AE460C">
        <w:rPr>
          <w:rFonts w:ascii="Times New Roman" w:hAnsi="Times New Roman" w:cs="Times New Roman"/>
          <w:sz w:val="24"/>
          <w:szCs w:val="24"/>
          <w:lang w:eastAsia="en-GB"/>
        </w:rPr>
        <w:t>immigration on pay. Again, there is no apparent link between changes i</w:t>
      </w:r>
      <w:r w:rsidR="00F5683E">
        <w:rPr>
          <w:rFonts w:ascii="Times New Roman" w:hAnsi="Times New Roman" w:cs="Times New Roman"/>
          <w:sz w:val="24"/>
          <w:szCs w:val="24"/>
          <w:lang w:eastAsia="en-GB"/>
        </w:rPr>
        <w:t xml:space="preserve">n the </w:t>
      </w:r>
      <w:r w:rsidR="00C00731">
        <w:rPr>
          <w:rFonts w:ascii="Times New Roman" w:hAnsi="Times New Roman" w:cs="Times New Roman"/>
          <w:sz w:val="24"/>
          <w:szCs w:val="24"/>
          <w:lang w:eastAsia="en-GB"/>
        </w:rPr>
        <w:t xml:space="preserve">average (median) </w:t>
      </w:r>
      <w:r w:rsidR="00F5683E">
        <w:rPr>
          <w:rFonts w:ascii="Times New Roman" w:hAnsi="Times New Roman" w:cs="Times New Roman"/>
          <w:sz w:val="24"/>
          <w:szCs w:val="24"/>
          <w:lang w:eastAsia="en-GB"/>
        </w:rPr>
        <w:t>real wages of UK-born individuals</w:t>
      </w:r>
      <w:r w:rsidRPr="00AE460C">
        <w:rPr>
          <w:rFonts w:ascii="Times New Roman" w:hAnsi="Times New Roman" w:cs="Times New Roman"/>
          <w:sz w:val="24"/>
          <w:szCs w:val="24"/>
          <w:lang w:eastAsia="en-GB"/>
        </w:rPr>
        <w:t xml:space="preserve"> and changes in immigration. </w:t>
      </w:r>
      <w:r w:rsidR="00C00731">
        <w:rPr>
          <w:rFonts w:ascii="Times New Roman" w:hAnsi="Times New Roman" w:cs="Times New Roman"/>
          <w:sz w:val="24"/>
          <w:szCs w:val="24"/>
          <w:lang w:eastAsia="en-GB"/>
        </w:rPr>
        <w:t>Real hourly w</w:t>
      </w:r>
      <w:r w:rsidRPr="00AE460C">
        <w:rPr>
          <w:rFonts w:ascii="Times New Roman" w:hAnsi="Times New Roman" w:cs="Times New Roman"/>
          <w:sz w:val="24"/>
          <w:szCs w:val="24"/>
        </w:rPr>
        <w:t xml:space="preserve">ages of UK-born workers changed at much the same rate in areas with high immigration as in areas where the change in </w:t>
      </w:r>
      <w:r w:rsidR="005A5360">
        <w:rPr>
          <w:rFonts w:ascii="Times New Roman" w:hAnsi="Times New Roman" w:cs="Times New Roman"/>
          <w:sz w:val="24"/>
          <w:szCs w:val="24"/>
        </w:rPr>
        <w:t xml:space="preserve">EU </w:t>
      </w:r>
      <w:r w:rsidRPr="00AE460C">
        <w:rPr>
          <w:rFonts w:ascii="Times New Roman" w:hAnsi="Times New Roman" w:cs="Times New Roman"/>
          <w:sz w:val="24"/>
          <w:szCs w:val="24"/>
        </w:rPr>
        <w:t>immigration was low.</w:t>
      </w:r>
      <w:r w:rsidR="000077AD">
        <w:rPr>
          <w:rFonts w:ascii="Times New Roman" w:hAnsi="Times New Roman" w:cs="Times New Roman"/>
          <w:sz w:val="24"/>
          <w:szCs w:val="24"/>
        </w:rPr>
        <w:t xml:space="preserve"> </w:t>
      </w:r>
    </w:p>
    <w:p w:rsidR="00AE460C" w:rsidRDefault="00AE460C" w:rsidP="00507DBC">
      <w:pPr>
        <w:spacing w:after="0" w:line="240" w:lineRule="auto"/>
        <w:jc w:val="both"/>
        <w:rPr>
          <w:rFonts w:ascii="Times New Roman" w:hAnsi="Times New Roman" w:cs="Times New Roman"/>
          <w:b/>
          <w:sz w:val="24"/>
          <w:szCs w:val="24"/>
          <w:lang w:eastAsia="en-GB"/>
        </w:rPr>
      </w:pPr>
      <w:r w:rsidRPr="00AE460C">
        <w:rPr>
          <w:rFonts w:ascii="Times New Roman" w:hAnsi="Times New Roman" w:cs="Times New Roman"/>
          <w:b/>
          <w:sz w:val="24"/>
          <w:szCs w:val="24"/>
          <w:lang w:eastAsia="en-GB"/>
        </w:rPr>
        <w:t xml:space="preserve">Figure 4: Changes in </w:t>
      </w:r>
      <w:r>
        <w:rPr>
          <w:rFonts w:ascii="Times New Roman" w:hAnsi="Times New Roman" w:cs="Times New Roman"/>
          <w:b/>
          <w:sz w:val="24"/>
          <w:szCs w:val="24"/>
          <w:lang w:eastAsia="en-GB"/>
        </w:rPr>
        <w:t>Wage Rates of UK-born and EU I</w:t>
      </w:r>
      <w:r w:rsidRPr="00AE460C">
        <w:rPr>
          <w:rFonts w:ascii="Times New Roman" w:hAnsi="Times New Roman" w:cs="Times New Roman"/>
          <w:b/>
          <w:sz w:val="24"/>
          <w:szCs w:val="24"/>
          <w:lang w:eastAsia="en-GB"/>
        </w:rPr>
        <w:t>mmigration</w:t>
      </w:r>
    </w:p>
    <w:p w:rsidR="00AE460C" w:rsidRDefault="00AE460C" w:rsidP="00507DBC">
      <w:pPr>
        <w:spacing w:after="0" w:line="240" w:lineRule="auto"/>
        <w:jc w:val="both"/>
        <w:rPr>
          <w:color w:val="000000"/>
        </w:rPr>
      </w:pPr>
      <w:r>
        <w:rPr>
          <w:noProof/>
          <w:lang w:val="en-US"/>
        </w:rPr>
        <w:lastRenderedPageBreak/>
        <w:drawing>
          <wp:inline distT="0" distB="0" distL="0" distR="0" wp14:anchorId="48293580" wp14:editId="6FF63DF3">
            <wp:extent cx="5250180" cy="3841950"/>
            <wp:effectExtent l="0" t="0" r="0" b="635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256723" cy="3846738"/>
                    </a:xfrm>
                    <a:prstGeom prst="rect">
                      <a:avLst/>
                    </a:prstGeom>
                    <a:noFill/>
                    <a:ln w="9525">
                      <a:noFill/>
                      <a:miter lim="800000"/>
                      <a:headEnd/>
                      <a:tailEnd/>
                    </a:ln>
                  </pic:spPr>
                </pic:pic>
              </a:graphicData>
            </a:graphic>
          </wp:inline>
        </w:drawing>
      </w:r>
    </w:p>
    <w:p w:rsidR="004632AD" w:rsidRPr="00B97DBE" w:rsidRDefault="004632AD" w:rsidP="004632AD">
      <w:pPr>
        <w:pStyle w:val="Default"/>
        <w:jc w:val="both"/>
        <w:rPr>
          <w:bCs/>
          <w:color w:val="00000A"/>
          <w:sz w:val="20"/>
          <w:szCs w:val="20"/>
        </w:rPr>
      </w:pPr>
      <w:r w:rsidRPr="00B97DBE">
        <w:rPr>
          <w:sz w:val="20"/>
          <w:szCs w:val="20"/>
        </w:rPr>
        <w:t xml:space="preserve">Source: </w:t>
      </w:r>
      <w:r w:rsidRPr="00B97DBE">
        <w:rPr>
          <w:sz w:val="20"/>
          <w:szCs w:val="20"/>
          <w:lang w:eastAsia="en-GB"/>
        </w:rPr>
        <w:t>Author analysis of Labour Force Survey</w:t>
      </w:r>
      <w:r w:rsidRPr="00B97DBE">
        <w:rPr>
          <w:sz w:val="20"/>
          <w:szCs w:val="20"/>
        </w:rPr>
        <w:t xml:space="preserve">. </w:t>
      </w:r>
      <w:r w:rsidR="00B97DBE" w:rsidRPr="00B97DBE">
        <w:rPr>
          <w:sz w:val="20"/>
          <w:szCs w:val="20"/>
        </w:rPr>
        <w:t>Notes. See Figure 3. Median r</w:t>
      </w:r>
      <w:r w:rsidRPr="00B97DBE">
        <w:rPr>
          <w:sz w:val="20"/>
          <w:szCs w:val="20"/>
        </w:rPr>
        <w:t>eal hourly wages based on the RPI deflator.</w:t>
      </w:r>
      <w:r w:rsidR="00B97DBE" w:rsidRPr="00B97DBE">
        <w:rPr>
          <w:sz w:val="20"/>
          <w:szCs w:val="20"/>
        </w:rPr>
        <w:t xml:space="preserve"> The solid line is the predicted ‘best fit’ from a regression of </w:t>
      </w:r>
      <w:r w:rsidR="00B97DBE">
        <w:rPr>
          <w:sz w:val="20"/>
          <w:szCs w:val="20"/>
        </w:rPr>
        <w:t>the county-level</w:t>
      </w:r>
      <w:r w:rsidR="00B97DBE" w:rsidRPr="00B97DBE">
        <w:rPr>
          <w:sz w:val="20"/>
          <w:szCs w:val="20"/>
        </w:rPr>
        <w:t xml:space="preserve"> percentage change in wages on the </w:t>
      </w:r>
      <w:r w:rsidR="00B97DBE">
        <w:rPr>
          <w:sz w:val="20"/>
          <w:szCs w:val="20"/>
        </w:rPr>
        <w:t>county-level</w:t>
      </w:r>
      <w:r w:rsidR="00B97DBE" w:rsidRPr="00B97DBE">
        <w:rPr>
          <w:sz w:val="20"/>
          <w:szCs w:val="20"/>
        </w:rPr>
        <w:t xml:space="preserve"> </w:t>
      </w:r>
      <w:r w:rsidR="00B97DBE">
        <w:rPr>
          <w:sz w:val="20"/>
          <w:szCs w:val="20"/>
        </w:rPr>
        <w:t xml:space="preserve">percentage point </w:t>
      </w:r>
      <w:r w:rsidR="00B97DBE" w:rsidRPr="00B97DBE">
        <w:rPr>
          <w:sz w:val="20"/>
          <w:szCs w:val="20"/>
        </w:rPr>
        <w:t>change in share of immigrants. These are weighted by the sample population in each area.</w:t>
      </w:r>
    </w:p>
    <w:p w:rsidR="004632AD" w:rsidRDefault="004632AD" w:rsidP="00AE460C">
      <w:pPr>
        <w:jc w:val="both"/>
        <w:rPr>
          <w:color w:val="000000"/>
        </w:rPr>
      </w:pPr>
    </w:p>
    <w:p w:rsidR="006829A5" w:rsidRPr="00E339E4" w:rsidRDefault="006829A5" w:rsidP="006829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findings do not change much if the group thought to be most vulnerable from immigration, low skilled UK-born workers is used instead of all UK-born workers. </w:t>
      </w:r>
      <w:r w:rsidRPr="00E339E4">
        <w:rPr>
          <w:rFonts w:ascii="Times New Roman" w:hAnsi="Times New Roman" w:cs="Times New Roman"/>
          <w:sz w:val="24"/>
          <w:szCs w:val="24"/>
        </w:rPr>
        <w:t xml:space="preserve">Figure 5 </w:t>
      </w:r>
      <w:r w:rsidR="00E339E4" w:rsidRPr="00E339E4">
        <w:rPr>
          <w:rFonts w:ascii="Times New Roman" w:hAnsi="Times New Roman" w:cs="Times New Roman"/>
          <w:sz w:val="24"/>
          <w:szCs w:val="24"/>
        </w:rPr>
        <w:t>looks at</w:t>
      </w:r>
      <w:r w:rsidR="003D4F8E">
        <w:rPr>
          <w:rFonts w:ascii="Times New Roman" w:hAnsi="Times New Roman" w:cs="Times New Roman"/>
          <w:sz w:val="24"/>
          <w:szCs w:val="24"/>
        </w:rPr>
        <w:t xml:space="preserve"> the change in the NEET rate (“Not in Education, Employment or Training”</w:t>
      </w:r>
      <w:r w:rsidR="00E339E4" w:rsidRPr="00E339E4">
        <w:rPr>
          <w:rFonts w:ascii="Times New Roman" w:hAnsi="Times New Roman" w:cs="Times New Roman"/>
          <w:sz w:val="24"/>
          <w:szCs w:val="24"/>
        </w:rPr>
        <w:t>) for low skilled UK-born, defined as those who left school at the minimum leaving age or younger. There is again no effect of EU immigration on their job prospects. If anything, the relationship is negative – NEET rates fell furthest between 2</w:t>
      </w:r>
      <w:r w:rsidR="00E339E4">
        <w:rPr>
          <w:rFonts w:ascii="Times New Roman" w:hAnsi="Times New Roman" w:cs="Times New Roman"/>
          <w:sz w:val="24"/>
          <w:szCs w:val="24"/>
        </w:rPr>
        <w:t>008 and 2016</w:t>
      </w:r>
      <w:r w:rsidR="00E339E4" w:rsidRPr="00E339E4">
        <w:rPr>
          <w:rFonts w:ascii="Times New Roman" w:hAnsi="Times New Roman" w:cs="Times New Roman"/>
          <w:sz w:val="24"/>
          <w:szCs w:val="24"/>
        </w:rPr>
        <w:t xml:space="preserve"> in areas where EU immigration rose faster. But the estimate, like all others, is statistically insignificant.</w:t>
      </w:r>
    </w:p>
    <w:p w:rsidR="00BD059A" w:rsidRPr="00BD059A" w:rsidRDefault="00BD059A" w:rsidP="00BD059A">
      <w:pPr>
        <w:spacing w:after="0" w:line="240" w:lineRule="auto"/>
        <w:jc w:val="both"/>
        <w:rPr>
          <w:rFonts w:ascii="Times New Roman" w:hAnsi="Times New Roman" w:cs="Times New Roman"/>
          <w:b/>
        </w:rPr>
      </w:pPr>
      <w:r w:rsidRPr="00BD059A">
        <w:rPr>
          <w:rFonts w:ascii="Times New Roman" w:hAnsi="Times New Roman" w:cs="Times New Roman"/>
          <w:b/>
        </w:rPr>
        <w:t>Figure 5: NEET (‘not in education, employment or training’) rates for less skilled UK-born and EU immigration, 2008-2016</w:t>
      </w:r>
    </w:p>
    <w:p w:rsidR="00BD059A" w:rsidRPr="00BD059A" w:rsidRDefault="00BD059A" w:rsidP="00BD059A">
      <w:pPr>
        <w:spacing w:after="0" w:line="240" w:lineRule="auto"/>
        <w:jc w:val="both"/>
        <w:rPr>
          <w:rFonts w:ascii="Times New Roman" w:hAnsi="Times New Roman" w:cs="Times New Roman"/>
        </w:rPr>
      </w:pPr>
      <w:r w:rsidRPr="00BD059A">
        <w:rPr>
          <w:rFonts w:ascii="Times New Roman" w:hAnsi="Times New Roman" w:cs="Times New Roman"/>
          <w:noProof/>
          <w:lang w:val="en-US"/>
        </w:rPr>
        <w:lastRenderedPageBreak/>
        <w:drawing>
          <wp:inline distT="0" distB="0" distL="0" distR="0" wp14:anchorId="4D541F30" wp14:editId="2F3D62F5">
            <wp:extent cx="5090160" cy="3725201"/>
            <wp:effectExtent l="0" t="0" r="0" b="8890"/>
            <wp:docPr id="2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5099182" cy="3731804"/>
                    </a:xfrm>
                    <a:prstGeom prst="rect">
                      <a:avLst/>
                    </a:prstGeom>
                    <a:noFill/>
                    <a:ln w="9525">
                      <a:noFill/>
                      <a:miter lim="800000"/>
                      <a:headEnd/>
                      <a:tailEnd/>
                    </a:ln>
                  </pic:spPr>
                </pic:pic>
              </a:graphicData>
            </a:graphic>
          </wp:inline>
        </w:drawing>
      </w:r>
    </w:p>
    <w:p w:rsidR="00BD059A" w:rsidRPr="00BD059A" w:rsidRDefault="00BD059A" w:rsidP="00BD059A">
      <w:pPr>
        <w:spacing w:after="0" w:line="240" w:lineRule="auto"/>
        <w:jc w:val="both"/>
        <w:rPr>
          <w:rFonts w:ascii="Times New Roman" w:hAnsi="Times New Roman" w:cs="Times New Roman"/>
          <w:sz w:val="20"/>
          <w:szCs w:val="20"/>
        </w:rPr>
      </w:pPr>
      <w:r w:rsidRPr="00BD059A">
        <w:rPr>
          <w:rFonts w:ascii="Times New Roman" w:hAnsi="Times New Roman" w:cs="Times New Roman"/>
          <w:b/>
          <w:sz w:val="20"/>
          <w:szCs w:val="20"/>
          <w:lang w:eastAsia="en-GB"/>
        </w:rPr>
        <w:t>Source:</w:t>
      </w:r>
      <w:r w:rsidRPr="00BD059A">
        <w:rPr>
          <w:rFonts w:ascii="Times New Roman" w:hAnsi="Times New Roman" w:cs="Times New Roman"/>
          <w:sz w:val="20"/>
          <w:szCs w:val="20"/>
          <w:lang w:eastAsia="en-GB"/>
        </w:rPr>
        <w:t xml:space="preserve"> Author analysis of Labour Force Survey. </w:t>
      </w:r>
      <w:r w:rsidRPr="007C4CE8">
        <w:rPr>
          <w:rFonts w:ascii="Times New Roman" w:hAnsi="Times New Roman" w:cs="Times New Roman"/>
          <w:sz w:val="20"/>
          <w:szCs w:val="20"/>
          <w:lang w:eastAsia="en-GB"/>
        </w:rPr>
        <w:t>Notes:</w:t>
      </w:r>
      <w:r w:rsidRPr="00BD059A">
        <w:rPr>
          <w:rFonts w:ascii="Times New Roman" w:hAnsi="Times New Roman" w:cs="Times New Roman"/>
          <w:sz w:val="20"/>
          <w:szCs w:val="20"/>
          <w:lang w:eastAsia="en-GB"/>
        </w:rPr>
        <w:t xml:space="preserve"> Each dot</w:t>
      </w:r>
      <w:r w:rsidR="00994DF5">
        <w:rPr>
          <w:rFonts w:ascii="Times New Roman" w:hAnsi="Times New Roman" w:cs="Times New Roman"/>
          <w:sz w:val="20"/>
          <w:szCs w:val="20"/>
          <w:lang w:eastAsia="en-GB"/>
        </w:rPr>
        <w:t xml:space="preserve"> represents a UK county</w:t>
      </w:r>
      <w:r w:rsidRPr="00BD059A">
        <w:rPr>
          <w:rFonts w:ascii="Times New Roman" w:hAnsi="Times New Roman" w:cs="Times New Roman"/>
          <w:sz w:val="20"/>
          <w:szCs w:val="20"/>
          <w:lang w:eastAsia="en-GB"/>
        </w:rPr>
        <w:t xml:space="preserve">. </w:t>
      </w:r>
      <w:r w:rsidRPr="00BD059A">
        <w:rPr>
          <w:rFonts w:ascii="Times New Roman" w:hAnsi="Times New Roman" w:cs="Times New Roman"/>
          <w:sz w:val="20"/>
          <w:szCs w:val="20"/>
        </w:rPr>
        <w:t xml:space="preserve">The solid line is the predicted ‘best fit’ from a regression of </w:t>
      </w:r>
      <w:r w:rsidR="00994DF5">
        <w:rPr>
          <w:rFonts w:ascii="Times New Roman" w:hAnsi="Times New Roman" w:cs="Times New Roman"/>
          <w:sz w:val="20"/>
          <w:szCs w:val="20"/>
        </w:rPr>
        <w:t>county-level</w:t>
      </w:r>
      <w:r w:rsidRPr="00BD059A">
        <w:rPr>
          <w:rFonts w:ascii="Times New Roman" w:hAnsi="Times New Roman" w:cs="Times New Roman"/>
          <w:sz w:val="20"/>
          <w:szCs w:val="20"/>
        </w:rPr>
        <w:t xml:space="preserve"> change in NEET rates for the </w:t>
      </w:r>
      <w:r w:rsidR="00994DF5">
        <w:rPr>
          <w:rFonts w:ascii="Times New Roman" w:hAnsi="Times New Roman" w:cs="Times New Roman"/>
          <w:sz w:val="20"/>
          <w:szCs w:val="20"/>
        </w:rPr>
        <w:t xml:space="preserve">UK-born </w:t>
      </w:r>
      <w:r w:rsidRPr="00BD059A">
        <w:rPr>
          <w:rFonts w:ascii="Times New Roman" w:hAnsi="Times New Roman" w:cs="Times New Roman"/>
          <w:sz w:val="20"/>
          <w:szCs w:val="20"/>
        </w:rPr>
        <w:t xml:space="preserve">less skilled on the </w:t>
      </w:r>
      <w:r w:rsidR="00994DF5">
        <w:rPr>
          <w:rFonts w:ascii="Times New Roman" w:hAnsi="Times New Roman" w:cs="Times New Roman"/>
          <w:sz w:val="20"/>
          <w:szCs w:val="20"/>
        </w:rPr>
        <w:t>county-level percentage point</w:t>
      </w:r>
      <w:r w:rsidRPr="00BD059A">
        <w:rPr>
          <w:rFonts w:ascii="Times New Roman" w:hAnsi="Times New Roman" w:cs="Times New Roman"/>
          <w:sz w:val="20"/>
          <w:szCs w:val="20"/>
        </w:rPr>
        <w:t xml:space="preserve"> change </w:t>
      </w:r>
      <w:r w:rsidR="00E339E4">
        <w:rPr>
          <w:rFonts w:ascii="Times New Roman" w:hAnsi="Times New Roman" w:cs="Times New Roman"/>
          <w:sz w:val="20"/>
          <w:szCs w:val="20"/>
        </w:rPr>
        <w:t>in share of EU immigrants. The estimate is</w:t>
      </w:r>
      <w:r w:rsidRPr="00BD059A">
        <w:rPr>
          <w:rFonts w:ascii="Times New Roman" w:hAnsi="Times New Roman" w:cs="Times New Roman"/>
          <w:sz w:val="20"/>
          <w:szCs w:val="20"/>
        </w:rPr>
        <w:t xml:space="preserve"> weighted by the sample population in each area</w:t>
      </w:r>
      <w:r w:rsidR="00E339E4">
        <w:rPr>
          <w:rFonts w:ascii="Times New Roman" w:hAnsi="Times New Roman" w:cs="Times New Roman"/>
          <w:sz w:val="20"/>
          <w:szCs w:val="20"/>
        </w:rPr>
        <w:t>.</w:t>
      </w:r>
    </w:p>
    <w:p w:rsidR="00AE460C" w:rsidRDefault="00AE460C" w:rsidP="00AE460C">
      <w:pPr>
        <w:rPr>
          <w:b/>
          <w:bCs/>
          <w:color w:val="00000A"/>
        </w:rPr>
      </w:pPr>
    </w:p>
    <w:p w:rsidR="00E63CD9" w:rsidRPr="00AE460C" w:rsidRDefault="00FC3C54" w:rsidP="00AE460C">
      <w:pPr>
        <w:spacing w:after="0" w:line="480" w:lineRule="auto"/>
        <w:jc w:val="both"/>
        <w:rPr>
          <w:rFonts w:ascii="Times New Roman" w:eastAsia="Times New Roman" w:hAnsi="Times New Roman" w:cs="Times New Roman"/>
          <w:b/>
          <w:bCs/>
          <w:color w:val="00000A"/>
          <w:sz w:val="24"/>
          <w:szCs w:val="24"/>
          <w:lang w:eastAsia="zh-CN"/>
        </w:rPr>
      </w:pPr>
      <w:r>
        <w:rPr>
          <w:rFonts w:ascii="Times New Roman" w:hAnsi="Times New Roman" w:cs="Times New Roman"/>
          <w:bCs/>
          <w:color w:val="00000A"/>
          <w:sz w:val="24"/>
          <w:szCs w:val="24"/>
        </w:rPr>
        <w:t>Of course it would be unwise to draw strong conclusions about immigration</w:t>
      </w:r>
      <w:r w:rsidR="00F27222">
        <w:rPr>
          <w:rFonts w:ascii="Times New Roman" w:hAnsi="Times New Roman" w:cs="Times New Roman"/>
          <w:bCs/>
          <w:color w:val="00000A"/>
          <w:sz w:val="24"/>
          <w:szCs w:val="24"/>
        </w:rPr>
        <w:t>’</w:t>
      </w:r>
      <w:r>
        <w:rPr>
          <w:rFonts w:ascii="Times New Roman" w:hAnsi="Times New Roman" w:cs="Times New Roman"/>
          <w:bCs/>
          <w:color w:val="00000A"/>
          <w:sz w:val="24"/>
          <w:szCs w:val="24"/>
        </w:rPr>
        <w:t xml:space="preserve">s effects from </w:t>
      </w:r>
      <w:r w:rsidR="003F2734">
        <w:rPr>
          <w:rFonts w:ascii="Times New Roman" w:hAnsi="Times New Roman" w:cs="Times New Roman"/>
          <w:bCs/>
          <w:color w:val="00000A"/>
          <w:sz w:val="24"/>
          <w:szCs w:val="24"/>
        </w:rPr>
        <w:t xml:space="preserve">looking at </w:t>
      </w:r>
      <w:r>
        <w:rPr>
          <w:rFonts w:ascii="Times New Roman" w:hAnsi="Times New Roman" w:cs="Times New Roman"/>
          <w:bCs/>
          <w:color w:val="00000A"/>
          <w:sz w:val="24"/>
          <w:szCs w:val="24"/>
        </w:rPr>
        <w:t>aggregate trends. Many other factors in addition to immigration influence changes in wages and employment and it is important to try to control for these influences</w:t>
      </w:r>
      <w:r w:rsidR="003F2734">
        <w:rPr>
          <w:rFonts w:ascii="Times New Roman" w:hAnsi="Times New Roman" w:cs="Times New Roman"/>
          <w:bCs/>
          <w:color w:val="00000A"/>
          <w:sz w:val="24"/>
          <w:szCs w:val="24"/>
        </w:rPr>
        <w:t xml:space="preserve"> to isolate immigration’s effects</w:t>
      </w:r>
      <w:r>
        <w:rPr>
          <w:rFonts w:ascii="Times New Roman" w:hAnsi="Times New Roman" w:cs="Times New Roman"/>
          <w:bCs/>
          <w:color w:val="00000A"/>
          <w:sz w:val="24"/>
          <w:szCs w:val="24"/>
        </w:rPr>
        <w:t xml:space="preserve">. </w:t>
      </w:r>
      <w:r w:rsidR="003F2734">
        <w:rPr>
          <w:rFonts w:ascii="Times New Roman" w:hAnsi="Times New Roman" w:cs="Times New Roman"/>
          <w:bCs/>
          <w:color w:val="00000A"/>
          <w:sz w:val="24"/>
          <w:szCs w:val="24"/>
        </w:rPr>
        <w:t>However</w:t>
      </w:r>
      <w:r>
        <w:rPr>
          <w:rFonts w:ascii="Times New Roman" w:hAnsi="Times New Roman" w:cs="Times New Roman"/>
          <w:bCs/>
          <w:color w:val="00000A"/>
          <w:sz w:val="24"/>
          <w:szCs w:val="24"/>
        </w:rPr>
        <w:t xml:space="preserve"> t</w:t>
      </w:r>
      <w:r w:rsidR="00C00731">
        <w:rPr>
          <w:rFonts w:ascii="Times New Roman" w:hAnsi="Times New Roman" w:cs="Times New Roman"/>
          <w:bCs/>
          <w:color w:val="00000A"/>
          <w:sz w:val="24"/>
          <w:szCs w:val="24"/>
        </w:rPr>
        <w:t xml:space="preserve">hese graphs effectively summarise the </w:t>
      </w:r>
      <w:r w:rsidR="00E63CD9" w:rsidRPr="00AE460C">
        <w:rPr>
          <w:rFonts w:ascii="Times New Roman" w:hAnsi="Times New Roman" w:cs="Times New Roman"/>
          <w:bCs/>
          <w:color w:val="00000A"/>
          <w:sz w:val="24"/>
          <w:szCs w:val="24"/>
        </w:rPr>
        <w:t xml:space="preserve">rather large body of </w:t>
      </w:r>
      <w:r w:rsidR="003F2734">
        <w:rPr>
          <w:rFonts w:ascii="Times New Roman" w:hAnsi="Times New Roman" w:cs="Times New Roman"/>
          <w:bCs/>
          <w:color w:val="00000A"/>
          <w:sz w:val="24"/>
          <w:szCs w:val="24"/>
        </w:rPr>
        <w:t>a</w:t>
      </w:r>
      <w:r w:rsidR="00E63CD9" w:rsidRPr="00AE460C">
        <w:rPr>
          <w:rFonts w:ascii="Times New Roman" w:hAnsi="Times New Roman" w:cs="Times New Roman"/>
          <w:bCs/>
          <w:color w:val="00000A"/>
          <w:sz w:val="24"/>
          <w:szCs w:val="24"/>
        </w:rPr>
        <w:t xml:space="preserve">cademic economic literature that has analysed the issue of immigration’s effects on the employment and wages of “natives” </w:t>
      </w:r>
      <w:r w:rsidR="00C00731">
        <w:rPr>
          <w:rFonts w:ascii="Times New Roman" w:hAnsi="Times New Roman" w:cs="Times New Roman"/>
          <w:bCs/>
          <w:color w:val="00000A"/>
          <w:sz w:val="24"/>
          <w:szCs w:val="24"/>
        </w:rPr>
        <w:t xml:space="preserve">in the UK which </w:t>
      </w:r>
      <w:r w:rsidR="00E63CD9" w:rsidRPr="00AE460C">
        <w:rPr>
          <w:rFonts w:ascii="Times New Roman" w:hAnsi="Times New Roman" w:cs="Times New Roman"/>
          <w:bCs/>
          <w:color w:val="00000A"/>
          <w:sz w:val="24"/>
          <w:szCs w:val="24"/>
        </w:rPr>
        <w:t>has concluded that, on average, immigration has had very little effect – either positive or negative -  on the wages and employment conditions of UK-born individuals, on average</w:t>
      </w:r>
      <w:r w:rsidR="00A1013C">
        <w:rPr>
          <w:rFonts w:ascii="Times New Roman" w:hAnsi="Times New Roman" w:cs="Times New Roman"/>
          <w:bCs/>
          <w:color w:val="00000A"/>
          <w:sz w:val="24"/>
          <w:szCs w:val="24"/>
        </w:rPr>
        <w:t xml:space="preserve">, (see Manacorda, Manning and Wadsowrth (2011) or </w:t>
      </w:r>
      <w:r w:rsidR="00A053D4">
        <w:rPr>
          <w:rFonts w:ascii="Times New Roman" w:hAnsi="Times New Roman" w:cs="Times New Roman"/>
          <w:bCs/>
          <w:color w:val="00000A"/>
          <w:sz w:val="24"/>
          <w:szCs w:val="24"/>
        </w:rPr>
        <w:t>Lemos and Portes (201</w:t>
      </w:r>
      <w:r w:rsidR="008004A3">
        <w:rPr>
          <w:rFonts w:ascii="Times New Roman" w:hAnsi="Times New Roman" w:cs="Times New Roman"/>
          <w:bCs/>
          <w:color w:val="00000A"/>
          <w:sz w:val="24"/>
          <w:szCs w:val="24"/>
        </w:rPr>
        <w:t>4</w:t>
      </w:r>
      <w:r w:rsidR="00A053D4">
        <w:rPr>
          <w:rFonts w:ascii="Times New Roman" w:hAnsi="Times New Roman" w:cs="Times New Roman"/>
          <w:bCs/>
          <w:color w:val="00000A"/>
          <w:sz w:val="24"/>
          <w:szCs w:val="24"/>
        </w:rPr>
        <w:t>)</w:t>
      </w:r>
      <w:r w:rsidR="00E63CD9" w:rsidRPr="00AE460C">
        <w:rPr>
          <w:rFonts w:ascii="Times New Roman" w:hAnsi="Times New Roman" w:cs="Times New Roman"/>
          <w:bCs/>
          <w:color w:val="00000A"/>
          <w:sz w:val="24"/>
          <w:szCs w:val="24"/>
        </w:rPr>
        <w:t xml:space="preserve">. </w:t>
      </w:r>
      <w:r w:rsidR="00B76225" w:rsidRPr="00AE460C">
        <w:rPr>
          <w:rFonts w:ascii="Times New Roman" w:hAnsi="Times New Roman" w:cs="Times New Roman"/>
          <w:bCs/>
          <w:color w:val="00000A"/>
          <w:sz w:val="24"/>
          <w:szCs w:val="24"/>
        </w:rPr>
        <w:t xml:space="preserve">Neither does this average appear to </w:t>
      </w:r>
      <w:r w:rsidR="00485552" w:rsidRPr="00AE460C">
        <w:rPr>
          <w:rFonts w:ascii="Times New Roman" w:hAnsi="Times New Roman" w:cs="Times New Roman"/>
          <w:bCs/>
          <w:color w:val="00000A"/>
          <w:sz w:val="24"/>
          <w:szCs w:val="24"/>
        </w:rPr>
        <w:t xml:space="preserve">mask large effects for </w:t>
      </w:r>
      <w:r w:rsidR="00B76225" w:rsidRPr="00AE460C">
        <w:rPr>
          <w:rFonts w:ascii="Times New Roman" w:hAnsi="Times New Roman" w:cs="Times New Roman"/>
          <w:bCs/>
          <w:color w:val="00000A"/>
          <w:sz w:val="24"/>
          <w:szCs w:val="24"/>
        </w:rPr>
        <w:t>more vulnerable economic groups</w:t>
      </w:r>
      <w:r w:rsidR="00B76225" w:rsidRPr="00A053D4">
        <w:rPr>
          <w:rFonts w:ascii="Times New Roman" w:hAnsi="Times New Roman" w:cs="Times New Roman"/>
          <w:bCs/>
          <w:color w:val="00000A"/>
          <w:sz w:val="24"/>
          <w:szCs w:val="24"/>
        </w:rPr>
        <w:t xml:space="preserve">. </w:t>
      </w:r>
      <w:r w:rsidR="00CE7134" w:rsidRPr="00A053D4">
        <w:rPr>
          <w:rFonts w:ascii="Times New Roman" w:hAnsi="Times New Roman" w:cs="Times New Roman"/>
          <w:bCs/>
          <w:color w:val="00000A"/>
          <w:sz w:val="24"/>
          <w:szCs w:val="24"/>
        </w:rPr>
        <w:t xml:space="preserve">Some studies </w:t>
      </w:r>
      <w:r w:rsidR="00A1013C" w:rsidRPr="00A053D4">
        <w:rPr>
          <w:rFonts w:ascii="Times New Roman" w:hAnsi="Times New Roman" w:cs="Times New Roman"/>
          <w:bCs/>
          <w:color w:val="00000A"/>
          <w:sz w:val="24"/>
          <w:szCs w:val="24"/>
        </w:rPr>
        <w:t xml:space="preserve">(Eg </w:t>
      </w:r>
      <w:r w:rsidR="00A1013C" w:rsidRPr="00A053D4">
        <w:rPr>
          <w:rFonts w:ascii="Times New Roman" w:hAnsi="Times New Roman" w:cs="Times New Roman"/>
          <w:sz w:val="24"/>
          <w:szCs w:val="24"/>
        </w:rPr>
        <w:t xml:space="preserve">Dustmann, Frattini and Preston (2013), </w:t>
      </w:r>
      <w:r w:rsidR="00A1013C" w:rsidRPr="00A053D4">
        <w:rPr>
          <w:rFonts w:ascii="Times New Roman" w:hAnsi="Times New Roman" w:cs="Times New Roman"/>
          <w:sz w:val="24"/>
          <w:szCs w:val="24"/>
          <w:lang w:eastAsia="en-GB"/>
        </w:rPr>
        <w:t xml:space="preserve"> </w:t>
      </w:r>
      <w:r w:rsidR="00A1013C" w:rsidRPr="00A053D4">
        <w:rPr>
          <w:rFonts w:ascii="Times New Roman" w:hAnsi="Times New Roman" w:cs="Times New Roman"/>
          <w:sz w:val="24"/>
          <w:szCs w:val="24"/>
        </w:rPr>
        <w:t xml:space="preserve">Nickell and Saleheen (2015) ) </w:t>
      </w:r>
      <w:r w:rsidR="00CE7134" w:rsidRPr="00A053D4">
        <w:rPr>
          <w:rFonts w:ascii="Times New Roman" w:hAnsi="Times New Roman" w:cs="Times New Roman"/>
          <w:bCs/>
          <w:color w:val="00000A"/>
          <w:sz w:val="24"/>
          <w:szCs w:val="24"/>
        </w:rPr>
        <w:t>find sma</w:t>
      </w:r>
      <w:r w:rsidR="00CE7134">
        <w:rPr>
          <w:rFonts w:ascii="Times New Roman" w:hAnsi="Times New Roman" w:cs="Times New Roman"/>
          <w:bCs/>
          <w:color w:val="00000A"/>
          <w:sz w:val="24"/>
          <w:szCs w:val="24"/>
        </w:rPr>
        <w:t xml:space="preserve">ll </w:t>
      </w:r>
      <w:r w:rsidR="00B76225" w:rsidRPr="00AE460C">
        <w:rPr>
          <w:rFonts w:ascii="Times New Roman" w:hAnsi="Times New Roman" w:cs="Times New Roman"/>
          <w:bCs/>
          <w:color w:val="00000A"/>
          <w:sz w:val="24"/>
          <w:szCs w:val="24"/>
        </w:rPr>
        <w:t xml:space="preserve">negative effects on wages and employment </w:t>
      </w:r>
      <w:r w:rsidR="00A70D36">
        <w:rPr>
          <w:rFonts w:ascii="Times New Roman" w:hAnsi="Times New Roman" w:cs="Times New Roman"/>
          <w:bCs/>
          <w:color w:val="00000A"/>
          <w:sz w:val="24"/>
          <w:szCs w:val="24"/>
        </w:rPr>
        <w:t xml:space="preserve">of UK-born </w:t>
      </w:r>
      <w:r w:rsidR="00B76225" w:rsidRPr="00AE460C">
        <w:rPr>
          <w:rFonts w:ascii="Times New Roman" w:hAnsi="Times New Roman" w:cs="Times New Roman"/>
          <w:bCs/>
          <w:color w:val="00000A"/>
          <w:sz w:val="24"/>
          <w:szCs w:val="24"/>
        </w:rPr>
        <w:t>at the lower en</w:t>
      </w:r>
      <w:r w:rsidR="00A053D4">
        <w:rPr>
          <w:rFonts w:ascii="Times New Roman" w:hAnsi="Times New Roman" w:cs="Times New Roman"/>
          <w:bCs/>
          <w:color w:val="00000A"/>
          <w:sz w:val="24"/>
          <w:szCs w:val="24"/>
        </w:rPr>
        <w:t xml:space="preserve">d of the wage distribution. But it is important to note that these </w:t>
      </w:r>
      <w:r w:rsidR="00A053D4">
        <w:rPr>
          <w:rFonts w:ascii="Times New Roman" w:hAnsi="Times New Roman" w:cs="Times New Roman"/>
          <w:bCs/>
          <w:color w:val="00000A"/>
          <w:sz w:val="24"/>
          <w:szCs w:val="24"/>
        </w:rPr>
        <w:lastRenderedPageBreak/>
        <w:t xml:space="preserve">estimated negative effects are very small. </w:t>
      </w:r>
      <w:r w:rsidR="00A053D4" w:rsidRPr="00A053D4">
        <w:rPr>
          <w:rFonts w:ascii="Times New Roman" w:hAnsi="Times New Roman" w:cs="Times New Roman"/>
          <w:sz w:val="24"/>
          <w:szCs w:val="24"/>
        </w:rPr>
        <w:t xml:space="preserve">Dustmann et al’s. (2013) estimates show </w:t>
      </w:r>
      <w:r w:rsidR="00A053D4" w:rsidRPr="00A053D4">
        <w:rPr>
          <w:rFonts w:ascii="Times New Roman" w:eastAsia="Times New Roman" w:hAnsi="Times New Roman" w:cs="Times New Roman"/>
          <w:sz w:val="24"/>
          <w:szCs w:val="24"/>
          <w:lang w:eastAsia="en-GB"/>
        </w:rPr>
        <w:t xml:space="preserve">each 1 point increase in the immigrant–native working-age population ratio led to somewhere between a </w:t>
      </w:r>
      <w:r w:rsidR="009912EA">
        <w:rPr>
          <w:rFonts w:ascii="Times New Roman" w:eastAsia="Times New Roman" w:hAnsi="Times New Roman" w:cs="Times New Roman"/>
          <w:sz w:val="24"/>
          <w:szCs w:val="24"/>
          <w:lang w:eastAsia="en-GB"/>
        </w:rPr>
        <w:t>0.1%</w:t>
      </w:r>
      <w:r w:rsidR="00A053D4" w:rsidRPr="00A053D4">
        <w:rPr>
          <w:rFonts w:ascii="Times New Roman" w:eastAsia="Times New Roman" w:hAnsi="Times New Roman" w:cs="Times New Roman"/>
          <w:sz w:val="24"/>
          <w:szCs w:val="24"/>
          <w:lang w:eastAsia="en-GB"/>
        </w:rPr>
        <w:t xml:space="preserve"> and a 0∙5% decrease in native </w:t>
      </w:r>
      <w:r w:rsidR="001C6D4D">
        <w:rPr>
          <w:rFonts w:ascii="Times New Roman" w:eastAsia="Times New Roman" w:hAnsi="Times New Roman" w:cs="Times New Roman"/>
          <w:sz w:val="24"/>
          <w:szCs w:val="24"/>
          <w:lang w:eastAsia="en-GB"/>
        </w:rPr>
        <w:t>wages at the bottom</w:t>
      </w:r>
      <w:r w:rsidR="00A053D4" w:rsidRPr="00A053D4">
        <w:rPr>
          <w:rFonts w:ascii="Times New Roman" w:eastAsia="Times New Roman" w:hAnsi="Times New Roman" w:cs="Times New Roman"/>
          <w:sz w:val="24"/>
          <w:szCs w:val="24"/>
          <w:lang w:eastAsia="en-GB"/>
        </w:rPr>
        <w:t xml:space="preserve"> decile and a 0∙6% </w:t>
      </w:r>
      <w:r w:rsidR="00A053D4" w:rsidRPr="00A053D4">
        <w:rPr>
          <w:rFonts w:ascii="Times New Roman" w:eastAsia="Times New Roman" w:hAnsi="Times New Roman" w:cs="Times New Roman"/>
          <w:i/>
          <w:sz w:val="24"/>
          <w:szCs w:val="24"/>
          <w:lang w:eastAsia="en-GB"/>
        </w:rPr>
        <w:t>increase</w:t>
      </w:r>
      <w:r w:rsidR="00A053D4" w:rsidRPr="00A053D4">
        <w:rPr>
          <w:rFonts w:ascii="Times New Roman" w:eastAsia="Times New Roman" w:hAnsi="Times New Roman" w:cs="Times New Roman"/>
          <w:sz w:val="24"/>
          <w:szCs w:val="24"/>
          <w:lang w:eastAsia="en-GB"/>
        </w:rPr>
        <w:t xml:space="preserve"> in wages at the median. </w:t>
      </w:r>
      <w:r w:rsidR="00A053D4" w:rsidRPr="00A053D4">
        <w:rPr>
          <w:rFonts w:ascii="Times New Roman" w:hAnsi="Times New Roman" w:cs="Times New Roman"/>
          <w:sz w:val="24"/>
          <w:szCs w:val="24"/>
        </w:rPr>
        <w:t>Nickell and Salaheen (2015) find that a 10 </w:t>
      </w:r>
      <w:r w:rsidR="00A053D4" w:rsidRPr="001C6D4D">
        <w:rPr>
          <w:rStyle w:val="Emphasis"/>
          <w:rFonts w:ascii="Times New Roman" w:hAnsi="Times New Roman" w:cs="Times New Roman"/>
          <w:i w:val="0"/>
          <w:sz w:val="24"/>
          <w:szCs w:val="24"/>
        </w:rPr>
        <w:t>percentage point </w:t>
      </w:r>
      <w:r w:rsidR="000263AB" w:rsidRPr="001C6D4D">
        <w:rPr>
          <w:rStyle w:val="Emphasis"/>
          <w:rFonts w:ascii="Times New Roman" w:hAnsi="Times New Roman" w:cs="Times New Roman"/>
          <w:i w:val="0"/>
          <w:sz w:val="24"/>
          <w:szCs w:val="24"/>
        </w:rPr>
        <w:t>rise in the migration ratio</w:t>
      </w:r>
      <w:r w:rsidR="000263AB">
        <w:rPr>
          <w:rStyle w:val="Emphasis"/>
          <w:rFonts w:ascii="Times New Roman" w:hAnsi="Times New Roman" w:cs="Times New Roman"/>
          <w:sz w:val="24"/>
          <w:szCs w:val="24"/>
        </w:rPr>
        <w:t xml:space="preserve"> </w:t>
      </w:r>
      <w:r w:rsidR="00A053D4" w:rsidRPr="00A053D4">
        <w:rPr>
          <w:rFonts w:ascii="Times New Roman" w:hAnsi="Times New Roman" w:cs="Times New Roman"/>
          <w:sz w:val="24"/>
          <w:szCs w:val="24"/>
        </w:rPr>
        <w:t>leads to somewhere between around a 0.2</w:t>
      </w:r>
      <w:r w:rsidR="009912EA">
        <w:rPr>
          <w:rFonts w:ascii="Times New Roman" w:hAnsi="Times New Roman" w:cs="Times New Roman"/>
          <w:sz w:val="24"/>
          <w:szCs w:val="24"/>
        </w:rPr>
        <w:t>%</w:t>
      </w:r>
      <w:r w:rsidR="00A053D4" w:rsidRPr="00A053D4">
        <w:rPr>
          <w:rFonts w:ascii="Times New Roman" w:hAnsi="Times New Roman" w:cs="Times New Roman"/>
          <w:sz w:val="24"/>
          <w:szCs w:val="24"/>
        </w:rPr>
        <w:t xml:space="preserve"> and a 1.9% reduction in wages for native and immigrant workers combined in the semi/unskilled service sector.</w:t>
      </w:r>
      <w:r w:rsidR="00B76225" w:rsidRPr="00AE460C">
        <w:rPr>
          <w:rFonts w:ascii="Times New Roman" w:hAnsi="Times New Roman" w:cs="Times New Roman"/>
          <w:bCs/>
          <w:color w:val="00000A"/>
          <w:sz w:val="24"/>
          <w:szCs w:val="24"/>
        </w:rPr>
        <w:t xml:space="preserve"> </w:t>
      </w:r>
      <w:r w:rsidR="00A053D4">
        <w:rPr>
          <w:rFonts w:ascii="Times New Roman" w:hAnsi="Times New Roman" w:cs="Times New Roman"/>
          <w:bCs/>
          <w:color w:val="00000A"/>
          <w:sz w:val="24"/>
          <w:szCs w:val="24"/>
        </w:rPr>
        <w:t xml:space="preserve">To put this in context, </w:t>
      </w:r>
      <w:r w:rsidR="00A053D4" w:rsidRPr="00A053D4">
        <w:rPr>
          <w:rFonts w:ascii="Times New Roman" w:hAnsi="Times New Roman" w:cs="Times New Roman"/>
          <w:sz w:val="24"/>
          <w:szCs w:val="24"/>
        </w:rPr>
        <w:t xml:space="preserve">the actual UK migrant ratio </w:t>
      </w:r>
      <w:r w:rsidR="00A053D4">
        <w:rPr>
          <w:rFonts w:ascii="Times New Roman" w:hAnsi="Times New Roman" w:cs="Times New Roman"/>
          <w:sz w:val="24"/>
          <w:szCs w:val="24"/>
        </w:rPr>
        <w:t>grew</w:t>
      </w:r>
      <w:r w:rsidR="00A053D4" w:rsidRPr="00A053D4">
        <w:rPr>
          <w:rFonts w:ascii="Times New Roman" w:hAnsi="Times New Roman" w:cs="Times New Roman"/>
          <w:sz w:val="24"/>
          <w:szCs w:val="24"/>
        </w:rPr>
        <w:t xml:space="preserve"> from .07 to .15 between 1995 and 2017</w:t>
      </w:r>
      <w:r w:rsidR="000263AB">
        <w:rPr>
          <w:rFonts w:ascii="Times New Roman" w:hAnsi="Times New Roman" w:cs="Times New Roman"/>
          <w:sz w:val="24"/>
          <w:szCs w:val="24"/>
        </w:rPr>
        <w:t xml:space="preserve">, a rise of 8 percentage points over a twenty year period. So </w:t>
      </w:r>
      <w:r w:rsidR="000263AB" w:rsidRPr="000263AB">
        <w:rPr>
          <w:rFonts w:ascii="Times New Roman" w:hAnsi="Times New Roman" w:cs="Times New Roman"/>
          <w:i/>
          <w:sz w:val="24"/>
          <w:szCs w:val="24"/>
        </w:rPr>
        <w:t>at most</w:t>
      </w:r>
      <w:r w:rsidR="000263AB">
        <w:rPr>
          <w:rFonts w:ascii="Times New Roman" w:hAnsi="Times New Roman" w:cs="Times New Roman"/>
          <w:sz w:val="24"/>
          <w:szCs w:val="24"/>
        </w:rPr>
        <w:t xml:space="preserve">, </w:t>
      </w:r>
      <w:r w:rsidR="00302001">
        <w:rPr>
          <w:rFonts w:ascii="Times New Roman" w:hAnsi="Times New Roman" w:cs="Times New Roman"/>
          <w:sz w:val="24"/>
          <w:szCs w:val="24"/>
        </w:rPr>
        <w:t>according to these estimates</w:t>
      </w:r>
      <w:r w:rsidR="002A6A2A">
        <w:rPr>
          <w:rFonts w:ascii="Times New Roman" w:hAnsi="Times New Roman" w:cs="Times New Roman"/>
          <w:sz w:val="24"/>
          <w:szCs w:val="24"/>
        </w:rPr>
        <w:t>,</w:t>
      </w:r>
      <w:r w:rsidR="00302001">
        <w:rPr>
          <w:rFonts w:ascii="Times New Roman" w:hAnsi="Times New Roman" w:cs="Times New Roman"/>
          <w:sz w:val="24"/>
          <w:szCs w:val="24"/>
        </w:rPr>
        <w:t xml:space="preserve"> </w:t>
      </w:r>
      <w:r w:rsidR="000263AB">
        <w:rPr>
          <w:rFonts w:ascii="Times New Roman" w:hAnsi="Times New Roman" w:cs="Times New Roman"/>
          <w:sz w:val="24"/>
          <w:szCs w:val="24"/>
        </w:rPr>
        <w:t>wages at the bottom will have fallen by 4% over a twenty</w:t>
      </w:r>
      <w:r w:rsidR="00302001">
        <w:rPr>
          <w:rFonts w:ascii="Times New Roman" w:hAnsi="Times New Roman" w:cs="Times New Roman"/>
          <w:sz w:val="24"/>
          <w:szCs w:val="24"/>
        </w:rPr>
        <w:t>-two</w:t>
      </w:r>
      <w:r w:rsidR="000263AB">
        <w:rPr>
          <w:rFonts w:ascii="Times New Roman" w:hAnsi="Times New Roman" w:cs="Times New Roman"/>
          <w:sz w:val="24"/>
          <w:szCs w:val="24"/>
        </w:rPr>
        <w:t xml:space="preserve"> year period</w:t>
      </w:r>
      <w:r w:rsidR="00302001">
        <w:rPr>
          <w:rFonts w:ascii="Times New Roman" w:hAnsi="Times New Roman" w:cs="Times New Roman"/>
          <w:sz w:val="24"/>
          <w:szCs w:val="24"/>
        </w:rPr>
        <w:t xml:space="preserve"> or </w:t>
      </w:r>
      <w:r w:rsidR="009912EA">
        <w:rPr>
          <w:rFonts w:ascii="Times New Roman" w:hAnsi="Times New Roman" w:cs="Times New Roman"/>
          <w:sz w:val="24"/>
          <w:szCs w:val="24"/>
        </w:rPr>
        <w:t xml:space="preserve">by </w:t>
      </w:r>
      <w:r w:rsidR="00302001">
        <w:rPr>
          <w:rFonts w:ascii="Times New Roman" w:hAnsi="Times New Roman" w:cs="Times New Roman"/>
          <w:sz w:val="24"/>
          <w:szCs w:val="24"/>
        </w:rPr>
        <w:t>0.18% a year</w:t>
      </w:r>
      <w:r w:rsidR="000263AB">
        <w:rPr>
          <w:rFonts w:ascii="Times New Roman" w:hAnsi="Times New Roman" w:cs="Times New Roman"/>
          <w:sz w:val="24"/>
          <w:szCs w:val="24"/>
        </w:rPr>
        <w:t>.</w:t>
      </w:r>
    </w:p>
    <w:p w:rsidR="00B76225" w:rsidRDefault="00B76225" w:rsidP="00B76225">
      <w:pPr>
        <w:pStyle w:val="Default"/>
        <w:spacing w:line="480" w:lineRule="auto"/>
        <w:jc w:val="both"/>
        <w:rPr>
          <w:bCs/>
          <w:color w:val="00000A"/>
        </w:rPr>
      </w:pPr>
    </w:p>
    <w:p w:rsidR="004036E7" w:rsidRDefault="00B76225" w:rsidP="00B76225">
      <w:pPr>
        <w:pStyle w:val="Default"/>
        <w:spacing w:line="480" w:lineRule="auto"/>
        <w:jc w:val="both"/>
        <w:rPr>
          <w:bCs/>
          <w:color w:val="00000A"/>
        </w:rPr>
      </w:pPr>
      <w:r>
        <w:rPr>
          <w:bCs/>
          <w:color w:val="00000A"/>
        </w:rPr>
        <w:t>How to explain these findings?</w:t>
      </w:r>
      <w:r w:rsidR="00385680">
        <w:rPr>
          <w:bCs/>
          <w:color w:val="00000A"/>
        </w:rPr>
        <w:t xml:space="preserve"> It seems clear that the idea that the simple textbook theory that a rising supply of labour (more immigrants) will put </w:t>
      </w:r>
      <w:r w:rsidR="002A6A2A">
        <w:rPr>
          <w:bCs/>
          <w:color w:val="00000A"/>
        </w:rPr>
        <w:t xml:space="preserve">lots of </w:t>
      </w:r>
      <w:r w:rsidR="00385680">
        <w:rPr>
          <w:bCs/>
          <w:color w:val="00000A"/>
        </w:rPr>
        <w:t xml:space="preserve">downward pressure on wages and employment can not explain what we have seen in the UK. </w:t>
      </w:r>
      <w:r w:rsidR="00466676">
        <w:rPr>
          <w:bCs/>
          <w:color w:val="00000A"/>
        </w:rPr>
        <w:t>Something else must be going on related to immigration that must be shifting out the labour demand curve to offset any shift in labour supply.</w:t>
      </w:r>
      <w:r w:rsidR="00385680">
        <w:rPr>
          <w:bCs/>
          <w:color w:val="00000A"/>
        </w:rPr>
        <w:t xml:space="preserve"> One idea may be that, on average, immigrants complement domestic labour rather than directly substitute for domestic labour. If so</w:t>
      </w:r>
      <w:r w:rsidR="00884C47">
        <w:rPr>
          <w:bCs/>
          <w:color w:val="00000A"/>
        </w:rPr>
        <w:t>,</w:t>
      </w:r>
      <w:r w:rsidR="00385680">
        <w:rPr>
          <w:bCs/>
          <w:color w:val="00000A"/>
        </w:rPr>
        <w:t xml:space="preserve"> then a job can be done effectively by combining existing labour with immigrant labour</w:t>
      </w:r>
      <w:r w:rsidR="00884C47">
        <w:rPr>
          <w:bCs/>
          <w:color w:val="00000A"/>
        </w:rPr>
        <w:t>, (skilled immigrants train domestic trainees for example)</w:t>
      </w:r>
      <w:r w:rsidR="00385680">
        <w:rPr>
          <w:bCs/>
          <w:color w:val="00000A"/>
        </w:rPr>
        <w:t xml:space="preserve">. </w:t>
      </w:r>
      <w:r w:rsidR="00884C47">
        <w:rPr>
          <w:bCs/>
          <w:color w:val="00000A"/>
        </w:rPr>
        <w:t xml:space="preserve"> More productive sectors generate more demand elsewhere in the economy. </w:t>
      </w:r>
      <w:r w:rsidR="00385680">
        <w:rPr>
          <w:bCs/>
          <w:color w:val="00000A"/>
        </w:rPr>
        <w:t xml:space="preserve">Another idea is that there is no fixed amount of work to be done (the lump of output fallacy) so that more immigrants (or more of any group of individuals) </w:t>
      </w:r>
      <w:r w:rsidR="00884C47">
        <w:rPr>
          <w:bCs/>
          <w:color w:val="00000A"/>
        </w:rPr>
        <w:t xml:space="preserve">do not compete for a fixed stock of jobs but instead </w:t>
      </w:r>
      <w:r w:rsidR="00385680">
        <w:rPr>
          <w:bCs/>
          <w:color w:val="00000A"/>
        </w:rPr>
        <w:t xml:space="preserve">demand </w:t>
      </w:r>
      <w:r w:rsidR="00884C47">
        <w:rPr>
          <w:bCs/>
          <w:color w:val="00000A"/>
        </w:rPr>
        <w:t>more</w:t>
      </w:r>
      <w:r w:rsidR="00385680">
        <w:rPr>
          <w:bCs/>
          <w:color w:val="00000A"/>
        </w:rPr>
        <w:t xml:space="preserve"> food</w:t>
      </w:r>
      <w:r w:rsidR="00884C47">
        <w:rPr>
          <w:bCs/>
          <w:color w:val="00000A"/>
        </w:rPr>
        <w:t>, clothing,</w:t>
      </w:r>
      <w:r w:rsidR="00385680">
        <w:rPr>
          <w:bCs/>
          <w:color w:val="00000A"/>
        </w:rPr>
        <w:t xml:space="preserve"> housing and </w:t>
      </w:r>
      <w:r w:rsidR="00884C47">
        <w:rPr>
          <w:bCs/>
          <w:color w:val="00000A"/>
        </w:rPr>
        <w:t>the like and so provide more</w:t>
      </w:r>
      <w:r w:rsidR="00385680">
        <w:rPr>
          <w:bCs/>
          <w:color w:val="00000A"/>
        </w:rPr>
        <w:t xml:space="preserve"> employment for everyone.</w:t>
      </w:r>
      <w:r w:rsidR="00EC4337">
        <w:rPr>
          <w:rStyle w:val="FootnoteReference"/>
          <w:bCs/>
          <w:color w:val="00000A"/>
        </w:rPr>
        <w:footnoteReference w:id="5"/>
      </w:r>
      <w:r w:rsidR="00EC4337">
        <w:rPr>
          <w:bCs/>
          <w:color w:val="00000A"/>
        </w:rPr>
        <w:t xml:space="preserve"> </w:t>
      </w:r>
      <w:r w:rsidR="00884C47">
        <w:rPr>
          <w:bCs/>
          <w:color w:val="00000A"/>
        </w:rPr>
        <w:t xml:space="preserve">Equally, immigrants may specialise in new sectors which can grow alongside existing sectors and not displace anyone. </w:t>
      </w:r>
      <w:r w:rsidR="004542BA">
        <w:rPr>
          <w:bCs/>
          <w:color w:val="00000A"/>
        </w:rPr>
        <w:t xml:space="preserve">Immigrants may also work in sectors where </w:t>
      </w:r>
      <w:r w:rsidR="004542BA">
        <w:rPr>
          <w:bCs/>
          <w:color w:val="00000A"/>
        </w:rPr>
        <w:lastRenderedPageBreak/>
        <w:t xml:space="preserve">their skill set is higher than required (occupational downgrading), again raising productivity of the sector and generating demand and employment for others elsewhere. </w:t>
      </w:r>
    </w:p>
    <w:p w:rsidR="004036E7" w:rsidRDefault="004036E7" w:rsidP="00B76225">
      <w:pPr>
        <w:pStyle w:val="Default"/>
        <w:spacing w:line="480" w:lineRule="auto"/>
        <w:jc w:val="both"/>
        <w:rPr>
          <w:bCs/>
          <w:color w:val="00000A"/>
        </w:rPr>
      </w:pPr>
    </w:p>
    <w:p w:rsidR="00B76225" w:rsidRDefault="00884C47" w:rsidP="00B76225">
      <w:pPr>
        <w:pStyle w:val="Default"/>
        <w:spacing w:line="480" w:lineRule="auto"/>
        <w:jc w:val="both"/>
        <w:rPr>
          <w:bCs/>
          <w:color w:val="00000A"/>
        </w:rPr>
      </w:pPr>
      <w:r>
        <w:rPr>
          <w:bCs/>
          <w:color w:val="00000A"/>
        </w:rPr>
        <w:t xml:space="preserve">In truth, there is likely to be no single explanation, nor should we expect one. Much like the effects of the minimum wage in the UK </w:t>
      </w:r>
      <w:r w:rsidR="009E64BC">
        <w:rPr>
          <w:bCs/>
          <w:color w:val="00000A"/>
        </w:rPr>
        <w:t xml:space="preserve">that </w:t>
      </w:r>
      <w:r>
        <w:rPr>
          <w:bCs/>
          <w:color w:val="00000A"/>
        </w:rPr>
        <w:t xml:space="preserve">appear to have been spread across productivity gains, hours and prices there is probably a little of </w:t>
      </w:r>
      <w:r w:rsidR="009E64BC">
        <w:rPr>
          <w:bCs/>
          <w:color w:val="00000A"/>
        </w:rPr>
        <w:t xml:space="preserve">many </w:t>
      </w:r>
      <w:r>
        <w:rPr>
          <w:bCs/>
          <w:color w:val="00000A"/>
        </w:rPr>
        <w:t>thing</w:t>
      </w:r>
      <w:r w:rsidR="009E64BC">
        <w:rPr>
          <w:bCs/>
          <w:color w:val="00000A"/>
        </w:rPr>
        <w:t>s</w:t>
      </w:r>
      <w:r>
        <w:rPr>
          <w:bCs/>
          <w:color w:val="00000A"/>
        </w:rPr>
        <w:t xml:space="preserve"> going on </w:t>
      </w:r>
      <w:r w:rsidR="009E64BC">
        <w:rPr>
          <w:bCs/>
          <w:color w:val="00000A"/>
        </w:rPr>
        <w:t xml:space="preserve">when it comes to immigration’s </w:t>
      </w:r>
      <w:r w:rsidR="00522E65">
        <w:rPr>
          <w:bCs/>
          <w:color w:val="00000A"/>
        </w:rPr>
        <w:t xml:space="preserve">labour market </w:t>
      </w:r>
      <w:r w:rsidR="009E64BC">
        <w:rPr>
          <w:bCs/>
          <w:color w:val="00000A"/>
        </w:rPr>
        <w:t xml:space="preserve">effects </w:t>
      </w:r>
      <w:r>
        <w:rPr>
          <w:bCs/>
          <w:color w:val="00000A"/>
        </w:rPr>
        <w:t>which may well vary across sectors and occupation.</w:t>
      </w:r>
    </w:p>
    <w:p w:rsidR="00880C88" w:rsidRDefault="00880C88">
      <w:pPr>
        <w:rPr>
          <w:rFonts w:ascii="Times New Roman" w:eastAsia="Times New Roman" w:hAnsi="Times New Roman" w:cs="Times New Roman"/>
          <w:b/>
          <w:bCs/>
          <w:color w:val="00000A"/>
          <w:sz w:val="24"/>
          <w:szCs w:val="24"/>
          <w:lang w:eastAsia="zh-CN"/>
        </w:rPr>
      </w:pPr>
    </w:p>
    <w:p w:rsidR="0062696D" w:rsidRPr="00622909" w:rsidRDefault="00622909" w:rsidP="0062696D">
      <w:pPr>
        <w:pStyle w:val="Default"/>
        <w:spacing w:line="480" w:lineRule="auto"/>
        <w:jc w:val="both"/>
        <w:rPr>
          <w:b/>
          <w:bCs/>
          <w:color w:val="00000A"/>
        </w:rPr>
      </w:pPr>
      <w:r w:rsidRPr="00622909">
        <w:rPr>
          <w:b/>
          <w:bCs/>
          <w:color w:val="00000A"/>
        </w:rPr>
        <w:t xml:space="preserve">3. </w:t>
      </w:r>
      <w:r w:rsidR="0062696D" w:rsidRPr="00622909">
        <w:rPr>
          <w:b/>
          <w:bCs/>
          <w:color w:val="00000A"/>
        </w:rPr>
        <w:t>The Way We Live Now</w:t>
      </w:r>
    </w:p>
    <w:p w:rsidR="00F53AC5" w:rsidRDefault="0062696D" w:rsidP="00F53AC5">
      <w:pPr>
        <w:pStyle w:val="Default"/>
        <w:spacing w:line="480" w:lineRule="auto"/>
        <w:jc w:val="both"/>
        <w:rPr>
          <w:bCs/>
          <w:color w:val="00000A"/>
        </w:rPr>
      </w:pPr>
      <w:r>
        <w:rPr>
          <w:bCs/>
          <w:color w:val="00000A"/>
        </w:rPr>
        <w:t>If the recession did little to change the upward trend</w:t>
      </w:r>
      <w:r w:rsidR="008820CD">
        <w:rPr>
          <w:bCs/>
          <w:color w:val="00000A"/>
        </w:rPr>
        <w:t xml:space="preserve"> in immigration</w:t>
      </w:r>
      <w:r>
        <w:rPr>
          <w:bCs/>
          <w:color w:val="00000A"/>
        </w:rPr>
        <w:t xml:space="preserve">, it seems that the Brexit vote did. </w:t>
      </w:r>
      <w:r w:rsidR="00DF59EF">
        <w:rPr>
          <w:bCs/>
          <w:color w:val="00000A"/>
        </w:rPr>
        <w:t>As Table 1 shows, t</w:t>
      </w:r>
      <w:r>
        <w:rPr>
          <w:bCs/>
          <w:color w:val="00000A"/>
        </w:rPr>
        <w:t xml:space="preserve">he total number of EU migrants </w:t>
      </w:r>
      <w:r w:rsidR="00F53AC5">
        <w:rPr>
          <w:bCs/>
          <w:color w:val="00000A"/>
        </w:rPr>
        <w:t>rose</w:t>
      </w:r>
      <w:r w:rsidR="008820CD">
        <w:rPr>
          <w:bCs/>
          <w:color w:val="00000A"/>
        </w:rPr>
        <w:t xml:space="preserve"> in the immediate aftermath of the vote</w:t>
      </w:r>
      <w:r w:rsidR="00F53AC5">
        <w:rPr>
          <w:bCs/>
          <w:color w:val="00000A"/>
        </w:rPr>
        <w:t>,</w:t>
      </w:r>
      <w:r w:rsidR="008820CD">
        <w:rPr>
          <w:bCs/>
          <w:color w:val="00000A"/>
        </w:rPr>
        <w:t xml:space="preserve"> </w:t>
      </w:r>
      <w:r w:rsidR="00F53AC5">
        <w:rPr>
          <w:bCs/>
          <w:color w:val="00000A"/>
        </w:rPr>
        <w:t xml:space="preserve">but around 2017 q1 began to fall back </w:t>
      </w:r>
      <w:r w:rsidR="00A56457">
        <w:rPr>
          <w:bCs/>
          <w:color w:val="00000A"/>
        </w:rPr>
        <w:t xml:space="preserve">and has done so </w:t>
      </w:r>
      <w:r w:rsidR="00F53AC5">
        <w:rPr>
          <w:bCs/>
          <w:color w:val="00000A"/>
        </w:rPr>
        <w:t>up</w:t>
      </w:r>
      <w:r w:rsidR="008820CD">
        <w:rPr>
          <w:bCs/>
          <w:color w:val="00000A"/>
        </w:rPr>
        <w:t xml:space="preserve"> to the time of writing</w:t>
      </w:r>
      <w:r w:rsidR="00A56457">
        <w:rPr>
          <w:bCs/>
          <w:color w:val="00000A"/>
        </w:rPr>
        <w:t>. Interestingly so</w:t>
      </w:r>
      <w:r w:rsidR="00DF59EF">
        <w:rPr>
          <w:bCs/>
          <w:color w:val="00000A"/>
        </w:rPr>
        <w:t xml:space="preserve"> did the numbers of non-EU migrants.</w:t>
      </w:r>
      <w:r w:rsidR="00F53AC5">
        <w:rPr>
          <w:rStyle w:val="FootnoteReference"/>
          <w:bCs/>
          <w:color w:val="00000A"/>
        </w:rPr>
        <w:footnoteReference w:id="6"/>
      </w:r>
    </w:p>
    <w:p w:rsidR="00AB4523" w:rsidRDefault="00AB4523" w:rsidP="00F53AC5">
      <w:pPr>
        <w:pStyle w:val="Default"/>
        <w:spacing w:line="480" w:lineRule="auto"/>
        <w:jc w:val="both"/>
        <w:rPr>
          <w:bCs/>
          <w:color w:val="00000A"/>
        </w:rPr>
      </w:pPr>
    </w:p>
    <w:p w:rsidR="00DF59EF" w:rsidRDefault="007D53E4" w:rsidP="00DF59EF">
      <w:pPr>
        <w:pStyle w:val="Default"/>
        <w:spacing w:line="480" w:lineRule="auto"/>
        <w:jc w:val="both"/>
        <w:rPr>
          <w:bCs/>
          <w:color w:val="00000A"/>
        </w:rPr>
      </w:pPr>
      <w:r>
        <w:rPr>
          <w:bCs/>
          <w:color w:val="00000A"/>
        </w:rPr>
        <w:t xml:space="preserve">Figure </w:t>
      </w:r>
      <w:r w:rsidR="0035314F">
        <w:rPr>
          <w:bCs/>
          <w:color w:val="00000A"/>
        </w:rPr>
        <w:t>6</w:t>
      </w:r>
      <w:r w:rsidR="00CC43E3">
        <w:rPr>
          <w:bCs/>
          <w:color w:val="00000A"/>
        </w:rPr>
        <w:t xml:space="preserve"> shows that </w:t>
      </w:r>
      <w:r w:rsidR="00091857">
        <w:rPr>
          <w:bCs/>
          <w:color w:val="00000A"/>
        </w:rPr>
        <w:t>after the vote</w:t>
      </w:r>
      <w:r w:rsidR="00CC43E3">
        <w:rPr>
          <w:bCs/>
          <w:color w:val="00000A"/>
        </w:rPr>
        <w:t>,</w:t>
      </w:r>
      <w:r w:rsidR="006159F2">
        <w:rPr>
          <w:bCs/>
          <w:color w:val="00000A"/>
        </w:rPr>
        <w:t xml:space="preserve"> changes</w:t>
      </w:r>
      <w:r w:rsidR="00366BA6">
        <w:rPr>
          <w:bCs/>
          <w:color w:val="00000A"/>
        </w:rPr>
        <w:t xml:space="preserve"> </w:t>
      </w:r>
      <w:r w:rsidR="00CC43E3">
        <w:rPr>
          <w:bCs/>
          <w:color w:val="00000A"/>
        </w:rPr>
        <w:t xml:space="preserve">in the population of </w:t>
      </w:r>
      <w:r w:rsidR="006159F2">
        <w:rPr>
          <w:bCs/>
          <w:color w:val="00000A"/>
        </w:rPr>
        <w:t>EU nationals are</w:t>
      </w:r>
      <w:r w:rsidR="00366BA6">
        <w:rPr>
          <w:bCs/>
          <w:color w:val="00000A"/>
        </w:rPr>
        <w:t xml:space="preserve"> </w:t>
      </w:r>
      <w:r w:rsidR="0062696D">
        <w:rPr>
          <w:bCs/>
          <w:color w:val="00000A"/>
        </w:rPr>
        <w:t xml:space="preserve">the result of a fall in inflows and </w:t>
      </w:r>
      <w:r w:rsidR="00CC43E3">
        <w:rPr>
          <w:bCs/>
          <w:color w:val="00000A"/>
        </w:rPr>
        <w:t xml:space="preserve">an increase in </w:t>
      </w:r>
      <w:r w:rsidR="0062696D">
        <w:rPr>
          <w:bCs/>
          <w:color w:val="00000A"/>
        </w:rPr>
        <w:t>outflows</w:t>
      </w:r>
      <w:r w:rsidR="009F04A8">
        <w:rPr>
          <w:bCs/>
          <w:color w:val="00000A"/>
        </w:rPr>
        <w:t>.</w:t>
      </w:r>
      <w:r w:rsidR="0092601A">
        <w:rPr>
          <w:rStyle w:val="FootnoteReference"/>
          <w:bCs/>
          <w:color w:val="00000A"/>
        </w:rPr>
        <w:footnoteReference w:id="7"/>
      </w:r>
      <w:r w:rsidR="009F04A8">
        <w:rPr>
          <w:bCs/>
          <w:color w:val="00000A"/>
        </w:rPr>
        <w:t xml:space="preserve"> </w:t>
      </w:r>
      <w:r w:rsidR="00E174E3">
        <w:rPr>
          <w:bCs/>
          <w:color w:val="00000A"/>
        </w:rPr>
        <w:t>This appears to hold when the EU flows are split by area of origin. Inflows have fallen and outflows risen after the Brexit vote for A8, A2 and Other EU citizens alike.</w:t>
      </w:r>
      <w:r w:rsidR="006D0100">
        <w:rPr>
          <w:rStyle w:val="FootnoteReference"/>
          <w:bCs/>
          <w:color w:val="00000A"/>
        </w:rPr>
        <w:footnoteReference w:id="8"/>
      </w:r>
      <w:r w:rsidR="00E174E3">
        <w:rPr>
          <w:bCs/>
          <w:color w:val="00000A"/>
        </w:rPr>
        <w:t xml:space="preserve"> </w:t>
      </w:r>
      <w:r w:rsidR="009F04A8">
        <w:rPr>
          <w:bCs/>
          <w:color w:val="00000A"/>
        </w:rPr>
        <w:t>Of co</w:t>
      </w:r>
      <w:r w:rsidR="0092601A">
        <w:rPr>
          <w:bCs/>
          <w:color w:val="00000A"/>
        </w:rPr>
        <w:t>urse it is hard to attribute the</w:t>
      </w:r>
      <w:r w:rsidR="009F04A8">
        <w:rPr>
          <w:bCs/>
          <w:color w:val="00000A"/>
        </w:rPr>
        <w:t>s</w:t>
      </w:r>
      <w:r w:rsidR="0092601A">
        <w:rPr>
          <w:bCs/>
          <w:color w:val="00000A"/>
        </w:rPr>
        <w:t>e</w:t>
      </w:r>
      <w:r w:rsidR="009F04A8">
        <w:rPr>
          <w:bCs/>
          <w:color w:val="00000A"/>
        </w:rPr>
        <w:t xml:space="preserve"> change</w:t>
      </w:r>
      <w:r w:rsidR="0092601A">
        <w:rPr>
          <w:bCs/>
          <w:color w:val="00000A"/>
        </w:rPr>
        <w:t>s</w:t>
      </w:r>
      <w:r w:rsidR="009F04A8">
        <w:rPr>
          <w:bCs/>
          <w:color w:val="00000A"/>
        </w:rPr>
        <w:t xml:space="preserve"> </w:t>
      </w:r>
      <w:r w:rsidR="00DF59EF">
        <w:rPr>
          <w:bCs/>
          <w:color w:val="00000A"/>
        </w:rPr>
        <w:t xml:space="preserve">solely </w:t>
      </w:r>
      <w:r w:rsidR="009F04A8">
        <w:rPr>
          <w:bCs/>
          <w:color w:val="00000A"/>
        </w:rPr>
        <w:t xml:space="preserve">to the Brexit vote. </w:t>
      </w:r>
      <w:r w:rsidR="00DF59EF">
        <w:rPr>
          <w:bCs/>
          <w:color w:val="00000A"/>
        </w:rPr>
        <w:t xml:space="preserve">Free movement ensures that individuals can leave or </w:t>
      </w:r>
      <w:r w:rsidR="0092601A">
        <w:rPr>
          <w:bCs/>
          <w:color w:val="00000A"/>
        </w:rPr>
        <w:t xml:space="preserve">decide to </w:t>
      </w:r>
      <w:r w:rsidR="00DF59EF">
        <w:rPr>
          <w:bCs/>
          <w:color w:val="00000A"/>
        </w:rPr>
        <w:t xml:space="preserve">go elsewhere if economic and/or political conditions shift in favour of migration to other countries. The UK has almost certainly experienced relative decline in favourability on both aspects - relative economic stagnation </w:t>
      </w:r>
      <w:r w:rsidR="00DF59EF">
        <w:rPr>
          <w:bCs/>
          <w:color w:val="00000A"/>
        </w:rPr>
        <w:lastRenderedPageBreak/>
        <w:t xml:space="preserve">relative to much of the EU and political distancing from the EU - since 2016. </w:t>
      </w:r>
      <w:r w:rsidR="00091857">
        <w:rPr>
          <w:bCs/>
          <w:color w:val="00000A"/>
        </w:rPr>
        <w:t>The recovery of the other larger economies of Europe like Spain France and Germany over this period could provide alternative destinations for immigrants from the rest of the EU</w:t>
      </w:r>
      <w:r w:rsidR="0092601A">
        <w:rPr>
          <w:bCs/>
          <w:color w:val="00000A"/>
        </w:rPr>
        <w:t xml:space="preserve"> in an environment where future policy toward EU immigration in the UK is likely to harden</w:t>
      </w:r>
      <w:r w:rsidR="00091857">
        <w:rPr>
          <w:bCs/>
          <w:color w:val="00000A"/>
        </w:rPr>
        <w:t xml:space="preserve">. </w:t>
      </w:r>
      <w:r w:rsidR="00AD6149">
        <w:rPr>
          <w:bCs/>
          <w:color w:val="00000A"/>
        </w:rPr>
        <w:t>The deprec</w:t>
      </w:r>
      <w:r w:rsidR="006D0100">
        <w:rPr>
          <w:bCs/>
          <w:color w:val="00000A"/>
        </w:rPr>
        <w:t>iation of sterling against the E</w:t>
      </w:r>
      <w:r w:rsidR="00AD6149">
        <w:rPr>
          <w:bCs/>
          <w:color w:val="00000A"/>
        </w:rPr>
        <w:t xml:space="preserve">uro </w:t>
      </w:r>
      <w:r w:rsidR="00A465DE">
        <w:rPr>
          <w:bCs/>
          <w:color w:val="00000A"/>
        </w:rPr>
        <w:t xml:space="preserve">and other European currencies </w:t>
      </w:r>
      <w:r w:rsidR="00AD6149">
        <w:rPr>
          <w:bCs/>
          <w:color w:val="00000A"/>
        </w:rPr>
        <w:t xml:space="preserve">reduces the attractiveness of a given hourly wage to a prospective migrant from Europe. </w:t>
      </w:r>
      <w:r w:rsidR="009C6673">
        <w:rPr>
          <w:bCs/>
          <w:color w:val="00000A"/>
        </w:rPr>
        <w:t xml:space="preserve">But </w:t>
      </w:r>
      <w:r w:rsidR="009F04A8">
        <w:rPr>
          <w:bCs/>
          <w:color w:val="00000A"/>
        </w:rPr>
        <w:t xml:space="preserve">it is hard to think that the Brexit vote </w:t>
      </w:r>
      <w:r w:rsidR="00091857">
        <w:rPr>
          <w:bCs/>
          <w:color w:val="00000A"/>
        </w:rPr>
        <w:t xml:space="preserve">in tandem with these other developments </w:t>
      </w:r>
      <w:r w:rsidR="009C6673">
        <w:rPr>
          <w:bCs/>
          <w:color w:val="00000A"/>
        </w:rPr>
        <w:t xml:space="preserve">had nothing to </w:t>
      </w:r>
      <w:r w:rsidR="009F04A8">
        <w:rPr>
          <w:bCs/>
          <w:color w:val="00000A"/>
        </w:rPr>
        <w:t>contribute to these change</w:t>
      </w:r>
      <w:r w:rsidR="009C6673">
        <w:rPr>
          <w:bCs/>
          <w:color w:val="00000A"/>
        </w:rPr>
        <w:t>s</w:t>
      </w:r>
      <w:r w:rsidR="009F04A8">
        <w:rPr>
          <w:bCs/>
          <w:color w:val="00000A"/>
        </w:rPr>
        <w:t xml:space="preserve"> in flows</w:t>
      </w:r>
      <w:r w:rsidR="005C0244">
        <w:rPr>
          <w:bCs/>
          <w:color w:val="00000A"/>
        </w:rPr>
        <w:t>, particularly when the flows from outside the EU seem to move in the opposite direction</w:t>
      </w:r>
      <w:r w:rsidR="00775848">
        <w:rPr>
          <w:bCs/>
          <w:color w:val="00000A"/>
        </w:rPr>
        <w:t xml:space="preserve">. As Figure 6 also shows </w:t>
      </w:r>
      <w:r w:rsidR="005C0244">
        <w:rPr>
          <w:bCs/>
          <w:color w:val="00000A"/>
        </w:rPr>
        <w:t xml:space="preserve">inflows rose from outside the EU and </w:t>
      </w:r>
      <w:r w:rsidR="00775848">
        <w:rPr>
          <w:bCs/>
          <w:color w:val="00000A"/>
        </w:rPr>
        <w:t>outflows fell after Brexit</w:t>
      </w:r>
      <w:r w:rsidR="005C0244">
        <w:rPr>
          <w:bCs/>
          <w:color w:val="00000A"/>
        </w:rPr>
        <w:t>.</w:t>
      </w:r>
      <w:r w:rsidR="00DF59EF">
        <w:rPr>
          <w:bCs/>
          <w:color w:val="00000A"/>
        </w:rPr>
        <w:t xml:space="preserve"> </w:t>
      </w:r>
    </w:p>
    <w:p w:rsidR="00C840D2" w:rsidRPr="00486EAF" w:rsidRDefault="00C840D2" w:rsidP="00C840D2">
      <w:pPr>
        <w:pStyle w:val="Caption"/>
        <w:spacing w:after="0"/>
        <w:jc w:val="both"/>
        <w:rPr>
          <w:rFonts w:ascii="Times New Roman" w:hAnsi="Times New Roman" w:cs="Times New Roman"/>
          <w:b/>
          <w:bCs/>
          <w:i w:val="0"/>
          <w:color w:val="auto"/>
          <w:sz w:val="24"/>
          <w:szCs w:val="24"/>
        </w:rPr>
      </w:pPr>
      <w:bookmarkStart w:id="4" w:name="_Ref512520547"/>
      <w:r w:rsidRPr="00486EAF">
        <w:rPr>
          <w:rFonts w:ascii="Times New Roman" w:hAnsi="Times New Roman" w:cs="Times New Roman"/>
          <w:b/>
          <w:i w:val="0"/>
          <w:color w:val="auto"/>
          <w:sz w:val="24"/>
          <w:szCs w:val="24"/>
        </w:rPr>
        <w:t xml:space="preserve">Figure </w:t>
      </w:r>
      <w:bookmarkEnd w:id="4"/>
      <w:r w:rsidR="0092601A">
        <w:rPr>
          <w:rFonts w:ascii="Times New Roman" w:hAnsi="Times New Roman" w:cs="Times New Roman"/>
          <w:b/>
          <w:i w:val="0"/>
          <w:color w:val="auto"/>
          <w:sz w:val="24"/>
          <w:szCs w:val="24"/>
        </w:rPr>
        <w:t>6.</w:t>
      </w:r>
      <w:r w:rsidRPr="00486EAF">
        <w:rPr>
          <w:rFonts w:ascii="Times New Roman" w:hAnsi="Times New Roman" w:cs="Times New Roman"/>
          <w:b/>
          <w:i w:val="0"/>
          <w:color w:val="auto"/>
          <w:sz w:val="24"/>
          <w:szCs w:val="24"/>
        </w:rPr>
        <w:t xml:space="preserve"> EU Migrant Inflows and Outflows </w:t>
      </w:r>
    </w:p>
    <w:p w:rsidR="00A632F5" w:rsidRDefault="00B97161" w:rsidP="000A23BB">
      <w:pPr>
        <w:pStyle w:val="Default"/>
        <w:jc w:val="both"/>
        <w:rPr>
          <w:b/>
          <w:sz w:val="20"/>
          <w:szCs w:val="20"/>
        </w:rPr>
      </w:pPr>
      <w:r w:rsidRPr="00B97161">
        <w:rPr>
          <w:b/>
          <w:noProof/>
          <w:sz w:val="20"/>
          <w:szCs w:val="20"/>
          <w:lang w:val="en-US" w:eastAsia="en-US"/>
        </w:rPr>
        <w:drawing>
          <wp:inline distT="0" distB="0" distL="0" distR="0">
            <wp:extent cx="5364480" cy="39014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203" cy="3901966"/>
                    </a:xfrm>
                    <a:prstGeom prst="rect">
                      <a:avLst/>
                    </a:prstGeom>
                    <a:noFill/>
                    <a:ln>
                      <a:noFill/>
                    </a:ln>
                  </pic:spPr>
                </pic:pic>
              </a:graphicData>
            </a:graphic>
          </wp:inline>
        </w:drawing>
      </w:r>
      <w:r w:rsidR="00630712" w:rsidRPr="00630712">
        <w:rPr>
          <w:b/>
          <w:sz w:val="20"/>
          <w:szCs w:val="20"/>
        </w:rPr>
        <w:t xml:space="preserve"> </w:t>
      </w:r>
      <w:r w:rsidR="00771AD9" w:rsidRPr="00771AD9">
        <w:rPr>
          <w:b/>
          <w:noProof/>
          <w:sz w:val="20"/>
          <w:szCs w:val="20"/>
          <w:lang w:val="en-US" w:eastAsia="en-US"/>
        </w:rPr>
        <w:lastRenderedPageBreak/>
        <w:drawing>
          <wp:inline distT="0" distB="0" distL="0" distR="0">
            <wp:extent cx="5364480" cy="39014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8340" cy="3904247"/>
                    </a:xfrm>
                    <a:prstGeom prst="rect">
                      <a:avLst/>
                    </a:prstGeom>
                    <a:noFill/>
                    <a:ln>
                      <a:noFill/>
                    </a:ln>
                  </pic:spPr>
                </pic:pic>
              </a:graphicData>
            </a:graphic>
          </wp:inline>
        </w:drawing>
      </w:r>
    </w:p>
    <w:p w:rsidR="000A23BB" w:rsidRPr="000078AF" w:rsidRDefault="000A23BB" w:rsidP="000A23BB">
      <w:pPr>
        <w:pStyle w:val="Default"/>
        <w:jc w:val="both"/>
        <w:rPr>
          <w:bCs/>
          <w:color w:val="00000A"/>
        </w:rPr>
      </w:pPr>
      <w:r w:rsidRPr="000A23BB">
        <w:rPr>
          <w:b/>
          <w:sz w:val="20"/>
          <w:szCs w:val="20"/>
        </w:rPr>
        <w:t>Source:</w:t>
      </w:r>
      <w:r w:rsidRPr="000A23BB">
        <w:rPr>
          <w:sz w:val="20"/>
          <w:szCs w:val="20"/>
        </w:rPr>
        <w:t xml:space="preserve"> </w:t>
      </w:r>
      <w:r w:rsidR="00630712">
        <w:rPr>
          <w:sz w:val="20"/>
          <w:szCs w:val="20"/>
          <w:lang w:eastAsia="en-GB"/>
        </w:rPr>
        <w:t>A</w:t>
      </w:r>
      <w:r w:rsidR="0092601A">
        <w:rPr>
          <w:sz w:val="20"/>
          <w:szCs w:val="20"/>
          <w:lang w:eastAsia="en-GB"/>
        </w:rPr>
        <w:t>uthor analysis of LTIMs (2018).</w:t>
      </w:r>
      <w:r w:rsidR="00AE5903">
        <w:rPr>
          <w:sz w:val="20"/>
          <w:szCs w:val="20"/>
          <w:lang w:eastAsia="en-GB"/>
        </w:rPr>
        <w:t xml:space="preserve"> Note A2=Romania &amp; Bulgaria. A8=Czech Republic, Estonia, Hungary, Latvia, Lithuania, Poland, Slo</w:t>
      </w:r>
      <w:r w:rsidR="007C762D">
        <w:rPr>
          <w:sz w:val="20"/>
          <w:szCs w:val="20"/>
          <w:lang w:eastAsia="en-GB"/>
        </w:rPr>
        <w:t>v</w:t>
      </w:r>
      <w:r w:rsidR="00AE5903">
        <w:rPr>
          <w:sz w:val="20"/>
          <w:szCs w:val="20"/>
          <w:lang w:eastAsia="en-GB"/>
        </w:rPr>
        <w:t>akia and Slovenia</w:t>
      </w:r>
      <w:r w:rsidR="001D33A8">
        <w:rPr>
          <w:sz w:val="20"/>
          <w:szCs w:val="20"/>
          <w:lang w:eastAsia="en-GB"/>
        </w:rPr>
        <w:t>. Other EU = all other EU member countries except A2 &amp; A8.</w:t>
      </w:r>
    </w:p>
    <w:p w:rsidR="004616CB" w:rsidRDefault="004616CB" w:rsidP="005928A0">
      <w:pPr>
        <w:pStyle w:val="Default"/>
        <w:spacing w:line="480" w:lineRule="auto"/>
        <w:jc w:val="both"/>
        <w:rPr>
          <w:b/>
          <w:bCs/>
          <w:color w:val="00000A"/>
        </w:rPr>
      </w:pPr>
    </w:p>
    <w:p w:rsidR="001A4147" w:rsidRDefault="00C840D2" w:rsidP="00793E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Of the 3</w:t>
      </w:r>
      <w:r w:rsidR="004217F2">
        <w:rPr>
          <w:rFonts w:ascii="Times New Roman" w:hAnsi="Times New Roman" w:cs="Times New Roman"/>
          <w:sz w:val="24"/>
          <w:szCs w:val="24"/>
        </w:rPr>
        <w:t>.6</w:t>
      </w:r>
      <w:r>
        <w:rPr>
          <w:rFonts w:ascii="Times New Roman" w:hAnsi="Times New Roman" w:cs="Times New Roman"/>
          <w:sz w:val="24"/>
          <w:szCs w:val="24"/>
        </w:rPr>
        <w:t xml:space="preserve"> million or so EU migrants currently re</w:t>
      </w:r>
      <w:r w:rsidR="00793EFC">
        <w:rPr>
          <w:rFonts w:ascii="Times New Roman" w:hAnsi="Times New Roman" w:cs="Times New Roman"/>
          <w:sz w:val="24"/>
          <w:szCs w:val="24"/>
        </w:rPr>
        <w:t>sident in the UK</w:t>
      </w:r>
      <w:r>
        <w:rPr>
          <w:rFonts w:ascii="Times New Roman" w:hAnsi="Times New Roman" w:cs="Times New Roman"/>
          <w:sz w:val="24"/>
          <w:szCs w:val="24"/>
        </w:rPr>
        <w:t>, most (around 2.5 million) are employed</w:t>
      </w:r>
      <w:r w:rsidR="00594B11">
        <w:rPr>
          <w:rFonts w:ascii="Times New Roman" w:hAnsi="Times New Roman" w:cs="Times New Roman"/>
          <w:sz w:val="24"/>
          <w:szCs w:val="24"/>
        </w:rPr>
        <w:t xml:space="preserve">, </w:t>
      </w:r>
      <w:r w:rsidR="00314775">
        <w:rPr>
          <w:rFonts w:ascii="Times New Roman" w:hAnsi="Times New Roman" w:cs="Times New Roman"/>
          <w:sz w:val="24"/>
          <w:szCs w:val="24"/>
        </w:rPr>
        <w:t>some 7</w:t>
      </w:r>
      <w:r w:rsidR="00594B11">
        <w:rPr>
          <w:rFonts w:ascii="Times New Roman" w:hAnsi="Times New Roman" w:cs="Times New Roman"/>
          <w:sz w:val="24"/>
          <w:szCs w:val="24"/>
        </w:rPr>
        <w:t xml:space="preserve">% of the </w:t>
      </w:r>
      <w:r w:rsidR="00314775">
        <w:rPr>
          <w:rFonts w:ascii="Times New Roman" w:hAnsi="Times New Roman" w:cs="Times New Roman"/>
          <w:sz w:val="24"/>
          <w:szCs w:val="24"/>
        </w:rPr>
        <w:t xml:space="preserve">total UK </w:t>
      </w:r>
      <w:r w:rsidR="00594B11">
        <w:rPr>
          <w:rFonts w:ascii="Times New Roman" w:hAnsi="Times New Roman" w:cs="Times New Roman"/>
          <w:sz w:val="24"/>
          <w:szCs w:val="24"/>
        </w:rPr>
        <w:t>employed population</w:t>
      </w:r>
      <w:r w:rsidR="00314775">
        <w:rPr>
          <w:rFonts w:ascii="Times New Roman" w:hAnsi="Times New Roman" w:cs="Times New Roman"/>
          <w:sz w:val="24"/>
          <w:szCs w:val="24"/>
        </w:rPr>
        <w:t xml:space="preserve">. </w:t>
      </w:r>
      <w:r w:rsidR="00314775" w:rsidRPr="00486EAF">
        <w:rPr>
          <w:rFonts w:ascii="Times New Roman" w:hAnsi="Times New Roman" w:cs="Times New Roman"/>
          <w:sz w:val="24"/>
          <w:szCs w:val="24"/>
        </w:rPr>
        <w:t xml:space="preserve">Compared to </w:t>
      </w:r>
      <w:r w:rsidR="00314775">
        <w:rPr>
          <w:rFonts w:ascii="Times New Roman" w:hAnsi="Times New Roman" w:cs="Times New Roman"/>
          <w:sz w:val="24"/>
          <w:szCs w:val="24"/>
        </w:rPr>
        <w:t xml:space="preserve">the </w:t>
      </w:r>
      <w:r w:rsidR="00314775" w:rsidRPr="00486EAF">
        <w:rPr>
          <w:rFonts w:ascii="Times New Roman" w:hAnsi="Times New Roman" w:cs="Times New Roman"/>
          <w:sz w:val="24"/>
          <w:szCs w:val="24"/>
        </w:rPr>
        <w:t>UK-Born population</w:t>
      </w:r>
      <w:r w:rsidR="00314775">
        <w:rPr>
          <w:rFonts w:ascii="Times New Roman" w:hAnsi="Times New Roman" w:cs="Times New Roman"/>
          <w:sz w:val="24"/>
          <w:szCs w:val="24"/>
        </w:rPr>
        <w:t>,</w:t>
      </w:r>
      <w:r w:rsidR="00314775" w:rsidRPr="00486EAF">
        <w:rPr>
          <w:rFonts w:ascii="Times New Roman" w:hAnsi="Times New Roman" w:cs="Times New Roman"/>
          <w:sz w:val="24"/>
          <w:szCs w:val="24"/>
        </w:rPr>
        <w:t xml:space="preserve"> EU migrants are </w:t>
      </w:r>
      <w:r w:rsidR="00314775">
        <w:rPr>
          <w:rFonts w:ascii="Times New Roman" w:hAnsi="Times New Roman" w:cs="Times New Roman"/>
          <w:sz w:val="24"/>
          <w:szCs w:val="24"/>
        </w:rPr>
        <w:t>much more likely to be employed. Since 66% of all EU migrants</w:t>
      </w:r>
      <w:r>
        <w:rPr>
          <w:rFonts w:ascii="Times New Roman" w:hAnsi="Times New Roman" w:cs="Times New Roman"/>
          <w:sz w:val="24"/>
          <w:szCs w:val="24"/>
        </w:rPr>
        <w:t xml:space="preserve"> </w:t>
      </w:r>
      <w:r w:rsidR="00107FDF">
        <w:rPr>
          <w:rFonts w:ascii="Times New Roman" w:hAnsi="Times New Roman" w:cs="Times New Roman"/>
          <w:sz w:val="24"/>
          <w:szCs w:val="24"/>
        </w:rPr>
        <w:t>are</w:t>
      </w:r>
      <w:r w:rsidR="00314775">
        <w:rPr>
          <w:rFonts w:ascii="Times New Roman" w:hAnsi="Times New Roman" w:cs="Times New Roman"/>
          <w:sz w:val="24"/>
          <w:szCs w:val="24"/>
        </w:rPr>
        <w:t xml:space="preserve"> in work compared to 47% of the UK-born, EU migrants</w:t>
      </w:r>
      <w:r w:rsidR="00594B11">
        <w:rPr>
          <w:rFonts w:ascii="Times New Roman" w:hAnsi="Times New Roman" w:cs="Times New Roman"/>
          <w:sz w:val="24"/>
          <w:szCs w:val="24"/>
        </w:rPr>
        <w:t xml:space="preserve"> </w:t>
      </w:r>
      <w:r w:rsidR="00314775">
        <w:rPr>
          <w:rFonts w:ascii="Times New Roman" w:hAnsi="Times New Roman" w:cs="Times New Roman"/>
          <w:sz w:val="24"/>
          <w:szCs w:val="24"/>
        </w:rPr>
        <w:t xml:space="preserve">are more likely to be current </w:t>
      </w:r>
      <w:r w:rsidRPr="00C840D2">
        <w:rPr>
          <w:rFonts w:ascii="Times New Roman" w:hAnsi="Times New Roman" w:cs="Times New Roman"/>
          <w:sz w:val="24"/>
          <w:szCs w:val="24"/>
        </w:rPr>
        <w:t>net con</w:t>
      </w:r>
      <w:r>
        <w:rPr>
          <w:rFonts w:ascii="Times New Roman" w:hAnsi="Times New Roman" w:cs="Times New Roman"/>
          <w:sz w:val="24"/>
          <w:szCs w:val="24"/>
        </w:rPr>
        <w:t>tributors to fiscal revenues</w:t>
      </w:r>
      <w:r w:rsidR="00793EFC">
        <w:rPr>
          <w:rFonts w:ascii="Times New Roman" w:hAnsi="Times New Roman" w:cs="Times New Roman"/>
          <w:sz w:val="24"/>
          <w:szCs w:val="24"/>
        </w:rPr>
        <w:t>.</w:t>
      </w:r>
      <w:r w:rsidR="00314775">
        <w:rPr>
          <w:rStyle w:val="FootnoteReference"/>
          <w:rFonts w:ascii="Times New Roman" w:hAnsi="Times New Roman" w:cs="Times New Roman"/>
          <w:sz w:val="24"/>
          <w:szCs w:val="24"/>
        </w:rPr>
        <w:footnoteReference w:id="9"/>
      </w:r>
      <w:r w:rsidR="00314775">
        <w:rPr>
          <w:rFonts w:ascii="Times New Roman" w:hAnsi="Times New Roman" w:cs="Times New Roman"/>
          <w:sz w:val="24"/>
          <w:szCs w:val="24"/>
        </w:rPr>
        <w:t xml:space="preserve"> </w:t>
      </w:r>
      <w:r w:rsidR="00793EFC">
        <w:rPr>
          <w:rFonts w:ascii="Times New Roman" w:hAnsi="Times New Roman" w:cs="Times New Roman"/>
          <w:sz w:val="24"/>
          <w:szCs w:val="24"/>
        </w:rPr>
        <w:t xml:space="preserve"> Some </w:t>
      </w:r>
      <w:r w:rsidR="00314775">
        <w:rPr>
          <w:rFonts w:ascii="Times New Roman" w:hAnsi="Times New Roman" w:cs="Times New Roman"/>
          <w:sz w:val="24"/>
          <w:szCs w:val="24"/>
        </w:rPr>
        <w:t>5</w:t>
      </w:r>
      <w:r w:rsidR="00793EFC">
        <w:rPr>
          <w:rFonts w:ascii="Times New Roman" w:hAnsi="Times New Roman" w:cs="Times New Roman"/>
          <w:sz w:val="24"/>
          <w:szCs w:val="24"/>
        </w:rPr>
        <w:t xml:space="preserve">% of the unemployed are from the EU and some </w:t>
      </w:r>
      <w:r w:rsidR="00314775">
        <w:rPr>
          <w:rFonts w:ascii="Times New Roman" w:hAnsi="Times New Roman" w:cs="Times New Roman"/>
          <w:sz w:val="24"/>
          <w:szCs w:val="24"/>
        </w:rPr>
        <w:t>6</w:t>
      </w:r>
      <w:r w:rsidR="00793EFC">
        <w:rPr>
          <w:rFonts w:ascii="Times New Roman" w:hAnsi="Times New Roman" w:cs="Times New Roman"/>
          <w:sz w:val="24"/>
          <w:szCs w:val="24"/>
        </w:rPr>
        <w:t>% (around 200,000) of all students over the age of 16</w:t>
      </w:r>
      <w:r w:rsidR="00314775">
        <w:rPr>
          <w:rFonts w:ascii="Times New Roman" w:hAnsi="Times New Roman" w:cs="Times New Roman"/>
          <w:sz w:val="24"/>
          <w:szCs w:val="24"/>
        </w:rPr>
        <w:t xml:space="preserve"> are from the EU</w:t>
      </w:r>
      <w:r w:rsidR="000A23BB">
        <w:rPr>
          <w:rFonts w:ascii="Times New Roman" w:hAnsi="Times New Roman" w:cs="Times New Roman"/>
          <w:sz w:val="24"/>
          <w:szCs w:val="24"/>
        </w:rPr>
        <w:t>, (</w:t>
      </w:r>
      <w:r w:rsidR="00594B11">
        <w:rPr>
          <w:rFonts w:ascii="Times New Roman" w:hAnsi="Times New Roman" w:cs="Times New Roman"/>
          <w:sz w:val="24"/>
          <w:szCs w:val="24"/>
        </w:rPr>
        <w:t>Figure 7</w:t>
      </w:r>
      <w:r w:rsidR="000A23BB">
        <w:rPr>
          <w:rFonts w:ascii="Times New Roman" w:hAnsi="Times New Roman" w:cs="Times New Roman"/>
          <w:sz w:val="24"/>
          <w:szCs w:val="24"/>
        </w:rPr>
        <w:t>)</w:t>
      </w:r>
      <w:r w:rsidR="00793EFC">
        <w:rPr>
          <w:rFonts w:ascii="Times New Roman" w:hAnsi="Times New Roman" w:cs="Times New Roman"/>
          <w:sz w:val="24"/>
          <w:szCs w:val="24"/>
        </w:rPr>
        <w:t>.</w:t>
      </w:r>
      <w:r w:rsidR="00F6689A">
        <w:rPr>
          <w:rFonts w:ascii="Times New Roman" w:hAnsi="Times New Roman" w:cs="Times New Roman"/>
          <w:sz w:val="24"/>
          <w:szCs w:val="24"/>
        </w:rPr>
        <w:t xml:space="preserve"> </w:t>
      </w:r>
      <w:r w:rsidR="00712231">
        <w:rPr>
          <w:rFonts w:ascii="Times New Roman" w:hAnsi="Times New Roman" w:cs="Times New Roman"/>
          <w:sz w:val="24"/>
          <w:szCs w:val="24"/>
        </w:rPr>
        <w:t xml:space="preserve"> Around 3% of children, s</w:t>
      </w:r>
      <w:r w:rsidR="00F6689A">
        <w:rPr>
          <w:rFonts w:ascii="Times New Roman" w:hAnsi="Times New Roman" w:cs="Times New Roman"/>
          <w:sz w:val="24"/>
          <w:szCs w:val="24"/>
        </w:rPr>
        <w:t xml:space="preserve">ome 450,000 </w:t>
      </w:r>
      <w:r w:rsidR="00712231">
        <w:rPr>
          <w:rFonts w:ascii="Times New Roman" w:hAnsi="Times New Roman" w:cs="Times New Roman"/>
          <w:sz w:val="24"/>
          <w:szCs w:val="24"/>
        </w:rPr>
        <w:t xml:space="preserve">are </w:t>
      </w:r>
      <w:r w:rsidR="00F6689A">
        <w:rPr>
          <w:rFonts w:ascii="Times New Roman" w:hAnsi="Times New Roman" w:cs="Times New Roman"/>
          <w:sz w:val="24"/>
          <w:szCs w:val="24"/>
        </w:rPr>
        <w:t>EU migrants.</w:t>
      </w:r>
      <w:r w:rsidR="00466756">
        <w:rPr>
          <w:rFonts w:ascii="Times New Roman" w:hAnsi="Times New Roman" w:cs="Times New Roman"/>
          <w:sz w:val="24"/>
          <w:szCs w:val="24"/>
        </w:rPr>
        <w:t xml:space="preserve"> </w:t>
      </w:r>
      <w:r w:rsidR="00F6689A">
        <w:rPr>
          <w:rFonts w:ascii="Times New Roman" w:hAnsi="Times New Roman" w:cs="Times New Roman"/>
          <w:sz w:val="24"/>
          <w:szCs w:val="24"/>
        </w:rPr>
        <w:t xml:space="preserve"> </w:t>
      </w:r>
      <w:r w:rsidR="00314775">
        <w:rPr>
          <w:rFonts w:ascii="Times New Roman" w:hAnsi="Times New Roman" w:cs="Times New Roman"/>
          <w:sz w:val="24"/>
          <w:szCs w:val="24"/>
        </w:rPr>
        <w:t xml:space="preserve">EU migrants form less than 3% of all individuals above state pensionable age. </w:t>
      </w:r>
    </w:p>
    <w:p w:rsidR="001A4147" w:rsidRDefault="001A4147" w:rsidP="00793EFC">
      <w:pPr>
        <w:spacing w:after="0" w:line="480" w:lineRule="auto"/>
        <w:jc w:val="both"/>
        <w:rPr>
          <w:rFonts w:ascii="Times New Roman" w:hAnsi="Times New Roman" w:cs="Times New Roman"/>
          <w:sz w:val="24"/>
          <w:szCs w:val="24"/>
        </w:rPr>
      </w:pPr>
    </w:p>
    <w:p w:rsidR="00793EFC" w:rsidRDefault="001A4147" w:rsidP="00793E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What this means going forward is that i</w:t>
      </w:r>
      <w:r w:rsidR="00372757">
        <w:rPr>
          <w:rFonts w:ascii="Times New Roman" w:hAnsi="Times New Roman" w:cs="Times New Roman"/>
          <w:sz w:val="24"/>
          <w:szCs w:val="24"/>
        </w:rPr>
        <w:t xml:space="preserve">f </w:t>
      </w:r>
      <w:r w:rsidR="004217F2">
        <w:rPr>
          <w:rFonts w:ascii="Times New Roman" w:hAnsi="Times New Roman" w:cs="Times New Roman"/>
          <w:sz w:val="24"/>
          <w:szCs w:val="24"/>
        </w:rPr>
        <w:t>the majority of EU residents are in work</w:t>
      </w:r>
      <w:r w:rsidR="00372757">
        <w:rPr>
          <w:rFonts w:ascii="Times New Roman" w:hAnsi="Times New Roman" w:cs="Times New Roman"/>
          <w:sz w:val="24"/>
          <w:szCs w:val="24"/>
        </w:rPr>
        <w:t xml:space="preserve"> and the share of work accounted for by EU migrants is the largest of the shares across other states</w:t>
      </w:r>
      <w:r w:rsidR="004217F2">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F6689A">
        <w:rPr>
          <w:rFonts w:ascii="Times New Roman" w:hAnsi="Times New Roman" w:cs="Times New Roman"/>
          <w:sz w:val="24"/>
          <w:szCs w:val="24"/>
        </w:rPr>
        <w:t xml:space="preserve">any fall in </w:t>
      </w:r>
      <w:r>
        <w:rPr>
          <w:rFonts w:ascii="Times New Roman" w:hAnsi="Times New Roman" w:cs="Times New Roman"/>
          <w:sz w:val="24"/>
          <w:szCs w:val="24"/>
        </w:rPr>
        <w:t xml:space="preserve">the numbers of </w:t>
      </w:r>
      <w:r w:rsidR="00F6689A">
        <w:rPr>
          <w:rFonts w:ascii="Times New Roman" w:hAnsi="Times New Roman" w:cs="Times New Roman"/>
          <w:sz w:val="24"/>
          <w:szCs w:val="24"/>
        </w:rPr>
        <w:t>EU</w:t>
      </w:r>
      <w:r w:rsidR="004217F2">
        <w:rPr>
          <w:rFonts w:ascii="Times New Roman" w:hAnsi="Times New Roman" w:cs="Times New Roman"/>
          <w:sz w:val="24"/>
          <w:szCs w:val="24"/>
        </w:rPr>
        <w:t xml:space="preserve"> immigrants</w:t>
      </w:r>
      <w:r w:rsidR="00BF1A7F">
        <w:rPr>
          <w:rFonts w:ascii="Times New Roman" w:hAnsi="Times New Roman" w:cs="Times New Roman"/>
          <w:sz w:val="24"/>
          <w:szCs w:val="24"/>
        </w:rPr>
        <w:t>, unless targeted,</w:t>
      </w:r>
      <w:r w:rsidR="004217F2">
        <w:rPr>
          <w:rFonts w:ascii="Times New Roman" w:hAnsi="Times New Roman" w:cs="Times New Roman"/>
          <w:sz w:val="24"/>
          <w:szCs w:val="24"/>
        </w:rPr>
        <w:t xml:space="preserve"> is</w:t>
      </w:r>
      <w:r w:rsidR="00F6689A">
        <w:rPr>
          <w:rFonts w:ascii="Times New Roman" w:hAnsi="Times New Roman" w:cs="Times New Roman"/>
          <w:sz w:val="24"/>
          <w:szCs w:val="24"/>
        </w:rPr>
        <w:t xml:space="preserve"> </w:t>
      </w:r>
      <w:r w:rsidR="004217F2">
        <w:rPr>
          <w:rFonts w:ascii="Times New Roman" w:hAnsi="Times New Roman" w:cs="Times New Roman"/>
          <w:sz w:val="24"/>
          <w:szCs w:val="24"/>
        </w:rPr>
        <w:t xml:space="preserve">likely </w:t>
      </w:r>
      <w:r w:rsidR="00712231">
        <w:rPr>
          <w:rFonts w:ascii="Times New Roman" w:hAnsi="Times New Roman" w:cs="Times New Roman"/>
          <w:sz w:val="24"/>
          <w:szCs w:val="24"/>
        </w:rPr>
        <w:t>to affect</w:t>
      </w:r>
      <w:r w:rsidR="00F6689A">
        <w:rPr>
          <w:rFonts w:ascii="Times New Roman" w:hAnsi="Times New Roman" w:cs="Times New Roman"/>
          <w:sz w:val="24"/>
          <w:szCs w:val="24"/>
        </w:rPr>
        <w:t xml:space="preserve"> the </w:t>
      </w:r>
      <w:r>
        <w:rPr>
          <w:rFonts w:ascii="Times New Roman" w:hAnsi="Times New Roman" w:cs="Times New Roman"/>
          <w:sz w:val="24"/>
          <w:szCs w:val="24"/>
        </w:rPr>
        <w:t>world of work</w:t>
      </w:r>
      <w:r w:rsidR="00372757">
        <w:rPr>
          <w:rFonts w:ascii="Times New Roman" w:hAnsi="Times New Roman" w:cs="Times New Roman"/>
          <w:sz w:val="24"/>
          <w:szCs w:val="24"/>
        </w:rPr>
        <w:t xml:space="preserve"> more </w:t>
      </w:r>
      <w:r w:rsidR="00712231">
        <w:rPr>
          <w:rFonts w:ascii="Times New Roman" w:hAnsi="Times New Roman" w:cs="Times New Roman"/>
          <w:sz w:val="24"/>
          <w:szCs w:val="24"/>
        </w:rPr>
        <w:t xml:space="preserve">than </w:t>
      </w:r>
      <w:r w:rsidR="00BF1A7F">
        <w:rPr>
          <w:rFonts w:ascii="Times New Roman" w:hAnsi="Times New Roman" w:cs="Times New Roman"/>
          <w:sz w:val="24"/>
          <w:szCs w:val="24"/>
        </w:rPr>
        <w:t xml:space="preserve">the </w:t>
      </w:r>
      <w:r w:rsidR="00F6689A">
        <w:rPr>
          <w:rFonts w:ascii="Times New Roman" w:hAnsi="Times New Roman" w:cs="Times New Roman"/>
          <w:sz w:val="24"/>
          <w:szCs w:val="24"/>
        </w:rPr>
        <w:t>education sector (nurseries, schools and colleges)</w:t>
      </w:r>
      <w:r w:rsidR="00712231">
        <w:rPr>
          <w:rFonts w:ascii="Times New Roman" w:hAnsi="Times New Roman" w:cs="Times New Roman"/>
          <w:sz w:val="24"/>
          <w:szCs w:val="24"/>
        </w:rPr>
        <w:t xml:space="preserve"> or welfare services</w:t>
      </w:r>
      <w:r>
        <w:rPr>
          <w:rFonts w:ascii="Times New Roman" w:hAnsi="Times New Roman" w:cs="Times New Roman"/>
          <w:sz w:val="24"/>
          <w:szCs w:val="24"/>
        </w:rPr>
        <w:t xml:space="preserve"> (pensions, welfare benefits)</w:t>
      </w:r>
      <w:r w:rsidR="008F4923">
        <w:rPr>
          <w:rFonts w:ascii="Times New Roman" w:hAnsi="Times New Roman" w:cs="Times New Roman"/>
          <w:sz w:val="24"/>
          <w:szCs w:val="24"/>
        </w:rPr>
        <w:t xml:space="preserve"> directly</w:t>
      </w:r>
      <w:r>
        <w:rPr>
          <w:rFonts w:ascii="Times New Roman" w:hAnsi="Times New Roman" w:cs="Times New Roman"/>
          <w:sz w:val="24"/>
          <w:szCs w:val="24"/>
        </w:rPr>
        <w:t>.</w:t>
      </w:r>
      <w:r w:rsidR="008F4923">
        <w:rPr>
          <w:rStyle w:val="FootnoteReference"/>
          <w:rFonts w:ascii="Times New Roman" w:hAnsi="Times New Roman" w:cs="Times New Roman"/>
          <w:sz w:val="24"/>
          <w:szCs w:val="24"/>
        </w:rPr>
        <w:footnoteReference w:id="10"/>
      </w:r>
    </w:p>
    <w:p w:rsidR="001818E6" w:rsidRDefault="001818E6" w:rsidP="00486EAF">
      <w:pPr>
        <w:pStyle w:val="Caption"/>
        <w:spacing w:after="0"/>
        <w:jc w:val="both"/>
        <w:rPr>
          <w:rFonts w:ascii="Times New Roman" w:hAnsi="Times New Roman" w:cs="Times New Roman"/>
          <w:b/>
          <w:i w:val="0"/>
          <w:color w:val="auto"/>
          <w:sz w:val="24"/>
          <w:szCs w:val="24"/>
        </w:rPr>
      </w:pPr>
      <w:bookmarkStart w:id="5" w:name="_Ref512521069"/>
    </w:p>
    <w:p w:rsidR="00C840D2" w:rsidRPr="00486EAF" w:rsidRDefault="00486EAF" w:rsidP="00486EAF">
      <w:pPr>
        <w:pStyle w:val="Caption"/>
        <w:spacing w:after="0"/>
        <w:jc w:val="both"/>
        <w:rPr>
          <w:rFonts w:ascii="Times New Roman" w:hAnsi="Times New Roman" w:cs="Times New Roman"/>
          <w:b/>
          <w:i w:val="0"/>
          <w:color w:val="auto"/>
          <w:sz w:val="24"/>
          <w:szCs w:val="24"/>
        </w:rPr>
      </w:pPr>
      <w:r w:rsidRPr="00486EAF">
        <w:rPr>
          <w:rFonts w:ascii="Times New Roman" w:hAnsi="Times New Roman" w:cs="Times New Roman"/>
          <w:b/>
          <w:i w:val="0"/>
          <w:color w:val="auto"/>
          <w:sz w:val="24"/>
          <w:szCs w:val="24"/>
        </w:rPr>
        <w:t xml:space="preserve">Figure </w:t>
      </w:r>
      <w:bookmarkEnd w:id="5"/>
      <w:r w:rsidR="00594B11">
        <w:rPr>
          <w:rFonts w:ascii="Times New Roman" w:hAnsi="Times New Roman" w:cs="Times New Roman"/>
          <w:b/>
          <w:i w:val="0"/>
          <w:color w:val="auto"/>
          <w:sz w:val="24"/>
          <w:szCs w:val="24"/>
        </w:rPr>
        <w:t>7</w:t>
      </w:r>
      <w:r w:rsidRPr="00486EAF">
        <w:rPr>
          <w:rFonts w:ascii="Times New Roman" w:hAnsi="Times New Roman" w:cs="Times New Roman"/>
          <w:b/>
          <w:i w:val="0"/>
          <w:color w:val="auto"/>
          <w:sz w:val="24"/>
          <w:szCs w:val="24"/>
        </w:rPr>
        <w:t xml:space="preserve">. EU </w:t>
      </w:r>
      <w:r w:rsidR="00712231">
        <w:rPr>
          <w:rFonts w:ascii="Times New Roman" w:hAnsi="Times New Roman" w:cs="Times New Roman"/>
          <w:b/>
          <w:i w:val="0"/>
          <w:color w:val="auto"/>
          <w:sz w:val="24"/>
          <w:szCs w:val="24"/>
        </w:rPr>
        <w:t xml:space="preserve">Migrants Across the </w:t>
      </w:r>
      <w:r w:rsidR="00811AA1">
        <w:rPr>
          <w:rFonts w:ascii="Times New Roman" w:hAnsi="Times New Roman" w:cs="Times New Roman"/>
          <w:b/>
          <w:i w:val="0"/>
          <w:color w:val="auto"/>
          <w:sz w:val="24"/>
          <w:szCs w:val="24"/>
        </w:rPr>
        <w:t xml:space="preserve">UK </w:t>
      </w:r>
      <w:r w:rsidR="00712231">
        <w:rPr>
          <w:rFonts w:ascii="Times New Roman" w:hAnsi="Times New Roman" w:cs="Times New Roman"/>
          <w:b/>
          <w:i w:val="0"/>
          <w:color w:val="auto"/>
          <w:sz w:val="24"/>
          <w:szCs w:val="24"/>
        </w:rPr>
        <w:t>Population</w:t>
      </w:r>
      <w:r w:rsidR="00811AA1">
        <w:rPr>
          <w:rFonts w:ascii="Times New Roman" w:hAnsi="Times New Roman" w:cs="Times New Roman"/>
          <w:b/>
          <w:i w:val="0"/>
          <w:color w:val="auto"/>
          <w:sz w:val="24"/>
          <w:szCs w:val="24"/>
        </w:rPr>
        <w:t xml:space="preserve"> 2018</w:t>
      </w:r>
    </w:p>
    <w:p w:rsidR="00486EAF" w:rsidRDefault="00811AA1" w:rsidP="000A23BB">
      <w:pPr>
        <w:keepNext/>
        <w:spacing w:after="0" w:line="240" w:lineRule="auto"/>
      </w:pPr>
      <w:r w:rsidRPr="00811AA1">
        <w:rPr>
          <w:noProof/>
          <w:lang w:val="en-US"/>
        </w:rPr>
        <w:drawing>
          <wp:inline distT="0" distB="0" distL="0" distR="0">
            <wp:extent cx="5029200"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0A23BB" w:rsidRPr="000078AF" w:rsidRDefault="000A23BB" w:rsidP="000A23BB">
      <w:pPr>
        <w:pStyle w:val="Default"/>
        <w:jc w:val="both"/>
        <w:rPr>
          <w:bCs/>
          <w:color w:val="00000A"/>
        </w:rPr>
      </w:pPr>
      <w:r w:rsidRPr="000A23BB">
        <w:rPr>
          <w:b/>
          <w:sz w:val="20"/>
          <w:szCs w:val="20"/>
        </w:rPr>
        <w:t>Source:</w:t>
      </w:r>
      <w:r w:rsidRPr="000A23BB">
        <w:rPr>
          <w:sz w:val="20"/>
          <w:szCs w:val="20"/>
        </w:rPr>
        <w:t xml:space="preserve"> </w:t>
      </w:r>
      <w:r w:rsidRPr="000A23BB">
        <w:rPr>
          <w:sz w:val="20"/>
          <w:szCs w:val="20"/>
          <w:lang w:eastAsia="en-GB"/>
        </w:rPr>
        <w:t>author</w:t>
      </w:r>
      <w:r>
        <w:rPr>
          <w:sz w:val="20"/>
          <w:szCs w:val="20"/>
          <w:lang w:eastAsia="en-GB"/>
        </w:rPr>
        <w:t xml:space="preserve"> analysis of LFS</w:t>
      </w:r>
      <w:r w:rsidRPr="004616CB">
        <w:t>.</w:t>
      </w:r>
    </w:p>
    <w:p w:rsidR="00372757" w:rsidRDefault="00372757" w:rsidP="00372757">
      <w:pPr>
        <w:spacing w:after="0" w:line="480" w:lineRule="auto"/>
        <w:jc w:val="both"/>
        <w:rPr>
          <w:rFonts w:ascii="Times New Roman" w:hAnsi="Times New Roman" w:cs="Times New Roman"/>
          <w:sz w:val="24"/>
          <w:szCs w:val="24"/>
        </w:rPr>
      </w:pPr>
    </w:p>
    <w:p w:rsidR="00035A0C" w:rsidRDefault="00090ED4" w:rsidP="00090ED4">
      <w:pPr>
        <w:keepNext/>
        <w:spacing w:after="0" w:line="480" w:lineRule="auto"/>
        <w:jc w:val="both"/>
        <w:rPr>
          <w:rFonts w:ascii="Times New Roman" w:hAnsi="Times New Roman" w:cs="Times New Roman"/>
          <w:sz w:val="24"/>
          <w:szCs w:val="24"/>
        </w:rPr>
      </w:pPr>
      <w:r w:rsidRPr="00090ED4">
        <w:rPr>
          <w:rFonts w:ascii="Times New Roman" w:hAnsi="Times New Roman" w:cs="Times New Roman"/>
          <w:sz w:val="24"/>
          <w:szCs w:val="24"/>
        </w:rPr>
        <w:t>The distribution of EU workers in empl</w:t>
      </w:r>
      <w:r w:rsidR="00AD12D1">
        <w:rPr>
          <w:rFonts w:ascii="Times New Roman" w:hAnsi="Times New Roman" w:cs="Times New Roman"/>
          <w:sz w:val="24"/>
          <w:szCs w:val="24"/>
        </w:rPr>
        <w:t xml:space="preserve">oyment is far from even. </w:t>
      </w:r>
      <w:r w:rsidR="00AD12D1" w:rsidRPr="00AD12D1">
        <w:rPr>
          <w:rFonts w:ascii="Times New Roman" w:hAnsi="Times New Roman" w:cs="Times New Roman"/>
          <w:sz w:val="24"/>
          <w:szCs w:val="24"/>
        </w:rPr>
        <w:t xml:space="preserve">As </w:t>
      </w:r>
      <w:r w:rsidR="001818E6">
        <w:rPr>
          <w:rFonts w:ascii="Times New Roman" w:hAnsi="Times New Roman" w:cs="Times New Roman"/>
          <w:sz w:val="24"/>
          <w:szCs w:val="24"/>
        </w:rPr>
        <w:t>Figure 8</w:t>
      </w:r>
      <w:r w:rsidR="00AD12D1" w:rsidRPr="00AD12D1">
        <w:rPr>
          <w:rFonts w:ascii="Times New Roman" w:hAnsi="Times New Roman" w:cs="Times New Roman"/>
          <w:sz w:val="24"/>
          <w:szCs w:val="24"/>
        </w:rPr>
        <w:t xml:space="preserve"> shows</w:t>
      </w:r>
      <w:r w:rsidR="00AD12D1">
        <w:rPr>
          <w:rFonts w:ascii="Times New Roman" w:hAnsi="Times New Roman" w:cs="Times New Roman"/>
          <w:sz w:val="24"/>
          <w:szCs w:val="24"/>
        </w:rPr>
        <w:t>, some 48</w:t>
      </w:r>
      <w:r w:rsidRPr="00090ED4">
        <w:rPr>
          <w:rFonts w:ascii="Times New Roman" w:hAnsi="Times New Roman" w:cs="Times New Roman"/>
          <w:sz w:val="24"/>
          <w:szCs w:val="24"/>
        </w:rPr>
        <w:t>% of EU inhabitants live in London and the South-East.</w:t>
      </w:r>
      <w:r>
        <w:rPr>
          <w:rFonts w:ascii="Times New Roman" w:hAnsi="Times New Roman" w:cs="Times New Roman"/>
          <w:sz w:val="24"/>
          <w:szCs w:val="24"/>
        </w:rPr>
        <w:t xml:space="preserve"> </w:t>
      </w:r>
      <w:r w:rsidR="003B54E7">
        <w:rPr>
          <w:rFonts w:ascii="Times New Roman" w:hAnsi="Times New Roman" w:cs="Times New Roman"/>
          <w:sz w:val="24"/>
          <w:szCs w:val="24"/>
        </w:rPr>
        <w:t xml:space="preserve">The EU migrant share of the population of London is also much higher than elsewhere in the UK, (at  around 12% compared to the UK average elsewhere of 4.5%). </w:t>
      </w:r>
      <w:r w:rsidR="00911D00" w:rsidRPr="00A427F8">
        <w:rPr>
          <w:rFonts w:ascii="Times New Roman" w:hAnsi="Times New Roman" w:cs="Times New Roman"/>
          <w:sz w:val="24"/>
          <w:szCs w:val="24"/>
        </w:rPr>
        <w:t>A simple correlation indicates that there are fewer (EU) immigrants in Brexit-voting areas</w:t>
      </w:r>
      <w:r w:rsidR="00E52C4E" w:rsidRPr="00A427F8">
        <w:rPr>
          <w:rFonts w:ascii="Times New Roman" w:hAnsi="Times New Roman" w:cs="Times New Roman"/>
          <w:sz w:val="24"/>
          <w:szCs w:val="24"/>
        </w:rPr>
        <w:t>, (correlation coefficient =</w:t>
      </w:r>
      <w:r w:rsidR="00A427F8" w:rsidRPr="00A427F8">
        <w:rPr>
          <w:rFonts w:ascii="Times New Roman" w:hAnsi="Times New Roman" w:cs="Times New Roman"/>
          <w:sz w:val="24"/>
          <w:szCs w:val="24"/>
        </w:rPr>
        <w:t xml:space="preserve"> -0.30</w:t>
      </w:r>
      <w:r w:rsidR="00A427F8">
        <w:rPr>
          <w:rFonts w:ascii="Times New Roman" w:hAnsi="Times New Roman" w:cs="Times New Roman"/>
          <w:sz w:val="24"/>
          <w:szCs w:val="24"/>
        </w:rPr>
        <w:t>)</w:t>
      </w:r>
      <w:r w:rsidR="00911D00" w:rsidRPr="00A427F8">
        <w:rPr>
          <w:rFonts w:ascii="Times New Roman" w:hAnsi="Times New Roman" w:cs="Times New Roman"/>
          <w:sz w:val="24"/>
          <w:szCs w:val="24"/>
        </w:rPr>
        <w:t>.</w:t>
      </w:r>
      <w:r w:rsidR="00E52C4E" w:rsidRPr="00A427F8">
        <w:rPr>
          <w:rFonts w:ascii="Times New Roman" w:hAnsi="Times New Roman" w:cs="Times New Roman"/>
          <w:sz w:val="24"/>
          <w:szCs w:val="24"/>
        </w:rPr>
        <w:t xml:space="preserve"> It is true however that the </w:t>
      </w:r>
      <w:r w:rsidR="00E52C4E" w:rsidRPr="00A427F8">
        <w:rPr>
          <w:rFonts w:ascii="Times New Roman" w:hAnsi="Times New Roman" w:cs="Times New Roman"/>
          <w:sz w:val="24"/>
          <w:szCs w:val="24"/>
        </w:rPr>
        <w:lastRenderedPageBreak/>
        <w:t xml:space="preserve">rate of change in immigration has been greater in Brexit voting areas, though this association is </w:t>
      </w:r>
      <w:r w:rsidR="00A427F8">
        <w:rPr>
          <w:rFonts w:ascii="Times New Roman" w:hAnsi="Times New Roman" w:cs="Times New Roman"/>
          <w:sz w:val="24"/>
          <w:szCs w:val="24"/>
        </w:rPr>
        <w:t xml:space="preserve">still </w:t>
      </w:r>
      <w:r w:rsidR="00E52C4E" w:rsidRPr="00A427F8">
        <w:rPr>
          <w:rFonts w:ascii="Times New Roman" w:hAnsi="Times New Roman" w:cs="Times New Roman"/>
          <w:sz w:val="24"/>
          <w:szCs w:val="24"/>
        </w:rPr>
        <w:t>rather weak (correlation coefficient = .0</w:t>
      </w:r>
      <w:r w:rsidR="00A427F8">
        <w:rPr>
          <w:rFonts w:ascii="Times New Roman" w:hAnsi="Times New Roman" w:cs="Times New Roman"/>
          <w:sz w:val="24"/>
          <w:szCs w:val="24"/>
        </w:rPr>
        <w:t>9)</w:t>
      </w:r>
      <w:r w:rsidR="00E52C4E" w:rsidRPr="00A427F8">
        <w:rPr>
          <w:rFonts w:ascii="Times New Roman" w:hAnsi="Times New Roman" w:cs="Times New Roman"/>
          <w:sz w:val="24"/>
          <w:szCs w:val="24"/>
        </w:rPr>
        <w:t>.</w:t>
      </w:r>
      <w:r w:rsidR="00911D00" w:rsidRPr="00A427F8">
        <w:rPr>
          <w:rStyle w:val="FootnoteReference"/>
          <w:rFonts w:ascii="Times New Roman" w:hAnsi="Times New Roman" w:cs="Times New Roman"/>
          <w:sz w:val="24"/>
          <w:szCs w:val="24"/>
        </w:rPr>
        <w:footnoteReference w:id="11"/>
      </w:r>
      <w:r w:rsidR="00911D00" w:rsidRPr="00A427F8">
        <w:rPr>
          <w:rFonts w:ascii="Times New Roman" w:hAnsi="Times New Roman" w:cs="Times New Roman"/>
          <w:sz w:val="24"/>
          <w:szCs w:val="24"/>
        </w:rPr>
        <w:t xml:space="preserve">  </w:t>
      </w:r>
    </w:p>
    <w:p w:rsidR="00035A0C" w:rsidRDefault="00035A0C" w:rsidP="00090ED4">
      <w:pPr>
        <w:keepNext/>
        <w:spacing w:after="0" w:line="480" w:lineRule="auto"/>
        <w:jc w:val="both"/>
        <w:rPr>
          <w:rFonts w:ascii="Times New Roman" w:hAnsi="Times New Roman" w:cs="Times New Roman"/>
          <w:sz w:val="24"/>
          <w:szCs w:val="24"/>
        </w:rPr>
      </w:pPr>
    </w:p>
    <w:p w:rsidR="00090ED4" w:rsidRDefault="00911D00" w:rsidP="00090ED4">
      <w:pPr>
        <w:keepNext/>
        <w:spacing w:after="0" w:line="480" w:lineRule="auto"/>
        <w:jc w:val="both"/>
        <w:rPr>
          <w:rFonts w:ascii="Times New Roman" w:hAnsi="Times New Roman" w:cs="Times New Roman"/>
          <w:sz w:val="24"/>
          <w:szCs w:val="24"/>
        </w:rPr>
      </w:pPr>
      <w:r w:rsidRPr="00A427F8">
        <w:rPr>
          <w:rFonts w:ascii="Times New Roman" w:hAnsi="Times New Roman" w:cs="Times New Roman"/>
          <w:sz w:val="24"/>
          <w:szCs w:val="24"/>
        </w:rPr>
        <w:t>Should the EU</w:t>
      </w:r>
      <w:r>
        <w:rPr>
          <w:rFonts w:ascii="Times New Roman" w:hAnsi="Times New Roman" w:cs="Times New Roman"/>
          <w:sz w:val="24"/>
          <w:szCs w:val="24"/>
        </w:rPr>
        <w:t xml:space="preserve"> population </w:t>
      </w:r>
      <w:r w:rsidR="00035A0C">
        <w:rPr>
          <w:rFonts w:ascii="Times New Roman" w:hAnsi="Times New Roman" w:cs="Times New Roman"/>
          <w:sz w:val="24"/>
          <w:szCs w:val="24"/>
        </w:rPr>
        <w:t xml:space="preserve">continue to </w:t>
      </w:r>
      <w:r>
        <w:rPr>
          <w:rFonts w:ascii="Times New Roman" w:hAnsi="Times New Roman" w:cs="Times New Roman"/>
          <w:sz w:val="24"/>
          <w:szCs w:val="24"/>
        </w:rPr>
        <w:t xml:space="preserve">decline then it is perhaps in London and the South-East that we might expect to see more noticeable effects. This however assumes that the Brexit shock is spread evenly across the EU population and there are reasons to suspect, see below, that this may not be the case. </w:t>
      </w:r>
    </w:p>
    <w:p w:rsidR="00E93F29" w:rsidRDefault="00E93F29" w:rsidP="00090ED4">
      <w:pPr>
        <w:keepNext/>
        <w:spacing w:after="0" w:line="480" w:lineRule="auto"/>
        <w:jc w:val="both"/>
        <w:rPr>
          <w:rFonts w:ascii="Times New Roman" w:hAnsi="Times New Roman" w:cs="Times New Roman"/>
          <w:sz w:val="24"/>
          <w:szCs w:val="24"/>
        </w:rPr>
      </w:pPr>
    </w:p>
    <w:p w:rsidR="00090ED4" w:rsidRDefault="00090ED4" w:rsidP="00341A50">
      <w:pPr>
        <w:pStyle w:val="Caption"/>
        <w:spacing w:after="0"/>
        <w:jc w:val="both"/>
        <w:rPr>
          <w:rFonts w:ascii="Times New Roman" w:hAnsi="Times New Roman" w:cs="Times New Roman"/>
          <w:b/>
          <w:i w:val="0"/>
          <w:color w:val="auto"/>
          <w:sz w:val="24"/>
          <w:szCs w:val="24"/>
        </w:rPr>
      </w:pPr>
      <w:bookmarkStart w:id="6" w:name="_Ref512591607"/>
      <w:r w:rsidRPr="00090ED4">
        <w:rPr>
          <w:rFonts w:ascii="Times New Roman" w:hAnsi="Times New Roman" w:cs="Times New Roman"/>
          <w:b/>
          <w:i w:val="0"/>
          <w:color w:val="auto"/>
          <w:sz w:val="24"/>
          <w:szCs w:val="24"/>
        </w:rPr>
        <w:t xml:space="preserve">Figure </w:t>
      </w:r>
      <w:bookmarkEnd w:id="6"/>
      <w:r w:rsidR="001818E6">
        <w:rPr>
          <w:rFonts w:ascii="Times New Roman" w:hAnsi="Times New Roman" w:cs="Times New Roman"/>
          <w:b/>
          <w:i w:val="0"/>
          <w:color w:val="auto"/>
          <w:sz w:val="24"/>
          <w:szCs w:val="24"/>
        </w:rPr>
        <w:t>8</w:t>
      </w:r>
      <w:r w:rsidRPr="00090ED4">
        <w:rPr>
          <w:rFonts w:ascii="Times New Roman" w:hAnsi="Times New Roman" w:cs="Times New Roman"/>
          <w:b/>
          <w:i w:val="0"/>
          <w:color w:val="auto"/>
          <w:sz w:val="24"/>
          <w:szCs w:val="24"/>
        </w:rPr>
        <w:t xml:space="preserve">. </w:t>
      </w:r>
      <w:r w:rsidR="00DE44CA" w:rsidRPr="00090ED4">
        <w:rPr>
          <w:rFonts w:ascii="Times New Roman" w:hAnsi="Times New Roman" w:cs="Times New Roman"/>
          <w:b/>
          <w:i w:val="0"/>
          <w:color w:val="auto"/>
          <w:sz w:val="24"/>
          <w:szCs w:val="24"/>
        </w:rPr>
        <w:t>EU Migrant</w:t>
      </w:r>
      <w:r w:rsidR="00DE44CA">
        <w:rPr>
          <w:rFonts w:ascii="Times New Roman" w:hAnsi="Times New Roman" w:cs="Times New Roman"/>
          <w:b/>
          <w:i w:val="0"/>
          <w:color w:val="auto"/>
          <w:sz w:val="24"/>
          <w:szCs w:val="24"/>
        </w:rPr>
        <w:t xml:space="preserve"> Area Population Shares </w:t>
      </w:r>
      <w:r w:rsidR="00AD6149">
        <w:rPr>
          <w:rFonts w:ascii="Times New Roman" w:hAnsi="Times New Roman" w:cs="Times New Roman"/>
          <w:b/>
          <w:i w:val="0"/>
          <w:color w:val="auto"/>
          <w:sz w:val="24"/>
          <w:szCs w:val="24"/>
        </w:rPr>
        <w:t>2018</w:t>
      </w:r>
    </w:p>
    <w:p w:rsidR="00090ED4" w:rsidRDefault="00DE44CA" w:rsidP="00341A50">
      <w:pPr>
        <w:spacing w:after="0" w:line="240" w:lineRule="auto"/>
        <w:jc w:val="both"/>
        <w:rPr>
          <w:rFonts w:ascii="Times New Roman" w:hAnsi="Times New Roman" w:cs="Times New Roman"/>
          <w:b/>
          <w:noProof/>
          <w:sz w:val="24"/>
          <w:szCs w:val="24"/>
          <w:lang w:eastAsia="en-GB"/>
        </w:rPr>
      </w:pPr>
      <w:r w:rsidRPr="00DE44CA">
        <w:rPr>
          <w:noProof/>
          <w:lang w:val="en-US"/>
        </w:rPr>
        <w:drawing>
          <wp:inline distT="0" distB="0" distL="0" distR="0">
            <wp:extent cx="5577840" cy="4056611"/>
            <wp:effectExtent l="0" t="0" r="381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5568" cy="4062231"/>
                    </a:xfrm>
                    <a:prstGeom prst="rect">
                      <a:avLst/>
                    </a:prstGeom>
                    <a:noFill/>
                    <a:ln>
                      <a:noFill/>
                    </a:ln>
                  </pic:spPr>
                </pic:pic>
              </a:graphicData>
            </a:graphic>
          </wp:inline>
        </w:drawing>
      </w:r>
      <w:r w:rsidRPr="00DE44CA">
        <w:rPr>
          <w:noProof/>
          <w:lang w:eastAsia="en-GB"/>
        </w:rPr>
        <w:t xml:space="preserve"> </w:t>
      </w:r>
    </w:p>
    <w:p w:rsidR="00341A50" w:rsidRPr="00E9440B" w:rsidRDefault="00341A50" w:rsidP="00341A50">
      <w:pPr>
        <w:spacing w:after="0" w:line="240" w:lineRule="auto"/>
        <w:jc w:val="both"/>
        <w:rPr>
          <w:rFonts w:ascii="Times New Roman" w:hAnsi="Times New Roman" w:cs="Times New Roman"/>
          <w:b/>
          <w:noProof/>
          <w:sz w:val="24"/>
          <w:szCs w:val="24"/>
          <w:lang w:eastAsia="en-GB"/>
        </w:rPr>
      </w:pPr>
      <w:r w:rsidRPr="00E9440B">
        <w:rPr>
          <w:rFonts w:ascii="Times New Roman" w:hAnsi="Times New Roman" w:cs="Times New Roman"/>
          <w:sz w:val="20"/>
          <w:szCs w:val="20"/>
        </w:rPr>
        <w:t xml:space="preserve">Source: </w:t>
      </w:r>
      <w:r w:rsidR="00DE44CA" w:rsidRPr="00E9440B">
        <w:rPr>
          <w:rFonts w:ascii="Times New Roman" w:hAnsi="Times New Roman" w:cs="Times New Roman"/>
          <w:sz w:val="20"/>
          <w:szCs w:val="20"/>
          <w:lang w:eastAsia="en-GB"/>
        </w:rPr>
        <w:t>A</w:t>
      </w:r>
      <w:r w:rsidRPr="00E9440B">
        <w:rPr>
          <w:rFonts w:ascii="Times New Roman" w:hAnsi="Times New Roman" w:cs="Times New Roman"/>
          <w:sz w:val="20"/>
          <w:szCs w:val="20"/>
          <w:lang w:eastAsia="en-GB"/>
        </w:rPr>
        <w:t>uthor analysis of Labour Force Survey</w:t>
      </w:r>
      <w:r w:rsidRPr="00E9440B">
        <w:rPr>
          <w:rFonts w:ascii="Times New Roman" w:hAnsi="Times New Roman" w:cs="Times New Roman"/>
          <w:sz w:val="20"/>
          <w:szCs w:val="20"/>
        </w:rPr>
        <w:t>.</w:t>
      </w:r>
    </w:p>
    <w:p w:rsidR="00341A50" w:rsidRPr="004616CB" w:rsidRDefault="00341A50" w:rsidP="00341A50">
      <w:pPr>
        <w:rPr>
          <w:rFonts w:ascii="Times New Roman" w:hAnsi="Times New Roman" w:cs="Times New Roman"/>
          <w:b/>
          <w:noProof/>
          <w:sz w:val="24"/>
          <w:szCs w:val="24"/>
          <w:lang w:eastAsia="en-GB"/>
        </w:rPr>
      </w:pPr>
    </w:p>
    <w:p w:rsidR="00E93F29" w:rsidRDefault="00CF0748" w:rsidP="00A02909">
      <w:pPr>
        <w:spacing w:after="0" w:line="480" w:lineRule="auto"/>
        <w:jc w:val="both"/>
        <w:rPr>
          <w:rFonts w:ascii="Times New Roman" w:hAnsi="Times New Roman" w:cs="Times New Roman"/>
          <w:sz w:val="24"/>
          <w:szCs w:val="24"/>
        </w:rPr>
      </w:pPr>
      <w:r w:rsidRPr="00A02909">
        <w:rPr>
          <w:rFonts w:ascii="Times New Roman" w:hAnsi="Times New Roman" w:cs="Times New Roman"/>
          <w:sz w:val="24"/>
          <w:szCs w:val="24"/>
        </w:rPr>
        <w:t>Equally EU i</w:t>
      </w:r>
      <w:r w:rsidR="00C840D2" w:rsidRPr="00A02909">
        <w:rPr>
          <w:rFonts w:ascii="Times New Roman" w:hAnsi="Times New Roman" w:cs="Times New Roman"/>
          <w:sz w:val="24"/>
          <w:szCs w:val="24"/>
        </w:rPr>
        <w:t xml:space="preserve">mmigrants </w:t>
      </w:r>
      <w:r w:rsidRPr="00A02909">
        <w:rPr>
          <w:rFonts w:ascii="Times New Roman" w:hAnsi="Times New Roman" w:cs="Times New Roman"/>
          <w:sz w:val="24"/>
          <w:szCs w:val="24"/>
        </w:rPr>
        <w:t>in work are spread across the pay d</w:t>
      </w:r>
      <w:r w:rsidR="00C840D2" w:rsidRPr="00A02909">
        <w:rPr>
          <w:rFonts w:ascii="Times New Roman" w:hAnsi="Times New Roman" w:cs="Times New Roman"/>
          <w:sz w:val="24"/>
          <w:szCs w:val="24"/>
        </w:rPr>
        <w:t>istribution</w:t>
      </w:r>
      <w:r w:rsidRPr="00A02909">
        <w:rPr>
          <w:rFonts w:ascii="Times New Roman" w:hAnsi="Times New Roman" w:cs="Times New Roman"/>
          <w:sz w:val="24"/>
          <w:szCs w:val="24"/>
        </w:rPr>
        <w:t xml:space="preserve"> with a </w:t>
      </w:r>
      <w:r w:rsidR="00E63AC3">
        <w:rPr>
          <w:rFonts w:ascii="Times New Roman" w:hAnsi="Times New Roman" w:cs="Times New Roman"/>
          <w:sz w:val="24"/>
          <w:szCs w:val="24"/>
        </w:rPr>
        <w:t xml:space="preserve">clear </w:t>
      </w:r>
      <w:r w:rsidRPr="00A02909">
        <w:rPr>
          <w:rFonts w:ascii="Times New Roman" w:hAnsi="Times New Roman" w:cs="Times New Roman"/>
          <w:sz w:val="24"/>
          <w:szCs w:val="24"/>
        </w:rPr>
        <w:t xml:space="preserve">difference </w:t>
      </w:r>
      <w:r w:rsidR="0072309D">
        <w:rPr>
          <w:rFonts w:ascii="Times New Roman" w:hAnsi="Times New Roman" w:cs="Times New Roman"/>
          <w:sz w:val="24"/>
          <w:szCs w:val="24"/>
        </w:rPr>
        <w:t xml:space="preserve">in pay patterns </w:t>
      </w:r>
      <w:r w:rsidRPr="00A02909">
        <w:rPr>
          <w:rFonts w:ascii="Times New Roman" w:hAnsi="Times New Roman" w:cs="Times New Roman"/>
          <w:sz w:val="24"/>
          <w:szCs w:val="24"/>
        </w:rPr>
        <w:t xml:space="preserve">between A8/A2 and other EU workers. A8/A2 workers tend to be in low paid work, much more so than others, while EU14 workers tend to be in higher paid jobs, more so </w:t>
      </w:r>
      <w:r w:rsidR="0072309D">
        <w:rPr>
          <w:rFonts w:ascii="Times New Roman" w:hAnsi="Times New Roman" w:cs="Times New Roman"/>
          <w:sz w:val="24"/>
          <w:szCs w:val="24"/>
        </w:rPr>
        <w:t xml:space="preserve">even </w:t>
      </w:r>
      <w:r w:rsidRPr="00A02909">
        <w:rPr>
          <w:rFonts w:ascii="Times New Roman" w:hAnsi="Times New Roman" w:cs="Times New Roman"/>
          <w:sz w:val="24"/>
          <w:szCs w:val="24"/>
        </w:rPr>
        <w:t>than UK-Born workers</w:t>
      </w:r>
      <w:r w:rsidR="00A02909">
        <w:rPr>
          <w:rFonts w:ascii="Times New Roman" w:hAnsi="Times New Roman" w:cs="Times New Roman"/>
          <w:sz w:val="24"/>
          <w:szCs w:val="24"/>
        </w:rPr>
        <w:t>.</w:t>
      </w:r>
      <w:r w:rsidR="00E93F29">
        <w:rPr>
          <w:rStyle w:val="FootnoteReference"/>
          <w:rFonts w:ascii="Times New Roman" w:hAnsi="Times New Roman" w:cs="Times New Roman"/>
          <w:sz w:val="24"/>
          <w:szCs w:val="24"/>
        </w:rPr>
        <w:footnoteReference w:id="12"/>
      </w:r>
      <w:r w:rsidR="007E113F">
        <w:rPr>
          <w:rFonts w:ascii="Times New Roman" w:hAnsi="Times New Roman" w:cs="Times New Roman"/>
          <w:sz w:val="24"/>
          <w:szCs w:val="24"/>
        </w:rPr>
        <w:t xml:space="preserve"> </w:t>
      </w:r>
    </w:p>
    <w:p w:rsidR="00A02909" w:rsidRPr="00A02909" w:rsidRDefault="00A02909" w:rsidP="00A02909">
      <w:pPr>
        <w:pStyle w:val="Caption"/>
        <w:spacing w:after="0"/>
        <w:jc w:val="both"/>
        <w:rPr>
          <w:rFonts w:ascii="Times New Roman" w:hAnsi="Times New Roman" w:cs="Times New Roman"/>
          <w:b/>
          <w:i w:val="0"/>
          <w:color w:val="auto"/>
          <w:sz w:val="24"/>
          <w:szCs w:val="24"/>
        </w:rPr>
      </w:pPr>
      <w:bookmarkStart w:id="7" w:name="_Ref512594468"/>
      <w:r w:rsidRPr="00A02909">
        <w:rPr>
          <w:rFonts w:ascii="Times New Roman" w:hAnsi="Times New Roman" w:cs="Times New Roman"/>
          <w:b/>
          <w:i w:val="0"/>
          <w:color w:val="auto"/>
          <w:sz w:val="24"/>
          <w:szCs w:val="24"/>
        </w:rPr>
        <w:t xml:space="preserve">Figure </w:t>
      </w:r>
      <w:bookmarkEnd w:id="7"/>
      <w:r w:rsidR="007E113F">
        <w:rPr>
          <w:rFonts w:ascii="Times New Roman" w:hAnsi="Times New Roman" w:cs="Times New Roman"/>
          <w:b/>
          <w:i w:val="0"/>
          <w:color w:val="auto"/>
          <w:sz w:val="24"/>
          <w:szCs w:val="24"/>
        </w:rPr>
        <w:t>9. Pay by Migrant Status 2018</w:t>
      </w:r>
    </w:p>
    <w:p w:rsidR="00C840D2" w:rsidRDefault="001B1A43" w:rsidP="001B1A43">
      <w:pPr>
        <w:spacing w:after="0" w:line="240" w:lineRule="auto"/>
        <w:jc w:val="both"/>
        <w:rPr>
          <w:rFonts w:ascii="Times New Roman" w:hAnsi="Times New Roman" w:cs="Times New Roman"/>
          <w:sz w:val="24"/>
          <w:szCs w:val="24"/>
        </w:rPr>
      </w:pPr>
      <w:r w:rsidRPr="001B1A43">
        <w:rPr>
          <w:rFonts w:ascii="Times New Roman" w:hAnsi="Times New Roman" w:cs="Times New Roman"/>
          <w:noProof/>
          <w:sz w:val="24"/>
          <w:szCs w:val="24"/>
          <w:lang w:val="en-US"/>
        </w:rPr>
        <w:drawing>
          <wp:inline distT="0" distB="0" distL="0" distR="0">
            <wp:extent cx="5623560" cy="4089862"/>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26347" cy="4091889"/>
                    </a:xfrm>
                    <a:prstGeom prst="rect">
                      <a:avLst/>
                    </a:prstGeom>
                    <a:noFill/>
                    <a:ln>
                      <a:noFill/>
                    </a:ln>
                  </pic:spPr>
                </pic:pic>
              </a:graphicData>
            </a:graphic>
          </wp:inline>
        </w:drawing>
      </w:r>
    </w:p>
    <w:p w:rsidR="007B4357" w:rsidRPr="001B1A43" w:rsidRDefault="001B1A43" w:rsidP="007B4357">
      <w:pPr>
        <w:spacing w:after="0" w:line="360" w:lineRule="auto"/>
        <w:jc w:val="both"/>
        <w:rPr>
          <w:rFonts w:ascii="Times New Roman" w:hAnsi="Times New Roman" w:cs="Times New Roman"/>
          <w:sz w:val="20"/>
          <w:szCs w:val="20"/>
        </w:rPr>
      </w:pPr>
      <w:r w:rsidRPr="001B1A43">
        <w:rPr>
          <w:rFonts w:ascii="Times New Roman" w:hAnsi="Times New Roman" w:cs="Times New Roman"/>
          <w:sz w:val="20"/>
          <w:szCs w:val="20"/>
        </w:rPr>
        <w:t>Source: LFS author calculations</w:t>
      </w:r>
    </w:p>
    <w:p w:rsidR="001B1A43" w:rsidRDefault="001B1A43" w:rsidP="007B4357">
      <w:pPr>
        <w:spacing w:after="0" w:line="360" w:lineRule="auto"/>
        <w:jc w:val="both"/>
        <w:rPr>
          <w:rFonts w:ascii="Times New Roman" w:hAnsi="Times New Roman" w:cs="Times New Roman"/>
          <w:sz w:val="24"/>
          <w:szCs w:val="24"/>
        </w:rPr>
      </w:pPr>
    </w:p>
    <w:p w:rsidR="00AE4930" w:rsidRDefault="007B4357" w:rsidP="00DD1F2D">
      <w:pPr>
        <w:spacing w:after="0" w:line="480" w:lineRule="auto"/>
        <w:jc w:val="both"/>
        <w:rPr>
          <w:rFonts w:ascii="Times New Roman" w:hAnsi="Times New Roman" w:cs="Times New Roman"/>
          <w:sz w:val="24"/>
          <w:szCs w:val="24"/>
        </w:rPr>
      </w:pPr>
      <w:r w:rsidRPr="007B4357">
        <w:rPr>
          <w:rFonts w:ascii="Times New Roman" w:hAnsi="Times New Roman" w:cs="Times New Roman"/>
          <w:sz w:val="24"/>
          <w:szCs w:val="24"/>
        </w:rPr>
        <w:t xml:space="preserve">As </w:t>
      </w:r>
      <w:r w:rsidR="007D53E4">
        <w:rPr>
          <w:rFonts w:ascii="Times New Roman" w:hAnsi="Times New Roman" w:cs="Times New Roman"/>
          <w:sz w:val="24"/>
          <w:szCs w:val="24"/>
        </w:rPr>
        <w:t xml:space="preserve">the outline of pay patterns in </w:t>
      </w:r>
      <w:r w:rsidRPr="007B4357">
        <w:rPr>
          <w:rFonts w:ascii="Times New Roman" w:hAnsi="Times New Roman" w:cs="Times New Roman"/>
          <w:sz w:val="24"/>
          <w:szCs w:val="24"/>
        </w:rPr>
        <w:fldChar w:fldCharType="begin"/>
      </w:r>
      <w:r w:rsidRPr="007B4357">
        <w:rPr>
          <w:rFonts w:ascii="Times New Roman" w:hAnsi="Times New Roman" w:cs="Times New Roman"/>
          <w:sz w:val="24"/>
          <w:szCs w:val="24"/>
        </w:rPr>
        <w:instrText xml:space="preserve"> REF _Ref512594468 \h  \* MERGEFORMAT </w:instrText>
      </w:r>
      <w:r w:rsidRPr="007B4357">
        <w:rPr>
          <w:rFonts w:ascii="Times New Roman" w:hAnsi="Times New Roman" w:cs="Times New Roman"/>
          <w:sz w:val="24"/>
          <w:szCs w:val="24"/>
        </w:rPr>
      </w:r>
      <w:r w:rsidRPr="007B4357">
        <w:rPr>
          <w:rFonts w:ascii="Times New Roman" w:hAnsi="Times New Roman" w:cs="Times New Roman"/>
          <w:sz w:val="24"/>
          <w:szCs w:val="24"/>
        </w:rPr>
        <w:fldChar w:fldCharType="separate"/>
      </w:r>
      <w:r w:rsidRPr="007B4357">
        <w:rPr>
          <w:rFonts w:ascii="Times New Roman" w:hAnsi="Times New Roman" w:cs="Times New Roman"/>
          <w:sz w:val="24"/>
          <w:szCs w:val="24"/>
        </w:rPr>
        <w:t xml:space="preserve">Figure </w:t>
      </w:r>
      <w:r w:rsidR="00897948">
        <w:rPr>
          <w:rFonts w:ascii="Times New Roman" w:hAnsi="Times New Roman" w:cs="Times New Roman"/>
          <w:sz w:val="24"/>
          <w:szCs w:val="24"/>
        </w:rPr>
        <w:t>9</w:t>
      </w:r>
      <w:r w:rsidRPr="007B4357">
        <w:rPr>
          <w:rFonts w:ascii="Times New Roman" w:hAnsi="Times New Roman" w:cs="Times New Roman"/>
          <w:sz w:val="24"/>
          <w:szCs w:val="24"/>
        </w:rPr>
        <w:fldChar w:fldCharType="end"/>
      </w:r>
      <w:r w:rsidRPr="007B4357">
        <w:rPr>
          <w:rFonts w:ascii="Times New Roman" w:hAnsi="Times New Roman" w:cs="Times New Roman"/>
          <w:sz w:val="24"/>
          <w:szCs w:val="24"/>
        </w:rPr>
        <w:t xml:space="preserve"> suggests</w:t>
      </w:r>
      <w:r>
        <w:rPr>
          <w:rFonts w:ascii="Times New Roman" w:hAnsi="Times New Roman" w:cs="Times New Roman"/>
          <w:sz w:val="24"/>
          <w:szCs w:val="24"/>
        </w:rPr>
        <w:t xml:space="preserve">, EU migrants are concentrated in certain sectors and occupations of the economy. </w:t>
      </w:r>
      <w:r w:rsidRPr="007B4357">
        <w:rPr>
          <w:rFonts w:ascii="Times New Roman" w:hAnsi="Times New Roman" w:cs="Times New Roman"/>
          <w:sz w:val="24"/>
          <w:szCs w:val="24"/>
        </w:rPr>
        <w:t xml:space="preserve"> </w:t>
      </w:r>
      <w:r w:rsidRPr="007B4357">
        <w:rPr>
          <w:rFonts w:ascii="Times New Roman" w:hAnsi="Times New Roman" w:cs="Times New Roman"/>
          <w:sz w:val="24"/>
          <w:szCs w:val="24"/>
        </w:rPr>
        <w:fldChar w:fldCharType="begin"/>
      </w:r>
      <w:r w:rsidRPr="007B4357">
        <w:rPr>
          <w:rFonts w:ascii="Times New Roman" w:hAnsi="Times New Roman" w:cs="Times New Roman"/>
          <w:sz w:val="24"/>
          <w:szCs w:val="24"/>
        </w:rPr>
        <w:instrText xml:space="preserve"> REF _Ref512594555 \h  \* MERGEFORMAT </w:instrText>
      </w:r>
      <w:r w:rsidRPr="007B4357">
        <w:rPr>
          <w:rFonts w:ascii="Times New Roman" w:hAnsi="Times New Roman" w:cs="Times New Roman"/>
          <w:sz w:val="24"/>
          <w:szCs w:val="24"/>
        </w:rPr>
      </w:r>
      <w:r w:rsidRPr="007B4357">
        <w:rPr>
          <w:rFonts w:ascii="Times New Roman" w:hAnsi="Times New Roman" w:cs="Times New Roman"/>
          <w:sz w:val="24"/>
          <w:szCs w:val="24"/>
        </w:rPr>
        <w:fldChar w:fldCharType="separate"/>
      </w:r>
      <w:r w:rsidRPr="007B4357">
        <w:rPr>
          <w:rFonts w:ascii="Times New Roman" w:hAnsi="Times New Roman" w:cs="Times New Roman"/>
          <w:sz w:val="24"/>
          <w:szCs w:val="24"/>
        </w:rPr>
        <w:t xml:space="preserve">Table </w:t>
      </w:r>
      <w:r w:rsidRPr="007B4357">
        <w:rPr>
          <w:rFonts w:ascii="Times New Roman" w:hAnsi="Times New Roman" w:cs="Times New Roman"/>
          <w:noProof/>
          <w:sz w:val="24"/>
          <w:szCs w:val="24"/>
        </w:rPr>
        <w:t>2</w:t>
      </w:r>
      <w:r w:rsidRPr="007B435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36201">
        <w:rPr>
          <w:rFonts w:ascii="Times New Roman" w:hAnsi="Times New Roman" w:cs="Times New Roman"/>
          <w:sz w:val="24"/>
          <w:szCs w:val="24"/>
        </w:rPr>
        <w:t>shows</w:t>
      </w:r>
      <w:r>
        <w:rPr>
          <w:rFonts w:ascii="Times New Roman" w:hAnsi="Times New Roman" w:cs="Times New Roman"/>
          <w:sz w:val="24"/>
          <w:szCs w:val="24"/>
        </w:rPr>
        <w:t xml:space="preserve"> the</w:t>
      </w:r>
      <w:r w:rsidR="00B57FAE">
        <w:rPr>
          <w:rFonts w:ascii="Times New Roman" w:hAnsi="Times New Roman" w:cs="Times New Roman"/>
          <w:sz w:val="24"/>
          <w:szCs w:val="24"/>
        </w:rPr>
        <w:t xml:space="preserve"> broad sector EU workforce shares along with the</w:t>
      </w:r>
      <w:r>
        <w:rPr>
          <w:rFonts w:ascii="Times New Roman" w:hAnsi="Times New Roman" w:cs="Times New Roman"/>
          <w:sz w:val="24"/>
          <w:szCs w:val="24"/>
        </w:rPr>
        <w:t xml:space="preserve"> industrial</w:t>
      </w:r>
      <w:r w:rsidR="00B23A0A">
        <w:rPr>
          <w:rFonts w:ascii="Times New Roman" w:hAnsi="Times New Roman" w:cs="Times New Roman"/>
          <w:sz w:val="24"/>
          <w:szCs w:val="24"/>
        </w:rPr>
        <w:t xml:space="preserve"> sub-</w:t>
      </w:r>
      <w:r>
        <w:rPr>
          <w:rFonts w:ascii="Times New Roman" w:hAnsi="Times New Roman" w:cs="Times New Roman"/>
          <w:sz w:val="24"/>
          <w:szCs w:val="24"/>
        </w:rPr>
        <w:t xml:space="preserve"> sectors </w:t>
      </w:r>
      <w:r w:rsidR="00B57FAE">
        <w:rPr>
          <w:rFonts w:ascii="Times New Roman" w:hAnsi="Times New Roman" w:cs="Times New Roman"/>
          <w:sz w:val="24"/>
          <w:szCs w:val="24"/>
        </w:rPr>
        <w:t>with much larger EU workforce shares</w:t>
      </w:r>
      <w:r>
        <w:rPr>
          <w:rFonts w:ascii="Times New Roman" w:hAnsi="Times New Roman" w:cs="Times New Roman"/>
          <w:sz w:val="24"/>
          <w:szCs w:val="24"/>
        </w:rPr>
        <w:t xml:space="preserve">.  </w:t>
      </w:r>
      <w:r w:rsidR="00B23A0A">
        <w:rPr>
          <w:rFonts w:ascii="Times New Roman" w:hAnsi="Times New Roman" w:cs="Times New Roman"/>
          <w:sz w:val="24"/>
          <w:szCs w:val="24"/>
        </w:rPr>
        <w:t xml:space="preserve">EU migrants </w:t>
      </w:r>
      <w:r w:rsidR="007D53E4">
        <w:rPr>
          <w:rFonts w:ascii="Times New Roman" w:hAnsi="Times New Roman" w:cs="Times New Roman"/>
          <w:sz w:val="24"/>
          <w:szCs w:val="24"/>
        </w:rPr>
        <w:t>while</w:t>
      </w:r>
      <w:r w:rsidR="00357CCA">
        <w:rPr>
          <w:rFonts w:ascii="Times New Roman" w:hAnsi="Times New Roman" w:cs="Times New Roman"/>
          <w:sz w:val="24"/>
          <w:szCs w:val="24"/>
        </w:rPr>
        <w:t>, on average,</w:t>
      </w:r>
      <w:r w:rsidR="00B23A0A">
        <w:rPr>
          <w:rFonts w:ascii="Times New Roman" w:hAnsi="Times New Roman" w:cs="Times New Roman"/>
          <w:sz w:val="24"/>
          <w:szCs w:val="24"/>
        </w:rPr>
        <w:t xml:space="preserve"> rather evenly spread across the UK workforce, </w:t>
      </w:r>
      <w:r w:rsidR="007D53E4">
        <w:rPr>
          <w:rFonts w:ascii="Times New Roman" w:hAnsi="Times New Roman" w:cs="Times New Roman"/>
          <w:sz w:val="24"/>
          <w:szCs w:val="24"/>
        </w:rPr>
        <w:t xml:space="preserve">do feature prominently in </w:t>
      </w:r>
      <w:r w:rsidR="00B23A0A">
        <w:rPr>
          <w:rFonts w:ascii="Times New Roman" w:hAnsi="Times New Roman" w:cs="Times New Roman"/>
          <w:sz w:val="24"/>
          <w:szCs w:val="24"/>
        </w:rPr>
        <w:t xml:space="preserve">a few </w:t>
      </w:r>
      <w:r w:rsidR="007D53E4">
        <w:rPr>
          <w:rFonts w:ascii="Times New Roman" w:hAnsi="Times New Roman" w:cs="Times New Roman"/>
          <w:sz w:val="24"/>
          <w:szCs w:val="24"/>
        </w:rPr>
        <w:t>sectors</w:t>
      </w:r>
      <w:r w:rsidR="00B23A0A">
        <w:rPr>
          <w:rFonts w:ascii="Times New Roman" w:hAnsi="Times New Roman" w:cs="Times New Roman"/>
          <w:sz w:val="24"/>
          <w:szCs w:val="24"/>
        </w:rPr>
        <w:t>. The s</w:t>
      </w:r>
      <w:r w:rsidRPr="00620843">
        <w:rPr>
          <w:rFonts w:ascii="Times New Roman" w:hAnsi="Times New Roman" w:cs="Times New Roman"/>
          <w:sz w:val="24"/>
          <w:szCs w:val="24"/>
        </w:rPr>
        <w:t xml:space="preserve">ectors that employ </w:t>
      </w:r>
      <w:r w:rsidR="002513EE">
        <w:rPr>
          <w:rFonts w:ascii="Times New Roman" w:hAnsi="Times New Roman" w:cs="Times New Roman"/>
          <w:sz w:val="24"/>
          <w:szCs w:val="24"/>
        </w:rPr>
        <w:t xml:space="preserve">the </w:t>
      </w:r>
      <w:r w:rsidRPr="00620843">
        <w:rPr>
          <w:rFonts w:ascii="Times New Roman" w:hAnsi="Times New Roman" w:cs="Times New Roman"/>
          <w:sz w:val="24"/>
          <w:szCs w:val="24"/>
        </w:rPr>
        <w:t>high</w:t>
      </w:r>
      <w:r w:rsidR="002513EE">
        <w:rPr>
          <w:rFonts w:ascii="Times New Roman" w:hAnsi="Times New Roman" w:cs="Times New Roman"/>
          <w:sz w:val="24"/>
          <w:szCs w:val="24"/>
        </w:rPr>
        <w:t>est</w:t>
      </w:r>
      <w:r w:rsidRPr="00620843">
        <w:rPr>
          <w:rFonts w:ascii="Times New Roman" w:hAnsi="Times New Roman" w:cs="Times New Roman"/>
          <w:sz w:val="24"/>
          <w:szCs w:val="24"/>
        </w:rPr>
        <w:t xml:space="preserve"> proportion of EU migrants </w:t>
      </w:r>
      <w:r w:rsidR="00F15775">
        <w:rPr>
          <w:rFonts w:ascii="Times New Roman" w:hAnsi="Times New Roman" w:cs="Times New Roman"/>
          <w:sz w:val="24"/>
          <w:szCs w:val="24"/>
        </w:rPr>
        <w:t xml:space="preserve">are </w:t>
      </w:r>
      <w:r w:rsidR="002513EE">
        <w:rPr>
          <w:rFonts w:ascii="Times New Roman" w:hAnsi="Times New Roman" w:cs="Times New Roman"/>
          <w:sz w:val="24"/>
          <w:szCs w:val="24"/>
        </w:rPr>
        <w:t>t</w:t>
      </w:r>
      <w:r w:rsidRPr="00620843">
        <w:rPr>
          <w:rFonts w:ascii="Times New Roman" w:hAnsi="Times New Roman" w:cs="Times New Roman"/>
          <w:sz w:val="24"/>
          <w:szCs w:val="24"/>
        </w:rPr>
        <w:t>ypically low wage, high labour turnover sectors</w:t>
      </w:r>
      <w:r w:rsidR="00357CCA">
        <w:rPr>
          <w:rFonts w:ascii="Times New Roman" w:hAnsi="Times New Roman" w:cs="Times New Roman"/>
          <w:sz w:val="24"/>
          <w:szCs w:val="24"/>
        </w:rPr>
        <w:t xml:space="preserve"> (Eg Hotels, Domestic Help, Food manufacturing)</w:t>
      </w:r>
      <w:r w:rsidRPr="00620843">
        <w:rPr>
          <w:rFonts w:ascii="Times New Roman" w:hAnsi="Times New Roman" w:cs="Times New Roman"/>
          <w:sz w:val="24"/>
          <w:szCs w:val="24"/>
        </w:rPr>
        <w:t>.</w:t>
      </w:r>
      <w:r w:rsidR="00DD1F2D">
        <w:rPr>
          <w:rFonts w:ascii="Times New Roman" w:hAnsi="Times New Roman" w:cs="Times New Roman"/>
          <w:sz w:val="24"/>
          <w:szCs w:val="24"/>
        </w:rPr>
        <w:t xml:space="preserve"> </w:t>
      </w:r>
      <w:r w:rsidR="00D40C21">
        <w:rPr>
          <w:rFonts w:ascii="Times New Roman" w:hAnsi="Times New Roman" w:cs="Times New Roman"/>
          <w:sz w:val="24"/>
          <w:szCs w:val="24"/>
        </w:rPr>
        <w:t>Again t</w:t>
      </w:r>
      <w:r w:rsidR="002513EE">
        <w:rPr>
          <w:rFonts w:ascii="Times New Roman" w:hAnsi="Times New Roman" w:cs="Times New Roman"/>
          <w:sz w:val="24"/>
          <w:szCs w:val="24"/>
        </w:rPr>
        <w:t xml:space="preserve">here are exceptions to this. In the Air Transport and Scientific Research sectors, typically skilled sectors, around 12 to 13% of the workforce are from the EU. </w:t>
      </w:r>
    </w:p>
    <w:p w:rsidR="00AE4930" w:rsidRDefault="00AE4930" w:rsidP="00DD1F2D">
      <w:pPr>
        <w:spacing w:after="0" w:line="480" w:lineRule="auto"/>
        <w:jc w:val="both"/>
        <w:rPr>
          <w:rFonts w:ascii="Times New Roman" w:hAnsi="Times New Roman" w:cs="Times New Roman"/>
          <w:sz w:val="24"/>
          <w:szCs w:val="24"/>
        </w:rPr>
      </w:pPr>
    </w:p>
    <w:p w:rsidR="00DD1F2D" w:rsidRDefault="00DD1F2D" w:rsidP="00DD1F2D">
      <w:pPr>
        <w:spacing w:after="0" w:line="480" w:lineRule="auto"/>
        <w:jc w:val="both"/>
        <w:rPr>
          <w:rFonts w:ascii="Times New Roman" w:hAnsi="Times New Roman" w:cs="Times New Roman"/>
          <w:sz w:val="24"/>
          <w:szCs w:val="24"/>
        </w:rPr>
      </w:pPr>
      <w:r w:rsidRPr="00620843">
        <w:rPr>
          <w:rFonts w:ascii="Times New Roman" w:hAnsi="Times New Roman" w:cs="Times New Roman"/>
          <w:sz w:val="24"/>
          <w:szCs w:val="24"/>
        </w:rPr>
        <w:t xml:space="preserve">After Brexit most of the </w:t>
      </w:r>
      <w:r w:rsidRPr="00620843">
        <w:rPr>
          <w:rFonts w:ascii="Times New Roman" w:hAnsi="Times New Roman" w:cs="Times New Roman"/>
          <w:b/>
          <w:bCs/>
          <w:i/>
          <w:iCs/>
          <w:sz w:val="24"/>
          <w:szCs w:val="24"/>
        </w:rPr>
        <w:t>existing</w:t>
      </w:r>
      <w:r w:rsidRPr="00620843">
        <w:rPr>
          <w:rFonts w:ascii="Times New Roman" w:hAnsi="Times New Roman" w:cs="Times New Roman"/>
          <w:sz w:val="24"/>
          <w:szCs w:val="24"/>
        </w:rPr>
        <w:t xml:space="preserve"> EU workforce would still be eligible for British citizenship or leave to remain (having the requisite years of residence</w:t>
      </w:r>
      <w:r w:rsidR="0072309D">
        <w:rPr>
          <w:rFonts w:ascii="Times New Roman" w:hAnsi="Times New Roman" w:cs="Times New Roman"/>
          <w:sz w:val="24"/>
          <w:szCs w:val="24"/>
        </w:rPr>
        <w:t xml:space="preserve"> in the UK</w:t>
      </w:r>
      <w:r w:rsidRPr="00620843">
        <w:rPr>
          <w:rFonts w:ascii="Times New Roman" w:hAnsi="Times New Roman" w:cs="Times New Roman"/>
          <w:sz w:val="24"/>
          <w:szCs w:val="24"/>
        </w:rPr>
        <w:t>). So the workforce is unlikely to disappear overnight.</w:t>
      </w:r>
      <w:r w:rsidR="00AE4930">
        <w:rPr>
          <w:rFonts w:ascii="Times New Roman" w:hAnsi="Times New Roman" w:cs="Times New Roman"/>
          <w:sz w:val="24"/>
          <w:szCs w:val="24"/>
        </w:rPr>
        <w:t xml:space="preserve"> </w:t>
      </w:r>
      <w:r w:rsidRPr="00620843">
        <w:rPr>
          <w:rFonts w:ascii="Times New Roman" w:hAnsi="Times New Roman" w:cs="Times New Roman"/>
          <w:sz w:val="24"/>
          <w:szCs w:val="24"/>
        </w:rPr>
        <w:t xml:space="preserve">It is at </w:t>
      </w:r>
      <w:r w:rsidRPr="00620843">
        <w:rPr>
          <w:rFonts w:ascii="Times New Roman" w:hAnsi="Times New Roman" w:cs="Times New Roman"/>
          <w:b/>
          <w:bCs/>
          <w:i/>
          <w:iCs/>
          <w:sz w:val="24"/>
          <w:szCs w:val="24"/>
        </w:rPr>
        <w:t xml:space="preserve">the hiring </w:t>
      </w:r>
      <w:r w:rsidR="008A7050">
        <w:rPr>
          <w:rFonts w:ascii="Times New Roman" w:hAnsi="Times New Roman" w:cs="Times New Roman"/>
          <w:sz w:val="24"/>
          <w:szCs w:val="24"/>
        </w:rPr>
        <w:t xml:space="preserve">margin that employers in the high EU share </w:t>
      </w:r>
      <w:r w:rsidRPr="00620843">
        <w:rPr>
          <w:rFonts w:ascii="Times New Roman" w:hAnsi="Times New Roman" w:cs="Times New Roman"/>
          <w:sz w:val="24"/>
          <w:szCs w:val="24"/>
        </w:rPr>
        <w:t>industries</w:t>
      </w:r>
      <w:r w:rsidR="008A7050">
        <w:rPr>
          <w:rFonts w:ascii="Times New Roman" w:hAnsi="Times New Roman" w:cs="Times New Roman"/>
          <w:sz w:val="24"/>
          <w:szCs w:val="24"/>
        </w:rPr>
        <w:t>, particularly the high turnover sectors,</w:t>
      </w:r>
      <w:r w:rsidRPr="00620843">
        <w:rPr>
          <w:rFonts w:ascii="Times New Roman" w:hAnsi="Times New Roman" w:cs="Times New Roman"/>
          <w:sz w:val="24"/>
          <w:szCs w:val="24"/>
        </w:rPr>
        <w:t xml:space="preserve"> may face difficulties after Brexit without some sort of sectoral quotas, seasonal schemes or adjustment period.  The annual hiring rate </w:t>
      </w:r>
      <w:r w:rsidR="00FD59A5">
        <w:rPr>
          <w:rFonts w:ascii="Times New Roman" w:hAnsi="Times New Roman" w:cs="Times New Roman"/>
          <w:sz w:val="24"/>
          <w:szCs w:val="24"/>
        </w:rPr>
        <w:t xml:space="preserve">in the UK </w:t>
      </w:r>
      <w:r w:rsidRPr="00620843">
        <w:rPr>
          <w:rFonts w:ascii="Times New Roman" w:hAnsi="Times New Roman" w:cs="Times New Roman"/>
          <w:sz w:val="24"/>
          <w:szCs w:val="24"/>
        </w:rPr>
        <w:t xml:space="preserve">is typically </w:t>
      </w:r>
      <w:r w:rsidR="00FD59A5">
        <w:rPr>
          <w:rFonts w:ascii="Times New Roman" w:hAnsi="Times New Roman" w:cs="Times New Roman"/>
          <w:sz w:val="24"/>
          <w:szCs w:val="24"/>
        </w:rPr>
        <w:t>betwee</w:t>
      </w:r>
      <w:r w:rsidRPr="00620843">
        <w:rPr>
          <w:rFonts w:ascii="Times New Roman" w:hAnsi="Times New Roman" w:cs="Times New Roman"/>
          <w:sz w:val="24"/>
          <w:szCs w:val="24"/>
        </w:rPr>
        <w:t xml:space="preserve">n </w:t>
      </w:r>
      <w:r w:rsidR="00FD59A5">
        <w:rPr>
          <w:rFonts w:ascii="Times New Roman" w:hAnsi="Times New Roman" w:cs="Times New Roman"/>
          <w:sz w:val="24"/>
          <w:szCs w:val="24"/>
        </w:rPr>
        <w:t>12 and 17</w:t>
      </w:r>
      <w:r w:rsidRPr="00620843">
        <w:rPr>
          <w:rFonts w:ascii="Times New Roman" w:hAnsi="Times New Roman" w:cs="Times New Roman"/>
          <w:sz w:val="24"/>
          <w:szCs w:val="24"/>
        </w:rPr>
        <w:t>% of the total workforce</w:t>
      </w:r>
      <w:r w:rsidR="00FD59A5">
        <w:rPr>
          <w:rFonts w:ascii="Times New Roman" w:hAnsi="Times New Roman" w:cs="Times New Roman"/>
          <w:sz w:val="24"/>
          <w:szCs w:val="24"/>
        </w:rPr>
        <w:t>, depending on the state of the economic cycle</w:t>
      </w:r>
      <w:r w:rsidRPr="00620843">
        <w:rPr>
          <w:rFonts w:ascii="Times New Roman" w:hAnsi="Times New Roman" w:cs="Times New Roman"/>
          <w:sz w:val="24"/>
          <w:szCs w:val="24"/>
        </w:rPr>
        <w:t xml:space="preserve">. But low wage sectors such as those in the Table tend to have higher turnover. </w:t>
      </w:r>
      <w:r>
        <w:rPr>
          <w:rFonts w:ascii="Times New Roman" w:hAnsi="Times New Roman" w:cs="Times New Roman"/>
          <w:sz w:val="24"/>
          <w:szCs w:val="24"/>
        </w:rPr>
        <w:t xml:space="preserve"> The annual hiring rate </w:t>
      </w:r>
      <w:r w:rsidRPr="00620843">
        <w:rPr>
          <w:rFonts w:ascii="Times New Roman" w:hAnsi="Times New Roman" w:cs="Times New Roman"/>
          <w:sz w:val="24"/>
          <w:szCs w:val="24"/>
        </w:rPr>
        <w:t xml:space="preserve">in the hotels sector </w:t>
      </w:r>
      <w:r w:rsidR="009550D0">
        <w:rPr>
          <w:rFonts w:ascii="Times New Roman" w:hAnsi="Times New Roman" w:cs="Times New Roman"/>
          <w:sz w:val="24"/>
          <w:szCs w:val="24"/>
        </w:rPr>
        <w:t xml:space="preserve">(SIC555) </w:t>
      </w:r>
      <w:r w:rsidRPr="00620843">
        <w:rPr>
          <w:rFonts w:ascii="Times New Roman" w:hAnsi="Times New Roman" w:cs="Times New Roman"/>
          <w:sz w:val="24"/>
          <w:szCs w:val="24"/>
        </w:rPr>
        <w:t xml:space="preserve">is </w:t>
      </w:r>
      <w:r w:rsidR="00467A67">
        <w:rPr>
          <w:rFonts w:ascii="Times New Roman" w:hAnsi="Times New Roman" w:cs="Times New Roman"/>
          <w:sz w:val="24"/>
          <w:szCs w:val="24"/>
        </w:rPr>
        <w:t xml:space="preserve">more than </w:t>
      </w:r>
      <w:r w:rsidRPr="00620843">
        <w:rPr>
          <w:rFonts w:ascii="Times New Roman" w:hAnsi="Times New Roman" w:cs="Times New Roman"/>
          <w:sz w:val="24"/>
          <w:szCs w:val="24"/>
        </w:rPr>
        <w:t xml:space="preserve">one </w:t>
      </w:r>
      <w:r w:rsidR="00467A67">
        <w:rPr>
          <w:rFonts w:ascii="Times New Roman" w:hAnsi="Times New Roman" w:cs="Times New Roman"/>
          <w:sz w:val="24"/>
          <w:szCs w:val="24"/>
        </w:rPr>
        <w:t>quarter</w:t>
      </w:r>
      <w:r w:rsidRPr="00620843">
        <w:rPr>
          <w:rFonts w:ascii="Times New Roman" w:hAnsi="Times New Roman" w:cs="Times New Roman"/>
          <w:sz w:val="24"/>
          <w:szCs w:val="24"/>
        </w:rPr>
        <w:t xml:space="preserve"> of the workforce</w:t>
      </w:r>
      <w:r w:rsidR="00D825BC">
        <w:rPr>
          <w:rFonts w:ascii="Times New Roman" w:hAnsi="Times New Roman" w:cs="Times New Roman"/>
          <w:sz w:val="24"/>
          <w:szCs w:val="24"/>
        </w:rPr>
        <w:t xml:space="preserve"> and EU workers comprise ar</w:t>
      </w:r>
      <w:r w:rsidR="009550D0">
        <w:rPr>
          <w:rFonts w:ascii="Times New Roman" w:hAnsi="Times New Roman" w:cs="Times New Roman"/>
          <w:sz w:val="24"/>
          <w:szCs w:val="24"/>
        </w:rPr>
        <w:t xml:space="preserve">ound a similar fraction of new </w:t>
      </w:r>
      <w:r w:rsidR="00D825BC">
        <w:rPr>
          <w:rFonts w:ascii="Times New Roman" w:hAnsi="Times New Roman" w:cs="Times New Roman"/>
          <w:sz w:val="24"/>
          <w:szCs w:val="24"/>
        </w:rPr>
        <w:t>hires.</w:t>
      </w:r>
      <w:r w:rsidR="009550D0">
        <w:rPr>
          <w:rFonts w:ascii="Times New Roman" w:hAnsi="Times New Roman" w:cs="Times New Roman"/>
          <w:sz w:val="24"/>
          <w:szCs w:val="24"/>
        </w:rPr>
        <w:t xml:space="preserve"> Around one third of new hires in Food Manufacturing (SIC 10) are from the EU.</w:t>
      </w:r>
      <w:r w:rsidR="00467A67" w:rsidRPr="00467A67">
        <w:rPr>
          <w:rStyle w:val="FootnoteReference"/>
          <w:rFonts w:ascii="Times New Roman" w:hAnsi="Times New Roman" w:cs="Times New Roman"/>
          <w:sz w:val="24"/>
          <w:szCs w:val="24"/>
        </w:rPr>
        <w:t xml:space="preserve"> </w:t>
      </w:r>
      <w:r w:rsidR="00467A67">
        <w:rPr>
          <w:rStyle w:val="FootnoteReference"/>
          <w:rFonts w:ascii="Times New Roman" w:hAnsi="Times New Roman" w:cs="Times New Roman"/>
          <w:sz w:val="24"/>
          <w:szCs w:val="24"/>
        </w:rPr>
        <w:footnoteReference w:id="13"/>
      </w:r>
    </w:p>
    <w:p w:rsidR="00467A67" w:rsidRDefault="00467A67" w:rsidP="00DD1F2D">
      <w:pPr>
        <w:spacing w:after="0" w:line="480" w:lineRule="auto"/>
        <w:jc w:val="both"/>
        <w:rPr>
          <w:rFonts w:ascii="Times New Roman" w:hAnsi="Times New Roman" w:cs="Times New Roman"/>
          <w:sz w:val="24"/>
          <w:szCs w:val="24"/>
        </w:rPr>
      </w:pPr>
    </w:p>
    <w:p w:rsidR="007B4357" w:rsidRPr="007B4357" w:rsidRDefault="007B4357" w:rsidP="007B4357">
      <w:pPr>
        <w:pStyle w:val="Caption"/>
        <w:spacing w:after="0"/>
        <w:jc w:val="both"/>
        <w:rPr>
          <w:rFonts w:ascii="Times New Roman" w:hAnsi="Times New Roman" w:cs="Times New Roman"/>
          <w:b/>
          <w:i w:val="0"/>
          <w:color w:val="auto"/>
          <w:sz w:val="24"/>
          <w:szCs w:val="24"/>
        </w:rPr>
      </w:pPr>
      <w:bookmarkStart w:id="8" w:name="_Ref512594555"/>
      <w:bookmarkStart w:id="9" w:name="_Ref512594549"/>
      <w:r w:rsidRPr="007B4357">
        <w:rPr>
          <w:rFonts w:ascii="Times New Roman" w:hAnsi="Times New Roman" w:cs="Times New Roman"/>
          <w:b/>
          <w:i w:val="0"/>
          <w:color w:val="auto"/>
          <w:sz w:val="24"/>
          <w:szCs w:val="24"/>
        </w:rPr>
        <w:t xml:space="preserve">Table </w:t>
      </w:r>
      <w:r w:rsidRPr="007B4357">
        <w:rPr>
          <w:rFonts w:ascii="Times New Roman" w:hAnsi="Times New Roman" w:cs="Times New Roman"/>
          <w:b/>
          <w:i w:val="0"/>
          <w:color w:val="auto"/>
          <w:sz w:val="24"/>
          <w:szCs w:val="24"/>
        </w:rPr>
        <w:fldChar w:fldCharType="begin"/>
      </w:r>
      <w:r w:rsidRPr="007B4357">
        <w:rPr>
          <w:rFonts w:ascii="Times New Roman" w:hAnsi="Times New Roman" w:cs="Times New Roman"/>
          <w:b/>
          <w:i w:val="0"/>
          <w:color w:val="auto"/>
          <w:sz w:val="24"/>
          <w:szCs w:val="24"/>
        </w:rPr>
        <w:instrText xml:space="preserve"> SEQ Table \* ARABIC </w:instrText>
      </w:r>
      <w:r w:rsidRPr="007B4357">
        <w:rPr>
          <w:rFonts w:ascii="Times New Roman" w:hAnsi="Times New Roman" w:cs="Times New Roman"/>
          <w:b/>
          <w:i w:val="0"/>
          <w:color w:val="auto"/>
          <w:sz w:val="24"/>
          <w:szCs w:val="24"/>
        </w:rPr>
        <w:fldChar w:fldCharType="separate"/>
      </w:r>
      <w:r w:rsidRPr="007B4357">
        <w:rPr>
          <w:rFonts w:ascii="Times New Roman" w:hAnsi="Times New Roman" w:cs="Times New Roman"/>
          <w:b/>
          <w:i w:val="0"/>
          <w:noProof/>
          <w:color w:val="auto"/>
          <w:sz w:val="24"/>
          <w:szCs w:val="24"/>
        </w:rPr>
        <w:t>2</w:t>
      </w:r>
      <w:r w:rsidRPr="007B4357">
        <w:rPr>
          <w:rFonts w:ascii="Times New Roman" w:hAnsi="Times New Roman" w:cs="Times New Roman"/>
          <w:b/>
          <w:i w:val="0"/>
          <w:color w:val="auto"/>
          <w:sz w:val="24"/>
          <w:szCs w:val="24"/>
        </w:rPr>
        <w:fldChar w:fldCharType="end"/>
      </w:r>
      <w:bookmarkEnd w:id="8"/>
      <w:r w:rsidRPr="007B4357">
        <w:rPr>
          <w:rFonts w:ascii="Times New Roman" w:hAnsi="Times New Roman" w:cs="Times New Roman"/>
          <w:b/>
          <w:i w:val="0"/>
          <w:color w:val="auto"/>
          <w:sz w:val="24"/>
          <w:szCs w:val="24"/>
        </w:rPr>
        <w:t>. Sectoral Distribution</w:t>
      </w:r>
      <w:r w:rsidR="00E36201">
        <w:rPr>
          <w:rFonts w:ascii="Times New Roman" w:hAnsi="Times New Roman" w:cs="Times New Roman"/>
          <w:b/>
          <w:i w:val="0"/>
          <w:color w:val="auto"/>
          <w:sz w:val="24"/>
          <w:szCs w:val="24"/>
        </w:rPr>
        <w:t xml:space="preserve"> of EU immigrants, 2018</w:t>
      </w:r>
      <w:bookmarkEnd w:id="9"/>
    </w:p>
    <w:tbl>
      <w:tblPr>
        <w:tblW w:w="5000" w:type="pct"/>
        <w:tblBorders>
          <w:top w:val="single" w:sz="12" w:space="0" w:color="008000"/>
          <w:bottom w:val="single" w:sz="12" w:space="0" w:color="008000"/>
        </w:tblBorders>
        <w:tblLook w:val="00A0" w:firstRow="1" w:lastRow="0" w:firstColumn="1" w:lastColumn="0" w:noHBand="0" w:noVBand="0"/>
      </w:tblPr>
      <w:tblGrid>
        <w:gridCol w:w="2410"/>
        <w:gridCol w:w="1540"/>
        <w:gridCol w:w="1482"/>
        <w:gridCol w:w="1482"/>
        <w:gridCol w:w="1056"/>
        <w:gridCol w:w="1056"/>
      </w:tblGrid>
      <w:tr w:rsidR="00CE4245" w:rsidRPr="007B4357" w:rsidTr="00951815">
        <w:tc>
          <w:tcPr>
            <w:tcW w:w="1335" w:type="pct"/>
            <w:tcBorders>
              <w:top w:val="single" w:sz="12" w:space="0" w:color="008000"/>
              <w:bottom w:val="single" w:sz="4" w:space="0" w:color="auto"/>
            </w:tcBorders>
          </w:tcPr>
          <w:p w:rsidR="00CE4245" w:rsidRPr="007B4357" w:rsidRDefault="00CE4245" w:rsidP="00E36201">
            <w:pPr>
              <w:spacing w:after="0" w:line="240" w:lineRule="auto"/>
              <w:jc w:val="center"/>
              <w:rPr>
                <w:rFonts w:ascii="Times New Roman" w:hAnsi="Times New Roman" w:cs="Times New Roman"/>
                <w:sz w:val="24"/>
                <w:szCs w:val="24"/>
              </w:rPr>
            </w:pPr>
          </w:p>
        </w:tc>
        <w:tc>
          <w:tcPr>
            <w:tcW w:w="853" w:type="pct"/>
            <w:tcBorders>
              <w:top w:val="single" w:sz="12" w:space="0" w:color="008000"/>
              <w:bottom w:val="single" w:sz="4" w:space="0" w:color="auto"/>
            </w:tcBorders>
          </w:tcPr>
          <w:p w:rsidR="00CE4245" w:rsidRPr="007B4357" w:rsidRDefault="00984202" w:rsidP="00E362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E</w:t>
            </w:r>
            <w:r w:rsidR="00CE4245" w:rsidRPr="007B4357">
              <w:rPr>
                <w:rFonts w:ascii="Times New Roman" w:hAnsi="Times New Roman" w:cs="Times New Roman"/>
                <w:sz w:val="24"/>
                <w:szCs w:val="24"/>
              </w:rPr>
              <w:t>mployment</w:t>
            </w:r>
          </w:p>
          <w:p w:rsidR="00CE4245" w:rsidRPr="007B4357" w:rsidRDefault="00CE4245" w:rsidP="00E36201">
            <w:pPr>
              <w:spacing w:after="0" w:line="240" w:lineRule="auto"/>
              <w:jc w:val="center"/>
              <w:rPr>
                <w:rFonts w:ascii="Times New Roman" w:hAnsi="Times New Roman" w:cs="Times New Roman"/>
                <w:sz w:val="24"/>
                <w:szCs w:val="24"/>
              </w:rPr>
            </w:pPr>
          </w:p>
        </w:tc>
        <w:tc>
          <w:tcPr>
            <w:tcW w:w="821" w:type="pct"/>
            <w:tcBorders>
              <w:top w:val="single" w:sz="12" w:space="0" w:color="008000"/>
              <w:bottom w:val="single" w:sz="4" w:space="0" w:color="auto"/>
            </w:tcBorders>
          </w:tcPr>
          <w:p w:rsidR="00CE4245" w:rsidRPr="007B4357" w:rsidRDefault="00CE4245" w:rsidP="00E36201">
            <w:pPr>
              <w:spacing w:after="0" w:line="240" w:lineRule="auto"/>
              <w:jc w:val="center"/>
              <w:rPr>
                <w:rFonts w:ascii="Times New Roman" w:hAnsi="Times New Roman" w:cs="Times New Roman"/>
                <w:sz w:val="24"/>
                <w:szCs w:val="24"/>
              </w:rPr>
            </w:pPr>
            <w:r w:rsidRPr="007B4357">
              <w:rPr>
                <w:rFonts w:ascii="Times New Roman" w:hAnsi="Times New Roman" w:cs="Times New Roman"/>
                <w:sz w:val="24"/>
                <w:szCs w:val="24"/>
              </w:rPr>
              <w:t>% of sector who are EU immigrants</w:t>
            </w:r>
          </w:p>
        </w:tc>
        <w:tc>
          <w:tcPr>
            <w:tcW w:w="821" w:type="pct"/>
            <w:tcBorders>
              <w:top w:val="single" w:sz="12" w:space="0" w:color="008000"/>
              <w:bottom w:val="single" w:sz="4" w:space="0" w:color="auto"/>
            </w:tcBorders>
          </w:tcPr>
          <w:p w:rsidR="00CE4245" w:rsidRPr="007B4357" w:rsidRDefault="00CE4245" w:rsidP="00E36201">
            <w:pPr>
              <w:spacing w:after="0" w:line="240" w:lineRule="auto"/>
              <w:jc w:val="center"/>
              <w:rPr>
                <w:rFonts w:ascii="Times New Roman" w:hAnsi="Times New Roman" w:cs="Times New Roman"/>
                <w:sz w:val="24"/>
                <w:szCs w:val="24"/>
              </w:rPr>
            </w:pPr>
            <w:r w:rsidRPr="007B4357">
              <w:rPr>
                <w:rFonts w:ascii="Times New Roman" w:hAnsi="Times New Roman" w:cs="Times New Roman"/>
                <w:sz w:val="24"/>
                <w:szCs w:val="24"/>
              </w:rPr>
              <w:t>Average</w:t>
            </w:r>
          </w:p>
          <w:p w:rsidR="00CE4245" w:rsidRPr="007B4357" w:rsidRDefault="00CE4245" w:rsidP="00E36201">
            <w:pPr>
              <w:spacing w:after="0" w:line="240" w:lineRule="auto"/>
              <w:jc w:val="center"/>
              <w:rPr>
                <w:rFonts w:ascii="Times New Roman" w:hAnsi="Times New Roman" w:cs="Times New Roman"/>
                <w:sz w:val="24"/>
                <w:szCs w:val="24"/>
              </w:rPr>
            </w:pPr>
            <w:r w:rsidRPr="007B4357">
              <w:rPr>
                <w:rFonts w:ascii="Times New Roman" w:hAnsi="Times New Roman" w:cs="Times New Roman"/>
                <w:sz w:val="24"/>
                <w:szCs w:val="24"/>
              </w:rPr>
              <w:t>hourly Wages</w:t>
            </w:r>
          </w:p>
        </w:tc>
        <w:tc>
          <w:tcPr>
            <w:tcW w:w="585" w:type="pct"/>
            <w:tcBorders>
              <w:top w:val="single" w:sz="12" w:space="0" w:color="008000"/>
              <w:bottom w:val="single" w:sz="4" w:space="0" w:color="auto"/>
            </w:tcBorders>
          </w:tcPr>
          <w:p w:rsidR="00CE4245" w:rsidRPr="007B4357" w:rsidRDefault="00CE4245" w:rsidP="00E36201">
            <w:pPr>
              <w:spacing w:after="0" w:line="240" w:lineRule="auto"/>
              <w:jc w:val="center"/>
              <w:rPr>
                <w:rFonts w:ascii="Times New Roman" w:hAnsi="Times New Roman" w:cs="Times New Roman"/>
                <w:sz w:val="24"/>
                <w:szCs w:val="24"/>
                <w:vertAlign w:val="superscript"/>
              </w:rPr>
            </w:pPr>
            <w:r w:rsidRPr="007B4357">
              <w:rPr>
                <w:rFonts w:ascii="Times New Roman" w:hAnsi="Times New Roman" w:cs="Times New Roman"/>
                <w:sz w:val="24"/>
                <w:szCs w:val="24"/>
              </w:rPr>
              <w:t>Hiring rate</w:t>
            </w:r>
            <w:r w:rsidRPr="007B4357">
              <w:rPr>
                <w:rFonts w:ascii="Times New Roman" w:hAnsi="Times New Roman" w:cs="Times New Roman"/>
                <w:sz w:val="24"/>
                <w:szCs w:val="24"/>
                <w:vertAlign w:val="superscript"/>
              </w:rPr>
              <w:t>1</w:t>
            </w:r>
          </w:p>
        </w:tc>
        <w:tc>
          <w:tcPr>
            <w:tcW w:w="585" w:type="pct"/>
            <w:tcBorders>
              <w:top w:val="single" w:sz="12" w:space="0" w:color="008000"/>
              <w:bottom w:val="single" w:sz="4" w:space="0" w:color="auto"/>
            </w:tcBorders>
          </w:tcPr>
          <w:p w:rsidR="00CE4245" w:rsidRPr="007B4357" w:rsidRDefault="00984202" w:rsidP="009842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of hires from</w:t>
            </w:r>
            <w:r w:rsidR="00CE4245">
              <w:rPr>
                <w:rFonts w:ascii="Times New Roman" w:hAnsi="Times New Roman" w:cs="Times New Roman"/>
                <w:sz w:val="24"/>
                <w:szCs w:val="24"/>
              </w:rPr>
              <w:t xml:space="preserve"> EU</w:t>
            </w:r>
          </w:p>
        </w:tc>
      </w:tr>
      <w:tr w:rsidR="00CE4245" w:rsidRPr="007B4357" w:rsidTr="00951815">
        <w:tc>
          <w:tcPr>
            <w:tcW w:w="1335" w:type="pct"/>
            <w:tcBorders>
              <w:top w:val="single" w:sz="4" w:space="0" w:color="auto"/>
            </w:tcBorders>
          </w:tcPr>
          <w:p w:rsidR="00CE4245" w:rsidRPr="00E36201" w:rsidRDefault="00CE4245" w:rsidP="00E36201">
            <w:pPr>
              <w:rPr>
                <w:rFonts w:ascii="Times New Roman" w:hAnsi="Times New Roman" w:cs="Times New Roman"/>
                <w:b/>
                <w:i/>
                <w:sz w:val="24"/>
                <w:szCs w:val="24"/>
              </w:rPr>
            </w:pPr>
            <w:r w:rsidRPr="00E36201">
              <w:rPr>
                <w:rFonts w:ascii="Times New Roman" w:hAnsi="Times New Roman" w:cs="Times New Roman"/>
                <w:b/>
                <w:i/>
                <w:sz w:val="24"/>
                <w:szCs w:val="24"/>
              </w:rPr>
              <w:t xml:space="preserve">Largest </w:t>
            </w:r>
            <w:r>
              <w:rPr>
                <w:rFonts w:ascii="Times New Roman" w:hAnsi="Times New Roman" w:cs="Times New Roman"/>
                <w:b/>
                <w:i/>
                <w:sz w:val="24"/>
                <w:szCs w:val="24"/>
              </w:rPr>
              <w:t xml:space="preserve">EU </w:t>
            </w:r>
            <w:r w:rsidRPr="00E36201">
              <w:rPr>
                <w:rFonts w:ascii="Times New Roman" w:hAnsi="Times New Roman" w:cs="Times New Roman"/>
                <w:b/>
                <w:i/>
                <w:sz w:val="24"/>
                <w:szCs w:val="24"/>
              </w:rPr>
              <w:t>Sectors</w:t>
            </w:r>
          </w:p>
        </w:tc>
        <w:tc>
          <w:tcPr>
            <w:tcW w:w="853" w:type="pct"/>
            <w:tcBorders>
              <w:top w:val="single" w:sz="4" w:space="0" w:color="auto"/>
            </w:tcBorders>
          </w:tcPr>
          <w:p w:rsidR="00CE4245" w:rsidRPr="007B4357" w:rsidRDefault="00CE4245" w:rsidP="00C52B63">
            <w:pPr>
              <w:rPr>
                <w:rFonts w:ascii="Times New Roman" w:hAnsi="Times New Roman" w:cs="Times New Roman"/>
                <w:sz w:val="24"/>
                <w:szCs w:val="24"/>
              </w:rPr>
            </w:pPr>
          </w:p>
        </w:tc>
        <w:tc>
          <w:tcPr>
            <w:tcW w:w="821" w:type="pct"/>
            <w:tcBorders>
              <w:top w:val="single" w:sz="4" w:space="0" w:color="auto"/>
            </w:tcBorders>
          </w:tcPr>
          <w:p w:rsidR="00CE4245" w:rsidRPr="007B4357" w:rsidRDefault="00CE4245" w:rsidP="00C52B63">
            <w:pPr>
              <w:rPr>
                <w:rFonts w:ascii="Times New Roman" w:hAnsi="Times New Roman" w:cs="Times New Roman"/>
                <w:sz w:val="24"/>
                <w:szCs w:val="24"/>
              </w:rPr>
            </w:pPr>
          </w:p>
        </w:tc>
        <w:tc>
          <w:tcPr>
            <w:tcW w:w="821" w:type="pct"/>
            <w:tcBorders>
              <w:top w:val="single" w:sz="4" w:space="0" w:color="auto"/>
            </w:tcBorders>
          </w:tcPr>
          <w:p w:rsidR="00CE4245" w:rsidRPr="007B4357" w:rsidRDefault="00CE4245" w:rsidP="00C52B63">
            <w:pPr>
              <w:rPr>
                <w:rFonts w:ascii="Times New Roman" w:hAnsi="Times New Roman" w:cs="Times New Roman"/>
                <w:sz w:val="24"/>
                <w:szCs w:val="24"/>
              </w:rPr>
            </w:pPr>
          </w:p>
        </w:tc>
        <w:tc>
          <w:tcPr>
            <w:tcW w:w="585" w:type="pct"/>
            <w:tcBorders>
              <w:top w:val="single" w:sz="4" w:space="0" w:color="auto"/>
            </w:tcBorders>
          </w:tcPr>
          <w:p w:rsidR="00CE4245" w:rsidRPr="007B4357" w:rsidRDefault="00CE4245" w:rsidP="00C52B63">
            <w:pPr>
              <w:rPr>
                <w:rFonts w:ascii="Times New Roman" w:hAnsi="Times New Roman" w:cs="Times New Roman"/>
                <w:sz w:val="24"/>
                <w:szCs w:val="24"/>
              </w:rPr>
            </w:pPr>
          </w:p>
        </w:tc>
        <w:tc>
          <w:tcPr>
            <w:tcW w:w="585" w:type="pct"/>
            <w:tcBorders>
              <w:top w:val="single" w:sz="4" w:space="0" w:color="auto"/>
            </w:tcBorders>
          </w:tcPr>
          <w:p w:rsidR="00CE4245" w:rsidRPr="007B4357" w:rsidRDefault="00CE4245" w:rsidP="00C52B63">
            <w:pPr>
              <w:rPr>
                <w:rFonts w:ascii="Times New Roman" w:hAnsi="Times New Roman" w:cs="Times New Roman"/>
                <w:sz w:val="24"/>
                <w:szCs w:val="24"/>
              </w:rPr>
            </w:pPr>
          </w:p>
        </w:tc>
      </w:tr>
      <w:tr w:rsidR="00CE4245" w:rsidRPr="007B4357" w:rsidTr="00951815">
        <w:tc>
          <w:tcPr>
            <w:tcW w:w="1335" w:type="pct"/>
          </w:tcPr>
          <w:p w:rsidR="00CE4245" w:rsidRPr="007B4357" w:rsidRDefault="00582476" w:rsidP="004B3255">
            <w:pPr>
              <w:rPr>
                <w:rFonts w:ascii="Times New Roman" w:hAnsi="Times New Roman" w:cs="Times New Roman"/>
                <w:sz w:val="24"/>
                <w:szCs w:val="24"/>
              </w:rPr>
            </w:pPr>
            <w:r>
              <w:rPr>
                <w:rFonts w:ascii="Times New Roman" w:hAnsi="Times New Roman" w:cs="Times New Roman"/>
                <w:sz w:val="24"/>
                <w:szCs w:val="24"/>
              </w:rPr>
              <w:t>Food Manf.(SIC10)</w:t>
            </w:r>
          </w:p>
        </w:tc>
        <w:tc>
          <w:tcPr>
            <w:tcW w:w="853" w:type="pct"/>
          </w:tcPr>
          <w:p w:rsidR="00CE4245" w:rsidRPr="007B4357" w:rsidRDefault="00582476" w:rsidP="00C52B63">
            <w:pPr>
              <w:jc w:val="center"/>
              <w:rPr>
                <w:rFonts w:ascii="Times New Roman" w:hAnsi="Times New Roman" w:cs="Times New Roman"/>
                <w:sz w:val="24"/>
                <w:szCs w:val="24"/>
              </w:rPr>
            </w:pPr>
            <w:r>
              <w:rPr>
                <w:rFonts w:ascii="Times New Roman" w:hAnsi="Times New Roman" w:cs="Times New Roman"/>
                <w:sz w:val="24"/>
                <w:szCs w:val="24"/>
              </w:rPr>
              <w:t>300,000</w:t>
            </w:r>
          </w:p>
        </w:tc>
        <w:tc>
          <w:tcPr>
            <w:tcW w:w="821" w:type="pct"/>
          </w:tcPr>
          <w:p w:rsidR="00CE4245" w:rsidRPr="007B4357" w:rsidRDefault="00582476" w:rsidP="00582476">
            <w:pPr>
              <w:jc w:val="center"/>
              <w:rPr>
                <w:rFonts w:ascii="Times New Roman" w:hAnsi="Times New Roman" w:cs="Times New Roman"/>
                <w:sz w:val="24"/>
                <w:szCs w:val="24"/>
              </w:rPr>
            </w:pPr>
            <w:r>
              <w:rPr>
                <w:rFonts w:ascii="Times New Roman" w:hAnsi="Times New Roman" w:cs="Times New Roman"/>
                <w:sz w:val="24"/>
                <w:szCs w:val="24"/>
              </w:rPr>
              <w:t>30</w:t>
            </w:r>
            <w:r w:rsidR="00CE4245" w:rsidRPr="007B4357">
              <w:rPr>
                <w:rFonts w:ascii="Times New Roman" w:hAnsi="Times New Roman" w:cs="Times New Roman"/>
                <w:sz w:val="24"/>
                <w:szCs w:val="24"/>
              </w:rPr>
              <w:t>%</w:t>
            </w:r>
          </w:p>
        </w:tc>
        <w:tc>
          <w:tcPr>
            <w:tcW w:w="821" w:type="pct"/>
          </w:tcPr>
          <w:p w:rsidR="00CE4245" w:rsidRPr="007B4357" w:rsidRDefault="00CE4245" w:rsidP="009550D0">
            <w:pPr>
              <w:jc w:val="center"/>
              <w:rPr>
                <w:rFonts w:ascii="Times New Roman" w:hAnsi="Times New Roman" w:cs="Times New Roman"/>
                <w:sz w:val="24"/>
                <w:szCs w:val="24"/>
              </w:rPr>
            </w:pPr>
            <w:r w:rsidRPr="007B4357">
              <w:rPr>
                <w:rFonts w:ascii="Times New Roman" w:hAnsi="Times New Roman" w:cs="Times New Roman"/>
                <w:sz w:val="24"/>
                <w:szCs w:val="24"/>
              </w:rPr>
              <w:t>£</w:t>
            </w:r>
            <w:r w:rsidR="009550D0">
              <w:rPr>
                <w:rFonts w:ascii="Times New Roman" w:hAnsi="Times New Roman" w:cs="Times New Roman"/>
                <w:sz w:val="24"/>
                <w:szCs w:val="24"/>
              </w:rPr>
              <w:t>10</w:t>
            </w:r>
            <w:r w:rsidRPr="007B4357">
              <w:rPr>
                <w:rFonts w:ascii="Times New Roman" w:hAnsi="Times New Roman" w:cs="Times New Roman"/>
                <w:sz w:val="24"/>
                <w:szCs w:val="24"/>
              </w:rPr>
              <w:t>.</w:t>
            </w:r>
            <w:r w:rsidR="009550D0">
              <w:rPr>
                <w:rFonts w:ascii="Times New Roman" w:hAnsi="Times New Roman" w:cs="Times New Roman"/>
                <w:sz w:val="24"/>
                <w:szCs w:val="24"/>
              </w:rPr>
              <w:t>0</w:t>
            </w:r>
            <w:r w:rsidRPr="007B4357">
              <w:rPr>
                <w:rFonts w:ascii="Times New Roman" w:hAnsi="Times New Roman" w:cs="Times New Roman"/>
                <w:sz w:val="24"/>
                <w:szCs w:val="24"/>
              </w:rPr>
              <w:t>0</w:t>
            </w:r>
          </w:p>
        </w:tc>
        <w:tc>
          <w:tcPr>
            <w:tcW w:w="585" w:type="pct"/>
          </w:tcPr>
          <w:p w:rsidR="00CE4245" w:rsidRPr="007B4357" w:rsidRDefault="00CE4245" w:rsidP="00C52B63">
            <w:pPr>
              <w:jc w:val="center"/>
              <w:rPr>
                <w:rFonts w:ascii="Times New Roman" w:hAnsi="Times New Roman" w:cs="Times New Roman"/>
                <w:sz w:val="24"/>
                <w:szCs w:val="24"/>
              </w:rPr>
            </w:pPr>
            <w:r>
              <w:rPr>
                <w:rFonts w:ascii="Times New Roman" w:hAnsi="Times New Roman" w:cs="Times New Roman"/>
                <w:sz w:val="24"/>
                <w:szCs w:val="24"/>
              </w:rPr>
              <w:t>18</w:t>
            </w:r>
            <w:r w:rsidRPr="007B4357">
              <w:rPr>
                <w:rFonts w:ascii="Times New Roman" w:hAnsi="Times New Roman" w:cs="Times New Roman"/>
                <w:sz w:val="24"/>
                <w:szCs w:val="24"/>
              </w:rPr>
              <w:t>%</w:t>
            </w:r>
          </w:p>
        </w:tc>
        <w:tc>
          <w:tcPr>
            <w:tcW w:w="585" w:type="pct"/>
          </w:tcPr>
          <w:p w:rsidR="00CE4245" w:rsidRDefault="00F63B6E" w:rsidP="00C52B63">
            <w:pPr>
              <w:jc w:val="center"/>
              <w:rPr>
                <w:rFonts w:ascii="Times New Roman" w:hAnsi="Times New Roman" w:cs="Times New Roman"/>
                <w:sz w:val="24"/>
                <w:szCs w:val="24"/>
              </w:rPr>
            </w:pPr>
            <w:r>
              <w:rPr>
                <w:rFonts w:ascii="Times New Roman" w:hAnsi="Times New Roman" w:cs="Times New Roman"/>
                <w:sz w:val="24"/>
                <w:szCs w:val="24"/>
              </w:rPr>
              <w:t>31</w:t>
            </w:r>
            <w:r w:rsidR="00EB51A6">
              <w:rPr>
                <w:rFonts w:ascii="Times New Roman" w:hAnsi="Times New Roman" w:cs="Times New Roman"/>
                <w:sz w:val="24"/>
                <w:szCs w:val="24"/>
              </w:rPr>
              <w:t>%</w:t>
            </w:r>
          </w:p>
        </w:tc>
      </w:tr>
      <w:tr w:rsidR="00CE4245" w:rsidRPr="007B4357" w:rsidTr="00951815">
        <w:tc>
          <w:tcPr>
            <w:tcW w:w="1335" w:type="pct"/>
          </w:tcPr>
          <w:p w:rsidR="00CE4245" w:rsidRPr="007B4357" w:rsidRDefault="00CE4245" w:rsidP="00582476">
            <w:pPr>
              <w:rPr>
                <w:rFonts w:ascii="Times New Roman" w:hAnsi="Times New Roman" w:cs="Times New Roman"/>
                <w:sz w:val="24"/>
                <w:szCs w:val="24"/>
              </w:rPr>
            </w:pPr>
            <w:r w:rsidRPr="007B4357">
              <w:rPr>
                <w:rFonts w:ascii="Times New Roman" w:hAnsi="Times New Roman" w:cs="Times New Roman"/>
                <w:sz w:val="24"/>
                <w:szCs w:val="24"/>
              </w:rPr>
              <w:t>Domest</w:t>
            </w:r>
            <w:r w:rsidR="004B3255">
              <w:rPr>
                <w:rFonts w:ascii="Times New Roman" w:hAnsi="Times New Roman" w:cs="Times New Roman"/>
                <w:sz w:val="24"/>
                <w:szCs w:val="24"/>
              </w:rPr>
              <w:t>ic</w:t>
            </w:r>
            <w:r>
              <w:rPr>
                <w:rFonts w:ascii="Times New Roman" w:hAnsi="Times New Roman" w:cs="Times New Roman"/>
                <w:sz w:val="24"/>
                <w:szCs w:val="24"/>
              </w:rPr>
              <w:t xml:space="preserve"> Serv</w:t>
            </w:r>
            <w:r w:rsidR="00582476">
              <w:rPr>
                <w:rFonts w:ascii="Times New Roman" w:hAnsi="Times New Roman" w:cs="Times New Roman"/>
                <w:sz w:val="24"/>
                <w:szCs w:val="24"/>
              </w:rPr>
              <w:t>(SIC97)</w:t>
            </w:r>
          </w:p>
        </w:tc>
        <w:tc>
          <w:tcPr>
            <w:tcW w:w="853" w:type="pct"/>
          </w:tcPr>
          <w:p w:rsidR="00CE4245" w:rsidRPr="007B4357" w:rsidRDefault="00582476" w:rsidP="00C52B63">
            <w:pPr>
              <w:jc w:val="center"/>
              <w:rPr>
                <w:rFonts w:ascii="Times New Roman" w:hAnsi="Times New Roman" w:cs="Times New Roman"/>
                <w:sz w:val="24"/>
                <w:szCs w:val="24"/>
              </w:rPr>
            </w:pPr>
            <w:r>
              <w:rPr>
                <w:rFonts w:ascii="Times New Roman" w:hAnsi="Times New Roman" w:cs="Times New Roman"/>
                <w:sz w:val="24"/>
                <w:szCs w:val="24"/>
              </w:rPr>
              <w:t>50</w:t>
            </w:r>
            <w:r w:rsidR="00CE4245" w:rsidRPr="007B4357">
              <w:rPr>
                <w:rFonts w:ascii="Times New Roman" w:hAnsi="Times New Roman" w:cs="Times New Roman"/>
                <w:sz w:val="24"/>
                <w:szCs w:val="24"/>
              </w:rPr>
              <w:t>,000</w:t>
            </w:r>
          </w:p>
        </w:tc>
        <w:tc>
          <w:tcPr>
            <w:tcW w:w="821" w:type="pct"/>
          </w:tcPr>
          <w:p w:rsidR="00CE4245" w:rsidRPr="007B4357" w:rsidRDefault="00CE4245" w:rsidP="00C52B63">
            <w:pPr>
              <w:jc w:val="center"/>
              <w:rPr>
                <w:rFonts w:ascii="Times New Roman" w:hAnsi="Times New Roman" w:cs="Times New Roman"/>
                <w:sz w:val="24"/>
                <w:szCs w:val="24"/>
              </w:rPr>
            </w:pPr>
            <w:r>
              <w:rPr>
                <w:rFonts w:ascii="Times New Roman" w:hAnsi="Times New Roman" w:cs="Times New Roman"/>
                <w:sz w:val="24"/>
                <w:szCs w:val="24"/>
              </w:rPr>
              <w:t>26</w:t>
            </w:r>
            <w:r w:rsidRPr="007B4357">
              <w:rPr>
                <w:rFonts w:ascii="Times New Roman" w:hAnsi="Times New Roman" w:cs="Times New Roman"/>
                <w:sz w:val="24"/>
                <w:szCs w:val="24"/>
              </w:rPr>
              <w:t>%</w:t>
            </w:r>
          </w:p>
        </w:tc>
        <w:tc>
          <w:tcPr>
            <w:tcW w:w="821" w:type="pct"/>
          </w:tcPr>
          <w:p w:rsidR="00CE4245" w:rsidRPr="007B4357" w:rsidRDefault="009550D0" w:rsidP="00357CCA">
            <w:pPr>
              <w:jc w:val="center"/>
              <w:rPr>
                <w:rFonts w:ascii="Times New Roman" w:hAnsi="Times New Roman" w:cs="Times New Roman"/>
                <w:sz w:val="24"/>
                <w:szCs w:val="24"/>
              </w:rPr>
            </w:pPr>
            <w:r>
              <w:rPr>
                <w:rFonts w:ascii="Times New Roman" w:hAnsi="Times New Roman" w:cs="Times New Roman"/>
                <w:sz w:val="24"/>
                <w:szCs w:val="24"/>
              </w:rPr>
              <w:t>£9.20</w:t>
            </w:r>
          </w:p>
        </w:tc>
        <w:tc>
          <w:tcPr>
            <w:tcW w:w="585" w:type="pct"/>
          </w:tcPr>
          <w:p w:rsidR="00CE4245" w:rsidRPr="007B4357" w:rsidRDefault="00CE4245" w:rsidP="00C52B63">
            <w:pPr>
              <w:jc w:val="center"/>
              <w:rPr>
                <w:rFonts w:ascii="Times New Roman" w:hAnsi="Times New Roman" w:cs="Times New Roman"/>
                <w:sz w:val="24"/>
                <w:szCs w:val="24"/>
              </w:rPr>
            </w:pPr>
            <w:r w:rsidRPr="007B4357">
              <w:rPr>
                <w:rFonts w:ascii="Times New Roman" w:hAnsi="Times New Roman" w:cs="Times New Roman"/>
                <w:sz w:val="24"/>
                <w:szCs w:val="24"/>
              </w:rPr>
              <w:t>22%</w:t>
            </w:r>
          </w:p>
        </w:tc>
        <w:tc>
          <w:tcPr>
            <w:tcW w:w="585" w:type="pct"/>
          </w:tcPr>
          <w:p w:rsidR="00CE4245" w:rsidRPr="007B4357" w:rsidRDefault="00EB51A6" w:rsidP="00C52B63">
            <w:pPr>
              <w:jc w:val="center"/>
              <w:rPr>
                <w:rFonts w:ascii="Times New Roman" w:hAnsi="Times New Roman" w:cs="Times New Roman"/>
                <w:sz w:val="24"/>
                <w:szCs w:val="24"/>
              </w:rPr>
            </w:pPr>
            <w:r>
              <w:rPr>
                <w:rFonts w:ascii="Times New Roman" w:hAnsi="Times New Roman" w:cs="Times New Roman"/>
                <w:sz w:val="24"/>
                <w:szCs w:val="24"/>
              </w:rPr>
              <w:t>27%</w:t>
            </w:r>
          </w:p>
        </w:tc>
      </w:tr>
      <w:tr w:rsidR="00CE4245" w:rsidRPr="007B4357" w:rsidTr="00951815">
        <w:tc>
          <w:tcPr>
            <w:tcW w:w="1335" w:type="pct"/>
          </w:tcPr>
          <w:p w:rsidR="00CE4245" w:rsidRPr="007B4357" w:rsidRDefault="00CE4245" w:rsidP="002D651B">
            <w:pPr>
              <w:rPr>
                <w:rFonts w:ascii="Times New Roman" w:hAnsi="Times New Roman" w:cs="Times New Roman"/>
                <w:sz w:val="24"/>
                <w:szCs w:val="24"/>
              </w:rPr>
            </w:pPr>
            <w:r w:rsidRPr="007B4357">
              <w:rPr>
                <w:rFonts w:ascii="Times New Roman" w:hAnsi="Times New Roman" w:cs="Times New Roman"/>
                <w:sz w:val="24"/>
                <w:szCs w:val="24"/>
              </w:rPr>
              <w:t xml:space="preserve">Hotels </w:t>
            </w:r>
            <w:r w:rsidR="00582476">
              <w:rPr>
                <w:rFonts w:ascii="Times New Roman" w:hAnsi="Times New Roman" w:cs="Times New Roman"/>
                <w:sz w:val="24"/>
                <w:szCs w:val="24"/>
              </w:rPr>
              <w:t xml:space="preserve"> (SIC55)</w:t>
            </w:r>
          </w:p>
        </w:tc>
        <w:tc>
          <w:tcPr>
            <w:tcW w:w="853" w:type="pct"/>
          </w:tcPr>
          <w:p w:rsidR="00CE4245" w:rsidRPr="007B4357" w:rsidRDefault="00CE4245" w:rsidP="002D651B">
            <w:pPr>
              <w:jc w:val="center"/>
              <w:rPr>
                <w:rFonts w:ascii="Times New Roman" w:hAnsi="Times New Roman" w:cs="Times New Roman"/>
                <w:sz w:val="24"/>
                <w:szCs w:val="24"/>
              </w:rPr>
            </w:pPr>
            <w:r>
              <w:rPr>
                <w:rFonts w:ascii="Times New Roman" w:hAnsi="Times New Roman" w:cs="Times New Roman"/>
                <w:sz w:val="24"/>
                <w:szCs w:val="24"/>
              </w:rPr>
              <w:t>35</w:t>
            </w:r>
            <w:r w:rsidRPr="007B4357">
              <w:rPr>
                <w:rFonts w:ascii="Times New Roman" w:hAnsi="Times New Roman" w:cs="Times New Roman"/>
                <w:sz w:val="24"/>
                <w:szCs w:val="24"/>
              </w:rPr>
              <w:t>0,000</w:t>
            </w:r>
          </w:p>
        </w:tc>
        <w:tc>
          <w:tcPr>
            <w:tcW w:w="821" w:type="pct"/>
          </w:tcPr>
          <w:p w:rsidR="00CE4245" w:rsidRPr="007B4357" w:rsidRDefault="00CE4245" w:rsidP="00582476">
            <w:pPr>
              <w:jc w:val="center"/>
              <w:rPr>
                <w:rFonts w:ascii="Times New Roman" w:hAnsi="Times New Roman" w:cs="Times New Roman"/>
                <w:sz w:val="24"/>
                <w:szCs w:val="24"/>
              </w:rPr>
            </w:pPr>
            <w:r>
              <w:rPr>
                <w:rFonts w:ascii="Times New Roman" w:hAnsi="Times New Roman" w:cs="Times New Roman"/>
                <w:sz w:val="24"/>
                <w:szCs w:val="24"/>
              </w:rPr>
              <w:t>1</w:t>
            </w:r>
            <w:r w:rsidR="00582476">
              <w:rPr>
                <w:rFonts w:ascii="Times New Roman" w:hAnsi="Times New Roman" w:cs="Times New Roman"/>
                <w:sz w:val="24"/>
                <w:szCs w:val="24"/>
              </w:rPr>
              <w:t>8</w:t>
            </w:r>
            <w:r w:rsidRPr="007B4357">
              <w:rPr>
                <w:rFonts w:ascii="Times New Roman" w:hAnsi="Times New Roman" w:cs="Times New Roman"/>
                <w:sz w:val="24"/>
                <w:szCs w:val="24"/>
              </w:rPr>
              <w:t>%</w:t>
            </w:r>
          </w:p>
        </w:tc>
        <w:tc>
          <w:tcPr>
            <w:tcW w:w="821" w:type="pct"/>
          </w:tcPr>
          <w:p w:rsidR="00CE4245" w:rsidRPr="007B4357" w:rsidRDefault="00CE4245" w:rsidP="002D651B">
            <w:pPr>
              <w:jc w:val="center"/>
              <w:rPr>
                <w:rFonts w:ascii="Times New Roman" w:hAnsi="Times New Roman" w:cs="Times New Roman"/>
                <w:sz w:val="24"/>
                <w:szCs w:val="24"/>
              </w:rPr>
            </w:pPr>
            <w:r>
              <w:rPr>
                <w:rFonts w:ascii="Times New Roman" w:hAnsi="Times New Roman" w:cs="Times New Roman"/>
                <w:sz w:val="24"/>
                <w:szCs w:val="24"/>
              </w:rPr>
              <w:t>£8.4</w:t>
            </w:r>
            <w:r w:rsidRPr="007B4357">
              <w:rPr>
                <w:rFonts w:ascii="Times New Roman" w:hAnsi="Times New Roman" w:cs="Times New Roman"/>
                <w:sz w:val="24"/>
                <w:szCs w:val="24"/>
              </w:rPr>
              <w:t>0</w:t>
            </w:r>
          </w:p>
        </w:tc>
        <w:tc>
          <w:tcPr>
            <w:tcW w:w="585" w:type="pct"/>
          </w:tcPr>
          <w:p w:rsidR="00CE4245" w:rsidRPr="007B4357" w:rsidRDefault="00CE4245" w:rsidP="002D651B">
            <w:pPr>
              <w:jc w:val="center"/>
              <w:rPr>
                <w:rFonts w:ascii="Times New Roman" w:hAnsi="Times New Roman" w:cs="Times New Roman"/>
                <w:sz w:val="24"/>
                <w:szCs w:val="24"/>
              </w:rPr>
            </w:pPr>
            <w:r>
              <w:rPr>
                <w:rFonts w:ascii="Times New Roman" w:hAnsi="Times New Roman" w:cs="Times New Roman"/>
                <w:sz w:val="24"/>
                <w:szCs w:val="24"/>
              </w:rPr>
              <w:t>26</w:t>
            </w:r>
            <w:r w:rsidRPr="007B4357">
              <w:rPr>
                <w:rFonts w:ascii="Times New Roman" w:hAnsi="Times New Roman" w:cs="Times New Roman"/>
                <w:sz w:val="24"/>
                <w:szCs w:val="24"/>
              </w:rPr>
              <w:t>%</w:t>
            </w:r>
          </w:p>
        </w:tc>
        <w:tc>
          <w:tcPr>
            <w:tcW w:w="585" w:type="pct"/>
          </w:tcPr>
          <w:p w:rsidR="00CE4245" w:rsidRDefault="00EB51A6" w:rsidP="002D651B">
            <w:pPr>
              <w:jc w:val="center"/>
              <w:rPr>
                <w:rFonts w:ascii="Times New Roman" w:hAnsi="Times New Roman" w:cs="Times New Roman"/>
                <w:sz w:val="24"/>
                <w:szCs w:val="24"/>
              </w:rPr>
            </w:pPr>
            <w:r>
              <w:rPr>
                <w:rFonts w:ascii="Times New Roman" w:hAnsi="Times New Roman" w:cs="Times New Roman"/>
                <w:sz w:val="24"/>
                <w:szCs w:val="24"/>
              </w:rPr>
              <w:t>22%</w:t>
            </w:r>
          </w:p>
        </w:tc>
      </w:tr>
      <w:tr w:rsidR="001936CD" w:rsidRPr="007B4357" w:rsidTr="00951815">
        <w:tc>
          <w:tcPr>
            <w:tcW w:w="1335" w:type="pct"/>
          </w:tcPr>
          <w:p w:rsidR="001936CD" w:rsidRPr="007B4357" w:rsidRDefault="001936CD" w:rsidP="001936CD">
            <w:pPr>
              <w:rPr>
                <w:rFonts w:ascii="Times New Roman" w:hAnsi="Times New Roman" w:cs="Times New Roman"/>
                <w:sz w:val="24"/>
                <w:szCs w:val="24"/>
              </w:rPr>
            </w:pPr>
            <w:r w:rsidRPr="007B4357">
              <w:rPr>
                <w:rFonts w:ascii="Times New Roman" w:hAnsi="Times New Roman" w:cs="Times New Roman"/>
                <w:sz w:val="24"/>
                <w:szCs w:val="24"/>
              </w:rPr>
              <w:t>Warehous</w:t>
            </w:r>
            <w:r>
              <w:rPr>
                <w:rFonts w:ascii="Times New Roman" w:hAnsi="Times New Roman" w:cs="Times New Roman"/>
                <w:sz w:val="24"/>
                <w:szCs w:val="24"/>
              </w:rPr>
              <w:t>ing(SIC52)</w:t>
            </w:r>
          </w:p>
        </w:tc>
        <w:tc>
          <w:tcPr>
            <w:tcW w:w="853"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400</w:t>
            </w:r>
            <w:r w:rsidRPr="007B4357">
              <w:rPr>
                <w:rFonts w:ascii="Times New Roman" w:hAnsi="Times New Roman" w:cs="Times New Roman"/>
                <w:sz w:val="24"/>
                <w:szCs w:val="24"/>
              </w:rPr>
              <w:t>,000</w:t>
            </w:r>
          </w:p>
        </w:tc>
        <w:tc>
          <w:tcPr>
            <w:tcW w:w="821" w:type="pct"/>
          </w:tcPr>
          <w:p w:rsidR="001936CD" w:rsidRPr="007B4357" w:rsidRDefault="001936CD" w:rsidP="001936CD">
            <w:pPr>
              <w:jc w:val="center"/>
              <w:rPr>
                <w:rFonts w:ascii="Times New Roman" w:hAnsi="Times New Roman" w:cs="Times New Roman"/>
                <w:sz w:val="24"/>
                <w:szCs w:val="24"/>
              </w:rPr>
            </w:pPr>
            <w:r w:rsidRPr="007B4357">
              <w:rPr>
                <w:rFonts w:ascii="Times New Roman" w:hAnsi="Times New Roman" w:cs="Times New Roman"/>
                <w:sz w:val="24"/>
                <w:szCs w:val="24"/>
              </w:rPr>
              <w:t>1</w:t>
            </w:r>
            <w:r>
              <w:rPr>
                <w:rFonts w:ascii="Times New Roman" w:hAnsi="Times New Roman" w:cs="Times New Roman"/>
                <w:sz w:val="24"/>
                <w:szCs w:val="24"/>
              </w:rPr>
              <w:t>6</w:t>
            </w:r>
            <w:r w:rsidRPr="007B4357">
              <w:rPr>
                <w:rFonts w:ascii="Times New Roman" w:hAnsi="Times New Roman" w:cs="Times New Roman"/>
                <w:sz w:val="24"/>
                <w:szCs w:val="24"/>
              </w:rPr>
              <w:t>%</w:t>
            </w:r>
          </w:p>
        </w:tc>
        <w:tc>
          <w:tcPr>
            <w:tcW w:w="821" w:type="pct"/>
          </w:tcPr>
          <w:p w:rsidR="001936CD" w:rsidRPr="007B4357" w:rsidRDefault="001936CD" w:rsidP="001936CD">
            <w:pPr>
              <w:jc w:val="center"/>
              <w:rPr>
                <w:rFonts w:ascii="Times New Roman" w:hAnsi="Times New Roman" w:cs="Times New Roman"/>
                <w:sz w:val="24"/>
                <w:szCs w:val="24"/>
              </w:rPr>
            </w:pPr>
            <w:r w:rsidRPr="007B4357">
              <w:rPr>
                <w:rFonts w:ascii="Times New Roman" w:hAnsi="Times New Roman" w:cs="Times New Roman"/>
                <w:sz w:val="24"/>
                <w:szCs w:val="24"/>
              </w:rPr>
              <w:t>£</w:t>
            </w:r>
            <w:r w:rsidR="009550D0">
              <w:rPr>
                <w:rFonts w:ascii="Times New Roman" w:hAnsi="Times New Roman" w:cs="Times New Roman"/>
                <w:sz w:val="24"/>
                <w:szCs w:val="24"/>
              </w:rPr>
              <w:t>10.7</w:t>
            </w:r>
            <w:r w:rsidRPr="007B4357">
              <w:rPr>
                <w:rFonts w:ascii="Times New Roman" w:hAnsi="Times New Roman" w:cs="Times New Roman"/>
                <w:sz w:val="24"/>
                <w:szCs w:val="24"/>
              </w:rPr>
              <w:t>0</w:t>
            </w:r>
          </w:p>
        </w:tc>
        <w:tc>
          <w:tcPr>
            <w:tcW w:w="585" w:type="pct"/>
          </w:tcPr>
          <w:p w:rsidR="001936CD" w:rsidRPr="007B4357" w:rsidRDefault="001936CD" w:rsidP="001936CD">
            <w:pPr>
              <w:jc w:val="center"/>
              <w:rPr>
                <w:rFonts w:ascii="Times New Roman" w:hAnsi="Times New Roman" w:cs="Times New Roman"/>
                <w:sz w:val="24"/>
                <w:szCs w:val="24"/>
              </w:rPr>
            </w:pPr>
            <w:r w:rsidRPr="007B4357">
              <w:rPr>
                <w:rFonts w:ascii="Times New Roman" w:hAnsi="Times New Roman" w:cs="Times New Roman"/>
                <w:sz w:val="24"/>
                <w:szCs w:val="24"/>
              </w:rPr>
              <w:t>17%</w:t>
            </w:r>
          </w:p>
        </w:tc>
        <w:tc>
          <w:tcPr>
            <w:tcW w:w="585" w:type="pct"/>
          </w:tcPr>
          <w:p w:rsidR="001936CD" w:rsidRPr="007B4357" w:rsidRDefault="00EB51A6" w:rsidP="001936CD">
            <w:pPr>
              <w:jc w:val="center"/>
              <w:rPr>
                <w:rFonts w:ascii="Times New Roman" w:hAnsi="Times New Roman" w:cs="Times New Roman"/>
                <w:sz w:val="24"/>
                <w:szCs w:val="24"/>
              </w:rPr>
            </w:pPr>
            <w:r>
              <w:rPr>
                <w:rFonts w:ascii="Times New Roman" w:hAnsi="Times New Roman" w:cs="Times New Roman"/>
                <w:sz w:val="24"/>
                <w:szCs w:val="24"/>
              </w:rPr>
              <w:t>22%</w:t>
            </w:r>
          </w:p>
        </w:tc>
      </w:tr>
      <w:tr w:rsidR="001936CD" w:rsidRPr="007B4357" w:rsidTr="00951815">
        <w:tc>
          <w:tcPr>
            <w:tcW w:w="1335" w:type="pct"/>
          </w:tcPr>
          <w:p w:rsidR="001936CD" w:rsidRPr="007B4357" w:rsidRDefault="001936CD" w:rsidP="001936CD">
            <w:pPr>
              <w:rPr>
                <w:rFonts w:ascii="Times New Roman" w:hAnsi="Times New Roman" w:cs="Times New Roman"/>
                <w:sz w:val="24"/>
                <w:szCs w:val="24"/>
              </w:rPr>
            </w:pPr>
            <w:r>
              <w:rPr>
                <w:rFonts w:ascii="Times New Roman" w:hAnsi="Times New Roman" w:cs="Times New Roman"/>
                <w:sz w:val="24"/>
                <w:szCs w:val="24"/>
              </w:rPr>
              <w:t>Textile Manf.(SIC13)</w:t>
            </w:r>
          </w:p>
        </w:tc>
        <w:tc>
          <w:tcPr>
            <w:tcW w:w="853"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70</w:t>
            </w:r>
            <w:r w:rsidRPr="007B4357">
              <w:rPr>
                <w:rFonts w:ascii="Times New Roman" w:hAnsi="Times New Roman" w:cs="Times New Roman"/>
                <w:sz w:val="24"/>
                <w:szCs w:val="24"/>
              </w:rPr>
              <w:t>,000</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14</w:t>
            </w:r>
            <w:r w:rsidRPr="007B4357">
              <w:rPr>
                <w:rFonts w:ascii="Times New Roman" w:hAnsi="Times New Roman" w:cs="Times New Roman"/>
                <w:sz w:val="24"/>
                <w:szCs w:val="24"/>
              </w:rPr>
              <w:t>%</w:t>
            </w:r>
          </w:p>
        </w:tc>
        <w:tc>
          <w:tcPr>
            <w:tcW w:w="821" w:type="pct"/>
          </w:tcPr>
          <w:p w:rsidR="001936CD" w:rsidRPr="007B4357" w:rsidRDefault="009550D0" w:rsidP="001936CD">
            <w:pPr>
              <w:jc w:val="center"/>
              <w:rPr>
                <w:rFonts w:ascii="Times New Roman" w:hAnsi="Times New Roman" w:cs="Times New Roman"/>
                <w:sz w:val="24"/>
                <w:szCs w:val="24"/>
              </w:rPr>
            </w:pPr>
            <w:r>
              <w:rPr>
                <w:rFonts w:ascii="Times New Roman" w:hAnsi="Times New Roman" w:cs="Times New Roman"/>
                <w:sz w:val="24"/>
                <w:szCs w:val="24"/>
              </w:rPr>
              <w:t>£10.9</w:t>
            </w:r>
            <w:r w:rsidR="001936CD" w:rsidRPr="007B4357">
              <w:rPr>
                <w:rFonts w:ascii="Times New Roman" w:hAnsi="Times New Roman" w:cs="Times New Roman"/>
                <w:sz w:val="24"/>
                <w:szCs w:val="24"/>
              </w:rPr>
              <w:t>0</w:t>
            </w:r>
          </w:p>
        </w:tc>
        <w:tc>
          <w:tcPr>
            <w:tcW w:w="585" w:type="pct"/>
          </w:tcPr>
          <w:p w:rsidR="001936CD" w:rsidRPr="007B4357" w:rsidRDefault="001936CD" w:rsidP="001936CD">
            <w:pPr>
              <w:jc w:val="center"/>
              <w:rPr>
                <w:rFonts w:ascii="Times New Roman" w:hAnsi="Times New Roman" w:cs="Times New Roman"/>
                <w:sz w:val="24"/>
                <w:szCs w:val="24"/>
              </w:rPr>
            </w:pPr>
            <w:r w:rsidRPr="007B4357">
              <w:rPr>
                <w:rFonts w:ascii="Times New Roman" w:hAnsi="Times New Roman" w:cs="Times New Roman"/>
                <w:sz w:val="24"/>
                <w:szCs w:val="24"/>
              </w:rPr>
              <w:t>1</w:t>
            </w:r>
            <w:r>
              <w:rPr>
                <w:rFonts w:ascii="Times New Roman" w:hAnsi="Times New Roman" w:cs="Times New Roman"/>
                <w:sz w:val="24"/>
                <w:szCs w:val="24"/>
              </w:rPr>
              <w:t>6</w:t>
            </w:r>
            <w:r w:rsidRPr="007B4357">
              <w:rPr>
                <w:rFonts w:ascii="Times New Roman" w:hAnsi="Times New Roman" w:cs="Times New Roman"/>
                <w:sz w:val="24"/>
                <w:szCs w:val="24"/>
              </w:rPr>
              <w:t>%</w:t>
            </w:r>
          </w:p>
        </w:tc>
        <w:tc>
          <w:tcPr>
            <w:tcW w:w="585" w:type="pct"/>
          </w:tcPr>
          <w:p w:rsidR="001936CD" w:rsidRPr="007B4357" w:rsidRDefault="00EB51A6" w:rsidP="001936CD">
            <w:pPr>
              <w:jc w:val="center"/>
              <w:rPr>
                <w:rFonts w:ascii="Times New Roman" w:hAnsi="Times New Roman" w:cs="Times New Roman"/>
                <w:sz w:val="24"/>
                <w:szCs w:val="24"/>
              </w:rPr>
            </w:pPr>
            <w:r>
              <w:rPr>
                <w:rFonts w:ascii="Times New Roman" w:hAnsi="Times New Roman" w:cs="Times New Roman"/>
                <w:sz w:val="24"/>
                <w:szCs w:val="24"/>
              </w:rPr>
              <w:t>15%</w:t>
            </w:r>
          </w:p>
        </w:tc>
      </w:tr>
      <w:tr w:rsidR="001936CD" w:rsidRPr="007B4357" w:rsidTr="00951815">
        <w:tc>
          <w:tcPr>
            <w:tcW w:w="1335" w:type="pct"/>
          </w:tcPr>
          <w:p w:rsidR="001936CD" w:rsidRPr="007B4357" w:rsidRDefault="001936CD" w:rsidP="001936CD">
            <w:pPr>
              <w:rPr>
                <w:rFonts w:ascii="Times New Roman" w:hAnsi="Times New Roman" w:cs="Times New Roman"/>
                <w:sz w:val="24"/>
                <w:szCs w:val="24"/>
              </w:rPr>
            </w:pPr>
            <w:r>
              <w:rPr>
                <w:rFonts w:ascii="Times New Roman" w:hAnsi="Times New Roman" w:cs="Times New Roman"/>
                <w:sz w:val="24"/>
                <w:szCs w:val="24"/>
              </w:rPr>
              <w:t>Plastic</w:t>
            </w:r>
            <w:r w:rsidRPr="007B4357">
              <w:rPr>
                <w:rFonts w:ascii="Times New Roman" w:hAnsi="Times New Roman" w:cs="Times New Roman"/>
                <w:sz w:val="24"/>
                <w:szCs w:val="24"/>
              </w:rPr>
              <w:t xml:space="preserve"> </w:t>
            </w:r>
            <w:r>
              <w:rPr>
                <w:rFonts w:ascii="Times New Roman" w:hAnsi="Times New Roman" w:cs="Times New Roman"/>
                <w:sz w:val="24"/>
                <w:szCs w:val="24"/>
              </w:rPr>
              <w:t>Manf.(SIC22)</w:t>
            </w:r>
          </w:p>
        </w:tc>
        <w:tc>
          <w:tcPr>
            <w:tcW w:w="853" w:type="pct"/>
          </w:tcPr>
          <w:p w:rsidR="001936CD" w:rsidRPr="007B4357" w:rsidRDefault="001936CD" w:rsidP="001936CD">
            <w:pPr>
              <w:jc w:val="center"/>
              <w:rPr>
                <w:rFonts w:ascii="Times New Roman" w:hAnsi="Times New Roman" w:cs="Times New Roman"/>
                <w:sz w:val="24"/>
                <w:szCs w:val="24"/>
              </w:rPr>
            </w:pPr>
            <w:r w:rsidRPr="007B4357">
              <w:rPr>
                <w:rFonts w:ascii="Times New Roman" w:hAnsi="Times New Roman" w:cs="Times New Roman"/>
                <w:sz w:val="24"/>
                <w:szCs w:val="24"/>
              </w:rPr>
              <w:t>1</w:t>
            </w:r>
            <w:r>
              <w:rPr>
                <w:rFonts w:ascii="Times New Roman" w:hAnsi="Times New Roman" w:cs="Times New Roman"/>
                <w:sz w:val="24"/>
                <w:szCs w:val="24"/>
              </w:rPr>
              <w:t>60</w:t>
            </w:r>
            <w:r w:rsidRPr="007B4357">
              <w:rPr>
                <w:rFonts w:ascii="Times New Roman" w:hAnsi="Times New Roman" w:cs="Times New Roman"/>
                <w:sz w:val="24"/>
                <w:szCs w:val="24"/>
              </w:rPr>
              <w:t>,000</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15</w:t>
            </w:r>
            <w:r w:rsidRPr="007B4357">
              <w:rPr>
                <w:rFonts w:ascii="Times New Roman" w:hAnsi="Times New Roman" w:cs="Times New Roman"/>
                <w:sz w:val="24"/>
                <w:szCs w:val="24"/>
              </w:rPr>
              <w:t>%</w:t>
            </w:r>
          </w:p>
        </w:tc>
        <w:tc>
          <w:tcPr>
            <w:tcW w:w="821" w:type="pct"/>
          </w:tcPr>
          <w:p w:rsidR="001936CD" w:rsidRPr="007B4357" w:rsidRDefault="009550D0" w:rsidP="001936CD">
            <w:pPr>
              <w:jc w:val="center"/>
              <w:rPr>
                <w:rFonts w:ascii="Times New Roman" w:hAnsi="Times New Roman" w:cs="Times New Roman"/>
                <w:sz w:val="24"/>
                <w:szCs w:val="24"/>
              </w:rPr>
            </w:pPr>
            <w:r>
              <w:rPr>
                <w:rFonts w:ascii="Times New Roman" w:hAnsi="Times New Roman" w:cs="Times New Roman"/>
                <w:sz w:val="24"/>
                <w:szCs w:val="24"/>
              </w:rPr>
              <w:t>£10.6</w:t>
            </w:r>
            <w:r w:rsidR="001936CD" w:rsidRPr="007B4357">
              <w:rPr>
                <w:rFonts w:ascii="Times New Roman" w:hAnsi="Times New Roman" w:cs="Times New Roman"/>
                <w:sz w:val="24"/>
                <w:szCs w:val="24"/>
              </w:rPr>
              <w:t>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w:t>
            </w:r>
            <w:r w:rsidRPr="007B4357">
              <w:rPr>
                <w:rFonts w:ascii="Times New Roman" w:hAnsi="Times New Roman" w:cs="Times New Roman"/>
                <w:sz w:val="24"/>
                <w:szCs w:val="24"/>
              </w:rPr>
              <w:t>%</w:t>
            </w:r>
          </w:p>
        </w:tc>
        <w:tc>
          <w:tcPr>
            <w:tcW w:w="585" w:type="pct"/>
          </w:tcPr>
          <w:p w:rsidR="001936CD" w:rsidRDefault="00EB51A6" w:rsidP="001936CD">
            <w:pPr>
              <w:jc w:val="center"/>
              <w:rPr>
                <w:rFonts w:ascii="Times New Roman" w:hAnsi="Times New Roman" w:cs="Times New Roman"/>
                <w:sz w:val="24"/>
                <w:szCs w:val="24"/>
              </w:rPr>
            </w:pPr>
            <w:r>
              <w:rPr>
                <w:rFonts w:ascii="Times New Roman" w:hAnsi="Times New Roman" w:cs="Times New Roman"/>
                <w:sz w:val="24"/>
                <w:szCs w:val="24"/>
              </w:rPr>
              <w:t>14%</w:t>
            </w:r>
          </w:p>
        </w:tc>
      </w:tr>
      <w:tr w:rsidR="001936CD" w:rsidRPr="007B4357" w:rsidTr="00951815">
        <w:tc>
          <w:tcPr>
            <w:tcW w:w="1335" w:type="pct"/>
          </w:tcPr>
          <w:p w:rsidR="001936CD" w:rsidRPr="007B4357" w:rsidRDefault="001936CD" w:rsidP="001936CD">
            <w:pPr>
              <w:rPr>
                <w:rFonts w:ascii="Times New Roman" w:hAnsi="Times New Roman" w:cs="Times New Roman"/>
                <w:sz w:val="24"/>
                <w:szCs w:val="24"/>
              </w:rPr>
            </w:pPr>
            <w:r>
              <w:rPr>
                <w:rFonts w:ascii="Times New Roman" w:hAnsi="Times New Roman" w:cs="Times New Roman"/>
                <w:sz w:val="24"/>
                <w:szCs w:val="24"/>
              </w:rPr>
              <w:t>Chemic M</w:t>
            </w:r>
            <w:r w:rsidRPr="007B4357">
              <w:rPr>
                <w:rFonts w:ascii="Times New Roman" w:hAnsi="Times New Roman" w:cs="Times New Roman"/>
                <w:sz w:val="24"/>
                <w:szCs w:val="24"/>
              </w:rPr>
              <w:t>anf</w:t>
            </w:r>
            <w:r>
              <w:rPr>
                <w:rFonts w:ascii="Times New Roman" w:hAnsi="Times New Roman" w:cs="Times New Roman"/>
                <w:sz w:val="24"/>
                <w:szCs w:val="24"/>
              </w:rPr>
              <w:t>.(SIC20)</w:t>
            </w:r>
          </w:p>
        </w:tc>
        <w:tc>
          <w:tcPr>
            <w:tcW w:w="853"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100</w:t>
            </w:r>
            <w:r w:rsidRPr="007B4357">
              <w:rPr>
                <w:rFonts w:ascii="Times New Roman" w:hAnsi="Times New Roman" w:cs="Times New Roman"/>
                <w:sz w:val="24"/>
                <w:szCs w:val="24"/>
              </w:rPr>
              <w:t>,000</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w:t>
            </w:r>
            <w:r w:rsidRPr="007B4357">
              <w:rPr>
                <w:rFonts w:ascii="Times New Roman" w:hAnsi="Times New Roman" w:cs="Times New Roman"/>
                <w:sz w:val="24"/>
                <w:szCs w:val="24"/>
              </w:rPr>
              <w:t>%</w:t>
            </w:r>
          </w:p>
        </w:tc>
        <w:tc>
          <w:tcPr>
            <w:tcW w:w="821" w:type="pct"/>
          </w:tcPr>
          <w:p w:rsidR="001936CD" w:rsidRPr="007B4357" w:rsidRDefault="001936CD" w:rsidP="009550D0">
            <w:pPr>
              <w:jc w:val="center"/>
              <w:rPr>
                <w:rFonts w:ascii="Times New Roman" w:hAnsi="Times New Roman" w:cs="Times New Roman"/>
                <w:sz w:val="24"/>
                <w:szCs w:val="24"/>
              </w:rPr>
            </w:pPr>
            <w:r>
              <w:rPr>
                <w:rFonts w:ascii="Times New Roman" w:hAnsi="Times New Roman" w:cs="Times New Roman"/>
                <w:sz w:val="24"/>
                <w:szCs w:val="24"/>
              </w:rPr>
              <w:t>£1</w:t>
            </w:r>
            <w:r w:rsidR="009550D0">
              <w:rPr>
                <w:rFonts w:ascii="Times New Roman" w:hAnsi="Times New Roman" w:cs="Times New Roman"/>
                <w:sz w:val="24"/>
                <w:szCs w:val="24"/>
              </w:rPr>
              <w:t>2</w:t>
            </w:r>
            <w:r w:rsidRPr="007B4357">
              <w:rPr>
                <w:rFonts w:ascii="Times New Roman" w:hAnsi="Times New Roman" w:cs="Times New Roman"/>
                <w:sz w:val="24"/>
                <w:szCs w:val="24"/>
              </w:rPr>
              <w:t>.</w:t>
            </w:r>
            <w:r w:rsidR="009550D0">
              <w:rPr>
                <w:rFonts w:ascii="Times New Roman" w:hAnsi="Times New Roman" w:cs="Times New Roman"/>
                <w:sz w:val="24"/>
                <w:szCs w:val="24"/>
              </w:rPr>
              <w:t>1</w:t>
            </w:r>
            <w:r w:rsidRPr="007B4357">
              <w:rPr>
                <w:rFonts w:ascii="Times New Roman" w:hAnsi="Times New Roman" w:cs="Times New Roman"/>
                <w:sz w:val="24"/>
                <w:szCs w:val="24"/>
              </w:rPr>
              <w:t>0</w:t>
            </w:r>
          </w:p>
        </w:tc>
        <w:tc>
          <w:tcPr>
            <w:tcW w:w="585" w:type="pct"/>
          </w:tcPr>
          <w:p w:rsidR="001936CD" w:rsidRPr="007B4357" w:rsidRDefault="001936CD" w:rsidP="001936CD">
            <w:pPr>
              <w:jc w:val="center"/>
              <w:rPr>
                <w:rFonts w:ascii="Times New Roman" w:hAnsi="Times New Roman" w:cs="Times New Roman"/>
                <w:sz w:val="24"/>
                <w:szCs w:val="24"/>
              </w:rPr>
            </w:pPr>
            <w:r w:rsidRPr="007B4357">
              <w:rPr>
                <w:rFonts w:ascii="Times New Roman" w:hAnsi="Times New Roman" w:cs="Times New Roman"/>
                <w:sz w:val="24"/>
                <w:szCs w:val="24"/>
              </w:rPr>
              <w:t>1</w:t>
            </w:r>
            <w:r>
              <w:rPr>
                <w:rFonts w:ascii="Times New Roman" w:hAnsi="Times New Roman" w:cs="Times New Roman"/>
                <w:sz w:val="24"/>
                <w:szCs w:val="24"/>
              </w:rPr>
              <w:t>0</w:t>
            </w:r>
            <w:r w:rsidRPr="007B4357">
              <w:rPr>
                <w:rFonts w:ascii="Times New Roman" w:hAnsi="Times New Roman" w:cs="Times New Roman"/>
                <w:sz w:val="24"/>
                <w:szCs w:val="24"/>
              </w:rPr>
              <w:t>%</w:t>
            </w:r>
          </w:p>
        </w:tc>
        <w:tc>
          <w:tcPr>
            <w:tcW w:w="585" w:type="pct"/>
          </w:tcPr>
          <w:p w:rsidR="001936CD" w:rsidRPr="007B4357" w:rsidRDefault="00EB51A6" w:rsidP="001936CD">
            <w:pPr>
              <w:jc w:val="center"/>
              <w:rPr>
                <w:rFonts w:ascii="Times New Roman" w:hAnsi="Times New Roman" w:cs="Times New Roman"/>
                <w:sz w:val="24"/>
                <w:szCs w:val="24"/>
              </w:rPr>
            </w:pPr>
            <w:r>
              <w:rPr>
                <w:rFonts w:ascii="Times New Roman" w:hAnsi="Times New Roman" w:cs="Times New Roman"/>
                <w:sz w:val="24"/>
                <w:szCs w:val="24"/>
              </w:rPr>
              <w:t>29%</w:t>
            </w:r>
          </w:p>
        </w:tc>
      </w:tr>
      <w:tr w:rsidR="001936CD" w:rsidRPr="007B4357" w:rsidTr="00951815">
        <w:tc>
          <w:tcPr>
            <w:tcW w:w="1335" w:type="pct"/>
          </w:tcPr>
          <w:p w:rsidR="001936CD" w:rsidRDefault="001936CD" w:rsidP="001936CD">
            <w:pPr>
              <w:rPr>
                <w:rFonts w:ascii="Times New Roman" w:hAnsi="Times New Roman" w:cs="Times New Roman"/>
                <w:sz w:val="24"/>
                <w:szCs w:val="24"/>
              </w:rPr>
            </w:pPr>
            <w:r>
              <w:rPr>
                <w:rFonts w:ascii="Times New Roman" w:hAnsi="Times New Roman" w:cs="Times New Roman"/>
                <w:sz w:val="24"/>
                <w:szCs w:val="24"/>
              </w:rPr>
              <w:t>Air Transport (SIC51)</w:t>
            </w:r>
          </w:p>
        </w:tc>
        <w:tc>
          <w:tcPr>
            <w:tcW w:w="853"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70,000</w:t>
            </w:r>
          </w:p>
        </w:tc>
        <w:tc>
          <w:tcPr>
            <w:tcW w:w="821"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w:t>
            </w:r>
          </w:p>
        </w:tc>
        <w:tc>
          <w:tcPr>
            <w:tcW w:w="821" w:type="pct"/>
          </w:tcPr>
          <w:p w:rsidR="001936CD" w:rsidRPr="007B4357" w:rsidRDefault="009550D0" w:rsidP="001936CD">
            <w:pPr>
              <w:jc w:val="center"/>
              <w:rPr>
                <w:rFonts w:ascii="Times New Roman" w:hAnsi="Times New Roman" w:cs="Times New Roman"/>
                <w:sz w:val="24"/>
                <w:szCs w:val="24"/>
              </w:rPr>
            </w:pPr>
            <w:r>
              <w:rPr>
                <w:rFonts w:ascii="Times New Roman" w:hAnsi="Times New Roman" w:cs="Times New Roman"/>
                <w:sz w:val="24"/>
                <w:szCs w:val="24"/>
              </w:rPr>
              <w:t>£15.7</w:t>
            </w:r>
            <w:r w:rsidR="001936CD">
              <w:rPr>
                <w:rFonts w:ascii="Times New Roman" w:hAnsi="Times New Roman" w:cs="Times New Roman"/>
                <w:sz w:val="24"/>
                <w:szCs w:val="24"/>
              </w:rPr>
              <w:t>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15%</w:t>
            </w:r>
          </w:p>
        </w:tc>
        <w:tc>
          <w:tcPr>
            <w:tcW w:w="585" w:type="pct"/>
          </w:tcPr>
          <w:p w:rsidR="001936CD" w:rsidRDefault="00EB51A6" w:rsidP="001936CD">
            <w:pPr>
              <w:jc w:val="center"/>
              <w:rPr>
                <w:rFonts w:ascii="Times New Roman" w:hAnsi="Times New Roman" w:cs="Times New Roman"/>
                <w:sz w:val="24"/>
                <w:szCs w:val="24"/>
              </w:rPr>
            </w:pPr>
            <w:r>
              <w:rPr>
                <w:rFonts w:ascii="Times New Roman" w:hAnsi="Times New Roman" w:cs="Times New Roman"/>
                <w:sz w:val="24"/>
                <w:szCs w:val="24"/>
              </w:rPr>
              <w:t>36%</w:t>
            </w:r>
          </w:p>
        </w:tc>
      </w:tr>
      <w:tr w:rsidR="001936CD" w:rsidRPr="007B4357" w:rsidTr="00951815">
        <w:tc>
          <w:tcPr>
            <w:tcW w:w="1335" w:type="pct"/>
          </w:tcPr>
          <w:p w:rsidR="001936CD" w:rsidRPr="007B4357" w:rsidRDefault="00FC795B" w:rsidP="00FC795B">
            <w:pPr>
              <w:rPr>
                <w:rFonts w:ascii="Times New Roman" w:hAnsi="Times New Roman" w:cs="Times New Roman"/>
                <w:sz w:val="24"/>
                <w:szCs w:val="24"/>
              </w:rPr>
            </w:pPr>
            <w:r>
              <w:rPr>
                <w:rFonts w:ascii="Times New Roman" w:hAnsi="Times New Roman" w:cs="Times New Roman"/>
                <w:sz w:val="24"/>
                <w:szCs w:val="24"/>
              </w:rPr>
              <w:t>Building</w:t>
            </w:r>
            <w:r w:rsidR="001936CD">
              <w:rPr>
                <w:rFonts w:ascii="Times New Roman" w:hAnsi="Times New Roman" w:cs="Times New Roman"/>
                <w:sz w:val="24"/>
                <w:szCs w:val="24"/>
              </w:rPr>
              <w:t xml:space="preserve"> (SIC41)</w:t>
            </w:r>
          </w:p>
        </w:tc>
        <w:tc>
          <w:tcPr>
            <w:tcW w:w="853"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890,000</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w:t>
            </w:r>
          </w:p>
        </w:tc>
        <w:tc>
          <w:tcPr>
            <w:tcW w:w="821" w:type="pct"/>
          </w:tcPr>
          <w:p w:rsidR="001936CD" w:rsidRPr="007B4357" w:rsidRDefault="009550D0" w:rsidP="001936CD">
            <w:pPr>
              <w:jc w:val="center"/>
              <w:rPr>
                <w:rFonts w:ascii="Times New Roman" w:hAnsi="Times New Roman" w:cs="Times New Roman"/>
                <w:sz w:val="24"/>
                <w:szCs w:val="24"/>
              </w:rPr>
            </w:pPr>
            <w:r>
              <w:rPr>
                <w:rFonts w:ascii="Times New Roman" w:hAnsi="Times New Roman" w:cs="Times New Roman"/>
                <w:sz w:val="24"/>
                <w:szCs w:val="24"/>
              </w:rPr>
              <w:t>£13.8</w:t>
            </w:r>
            <w:r w:rsidR="001936CD">
              <w:rPr>
                <w:rFonts w:ascii="Times New Roman" w:hAnsi="Times New Roman" w:cs="Times New Roman"/>
                <w:sz w:val="24"/>
                <w:szCs w:val="24"/>
              </w:rPr>
              <w:t>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w:t>
            </w:r>
          </w:p>
        </w:tc>
        <w:tc>
          <w:tcPr>
            <w:tcW w:w="585" w:type="pct"/>
          </w:tcPr>
          <w:p w:rsidR="001936CD" w:rsidRDefault="00EB51A6" w:rsidP="001936CD">
            <w:pPr>
              <w:jc w:val="center"/>
              <w:rPr>
                <w:rFonts w:ascii="Times New Roman" w:hAnsi="Times New Roman" w:cs="Times New Roman"/>
                <w:sz w:val="24"/>
                <w:szCs w:val="24"/>
              </w:rPr>
            </w:pPr>
            <w:r>
              <w:rPr>
                <w:rFonts w:ascii="Times New Roman" w:hAnsi="Times New Roman" w:cs="Times New Roman"/>
                <w:sz w:val="24"/>
                <w:szCs w:val="24"/>
              </w:rPr>
              <w:t>12%</w:t>
            </w:r>
          </w:p>
        </w:tc>
      </w:tr>
      <w:tr w:rsidR="001936CD" w:rsidRPr="007B4357" w:rsidTr="00951815">
        <w:tc>
          <w:tcPr>
            <w:tcW w:w="1335" w:type="pct"/>
          </w:tcPr>
          <w:p w:rsidR="001936CD" w:rsidRPr="00E36201" w:rsidRDefault="001936CD" w:rsidP="001936CD">
            <w:pPr>
              <w:rPr>
                <w:rFonts w:ascii="Times New Roman" w:hAnsi="Times New Roman" w:cs="Times New Roman"/>
                <w:b/>
                <w:i/>
                <w:sz w:val="24"/>
                <w:szCs w:val="24"/>
              </w:rPr>
            </w:pPr>
            <w:r w:rsidRPr="00E36201">
              <w:rPr>
                <w:rFonts w:ascii="Times New Roman" w:hAnsi="Times New Roman" w:cs="Times New Roman"/>
                <w:b/>
                <w:i/>
                <w:sz w:val="24"/>
                <w:szCs w:val="24"/>
              </w:rPr>
              <w:t>Broad Sector Average</w:t>
            </w:r>
          </w:p>
        </w:tc>
        <w:tc>
          <w:tcPr>
            <w:tcW w:w="853" w:type="pct"/>
          </w:tcPr>
          <w:p w:rsidR="001936CD" w:rsidRPr="007B4357" w:rsidRDefault="001936CD" w:rsidP="001936CD">
            <w:pPr>
              <w:jc w:val="center"/>
              <w:rPr>
                <w:rFonts w:ascii="Times New Roman" w:hAnsi="Times New Roman" w:cs="Times New Roman"/>
                <w:sz w:val="24"/>
                <w:szCs w:val="24"/>
              </w:rPr>
            </w:pPr>
          </w:p>
        </w:tc>
        <w:tc>
          <w:tcPr>
            <w:tcW w:w="821" w:type="pct"/>
          </w:tcPr>
          <w:p w:rsidR="001936CD" w:rsidRPr="007B4357" w:rsidRDefault="001936CD" w:rsidP="001936CD">
            <w:pPr>
              <w:jc w:val="center"/>
              <w:rPr>
                <w:rFonts w:ascii="Times New Roman" w:hAnsi="Times New Roman" w:cs="Times New Roman"/>
                <w:sz w:val="24"/>
                <w:szCs w:val="24"/>
              </w:rPr>
            </w:pPr>
          </w:p>
        </w:tc>
        <w:tc>
          <w:tcPr>
            <w:tcW w:w="821" w:type="pct"/>
          </w:tcPr>
          <w:p w:rsidR="001936CD" w:rsidRPr="007B4357" w:rsidRDefault="001936CD" w:rsidP="001936CD">
            <w:pPr>
              <w:jc w:val="center"/>
              <w:rPr>
                <w:rFonts w:ascii="Times New Roman" w:hAnsi="Times New Roman" w:cs="Times New Roman"/>
                <w:sz w:val="24"/>
                <w:szCs w:val="24"/>
              </w:rPr>
            </w:pPr>
          </w:p>
        </w:tc>
        <w:tc>
          <w:tcPr>
            <w:tcW w:w="585" w:type="pct"/>
          </w:tcPr>
          <w:p w:rsidR="001936CD" w:rsidRPr="007B4357" w:rsidRDefault="001936CD" w:rsidP="001936CD">
            <w:pPr>
              <w:jc w:val="center"/>
              <w:rPr>
                <w:rFonts w:ascii="Times New Roman" w:hAnsi="Times New Roman" w:cs="Times New Roman"/>
                <w:sz w:val="24"/>
                <w:szCs w:val="24"/>
              </w:rPr>
            </w:pPr>
          </w:p>
        </w:tc>
        <w:tc>
          <w:tcPr>
            <w:tcW w:w="585" w:type="pct"/>
          </w:tcPr>
          <w:p w:rsidR="001936CD" w:rsidRPr="007B4357" w:rsidRDefault="001936CD" w:rsidP="001936CD">
            <w:pPr>
              <w:jc w:val="center"/>
              <w:rPr>
                <w:rFonts w:ascii="Times New Roman" w:hAnsi="Times New Roman" w:cs="Times New Roman"/>
                <w:sz w:val="24"/>
                <w:szCs w:val="24"/>
              </w:rPr>
            </w:pPr>
          </w:p>
        </w:tc>
      </w:tr>
      <w:tr w:rsidR="001936CD" w:rsidRPr="007B4357" w:rsidTr="00951815">
        <w:tc>
          <w:tcPr>
            <w:tcW w:w="1335" w:type="pct"/>
          </w:tcPr>
          <w:p w:rsidR="001936CD" w:rsidRPr="007B4357" w:rsidRDefault="001936CD" w:rsidP="001936CD">
            <w:pPr>
              <w:rPr>
                <w:rFonts w:ascii="Times New Roman" w:hAnsi="Times New Roman" w:cs="Times New Roman"/>
                <w:sz w:val="24"/>
                <w:szCs w:val="24"/>
              </w:rPr>
            </w:pPr>
            <w:r>
              <w:rPr>
                <w:rFonts w:ascii="Times New Roman" w:hAnsi="Times New Roman" w:cs="Times New Roman"/>
                <w:sz w:val="24"/>
                <w:szCs w:val="24"/>
              </w:rPr>
              <w:t>Agriculture</w:t>
            </w:r>
          </w:p>
        </w:tc>
        <w:tc>
          <w:tcPr>
            <w:tcW w:w="853"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350,000</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6%</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£8.80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8%</w:t>
            </w:r>
          </w:p>
        </w:tc>
        <w:tc>
          <w:tcPr>
            <w:tcW w:w="585" w:type="pct"/>
          </w:tcPr>
          <w:p w:rsidR="001936CD" w:rsidRDefault="003A7CAA" w:rsidP="001936CD">
            <w:pPr>
              <w:jc w:val="center"/>
              <w:rPr>
                <w:rFonts w:ascii="Times New Roman" w:hAnsi="Times New Roman" w:cs="Times New Roman"/>
                <w:sz w:val="24"/>
                <w:szCs w:val="24"/>
              </w:rPr>
            </w:pPr>
            <w:r>
              <w:rPr>
                <w:rFonts w:ascii="Times New Roman" w:hAnsi="Times New Roman" w:cs="Times New Roman"/>
                <w:sz w:val="24"/>
                <w:szCs w:val="24"/>
              </w:rPr>
              <w:t>12%</w:t>
            </w:r>
          </w:p>
        </w:tc>
      </w:tr>
      <w:tr w:rsidR="001936CD" w:rsidRPr="007B4357" w:rsidTr="00951815">
        <w:tc>
          <w:tcPr>
            <w:tcW w:w="1335" w:type="pct"/>
          </w:tcPr>
          <w:p w:rsidR="001936CD" w:rsidRDefault="001936CD" w:rsidP="001936CD">
            <w:pPr>
              <w:rPr>
                <w:rFonts w:ascii="Times New Roman" w:hAnsi="Times New Roman" w:cs="Times New Roman"/>
                <w:sz w:val="24"/>
                <w:szCs w:val="24"/>
              </w:rPr>
            </w:pPr>
            <w:r>
              <w:rPr>
                <w:rFonts w:ascii="Times New Roman" w:hAnsi="Times New Roman" w:cs="Times New Roman"/>
                <w:sz w:val="24"/>
                <w:szCs w:val="24"/>
              </w:rPr>
              <w:t>Energy</w:t>
            </w:r>
          </w:p>
        </w:tc>
        <w:tc>
          <w:tcPr>
            <w:tcW w:w="853"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590,000</w:t>
            </w:r>
          </w:p>
        </w:tc>
        <w:tc>
          <w:tcPr>
            <w:tcW w:w="821"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5%</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£14.50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12%</w:t>
            </w:r>
          </w:p>
        </w:tc>
        <w:tc>
          <w:tcPr>
            <w:tcW w:w="585" w:type="pct"/>
          </w:tcPr>
          <w:p w:rsidR="001936CD" w:rsidRDefault="003A7CAA" w:rsidP="001936CD">
            <w:pPr>
              <w:jc w:val="center"/>
              <w:rPr>
                <w:rFonts w:ascii="Times New Roman" w:hAnsi="Times New Roman" w:cs="Times New Roman"/>
                <w:sz w:val="24"/>
                <w:szCs w:val="24"/>
              </w:rPr>
            </w:pPr>
            <w:r>
              <w:rPr>
                <w:rFonts w:ascii="Times New Roman" w:hAnsi="Times New Roman" w:cs="Times New Roman"/>
                <w:sz w:val="24"/>
                <w:szCs w:val="24"/>
              </w:rPr>
              <w:t>8%</w:t>
            </w:r>
          </w:p>
        </w:tc>
      </w:tr>
      <w:tr w:rsidR="001936CD" w:rsidRPr="007B4357" w:rsidTr="00951815">
        <w:tc>
          <w:tcPr>
            <w:tcW w:w="1335" w:type="pct"/>
          </w:tcPr>
          <w:p w:rsidR="001936CD" w:rsidRDefault="001936CD" w:rsidP="001936CD">
            <w:pPr>
              <w:rPr>
                <w:rFonts w:ascii="Times New Roman" w:hAnsi="Times New Roman" w:cs="Times New Roman"/>
                <w:sz w:val="24"/>
                <w:szCs w:val="24"/>
              </w:rPr>
            </w:pPr>
            <w:r>
              <w:rPr>
                <w:rFonts w:ascii="Times New Roman" w:hAnsi="Times New Roman" w:cs="Times New Roman"/>
                <w:sz w:val="24"/>
                <w:szCs w:val="24"/>
              </w:rPr>
              <w:t>Manufacturing</w:t>
            </w:r>
          </w:p>
        </w:tc>
        <w:tc>
          <w:tcPr>
            <w:tcW w:w="853"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2,900,000</w:t>
            </w:r>
          </w:p>
        </w:tc>
        <w:tc>
          <w:tcPr>
            <w:tcW w:w="821"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11%</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£12.30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w:t>
            </w:r>
          </w:p>
        </w:tc>
        <w:tc>
          <w:tcPr>
            <w:tcW w:w="585" w:type="pct"/>
          </w:tcPr>
          <w:p w:rsidR="001936CD" w:rsidRDefault="003A7CAA" w:rsidP="001936CD">
            <w:pPr>
              <w:jc w:val="center"/>
              <w:rPr>
                <w:rFonts w:ascii="Times New Roman" w:hAnsi="Times New Roman" w:cs="Times New Roman"/>
                <w:sz w:val="24"/>
                <w:szCs w:val="24"/>
              </w:rPr>
            </w:pPr>
            <w:r>
              <w:rPr>
                <w:rFonts w:ascii="Times New Roman" w:hAnsi="Times New Roman" w:cs="Times New Roman"/>
                <w:sz w:val="24"/>
                <w:szCs w:val="24"/>
              </w:rPr>
              <w:t>16%</w:t>
            </w:r>
          </w:p>
        </w:tc>
      </w:tr>
      <w:tr w:rsidR="001936CD" w:rsidRPr="007B4357" w:rsidTr="00951815">
        <w:tc>
          <w:tcPr>
            <w:tcW w:w="1335" w:type="pct"/>
          </w:tcPr>
          <w:p w:rsidR="001936CD" w:rsidRDefault="001936CD" w:rsidP="001936CD">
            <w:pPr>
              <w:rPr>
                <w:rFonts w:ascii="Times New Roman" w:hAnsi="Times New Roman" w:cs="Times New Roman"/>
                <w:sz w:val="24"/>
                <w:szCs w:val="24"/>
              </w:rPr>
            </w:pPr>
            <w:r>
              <w:rPr>
                <w:rFonts w:ascii="Times New Roman" w:hAnsi="Times New Roman" w:cs="Times New Roman"/>
                <w:sz w:val="24"/>
                <w:szCs w:val="24"/>
              </w:rPr>
              <w:t>Construction</w:t>
            </w:r>
          </w:p>
        </w:tc>
        <w:tc>
          <w:tcPr>
            <w:tcW w:w="853"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2,900,000</w:t>
            </w:r>
          </w:p>
        </w:tc>
        <w:tc>
          <w:tcPr>
            <w:tcW w:w="821"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9%</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£13.00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12%</w:t>
            </w:r>
          </w:p>
        </w:tc>
        <w:tc>
          <w:tcPr>
            <w:tcW w:w="585" w:type="pct"/>
          </w:tcPr>
          <w:p w:rsidR="001936CD" w:rsidRDefault="003A7CAA" w:rsidP="001936CD">
            <w:pPr>
              <w:jc w:val="center"/>
              <w:rPr>
                <w:rFonts w:ascii="Times New Roman" w:hAnsi="Times New Roman" w:cs="Times New Roman"/>
                <w:sz w:val="24"/>
                <w:szCs w:val="24"/>
              </w:rPr>
            </w:pPr>
            <w:r>
              <w:rPr>
                <w:rFonts w:ascii="Times New Roman" w:hAnsi="Times New Roman" w:cs="Times New Roman"/>
                <w:sz w:val="24"/>
                <w:szCs w:val="24"/>
              </w:rPr>
              <w:t>8%</w:t>
            </w:r>
          </w:p>
        </w:tc>
      </w:tr>
      <w:tr w:rsidR="001936CD" w:rsidRPr="007B4357" w:rsidTr="00951815">
        <w:tc>
          <w:tcPr>
            <w:tcW w:w="1335" w:type="pct"/>
          </w:tcPr>
          <w:p w:rsidR="001936CD" w:rsidRDefault="001936CD" w:rsidP="001936CD">
            <w:pPr>
              <w:rPr>
                <w:rFonts w:ascii="Times New Roman" w:hAnsi="Times New Roman" w:cs="Times New Roman"/>
                <w:sz w:val="24"/>
                <w:szCs w:val="24"/>
              </w:rPr>
            </w:pPr>
            <w:r>
              <w:rPr>
                <w:rFonts w:ascii="Times New Roman" w:hAnsi="Times New Roman" w:cs="Times New Roman"/>
                <w:sz w:val="24"/>
                <w:szCs w:val="24"/>
              </w:rPr>
              <w:t>Retail &amp; Accomod.</w:t>
            </w:r>
          </w:p>
        </w:tc>
        <w:tc>
          <w:tcPr>
            <w:tcW w:w="853"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6,000,000</w:t>
            </w:r>
          </w:p>
        </w:tc>
        <w:tc>
          <w:tcPr>
            <w:tcW w:w="821"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9%</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£8.30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23%</w:t>
            </w:r>
          </w:p>
        </w:tc>
        <w:tc>
          <w:tcPr>
            <w:tcW w:w="585" w:type="pct"/>
          </w:tcPr>
          <w:p w:rsidR="001936CD" w:rsidRDefault="003A7CAA" w:rsidP="001936CD">
            <w:pPr>
              <w:jc w:val="center"/>
              <w:rPr>
                <w:rFonts w:ascii="Times New Roman" w:hAnsi="Times New Roman" w:cs="Times New Roman"/>
                <w:sz w:val="24"/>
                <w:szCs w:val="24"/>
              </w:rPr>
            </w:pPr>
            <w:r>
              <w:rPr>
                <w:rFonts w:ascii="Times New Roman" w:hAnsi="Times New Roman" w:cs="Times New Roman"/>
                <w:sz w:val="24"/>
                <w:szCs w:val="24"/>
              </w:rPr>
              <w:t>11%</w:t>
            </w:r>
          </w:p>
        </w:tc>
      </w:tr>
      <w:tr w:rsidR="001936CD" w:rsidRPr="007B4357" w:rsidTr="00951815">
        <w:tc>
          <w:tcPr>
            <w:tcW w:w="1335" w:type="pct"/>
          </w:tcPr>
          <w:p w:rsidR="001936CD" w:rsidRDefault="001936CD" w:rsidP="001936CD">
            <w:pPr>
              <w:rPr>
                <w:rFonts w:ascii="Times New Roman" w:hAnsi="Times New Roman" w:cs="Times New Roman"/>
                <w:sz w:val="24"/>
                <w:szCs w:val="24"/>
              </w:rPr>
            </w:pPr>
            <w:r>
              <w:rPr>
                <w:rFonts w:ascii="Times New Roman" w:hAnsi="Times New Roman" w:cs="Times New Roman"/>
                <w:sz w:val="24"/>
                <w:szCs w:val="24"/>
              </w:rPr>
              <w:t>Transport</w:t>
            </w:r>
          </w:p>
        </w:tc>
        <w:tc>
          <w:tcPr>
            <w:tcW w:w="853"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2,900,000</w:t>
            </w:r>
          </w:p>
        </w:tc>
        <w:tc>
          <w:tcPr>
            <w:tcW w:w="821"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9%</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£13.50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15%</w:t>
            </w:r>
          </w:p>
        </w:tc>
        <w:tc>
          <w:tcPr>
            <w:tcW w:w="585" w:type="pct"/>
          </w:tcPr>
          <w:p w:rsidR="001936CD" w:rsidRDefault="003A7CAA" w:rsidP="001936CD">
            <w:pPr>
              <w:jc w:val="center"/>
              <w:rPr>
                <w:rFonts w:ascii="Times New Roman" w:hAnsi="Times New Roman" w:cs="Times New Roman"/>
                <w:sz w:val="24"/>
                <w:szCs w:val="24"/>
              </w:rPr>
            </w:pPr>
            <w:r>
              <w:rPr>
                <w:rFonts w:ascii="Times New Roman" w:hAnsi="Times New Roman" w:cs="Times New Roman"/>
                <w:sz w:val="24"/>
                <w:szCs w:val="24"/>
              </w:rPr>
              <w:t>14%</w:t>
            </w:r>
          </w:p>
        </w:tc>
      </w:tr>
      <w:tr w:rsidR="001936CD" w:rsidRPr="007B4357" w:rsidTr="00951815">
        <w:tc>
          <w:tcPr>
            <w:tcW w:w="1335" w:type="pct"/>
          </w:tcPr>
          <w:p w:rsidR="001936CD" w:rsidRDefault="001936CD" w:rsidP="001936CD">
            <w:pPr>
              <w:rPr>
                <w:rFonts w:ascii="Times New Roman" w:hAnsi="Times New Roman" w:cs="Times New Roman"/>
                <w:sz w:val="24"/>
                <w:szCs w:val="24"/>
              </w:rPr>
            </w:pPr>
            <w:r>
              <w:rPr>
                <w:rFonts w:ascii="Times New Roman" w:hAnsi="Times New Roman" w:cs="Times New Roman"/>
                <w:sz w:val="24"/>
                <w:szCs w:val="24"/>
              </w:rPr>
              <w:t>Finance</w:t>
            </w:r>
          </w:p>
        </w:tc>
        <w:tc>
          <w:tcPr>
            <w:tcW w:w="853"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5,600,000</w:t>
            </w:r>
          </w:p>
        </w:tc>
        <w:tc>
          <w:tcPr>
            <w:tcW w:w="821"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7%</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£13.70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16%</w:t>
            </w:r>
          </w:p>
        </w:tc>
        <w:tc>
          <w:tcPr>
            <w:tcW w:w="585" w:type="pct"/>
          </w:tcPr>
          <w:p w:rsidR="001936CD" w:rsidRDefault="003A7CAA" w:rsidP="001936CD">
            <w:pPr>
              <w:jc w:val="center"/>
              <w:rPr>
                <w:rFonts w:ascii="Times New Roman" w:hAnsi="Times New Roman" w:cs="Times New Roman"/>
                <w:sz w:val="24"/>
                <w:szCs w:val="24"/>
              </w:rPr>
            </w:pPr>
            <w:r>
              <w:rPr>
                <w:rFonts w:ascii="Times New Roman" w:hAnsi="Times New Roman" w:cs="Times New Roman"/>
                <w:sz w:val="24"/>
                <w:szCs w:val="24"/>
              </w:rPr>
              <w:t>10%</w:t>
            </w:r>
          </w:p>
        </w:tc>
      </w:tr>
      <w:tr w:rsidR="001936CD" w:rsidRPr="007B4357" w:rsidTr="00951815">
        <w:tc>
          <w:tcPr>
            <w:tcW w:w="1335" w:type="pct"/>
          </w:tcPr>
          <w:p w:rsidR="001936CD" w:rsidRDefault="001936CD" w:rsidP="001936CD">
            <w:pPr>
              <w:rPr>
                <w:rFonts w:ascii="Times New Roman" w:hAnsi="Times New Roman" w:cs="Times New Roman"/>
                <w:sz w:val="24"/>
                <w:szCs w:val="24"/>
              </w:rPr>
            </w:pPr>
            <w:r>
              <w:rPr>
                <w:rFonts w:ascii="Times New Roman" w:hAnsi="Times New Roman" w:cs="Times New Roman"/>
                <w:sz w:val="24"/>
                <w:szCs w:val="24"/>
              </w:rPr>
              <w:t>Public Admin.</w:t>
            </w:r>
          </w:p>
        </w:tc>
        <w:tc>
          <w:tcPr>
            <w:tcW w:w="853"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9,600,000</w:t>
            </w:r>
          </w:p>
        </w:tc>
        <w:tc>
          <w:tcPr>
            <w:tcW w:w="821" w:type="pct"/>
          </w:tcPr>
          <w:p w:rsidR="001936CD" w:rsidRDefault="001936CD" w:rsidP="001936CD">
            <w:pPr>
              <w:jc w:val="center"/>
              <w:rPr>
                <w:rFonts w:ascii="Times New Roman" w:hAnsi="Times New Roman" w:cs="Times New Roman"/>
                <w:sz w:val="24"/>
                <w:szCs w:val="24"/>
              </w:rPr>
            </w:pPr>
            <w:r>
              <w:rPr>
                <w:rFonts w:ascii="Times New Roman" w:hAnsi="Times New Roman" w:cs="Times New Roman"/>
                <w:sz w:val="24"/>
                <w:szCs w:val="24"/>
              </w:rPr>
              <w:t>5%</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£12.50</w:t>
            </w:r>
          </w:p>
        </w:tc>
        <w:tc>
          <w:tcPr>
            <w:tcW w:w="585"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13%</w:t>
            </w:r>
          </w:p>
        </w:tc>
        <w:tc>
          <w:tcPr>
            <w:tcW w:w="585" w:type="pct"/>
          </w:tcPr>
          <w:p w:rsidR="001936CD" w:rsidRDefault="003A7CAA" w:rsidP="001936CD">
            <w:pPr>
              <w:jc w:val="center"/>
              <w:rPr>
                <w:rFonts w:ascii="Times New Roman" w:hAnsi="Times New Roman" w:cs="Times New Roman"/>
                <w:sz w:val="24"/>
                <w:szCs w:val="24"/>
              </w:rPr>
            </w:pPr>
            <w:r>
              <w:rPr>
                <w:rFonts w:ascii="Times New Roman" w:hAnsi="Times New Roman" w:cs="Times New Roman"/>
                <w:sz w:val="24"/>
                <w:szCs w:val="24"/>
              </w:rPr>
              <w:t>7%</w:t>
            </w:r>
          </w:p>
        </w:tc>
      </w:tr>
      <w:tr w:rsidR="001936CD" w:rsidRPr="007B4357" w:rsidTr="00951815">
        <w:tc>
          <w:tcPr>
            <w:tcW w:w="1335" w:type="pct"/>
          </w:tcPr>
          <w:p w:rsidR="001936CD" w:rsidRPr="00E36201" w:rsidRDefault="001936CD" w:rsidP="001936CD">
            <w:pPr>
              <w:rPr>
                <w:rFonts w:ascii="Times New Roman" w:hAnsi="Times New Roman" w:cs="Times New Roman"/>
                <w:b/>
                <w:i/>
                <w:sz w:val="24"/>
                <w:szCs w:val="24"/>
              </w:rPr>
            </w:pPr>
            <w:r w:rsidRPr="00E36201">
              <w:rPr>
                <w:rFonts w:ascii="Times New Roman" w:hAnsi="Times New Roman" w:cs="Times New Roman"/>
                <w:b/>
                <w:i/>
                <w:sz w:val="24"/>
                <w:szCs w:val="24"/>
              </w:rPr>
              <w:t xml:space="preserve">UK </w:t>
            </w:r>
          </w:p>
        </w:tc>
        <w:tc>
          <w:tcPr>
            <w:tcW w:w="853"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32,1</w:t>
            </w:r>
            <w:r w:rsidRPr="007B4357">
              <w:rPr>
                <w:rFonts w:ascii="Times New Roman" w:hAnsi="Times New Roman" w:cs="Times New Roman"/>
                <w:sz w:val="24"/>
                <w:szCs w:val="24"/>
              </w:rPr>
              <w:t>00,000</w:t>
            </w:r>
          </w:p>
        </w:tc>
        <w:tc>
          <w:tcPr>
            <w:tcW w:w="821" w:type="pct"/>
          </w:tcPr>
          <w:p w:rsidR="001936CD" w:rsidRPr="007B4357" w:rsidRDefault="001936CD" w:rsidP="001936CD">
            <w:pPr>
              <w:jc w:val="center"/>
              <w:rPr>
                <w:rFonts w:ascii="Times New Roman" w:hAnsi="Times New Roman" w:cs="Times New Roman"/>
                <w:sz w:val="24"/>
                <w:szCs w:val="24"/>
              </w:rPr>
            </w:pPr>
            <w:r>
              <w:rPr>
                <w:rFonts w:ascii="Times New Roman" w:hAnsi="Times New Roman" w:cs="Times New Roman"/>
                <w:sz w:val="24"/>
                <w:szCs w:val="24"/>
              </w:rPr>
              <w:t>7.4</w:t>
            </w:r>
            <w:r w:rsidRPr="007B4357">
              <w:rPr>
                <w:rFonts w:ascii="Times New Roman" w:hAnsi="Times New Roman" w:cs="Times New Roman"/>
                <w:sz w:val="24"/>
                <w:szCs w:val="24"/>
              </w:rPr>
              <w:t>%</w:t>
            </w:r>
          </w:p>
        </w:tc>
        <w:tc>
          <w:tcPr>
            <w:tcW w:w="821" w:type="pct"/>
          </w:tcPr>
          <w:p w:rsidR="001936CD" w:rsidRPr="007B4357" w:rsidRDefault="001936CD" w:rsidP="001936CD">
            <w:pPr>
              <w:jc w:val="center"/>
              <w:rPr>
                <w:rFonts w:ascii="Times New Roman" w:hAnsi="Times New Roman" w:cs="Times New Roman"/>
                <w:sz w:val="24"/>
                <w:szCs w:val="24"/>
              </w:rPr>
            </w:pPr>
            <w:r w:rsidRPr="007B4357">
              <w:rPr>
                <w:rFonts w:ascii="Times New Roman" w:hAnsi="Times New Roman" w:cs="Times New Roman"/>
                <w:sz w:val="24"/>
                <w:szCs w:val="24"/>
              </w:rPr>
              <w:t>£1</w:t>
            </w:r>
            <w:r>
              <w:rPr>
                <w:rFonts w:ascii="Times New Roman" w:hAnsi="Times New Roman" w:cs="Times New Roman"/>
                <w:sz w:val="24"/>
                <w:szCs w:val="24"/>
              </w:rPr>
              <w:t>1.5</w:t>
            </w:r>
            <w:r w:rsidRPr="007B4357">
              <w:rPr>
                <w:rFonts w:ascii="Times New Roman" w:hAnsi="Times New Roman" w:cs="Times New Roman"/>
                <w:sz w:val="24"/>
                <w:szCs w:val="24"/>
              </w:rPr>
              <w:t>0</w:t>
            </w:r>
          </w:p>
        </w:tc>
        <w:tc>
          <w:tcPr>
            <w:tcW w:w="585" w:type="pct"/>
          </w:tcPr>
          <w:p w:rsidR="001936CD" w:rsidRPr="007B4357" w:rsidRDefault="001936CD" w:rsidP="001936CD">
            <w:pPr>
              <w:jc w:val="center"/>
              <w:rPr>
                <w:rFonts w:ascii="Times New Roman" w:hAnsi="Times New Roman" w:cs="Times New Roman"/>
                <w:sz w:val="24"/>
                <w:szCs w:val="24"/>
              </w:rPr>
            </w:pPr>
            <w:r w:rsidRPr="007B4357">
              <w:rPr>
                <w:rFonts w:ascii="Times New Roman" w:hAnsi="Times New Roman" w:cs="Times New Roman"/>
                <w:sz w:val="24"/>
                <w:szCs w:val="24"/>
              </w:rPr>
              <w:t>16%</w:t>
            </w:r>
          </w:p>
        </w:tc>
        <w:tc>
          <w:tcPr>
            <w:tcW w:w="585" w:type="pct"/>
          </w:tcPr>
          <w:p w:rsidR="001936CD" w:rsidRPr="007B4357" w:rsidRDefault="003A7CAA" w:rsidP="001936CD">
            <w:pPr>
              <w:jc w:val="center"/>
              <w:rPr>
                <w:rFonts w:ascii="Times New Roman" w:hAnsi="Times New Roman" w:cs="Times New Roman"/>
                <w:sz w:val="24"/>
                <w:szCs w:val="24"/>
              </w:rPr>
            </w:pPr>
            <w:r>
              <w:rPr>
                <w:rFonts w:ascii="Times New Roman" w:hAnsi="Times New Roman" w:cs="Times New Roman"/>
                <w:sz w:val="24"/>
                <w:szCs w:val="24"/>
              </w:rPr>
              <w:t>10%</w:t>
            </w:r>
          </w:p>
        </w:tc>
      </w:tr>
    </w:tbl>
    <w:p w:rsidR="007B4357" w:rsidRPr="009104A4" w:rsidRDefault="007B4357" w:rsidP="007B4357">
      <w:pPr>
        <w:pStyle w:val="CM10"/>
        <w:spacing w:after="0"/>
        <w:rPr>
          <w:sz w:val="20"/>
        </w:rPr>
      </w:pPr>
      <w:r w:rsidRPr="009104A4">
        <w:rPr>
          <w:i/>
          <w:sz w:val="20"/>
        </w:rPr>
        <w:t>Source</w:t>
      </w:r>
      <w:r w:rsidRPr="009104A4">
        <w:rPr>
          <w:sz w:val="20"/>
        </w:rPr>
        <w:t>: LFS</w:t>
      </w:r>
      <w:r w:rsidR="002067FB">
        <w:rPr>
          <w:sz w:val="20"/>
        </w:rPr>
        <w:t xml:space="preserve"> four-quarter average ending 2018q1</w:t>
      </w:r>
      <w:r>
        <w:rPr>
          <w:sz w:val="20"/>
        </w:rPr>
        <w:t>. Note 1. Hiring rate is</w:t>
      </w:r>
      <w:r w:rsidR="00BE3FA9">
        <w:rPr>
          <w:sz w:val="20"/>
        </w:rPr>
        <w:t xml:space="preserve"> approximated by the percentage </w:t>
      </w:r>
      <w:r>
        <w:rPr>
          <w:sz w:val="20"/>
        </w:rPr>
        <w:t xml:space="preserve">of </w:t>
      </w:r>
      <w:r w:rsidR="00BE3FA9">
        <w:rPr>
          <w:sz w:val="20"/>
        </w:rPr>
        <w:t xml:space="preserve">the </w:t>
      </w:r>
      <w:r>
        <w:rPr>
          <w:sz w:val="20"/>
        </w:rPr>
        <w:t>workforce in employment for less than 1 year. Average wage is median hourly wag</w:t>
      </w:r>
      <w:r w:rsidR="007A38AD">
        <w:rPr>
          <w:sz w:val="20"/>
        </w:rPr>
        <w:t>e</w:t>
      </w:r>
      <w:r>
        <w:rPr>
          <w:sz w:val="20"/>
        </w:rPr>
        <w:t>.</w:t>
      </w:r>
    </w:p>
    <w:p w:rsidR="00802D91" w:rsidRDefault="00802D91" w:rsidP="00C840D2">
      <w:pPr>
        <w:rPr>
          <w:rFonts w:ascii="Times New Roman" w:hAnsi="Times New Roman" w:cs="Times New Roman"/>
          <w:b/>
          <w:sz w:val="24"/>
          <w:szCs w:val="24"/>
        </w:rPr>
      </w:pPr>
    </w:p>
    <w:p w:rsidR="009A35FD" w:rsidRDefault="00B826FA" w:rsidP="00B826FA">
      <w:pPr>
        <w:spacing w:after="0" w:line="480" w:lineRule="auto"/>
        <w:jc w:val="both"/>
        <w:rPr>
          <w:rFonts w:ascii="Times New Roman" w:hAnsi="Times New Roman" w:cs="Times New Roman"/>
          <w:sz w:val="24"/>
          <w:szCs w:val="24"/>
        </w:rPr>
      </w:pPr>
      <w:r w:rsidRPr="00B826FA">
        <w:rPr>
          <w:rFonts w:ascii="Times New Roman" w:hAnsi="Times New Roman" w:cs="Times New Roman"/>
          <w:sz w:val="24"/>
          <w:szCs w:val="24"/>
        </w:rPr>
        <w:t>Table 3</w:t>
      </w:r>
      <w:r>
        <w:rPr>
          <w:rFonts w:ascii="Times New Roman" w:hAnsi="Times New Roman" w:cs="Times New Roman"/>
          <w:sz w:val="24"/>
          <w:szCs w:val="24"/>
        </w:rPr>
        <w:t xml:space="preserve"> focuses on the occupations with the largest workforce shares of EU migrants. Many of these occupations are less skilled manual occupations, consistent with the industrial distribution of migrants shown in Table 2. Again there are exceptions. EU migrants comprise a much higher than average share of the </w:t>
      </w:r>
      <w:r w:rsidR="00256FBB">
        <w:rPr>
          <w:rFonts w:ascii="Times New Roman" w:hAnsi="Times New Roman" w:cs="Times New Roman"/>
          <w:sz w:val="24"/>
          <w:szCs w:val="24"/>
        </w:rPr>
        <w:t>s</w:t>
      </w:r>
      <w:r>
        <w:rPr>
          <w:rFonts w:ascii="Times New Roman" w:hAnsi="Times New Roman" w:cs="Times New Roman"/>
          <w:sz w:val="24"/>
          <w:szCs w:val="24"/>
        </w:rPr>
        <w:t>cientific research and</w:t>
      </w:r>
      <w:r w:rsidR="00256FBB">
        <w:rPr>
          <w:rFonts w:ascii="Times New Roman" w:hAnsi="Times New Roman" w:cs="Times New Roman"/>
          <w:sz w:val="24"/>
          <w:szCs w:val="24"/>
        </w:rPr>
        <w:t xml:space="preserve"> higher education professionals</w:t>
      </w:r>
      <w:r>
        <w:rPr>
          <w:rFonts w:ascii="Times New Roman" w:hAnsi="Times New Roman" w:cs="Times New Roman"/>
          <w:sz w:val="24"/>
          <w:szCs w:val="24"/>
        </w:rPr>
        <w:t xml:space="preserve">. </w:t>
      </w:r>
      <w:r w:rsidR="009A35FD">
        <w:rPr>
          <w:rFonts w:ascii="Times New Roman" w:hAnsi="Times New Roman" w:cs="Times New Roman"/>
          <w:sz w:val="24"/>
          <w:szCs w:val="24"/>
        </w:rPr>
        <w:t xml:space="preserve"> Again the reliance of EU workers in hiring in </w:t>
      </w:r>
      <w:r w:rsidR="002F791E">
        <w:rPr>
          <w:rFonts w:ascii="Times New Roman" w:hAnsi="Times New Roman" w:cs="Times New Roman"/>
          <w:sz w:val="24"/>
          <w:szCs w:val="24"/>
        </w:rPr>
        <w:t xml:space="preserve">many of these </w:t>
      </w:r>
      <w:r w:rsidR="009A35FD">
        <w:rPr>
          <w:rFonts w:ascii="Times New Roman" w:hAnsi="Times New Roman" w:cs="Times New Roman"/>
          <w:sz w:val="24"/>
          <w:szCs w:val="24"/>
        </w:rPr>
        <w:t xml:space="preserve">occupations (which </w:t>
      </w:r>
      <w:r w:rsidR="002F791E">
        <w:rPr>
          <w:rFonts w:ascii="Times New Roman" w:hAnsi="Times New Roman" w:cs="Times New Roman"/>
          <w:sz w:val="24"/>
          <w:szCs w:val="24"/>
        </w:rPr>
        <w:t xml:space="preserve">together </w:t>
      </w:r>
      <w:r w:rsidR="009A35FD">
        <w:rPr>
          <w:rFonts w:ascii="Times New Roman" w:hAnsi="Times New Roman" w:cs="Times New Roman"/>
          <w:sz w:val="24"/>
          <w:szCs w:val="24"/>
        </w:rPr>
        <w:t>account for around 5% of the total workforce) is apparent.</w:t>
      </w:r>
      <w:r w:rsidR="007B1A17">
        <w:rPr>
          <w:rStyle w:val="FootnoteReference"/>
          <w:rFonts w:ascii="Times New Roman" w:hAnsi="Times New Roman" w:cs="Times New Roman"/>
          <w:sz w:val="24"/>
          <w:szCs w:val="24"/>
        </w:rPr>
        <w:footnoteReference w:id="14"/>
      </w:r>
    </w:p>
    <w:p w:rsidR="007B1A17" w:rsidRDefault="007B1A17" w:rsidP="00B826FA">
      <w:pPr>
        <w:spacing w:after="0" w:line="480" w:lineRule="auto"/>
        <w:jc w:val="both"/>
        <w:rPr>
          <w:rFonts w:ascii="Times New Roman" w:hAnsi="Times New Roman" w:cs="Times New Roman"/>
          <w:sz w:val="24"/>
          <w:szCs w:val="24"/>
        </w:rPr>
      </w:pPr>
    </w:p>
    <w:p w:rsidR="00B826FA" w:rsidRPr="00B826FA" w:rsidRDefault="00B826FA" w:rsidP="00B826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feature of EU migration apparent from Table 3 is that in many of the less skilled occupations </w:t>
      </w:r>
      <w:r w:rsidR="009A35FD">
        <w:rPr>
          <w:rFonts w:ascii="Times New Roman" w:hAnsi="Times New Roman" w:cs="Times New Roman"/>
          <w:sz w:val="24"/>
          <w:szCs w:val="24"/>
        </w:rPr>
        <w:t xml:space="preserve">highlighted in Table 3 </w:t>
      </w:r>
      <w:r>
        <w:rPr>
          <w:rFonts w:ascii="Times New Roman" w:hAnsi="Times New Roman" w:cs="Times New Roman"/>
          <w:sz w:val="24"/>
          <w:szCs w:val="24"/>
        </w:rPr>
        <w:t xml:space="preserve">there are many </w:t>
      </w:r>
      <w:r w:rsidR="00F21A54">
        <w:rPr>
          <w:rFonts w:ascii="Times New Roman" w:hAnsi="Times New Roman" w:cs="Times New Roman"/>
          <w:sz w:val="24"/>
          <w:szCs w:val="24"/>
        </w:rPr>
        <w:t>m</w:t>
      </w:r>
      <w:r>
        <w:rPr>
          <w:rFonts w:ascii="Times New Roman" w:hAnsi="Times New Roman" w:cs="Times New Roman"/>
          <w:sz w:val="24"/>
          <w:szCs w:val="24"/>
        </w:rPr>
        <w:t xml:space="preserve">ore EU graduates than might be expected from the UK graduate share in the same occupations. </w:t>
      </w:r>
      <w:r w:rsidR="00DA7696">
        <w:rPr>
          <w:rFonts w:ascii="Times New Roman" w:hAnsi="Times New Roman" w:cs="Times New Roman"/>
          <w:sz w:val="24"/>
          <w:szCs w:val="24"/>
        </w:rPr>
        <w:t xml:space="preserve">This </w:t>
      </w:r>
      <w:r>
        <w:rPr>
          <w:rFonts w:ascii="Times New Roman" w:hAnsi="Times New Roman" w:cs="Times New Roman"/>
          <w:sz w:val="24"/>
          <w:szCs w:val="24"/>
        </w:rPr>
        <w:t xml:space="preserve">“occupational downgrading” </w:t>
      </w:r>
      <w:r w:rsidR="00DA7696">
        <w:rPr>
          <w:rFonts w:ascii="Times New Roman" w:hAnsi="Times New Roman" w:cs="Times New Roman"/>
          <w:sz w:val="24"/>
          <w:szCs w:val="24"/>
        </w:rPr>
        <w:t xml:space="preserve">may reflect job shopping </w:t>
      </w:r>
      <w:r>
        <w:rPr>
          <w:rFonts w:ascii="Times New Roman" w:hAnsi="Times New Roman" w:cs="Times New Roman"/>
          <w:sz w:val="24"/>
          <w:szCs w:val="24"/>
        </w:rPr>
        <w:t>among migrants not subject to work permit restrictions</w:t>
      </w:r>
      <w:r w:rsidR="00EA6384">
        <w:rPr>
          <w:rFonts w:ascii="Times New Roman" w:hAnsi="Times New Roman" w:cs="Times New Roman"/>
          <w:sz w:val="24"/>
          <w:szCs w:val="24"/>
        </w:rPr>
        <w:t>. Some migrants may be in</w:t>
      </w:r>
      <w:r w:rsidR="00DA7696">
        <w:rPr>
          <w:rFonts w:ascii="Times New Roman" w:hAnsi="Times New Roman" w:cs="Times New Roman"/>
          <w:sz w:val="24"/>
          <w:szCs w:val="24"/>
        </w:rPr>
        <w:t xml:space="preserve"> what they regard as temporary jobs</w:t>
      </w:r>
      <w:r w:rsidR="00EA6384">
        <w:rPr>
          <w:rFonts w:ascii="Times New Roman" w:hAnsi="Times New Roman" w:cs="Times New Roman"/>
          <w:sz w:val="24"/>
          <w:szCs w:val="24"/>
        </w:rPr>
        <w:t>,</w:t>
      </w:r>
      <w:r w:rsidR="00DA7696">
        <w:rPr>
          <w:rFonts w:ascii="Times New Roman" w:hAnsi="Times New Roman" w:cs="Times New Roman"/>
          <w:sz w:val="24"/>
          <w:szCs w:val="24"/>
        </w:rPr>
        <w:t xml:space="preserve"> while </w:t>
      </w:r>
      <w:r w:rsidR="001C0D9F">
        <w:rPr>
          <w:rFonts w:ascii="Times New Roman" w:hAnsi="Times New Roman" w:cs="Times New Roman"/>
          <w:sz w:val="24"/>
          <w:szCs w:val="24"/>
        </w:rPr>
        <w:t xml:space="preserve">learning the language and </w:t>
      </w:r>
      <w:r w:rsidR="00DA7696">
        <w:rPr>
          <w:rFonts w:ascii="Times New Roman" w:hAnsi="Times New Roman" w:cs="Times New Roman"/>
          <w:sz w:val="24"/>
          <w:szCs w:val="24"/>
        </w:rPr>
        <w:t>assimilating</w:t>
      </w:r>
      <w:r w:rsidR="00EA6384">
        <w:rPr>
          <w:rFonts w:ascii="Times New Roman" w:hAnsi="Times New Roman" w:cs="Times New Roman"/>
          <w:sz w:val="24"/>
          <w:szCs w:val="24"/>
        </w:rPr>
        <w:t xml:space="preserve"> with UK institutions </w:t>
      </w:r>
      <w:r w:rsidR="009A35FD">
        <w:rPr>
          <w:rFonts w:ascii="Times New Roman" w:hAnsi="Times New Roman" w:cs="Times New Roman"/>
          <w:sz w:val="24"/>
          <w:szCs w:val="24"/>
        </w:rPr>
        <w:t>or</w:t>
      </w:r>
      <w:r w:rsidR="00EA6384">
        <w:rPr>
          <w:rFonts w:ascii="Times New Roman" w:hAnsi="Times New Roman" w:cs="Times New Roman"/>
          <w:sz w:val="24"/>
          <w:szCs w:val="24"/>
        </w:rPr>
        <w:t xml:space="preserve"> while engaging</w:t>
      </w:r>
      <w:r w:rsidR="00DA7696">
        <w:rPr>
          <w:rFonts w:ascii="Times New Roman" w:hAnsi="Times New Roman" w:cs="Times New Roman"/>
          <w:sz w:val="24"/>
          <w:szCs w:val="24"/>
        </w:rPr>
        <w:t xml:space="preserve"> in more extensive job matching</w:t>
      </w:r>
      <w:r w:rsidR="00EA6384">
        <w:rPr>
          <w:rFonts w:ascii="Times New Roman" w:hAnsi="Times New Roman" w:cs="Times New Roman"/>
          <w:sz w:val="24"/>
          <w:szCs w:val="24"/>
        </w:rPr>
        <w:t>.</w:t>
      </w:r>
      <w:r w:rsidR="00EA6384">
        <w:rPr>
          <w:rStyle w:val="FootnoteReference"/>
          <w:rFonts w:ascii="Times New Roman" w:hAnsi="Times New Roman" w:cs="Times New Roman"/>
          <w:sz w:val="24"/>
          <w:szCs w:val="24"/>
        </w:rPr>
        <w:footnoteReference w:id="15"/>
      </w:r>
      <w:r w:rsidR="00EA6384">
        <w:rPr>
          <w:rFonts w:ascii="Times New Roman" w:hAnsi="Times New Roman" w:cs="Times New Roman"/>
          <w:sz w:val="24"/>
          <w:szCs w:val="24"/>
        </w:rPr>
        <w:t xml:space="preserve"> </w:t>
      </w:r>
      <w:r w:rsidR="00732026">
        <w:rPr>
          <w:rFonts w:ascii="Times New Roman" w:hAnsi="Times New Roman" w:cs="Times New Roman"/>
          <w:sz w:val="24"/>
          <w:szCs w:val="24"/>
        </w:rPr>
        <w:t>Dustmann, Frattini and Preston (2013) suggest that</w:t>
      </w:r>
      <w:r w:rsidR="00256FBB">
        <w:rPr>
          <w:rFonts w:ascii="Times New Roman" w:hAnsi="Times New Roman" w:cs="Times New Roman"/>
          <w:sz w:val="24"/>
          <w:szCs w:val="24"/>
        </w:rPr>
        <w:t xml:space="preserve"> this may help explain why they find evidence of </w:t>
      </w:r>
      <w:r w:rsidR="00732026">
        <w:rPr>
          <w:rFonts w:ascii="Times New Roman" w:hAnsi="Times New Roman" w:cs="Times New Roman"/>
          <w:sz w:val="24"/>
          <w:szCs w:val="24"/>
        </w:rPr>
        <w:t xml:space="preserve">more downward pressure on wages toward the bottom of the pay distribution. </w:t>
      </w:r>
      <w:r w:rsidR="00347DF9">
        <w:rPr>
          <w:rFonts w:ascii="Times New Roman" w:hAnsi="Times New Roman" w:cs="Times New Roman"/>
          <w:sz w:val="24"/>
          <w:szCs w:val="24"/>
        </w:rPr>
        <w:t>Certainly a greater relative supply of workers</w:t>
      </w:r>
      <w:r w:rsidR="00447014">
        <w:rPr>
          <w:rFonts w:ascii="Times New Roman" w:hAnsi="Times New Roman" w:cs="Times New Roman"/>
          <w:sz w:val="24"/>
          <w:szCs w:val="24"/>
        </w:rPr>
        <w:t xml:space="preserve"> in low wage work</w:t>
      </w:r>
      <w:r w:rsidR="00347DF9">
        <w:rPr>
          <w:rFonts w:ascii="Times New Roman" w:hAnsi="Times New Roman" w:cs="Times New Roman"/>
          <w:sz w:val="24"/>
          <w:szCs w:val="24"/>
        </w:rPr>
        <w:t xml:space="preserve"> and a willingness to accept lower wage among EU-graduates is consistent with this observation.</w:t>
      </w:r>
      <w:r w:rsidR="00447014" w:rsidRPr="00447014">
        <w:rPr>
          <w:rStyle w:val="FootnoteReference"/>
          <w:rFonts w:ascii="Times New Roman" w:hAnsi="Times New Roman" w:cs="Times New Roman"/>
          <w:sz w:val="24"/>
          <w:szCs w:val="24"/>
        </w:rPr>
        <w:t xml:space="preserve"> </w:t>
      </w:r>
      <w:r w:rsidR="00447014">
        <w:rPr>
          <w:rStyle w:val="FootnoteReference"/>
          <w:rFonts w:ascii="Times New Roman" w:hAnsi="Times New Roman" w:cs="Times New Roman"/>
          <w:sz w:val="24"/>
          <w:szCs w:val="24"/>
        </w:rPr>
        <w:footnoteReference w:id="16"/>
      </w:r>
      <w:r w:rsidR="00447014">
        <w:rPr>
          <w:rFonts w:ascii="Times New Roman" w:hAnsi="Times New Roman" w:cs="Times New Roman"/>
          <w:sz w:val="24"/>
          <w:szCs w:val="24"/>
        </w:rPr>
        <w:t xml:space="preserve">  </w:t>
      </w:r>
      <w:r w:rsidR="00347DF9">
        <w:rPr>
          <w:rFonts w:ascii="Times New Roman" w:hAnsi="Times New Roman" w:cs="Times New Roman"/>
          <w:sz w:val="24"/>
          <w:szCs w:val="24"/>
        </w:rPr>
        <w:t xml:space="preserve"> </w:t>
      </w:r>
      <w:r w:rsidR="00732026">
        <w:rPr>
          <w:rFonts w:ascii="Times New Roman" w:hAnsi="Times New Roman" w:cs="Times New Roman"/>
          <w:sz w:val="24"/>
          <w:szCs w:val="24"/>
        </w:rPr>
        <w:t xml:space="preserve">Conversely productivity growth in the low wage sectors that </w:t>
      </w:r>
      <w:r w:rsidR="007115C2">
        <w:rPr>
          <w:rFonts w:ascii="Times New Roman" w:hAnsi="Times New Roman" w:cs="Times New Roman"/>
          <w:sz w:val="24"/>
          <w:szCs w:val="24"/>
        </w:rPr>
        <w:t xml:space="preserve">employ </w:t>
      </w:r>
      <w:r w:rsidR="00732026">
        <w:rPr>
          <w:rFonts w:ascii="Times New Roman" w:hAnsi="Times New Roman" w:cs="Times New Roman"/>
          <w:sz w:val="24"/>
          <w:szCs w:val="24"/>
        </w:rPr>
        <w:t>more graduates could be improved</w:t>
      </w:r>
      <w:r w:rsidR="007115C2">
        <w:rPr>
          <w:rFonts w:ascii="Times New Roman" w:hAnsi="Times New Roman" w:cs="Times New Roman"/>
          <w:sz w:val="24"/>
          <w:szCs w:val="24"/>
        </w:rPr>
        <w:t xml:space="preserve"> leading to more employment opportunities and less downward wage pressure in these sectors</w:t>
      </w:r>
      <w:r w:rsidR="00732026">
        <w:rPr>
          <w:rFonts w:ascii="Times New Roman" w:hAnsi="Times New Roman" w:cs="Times New Roman"/>
          <w:sz w:val="24"/>
          <w:szCs w:val="24"/>
        </w:rPr>
        <w:t xml:space="preserve">. </w:t>
      </w:r>
      <w:r w:rsidR="00EC1145">
        <w:rPr>
          <w:rFonts w:ascii="Times New Roman" w:hAnsi="Times New Roman" w:cs="Times New Roman"/>
          <w:sz w:val="24"/>
          <w:szCs w:val="24"/>
        </w:rPr>
        <w:t xml:space="preserve">As ever more empirical evidence on this issue is needed. </w:t>
      </w:r>
    </w:p>
    <w:p w:rsidR="003E3100" w:rsidRPr="007B4357" w:rsidRDefault="003E3100" w:rsidP="003E3100">
      <w:pPr>
        <w:pStyle w:val="Caption"/>
        <w:spacing w:after="0"/>
        <w:jc w:val="both"/>
        <w:rPr>
          <w:rFonts w:ascii="Times New Roman" w:hAnsi="Times New Roman" w:cs="Times New Roman"/>
          <w:b/>
          <w:i w:val="0"/>
          <w:color w:val="auto"/>
          <w:sz w:val="24"/>
          <w:szCs w:val="24"/>
        </w:rPr>
      </w:pPr>
      <w:r w:rsidRPr="007B4357">
        <w:rPr>
          <w:rFonts w:ascii="Times New Roman" w:hAnsi="Times New Roman" w:cs="Times New Roman"/>
          <w:b/>
          <w:i w:val="0"/>
          <w:color w:val="auto"/>
          <w:sz w:val="24"/>
          <w:szCs w:val="24"/>
        </w:rPr>
        <w:t xml:space="preserve">Table </w:t>
      </w:r>
      <w:r>
        <w:rPr>
          <w:rFonts w:ascii="Times New Roman" w:hAnsi="Times New Roman" w:cs="Times New Roman"/>
          <w:b/>
          <w:i w:val="0"/>
          <w:color w:val="auto"/>
          <w:sz w:val="24"/>
          <w:szCs w:val="24"/>
        </w:rPr>
        <w:t>3</w:t>
      </w:r>
      <w:r w:rsidRPr="007B4357">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rPr>
        <w:t>Occupation</w:t>
      </w:r>
      <w:r w:rsidRPr="007B4357">
        <w:rPr>
          <w:rFonts w:ascii="Times New Roman" w:hAnsi="Times New Roman" w:cs="Times New Roman"/>
          <w:b/>
          <w:i w:val="0"/>
          <w:color w:val="auto"/>
          <w:sz w:val="24"/>
          <w:szCs w:val="24"/>
        </w:rPr>
        <w:t>al Distribution</w:t>
      </w:r>
      <w:r>
        <w:rPr>
          <w:rFonts w:ascii="Times New Roman" w:hAnsi="Times New Roman" w:cs="Times New Roman"/>
          <w:b/>
          <w:i w:val="0"/>
          <w:color w:val="auto"/>
          <w:sz w:val="24"/>
          <w:szCs w:val="24"/>
        </w:rPr>
        <w:t xml:space="preserve"> of EU immigrants, 2018</w:t>
      </w:r>
    </w:p>
    <w:tbl>
      <w:tblPr>
        <w:tblW w:w="5000" w:type="pct"/>
        <w:tblBorders>
          <w:top w:val="single" w:sz="12" w:space="0" w:color="008000"/>
          <w:bottom w:val="single" w:sz="12" w:space="0" w:color="008000"/>
        </w:tblBorders>
        <w:tblLayout w:type="fixed"/>
        <w:tblLook w:val="00A0" w:firstRow="1" w:lastRow="0" w:firstColumn="1" w:lastColumn="0" w:noHBand="0" w:noVBand="0"/>
      </w:tblPr>
      <w:tblGrid>
        <w:gridCol w:w="2416"/>
        <w:gridCol w:w="286"/>
        <w:gridCol w:w="1209"/>
        <w:gridCol w:w="1460"/>
        <w:gridCol w:w="1460"/>
        <w:gridCol w:w="1135"/>
        <w:gridCol w:w="1060"/>
      </w:tblGrid>
      <w:tr w:rsidR="00CE4245" w:rsidRPr="007B4357" w:rsidTr="00A07307">
        <w:tc>
          <w:tcPr>
            <w:tcW w:w="1338" w:type="pct"/>
            <w:tcBorders>
              <w:top w:val="single" w:sz="12" w:space="0" w:color="008000"/>
              <w:bottom w:val="single" w:sz="4" w:space="0" w:color="auto"/>
            </w:tcBorders>
          </w:tcPr>
          <w:p w:rsidR="00CE4245" w:rsidRPr="007B4357" w:rsidRDefault="00CE4245" w:rsidP="00F26CDC">
            <w:pPr>
              <w:spacing w:after="0" w:line="240" w:lineRule="auto"/>
              <w:jc w:val="center"/>
              <w:rPr>
                <w:rFonts w:ascii="Times New Roman" w:hAnsi="Times New Roman" w:cs="Times New Roman"/>
                <w:sz w:val="24"/>
                <w:szCs w:val="24"/>
              </w:rPr>
            </w:pPr>
          </w:p>
        </w:tc>
        <w:tc>
          <w:tcPr>
            <w:tcW w:w="828" w:type="pct"/>
            <w:gridSpan w:val="2"/>
            <w:tcBorders>
              <w:top w:val="single" w:sz="12" w:space="0" w:color="008000"/>
              <w:bottom w:val="single" w:sz="4" w:space="0" w:color="auto"/>
            </w:tcBorders>
          </w:tcPr>
          <w:p w:rsidR="00CE4245" w:rsidRPr="007B4357" w:rsidRDefault="00CE4245" w:rsidP="00F26CDC">
            <w:pPr>
              <w:spacing w:after="0" w:line="240" w:lineRule="auto"/>
              <w:jc w:val="center"/>
              <w:rPr>
                <w:rFonts w:ascii="Times New Roman" w:hAnsi="Times New Roman" w:cs="Times New Roman"/>
                <w:sz w:val="24"/>
                <w:szCs w:val="24"/>
              </w:rPr>
            </w:pPr>
            <w:r w:rsidRPr="007B4357">
              <w:rPr>
                <w:rFonts w:ascii="Times New Roman" w:hAnsi="Times New Roman" w:cs="Times New Roman"/>
                <w:sz w:val="24"/>
                <w:szCs w:val="24"/>
              </w:rPr>
              <w:t>Total employment</w:t>
            </w:r>
          </w:p>
          <w:p w:rsidR="00CE4245" w:rsidRPr="007B4357" w:rsidRDefault="00CE4245" w:rsidP="00F26CDC">
            <w:pPr>
              <w:spacing w:after="0" w:line="240" w:lineRule="auto"/>
              <w:jc w:val="center"/>
              <w:rPr>
                <w:rFonts w:ascii="Times New Roman" w:hAnsi="Times New Roman" w:cs="Times New Roman"/>
                <w:sz w:val="24"/>
                <w:szCs w:val="24"/>
              </w:rPr>
            </w:pPr>
          </w:p>
        </w:tc>
        <w:tc>
          <w:tcPr>
            <w:tcW w:w="809" w:type="pct"/>
            <w:tcBorders>
              <w:top w:val="single" w:sz="12" w:space="0" w:color="008000"/>
              <w:bottom w:val="single" w:sz="4" w:space="0" w:color="auto"/>
            </w:tcBorders>
          </w:tcPr>
          <w:p w:rsidR="00CE4245" w:rsidRPr="007B4357" w:rsidRDefault="00CE4245" w:rsidP="00F26CDC">
            <w:pPr>
              <w:spacing w:after="0" w:line="240" w:lineRule="auto"/>
              <w:jc w:val="center"/>
              <w:rPr>
                <w:rFonts w:ascii="Times New Roman" w:hAnsi="Times New Roman" w:cs="Times New Roman"/>
                <w:sz w:val="24"/>
                <w:szCs w:val="24"/>
              </w:rPr>
            </w:pPr>
            <w:r w:rsidRPr="007B4357">
              <w:rPr>
                <w:rFonts w:ascii="Times New Roman" w:hAnsi="Times New Roman" w:cs="Times New Roman"/>
                <w:sz w:val="24"/>
                <w:szCs w:val="24"/>
              </w:rPr>
              <w:t>% of sector who are EU immigrants</w:t>
            </w:r>
          </w:p>
        </w:tc>
        <w:tc>
          <w:tcPr>
            <w:tcW w:w="809" w:type="pct"/>
            <w:tcBorders>
              <w:top w:val="single" w:sz="12" w:space="0" w:color="008000"/>
              <w:bottom w:val="single" w:sz="4" w:space="0" w:color="auto"/>
            </w:tcBorders>
          </w:tcPr>
          <w:p w:rsidR="00CE4245" w:rsidRPr="007B4357" w:rsidRDefault="00CE4245" w:rsidP="00602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of UK-Born in sector who are </w:t>
            </w:r>
            <w:r w:rsidR="00AE01AE">
              <w:rPr>
                <w:rFonts w:ascii="Times New Roman" w:hAnsi="Times New Roman" w:cs="Times New Roman"/>
                <w:sz w:val="24"/>
                <w:szCs w:val="24"/>
              </w:rPr>
              <w:t>grad</w:t>
            </w:r>
            <w:r>
              <w:rPr>
                <w:rFonts w:ascii="Times New Roman" w:hAnsi="Times New Roman" w:cs="Times New Roman"/>
                <w:sz w:val="24"/>
                <w:szCs w:val="24"/>
              </w:rPr>
              <w:t>s</w:t>
            </w:r>
            <w:r w:rsidR="00AE01AE">
              <w:rPr>
                <w:rFonts w:ascii="Times New Roman" w:hAnsi="Times New Roman" w:cs="Times New Roman"/>
                <w:sz w:val="24"/>
                <w:szCs w:val="24"/>
              </w:rPr>
              <w:t>.</w:t>
            </w:r>
          </w:p>
        </w:tc>
        <w:tc>
          <w:tcPr>
            <w:tcW w:w="629" w:type="pct"/>
            <w:tcBorders>
              <w:top w:val="single" w:sz="12" w:space="0" w:color="008000"/>
              <w:bottom w:val="single" w:sz="4" w:space="0" w:color="auto"/>
            </w:tcBorders>
          </w:tcPr>
          <w:p w:rsidR="00CE4245" w:rsidRPr="007B4357" w:rsidRDefault="00CE4245" w:rsidP="00AE01AE">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of EU in sector</w:t>
            </w:r>
            <w:r w:rsidR="00AE01AE">
              <w:rPr>
                <w:rFonts w:ascii="Times New Roman" w:hAnsi="Times New Roman" w:cs="Times New Roman"/>
                <w:sz w:val="24"/>
                <w:szCs w:val="24"/>
              </w:rPr>
              <w:t xml:space="preserve"> who are grads.</w:t>
            </w:r>
            <w:r>
              <w:rPr>
                <w:rFonts w:ascii="Times New Roman" w:hAnsi="Times New Roman" w:cs="Times New Roman"/>
                <w:sz w:val="24"/>
                <w:szCs w:val="24"/>
              </w:rPr>
              <w:t xml:space="preserve"> </w:t>
            </w:r>
          </w:p>
        </w:tc>
        <w:tc>
          <w:tcPr>
            <w:tcW w:w="588" w:type="pct"/>
            <w:tcBorders>
              <w:top w:val="single" w:sz="12" w:space="0" w:color="008000"/>
              <w:bottom w:val="single" w:sz="4" w:space="0" w:color="auto"/>
            </w:tcBorders>
          </w:tcPr>
          <w:p w:rsidR="00CE4245" w:rsidRDefault="00AE01AE" w:rsidP="00AE01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of new hires </w:t>
            </w:r>
            <w:r w:rsidR="00CE4245">
              <w:rPr>
                <w:rFonts w:ascii="Times New Roman" w:hAnsi="Times New Roman" w:cs="Times New Roman"/>
                <w:sz w:val="24"/>
                <w:szCs w:val="24"/>
              </w:rPr>
              <w:t xml:space="preserve"> EU</w:t>
            </w:r>
          </w:p>
        </w:tc>
      </w:tr>
      <w:tr w:rsidR="00CE4245" w:rsidRPr="007B4357" w:rsidTr="00A07307">
        <w:tc>
          <w:tcPr>
            <w:tcW w:w="2166" w:type="pct"/>
            <w:gridSpan w:val="3"/>
            <w:tcBorders>
              <w:top w:val="single" w:sz="4" w:space="0" w:color="auto"/>
            </w:tcBorders>
          </w:tcPr>
          <w:p w:rsidR="00CE4245" w:rsidRPr="007B4357" w:rsidRDefault="00CE4245" w:rsidP="00F26CDC">
            <w:pPr>
              <w:rPr>
                <w:rFonts w:ascii="Times New Roman" w:hAnsi="Times New Roman" w:cs="Times New Roman"/>
                <w:sz w:val="24"/>
                <w:szCs w:val="24"/>
              </w:rPr>
            </w:pPr>
            <w:r w:rsidRPr="00E36201">
              <w:rPr>
                <w:rFonts w:ascii="Times New Roman" w:hAnsi="Times New Roman" w:cs="Times New Roman"/>
                <w:b/>
                <w:i/>
                <w:sz w:val="24"/>
                <w:szCs w:val="24"/>
              </w:rPr>
              <w:t xml:space="preserve">Largest </w:t>
            </w:r>
            <w:r>
              <w:rPr>
                <w:rFonts w:ascii="Times New Roman" w:hAnsi="Times New Roman" w:cs="Times New Roman"/>
                <w:b/>
                <w:i/>
                <w:sz w:val="24"/>
                <w:szCs w:val="24"/>
              </w:rPr>
              <w:t>EU Workforce Share</w:t>
            </w:r>
          </w:p>
        </w:tc>
        <w:tc>
          <w:tcPr>
            <w:tcW w:w="809" w:type="pct"/>
            <w:tcBorders>
              <w:top w:val="single" w:sz="4" w:space="0" w:color="auto"/>
            </w:tcBorders>
          </w:tcPr>
          <w:p w:rsidR="00CE4245" w:rsidRPr="007B4357" w:rsidRDefault="00CE4245" w:rsidP="00F26CDC">
            <w:pPr>
              <w:rPr>
                <w:rFonts w:ascii="Times New Roman" w:hAnsi="Times New Roman" w:cs="Times New Roman"/>
                <w:sz w:val="24"/>
                <w:szCs w:val="24"/>
              </w:rPr>
            </w:pPr>
          </w:p>
        </w:tc>
        <w:tc>
          <w:tcPr>
            <w:tcW w:w="809" w:type="pct"/>
            <w:tcBorders>
              <w:top w:val="single" w:sz="4" w:space="0" w:color="auto"/>
            </w:tcBorders>
          </w:tcPr>
          <w:p w:rsidR="00CE4245" w:rsidRPr="007B4357" w:rsidRDefault="00CE4245" w:rsidP="00F26CDC">
            <w:pPr>
              <w:rPr>
                <w:rFonts w:ascii="Times New Roman" w:hAnsi="Times New Roman" w:cs="Times New Roman"/>
                <w:sz w:val="24"/>
                <w:szCs w:val="24"/>
              </w:rPr>
            </w:pPr>
          </w:p>
        </w:tc>
        <w:tc>
          <w:tcPr>
            <w:tcW w:w="629" w:type="pct"/>
            <w:tcBorders>
              <w:top w:val="single" w:sz="4" w:space="0" w:color="auto"/>
            </w:tcBorders>
          </w:tcPr>
          <w:p w:rsidR="00CE4245" w:rsidRPr="007B4357" w:rsidRDefault="00CE4245" w:rsidP="00F26CDC">
            <w:pPr>
              <w:rPr>
                <w:rFonts w:ascii="Times New Roman" w:hAnsi="Times New Roman" w:cs="Times New Roman"/>
                <w:sz w:val="24"/>
                <w:szCs w:val="24"/>
              </w:rPr>
            </w:pPr>
          </w:p>
        </w:tc>
        <w:tc>
          <w:tcPr>
            <w:tcW w:w="588" w:type="pct"/>
            <w:tcBorders>
              <w:top w:val="single" w:sz="4" w:space="0" w:color="auto"/>
            </w:tcBorders>
          </w:tcPr>
          <w:p w:rsidR="00CE4245" w:rsidRPr="007B4357" w:rsidRDefault="00CE4245" w:rsidP="00F26CDC">
            <w:pPr>
              <w:rPr>
                <w:rFonts w:ascii="Times New Roman" w:hAnsi="Times New Roman" w:cs="Times New Roman"/>
                <w:sz w:val="24"/>
                <w:szCs w:val="24"/>
              </w:rPr>
            </w:pPr>
          </w:p>
        </w:tc>
      </w:tr>
      <w:tr w:rsidR="00CE4245" w:rsidRPr="007B4357" w:rsidTr="00A07307">
        <w:tc>
          <w:tcPr>
            <w:tcW w:w="1496" w:type="pct"/>
            <w:gridSpan w:val="2"/>
          </w:tcPr>
          <w:p w:rsidR="00CE4245" w:rsidRDefault="00CE4245" w:rsidP="000D1B2C">
            <w:pPr>
              <w:rPr>
                <w:rFonts w:ascii="Times New Roman" w:hAnsi="Times New Roman" w:cs="Times New Roman"/>
                <w:sz w:val="24"/>
                <w:szCs w:val="24"/>
              </w:rPr>
            </w:pPr>
            <w:r>
              <w:rPr>
                <w:rFonts w:ascii="Times New Roman" w:hAnsi="Times New Roman" w:cs="Times New Roman"/>
                <w:sz w:val="24"/>
                <w:szCs w:val="24"/>
              </w:rPr>
              <w:t>Packers</w:t>
            </w:r>
            <w:r w:rsidR="00E845CE">
              <w:rPr>
                <w:rFonts w:ascii="Times New Roman" w:hAnsi="Times New Roman" w:cs="Times New Roman"/>
                <w:sz w:val="24"/>
                <w:szCs w:val="24"/>
              </w:rPr>
              <w:t xml:space="preserve"> (9134)</w:t>
            </w:r>
          </w:p>
        </w:tc>
        <w:tc>
          <w:tcPr>
            <w:tcW w:w="670" w:type="pct"/>
          </w:tcPr>
          <w:p w:rsidR="00CE4245" w:rsidRDefault="00CE4245" w:rsidP="00F26CDC">
            <w:pPr>
              <w:jc w:val="center"/>
              <w:rPr>
                <w:rFonts w:ascii="Times New Roman" w:hAnsi="Times New Roman" w:cs="Times New Roman"/>
                <w:sz w:val="24"/>
                <w:szCs w:val="24"/>
              </w:rPr>
            </w:pPr>
            <w:r>
              <w:rPr>
                <w:rFonts w:ascii="Times New Roman" w:hAnsi="Times New Roman" w:cs="Times New Roman"/>
                <w:sz w:val="24"/>
                <w:szCs w:val="24"/>
              </w:rPr>
              <w:t>115,000</w:t>
            </w:r>
          </w:p>
        </w:tc>
        <w:tc>
          <w:tcPr>
            <w:tcW w:w="809" w:type="pct"/>
          </w:tcPr>
          <w:p w:rsidR="00CE4245" w:rsidRDefault="00CE4245" w:rsidP="00F26CDC">
            <w:pPr>
              <w:jc w:val="center"/>
              <w:rPr>
                <w:rFonts w:ascii="Times New Roman" w:hAnsi="Times New Roman" w:cs="Times New Roman"/>
                <w:sz w:val="24"/>
                <w:szCs w:val="24"/>
              </w:rPr>
            </w:pPr>
            <w:r>
              <w:rPr>
                <w:rFonts w:ascii="Times New Roman" w:hAnsi="Times New Roman" w:cs="Times New Roman"/>
                <w:sz w:val="24"/>
                <w:szCs w:val="24"/>
              </w:rPr>
              <w:t>49%</w:t>
            </w:r>
          </w:p>
        </w:tc>
        <w:tc>
          <w:tcPr>
            <w:tcW w:w="809" w:type="pct"/>
          </w:tcPr>
          <w:p w:rsidR="00CE4245" w:rsidRPr="007B4357" w:rsidRDefault="00CE4245" w:rsidP="00F26CDC">
            <w:pPr>
              <w:jc w:val="center"/>
              <w:rPr>
                <w:rFonts w:ascii="Times New Roman" w:hAnsi="Times New Roman" w:cs="Times New Roman"/>
                <w:sz w:val="24"/>
                <w:szCs w:val="24"/>
              </w:rPr>
            </w:pPr>
            <w:r>
              <w:rPr>
                <w:rFonts w:ascii="Times New Roman" w:hAnsi="Times New Roman" w:cs="Times New Roman"/>
                <w:sz w:val="24"/>
                <w:szCs w:val="24"/>
              </w:rPr>
              <w:t>3%</w:t>
            </w:r>
          </w:p>
        </w:tc>
        <w:tc>
          <w:tcPr>
            <w:tcW w:w="629" w:type="pct"/>
          </w:tcPr>
          <w:p w:rsidR="00CE4245" w:rsidRDefault="00E845CE" w:rsidP="00F26CDC">
            <w:pPr>
              <w:jc w:val="center"/>
              <w:rPr>
                <w:rFonts w:ascii="Times New Roman" w:hAnsi="Times New Roman" w:cs="Times New Roman"/>
                <w:sz w:val="24"/>
                <w:szCs w:val="24"/>
              </w:rPr>
            </w:pPr>
            <w:r>
              <w:rPr>
                <w:rFonts w:ascii="Times New Roman" w:hAnsi="Times New Roman" w:cs="Times New Roman"/>
                <w:sz w:val="24"/>
                <w:szCs w:val="24"/>
              </w:rPr>
              <w:t>25</w:t>
            </w:r>
            <w:r w:rsidR="00CE4245">
              <w:rPr>
                <w:rFonts w:ascii="Times New Roman" w:hAnsi="Times New Roman" w:cs="Times New Roman"/>
                <w:sz w:val="24"/>
                <w:szCs w:val="24"/>
              </w:rPr>
              <w:t>%</w:t>
            </w:r>
          </w:p>
        </w:tc>
        <w:tc>
          <w:tcPr>
            <w:tcW w:w="588" w:type="pct"/>
          </w:tcPr>
          <w:p w:rsidR="00CE4245" w:rsidRDefault="00047B9A" w:rsidP="00F26CDC">
            <w:pPr>
              <w:jc w:val="center"/>
              <w:rPr>
                <w:rFonts w:ascii="Times New Roman" w:hAnsi="Times New Roman" w:cs="Times New Roman"/>
                <w:sz w:val="24"/>
                <w:szCs w:val="24"/>
              </w:rPr>
            </w:pPr>
            <w:r>
              <w:rPr>
                <w:rFonts w:ascii="Times New Roman" w:hAnsi="Times New Roman" w:cs="Times New Roman"/>
                <w:sz w:val="24"/>
                <w:szCs w:val="24"/>
              </w:rPr>
              <w:t>50%</w:t>
            </w:r>
          </w:p>
        </w:tc>
      </w:tr>
      <w:tr w:rsidR="00CE4245" w:rsidRPr="007B4357" w:rsidTr="00A07307">
        <w:tc>
          <w:tcPr>
            <w:tcW w:w="1496" w:type="pct"/>
            <w:gridSpan w:val="2"/>
          </w:tcPr>
          <w:p w:rsidR="00CE4245" w:rsidRDefault="00CE4245" w:rsidP="000D1B2C">
            <w:pPr>
              <w:rPr>
                <w:rFonts w:ascii="Times New Roman" w:hAnsi="Times New Roman" w:cs="Times New Roman"/>
                <w:sz w:val="24"/>
                <w:szCs w:val="24"/>
              </w:rPr>
            </w:pPr>
            <w:r>
              <w:rPr>
                <w:rFonts w:ascii="Times New Roman" w:hAnsi="Times New Roman" w:cs="Times New Roman"/>
                <w:sz w:val="24"/>
                <w:szCs w:val="24"/>
              </w:rPr>
              <w:t>Food Processing</w:t>
            </w:r>
            <w:r w:rsidR="007B4FB5">
              <w:rPr>
                <w:rFonts w:ascii="Times New Roman" w:hAnsi="Times New Roman" w:cs="Times New Roman"/>
                <w:sz w:val="24"/>
                <w:szCs w:val="24"/>
              </w:rPr>
              <w:t xml:space="preserve"> (8111)</w:t>
            </w:r>
          </w:p>
        </w:tc>
        <w:tc>
          <w:tcPr>
            <w:tcW w:w="670" w:type="pct"/>
          </w:tcPr>
          <w:p w:rsidR="00CE4245" w:rsidRDefault="005D6F5F" w:rsidP="00F26CDC">
            <w:pPr>
              <w:jc w:val="center"/>
              <w:rPr>
                <w:rFonts w:ascii="Times New Roman" w:hAnsi="Times New Roman" w:cs="Times New Roman"/>
                <w:sz w:val="24"/>
                <w:szCs w:val="24"/>
              </w:rPr>
            </w:pPr>
            <w:r>
              <w:rPr>
                <w:rFonts w:ascii="Times New Roman" w:hAnsi="Times New Roman" w:cs="Times New Roman"/>
                <w:sz w:val="24"/>
                <w:szCs w:val="24"/>
              </w:rPr>
              <w:t>14</w:t>
            </w:r>
            <w:r w:rsidR="00CE4245">
              <w:rPr>
                <w:rFonts w:ascii="Times New Roman" w:hAnsi="Times New Roman" w:cs="Times New Roman"/>
                <w:sz w:val="24"/>
                <w:szCs w:val="24"/>
              </w:rPr>
              <w:t>0,000</w:t>
            </w:r>
          </w:p>
        </w:tc>
        <w:tc>
          <w:tcPr>
            <w:tcW w:w="809" w:type="pct"/>
          </w:tcPr>
          <w:p w:rsidR="00CE4245" w:rsidRDefault="00E845CE" w:rsidP="00F26CDC">
            <w:pPr>
              <w:jc w:val="center"/>
              <w:rPr>
                <w:rFonts w:ascii="Times New Roman" w:hAnsi="Times New Roman" w:cs="Times New Roman"/>
                <w:sz w:val="24"/>
                <w:szCs w:val="24"/>
              </w:rPr>
            </w:pPr>
            <w:r>
              <w:rPr>
                <w:rFonts w:ascii="Times New Roman" w:hAnsi="Times New Roman" w:cs="Times New Roman"/>
                <w:sz w:val="24"/>
                <w:szCs w:val="24"/>
              </w:rPr>
              <w:t>45</w:t>
            </w:r>
            <w:r w:rsidR="00CE4245">
              <w:rPr>
                <w:rFonts w:ascii="Times New Roman" w:hAnsi="Times New Roman" w:cs="Times New Roman"/>
                <w:sz w:val="24"/>
                <w:szCs w:val="24"/>
              </w:rPr>
              <w:t>%</w:t>
            </w:r>
          </w:p>
        </w:tc>
        <w:tc>
          <w:tcPr>
            <w:tcW w:w="809" w:type="pct"/>
          </w:tcPr>
          <w:p w:rsidR="00CE4245" w:rsidRPr="007B4357" w:rsidRDefault="00E845CE" w:rsidP="00F26CDC">
            <w:pPr>
              <w:jc w:val="center"/>
              <w:rPr>
                <w:rFonts w:ascii="Times New Roman" w:hAnsi="Times New Roman" w:cs="Times New Roman"/>
                <w:sz w:val="24"/>
                <w:szCs w:val="24"/>
              </w:rPr>
            </w:pPr>
            <w:r>
              <w:rPr>
                <w:rFonts w:ascii="Times New Roman" w:hAnsi="Times New Roman" w:cs="Times New Roman"/>
                <w:sz w:val="24"/>
                <w:szCs w:val="24"/>
              </w:rPr>
              <w:t>7</w:t>
            </w:r>
            <w:r w:rsidR="00CE4245">
              <w:rPr>
                <w:rFonts w:ascii="Times New Roman" w:hAnsi="Times New Roman" w:cs="Times New Roman"/>
                <w:sz w:val="24"/>
                <w:szCs w:val="24"/>
              </w:rPr>
              <w:t>%</w:t>
            </w:r>
          </w:p>
        </w:tc>
        <w:tc>
          <w:tcPr>
            <w:tcW w:w="629" w:type="pct"/>
          </w:tcPr>
          <w:p w:rsidR="00CE4245" w:rsidRDefault="00B37A8B" w:rsidP="00F26CDC">
            <w:pPr>
              <w:jc w:val="center"/>
              <w:rPr>
                <w:rFonts w:ascii="Times New Roman" w:hAnsi="Times New Roman" w:cs="Times New Roman"/>
                <w:sz w:val="24"/>
                <w:szCs w:val="24"/>
              </w:rPr>
            </w:pPr>
            <w:r>
              <w:rPr>
                <w:rFonts w:ascii="Times New Roman" w:hAnsi="Times New Roman" w:cs="Times New Roman"/>
                <w:sz w:val="24"/>
                <w:szCs w:val="24"/>
              </w:rPr>
              <w:t>22</w:t>
            </w:r>
            <w:r w:rsidR="00CE4245">
              <w:rPr>
                <w:rFonts w:ascii="Times New Roman" w:hAnsi="Times New Roman" w:cs="Times New Roman"/>
                <w:sz w:val="24"/>
                <w:szCs w:val="24"/>
              </w:rPr>
              <w:t>%</w:t>
            </w:r>
          </w:p>
        </w:tc>
        <w:tc>
          <w:tcPr>
            <w:tcW w:w="588" w:type="pct"/>
          </w:tcPr>
          <w:p w:rsidR="00CE4245" w:rsidRDefault="003425AD" w:rsidP="00F26CDC">
            <w:pPr>
              <w:jc w:val="center"/>
              <w:rPr>
                <w:rFonts w:ascii="Times New Roman" w:hAnsi="Times New Roman" w:cs="Times New Roman"/>
                <w:sz w:val="24"/>
                <w:szCs w:val="24"/>
              </w:rPr>
            </w:pPr>
            <w:r>
              <w:rPr>
                <w:rFonts w:ascii="Times New Roman" w:hAnsi="Times New Roman" w:cs="Times New Roman"/>
                <w:sz w:val="24"/>
                <w:szCs w:val="24"/>
              </w:rPr>
              <w:t>48%</w:t>
            </w:r>
          </w:p>
        </w:tc>
      </w:tr>
      <w:tr w:rsidR="00CE4245" w:rsidRPr="007B4357" w:rsidTr="00A07307">
        <w:tc>
          <w:tcPr>
            <w:tcW w:w="1496" w:type="pct"/>
            <w:gridSpan w:val="2"/>
          </w:tcPr>
          <w:p w:rsidR="00CE4245" w:rsidRPr="007B4357" w:rsidRDefault="00CE4245" w:rsidP="007F3328">
            <w:pPr>
              <w:rPr>
                <w:rFonts w:ascii="Times New Roman" w:hAnsi="Times New Roman" w:cs="Times New Roman"/>
                <w:sz w:val="24"/>
                <w:szCs w:val="24"/>
              </w:rPr>
            </w:pPr>
            <w:r>
              <w:rPr>
                <w:rFonts w:ascii="Times New Roman" w:hAnsi="Times New Roman" w:cs="Times New Roman"/>
                <w:sz w:val="24"/>
                <w:szCs w:val="24"/>
              </w:rPr>
              <w:t xml:space="preserve">Scientific </w:t>
            </w:r>
            <w:r w:rsidR="007F3328">
              <w:rPr>
                <w:rFonts w:ascii="Times New Roman" w:hAnsi="Times New Roman" w:cs="Times New Roman"/>
                <w:sz w:val="24"/>
                <w:szCs w:val="24"/>
              </w:rPr>
              <w:t>r</w:t>
            </w:r>
            <w:r>
              <w:rPr>
                <w:rFonts w:ascii="Times New Roman" w:hAnsi="Times New Roman" w:cs="Times New Roman"/>
                <w:sz w:val="24"/>
                <w:szCs w:val="24"/>
              </w:rPr>
              <w:t>esearch</w:t>
            </w:r>
            <w:r w:rsidR="007F3328">
              <w:rPr>
                <w:rFonts w:ascii="Times New Roman" w:hAnsi="Times New Roman" w:cs="Times New Roman"/>
                <w:sz w:val="24"/>
                <w:szCs w:val="24"/>
              </w:rPr>
              <w:t>(2321)</w:t>
            </w:r>
          </w:p>
        </w:tc>
        <w:tc>
          <w:tcPr>
            <w:tcW w:w="670" w:type="pct"/>
          </w:tcPr>
          <w:p w:rsidR="00CE4245" w:rsidRPr="007B4357" w:rsidRDefault="00CE4245" w:rsidP="00F346EE">
            <w:pPr>
              <w:jc w:val="center"/>
              <w:rPr>
                <w:rFonts w:ascii="Times New Roman" w:hAnsi="Times New Roman" w:cs="Times New Roman"/>
                <w:sz w:val="24"/>
                <w:szCs w:val="24"/>
              </w:rPr>
            </w:pPr>
            <w:r>
              <w:rPr>
                <w:rFonts w:ascii="Times New Roman" w:hAnsi="Times New Roman" w:cs="Times New Roman"/>
                <w:sz w:val="24"/>
                <w:szCs w:val="24"/>
              </w:rPr>
              <w:t>30</w:t>
            </w:r>
            <w:r w:rsidRPr="007B4357">
              <w:rPr>
                <w:rFonts w:ascii="Times New Roman" w:hAnsi="Times New Roman" w:cs="Times New Roman"/>
                <w:sz w:val="24"/>
                <w:szCs w:val="24"/>
              </w:rPr>
              <w:t>,000</w:t>
            </w:r>
          </w:p>
        </w:tc>
        <w:tc>
          <w:tcPr>
            <w:tcW w:w="809" w:type="pct"/>
          </w:tcPr>
          <w:p w:rsidR="00CE4245" w:rsidRPr="007B4357" w:rsidRDefault="007F3328" w:rsidP="00F346EE">
            <w:pPr>
              <w:jc w:val="center"/>
              <w:rPr>
                <w:rFonts w:ascii="Times New Roman" w:hAnsi="Times New Roman" w:cs="Times New Roman"/>
                <w:sz w:val="24"/>
                <w:szCs w:val="24"/>
              </w:rPr>
            </w:pPr>
            <w:r>
              <w:rPr>
                <w:rFonts w:ascii="Times New Roman" w:hAnsi="Times New Roman" w:cs="Times New Roman"/>
                <w:sz w:val="24"/>
                <w:szCs w:val="24"/>
              </w:rPr>
              <w:t>24</w:t>
            </w:r>
            <w:r w:rsidR="00CE4245" w:rsidRPr="007B4357">
              <w:rPr>
                <w:rFonts w:ascii="Times New Roman" w:hAnsi="Times New Roman" w:cs="Times New Roman"/>
                <w:sz w:val="24"/>
                <w:szCs w:val="24"/>
              </w:rPr>
              <w:t>%</w:t>
            </w:r>
          </w:p>
        </w:tc>
        <w:tc>
          <w:tcPr>
            <w:tcW w:w="809" w:type="pct"/>
          </w:tcPr>
          <w:p w:rsidR="00CE4245" w:rsidRPr="007B4357" w:rsidRDefault="00AE1E5C" w:rsidP="00F346EE">
            <w:pPr>
              <w:jc w:val="center"/>
              <w:rPr>
                <w:rFonts w:ascii="Times New Roman" w:hAnsi="Times New Roman" w:cs="Times New Roman"/>
                <w:sz w:val="24"/>
                <w:szCs w:val="24"/>
              </w:rPr>
            </w:pPr>
            <w:r>
              <w:rPr>
                <w:rFonts w:ascii="Times New Roman" w:hAnsi="Times New Roman" w:cs="Times New Roman"/>
                <w:sz w:val="24"/>
                <w:szCs w:val="24"/>
              </w:rPr>
              <w:t>71</w:t>
            </w:r>
            <w:r w:rsidR="00CE4245">
              <w:rPr>
                <w:rFonts w:ascii="Times New Roman" w:hAnsi="Times New Roman" w:cs="Times New Roman"/>
                <w:sz w:val="24"/>
                <w:szCs w:val="24"/>
              </w:rPr>
              <w:t>%</w:t>
            </w:r>
          </w:p>
        </w:tc>
        <w:tc>
          <w:tcPr>
            <w:tcW w:w="629" w:type="pct"/>
          </w:tcPr>
          <w:p w:rsidR="00CE4245" w:rsidRPr="007B4357" w:rsidRDefault="00CE4245" w:rsidP="00F346EE">
            <w:pPr>
              <w:jc w:val="center"/>
              <w:rPr>
                <w:rFonts w:ascii="Times New Roman" w:hAnsi="Times New Roman" w:cs="Times New Roman"/>
                <w:sz w:val="24"/>
                <w:szCs w:val="24"/>
              </w:rPr>
            </w:pPr>
            <w:r>
              <w:rPr>
                <w:rFonts w:ascii="Times New Roman" w:hAnsi="Times New Roman" w:cs="Times New Roman"/>
                <w:sz w:val="24"/>
                <w:szCs w:val="24"/>
              </w:rPr>
              <w:t>8</w:t>
            </w:r>
            <w:r w:rsidR="00AE1E5C">
              <w:rPr>
                <w:rFonts w:ascii="Times New Roman" w:hAnsi="Times New Roman" w:cs="Times New Roman"/>
                <w:sz w:val="24"/>
                <w:szCs w:val="24"/>
              </w:rPr>
              <w:t>5</w:t>
            </w:r>
            <w:r w:rsidRPr="007B4357">
              <w:rPr>
                <w:rFonts w:ascii="Times New Roman" w:hAnsi="Times New Roman" w:cs="Times New Roman"/>
                <w:sz w:val="24"/>
                <w:szCs w:val="24"/>
              </w:rPr>
              <w:t>%</w:t>
            </w:r>
          </w:p>
        </w:tc>
        <w:tc>
          <w:tcPr>
            <w:tcW w:w="588" w:type="pct"/>
          </w:tcPr>
          <w:p w:rsidR="00CE4245" w:rsidRDefault="00D26A97" w:rsidP="00F346EE">
            <w:pPr>
              <w:jc w:val="center"/>
              <w:rPr>
                <w:rFonts w:ascii="Times New Roman" w:hAnsi="Times New Roman" w:cs="Times New Roman"/>
                <w:sz w:val="24"/>
                <w:szCs w:val="24"/>
              </w:rPr>
            </w:pPr>
            <w:r>
              <w:rPr>
                <w:rFonts w:ascii="Times New Roman" w:hAnsi="Times New Roman" w:cs="Times New Roman"/>
                <w:sz w:val="24"/>
                <w:szCs w:val="24"/>
              </w:rPr>
              <w:t>36%</w:t>
            </w:r>
          </w:p>
        </w:tc>
      </w:tr>
      <w:tr w:rsidR="00353777" w:rsidRPr="007B4357" w:rsidTr="00A07307">
        <w:tc>
          <w:tcPr>
            <w:tcW w:w="1496" w:type="pct"/>
            <w:gridSpan w:val="2"/>
          </w:tcPr>
          <w:p w:rsidR="00353777" w:rsidRDefault="00353777" w:rsidP="00F346EE">
            <w:pPr>
              <w:rPr>
                <w:rFonts w:ascii="Times New Roman" w:hAnsi="Times New Roman" w:cs="Times New Roman"/>
                <w:sz w:val="24"/>
                <w:szCs w:val="24"/>
              </w:rPr>
            </w:pPr>
            <w:r>
              <w:rPr>
                <w:rFonts w:ascii="Times New Roman" w:hAnsi="Times New Roman" w:cs="Times New Roman"/>
                <w:sz w:val="24"/>
                <w:szCs w:val="24"/>
              </w:rPr>
              <w:t>Childminders (6122)</w:t>
            </w:r>
          </w:p>
        </w:tc>
        <w:tc>
          <w:tcPr>
            <w:tcW w:w="670" w:type="pct"/>
          </w:tcPr>
          <w:p w:rsidR="00353777" w:rsidRDefault="00353777" w:rsidP="00F346EE">
            <w:pPr>
              <w:jc w:val="center"/>
              <w:rPr>
                <w:rFonts w:ascii="Times New Roman" w:hAnsi="Times New Roman" w:cs="Times New Roman"/>
                <w:sz w:val="24"/>
                <w:szCs w:val="24"/>
              </w:rPr>
            </w:pPr>
            <w:r>
              <w:rPr>
                <w:rFonts w:ascii="Times New Roman" w:hAnsi="Times New Roman" w:cs="Times New Roman"/>
                <w:sz w:val="24"/>
                <w:szCs w:val="24"/>
              </w:rPr>
              <w:t>110,000</w:t>
            </w:r>
          </w:p>
        </w:tc>
        <w:tc>
          <w:tcPr>
            <w:tcW w:w="809" w:type="pct"/>
          </w:tcPr>
          <w:p w:rsidR="00353777" w:rsidRDefault="00353777" w:rsidP="00F346EE">
            <w:pPr>
              <w:jc w:val="center"/>
              <w:rPr>
                <w:rFonts w:ascii="Times New Roman" w:hAnsi="Times New Roman" w:cs="Times New Roman"/>
                <w:sz w:val="24"/>
                <w:szCs w:val="24"/>
              </w:rPr>
            </w:pPr>
            <w:r>
              <w:rPr>
                <w:rFonts w:ascii="Times New Roman" w:hAnsi="Times New Roman" w:cs="Times New Roman"/>
                <w:sz w:val="24"/>
                <w:szCs w:val="24"/>
              </w:rPr>
              <w:t>20%</w:t>
            </w:r>
          </w:p>
        </w:tc>
        <w:tc>
          <w:tcPr>
            <w:tcW w:w="809" w:type="pct"/>
          </w:tcPr>
          <w:p w:rsidR="00353777" w:rsidRDefault="00353777" w:rsidP="00EC0BB2">
            <w:pPr>
              <w:jc w:val="center"/>
              <w:rPr>
                <w:rFonts w:ascii="Times New Roman" w:hAnsi="Times New Roman" w:cs="Times New Roman"/>
                <w:sz w:val="24"/>
                <w:szCs w:val="24"/>
              </w:rPr>
            </w:pPr>
            <w:r>
              <w:rPr>
                <w:rFonts w:ascii="Times New Roman" w:hAnsi="Times New Roman" w:cs="Times New Roman"/>
                <w:sz w:val="24"/>
                <w:szCs w:val="24"/>
              </w:rPr>
              <w:t>12%</w:t>
            </w:r>
          </w:p>
        </w:tc>
        <w:tc>
          <w:tcPr>
            <w:tcW w:w="629" w:type="pct"/>
          </w:tcPr>
          <w:p w:rsidR="00353777" w:rsidRDefault="00353777" w:rsidP="00F346EE">
            <w:pPr>
              <w:jc w:val="center"/>
              <w:rPr>
                <w:rFonts w:ascii="Times New Roman" w:hAnsi="Times New Roman" w:cs="Times New Roman"/>
                <w:sz w:val="24"/>
                <w:szCs w:val="24"/>
              </w:rPr>
            </w:pPr>
            <w:r>
              <w:rPr>
                <w:rFonts w:ascii="Times New Roman" w:hAnsi="Times New Roman" w:cs="Times New Roman"/>
                <w:sz w:val="24"/>
                <w:szCs w:val="24"/>
              </w:rPr>
              <w:t>49%</w:t>
            </w:r>
          </w:p>
        </w:tc>
        <w:tc>
          <w:tcPr>
            <w:tcW w:w="588" w:type="pct"/>
          </w:tcPr>
          <w:p w:rsidR="00353777" w:rsidRDefault="008C7EEC" w:rsidP="00F346EE">
            <w:pPr>
              <w:jc w:val="center"/>
              <w:rPr>
                <w:rFonts w:ascii="Times New Roman" w:hAnsi="Times New Roman" w:cs="Times New Roman"/>
                <w:sz w:val="24"/>
                <w:szCs w:val="24"/>
              </w:rPr>
            </w:pPr>
            <w:r>
              <w:rPr>
                <w:rFonts w:ascii="Times New Roman" w:hAnsi="Times New Roman" w:cs="Times New Roman"/>
                <w:sz w:val="24"/>
                <w:szCs w:val="24"/>
              </w:rPr>
              <w:t>35%</w:t>
            </w:r>
          </w:p>
        </w:tc>
      </w:tr>
      <w:tr w:rsidR="00A07307" w:rsidRPr="007B4357" w:rsidTr="00A07307">
        <w:tc>
          <w:tcPr>
            <w:tcW w:w="1496" w:type="pct"/>
            <w:gridSpan w:val="2"/>
          </w:tcPr>
          <w:p w:rsidR="00A07307" w:rsidRDefault="00A07307" w:rsidP="00A07307">
            <w:pPr>
              <w:rPr>
                <w:rFonts w:ascii="Times New Roman" w:hAnsi="Times New Roman" w:cs="Times New Roman"/>
                <w:sz w:val="24"/>
                <w:szCs w:val="24"/>
              </w:rPr>
            </w:pPr>
            <w:r>
              <w:rPr>
                <w:rFonts w:ascii="Times New Roman" w:hAnsi="Times New Roman" w:cs="Times New Roman"/>
                <w:sz w:val="24"/>
                <w:szCs w:val="24"/>
              </w:rPr>
              <w:t>Storage (9149)</w:t>
            </w:r>
          </w:p>
        </w:tc>
        <w:tc>
          <w:tcPr>
            <w:tcW w:w="670"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430,000</w:t>
            </w:r>
          </w:p>
        </w:tc>
        <w:tc>
          <w:tcPr>
            <w:tcW w:w="809"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20%</w:t>
            </w:r>
          </w:p>
        </w:tc>
        <w:tc>
          <w:tcPr>
            <w:tcW w:w="809"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5%</w:t>
            </w:r>
          </w:p>
        </w:tc>
        <w:tc>
          <w:tcPr>
            <w:tcW w:w="62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28%</w:t>
            </w:r>
          </w:p>
        </w:tc>
        <w:tc>
          <w:tcPr>
            <w:tcW w:w="588"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21%</w:t>
            </w:r>
          </w:p>
        </w:tc>
      </w:tr>
      <w:tr w:rsidR="00A07307" w:rsidRPr="007B4357" w:rsidTr="00A07307">
        <w:tc>
          <w:tcPr>
            <w:tcW w:w="1496" w:type="pct"/>
            <w:gridSpan w:val="2"/>
          </w:tcPr>
          <w:p w:rsidR="00A07307" w:rsidRPr="007B4357" w:rsidRDefault="00A07307" w:rsidP="00A07307">
            <w:pPr>
              <w:rPr>
                <w:rFonts w:ascii="Times New Roman" w:hAnsi="Times New Roman" w:cs="Times New Roman"/>
                <w:sz w:val="24"/>
                <w:szCs w:val="24"/>
              </w:rPr>
            </w:pPr>
            <w:r>
              <w:rPr>
                <w:rFonts w:ascii="Times New Roman" w:hAnsi="Times New Roman" w:cs="Times New Roman"/>
                <w:sz w:val="24"/>
                <w:szCs w:val="24"/>
              </w:rPr>
              <w:t>Assemble&amp;Routine(813)</w:t>
            </w:r>
          </w:p>
        </w:tc>
        <w:tc>
          <w:tcPr>
            <w:tcW w:w="670"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300</w:t>
            </w:r>
            <w:r w:rsidRPr="007B4357">
              <w:rPr>
                <w:rFonts w:ascii="Times New Roman" w:hAnsi="Times New Roman" w:cs="Times New Roman"/>
                <w:sz w:val="24"/>
                <w:szCs w:val="24"/>
              </w:rPr>
              <w:t>,000</w:t>
            </w:r>
          </w:p>
        </w:tc>
        <w:tc>
          <w:tcPr>
            <w:tcW w:w="80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18</w:t>
            </w:r>
            <w:r w:rsidRPr="007B4357">
              <w:rPr>
                <w:rFonts w:ascii="Times New Roman" w:hAnsi="Times New Roman" w:cs="Times New Roman"/>
                <w:sz w:val="24"/>
                <w:szCs w:val="24"/>
              </w:rPr>
              <w:t>%</w:t>
            </w:r>
          </w:p>
        </w:tc>
        <w:tc>
          <w:tcPr>
            <w:tcW w:w="80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11%</w:t>
            </w:r>
          </w:p>
        </w:tc>
        <w:tc>
          <w:tcPr>
            <w:tcW w:w="62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42</w:t>
            </w:r>
            <w:r w:rsidRPr="007B4357">
              <w:rPr>
                <w:rFonts w:ascii="Times New Roman" w:hAnsi="Times New Roman" w:cs="Times New Roman"/>
                <w:sz w:val="24"/>
                <w:szCs w:val="24"/>
              </w:rPr>
              <w:t>%</w:t>
            </w:r>
          </w:p>
        </w:tc>
        <w:tc>
          <w:tcPr>
            <w:tcW w:w="588"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21%</w:t>
            </w:r>
          </w:p>
        </w:tc>
      </w:tr>
      <w:tr w:rsidR="00A07307" w:rsidRPr="007B4357" w:rsidTr="00A07307">
        <w:trPr>
          <w:trHeight w:val="514"/>
        </w:trPr>
        <w:tc>
          <w:tcPr>
            <w:tcW w:w="1496" w:type="pct"/>
            <w:gridSpan w:val="2"/>
          </w:tcPr>
          <w:p w:rsidR="00A07307" w:rsidRDefault="00A07307" w:rsidP="00A07307">
            <w:pPr>
              <w:rPr>
                <w:rFonts w:ascii="Times New Roman" w:hAnsi="Times New Roman" w:cs="Times New Roman"/>
                <w:sz w:val="24"/>
                <w:szCs w:val="24"/>
              </w:rPr>
            </w:pPr>
            <w:r>
              <w:rPr>
                <w:rFonts w:ascii="Times New Roman" w:hAnsi="Times New Roman" w:cs="Times New Roman"/>
                <w:sz w:val="24"/>
                <w:szCs w:val="24"/>
              </w:rPr>
              <w:t>Cleaners (9233)</w:t>
            </w:r>
          </w:p>
        </w:tc>
        <w:tc>
          <w:tcPr>
            <w:tcW w:w="670"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650,000</w:t>
            </w:r>
          </w:p>
        </w:tc>
        <w:tc>
          <w:tcPr>
            <w:tcW w:w="809"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17%</w:t>
            </w:r>
          </w:p>
        </w:tc>
        <w:tc>
          <w:tcPr>
            <w:tcW w:w="809"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w:t>
            </w:r>
          </w:p>
        </w:tc>
        <w:tc>
          <w:tcPr>
            <w:tcW w:w="62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20%</w:t>
            </w:r>
          </w:p>
        </w:tc>
        <w:tc>
          <w:tcPr>
            <w:tcW w:w="588"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14%</w:t>
            </w:r>
          </w:p>
        </w:tc>
      </w:tr>
      <w:tr w:rsidR="00A07307" w:rsidRPr="007B4357" w:rsidTr="00A07307">
        <w:tc>
          <w:tcPr>
            <w:tcW w:w="1496" w:type="pct"/>
            <w:gridSpan w:val="2"/>
          </w:tcPr>
          <w:p w:rsidR="00A07307" w:rsidRPr="007B4357" w:rsidRDefault="00A07307" w:rsidP="00A07307">
            <w:pPr>
              <w:rPr>
                <w:rFonts w:ascii="Times New Roman" w:hAnsi="Times New Roman" w:cs="Times New Roman"/>
                <w:sz w:val="24"/>
                <w:szCs w:val="24"/>
              </w:rPr>
            </w:pPr>
            <w:r>
              <w:rPr>
                <w:rFonts w:ascii="Times New Roman" w:hAnsi="Times New Roman" w:cs="Times New Roman"/>
                <w:sz w:val="24"/>
                <w:szCs w:val="24"/>
              </w:rPr>
              <w:t>Builders (5319)</w:t>
            </w:r>
          </w:p>
        </w:tc>
        <w:tc>
          <w:tcPr>
            <w:tcW w:w="670"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240</w:t>
            </w:r>
            <w:r w:rsidRPr="007B4357">
              <w:rPr>
                <w:rFonts w:ascii="Times New Roman" w:hAnsi="Times New Roman" w:cs="Times New Roman"/>
                <w:sz w:val="24"/>
                <w:szCs w:val="24"/>
              </w:rPr>
              <w:t>,000</w:t>
            </w:r>
          </w:p>
        </w:tc>
        <w:tc>
          <w:tcPr>
            <w:tcW w:w="809" w:type="pct"/>
          </w:tcPr>
          <w:p w:rsidR="00A07307" w:rsidRPr="007B4357" w:rsidRDefault="00A07307" w:rsidP="00A07307">
            <w:pPr>
              <w:jc w:val="center"/>
              <w:rPr>
                <w:rFonts w:ascii="Times New Roman" w:hAnsi="Times New Roman" w:cs="Times New Roman"/>
                <w:sz w:val="24"/>
                <w:szCs w:val="24"/>
              </w:rPr>
            </w:pPr>
            <w:r w:rsidRPr="007B4357">
              <w:rPr>
                <w:rFonts w:ascii="Times New Roman" w:hAnsi="Times New Roman" w:cs="Times New Roman"/>
                <w:sz w:val="24"/>
                <w:szCs w:val="24"/>
              </w:rPr>
              <w:t>1</w:t>
            </w:r>
            <w:r>
              <w:rPr>
                <w:rFonts w:ascii="Times New Roman" w:hAnsi="Times New Roman" w:cs="Times New Roman"/>
                <w:sz w:val="24"/>
                <w:szCs w:val="24"/>
              </w:rPr>
              <w:t>6</w:t>
            </w:r>
            <w:r w:rsidRPr="007B4357">
              <w:rPr>
                <w:rFonts w:ascii="Times New Roman" w:hAnsi="Times New Roman" w:cs="Times New Roman"/>
                <w:sz w:val="24"/>
                <w:szCs w:val="24"/>
              </w:rPr>
              <w:t>%</w:t>
            </w:r>
          </w:p>
        </w:tc>
        <w:tc>
          <w:tcPr>
            <w:tcW w:w="80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12%</w:t>
            </w:r>
          </w:p>
        </w:tc>
        <w:tc>
          <w:tcPr>
            <w:tcW w:w="62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14</w:t>
            </w:r>
            <w:r w:rsidRPr="007B4357">
              <w:rPr>
                <w:rFonts w:ascii="Times New Roman" w:hAnsi="Times New Roman" w:cs="Times New Roman"/>
                <w:sz w:val="24"/>
                <w:szCs w:val="24"/>
              </w:rPr>
              <w:t>%</w:t>
            </w:r>
          </w:p>
        </w:tc>
        <w:tc>
          <w:tcPr>
            <w:tcW w:w="588"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9%</w:t>
            </w:r>
          </w:p>
        </w:tc>
      </w:tr>
      <w:tr w:rsidR="00A07307" w:rsidRPr="007B4357" w:rsidTr="00A07307">
        <w:tc>
          <w:tcPr>
            <w:tcW w:w="1496" w:type="pct"/>
            <w:gridSpan w:val="2"/>
          </w:tcPr>
          <w:p w:rsidR="00A07307" w:rsidRDefault="00A07307" w:rsidP="00A07307">
            <w:pPr>
              <w:rPr>
                <w:rFonts w:ascii="Times New Roman" w:hAnsi="Times New Roman" w:cs="Times New Roman"/>
                <w:sz w:val="24"/>
                <w:szCs w:val="24"/>
              </w:rPr>
            </w:pPr>
            <w:r>
              <w:rPr>
                <w:rFonts w:ascii="Times New Roman" w:hAnsi="Times New Roman" w:cs="Times New Roman"/>
                <w:sz w:val="24"/>
                <w:szCs w:val="24"/>
              </w:rPr>
              <w:t>Chefs (5434)</w:t>
            </w:r>
          </w:p>
        </w:tc>
        <w:tc>
          <w:tcPr>
            <w:tcW w:w="670"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330,000</w:t>
            </w:r>
          </w:p>
        </w:tc>
        <w:tc>
          <w:tcPr>
            <w:tcW w:w="80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15%</w:t>
            </w:r>
          </w:p>
        </w:tc>
        <w:tc>
          <w:tcPr>
            <w:tcW w:w="80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8%</w:t>
            </w:r>
          </w:p>
        </w:tc>
        <w:tc>
          <w:tcPr>
            <w:tcW w:w="62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28%</w:t>
            </w:r>
          </w:p>
        </w:tc>
        <w:tc>
          <w:tcPr>
            <w:tcW w:w="588"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22%</w:t>
            </w:r>
          </w:p>
        </w:tc>
      </w:tr>
      <w:tr w:rsidR="00A07307" w:rsidRPr="007B4357" w:rsidTr="00A07307">
        <w:tc>
          <w:tcPr>
            <w:tcW w:w="1496" w:type="pct"/>
            <w:gridSpan w:val="2"/>
          </w:tcPr>
          <w:p w:rsidR="00A07307" w:rsidRDefault="00A07307" w:rsidP="00A07307">
            <w:pPr>
              <w:rPr>
                <w:rFonts w:ascii="Times New Roman" w:hAnsi="Times New Roman" w:cs="Times New Roman"/>
                <w:sz w:val="24"/>
                <w:szCs w:val="24"/>
              </w:rPr>
            </w:pPr>
            <w:r>
              <w:rPr>
                <w:rFonts w:ascii="Times New Roman" w:hAnsi="Times New Roman" w:cs="Times New Roman"/>
                <w:sz w:val="24"/>
                <w:szCs w:val="24"/>
              </w:rPr>
              <w:t>Waiters (9224)</w:t>
            </w:r>
          </w:p>
        </w:tc>
        <w:tc>
          <w:tcPr>
            <w:tcW w:w="670"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280,000</w:t>
            </w:r>
          </w:p>
        </w:tc>
        <w:tc>
          <w:tcPr>
            <w:tcW w:w="80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15%</w:t>
            </w:r>
          </w:p>
        </w:tc>
        <w:tc>
          <w:tcPr>
            <w:tcW w:w="80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9%</w:t>
            </w:r>
          </w:p>
        </w:tc>
        <w:tc>
          <w:tcPr>
            <w:tcW w:w="629" w:type="pct"/>
          </w:tcPr>
          <w:p w:rsidR="00A07307" w:rsidRPr="007B4357" w:rsidRDefault="00A07307" w:rsidP="00A07307">
            <w:pPr>
              <w:jc w:val="center"/>
              <w:rPr>
                <w:rFonts w:ascii="Times New Roman" w:hAnsi="Times New Roman" w:cs="Times New Roman"/>
                <w:sz w:val="24"/>
                <w:szCs w:val="24"/>
              </w:rPr>
            </w:pPr>
            <w:r>
              <w:rPr>
                <w:rFonts w:ascii="Times New Roman" w:hAnsi="Times New Roman" w:cs="Times New Roman"/>
                <w:sz w:val="24"/>
                <w:szCs w:val="24"/>
              </w:rPr>
              <w:t>38%</w:t>
            </w:r>
          </w:p>
        </w:tc>
        <w:tc>
          <w:tcPr>
            <w:tcW w:w="588" w:type="pct"/>
          </w:tcPr>
          <w:p w:rsidR="00A07307" w:rsidRDefault="00A07307" w:rsidP="00A07307">
            <w:pPr>
              <w:jc w:val="center"/>
              <w:rPr>
                <w:rFonts w:ascii="Times New Roman" w:hAnsi="Times New Roman" w:cs="Times New Roman"/>
                <w:sz w:val="24"/>
                <w:szCs w:val="24"/>
              </w:rPr>
            </w:pPr>
            <w:r>
              <w:rPr>
                <w:rFonts w:ascii="Times New Roman" w:hAnsi="Times New Roman" w:cs="Times New Roman"/>
                <w:sz w:val="24"/>
                <w:szCs w:val="24"/>
              </w:rPr>
              <w:t>15%</w:t>
            </w:r>
          </w:p>
        </w:tc>
      </w:tr>
    </w:tbl>
    <w:p w:rsidR="003E3100" w:rsidRPr="009104A4" w:rsidRDefault="003E3100" w:rsidP="003E3100">
      <w:pPr>
        <w:pStyle w:val="CM10"/>
        <w:spacing w:after="0"/>
        <w:rPr>
          <w:sz w:val="20"/>
        </w:rPr>
      </w:pPr>
      <w:r w:rsidRPr="009104A4">
        <w:rPr>
          <w:i/>
          <w:sz w:val="20"/>
        </w:rPr>
        <w:t>Source</w:t>
      </w:r>
      <w:r w:rsidRPr="009104A4">
        <w:rPr>
          <w:sz w:val="20"/>
        </w:rPr>
        <w:t>: LFS</w:t>
      </w:r>
      <w:r>
        <w:rPr>
          <w:sz w:val="20"/>
        </w:rPr>
        <w:t xml:space="preserve">. </w:t>
      </w:r>
      <w:r w:rsidR="000A2C57">
        <w:rPr>
          <w:sz w:val="20"/>
        </w:rPr>
        <w:t>Classifications based on SOC 2000 codes</w:t>
      </w:r>
      <w:r w:rsidR="004A2C5C">
        <w:rPr>
          <w:sz w:val="20"/>
        </w:rPr>
        <w:t xml:space="preserve"> averaged over four qua</w:t>
      </w:r>
      <w:r w:rsidR="00B14E1E">
        <w:rPr>
          <w:sz w:val="20"/>
        </w:rPr>
        <w:t>r</w:t>
      </w:r>
      <w:r w:rsidR="004A2C5C">
        <w:rPr>
          <w:sz w:val="20"/>
        </w:rPr>
        <w:t>ters</w:t>
      </w:r>
      <w:r w:rsidR="000A2C57">
        <w:rPr>
          <w:sz w:val="20"/>
        </w:rPr>
        <w:t xml:space="preserve">. </w:t>
      </w:r>
      <w:r>
        <w:rPr>
          <w:sz w:val="20"/>
        </w:rPr>
        <w:t>Note</w:t>
      </w:r>
      <w:r w:rsidR="00033341">
        <w:rPr>
          <w:sz w:val="20"/>
        </w:rPr>
        <w:t xml:space="preserve"> </w:t>
      </w:r>
      <w:r w:rsidR="00DF1860">
        <w:rPr>
          <w:sz w:val="20"/>
        </w:rPr>
        <w:t>a g</w:t>
      </w:r>
      <w:r w:rsidR="00033341">
        <w:rPr>
          <w:sz w:val="20"/>
        </w:rPr>
        <w:t xml:space="preserve">raduate is defined as having left full-time education aged 21 and over. </w:t>
      </w:r>
    </w:p>
    <w:p w:rsidR="00D21F95" w:rsidRDefault="00D21F95" w:rsidP="00171D53">
      <w:pPr>
        <w:jc w:val="both"/>
        <w:rPr>
          <w:rFonts w:ascii="Times New Roman" w:hAnsi="Times New Roman" w:cs="Times New Roman"/>
          <w:b/>
          <w:bCs/>
          <w:color w:val="00000A"/>
          <w:sz w:val="24"/>
          <w:szCs w:val="24"/>
        </w:rPr>
      </w:pPr>
    </w:p>
    <w:p w:rsidR="00C840D2" w:rsidRPr="00171D53" w:rsidRDefault="00622909" w:rsidP="00171D53">
      <w:pPr>
        <w:jc w:val="both"/>
        <w:rPr>
          <w:rFonts w:ascii="Times New Roman" w:hAnsi="Times New Roman" w:cs="Times New Roman"/>
          <w:b/>
          <w:bCs/>
          <w:color w:val="00000A"/>
          <w:sz w:val="24"/>
          <w:szCs w:val="24"/>
        </w:rPr>
      </w:pPr>
      <w:r w:rsidRPr="00171D53">
        <w:rPr>
          <w:rFonts w:ascii="Times New Roman" w:hAnsi="Times New Roman" w:cs="Times New Roman"/>
          <w:b/>
          <w:bCs/>
          <w:color w:val="00000A"/>
          <w:sz w:val="24"/>
          <w:szCs w:val="24"/>
        </w:rPr>
        <w:t xml:space="preserve">4. </w:t>
      </w:r>
      <w:r w:rsidR="00B75B2B">
        <w:rPr>
          <w:rFonts w:ascii="Times New Roman" w:hAnsi="Times New Roman" w:cs="Times New Roman"/>
          <w:b/>
          <w:bCs/>
          <w:color w:val="00000A"/>
          <w:sz w:val="24"/>
          <w:szCs w:val="24"/>
        </w:rPr>
        <w:t xml:space="preserve">The </w:t>
      </w:r>
      <w:r w:rsidR="00C840D2" w:rsidRPr="00171D53">
        <w:rPr>
          <w:rFonts w:ascii="Times New Roman" w:hAnsi="Times New Roman" w:cs="Times New Roman"/>
          <w:b/>
          <w:bCs/>
          <w:color w:val="00000A"/>
          <w:sz w:val="24"/>
          <w:szCs w:val="24"/>
        </w:rPr>
        <w:t xml:space="preserve">Way </w:t>
      </w:r>
      <w:r w:rsidR="00B75B2B">
        <w:rPr>
          <w:rFonts w:ascii="Times New Roman" w:hAnsi="Times New Roman" w:cs="Times New Roman"/>
          <w:b/>
          <w:bCs/>
          <w:color w:val="00000A"/>
          <w:sz w:val="24"/>
          <w:szCs w:val="24"/>
        </w:rPr>
        <w:t>of</w:t>
      </w:r>
      <w:r w:rsidR="00C840D2" w:rsidRPr="00171D53">
        <w:rPr>
          <w:rFonts w:ascii="Times New Roman" w:hAnsi="Times New Roman" w:cs="Times New Roman"/>
          <w:b/>
          <w:bCs/>
          <w:color w:val="00000A"/>
          <w:sz w:val="24"/>
          <w:szCs w:val="24"/>
        </w:rPr>
        <w:t xml:space="preserve"> the Future</w:t>
      </w:r>
    </w:p>
    <w:p w:rsidR="00027F18" w:rsidRDefault="00C52B63" w:rsidP="00D9388A">
      <w:pPr>
        <w:tabs>
          <w:tab w:val="left" w:pos="3686"/>
        </w:tabs>
        <w:spacing w:after="0" w:line="480" w:lineRule="auto"/>
        <w:jc w:val="both"/>
        <w:rPr>
          <w:rFonts w:ascii="Times New Roman" w:hAnsi="Times New Roman" w:cs="Times New Roman"/>
          <w:sz w:val="24"/>
          <w:szCs w:val="24"/>
        </w:rPr>
      </w:pPr>
      <w:r w:rsidRPr="00D9388A">
        <w:rPr>
          <w:rFonts w:ascii="Times New Roman" w:hAnsi="Times New Roman" w:cs="Times New Roman"/>
          <w:sz w:val="24"/>
          <w:szCs w:val="24"/>
        </w:rPr>
        <w:t xml:space="preserve">It is </w:t>
      </w:r>
      <w:r w:rsidR="0092337E" w:rsidRPr="00D9388A">
        <w:rPr>
          <w:rFonts w:ascii="Times New Roman" w:hAnsi="Times New Roman" w:cs="Times New Roman"/>
          <w:sz w:val="24"/>
          <w:szCs w:val="24"/>
        </w:rPr>
        <w:t xml:space="preserve">of course </w:t>
      </w:r>
      <w:r w:rsidRPr="00D9388A">
        <w:rPr>
          <w:rFonts w:ascii="Times New Roman" w:hAnsi="Times New Roman" w:cs="Times New Roman"/>
          <w:sz w:val="24"/>
          <w:szCs w:val="24"/>
        </w:rPr>
        <w:t>conceivable that the</w:t>
      </w:r>
      <w:r w:rsidR="00230352">
        <w:rPr>
          <w:rFonts w:ascii="Times New Roman" w:hAnsi="Times New Roman" w:cs="Times New Roman"/>
          <w:sz w:val="24"/>
          <w:szCs w:val="24"/>
        </w:rPr>
        <w:t xml:space="preserve"> downward</w:t>
      </w:r>
      <w:r w:rsidRPr="00D9388A">
        <w:rPr>
          <w:rFonts w:ascii="Times New Roman" w:hAnsi="Times New Roman" w:cs="Times New Roman"/>
          <w:sz w:val="24"/>
          <w:szCs w:val="24"/>
        </w:rPr>
        <w:t xml:space="preserve"> trends in EU migration that began in 2016</w:t>
      </w:r>
      <w:r w:rsidR="00230352">
        <w:rPr>
          <w:rFonts w:ascii="Times New Roman" w:hAnsi="Times New Roman" w:cs="Times New Roman"/>
          <w:sz w:val="24"/>
          <w:szCs w:val="24"/>
        </w:rPr>
        <w:t>/2017</w:t>
      </w:r>
      <w:r w:rsidRPr="00D9388A">
        <w:rPr>
          <w:rFonts w:ascii="Times New Roman" w:hAnsi="Times New Roman" w:cs="Times New Roman"/>
          <w:sz w:val="24"/>
          <w:szCs w:val="24"/>
        </w:rPr>
        <w:t xml:space="preserve"> will continue without the </w:t>
      </w:r>
      <w:r w:rsidR="00EC1145">
        <w:rPr>
          <w:rFonts w:ascii="Times New Roman" w:hAnsi="Times New Roman" w:cs="Times New Roman"/>
          <w:sz w:val="24"/>
          <w:szCs w:val="24"/>
        </w:rPr>
        <w:t xml:space="preserve">government perceiving a </w:t>
      </w:r>
      <w:r w:rsidRPr="00D9388A">
        <w:rPr>
          <w:rFonts w:ascii="Times New Roman" w:hAnsi="Times New Roman" w:cs="Times New Roman"/>
          <w:sz w:val="24"/>
          <w:szCs w:val="24"/>
        </w:rPr>
        <w:t>need to impose restrictions</w:t>
      </w:r>
      <w:r w:rsidR="00230352">
        <w:rPr>
          <w:rFonts w:ascii="Times New Roman" w:hAnsi="Times New Roman" w:cs="Times New Roman"/>
          <w:sz w:val="24"/>
          <w:szCs w:val="24"/>
        </w:rPr>
        <w:t>,</w:t>
      </w:r>
      <w:r w:rsidR="0092337E" w:rsidRPr="00D9388A">
        <w:rPr>
          <w:rFonts w:ascii="Times New Roman" w:hAnsi="Times New Roman" w:cs="Times New Roman"/>
          <w:sz w:val="24"/>
          <w:szCs w:val="24"/>
        </w:rPr>
        <w:t xml:space="preserve"> </w:t>
      </w:r>
      <w:r w:rsidR="00EC1145">
        <w:rPr>
          <w:rFonts w:ascii="Times New Roman" w:hAnsi="Times New Roman" w:cs="Times New Roman"/>
          <w:sz w:val="24"/>
          <w:szCs w:val="24"/>
        </w:rPr>
        <w:t xml:space="preserve">assuming that </w:t>
      </w:r>
      <w:r w:rsidR="0092337E" w:rsidRPr="00D9388A">
        <w:rPr>
          <w:rFonts w:ascii="Times New Roman" w:hAnsi="Times New Roman" w:cs="Times New Roman"/>
          <w:sz w:val="24"/>
          <w:szCs w:val="24"/>
        </w:rPr>
        <w:t xml:space="preserve"> reducing migrant numbers were the sole focus of future immigration policy. </w:t>
      </w:r>
      <w:r w:rsidR="00D9388A" w:rsidRPr="00D9388A">
        <w:rPr>
          <w:rFonts w:ascii="Times New Roman" w:hAnsi="Times New Roman" w:cs="Times New Roman"/>
          <w:sz w:val="24"/>
          <w:szCs w:val="24"/>
        </w:rPr>
        <w:t xml:space="preserve"> </w:t>
      </w:r>
      <w:r w:rsidR="00EC1145">
        <w:rPr>
          <w:rFonts w:ascii="Times New Roman" w:hAnsi="Times New Roman" w:cs="Times New Roman"/>
          <w:sz w:val="24"/>
          <w:szCs w:val="24"/>
        </w:rPr>
        <w:t>Indeed i</w:t>
      </w:r>
      <w:r w:rsidR="00A55343">
        <w:rPr>
          <w:rFonts w:ascii="Times New Roman" w:hAnsi="Times New Roman" w:cs="Times New Roman"/>
          <w:sz w:val="24"/>
          <w:szCs w:val="24"/>
        </w:rPr>
        <w:t>t</w:t>
      </w:r>
      <w:r w:rsidR="00D9388A" w:rsidRPr="00D9388A">
        <w:rPr>
          <w:rFonts w:ascii="Times New Roman" w:eastAsia="Calibri" w:hAnsi="Times New Roman" w:cs="Times New Roman"/>
          <w:sz w:val="24"/>
          <w:szCs w:val="24"/>
        </w:rPr>
        <w:t xml:space="preserve"> may well be that </w:t>
      </w:r>
      <w:r w:rsidR="00A55343">
        <w:rPr>
          <w:rFonts w:ascii="Times New Roman" w:eastAsia="Calibri" w:hAnsi="Times New Roman" w:cs="Times New Roman"/>
          <w:sz w:val="24"/>
          <w:szCs w:val="24"/>
        </w:rPr>
        <w:t xml:space="preserve">the change in direction of EU immigration flows following </w:t>
      </w:r>
      <w:r w:rsidR="00D9388A" w:rsidRPr="00D9388A">
        <w:rPr>
          <w:rFonts w:ascii="Times New Roman" w:eastAsia="Calibri" w:hAnsi="Times New Roman" w:cs="Times New Roman"/>
          <w:sz w:val="24"/>
          <w:szCs w:val="24"/>
        </w:rPr>
        <w:t>Brexit has already forced some adjustment</w:t>
      </w:r>
      <w:r w:rsidR="00A55343">
        <w:rPr>
          <w:rFonts w:ascii="Times New Roman" w:eastAsia="Calibri" w:hAnsi="Times New Roman" w:cs="Times New Roman"/>
          <w:sz w:val="24"/>
          <w:szCs w:val="24"/>
        </w:rPr>
        <w:t>,</w:t>
      </w:r>
      <w:r w:rsidR="005F06E1">
        <w:rPr>
          <w:rFonts w:ascii="Times New Roman" w:eastAsia="Calibri" w:hAnsi="Times New Roman" w:cs="Times New Roman"/>
          <w:sz w:val="24"/>
          <w:szCs w:val="24"/>
        </w:rPr>
        <w:t xml:space="preserve"> so the immediate migration response of increased outflows and a fall in inflows after the</w:t>
      </w:r>
      <w:r w:rsidR="00D9388A" w:rsidRPr="00D9388A">
        <w:rPr>
          <w:rFonts w:ascii="Times New Roman" w:eastAsia="Calibri" w:hAnsi="Times New Roman" w:cs="Times New Roman"/>
          <w:sz w:val="24"/>
          <w:szCs w:val="24"/>
        </w:rPr>
        <w:t xml:space="preserve"> </w:t>
      </w:r>
      <w:r w:rsidR="00770F89">
        <w:rPr>
          <w:rFonts w:ascii="Times New Roman" w:eastAsia="Calibri" w:hAnsi="Times New Roman" w:cs="Times New Roman"/>
          <w:sz w:val="24"/>
          <w:szCs w:val="24"/>
        </w:rPr>
        <w:t>vote, outlined in section 3</w:t>
      </w:r>
      <w:r w:rsidR="005F06E1">
        <w:rPr>
          <w:rFonts w:ascii="Times New Roman" w:eastAsia="Calibri" w:hAnsi="Times New Roman" w:cs="Times New Roman"/>
          <w:sz w:val="24"/>
          <w:szCs w:val="24"/>
        </w:rPr>
        <w:t xml:space="preserve">, </w:t>
      </w:r>
      <w:r w:rsidR="00A55343">
        <w:rPr>
          <w:rFonts w:ascii="Times New Roman" w:eastAsia="Calibri" w:hAnsi="Times New Roman" w:cs="Times New Roman"/>
          <w:sz w:val="24"/>
          <w:szCs w:val="24"/>
        </w:rPr>
        <w:t>has forced</w:t>
      </w:r>
      <w:r w:rsidR="00D9388A" w:rsidRPr="00D9388A">
        <w:rPr>
          <w:rFonts w:ascii="Times New Roman" w:eastAsia="Calibri" w:hAnsi="Times New Roman" w:cs="Times New Roman"/>
          <w:sz w:val="24"/>
          <w:szCs w:val="24"/>
        </w:rPr>
        <w:t xml:space="preserve"> </w:t>
      </w:r>
      <w:r w:rsidR="00A55343">
        <w:rPr>
          <w:rFonts w:ascii="Times New Roman" w:eastAsia="Calibri" w:hAnsi="Times New Roman" w:cs="Times New Roman"/>
          <w:sz w:val="24"/>
          <w:szCs w:val="24"/>
        </w:rPr>
        <w:t>firms</w:t>
      </w:r>
      <w:r w:rsidR="00D9388A" w:rsidRPr="00D9388A">
        <w:rPr>
          <w:rFonts w:ascii="Times New Roman" w:eastAsia="Calibri" w:hAnsi="Times New Roman" w:cs="Times New Roman"/>
          <w:sz w:val="24"/>
          <w:szCs w:val="24"/>
        </w:rPr>
        <w:t xml:space="preserve"> to address the </w:t>
      </w:r>
      <w:r w:rsidR="00A55343">
        <w:rPr>
          <w:rFonts w:ascii="Times New Roman" w:eastAsia="Calibri" w:hAnsi="Times New Roman" w:cs="Times New Roman"/>
          <w:sz w:val="24"/>
          <w:szCs w:val="24"/>
        </w:rPr>
        <w:t xml:space="preserve">new </w:t>
      </w:r>
      <w:r w:rsidR="00D9388A" w:rsidRPr="00D9388A">
        <w:rPr>
          <w:rFonts w:ascii="Times New Roman" w:eastAsia="Calibri" w:hAnsi="Times New Roman" w:cs="Times New Roman"/>
          <w:sz w:val="24"/>
          <w:szCs w:val="24"/>
        </w:rPr>
        <w:t>reality</w:t>
      </w:r>
      <w:r w:rsidR="0055141A">
        <w:rPr>
          <w:rFonts w:ascii="Times New Roman" w:eastAsia="Calibri" w:hAnsi="Times New Roman" w:cs="Times New Roman"/>
          <w:sz w:val="24"/>
          <w:szCs w:val="24"/>
        </w:rPr>
        <w:t xml:space="preserve"> </w:t>
      </w:r>
      <w:r w:rsidR="0055141A" w:rsidRPr="00D9388A">
        <w:rPr>
          <w:rFonts w:ascii="Times New Roman" w:eastAsia="Calibri" w:hAnsi="Times New Roman" w:cs="Times New Roman"/>
          <w:sz w:val="24"/>
          <w:szCs w:val="24"/>
        </w:rPr>
        <w:t xml:space="preserve">without </w:t>
      </w:r>
      <w:r w:rsidR="0055141A">
        <w:rPr>
          <w:rFonts w:ascii="Times New Roman" w:eastAsia="Calibri" w:hAnsi="Times New Roman" w:cs="Times New Roman"/>
          <w:sz w:val="24"/>
          <w:szCs w:val="24"/>
        </w:rPr>
        <w:t xml:space="preserve">there being </w:t>
      </w:r>
      <w:r w:rsidR="0055141A" w:rsidRPr="00D9388A">
        <w:rPr>
          <w:rFonts w:ascii="Times New Roman" w:eastAsia="Calibri" w:hAnsi="Times New Roman" w:cs="Times New Roman"/>
          <w:sz w:val="24"/>
          <w:szCs w:val="24"/>
        </w:rPr>
        <w:t>any change in poli</w:t>
      </w:r>
      <w:r w:rsidR="0055141A">
        <w:rPr>
          <w:rFonts w:ascii="Times New Roman" w:eastAsia="Calibri" w:hAnsi="Times New Roman" w:cs="Times New Roman"/>
          <w:sz w:val="24"/>
          <w:szCs w:val="24"/>
        </w:rPr>
        <w:t>cy</w:t>
      </w:r>
      <w:r w:rsidR="00D9388A" w:rsidRPr="00D9388A">
        <w:rPr>
          <w:rFonts w:ascii="Times New Roman" w:eastAsia="Calibri" w:hAnsi="Times New Roman" w:cs="Times New Roman"/>
          <w:sz w:val="24"/>
          <w:szCs w:val="24"/>
        </w:rPr>
        <w:t>.</w:t>
      </w:r>
      <w:r w:rsidR="00007AA3">
        <w:rPr>
          <w:rStyle w:val="FootnoteReference"/>
          <w:rFonts w:ascii="Times New Roman" w:eastAsia="Calibri" w:hAnsi="Times New Roman" w:cs="Times New Roman"/>
          <w:sz w:val="24"/>
          <w:szCs w:val="24"/>
        </w:rPr>
        <w:footnoteReference w:id="17"/>
      </w:r>
      <w:r w:rsidRPr="00D9388A">
        <w:rPr>
          <w:rFonts w:ascii="Times New Roman" w:hAnsi="Times New Roman" w:cs="Times New Roman"/>
          <w:sz w:val="24"/>
          <w:szCs w:val="24"/>
        </w:rPr>
        <w:t xml:space="preserve"> </w:t>
      </w:r>
    </w:p>
    <w:p w:rsidR="00487719" w:rsidRDefault="00487719" w:rsidP="00D9388A">
      <w:pPr>
        <w:tabs>
          <w:tab w:val="left" w:pos="3686"/>
        </w:tabs>
        <w:spacing w:after="0" w:line="480" w:lineRule="auto"/>
        <w:jc w:val="both"/>
        <w:rPr>
          <w:rFonts w:ascii="Times New Roman" w:hAnsi="Times New Roman" w:cs="Times New Roman"/>
          <w:sz w:val="24"/>
          <w:szCs w:val="24"/>
        </w:rPr>
      </w:pPr>
    </w:p>
    <w:p w:rsidR="00C52B63" w:rsidRDefault="000B0753" w:rsidP="00D9388A">
      <w:pPr>
        <w:tabs>
          <w:tab w:val="left" w:pos="368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A55343">
        <w:rPr>
          <w:rFonts w:ascii="Times New Roman" w:hAnsi="Times New Roman" w:cs="Times New Roman"/>
          <w:sz w:val="24"/>
          <w:szCs w:val="24"/>
        </w:rPr>
        <w:t xml:space="preserve">t could </w:t>
      </w:r>
      <w:r>
        <w:rPr>
          <w:rFonts w:ascii="Times New Roman" w:hAnsi="Times New Roman" w:cs="Times New Roman"/>
          <w:sz w:val="24"/>
          <w:szCs w:val="24"/>
        </w:rPr>
        <w:t xml:space="preserve">also </w:t>
      </w:r>
      <w:r w:rsidR="00A55343">
        <w:rPr>
          <w:rFonts w:ascii="Times New Roman" w:hAnsi="Times New Roman" w:cs="Times New Roman"/>
          <w:sz w:val="24"/>
          <w:szCs w:val="24"/>
        </w:rPr>
        <w:t>be argued that i</w:t>
      </w:r>
      <w:r w:rsidR="00C52B63" w:rsidRPr="00D9388A">
        <w:rPr>
          <w:rFonts w:ascii="Times New Roman" w:hAnsi="Times New Roman" w:cs="Times New Roman"/>
          <w:sz w:val="24"/>
          <w:szCs w:val="24"/>
        </w:rPr>
        <w:t>f rising (EU) immigration had little effect on the UK-born workers then if EU immigration falls after Brexit might we also expect little effect</w:t>
      </w:r>
      <w:r w:rsidR="00027F18">
        <w:rPr>
          <w:rFonts w:ascii="Times New Roman" w:hAnsi="Times New Roman" w:cs="Times New Roman"/>
          <w:sz w:val="24"/>
          <w:szCs w:val="24"/>
        </w:rPr>
        <w:t xml:space="preserve"> with no change in </w:t>
      </w:r>
      <w:r w:rsidR="00E90723">
        <w:rPr>
          <w:rFonts w:ascii="Times New Roman" w:hAnsi="Times New Roman" w:cs="Times New Roman"/>
          <w:sz w:val="24"/>
          <w:szCs w:val="24"/>
        </w:rPr>
        <w:t xml:space="preserve">immigration </w:t>
      </w:r>
      <w:r w:rsidR="00027F18">
        <w:rPr>
          <w:rFonts w:ascii="Times New Roman" w:hAnsi="Times New Roman" w:cs="Times New Roman"/>
          <w:sz w:val="24"/>
          <w:szCs w:val="24"/>
        </w:rPr>
        <w:t>policy</w:t>
      </w:r>
      <w:r w:rsidR="00C52B63" w:rsidRPr="00D9388A">
        <w:rPr>
          <w:rFonts w:ascii="Times New Roman" w:hAnsi="Times New Roman" w:cs="Times New Roman"/>
          <w:sz w:val="24"/>
          <w:szCs w:val="24"/>
        </w:rPr>
        <w:t xml:space="preserve">? </w:t>
      </w:r>
      <w:r w:rsidR="007D53E4">
        <w:rPr>
          <w:rFonts w:ascii="Times New Roman" w:hAnsi="Times New Roman" w:cs="Times New Roman"/>
          <w:sz w:val="24"/>
          <w:szCs w:val="24"/>
        </w:rPr>
        <w:t>If we assume that the econometric models on which these findings are based control for other factors then these are the best estimates we have about immigration’s labour market effects, whether immigration is rising or falling.</w:t>
      </w:r>
      <w:r w:rsidR="007D53E4">
        <w:rPr>
          <w:rStyle w:val="FootnoteReference"/>
          <w:rFonts w:ascii="Times New Roman" w:hAnsi="Times New Roman" w:cs="Times New Roman"/>
          <w:sz w:val="24"/>
          <w:szCs w:val="24"/>
        </w:rPr>
        <w:footnoteReference w:id="18"/>
      </w:r>
      <w:r w:rsidR="007D53E4">
        <w:rPr>
          <w:rFonts w:ascii="Times New Roman" w:hAnsi="Times New Roman" w:cs="Times New Roman"/>
          <w:sz w:val="24"/>
          <w:szCs w:val="24"/>
        </w:rPr>
        <w:t xml:space="preserve"> However this may </w:t>
      </w:r>
      <w:r w:rsidR="00C52B63" w:rsidRPr="00D9388A">
        <w:rPr>
          <w:rFonts w:ascii="Times New Roman" w:hAnsi="Times New Roman" w:cs="Times New Roman"/>
          <w:sz w:val="24"/>
          <w:szCs w:val="24"/>
        </w:rPr>
        <w:t xml:space="preserve">not necessarily </w:t>
      </w:r>
      <w:r w:rsidR="007D53E4">
        <w:rPr>
          <w:rFonts w:ascii="Times New Roman" w:hAnsi="Times New Roman" w:cs="Times New Roman"/>
          <w:sz w:val="24"/>
          <w:szCs w:val="24"/>
        </w:rPr>
        <w:t xml:space="preserve">be </w:t>
      </w:r>
      <w:r w:rsidR="00C52B63" w:rsidRPr="00D9388A">
        <w:rPr>
          <w:rFonts w:ascii="Times New Roman" w:hAnsi="Times New Roman" w:cs="Times New Roman"/>
          <w:sz w:val="24"/>
          <w:szCs w:val="24"/>
        </w:rPr>
        <w:t xml:space="preserve">so, since going forward things will not be </w:t>
      </w:r>
      <w:r w:rsidR="00487719">
        <w:rPr>
          <w:rFonts w:ascii="Times New Roman" w:hAnsi="Times New Roman" w:cs="Times New Roman"/>
          <w:sz w:val="24"/>
          <w:szCs w:val="24"/>
        </w:rPr>
        <w:t xml:space="preserve">governed by </w:t>
      </w:r>
      <w:r w:rsidR="00C52B63" w:rsidRPr="00D9388A">
        <w:rPr>
          <w:rFonts w:ascii="Times New Roman" w:hAnsi="Times New Roman" w:cs="Times New Roman"/>
          <w:sz w:val="24"/>
          <w:szCs w:val="24"/>
        </w:rPr>
        <w:t xml:space="preserve">the same macro-environment in which EU immigration was rising. </w:t>
      </w:r>
      <w:r w:rsidR="007D53E4">
        <w:rPr>
          <w:rFonts w:ascii="Times New Roman" w:hAnsi="Times New Roman" w:cs="Times New Roman"/>
          <w:sz w:val="24"/>
          <w:szCs w:val="24"/>
        </w:rPr>
        <w:t xml:space="preserve">It is the effect of the </w:t>
      </w:r>
      <w:r w:rsidR="007D53E4" w:rsidRPr="007D53E4">
        <w:rPr>
          <w:rFonts w:ascii="Times New Roman" w:hAnsi="Times New Roman" w:cs="Times New Roman"/>
          <w:i/>
          <w:sz w:val="24"/>
          <w:szCs w:val="24"/>
        </w:rPr>
        <w:t>interaction</w:t>
      </w:r>
      <w:r w:rsidR="007D53E4">
        <w:rPr>
          <w:rFonts w:ascii="Times New Roman" w:hAnsi="Times New Roman" w:cs="Times New Roman"/>
          <w:sz w:val="24"/>
          <w:szCs w:val="24"/>
        </w:rPr>
        <w:t xml:space="preserve"> of changes in the external environment alongside immigration trends that we are much less certain of. </w:t>
      </w:r>
      <w:r w:rsidR="00385998">
        <w:rPr>
          <w:rFonts w:ascii="Times New Roman" w:hAnsi="Times New Roman" w:cs="Times New Roman"/>
          <w:sz w:val="24"/>
          <w:szCs w:val="24"/>
        </w:rPr>
        <w:t xml:space="preserve">Alongside possible restrictions on the movement of labour from the EU, </w:t>
      </w:r>
      <w:r w:rsidR="00E90723">
        <w:rPr>
          <w:rFonts w:ascii="Times New Roman" w:hAnsi="Times New Roman" w:cs="Times New Roman"/>
          <w:sz w:val="24"/>
          <w:szCs w:val="24"/>
        </w:rPr>
        <w:t>t</w:t>
      </w:r>
      <w:r w:rsidR="00C52B63" w:rsidRPr="00D9388A">
        <w:rPr>
          <w:rFonts w:ascii="Times New Roman" w:hAnsi="Times New Roman" w:cs="Times New Roman"/>
          <w:sz w:val="24"/>
          <w:szCs w:val="24"/>
        </w:rPr>
        <w:t xml:space="preserve">he ending of free trade with </w:t>
      </w:r>
      <w:r w:rsidR="00487719">
        <w:rPr>
          <w:rFonts w:ascii="Times New Roman" w:hAnsi="Times New Roman" w:cs="Times New Roman"/>
          <w:sz w:val="24"/>
          <w:szCs w:val="24"/>
        </w:rPr>
        <w:t xml:space="preserve">the </w:t>
      </w:r>
      <w:r w:rsidR="00C52B63" w:rsidRPr="00D9388A">
        <w:rPr>
          <w:rFonts w:ascii="Times New Roman" w:hAnsi="Times New Roman" w:cs="Times New Roman"/>
          <w:sz w:val="24"/>
          <w:szCs w:val="24"/>
        </w:rPr>
        <w:t xml:space="preserve">EU that </w:t>
      </w:r>
      <w:r w:rsidR="00385998">
        <w:rPr>
          <w:rFonts w:ascii="Times New Roman" w:hAnsi="Times New Roman" w:cs="Times New Roman"/>
          <w:sz w:val="24"/>
          <w:szCs w:val="24"/>
        </w:rPr>
        <w:t>could</w:t>
      </w:r>
      <w:r w:rsidR="00C52B63" w:rsidRPr="00D9388A">
        <w:rPr>
          <w:rFonts w:ascii="Times New Roman" w:hAnsi="Times New Roman" w:cs="Times New Roman"/>
          <w:sz w:val="24"/>
          <w:szCs w:val="24"/>
        </w:rPr>
        <w:t xml:space="preserve"> accompany Brexit, the change in the exchange rate that will accompany Brexit, the change in UK growth path that will accompany Brexit, the relative performance of other economies are all added unknowns that mean going forward </w:t>
      </w:r>
      <w:r w:rsidR="00385998">
        <w:rPr>
          <w:rFonts w:ascii="Times New Roman" w:hAnsi="Times New Roman" w:cs="Times New Roman"/>
          <w:sz w:val="24"/>
          <w:szCs w:val="24"/>
        </w:rPr>
        <w:t xml:space="preserve">may </w:t>
      </w:r>
      <w:r w:rsidR="00C52B63" w:rsidRPr="00D9388A">
        <w:rPr>
          <w:rFonts w:ascii="Times New Roman" w:hAnsi="Times New Roman" w:cs="Times New Roman"/>
          <w:sz w:val="24"/>
          <w:szCs w:val="24"/>
        </w:rPr>
        <w:t xml:space="preserve">not </w:t>
      </w:r>
      <w:r w:rsidR="00385998">
        <w:rPr>
          <w:rFonts w:ascii="Times New Roman" w:hAnsi="Times New Roman" w:cs="Times New Roman"/>
          <w:sz w:val="24"/>
          <w:szCs w:val="24"/>
        </w:rPr>
        <w:t xml:space="preserve">be </w:t>
      </w:r>
      <w:r w:rsidR="00C52B63" w:rsidRPr="00D9388A">
        <w:rPr>
          <w:rFonts w:ascii="Times New Roman" w:hAnsi="Times New Roman" w:cs="Times New Roman"/>
          <w:sz w:val="24"/>
          <w:szCs w:val="24"/>
        </w:rPr>
        <w:t>the same as going back</w:t>
      </w:r>
      <w:r w:rsidR="00385998">
        <w:rPr>
          <w:rFonts w:ascii="Times New Roman" w:hAnsi="Times New Roman" w:cs="Times New Roman"/>
          <w:sz w:val="24"/>
          <w:szCs w:val="24"/>
        </w:rPr>
        <w:t>.</w:t>
      </w:r>
      <w:r w:rsidR="00185247">
        <w:rPr>
          <w:rFonts w:ascii="Times New Roman" w:hAnsi="Times New Roman" w:cs="Times New Roman"/>
          <w:sz w:val="24"/>
          <w:szCs w:val="24"/>
        </w:rPr>
        <w:t xml:space="preserve"> Nor can it be said with any certainty that the preferences of any new administration, were there to be an intervening general election, would be the same as the current administration.</w:t>
      </w:r>
      <w:r w:rsidR="00385998">
        <w:rPr>
          <w:rFonts w:ascii="Times New Roman" w:hAnsi="Times New Roman" w:cs="Times New Roman"/>
          <w:sz w:val="24"/>
          <w:szCs w:val="24"/>
        </w:rPr>
        <w:t xml:space="preserve"> In short,</w:t>
      </w:r>
      <w:r w:rsidR="00C52B63" w:rsidRPr="00D9388A">
        <w:rPr>
          <w:rFonts w:ascii="Times New Roman" w:hAnsi="Times New Roman" w:cs="Times New Roman"/>
          <w:sz w:val="24"/>
          <w:szCs w:val="24"/>
        </w:rPr>
        <w:t xml:space="preserve"> predicting the future is tricky.</w:t>
      </w:r>
    </w:p>
    <w:p w:rsidR="00A55343" w:rsidRPr="00D9388A" w:rsidRDefault="00A55343" w:rsidP="00D9388A">
      <w:pPr>
        <w:tabs>
          <w:tab w:val="left" w:pos="3686"/>
        </w:tabs>
        <w:spacing w:after="0" w:line="480" w:lineRule="auto"/>
        <w:jc w:val="both"/>
        <w:rPr>
          <w:rFonts w:ascii="Times New Roman" w:eastAsia="Calibri" w:hAnsi="Times New Roman" w:cs="Times New Roman"/>
          <w:sz w:val="24"/>
          <w:szCs w:val="24"/>
        </w:rPr>
      </w:pPr>
    </w:p>
    <w:p w:rsidR="00C52B63" w:rsidRPr="00487719" w:rsidRDefault="00E35B34" w:rsidP="00C52B63">
      <w:pPr>
        <w:tabs>
          <w:tab w:val="left" w:pos="3686"/>
        </w:tabs>
        <w:jc w:val="both"/>
        <w:rPr>
          <w:rFonts w:ascii="Times New Roman" w:eastAsia="Calibri" w:hAnsi="Times New Roman" w:cs="Times New Roman"/>
          <w:b/>
          <w:i/>
        </w:rPr>
      </w:pPr>
      <w:r w:rsidRPr="00487719">
        <w:rPr>
          <w:rFonts w:ascii="Times New Roman" w:eastAsia="Calibri" w:hAnsi="Times New Roman" w:cs="Times New Roman"/>
          <w:b/>
          <w:i/>
        </w:rPr>
        <w:t xml:space="preserve">Immigration </w:t>
      </w:r>
      <w:r w:rsidR="00C52B63" w:rsidRPr="00487719">
        <w:rPr>
          <w:rFonts w:ascii="Times New Roman" w:eastAsia="Calibri" w:hAnsi="Times New Roman" w:cs="Times New Roman"/>
          <w:b/>
          <w:i/>
        </w:rPr>
        <w:t>Policy Options</w:t>
      </w:r>
    </w:p>
    <w:p w:rsidR="00C52B63" w:rsidRPr="001354F2" w:rsidRDefault="00185247" w:rsidP="001354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Assume instead </w:t>
      </w:r>
      <w:r w:rsidR="00E41BEB">
        <w:rPr>
          <w:rFonts w:ascii="Times New Roman" w:hAnsi="Times New Roman" w:cs="Times New Roman"/>
          <w:sz w:val="24"/>
          <w:szCs w:val="24"/>
        </w:rPr>
        <w:t>that</w:t>
      </w:r>
      <w:r w:rsidR="00770F89">
        <w:rPr>
          <w:rFonts w:ascii="Times New Roman" w:hAnsi="Times New Roman" w:cs="Times New Roman"/>
          <w:sz w:val="24"/>
          <w:szCs w:val="24"/>
        </w:rPr>
        <w:t>,</w:t>
      </w:r>
      <w:r w:rsidR="00E41BEB">
        <w:rPr>
          <w:rFonts w:ascii="Times New Roman" w:hAnsi="Times New Roman" w:cs="Times New Roman"/>
          <w:sz w:val="24"/>
          <w:szCs w:val="24"/>
        </w:rPr>
        <w:t xml:space="preserve"> </w:t>
      </w:r>
      <w:r w:rsidR="00770F89">
        <w:rPr>
          <w:rFonts w:ascii="Times New Roman" w:hAnsi="Times New Roman" w:cs="Times New Roman"/>
          <w:sz w:val="24"/>
          <w:szCs w:val="24"/>
        </w:rPr>
        <w:t xml:space="preserve">regardless of the labour market evidence, </w:t>
      </w:r>
      <w:r w:rsidR="001354F2">
        <w:rPr>
          <w:rFonts w:ascii="Times New Roman" w:hAnsi="Times New Roman" w:cs="Times New Roman"/>
          <w:sz w:val="24"/>
          <w:szCs w:val="24"/>
        </w:rPr>
        <w:t>some time a</w:t>
      </w:r>
      <w:r w:rsidR="001354F2" w:rsidRPr="004616CB">
        <w:rPr>
          <w:rFonts w:ascii="Times New Roman" w:hAnsi="Times New Roman" w:cs="Times New Roman"/>
          <w:sz w:val="24"/>
          <w:szCs w:val="24"/>
        </w:rPr>
        <w:t xml:space="preserve">fter 2019 (or </w:t>
      </w:r>
      <w:r w:rsidR="001354F2">
        <w:rPr>
          <w:rFonts w:ascii="Times New Roman" w:hAnsi="Times New Roman" w:cs="Times New Roman"/>
          <w:sz w:val="24"/>
          <w:szCs w:val="24"/>
        </w:rPr>
        <w:t xml:space="preserve">in </w:t>
      </w:r>
      <w:r w:rsidR="001354F2" w:rsidRPr="004616CB">
        <w:rPr>
          <w:rFonts w:ascii="Times New Roman" w:hAnsi="Times New Roman" w:cs="Times New Roman"/>
          <w:sz w:val="24"/>
          <w:szCs w:val="24"/>
        </w:rPr>
        <w:t xml:space="preserve">2021 when the transition period </w:t>
      </w:r>
      <w:r w:rsidR="001354F2">
        <w:rPr>
          <w:rFonts w:ascii="Times New Roman" w:hAnsi="Times New Roman" w:cs="Times New Roman"/>
          <w:sz w:val="24"/>
          <w:szCs w:val="24"/>
        </w:rPr>
        <w:t>is set to end</w:t>
      </w:r>
      <w:r w:rsidR="001354F2" w:rsidRPr="004616CB">
        <w:rPr>
          <w:rFonts w:ascii="Times New Roman" w:hAnsi="Times New Roman" w:cs="Times New Roman"/>
          <w:sz w:val="24"/>
          <w:szCs w:val="24"/>
        </w:rPr>
        <w:t xml:space="preserve">) the UK </w:t>
      </w:r>
      <w:r>
        <w:rPr>
          <w:rFonts w:ascii="Times New Roman" w:hAnsi="Times New Roman" w:cs="Times New Roman"/>
          <w:sz w:val="24"/>
          <w:szCs w:val="24"/>
        </w:rPr>
        <w:t xml:space="preserve">government administration of the day </w:t>
      </w:r>
      <w:r w:rsidR="001354F2" w:rsidRPr="004616CB">
        <w:rPr>
          <w:rFonts w:ascii="Times New Roman" w:hAnsi="Times New Roman" w:cs="Times New Roman"/>
          <w:sz w:val="24"/>
          <w:szCs w:val="24"/>
        </w:rPr>
        <w:t xml:space="preserve">will </w:t>
      </w:r>
      <w:r>
        <w:rPr>
          <w:rFonts w:ascii="Times New Roman" w:hAnsi="Times New Roman" w:cs="Times New Roman"/>
          <w:sz w:val="24"/>
          <w:szCs w:val="24"/>
        </w:rPr>
        <w:t xml:space="preserve">perceive the need </w:t>
      </w:r>
      <w:r w:rsidR="001354F2" w:rsidRPr="004616CB">
        <w:rPr>
          <w:rFonts w:ascii="Times New Roman" w:hAnsi="Times New Roman" w:cs="Times New Roman"/>
          <w:sz w:val="24"/>
          <w:szCs w:val="24"/>
        </w:rPr>
        <w:t>place some restrictions on the freedom of movement</w:t>
      </w:r>
      <w:r w:rsidR="001354F2">
        <w:rPr>
          <w:rFonts w:ascii="Times New Roman" w:hAnsi="Times New Roman" w:cs="Times New Roman"/>
          <w:sz w:val="24"/>
          <w:szCs w:val="24"/>
        </w:rPr>
        <w:t xml:space="preserve"> of EU citizens</w:t>
      </w:r>
      <w:r w:rsidR="001354F2" w:rsidRPr="004616CB">
        <w:rPr>
          <w:rFonts w:ascii="Times New Roman" w:hAnsi="Times New Roman" w:cs="Times New Roman"/>
          <w:sz w:val="24"/>
          <w:szCs w:val="24"/>
        </w:rPr>
        <w:t xml:space="preserve"> into the UK</w:t>
      </w:r>
      <w:r w:rsidR="001354F2">
        <w:rPr>
          <w:rFonts w:ascii="Times New Roman" w:hAnsi="Times New Roman" w:cs="Times New Roman"/>
          <w:sz w:val="24"/>
          <w:szCs w:val="24"/>
        </w:rPr>
        <w:t xml:space="preserve">, </w:t>
      </w:r>
      <w:r w:rsidR="001354F2" w:rsidRPr="004616CB">
        <w:rPr>
          <w:rFonts w:ascii="Times New Roman" w:hAnsi="Times New Roman" w:cs="Times New Roman"/>
          <w:sz w:val="24"/>
          <w:szCs w:val="24"/>
        </w:rPr>
        <w:t>(as may the EU on UK citizens)</w:t>
      </w:r>
      <w:r w:rsidR="001354F2">
        <w:rPr>
          <w:rFonts w:ascii="Times New Roman" w:hAnsi="Times New Roman" w:cs="Times New Roman"/>
          <w:sz w:val="24"/>
          <w:szCs w:val="24"/>
        </w:rPr>
        <w:t xml:space="preserve">.  </w:t>
      </w:r>
      <w:r w:rsidR="00AF413A">
        <w:rPr>
          <w:rFonts w:ascii="Times New Roman" w:eastAsia="Calibri" w:hAnsi="Times New Roman" w:cs="Times New Roman"/>
          <w:sz w:val="24"/>
          <w:szCs w:val="24"/>
        </w:rPr>
        <w:t xml:space="preserve">If Brexit allows government the opportunity to stop the free movement of labour from the EU and </w:t>
      </w:r>
      <w:r w:rsidR="006C2DBF">
        <w:rPr>
          <w:rFonts w:ascii="Times New Roman" w:eastAsia="Calibri" w:hAnsi="Times New Roman" w:cs="Times New Roman"/>
          <w:sz w:val="24"/>
          <w:szCs w:val="24"/>
        </w:rPr>
        <w:t xml:space="preserve">to </w:t>
      </w:r>
      <w:r w:rsidR="00AF413A">
        <w:rPr>
          <w:rFonts w:ascii="Times New Roman" w:eastAsia="Calibri" w:hAnsi="Times New Roman" w:cs="Times New Roman"/>
          <w:sz w:val="24"/>
          <w:szCs w:val="24"/>
        </w:rPr>
        <w:t xml:space="preserve">look at immigration policy anew then what should it do? </w:t>
      </w:r>
      <w:r w:rsidR="00C52B63" w:rsidRPr="00522702">
        <w:rPr>
          <w:rFonts w:ascii="Times New Roman" w:eastAsia="Calibri" w:hAnsi="Times New Roman" w:cs="Times New Roman"/>
          <w:sz w:val="24"/>
          <w:szCs w:val="24"/>
        </w:rPr>
        <w:t>With regard to future immigration policy, a debate should probably be had as to whether any new</w:t>
      </w:r>
      <w:r w:rsidR="000111E6">
        <w:rPr>
          <w:rFonts w:ascii="Times New Roman" w:eastAsia="Calibri" w:hAnsi="Times New Roman" w:cs="Times New Roman"/>
          <w:sz w:val="24"/>
          <w:szCs w:val="24"/>
        </w:rPr>
        <w:t xml:space="preserve"> policies</w:t>
      </w:r>
      <w:r w:rsidR="00C52B63" w:rsidRPr="00522702">
        <w:rPr>
          <w:rFonts w:ascii="Times New Roman" w:eastAsia="Calibri" w:hAnsi="Times New Roman" w:cs="Times New Roman"/>
          <w:sz w:val="24"/>
          <w:szCs w:val="24"/>
        </w:rPr>
        <w:t xml:space="preserve"> should deal with the i</w:t>
      </w:r>
      <w:r w:rsidR="006C2DBF">
        <w:rPr>
          <w:rFonts w:ascii="Times New Roman" w:eastAsia="Calibri" w:hAnsi="Times New Roman" w:cs="Times New Roman"/>
          <w:sz w:val="24"/>
          <w:szCs w:val="24"/>
        </w:rPr>
        <w:t>mmediate consequences of Brexit or</w:t>
      </w:r>
      <w:r w:rsidR="00C52B63" w:rsidRPr="00522702">
        <w:rPr>
          <w:rFonts w:ascii="Times New Roman" w:eastAsia="Calibri" w:hAnsi="Times New Roman" w:cs="Times New Roman"/>
          <w:sz w:val="24"/>
          <w:szCs w:val="24"/>
        </w:rPr>
        <w:t xml:space="preserve"> </w:t>
      </w:r>
      <w:r w:rsidR="000111E6">
        <w:rPr>
          <w:rFonts w:ascii="Times New Roman" w:eastAsia="Calibri" w:hAnsi="Times New Roman" w:cs="Times New Roman"/>
          <w:sz w:val="24"/>
          <w:szCs w:val="24"/>
        </w:rPr>
        <w:t>focus on</w:t>
      </w:r>
      <w:r w:rsidR="00C52B63" w:rsidRPr="00522702">
        <w:rPr>
          <w:rFonts w:ascii="Times New Roman" w:eastAsia="Calibri" w:hAnsi="Times New Roman" w:cs="Times New Roman"/>
          <w:sz w:val="24"/>
          <w:szCs w:val="24"/>
        </w:rPr>
        <w:t xml:space="preserve"> immigration policy in the</w:t>
      </w:r>
      <w:r w:rsidR="006C2DBF">
        <w:rPr>
          <w:rFonts w:ascii="Times New Roman" w:eastAsia="Calibri" w:hAnsi="Times New Roman" w:cs="Times New Roman"/>
          <w:sz w:val="24"/>
          <w:szCs w:val="24"/>
        </w:rPr>
        <w:t xml:space="preserve"> long-term as a strategy.</w:t>
      </w:r>
      <w:r w:rsidR="000111E6">
        <w:rPr>
          <w:rFonts w:ascii="Times New Roman" w:eastAsia="Calibri" w:hAnsi="Times New Roman" w:cs="Times New Roman"/>
          <w:sz w:val="24"/>
          <w:szCs w:val="24"/>
        </w:rPr>
        <w:t xml:space="preserve">  T</w:t>
      </w:r>
      <w:r w:rsidR="00C52B63" w:rsidRPr="00522702">
        <w:rPr>
          <w:rFonts w:ascii="Times New Roman" w:eastAsia="Calibri" w:hAnsi="Times New Roman" w:cs="Times New Roman"/>
          <w:sz w:val="24"/>
          <w:szCs w:val="24"/>
        </w:rPr>
        <w:t>he two issues are not necessarily the same.</w:t>
      </w:r>
      <w:r w:rsidR="000111E6">
        <w:rPr>
          <w:rFonts w:ascii="Times New Roman" w:eastAsia="Calibri" w:hAnsi="Times New Roman" w:cs="Times New Roman"/>
          <w:sz w:val="24"/>
          <w:szCs w:val="24"/>
        </w:rPr>
        <w:t xml:space="preserve"> T</w:t>
      </w:r>
      <w:r w:rsidR="00C52B63" w:rsidRPr="00522702">
        <w:rPr>
          <w:rFonts w:ascii="Times New Roman" w:eastAsia="Calibri" w:hAnsi="Times New Roman" w:cs="Times New Roman"/>
          <w:sz w:val="24"/>
          <w:szCs w:val="24"/>
        </w:rPr>
        <w:t xml:space="preserve">he immediate consequences of Brexit may be very different from what </w:t>
      </w:r>
      <w:r w:rsidR="000111E6">
        <w:rPr>
          <w:rFonts w:ascii="Times New Roman" w:eastAsia="Calibri" w:hAnsi="Times New Roman" w:cs="Times New Roman"/>
          <w:sz w:val="24"/>
          <w:szCs w:val="24"/>
        </w:rPr>
        <w:t xml:space="preserve">governments may </w:t>
      </w:r>
      <w:r w:rsidR="00C52B63" w:rsidRPr="00522702">
        <w:rPr>
          <w:rFonts w:ascii="Times New Roman" w:eastAsia="Calibri" w:hAnsi="Times New Roman" w:cs="Times New Roman"/>
          <w:sz w:val="24"/>
          <w:szCs w:val="24"/>
        </w:rPr>
        <w:t>want from a long-</w:t>
      </w:r>
      <w:r w:rsidR="000111E6">
        <w:rPr>
          <w:rFonts w:ascii="Times New Roman" w:eastAsia="Calibri" w:hAnsi="Times New Roman" w:cs="Times New Roman"/>
          <w:sz w:val="24"/>
          <w:szCs w:val="24"/>
        </w:rPr>
        <w:t>term immigration strategy.</w:t>
      </w:r>
    </w:p>
    <w:p w:rsidR="00E35B34" w:rsidRDefault="00E35B34" w:rsidP="000111E6">
      <w:pPr>
        <w:tabs>
          <w:tab w:val="left" w:pos="3686"/>
        </w:tabs>
        <w:spacing w:after="0" w:line="480" w:lineRule="auto"/>
        <w:jc w:val="both"/>
        <w:rPr>
          <w:rFonts w:ascii="Times New Roman" w:eastAsia="Calibri" w:hAnsi="Times New Roman" w:cs="Times New Roman"/>
          <w:sz w:val="24"/>
          <w:szCs w:val="24"/>
        </w:rPr>
      </w:pPr>
    </w:p>
    <w:p w:rsidR="00170EE7" w:rsidRDefault="00170EE7" w:rsidP="00651A6C">
      <w:pPr>
        <w:tabs>
          <w:tab w:val="left" w:pos="3686"/>
        </w:tabs>
        <w:spacing w:after="0" w:line="480" w:lineRule="auto"/>
        <w:jc w:val="both"/>
        <w:rPr>
          <w:rFonts w:ascii="Times New Roman" w:eastAsia="Calibri" w:hAnsi="Times New Roman" w:cs="Times New Roman"/>
          <w:sz w:val="24"/>
          <w:szCs w:val="24"/>
        </w:rPr>
      </w:pPr>
      <w:r w:rsidRPr="009E2F41">
        <w:rPr>
          <w:rFonts w:ascii="Times New Roman" w:eastAsia="Calibri" w:hAnsi="Times New Roman" w:cs="Times New Roman"/>
          <w:sz w:val="24"/>
          <w:szCs w:val="24"/>
        </w:rPr>
        <w:t xml:space="preserve">An economist </w:t>
      </w:r>
      <w:r w:rsidR="009E2F41" w:rsidRPr="009E2F41">
        <w:rPr>
          <w:rFonts w:ascii="Times New Roman" w:eastAsia="Calibri" w:hAnsi="Times New Roman" w:cs="Times New Roman"/>
          <w:sz w:val="24"/>
          <w:szCs w:val="24"/>
        </w:rPr>
        <w:t xml:space="preserve">might </w:t>
      </w:r>
      <w:r w:rsidRPr="009E2F41">
        <w:rPr>
          <w:rFonts w:ascii="Times New Roman" w:eastAsia="Calibri" w:hAnsi="Times New Roman" w:cs="Times New Roman"/>
          <w:sz w:val="24"/>
          <w:szCs w:val="24"/>
        </w:rPr>
        <w:t xml:space="preserve">suggest that the design of policy, should be based on the assessment of its </w:t>
      </w:r>
      <w:r w:rsidR="001D6D75">
        <w:rPr>
          <w:rFonts w:ascii="Times New Roman" w:eastAsia="Calibri" w:hAnsi="Times New Roman" w:cs="Times New Roman"/>
          <w:sz w:val="24"/>
          <w:szCs w:val="24"/>
        </w:rPr>
        <w:t xml:space="preserve">relative </w:t>
      </w:r>
      <w:r w:rsidRPr="009E2F41">
        <w:rPr>
          <w:rFonts w:ascii="Times New Roman" w:eastAsia="Calibri" w:hAnsi="Times New Roman" w:cs="Times New Roman"/>
          <w:sz w:val="24"/>
          <w:szCs w:val="24"/>
        </w:rPr>
        <w:t xml:space="preserve">costs and benefits, </w:t>
      </w:r>
      <w:r w:rsidR="001D6D75">
        <w:rPr>
          <w:rFonts w:ascii="Times New Roman" w:eastAsia="Calibri" w:hAnsi="Times New Roman" w:cs="Times New Roman"/>
          <w:sz w:val="24"/>
          <w:szCs w:val="24"/>
        </w:rPr>
        <w:t>with the aim of choosing the polic</w:t>
      </w:r>
      <w:r w:rsidR="000F20F8">
        <w:rPr>
          <w:rFonts w:ascii="Times New Roman" w:eastAsia="Calibri" w:hAnsi="Times New Roman" w:cs="Times New Roman"/>
          <w:sz w:val="24"/>
          <w:szCs w:val="24"/>
        </w:rPr>
        <w:t>i</w:t>
      </w:r>
      <w:r w:rsidR="001D6D75">
        <w:rPr>
          <w:rFonts w:ascii="Times New Roman" w:eastAsia="Calibri" w:hAnsi="Times New Roman" w:cs="Times New Roman"/>
          <w:sz w:val="24"/>
          <w:szCs w:val="24"/>
        </w:rPr>
        <w:t>es that have</w:t>
      </w:r>
      <w:r w:rsidRPr="009E2F41">
        <w:rPr>
          <w:rFonts w:ascii="Times New Roman" w:eastAsia="Calibri" w:hAnsi="Times New Roman" w:cs="Times New Roman"/>
          <w:sz w:val="24"/>
          <w:szCs w:val="24"/>
        </w:rPr>
        <w:t xml:space="preserve"> the greatest benefit </w:t>
      </w:r>
      <w:r w:rsidR="00651A6C">
        <w:rPr>
          <w:rFonts w:ascii="Times New Roman" w:eastAsia="Calibri" w:hAnsi="Times New Roman" w:cs="Times New Roman"/>
          <w:sz w:val="24"/>
          <w:szCs w:val="24"/>
        </w:rPr>
        <w:t>relative to the cost.  Q</w:t>
      </w:r>
      <w:r w:rsidRPr="009E2F41">
        <w:rPr>
          <w:rFonts w:ascii="Times New Roman" w:eastAsia="Calibri" w:hAnsi="Times New Roman" w:cs="Times New Roman"/>
          <w:sz w:val="24"/>
          <w:szCs w:val="24"/>
        </w:rPr>
        <w:t xml:space="preserve">uantifying costs and </w:t>
      </w:r>
      <w:r w:rsidR="00651A6C">
        <w:rPr>
          <w:rFonts w:ascii="Times New Roman" w:eastAsia="Calibri" w:hAnsi="Times New Roman" w:cs="Times New Roman"/>
          <w:sz w:val="24"/>
          <w:szCs w:val="24"/>
        </w:rPr>
        <w:t>benefits is never</w:t>
      </w:r>
      <w:r w:rsidRPr="009E2F41">
        <w:rPr>
          <w:rFonts w:ascii="Times New Roman" w:eastAsia="Calibri" w:hAnsi="Times New Roman" w:cs="Times New Roman"/>
          <w:sz w:val="24"/>
          <w:szCs w:val="24"/>
        </w:rPr>
        <w:t xml:space="preserve"> easy</w:t>
      </w:r>
      <w:r w:rsidR="00651A6C">
        <w:rPr>
          <w:rFonts w:ascii="Times New Roman" w:eastAsia="Calibri" w:hAnsi="Times New Roman" w:cs="Times New Roman"/>
          <w:sz w:val="24"/>
          <w:szCs w:val="24"/>
        </w:rPr>
        <w:t xml:space="preserve">, particularly when </w:t>
      </w:r>
      <w:r w:rsidR="001D6D75">
        <w:rPr>
          <w:rFonts w:ascii="Times New Roman" w:eastAsia="Calibri" w:hAnsi="Times New Roman" w:cs="Times New Roman"/>
          <w:sz w:val="24"/>
          <w:szCs w:val="24"/>
        </w:rPr>
        <w:t xml:space="preserve">it is not always obvious </w:t>
      </w:r>
      <w:r w:rsidR="00885CDF">
        <w:rPr>
          <w:rFonts w:ascii="Times New Roman" w:eastAsia="Calibri" w:hAnsi="Times New Roman" w:cs="Times New Roman"/>
          <w:sz w:val="24"/>
          <w:szCs w:val="24"/>
        </w:rPr>
        <w:t xml:space="preserve">which constituent policy is being </w:t>
      </w:r>
      <w:r w:rsidRPr="009E2F41">
        <w:rPr>
          <w:rFonts w:ascii="Times New Roman" w:eastAsia="Calibri" w:hAnsi="Times New Roman" w:cs="Times New Roman"/>
          <w:sz w:val="24"/>
          <w:szCs w:val="24"/>
        </w:rPr>
        <w:t>design</w:t>
      </w:r>
      <w:r w:rsidR="00885CDF">
        <w:rPr>
          <w:rFonts w:ascii="Times New Roman" w:eastAsia="Calibri" w:hAnsi="Times New Roman" w:cs="Times New Roman"/>
          <w:sz w:val="24"/>
          <w:szCs w:val="24"/>
        </w:rPr>
        <w:t>ed</w:t>
      </w:r>
      <w:r w:rsidRPr="009E2F41">
        <w:rPr>
          <w:rFonts w:ascii="Times New Roman" w:eastAsia="Calibri" w:hAnsi="Times New Roman" w:cs="Times New Roman"/>
          <w:sz w:val="24"/>
          <w:szCs w:val="24"/>
        </w:rPr>
        <w:t xml:space="preserve"> for</w:t>
      </w:r>
      <w:r w:rsidR="00885CDF">
        <w:rPr>
          <w:rFonts w:ascii="Times New Roman" w:eastAsia="Calibri" w:hAnsi="Times New Roman" w:cs="Times New Roman"/>
          <w:sz w:val="24"/>
          <w:szCs w:val="24"/>
        </w:rPr>
        <w:t>.</w:t>
      </w:r>
      <w:r w:rsidRPr="009E2F41">
        <w:rPr>
          <w:rFonts w:ascii="Times New Roman" w:eastAsia="Calibri" w:hAnsi="Times New Roman" w:cs="Times New Roman"/>
          <w:sz w:val="24"/>
          <w:szCs w:val="24"/>
        </w:rPr>
        <w:t xml:space="preserve">  Is it </w:t>
      </w:r>
      <w:r w:rsidR="00885CDF">
        <w:rPr>
          <w:rFonts w:ascii="Times New Roman" w:eastAsia="Calibri" w:hAnsi="Times New Roman" w:cs="Times New Roman"/>
          <w:sz w:val="24"/>
          <w:szCs w:val="24"/>
        </w:rPr>
        <w:t xml:space="preserve">the </w:t>
      </w:r>
      <w:r w:rsidRPr="009E2F41">
        <w:rPr>
          <w:rFonts w:ascii="Times New Roman" w:eastAsia="Calibri" w:hAnsi="Times New Roman" w:cs="Times New Roman"/>
          <w:sz w:val="24"/>
          <w:szCs w:val="24"/>
        </w:rPr>
        <w:t>UK Government?  Is it UK businesses?  Is it UK citizens?  Is it the different countries of the UK?  Is it t</w:t>
      </w:r>
      <w:r w:rsidR="00885CDF">
        <w:rPr>
          <w:rFonts w:ascii="Times New Roman" w:eastAsia="Calibri" w:hAnsi="Times New Roman" w:cs="Times New Roman"/>
          <w:sz w:val="24"/>
          <w:szCs w:val="24"/>
        </w:rPr>
        <w:t>he UK born population rather tha</w:t>
      </w:r>
      <w:r w:rsidRPr="009E2F41">
        <w:rPr>
          <w:rFonts w:ascii="Times New Roman" w:eastAsia="Calibri" w:hAnsi="Times New Roman" w:cs="Times New Roman"/>
          <w:sz w:val="24"/>
          <w:szCs w:val="24"/>
        </w:rPr>
        <w:t xml:space="preserve">n </w:t>
      </w:r>
      <w:r w:rsidR="00651A6C">
        <w:rPr>
          <w:rFonts w:ascii="Times New Roman" w:eastAsia="Calibri" w:hAnsi="Times New Roman" w:cs="Times New Roman"/>
          <w:sz w:val="24"/>
          <w:szCs w:val="24"/>
        </w:rPr>
        <w:t xml:space="preserve">all </w:t>
      </w:r>
      <w:r w:rsidRPr="009E2F41">
        <w:rPr>
          <w:rFonts w:ascii="Times New Roman" w:eastAsia="Calibri" w:hAnsi="Times New Roman" w:cs="Times New Roman"/>
          <w:sz w:val="24"/>
          <w:szCs w:val="24"/>
        </w:rPr>
        <w:t>UK citizens?</w:t>
      </w:r>
      <w:r w:rsidR="00651A6C">
        <w:rPr>
          <w:rFonts w:ascii="Times New Roman" w:eastAsia="Calibri" w:hAnsi="Times New Roman" w:cs="Times New Roman"/>
          <w:sz w:val="24"/>
          <w:szCs w:val="24"/>
        </w:rPr>
        <w:t xml:space="preserve"> </w:t>
      </w:r>
      <w:r w:rsidR="009600E2">
        <w:rPr>
          <w:rFonts w:ascii="Times New Roman" w:eastAsia="Calibri" w:hAnsi="Times New Roman" w:cs="Times New Roman"/>
          <w:sz w:val="24"/>
          <w:szCs w:val="24"/>
        </w:rPr>
        <w:t xml:space="preserve">What about the preferences of the EU? </w:t>
      </w:r>
      <w:r w:rsidRPr="00651A6C">
        <w:rPr>
          <w:rFonts w:ascii="Times New Roman" w:eastAsia="Calibri" w:hAnsi="Times New Roman" w:cs="Times New Roman"/>
          <w:sz w:val="24"/>
          <w:szCs w:val="24"/>
        </w:rPr>
        <w:t>None of these various constituencies will</w:t>
      </w:r>
      <w:r w:rsidR="00083063">
        <w:rPr>
          <w:rFonts w:ascii="Times New Roman" w:eastAsia="Calibri" w:hAnsi="Times New Roman" w:cs="Times New Roman"/>
          <w:sz w:val="24"/>
          <w:szCs w:val="24"/>
        </w:rPr>
        <w:t xml:space="preserve"> be equal beneficiaries and how to</w:t>
      </w:r>
      <w:r w:rsidRPr="00651A6C">
        <w:rPr>
          <w:rFonts w:ascii="Times New Roman" w:eastAsia="Calibri" w:hAnsi="Times New Roman" w:cs="Times New Roman"/>
          <w:sz w:val="24"/>
          <w:szCs w:val="24"/>
        </w:rPr>
        <w:t xml:space="preserve"> </w:t>
      </w:r>
      <w:r w:rsidR="00302EF9">
        <w:rPr>
          <w:rFonts w:ascii="Times New Roman" w:eastAsia="Calibri" w:hAnsi="Times New Roman" w:cs="Times New Roman"/>
          <w:sz w:val="24"/>
          <w:szCs w:val="24"/>
        </w:rPr>
        <w:t xml:space="preserve">quantify and </w:t>
      </w:r>
      <w:r w:rsidRPr="00651A6C">
        <w:rPr>
          <w:rFonts w:ascii="Times New Roman" w:eastAsia="Calibri" w:hAnsi="Times New Roman" w:cs="Times New Roman"/>
          <w:sz w:val="24"/>
          <w:szCs w:val="24"/>
        </w:rPr>
        <w:t>weight the preferences of the various competing agencies</w:t>
      </w:r>
      <w:r w:rsidR="00083063">
        <w:rPr>
          <w:rFonts w:ascii="Times New Roman" w:eastAsia="Calibri" w:hAnsi="Times New Roman" w:cs="Times New Roman"/>
          <w:sz w:val="24"/>
          <w:szCs w:val="24"/>
        </w:rPr>
        <w:t xml:space="preserve"> all add to the complexity of policy design</w:t>
      </w:r>
      <w:r w:rsidR="007C15C7">
        <w:rPr>
          <w:rFonts w:ascii="Times New Roman" w:eastAsia="Calibri" w:hAnsi="Times New Roman" w:cs="Times New Roman"/>
          <w:sz w:val="24"/>
          <w:szCs w:val="24"/>
        </w:rPr>
        <w:t xml:space="preserve"> with regard to forming a judgement of the various policy options with regard to economic efficiency and equality of outcomes</w:t>
      </w:r>
      <w:r w:rsidR="00083063" w:rsidRPr="00302EF9">
        <w:rPr>
          <w:rFonts w:ascii="Times New Roman" w:eastAsia="Calibri" w:hAnsi="Times New Roman" w:cs="Times New Roman"/>
          <w:sz w:val="24"/>
          <w:szCs w:val="24"/>
        </w:rPr>
        <w:t>.</w:t>
      </w:r>
      <w:r w:rsidRPr="00302EF9">
        <w:rPr>
          <w:rFonts w:ascii="Times New Roman" w:eastAsia="Calibri" w:hAnsi="Times New Roman" w:cs="Times New Roman"/>
          <w:sz w:val="24"/>
          <w:szCs w:val="24"/>
        </w:rPr>
        <w:t xml:space="preserve"> </w:t>
      </w:r>
      <w:r w:rsidR="00302EF9" w:rsidRPr="00302EF9">
        <w:rPr>
          <w:rFonts w:ascii="Times New Roman" w:eastAsia="Calibri" w:hAnsi="Times New Roman" w:cs="Times New Roman"/>
          <w:sz w:val="24"/>
          <w:szCs w:val="24"/>
        </w:rPr>
        <w:t xml:space="preserve"> This is the difficulty the government of the day will face.</w:t>
      </w:r>
      <w:r w:rsidR="00302EF9">
        <w:rPr>
          <w:rStyle w:val="FootnoteReference"/>
          <w:rFonts w:ascii="Times New Roman" w:eastAsia="Calibri" w:hAnsi="Times New Roman" w:cs="Times New Roman"/>
          <w:sz w:val="24"/>
          <w:szCs w:val="24"/>
        </w:rPr>
        <w:footnoteReference w:id="19"/>
      </w:r>
    </w:p>
    <w:p w:rsidR="000111E6" w:rsidRPr="00522702" w:rsidRDefault="000111E6" w:rsidP="000111E6">
      <w:pPr>
        <w:tabs>
          <w:tab w:val="left" w:pos="3686"/>
        </w:tabs>
        <w:spacing w:after="0" w:line="480" w:lineRule="auto"/>
        <w:jc w:val="both"/>
        <w:rPr>
          <w:rFonts w:ascii="Times New Roman" w:hAnsi="Times New Roman" w:cs="Times New Roman"/>
          <w:sz w:val="24"/>
          <w:szCs w:val="24"/>
        </w:rPr>
      </w:pPr>
    </w:p>
    <w:p w:rsidR="00694B9B" w:rsidRDefault="000111E6" w:rsidP="000111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the policy response to the short-term consequences of Brexit, i</w:t>
      </w:r>
      <w:r w:rsidR="004D3EB3">
        <w:rPr>
          <w:rFonts w:ascii="Times New Roman" w:hAnsi="Times New Roman" w:cs="Times New Roman"/>
          <w:sz w:val="24"/>
          <w:szCs w:val="24"/>
        </w:rPr>
        <w:t>t would be a mistake however to think that employers (or schools</w:t>
      </w:r>
      <w:r w:rsidR="00151627">
        <w:rPr>
          <w:rFonts w:ascii="Times New Roman" w:hAnsi="Times New Roman" w:cs="Times New Roman"/>
          <w:sz w:val="24"/>
          <w:szCs w:val="24"/>
        </w:rPr>
        <w:t xml:space="preserve"> o</w:t>
      </w:r>
      <w:r w:rsidR="00AA2665">
        <w:rPr>
          <w:rFonts w:ascii="Times New Roman" w:hAnsi="Times New Roman" w:cs="Times New Roman"/>
          <w:sz w:val="24"/>
          <w:szCs w:val="24"/>
        </w:rPr>
        <w:t>r colleges) are going to lose 7</w:t>
      </w:r>
      <w:r w:rsidR="004D3EB3">
        <w:rPr>
          <w:rFonts w:ascii="Times New Roman" w:hAnsi="Times New Roman" w:cs="Times New Roman"/>
          <w:sz w:val="24"/>
          <w:szCs w:val="24"/>
        </w:rPr>
        <w:t xml:space="preserve">% of their populations immediately. Any adjustment will be on the flow not the stock of migrants. The </w:t>
      </w:r>
      <w:r w:rsidR="00802D91">
        <w:rPr>
          <w:rFonts w:ascii="Times New Roman" w:hAnsi="Times New Roman" w:cs="Times New Roman"/>
          <w:sz w:val="24"/>
          <w:szCs w:val="24"/>
        </w:rPr>
        <w:t>in</w:t>
      </w:r>
      <w:r w:rsidR="004D3EB3">
        <w:rPr>
          <w:rFonts w:ascii="Times New Roman" w:hAnsi="Times New Roman" w:cs="Times New Roman"/>
          <w:sz w:val="24"/>
          <w:szCs w:val="24"/>
        </w:rPr>
        <w:t>fl</w:t>
      </w:r>
      <w:r w:rsidR="006E3886">
        <w:rPr>
          <w:rFonts w:ascii="Times New Roman" w:hAnsi="Times New Roman" w:cs="Times New Roman"/>
          <w:sz w:val="24"/>
          <w:szCs w:val="24"/>
        </w:rPr>
        <w:t xml:space="preserve">ow </w:t>
      </w:r>
      <w:r w:rsidR="00802D91">
        <w:rPr>
          <w:rFonts w:ascii="Times New Roman" w:hAnsi="Times New Roman" w:cs="Times New Roman"/>
          <w:sz w:val="24"/>
          <w:szCs w:val="24"/>
        </w:rPr>
        <w:t xml:space="preserve">of migrants </w:t>
      </w:r>
      <w:r w:rsidR="006E3886">
        <w:rPr>
          <w:rFonts w:ascii="Times New Roman" w:hAnsi="Times New Roman" w:cs="Times New Roman"/>
          <w:sz w:val="24"/>
          <w:szCs w:val="24"/>
        </w:rPr>
        <w:t>is</w:t>
      </w:r>
      <w:r w:rsidR="00802D91">
        <w:rPr>
          <w:rFonts w:ascii="Times New Roman" w:hAnsi="Times New Roman" w:cs="Times New Roman"/>
          <w:sz w:val="24"/>
          <w:szCs w:val="24"/>
        </w:rPr>
        <w:t>, on average,</w:t>
      </w:r>
      <w:r w:rsidR="006E3886">
        <w:rPr>
          <w:rFonts w:ascii="Times New Roman" w:hAnsi="Times New Roman" w:cs="Times New Roman"/>
          <w:sz w:val="24"/>
          <w:szCs w:val="24"/>
        </w:rPr>
        <w:t xml:space="preserve"> </w:t>
      </w:r>
      <w:r w:rsidR="00802D91">
        <w:rPr>
          <w:rFonts w:ascii="Times New Roman" w:hAnsi="Times New Roman" w:cs="Times New Roman"/>
          <w:sz w:val="24"/>
          <w:szCs w:val="24"/>
        </w:rPr>
        <w:t>around 10</w:t>
      </w:r>
      <w:r w:rsidR="006E3886">
        <w:rPr>
          <w:rFonts w:ascii="Times New Roman" w:hAnsi="Times New Roman" w:cs="Times New Roman"/>
          <w:sz w:val="24"/>
          <w:szCs w:val="24"/>
        </w:rPr>
        <w:t xml:space="preserve">% of the stock. </w:t>
      </w:r>
      <w:r w:rsidR="00802D91">
        <w:rPr>
          <w:rFonts w:ascii="Times New Roman" w:hAnsi="Times New Roman" w:cs="Times New Roman"/>
          <w:sz w:val="24"/>
          <w:szCs w:val="24"/>
        </w:rPr>
        <w:t>Outflows are around 5% of the stock.</w:t>
      </w:r>
      <w:r w:rsidR="00802D91">
        <w:rPr>
          <w:rStyle w:val="FootnoteReference"/>
          <w:rFonts w:ascii="Times New Roman" w:hAnsi="Times New Roman" w:cs="Times New Roman"/>
          <w:sz w:val="24"/>
          <w:szCs w:val="24"/>
        </w:rPr>
        <w:footnoteReference w:id="20"/>
      </w:r>
      <w:r w:rsidR="00802D91">
        <w:rPr>
          <w:rFonts w:ascii="Times New Roman" w:hAnsi="Times New Roman" w:cs="Times New Roman"/>
          <w:sz w:val="24"/>
          <w:szCs w:val="24"/>
        </w:rPr>
        <w:t xml:space="preserve"> </w:t>
      </w:r>
      <w:r w:rsidR="006E3886">
        <w:rPr>
          <w:rFonts w:ascii="Times New Roman" w:hAnsi="Times New Roman" w:cs="Times New Roman"/>
          <w:sz w:val="24"/>
          <w:szCs w:val="24"/>
        </w:rPr>
        <w:t>So</w:t>
      </w:r>
      <w:r w:rsidR="006E3886" w:rsidRPr="004616CB">
        <w:rPr>
          <w:rFonts w:ascii="Times New Roman" w:hAnsi="Times New Roman" w:cs="Times New Roman"/>
          <w:sz w:val="24"/>
          <w:szCs w:val="24"/>
        </w:rPr>
        <w:t xml:space="preserve"> any changes </w:t>
      </w:r>
      <w:r w:rsidR="00802D91">
        <w:rPr>
          <w:rFonts w:ascii="Times New Roman" w:hAnsi="Times New Roman" w:cs="Times New Roman"/>
          <w:sz w:val="24"/>
          <w:szCs w:val="24"/>
        </w:rPr>
        <w:t xml:space="preserve">in EU migrant numbers </w:t>
      </w:r>
      <w:r w:rsidR="006E3886" w:rsidRPr="004616CB">
        <w:rPr>
          <w:rFonts w:ascii="Times New Roman" w:hAnsi="Times New Roman" w:cs="Times New Roman"/>
          <w:sz w:val="24"/>
          <w:szCs w:val="24"/>
        </w:rPr>
        <w:t>will be incremental rather than large</w:t>
      </w:r>
      <w:r w:rsidR="006E3886">
        <w:rPr>
          <w:rFonts w:ascii="Times New Roman" w:hAnsi="Times New Roman" w:cs="Times New Roman"/>
          <w:sz w:val="24"/>
          <w:szCs w:val="24"/>
        </w:rPr>
        <w:t xml:space="preserve"> scale.</w:t>
      </w:r>
      <w:r w:rsidR="00151627">
        <w:rPr>
          <w:rFonts w:ascii="Times New Roman" w:hAnsi="Times New Roman" w:cs="Times New Roman"/>
          <w:sz w:val="24"/>
          <w:szCs w:val="24"/>
        </w:rPr>
        <w:t xml:space="preserve"> </w:t>
      </w:r>
      <w:r>
        <w:rPr>
          <w:rFonts w:ascii="Times New Roman" w:hAnsi="Times New Roman" w:cs="Times New Roman"/>
          <w:sz w:val="24"/>
          <w:szCs w:val="24"/>
        </w:rPr>
        <w:t xml:space="preserve"> </w:t>
      </w:r>
      <w:r w:rsidR="00620843" w:rsidRPr="00620843">
        <w:rPr>
          <w:rFonts w:ascii="Times New Roman" w:hAnsi="Times New Roman" w:cs="Times New Roman"/>
          <w:sz w:val="24"/>
          <w:szCs w:val="24"/>
        </w:rPr>
        <w:t>Most of the sectors in Table</w:t>
      </w:r>
      <w:r w:rsidR="00555D97">
        <w:rPr>
          <w:rFonts w:ascii="Times New Roman" w:hAnsi="Times New Roman" w:cs="Times New Roman"/>
          <w:sz w:val="24"/>
          <w:szCs w:val="24"/>
        </w:rPr>
        <w:t>s</w:t>
      </w:r>
      <w:r w:rsidR="00620843" w:rsidRPr="00620843">
        <w:rPr>
          <w:rFonts w:ascii="Times New Roman" w:hAnsi="Times New Roman" w:cs="Times New Roman"/>
          <w:sz w:val="24"/>
          <w:szCs w:val="24"/>
        </w:rPr>
        <w:t xml:space="preserve"> </w:t>
      </w:r>
      <w:r w:rsidR="00555D97">
        <w:rPr>
          <w:rFonts w:ascii="Times New Roman" w:hAnsi="Times New Roman" w:cs="Times New Roman"/>
          <w:sz w:val="24"/>
          <w:szCs w:val="24"/>
        </w:rPr>
        <w:t xml:space="preserve">2 and 3 </w:t>
      </w:r>
      <w:r w:rsidR="00620843" w:rsidRPr="00620843">
        <w:rPr>
          <w:rFonts w:ascii="Times New Roman" w:hAnsi="Times New Roman" w:cs="Times New Roman"/>
          <w:sz w:val="24"/>
          <w:szCs w:val="24"/>
        </w:rPr>
        <w:t xml:space="preserve">are non-graduate jobs – although </w:t>
      </w:r>
      <w:r w:rsidR="00555D97">
        <w:rPr>
          <w:rFonts w:ascii="Times New Roman" w:hAnsi="Times New Roman" w:cs="Times New Roman"/>
          <w:sz w:val="24"/>
          <w:szCs w:val="24"/>
        </w:rPr>
        <w:t xml:space="preserve">as shown </w:t>
      </w:r>
      <w:r w:rsidR="00620843" w:rsidRPr="00620843">
        <w:rPr>
          <w:rFonts w:ascii="Times New Roman" w:hAnsi="Times New Roman" w:cs="Times New Roman"/>
          <w:sz w:val="24"/>
          <w:szCs w:val="24"/>
        </w:rPr>
        <w:t xml:space="preserve">there are </w:t>
      </w:r>
      <w:r w:rsidR="00555D97">
        <w:rPr>
          <w:rFonts w:ascii="Times New Roman" w:hAnsi="Times New Roman" w:cs="Times New Roman"/>
          <w:sz w:val="24"/>
          <w:szCs w:val="24"/>
        </w:rPr>
        <w:t xml:space="preserve">many EU </w:t>
      </w:r>
      <w:r w:rsidR="00620843" w:rsidRPr="00620843">
        <w:rPr>
          <w:rFonts w:ascii="Times New Roman" w:hAnsi="Times New Roman" w:cs="Times New Roman"/>
          <w:sz w:val="24"/>
          <w:szCs w:val="24"/>
        </w:rPr>
        <w:t xml:space="preserve">graduates undoubtedly working in these sectors. </w:t>
      </w:r>
      <w:r w:rsidR="00CC4289">
        <w:rPr>
          <w:rFonts w:ascii="Times New Roman" w:hAnsi="Times New Roman" w:cs="Times New Roman"/>
          <w:sz w:val="24"/>
          <w:szCs w:val="24"/>
        </w:rPr>
        <w:t xml:space="preserve"> </w:t>
      </w:r>
      <w:r w:rsidR="00620843" w:rsidRPr="00620843">
        <w:rPr>
          <w:rFonts w:ascii="Times New Roman" w:hAnsi="Times New Roman" w:cs="Times New Roman"/>
          <w:sz w:val="24"/>
          <w:szCs w:val="24"/>
        </w:rPr>
        <w:t>So certain firms and sectors would also have to look around for different sources of labour, raise wages or change their methods of working</w:t>
      </w:r>
      <w:r w:rsidR="00CC4289">
        <w:rPr>
          <w:rFonts w:ascii="Times New Roman" w:hAnsi="Times New Roman" w:cs="Times New Roman"/>
          <w:sz w:val="24"/>
          <w:szCs w:val="24"/>
        </w:rPr>
        <w:t xml:space="preserve">, </w:t>
      </w:r>
      <w:r w:rsidR="00620843" w:rsidRPr="00620843">
        <w:rPr>
          <w:rFonts w:ascii="Times New Roman" w:hAnsi="Times New Roman" w:cs="Times New Roman"/>
          <w:sz w:val="24"/>
          <w:szCs w:val="24"/>
        </w:rPr>
        <w:t>(though any firm that relies on a never ending supply of EU workers in an environment of free movement of labour</w:t>
      </w:r>
      <w:r w:rsidR="00DC7041">
        <w:rPr>
          <w:rFonts w:ascii="Times New Roman" w:hAnsi="Times New Roman" w:cs="Times New Roman"/>
          <w:sz w:val="24"/>
          <w:szCs w:val="24"/>
        </w:rPr>
        <w:t xml:space="preserve"> in and out of the country</w:t>
      </w:r>
      <w:r w:rsidR="00620843" w:rsidRPr="00620843">
        <w:rPr>
          <w:rFonts w:ascii="Times New Roman" w:hAnsi="Times New Roman" w:cs="Times New Roman"/>
          <w:sz w:val="24"/>
          <w:szCs w:val="24"/>
        </w:rPr>
        <w:t xml:space="preserve"> has an unstable business model) </w:t>
      </w:r>
      <w:r>
        <w:rPr>
          <w:rFonts w:ascii="Times New Roman" w:hAnsi="Times New Roman" w:cs="Times New Roman"/>
          <w:sz w:val="24"/>
          <w:szCs w:val="24"/>
        </w:rPr>
        <w:t>.</w:t>
      </w:r>
    </w:p>
    <w:p w:rsidR="00D3735C" w:rsidRDefault="00D3735C" w:rsidP="000111E6">
      <w:pPr>
        <w:spacing w:after="0" w:line="480" w:lineRule="auto"/>
        <w:jc w:val="both"/>
        <w:rPr>
          <w:rFonts w:ascii="Times New Roman" w:hAnsi="Times New Roman" w:cs="Times New Roman"/>
          <w:sz w:val="24"/>
          <w:szCs w:val="24"/>
        </w:rPr>
      </w:pPr>
    </w:p>
    <w:p w:rsidR="000111E6" w:rsidRDefault="000111E6" w:rsidP="000111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But consequences there may be,</w:t>
      </w:r>
      <w:r w:rsidR="00620843" w:rsidRPr="00620843">
        <w:rPr>
          <w:rFonts w:ascii="Times New Roman" w:hAnsi="Times New Roman" w:cs="Times New Roman"/>
          <w:sz w:val="24"/>
          <w:szCs w:val="24"/>
        </w:rPr>
        <w:t xml:space="preserve"> </w:t>
      </w:r>
      <w:r>
        <w:rPr>
          <w:rFonts w:ascii="Times New Roman" w:hAnsi="Times New Roman" w:cs="Times New Roman"/>
          <w:sz w:val="24"/>
          <w:szCs w:val="24"/>
        </w:rPr>
        <w:t xml:space="preserve">and government will have to decide if the </w:t>
      </w:r>
      <w:r w:rsidR="00DC7041">
        <w:rPr>
          <w:rFonts w:ascii="Times New Roman" w:hAnsi="Times New Roman" w:cs="Times New Roman"/>
          <w:sz w:val="24"/>
          <w:szCs w:val="24"/>
        </w:rPr>
        <w:t xml:space="preserve">demands from the </w:t>
      </w:r>
      <w:r>
        <w:rPr>
          <w:rFonts w:ascii="Times New Roman" w:hAnsi="Times New Roman" w:cs="Times New Roman"/>
          <w:sz w:val="24"/>
          <w:szCs w:val="24"/>
        </w:rPr>
        <w:t xml:space="preserve">sectors most </w:t>
      </w:r>
      <w:r w:rsidR="00DC7041">
        <w:rPr>
          <w:rFonts w:ascii="Times New Roman" w:hAnsi="Times New Roman" w:cs="Times New Roman"/>
          <w:sz w:val="24"/>
          <w:szCs w:val="24"/>
        </w:rPr>
        <w:t>affected</w:t>
      </w:r>
      <w:r w:rsidR="00A96DE5">
        <w:rPr>
          <w:rFonts w:ascii="Times New Roman" w:hAnsi="Times New Roman" w:cs="Times New Roman"/>
          <w:sz w:val="24"/>
          <w:szCs w:val="24"/>
        </w:rPr>
        <w:t>, such as those highlighted in Tables 2 and 3 above</w:t>
      </w:r>
      <w:r w:rsidR="0023301F">
        <w:rPr>
          <w:rFonts w:ascii="Times New Roman" w:hAnsi="Times New Roman" w:cs="Times New Roman"/>
          <w:sz w:val="24"/>
          <w:szCs w:val="24"/>
        </w:rPr>
        <w:t>,</w:t>
      </w:r>
      <w:r w:rsidR="00DC7041">
        <w:rPr>
          <w:rFonts w:ascii="Times New Roman" w:hAnsi="Times New Roman" w:cs="Times New Roman"/>
          <w:sz w:val="24"/>
          <w:szCs w:val="24"/>
        </w:rPr>
        <w:t xml:space="preserve"> </w:t>
      </w:r>
      <w:r>
        <w:rPr>
          <w:rFonts w:ascii="Times New Roman" w:hAnsi="Times New Roman" w:cs="Times New Roman"/>
          <w:sz w:val="24"/>
          <w:szCs w:val="24"/>
        </w:rPr>
        <w:t>in the short-run need to be addressed</w:t>
      </w:r>
      <w:r w:rsidR="007845A5">
        <w:rPr>
          <w:rFonts w:ascii="Times New Roman" w:hAnsi="Times New Roman" w:cs="Times New Roman"/>
          <w:sz w:val="24"/>
          <w:szCs w:val="24"/>
        </w:rPr>
        <w:t xml:space="preserve"> alongside a longer-term immigration strategy</w:t>
      </w:r>
      <w:r>
        <w:rPr>
          <w:rFonts w:ascii="Times New Roman" w:hAnsi="Times New Roman" w:cs="Times New Roman"/>
          <w:sz w:val="24"/>
          <w:szCs w:val="24"/>
        </w:rPr>
        <w:t xml:space="preserve">. </w:t>
      </w:r>
      <w:r w:rsidR="00694B9B">
        <w:rPr>
          <w:rFonts w:ascii="Times New Roman" w:hAnsi="Times New Roman" w:cs="Times New Roman"/>
          <w:sz w:val="24"/>
          <w:szCs w:val="24"/>
        </w:rPr>
        <w:t>One option would be to allow sector-specific and time limited or seasonal migration schemes (from the EU or elsewhere) to allow workers into these less skilled sectors over the medium term until businesses had adapted to the new policy environment.  How long the medium term should be is again a matter for debate. The do</w:t>
      </w:r>
      <w:r w:rsidR="0040107E">
        <w:rPr>
          <w:rFonts w:ascii="Times New Roman" w:hAnsi="Times New Roman" w:cs="Times New Roman"/>
          <w:sz w:val="24"/>
          <w:szCs w:val="24"/>
        </w:rPr>
        <w:t>wnside of such a policy is that</w:t>
      </w:r>
      <w:r w:rsidR="00FE71BF">
        <w:rPr>
          <w:rFonts w:ascii="Times New Roman" w:hAnsi="Times New Roman" w:cs="Times New Roman"/>
          <w:sz w:val="24"/>
          <w:szCs w:val="24"/>
        </w:rPr>
        <w:t xml:space="preserve"> </w:t>
      </w:r>
      <w:r w:rsidR="00694B9B">
        <w:rPr>
          <w:rFonts w:ascii="Times New Roman" w:hAnsi="Times New Roman" w:cs="Times New Roman"/>
          <w:sz w:val="24"/>
          <w:szCs w:val="24"/>
        </w:rPr>
        <w:t>sectors may postpone</w:t>
      </w:r>
      <w:r w:rsidR="004F638B">
        <w:rPr>
          <w:rFonts w:ascii="Times New Roman" w:hAnsi="Times New Roman" w:cs="Times New Roman"/>
          <w:sz w:val="24"/>
          <w:szCs w:val="24"/>
        </w:rPr>
        <w:t xml:space="preserve"> any </w:t>
      </w:r>
      <w:r w:rsidR="00694B9B">
        <w:rPr>
          <w:rFonts w:ascii="Times New Roman" w:hAnsi="Times New Roman" w:cs="Times New Roman"/>
          <w:sz w:val="24"/>
          <w:szCs w:val="24"/>
        </w:rPr>
        <w:t xml:space="preserve">changes to their business model. </w:t>
      </w:r>
    </w:p>
    <w:p w:rsidR="005C66FC" w:rsidRPr="00793EFC" w:rsidRDefault="005C66FC" w:rsidP="000111E6">
      <w:pPr>
        <w:spacing w:after="0" w:line="480" w:lineRule="auto"/>
        <w:jc w:val="both"/>
        <w:rPr>
          <w:rFonts w:ascii="Times New Roman" w:hAnsi="Times New Roman" w:cs="Times New Roman"/>
          <w:sz w:val="24"/>
          <w:szCs w:val="24"/>
        </w:rPr>
      </w:pPr>
    </w:p>
    <w:p w:rsidR="00620843" w:rsidRPr="00BA46D6" w:rsidRDefault="00BA46D6" w:rsidP="00533601">
      <w:pPr>
        <w:spacing w:after="0" w:line="480" w:lineRule="auto"/>
        <w:jc w:val="both"/>
        <w:rPr>
          <w:rFonts w:ascii="Times New Roman" w:hAnsi="Times New Roman" w:cs="Times New Roman"/>
          <w:b/>
          <w:i/>
          <w:sz w:val="24"/>
          <w:szCs w:val="24"/>
        </w:rPr>
      </w:pPr>
      <w:r w:rsidRPr="00BA46D6">
        <w:rPr>
          <w:rFonts w:ascii="Times New Roman" w:hAnsi="Times New Roman" w:cs="Times New Roman"/>
          <w:b/>
          <w:i/>
          <w:sz w:val="24"/>
          <w:szCs w:val="24"/>
        </w:rPr>
        <w:t>Who Gets in?</w:t>
      </w:r>
    </w:p>
    <w:p w:rsidR="00533601" w:rsidRPr="004616CB" w:rsidRDefault="00620843" w:rsidP="00533601">
      <w:pPr>
        <w:spacing w:after="0" w:line="480" w:lineRule="auto"/>
        <w:jc w:val="both"/>
        <w:rPr>
          <w:rFonts w:ascii="Times New Roman" w:hAnsi="Times New Roman" w:cs="Times New Roman"/>
          <w:sz w:val="24"/>
          <w:szCs w:val="24"/>
        </w:rPr>
      </w:pPr>
      <w:r w:rsidRPr="00620843">
        <w:rPr>
          <w:rFonts w:ascii="Times New Roman" w:hAnsi="Times New Roman" w:cs="Times New Roman"/>
          <w:sz w:val="24"/>
          <w:szCs w:val="24"/>
        </w:rPr>
        <w:t xml:space="preserve">Any future work-related migration policy is </w:t>
      </w:r>
      <w:r w:rsidR="0023301F">
        <w:rPr>
          <w:rFonts w:ascii="Times New Roman" w:hAnsi="Times New Roman" w:cs="Times New Roman"/>
          <w:sz w:val="24"/>
          <w:szCs w:val="24"/>
        </w:rPr>
        <w:t>therefore</w:t>
      </w:r>
      <w:r w:rsidR="00D3735C">
        <w:rPr>
          <w:rFonts w:ascii="Times New Roman" w:hAnsi="Times New Roman" w:cs="Times New Roman"/>
          <w:sz w:val="24"/>
          <w:szCs w:val="24"/>
        </w:rPr>
        <w:t xml:space="preserve"> </w:t>
      </w:r>
      <w:r w:rsidRPr="00620843">
        <w:rPr>
          <w:rFonts w:ascii="Times New Roman" w:hAnsi="Times New Roman" w:cs="Times New Roman"/>
          <w:sz w:val="24"/>
          <w:szCs w:val="24"/>
        </w:rPr>
        <w:t xml:space="preserve">likely to </w:t>
      </w:r>
      <w:r w:rsidR="00D3735C" w:rsidRPr="00620843">
        <w:rPr>
          <w:rFonts w:ascii="Times New Roman" w:hAnsi="Times New Roman" w:cs="Times New Roman"/>
          <w:sz w:val="24"/>
          <w:szCs w:val="24"/>
        </w:rPr>
        <w:t xml:space="preserve">involve </w:t>
      </w:r>
      <w:r w:rsidR="00D3735C">
        <w:rPr>
          <w:rFonts w:ascii="Times New Roman" w:hAnsi="Times New Roman" w:cs="Times New Roman"/>
          <w:sz w:val="24"/>
          <w:szCs w:val="24"/>
        </w:rPr>
        <w:t xml:space="preserve">rationing of places and with it the </w:t>
      </w:r>
      <w:r w:rsidRPr="00620843">
        <w:rPr>
          <w:rFonts w:ascii="Times New Roman" w:hAnsi="Times New Roman" w:cs="Times New Roman"/>
          <w:sz w:val="24"/>
          <w:szCs w:val="24"/>
        </w:rPr>
        <w:t>selection of migrants</w:t>
      </w:r>
      <w:r w:rsidR="00D3735C">
        <w:rPr>
          <w:rFonts w:ascii="Times New Roman" w:hAnsi="Times New Roman" w:cs="Times New Roman"/>
          <w:sz w:val="24"/>
          <w:szCs w:val="24"/>
        </w:rPr>
        <w:t xml:space="preserve">. This means </w:t>
      </w:r>
      <w:r w:rsidRPr="00620843">
        <w:rPr>
          <w:rFonts w:ascii="Times New Roman" w:hAnsi="Times New Roman" w:cs="Times New Roman"/>
          <w:sz w:val="24"/>
          <w:szCs w:val="24"/>
        </w:rPr>
        <w:t>think</w:t>
      </w:r>
      <w:r w:rsidR="00D3735C">
        <w:rPr>
          <w:rFonts w:ascii="Times New Roman" w:hAnsi="Times New Roman" w:cs="Times New Roman"/>
          <w:sz w:val="24"/>
          <w:szCs w:val="24"/>
        </w:rPr>
        <w:t xml:space="preserve">ing </w:t>
      </w:r>
      <w:r w:rsidRPr="00620843">
        <w:rPr>
          <w:rFonts w:ascii="Times New Roman" w:hAnsi="Times New Roman" w:cs="Times New Roman"/>
          <w:sz w:val="24"/>
          <w:szCs w:val="24"/>
        </w:rPr>
        <w:t xml:space="preserve">about </w:t>
      </w:r>
      <w:r w:rsidR="00D3735C">
        <w:rPr>
          <w:rFonts w:ascii="Times New Roman" w:hAnsi="Times New Roman" w:cs="Times New Roman"/>
          <w:sz w:val="24"/>
          <w:szCs w:val="24"/>
        </w:rPr>
        <w:t xml:space="preserve">whether </w:t>
      </w:r>
      <w:r w:rsidRPr="00620843">
        <w:rPr>
          <w:rFonts w:ascii="Times New Roman" w:hAnsi="Times New Roman" w:cs="Times New Roman"/>
          <w:sz w:val="24"/>
          <w:szCs w:val="24"/>
        </w:rPr>
        <w:t>to adapt existing schemes or introduce new ones</w:t>
      </w:r>
      <w:r w:rsidR="00D3735C">
        <w:rPr>
          <w:rFonts w:ascii="Times New Roman" w:hAnsi="Times New Roman" w:cs="Times New Roman"/>
          <w:sz w:val="24"/>
          <w:szCs w:val="24"/>
        </w:rPr>
        <w:t>. This in turn means the government has to look at its current net migration target of 100,000 to decide whether it will remain or not.</w:t>
      </w:r>
      <w:r w:rsidR="00EF1211">
        <w:rPr>
          <w:rStyle w:val="FootnoteReference"/>
          <w:rFonts w:ascii="Times New Roman" w:hAnsi="Times New Roman" w:cs="Times New Roman"/>
          <w:sz w:val="24"/>
          <w:szCs w:val="24"/>
        </w:rPr>
        <w:footnoteReference w:id="21"/>
      </w:r>
      <w:r w:rsidR="00D3735C">
        <w:rPr>
          <w:rFonts w:ascii="Times New Roman" w:hAnsi="Times New Roman" w:cs="Times New Roman"/>
          <w:sz w:val="24"/>
          <w:szCs w:val="24"/>
        </w:rPr>
        <w:t xml:space="preserve"> </w:t>
      </w:r>
      <w:r w:rsidR="007B1E39">
        <w:rPr>
          <w:rFonts w:ascii="Times New Roman" w:hAnsi="Times New Roman" w:cs="Times New Roman"/>
          <w:sz w:val="24"/>
          <w:szCs w:val="24"/>
        </w:rPr>
        <w:t>Assuming</w:t>
      </w:r>
      <w:r w:rsidR="00D3735C">
        <w:rPr>
          <w:rFonts w:ascii="Times New Roman" w:hAnsi="Times New Roman" w:cs="Times New Roman"/>
          <w:sz w:val="24"/>
          <w:szCs w:val="24"/>
        </w:rPr>
        <w:t xml:space="preserve"> it remains in place then this has implications over the numbers of individuals allowed in under the different entry routes (essentially work, family or students), and the spread or differential treatment to EU over Non-EU citizens.</w:t>
      </w:r>
      <w:r w:rsidR="00A75F9C">
        <w:rPr>
          <w:rStyle w:val="FootnoteReference"/>
          <w:rFonts w:ascii="Times New Roman" w:hAnsi="Times New Roman" w:cs="Times New Roman"/>
          <w:sz w:val="24"/>
          <w:szCs w:val="24"/>
        </w:rPr>
        <w:footnoteReference w:id="22"/>
      </w:r>
      <w:r w:rsidR="00533601">
        <w:rPr>
          <w:rFonts w:ascii="Times New Roman" w:hAnsi="Times New Roman" w:cs="Times New Roman"/>
          <w:sz w:val="24"/>
          <w:szCs w:val="24"/>
        </w:rPr>
        <w:t xml:space="preserve"> For example given current flow numbers outlined in </w:t>
      </w:r>
      <w:r w:rsidR="00533601" w:rsidRPr="009D2F22">
        <w:rPr>
          <w:rFonts w:ascii="Times New Roman" w:hAnsi="Times New Roman" w:cs="Times New Roman"/>
          <w:sz w:val="24"/>
          <w:szCs w:val="24"/>
        </w:rPr>
        <w:fldChar w:fldCharType="begin"/>
      </w:r>
      <w:r w:rsidR="00533601" w:rsidRPr="009D2F22">
        <w:rPr>
          <w:rFonts w:ascii="Times New Roman" w:hAnsi="Times New Roman" w:cs="Times New Roman"/>
          <w:sz w:val="24"/>
          <w:szCs w:val="24"/>
        </w:rPr>
        <w:instrText xml:space="preserve"> REF _Ref512520547 \h </w:instrText>
      </w:r>
      <w:r w:rsidR="009D2F22" w:rsidRPr="009D2F22">
        <w:rPr>
          <w:rFonts w:ascii="Times New Roman" w:hAnsi="Times New Roman" w:cs="Times New Roman"/>
          <w:sz w:val="24"/>
          <w:szCs w:val="24"/>
        </w:rPr>
        <w:instrText xml:space="preserve"> \* MERGEFORMAT </w:instrText>
      </w:r>
      <w:r w:rsidR="00533601" w:rsidRPr="009D2F22">
        <w:rPr>
          <w:rFonts w:ascii="Times New Roman" w:hAnsi="Times New Roman" w:cs="Times New Roman"/>
          <w:sz w:val="24"/>
          <w:szCs w:val="24"/>
        </w:rPr>
      </w:r>
      <w:r w:rsidR="00533601" w:rsidRPr="009D2F22">
        <w:rPr>
          <w:rFonts w:ascii="Times New Roman" w:hAnsi="Times New Roman" w:cs="Times New Roman"/>
          <w:sz w:val="24"/>
          <w:szCs w:val="24"/>
        </w:rPr>
        <w:fldChar w:fldCharType="separate"/>
      </w:r>
      <w:r w:rsidR="00533601" w:rsidRPr="009D2F22">
        <w:rPr>
          <w:rFonts w:ascii="Times New Roman" w:hAnsi="Times New Roman" w:cs="Times New Roman"/>
          <w:sz w:val="24"/>
          <w:szCs w:val="24"/>
        </w:rPr>
        <w:t xml:space="preserve">Figure </w:t>
      </w:r>
      <w:r w:rsidR="00745BC3" w:rsidRPr="009D2F22">
        <w:rPr>
          <w:rFonts w:ascii="Times New Roman" w:hAnsi="Times New Roman" w:cs="Times New Roman"/>
          <w:sz w:val="24"/>
          <w:szCs w:val="24"/>
        </w:rPr>
        <w:t>6</w:t>
      </w:r>
      <w:r w:rsidR="00533601" w:rsidRPr="009D2F22">
        <w:rPr>
          <w:rFonts w:ascii="Times New Roman" w:hAnsi="Times New Roman" w:cs="Times New Roman"/>
          <w:sz w:val="24"/>
          <w:szCs w:val="24"/>
        </w:rPr>
        <w:fldChar w:fldCharType="end"/>
      </w:r>
      <w:r w:rsidR="00533601" w:rsidRPr="009D2F22">
        <w:rPr>
          <w:rFonts w:ascii="Times New Roman" w:hAnsi="Times New Roman" w:cs="Times New Roman"/>
          <w:sz w:val="24"/>
          <w:szCs w:val="24"/>
        </w:rPr>
        <w:t xml:space="preserve"> </w:t>
      </w:r>
      <w:r w:rsidR="00533601">
        <w:rPr>
          <w:rFonts w:ascii="Times New Roman" w:hAnsi="Times New Roman" w:cs="Times New Roman"/>
          <w:sz w:val="24"/>
          <w:szCs w:val="24"/>
        </w:rPr>
        <w:t>the government w</w:t>
      </w:r>
      <w:r w:rsidR="00533601" w:rsidRPr="004616CB">
        <w:rPr>
          <w:rFonts w:ascii="Times New Roman" w:hAnsi="Times New Roman" w:cs="Times New Roman"/>
          <w:sz w:val="24"/>
          <w:szCs w:val="24"/>
        </w:rPr>
        <w:t xml:space="preserve">ould have to reduce EU net migration to zero </w:t>
      </w:r>
      <w:r w:rsidR="00533601">
        <w:rPr>
          <w:rFonts w:ascii="Times New Roman" w:hAnsi="Times New Roman" w:cs="Times New Roman"/>
          <w:sz w:val="24"/>
          <w:szCs w:val="24"/>
        </w:rPr>
        <w:t>to achieve its</w:t>
      </w:r>
      <w:r w:rsidR="00533601" w:rsidRPr="004616CB">
        <w:rPr>
          <w:rFonts w:ascii="Times New Roman" w:hAnsi="Times New Roman" w:cs="Times New Roman"/>
          <w:sz w:val="24"/>
          <w:szCs w:val="24"/>
        </w:rPr>
        <w:t xml:space="preserve"> </w:t>
      </w:r>
      <w:r w:rsidR="00A75F9C">
        <w:rPr>
          <w:rFonts w:ascii="Times New Roman" w:hAnsi="Times New Roman" w:cs="Times New Roman"/>
          <w:sz w:val="24"/>
          <w:szCs w:val="24"/>
        </w:rPr>
        <w:t xml:space="preserve">notional target of net 100,000 </w:t>
      </w:r>
      <w:r w:rsidR="00533601" w:rsidRPr="004616CB">
        <w:rPr>
          <w:rFonts w:ascii="Times New Roman" w:hAnsi="Times New Roman" w:cs="Times New Roman"/>
          <w:sz w:val="24"/>
          <w:szCs w:val="24"/>
        </w:rPr>
        <w:t>(and rely on continued net emigration of British citizens)</w:t>
      </w:r>
      <w:r w:rsidR="00533601">
        <w:rPr>
          <w:rFonts w:ascii="Times New Roman" w:hAnsi="Times New Roman" w:cs="Times New Roman"/>
          <w:sz w:val="24"/>
          <w:szCs w:val="24"/>
        </w:rPr>
        <w:t xml:space="preserve">. </w:t>
      </w:r>
      <w:r w:rsidR="00533601" w:rsidRPr="004616CB">
        <w:rPr>
          <w:rFonts w:ascii="Times New Roman" w:hAnsi="Times New Roman" w:cs="Times New Roman"/>
          <w:sz w:val="24"/>
          <w:szCs w:val="24"/>
        </w:rPr>
        <w:t xml:space="preserve">Or </w:t>
      </w:r>
      <w:r w:rsidR="00533601">
        <w:rPr>
          <w:rFonts w:ascii="Times New Roman" w:hAnsi="Times New Roman" w:cs="Times New Roman"/>
          <w:sz w:val="24"/>
          <w:szCs w:val="24"/>
        </w:rPr>
        <w:t xml:space="preserve">it will have to </w:t>
      </w:r>
      <w:r w:rsidR="00533601" w:rsidRPr="004616CB">
        <w:rPr>
          <w:rFonts w:ascii="Times New Roman" w:hAnsi="Times New Roman" w:cs="Times New Roman"/>
          <w:sz w:val="24"/>
          <w:szCs w:val="24"/>
        </w:rPr>
        <w:t>impose additional restrictions on non-EU movements</w:t>
      </w:r>
      <w:r w:rsidR="00533601">
        <w:rPr>
          <w:rFonts w:ascii="Times New Roman" w:hAnsi="Times New Roman" w:cs="Times New Roman"/>
          <w:sz w:val="24"/>
          <w:szCs w:val="24"/>
        </w:rPr>
        <w:t xml:space="preserve"> into the UK.</w:t>
      </w:r>
    </w:p>
    <w:p w:rsidR="00277E78" w:rsidRDefault="00277E78" w:rsidP="00D3735C">
      <w:pPr>
        <w:spacing w:after="0" w:line="480" w:lineRule="auto"/>
        <w:jc w:val="both"/>
        <w:rPr>
          <w:rFonts w:ascii="Times New Roman" w:hAnsi="Times New Roman" w:cs="Times New Roman"/>
          <w:sz w:val="24"/>
          <w:szCs w:val="24"/>
        </w:rPr>
      </w:pPr>
    </w:p>
    <w:p w:rsidR="00277E78" w:rsidRDefault="00277E78" w:rsidP="00277E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Work visa are currently based around the notion that bringing in migrants alleviates skill shortages. While firms always have the option to raise wages or change the capital mix in these situations, such adjustment</w:t>
      </w:r>
      <w:r w:rsidR="0023189A">
        <w:rPr>
          <w:rFonts w:ascii="Times New Roman" w:hAnsi="Times New Roman" w:cs="Times New Roman"/>
          <w:sz w:val="24"/>
          <w:szCs w:val="24"/>
        </w:rPr>
        <w:t>s</w:t>
      </w:r>
      <w:r>
        <w:rPr>
          <w:rFonts w:ascii="Times New Roman" w:hAnsi="Times New Roman" w:cs="Times New Roman"/>
          <w:sz w:val="24"/>
          <w:szCs w:val="24"/>
        </w:rPr>
        <w:t xml:space="preserve"> may take time and so a visa scheme can address “short-term” shortages. This in itself creates incentive problems, since once on a shortage list</w:t>
      </w:r>
      <w:r w:rsidR="0023189A">
        <w:rPr>
          <w:rFonts w:ascii="Times New Roman" w:hAnsi="Times New Roman" w:cs="Times New Roman"/>
          <w:sz w:val="24"/>
          <w:szCs w:val="24"/>
        </w:rPr>
        <w:t>,</w:t>
      </w:r>
      <w:r>
        <w:rPr>
          <w:rFonts w:ascii="Times New Roman" w:hAnsi="Times New Roman" w:cs="Times New Roman"/>
          <w:sz w:val="24"/>
          <w:szCs w:val="24"/>
        </w:rPr>
        <w:t xml:space="preserve"> occupation</w:t>
      </w:r>
      <w:r w:rsidR="0023189A">
        <w:rPr>
          <w:rFonts w:ascii="Times New Roman" w:hAnsi="Times New Roman" w:cs="Times New Roman"/>
          <w:sz w:val="24"/>
          <w:szCs w:val="24"/>
        </w:rPr>
        <w:t>s</w:t>
      </w:r>
      <w:r>
        <w:rPr>
          <w:rFonts w:ascii="Times New Roman" w:hAnsi="Times New Roman" w:cs="Times New Roman"/>
          <w:sz w:val="24"/>
          <w:szCs w:val="24"/>
        </w:rPr>
        <w:t xml:space="preserve"> have less incentive to train their own</w:t>
      </w:r>
      <w:r w:rsidR="0023189A">
        <w:rPr>
          <w:rFonts w:ascii="Times New Roman" w:hAnsi="Times New Roman" w:cs="Times New Roman"/>
          <w:sz w:val="24"/>
          <w:szCs w:val="24"/>
        </w:rPr>
        <w:t xml:space="preserve"> or adopt alternative ways of working</w:t>
      </w:r>
      <w:r>
        <w:rPr>
          <w:rFonts w:ascii="Times New Roman" w:hAnsi="Times New Roman" w:cs="Times New Roman"/>
          <w:sz w:val="24"/>
          <w:szCs w:val="24"/>
        </w:rPr>
        <w:t>.</w:t>
      </w:r>
      <w:r w:rsidR="0023189A">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Conversely a policy of importing skilled labour from abroad could facilitate more training</w:t>
      </w:r>
      <w:r w:rsidR="001E5BA3">
        <w:rPr>
          <w:rFonts w:ascii="Times New Roman" w:hAnsi="Times New Roman" w:cs="Times New Roman"/>
          <w:sz w:val="24"/>
          <w:szCs w:val="24"/>
        </w:rPr>
        <w:t xml:space="preserve"> of local workforces</w:t>
      </w:r>
      <w:r>
        <w:rPr>
          <w:rFonts w:ascii="Times New Roman" w:hAnsi="Times New Roman" w:cs="Times New Roman"/>
          <w:sz w:val="24"/>
          <w:szCs w:val="24"/>
        </w:rPr>
        <w:t>, by skilled immigrants, if training is rationed.</w:t>
      </w:r>
      <w:r w:rsidR="003C1C87">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Pr="00620843">
        <w:rPr>
          <w:rFonts w:ascii="Times New Roman" w:hAnsi="Times New Roman" w:cs="Times New Roman"/>
          <w:sz w:val="24"/>
          <w:szCs w:val="24"/>
        </w:rPr>
        <w:t xml:space="preserve">Non-EU work visas to the UK are currently restricted to “graduate-level” jobs. </w:t>
      </w:r>
      <w:r>
        <w:rPr>
          <w:rFonts w:ascii="Times New Roman" w:hAnsi="Times New Roman" w:cs="Times New Roman"/>
          <w:sz w:val="24"/>
          <w:szCs w:val="24"/>
        </w:rPr>
        <w:t xml:space="preserve"> </w:t>
      </w:r>
      <w:r w:rsidRPr="00620843">
        <w:rPr>
          <w:rFonts w:ascii="Times New Roman" w:hAnsi="Times New Roman" w:cs="Times New Roman"/>
          <w:sz w:val="24"/>
          <w:szCs w:val="24"/>
        </w:rPr>
        <w:t>Any quotas on work visas on EU nationals after Brexit are also likely to favour graduate sector jobs</w:t>
      </w:r>
      <w:r>
        <w:rPr>
          <w:rFonts w:ascii="Times New Roman" w:hAnsi="Times New Roman" w:cs="Times New Roman"/>
          <w:sz w:val="24"/>
          <w:szCs w:val="24"/>
        </w:rPr>
        <w:t>. This is partly because the existing immigration policy for Non-EU citizens is almost exclusively restricted to graduate-level jobs and partly because the net fiscal contribution from graduates is likely to be higher than from non-graduate jobs.</w:t>
      </w:r>
      <w:r w:rsidR="00297266" w:rsidRPr="00297266">
        <w:rPr>
          <w:rStyle w:val="FootnoteReference"/>
          <w:rFonts w:ascii="Times New Roman" w:hAnsi="Times New Roman" w:cs="Times New Roman"/>
          <w:sz w:val="24"/>
          <w:szCs w:val="24"/>
        </w:rPr>
        <w:t xml:space="preserve"> </w:t>
      </w:r>
      <w:r w:rsidR="00297266">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Whether there are more shortages in this area or in vocational sector, due to Britain’s relatively poor training record, (OECD 2017) is open to discussion.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It may be that a revised shortage list could be broaden, again, to include vocational jobs.</w:t>
      </w:r>
    </w:p>
    <w:p w:rsidR="00393DBC" w:rsidRPr="00B90750" w:rsidRDefault="00393DBC" w:rsidP="00B90750">
      <w:pPr>
        <w:spacing w:after="0" w:line="480" w:lineRule="auto"/>
        <w:jc w:val="both"/>
        <w:rPr>
          <w:rFonts w:ascii="Times New Roman" w:hAnsi="Times New Roman" w:cs="Times New Roman"/>
          <w:sz w:val="24"/>
          <w:szCs w:val="24"/>
        </w:rPr>
      </w:pPr>
    </w:p>
    <w:p w:rsidR="00E72B91" w:rsidRDefault="004218A6" w:rsidP="00E72B91">
      <w:pPr>
        <w:spacing w:after="0" w:line="480" w:lineRule="auto"/>
        <w:jc w:val="both"/>
        <w:rPr>
          <w:rFonts w:ascii="Times New Roman" w:eastAsia="Calibri" w:hAnsi="Times New Roman" w:cs="Times New Roman"/>
          <w:sz w:val="24"/>
          <w:szCs w:val="24"/>
        </w:rPr>
      </w:pPr>
      <w:r w:rsidRPr="00B90750">
        <w:rPr>
          <w:rFonts w:ascii="Times New Roman" w:eastAsia="Calibri" w:hAnsi="Times New Roman" w:cs="Times New Roman"/>
          <w:sz w:val="24"/>
          <w:szCs w:val="24"/>
        </w:rPr>
        <w:t>Ano</w:t>
      </w:r>
      <w:r w:rsidR="00CD4ED3" w:rsidRPr="00B90750">
        <w:rPr>
          <w:rFonts w:ascii="Times New Roman" w:eastAsia="Calibri" w:hAnsi="Times New Roman" w:cs="Times New Roman"/>
          <w:sz w:val="24"/>
          <w:szCs w:val="24"/>
        </w:rPr>
        <w:t xml:space="preserve">ther form of selection would be to target individuals rather than jobs, effectively reverting to a points based system, a form of which was in place in the UK the late 2000s.  Coming up with </w:t>
      </w:r>
      <w:r w:rsidR="00A71244" w:rsidRPr="00B90750">
        <w:rPr>
          <w:rFonts w:ascii="Times New Roman" w:eastAsia="Calibri" w:hAnsi="Times New Roman" w:cs="Times New Roman"/>
          <w:sz w:val="24"/>
          <w:szCs w:val="24"/>
        </w:rPr>
        <w:t>a</w:t>
      </w:r>
      <w:r w:rsidR="00CD4ED3" w:rsidRPr="00B90750">
        <w:rPr>
          <w:rFonts w:ascii="Times New Roman" w:eastAsia="Calibri" w:hAnsi="Times New Roman" w:cs="Times New Roman"/>
          <w:sz w:val="24"/>
          <w:szCs w:val="24"/>
        </w:rPr>
        <w:t xml:space="preserve"> coherent points system i</w:t>
      </w:r>
      <w:r w:rsidR="00A71244" w:rsidRPr="00B90750">
        <w:rPr>
          <w:rFonts w:ascii="Times New Roman" w:eastAsia="Calibri" w:hAnsi="Times New Roman" w:cs="Times New Roman"/>
          <w:sz w:val="24"/>
          <w:szCs w:val="24"/>
        </w:rPr>
        <w:t>s not an easy thing to do</w:t>
      </w:r>
      <w:r w:rsidR="00CD4ED3" w:rsidRPr="00B90750">
        <w:rPr>
          <w:rFonts w:ascii="Times New Roman" w:eastAsia="Calibri" w:hAnsi="Times New Roman" w:cs="Times New Roman"/>
          <w:sz w:val="24"/>
          <w:szCs w:val="24"/>
        </w:rPr>
        <w:t>.</w:t>
      </w:r>
      <w:r w:rsidR="00F6795F">
        <w:rPr>
          <w:rStyle w:val="FootnoteReference"/>
          <w:rFonts w:ascii="Times New Roman" w:eastAsia="Calibri" w:hAnsi="Times New Roman" w:cs="Times New Roman"/>
          <w:sz w:val="24"/>
          <w:szCs w:val="24"/>
        </w:rPr>
        <w:footnoteReference w:id="27"/>
      </w:r>
      <w:r w:rsidR="00CD4ED3" w:rsidRPr="00B90750">
        <w:rPr>
          <w:rFonts w:ascii="Times New Roman" w:eastAsia="Calibri" w:hAnsi="Times New Roman" w:cs="Times New Roman"/>
          <w:sz w:val="24"/>
          <w:szCs w:val="24"/>
        </w:rPr>
        <w:t xml:space="preserve">  </w:t>
      </w:r>
      <w:r w:rsidR="00297266" w:rsidRPr="00B90750">
        <w:rPr>
          <w:rFonts w:ascii="Times New Roman" w:eastAsia="Calibri" w:hAnsi="Times New Roman" w:cs="Times New Roman"/>
          <w:sz w:val="24"/>
          <w:szCs w:val="24"/>
        </w:rPr>
        <w:t xml:space="preserve">Targeting </w:t>
      </w:r>
      <w:r w:rsidR="00535268" w:rsidRPr="00B90750">
        <w:rPr>
          <w:rFonts w:ascii="Times New Roman" w:eastAsia="Calibri" w:hAnsi="Times New Roman" w:cs="Times New Roman"/>
          <w:sz w:val="24"/>
          <w:szCs w:val="24"/>
        </w:rPr>
        <w:t xml:space="preserve">individual </w:t>
      </w:r>
      <w:r w:rsidR="00297266" w:rsidRPr="00B90750">
        <w:rPr>
          <w:rFonts w:ascii="Times New Roman" w:eastAsia="Calibri" w:hAnsi="Times New Roman" w:cs="Times New Roman"/>
          <w:sz w:val="24"/>
          <w:szCs w:val="24"/>
        </w:rPr>
        <w:t>graduates may not help graduate sectors i</w:t>
      </w:r>
      <w:r w:rsidR="002F3349">
        <w:rPr>
          <w:rFonts w:ascii="Times New Roman" w:eastAsia="Calibri" w:hAnsi="Times New Roman" w:cs="Times New Roman"/>
          <w:sz w:val="24"/>
          <w:szCs w:val="24"/>
        </w:rPr>
        <w:t>f</w:t>
      </w:r>
      <w:r w:rsidR="00297266" w:rsidRPr="00B90750">
        <w:rPr>
          <w:rFonts w:ascii="Times New Roman" w:eastAsia="Calibri" w:hAnsi="Times New Roman" w:cs="Times New Roman"/>
          <w:sz w:val="24"/>
          <w:szCs w:val="24"/>
        </w:rPr>
        <w:t xml:space="preserve"> the graduates migrate to less skilled occupations (as suggested by Table 3). </w:t>
      </w:r>
      <w:r w:rsidR="00CD4ED3" w:rsidRPr="00B90750">
        <w:rPr>
          <w:rFonts w:ascii="Times New Roman" w:eastAsia="Calibri" w:hAnsi="Times New Roman" w:cs="Times New Roman"/>
          <w:sz w:val="24"/>
          <w:szCs w:val="24"/>
        </w:rPr>
        <w:t xml:space="preserve">One benefit of having occupation-based </w:t>
      </w:r>
      <w:r w:rsidR="0058167F">
        <w:rPr>
          <w:rFonts w:ascii="Times New Roman" w:eastAsia="Calibri" w:hAnsi="Times New Roman" w:cs="Times New Roman"/>
          <w:sz w:val="24"/>
          <w:szCs w:val="24"/>
        </w:rPr>
        <w:t xml:space="preserve">entry </w:t>
      </w:r>
      <w:r w:rsidR="00801569">
        <w:rPr>
          <w:rFonts w:ascii="Times New Roman" w:eastAsia="Calibri" w:hAnsi="Times New Roman" w:cs="Times New Roman"/>
          <w:sz w:val="24"/>
          <w:szCs w:val="24"/>
        </w:rPr>
        <w:t xml:space="preserve">shortage </w:t>
      </w:r>
      <w:r w:rsidR="00CD4ED3" w:rsidRPr="00B90750">
        <w:rPr>
          <w:rFonts w:ascii="Times New Roman" w:eastAsia="Calibri" w:hAnsi="Times New Roman" w:cs="Times New Roman"/>
          <w:sz w:val="24"/>
          <w:szCs w:val="24"/>
        </w:rPr>
        <w:t xml:space="preserve">schemes </w:t>
      </w:r>
      <w:r w:rsidR="00801569">
        <w:rPr>
          <w:rFonts w:ascii="Times New Roman" w:eastAsia="Calibri" w:hAnsi="Times New Roman" w:cs="Times New Roman"/>
          <w:sz w:val="24"/>
          <w:szCs w:val="24"/>
        </w:rPr>
        <w:t xml:space="preserve">rather than individual points based entry </w:t>
      </w:r>
      <w:r w:rsidR="00CD4ED3" w:rsidRPr="00B90750">
        <w:rPr>
          <w:rFonts w:ascii="Times New Roman" w:eastAsia="Calibri" w:hAnsi="Times New Roman" w:cs="Times New Roman"/>
          <w:sz w:val="24"/>
          <w:szCs w:val="24"/>
        </w:rPr>
        <w:t xml:space="preserve">is that </w:t>
      </w:r>
      <w:r w:rsidR="001B1A8C">
        <w:rPr>
          <w:rFonts w:ascii="Times New Roman" w:eastAsia="Calibri" w:hAnsi="Times New Roman" w:cs="Times New Roman"/>
          <w:sz w:val="24"/>
          <w:szCs w:val="24"/>
        </w:rPr>
        <w:t xml:space="preserve">labour </w:t>
      </w:r>
      <w:r w:rsidR="00CD4ED3" w:rsidRPr="00B90750">
        <w:rPr>
          <w:rFonts w:ascii="Times New Roman" w:eastAsia="Calibri" w:hAnsi="Times New Roman" w:cs="Times New Roman"/>
          <w:sz w:val="24"/>
          <w:szCs w:val="24"/>
        </w:rPr>
        <w:t xml:space="preserve">market </w:t>
      </w:r>
      <w:r w:rsidR="001B1A8C">
        <w:rPr>
          <w:rFonts w:ascii="Times New Roman" w:eastAsia="Calibri" w:hAnsi="Times New Roman" w:cs="Times New Roman"/>
          <w:sz w:val="24"/>
          <w:szCs w:val="24"/>
        </w:rPr>
        <w:t xml:space="preserve">signals </w:t>
      </w:r>
      <w:r w:rsidR="00CD4ED3" w:rsidRPr="00B90750">
        <w:rPr>
          <w:rFonts w:ascii="Times New Roman" w:eastAsia="Calibri" w:hAnsi="Times New Roman" w:cs="Times New Roman"/>
          <w:sz w:val="24"/>
          <w:szCs w:val="24"/>
        </w:rPr>
        <w:t>de</w:t>
      </w:r>
      <w:r w:rsidR="001B1A8C">
        <w:rPr>
          <w:rFonts w:ascii="Times New Roman" w:eastAsia="Calibri" w:hAnsi="Times New Roman" w:cs="Times New Roman"/>
          <w:sz w:val="24"/>
          <w:szCs w:val="24"/>
        </w:rPr>
        <w:t>termine</w:t>
      </w:r>
      <w:r w:rsidR="00CD4ED3" w:rsidRPr="00B90750">
        <w:rPr>
          <w:rFonts w:ascii="Times New Roman" w:eastAsia="Calibri" w:hAnsi="Times New Roman" w:cs="Times New Roman"/>
          <w:sz w:val="24"/>
          <w:szCs w:val="24"/>
        </w:rPr>
        <w:t xml:space="preserve"> which businesses are in shortage</w:t>
      </w:r>
      <w:r w:rsidR="00CD68BC">
        <w:rPr>
          <w:rFonts w:ascii="Times New Roman" w:eastAsia="Calibri" w:hAnsi="Times New Roman" w:cs="Times New Roman"/>
          <w:sz w:val="24"/>
          <w:szCs w:val="24"/>
        </w:rPr>
        <w:t xml:space="preserve">. </w:t>
      </w:r>
      <w:r w:rsidR="00E72B91" w:rsidRPr="00B90750">
        <w:rPr>
          <w:rFonts w:ascii="Times New Roman" w:eastAsia="Calibri" w:hAnsi="Times New Roman" w:cs="Times New Roman"/>
          <w:sz w:val="24"/>
          <w:szCs w:val="24"/>
        </w:rPr>
        <w:t>In general it is hard for governments or agencies to pick winners. Letting firms and workers interact</w:t>
      </w:r>
      <w:r w:rsidR="00E72B91">
        <w:rPr>
          <w:rFonts w:ascii="Times New Roman" w:eastAsia="Calibri" w:hAnsi="Times New Roman" w:cs="Times New Roman"/>
          <w:sz w:val="24"/>
          <w:szCs w:val="24"/>
        </w:rPr>
        <w:t xml:space="preserve"> within informed general government imposed guidelines, (such as restricting entry to graduate jobs) </w:t>
      </w:r>
      <w:r w:rsidR="00E72B91" w:rsidRPr="00B90750">
        <w:rPr>
          <w:rFonts w:ascii="Times New Roman" w:eastAsia="Calibri" w:hAnsi="Times New Roman" w:cs="Times New Roman"/>
          <w:sz w:val="24"/>
          <w:szCs w:val="24"/>
        </w:rPr>
        <w:t xml:space="preserve">is probably a better way to get good job matches.  Restricting by occupation rather than people probably reduces migration flows more, since the set of eligible occupations is easier to restrict than a set of eligible individuals. </w:t>
      </w:r>
    </w:p>
    <w:p w:rsidR="00F25FA1" w:rsidRDefault="00F25FA1" w:rsidP="00B90750">
      <w:pPr>
        <w:spacing w:after="0" w:line="480" w:lineRule="auto"/>
        <w:jc w:val="both"/>
        <w:rPr>
          <w:rFonts w:ascii="Times New Roman" w:eastAsia="Calibri" w:hAnsi="Times New Roman" w:cs="Times New Roman"/>
          <w:sz w:val="24"/>
          <w:szCs w:val="24"/>
        </w:rPr>
      </w:pPr>
    </w:p>
    <w:p w:rsidR="00AB35D1" w:rsidRDefault="00AB35D1" w:rsidP="00B9075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Despite the prominence and priority given </w:t>
      </w:r>
      <w:r w:rsidR="0075000E">
        <w:rPr>
          <w:rFonts w:ascii="Times New Roman" w:eastAsia="Calibri" w:hAnsi="Times New Roman" w:cs="Times New Roman"/>
          <w:sz w:val="24"/>
          <w:szCs w:val="24"/>
        </w:rPr>
        <w:t>to the shortage occupation list, a</w:t>
      </w:r>
      <w:r>
        <w:rPr>
          <w:rFonts w:ascii="Times New Roman" w:eastAsia="Calibri" w:hAnsi="Times New Roman" w:cs="Times New Roman"/>
          <w:sz w:val="24"/>
          <w:szCs w:val="24"/>
        </w:rPr>
        <w:t xml:space="preserve"> majority of non-EEA work-related migrants arrive instead by the resident labour market test</w:t>
      </w:r>
      <w:r w:rsidR="00890F3B">
        <w:rPr>
          <w:rFonts w:ascii="Times New Roman" w:eastAsia="Calibri" w:hAnsi="Times New Roman" w:cs="Times New Roman"/>
          <w:sz w:val="24"/>
          <w:szCs w:val="24"/>
        </w:rPr>
        <w:t>, (RLMT)</w:t>
      </w:r>
      <w:r>
        <w:rPr>
          <w:rFonts w:ascii="Times New Roman" w:eastAsia="Calibri" w:hAnsi="Times New Roman" w:cs="Times New Roman"/>
          <w:sz w:val="24"/>
          <w:szCs w:val="24"/>
        </w:rPr>
        <w:t>.</w:t>
      </w:r>
      <w:r w:rsidR="002C0C89">
        <w:rPr>
          <w:rStyle w:val="FootnoteReference"/>
          <w:rFonts w:ascii="Times New Roman" w:eastAsia="Calibri" w:hAnsi="Times New Roman" w:cs="Times New Roman"/>
          <w:sz w:val="24"/>
          <w:szCs w:val="24"/>
        </w:rPr>
        <w:footnoteReference w:id="28"/>
      </w:r>
      <w:r w:rsidR="0075000E">
        <w:rPr>
          <w:rFonts w:ascii="Times New Roman" w:eastAsia="Calibri" w:hAnsi="Times New Roman" w:cs="Times New Roman"/>
          <w:sz w:val="24"/>
          <w:szCs w:val="24"/>
        </w:rPr>
        <w:t xml:space="preserve"> This allows employers to bring in non-EEA migrants</w:t>
      </w:r>
      <w:r w:rsidR="0099776B">
        <w:rPr>
          <w:rFonts w:ascii="Times New Roman" w:eastAsia="Calibri" w:hAnsi="Times New Roman" w:cs="Times New Roman"/>
          <w:sz w:val="24"/>
          <w:szCs w:val="24"/>
        </w:rPr>
        <w:t>,</w:t>
      </w:r>
      <w:r w:rsidR="0075000E">
        <w:rPr>
          <w:rFonts w:ascii="Times New Roman" w:eastAsia="Calibri" w:hAnsi="Times New Roman" w:cs="Times New Roman"/>
          <w:sz w:val="24"/>
          <w:szCs w:val="24"/>
        </w:rPr>
        <w:t xml:space="preserve"> even if the job is not on a shortage list</w:t>
      </w:r>
      <w:r w:rsidR="003B6D1A">
        <w:rPr>
          <w:rFonts w:ascii="Times New Roman" w:eastAsia="Calibri" w:hAnsi="Times New Roman" w:cs="Times New Roman"/>
          <w:sz w:val="24"/>
          <w:szCs w:val="24"/>
        </w:rPr>
        <w:t xml:space="preserve">, if the firm can demonstrate that there are no suitable applicants from within the EEA. </w:t>
      </w:r>
      <w:r w:rsidR="00925855">
        <w:rPr>
          <w:rFonts w:ascii="Times New Roman" w:eastAsia="Calibri" w:hAnsi="Times New Roman" w:cs="Times New Roman"/>
          <w:sz w:val="24"/>
          <w:szCs w:val="24"/>
        </w:rPr>
        <w:t xml:space="preserve">Whilst it may at first seem implausible that no suitable candidates can be found among the 500 million or so EEA citizens, the RLMT arguably is an alternative way of determining a skill shortage without the need for </w:t>
      </w:r>
      <w:r w:rsidR="004B1E15">
        <w:rPr>
          <w:rFonts w:ascii="Times New Roman" w:eastAsia="Calibri" w:hAnsi="Times New Roman" w:cs="Times New Roman"/>
          <w:sz w:val="24"/>
          <w:szCs w:val="24"/>
        </w:rPr>
        <w:t>a dedicated</w:t>
      </w:r>
      <w:r w:rsidR="00925855">
        <w:rPr>
          <w:rFonts w:ascii="Times New Roman" w:eastAsia="Calibri" w:hAnsi="Times New Roman" w:cs="Times New Roman"/>
          <w:sz w:val="24"/>
          <w:szCs w:val="24"/>
        </w:rPr>
        <w:t xml:space="preserve"> shortage list</w:t>
      </w:r>
      <w:r w:rsidR="0099776B">
        <w:rPr>
          <w:rFonts w:ascii="Times New Roman" w:eastAsia="Calibri" w:hAnsi="Times New Roman" w:cs="Times New Roman"/>
          <w:sz w:val="24"/>
          <w:szCs w:val="24"/>
        </w:rPr>
        <w:t xml:space="preserve">. Such schemes do however need to be continually </w:t>
      </w:r>
      <w:r w:rsidR="00925855">
        <w:rPr>
          <w:rFonts w:ascii="Times New Roman" w:eastAsia="Calibri" w:hAnsi="Times New Roman" w:cs="Times New Roman"/>
          <w:sz w:val="24"/>
          <w:szCs w:val="24"/>
        </w:rPr>
        <w:t>monitored to</w:t>
      </w:r>
      <w:r w:rsidR="004B1E15">
        <w:rPr>
          <w:rFonts w:ascii="Times New Roman" w:eastAsia="Calibri" w:hAnsi="Times New Roman" w:cs="Times New Roman"/>
          <w:sz w:val="24"/>
          <w:szCs w:val="24"/>
        </w:rPr>
        <w:t xml:space="preserve"> prevent</w:t>
      </w:r>
      <w:r w:rsidR="00925855">
        <w:rPr>
          <w:rFonts w:ascii="Times New Roman" w:eastAsia="Calibri" w:hAnsi="Times New Roman" w:cs="Times New Roman"/>
          <w:sz w:val="24"/>
          <w:szCs w:val="24"/>
        </w:rPr>
        <w:t xml:space="preserve"> abuse of the system. </w:t>
      </w:r>
      <w:r w:rsidR="003B6D1A">
        <w:rPr>
          <w:rFonts w:ascii="Times New Roman" w:eastAsia="Calibri" w:hAnsi="Times New Roman" w:cs="Times New Roman"/>
          <w:sz w:val="24"/>
          <w:szCs w:val="24"/>
        </w:rPr>
        <w:t xml:space="preserve">The test would </w:t>
      </w:r>
      <w:r w:rsidR="0099776B">
        <w:rPr>
          <w:rFonts w:ascii="Times New Roman" w:eastAsia="Calibri" w:hAnsi="Times New Roman" w:cs="Times New Roman"/>
          <w:sz w:val="24"/>
          <w:szCs w:val="24"/>
        </w:rPr>
        <w:t xml:space="preserve">also </w:t>
      </w:r>
      <w:r w:rsidR="003B6D1A">
        <w:rPr>
          <w:rFonts w:ascii="Times New Roman" w:eastAsia="Calibri" w:hAnsi="Times New Roman" w:cs="Times New Roman"/>
          <w:sz w:val="24"/>
          <w:szCs w:val="24"/>
        </w:rPr>
        <w:t>have to be amended to restrict initial employer search to the UK</w:t>
      </w:r>
      <w:r w:rsidR="0099776B">
        <w:rPr>
          <w:rFonts w:ascii="Times New Roman" w:eastAsia="Calibri" w:hAnsi="Times New Roman" w:cs="Times New Roman"/>
          <w:sz w:val="24"/>
          <w:szCs w:val="24"/>
        </w:rPr>
        <w:t xml:space="preserve"> to accompany Brexit. Combinations of shortage lists and </w:t>
      </w:r>
      <w:r w:rsidR="0012434A">
        <w:rPr>
          <w:rFonts w:ascii="Times New Roman" w:eastAsia="Calibri" w:hAnsi="Times New Roman" w:cs="Times New Roman"/>
          <w:sz w:val="24"/>
          <w:szCs w:val="24"/>
        </w:rPr>
        <w:t xml:space="preserve">resident labour market </w:t>
      </w:r>
      <w:r w:rsidR="0099776B">
        <w:rPr>
          <w:rFonts w:ascii="Times New Roman" w:eastAsia="Calibri" w:hAnsi="Times New Roman" w:cs="Times New Roman"/>
          <w:sz w:val="24"/>
          <w:szCs w:val="24"/>
        </w:rPr>
        <w:t>tests do perhaps allow</w:t>
      </w:r>
      <w:r w:rsidR="0012434A">
        <w:rPr>
          <w:rFonts w:ascii="Times New Roman" w:eastAsia="Calibri" w:hAnsi="Times New Roman" w:cs="Times New Roman"/>
          <w:sz w:val="24"/>
          <w:szCs w:val="24"/>
        </w:rPr>
        <w:t xml:space="preserve"> governments to select sectors it sees as priorities </w:t>
      </w:r>
      <w:r w:rsidR="0099776B">
        <w:rPr>
          <w:rFonts w:ascii="Times New Roman" w:eastAsia="Calibri" w:hAnsi="Times New Roman" w:cs="Times New Roman"/>
          <w:sz w:val="24"/>
          <w:szCs w:val="24"/>
        </w:rPr>
        <w:t>while at the same time allowing a degree of</w:t>
      </w:r>
      <w:r w:rsidR="0012434A">
        <w:rPr>
          <w:rFonts w:ascii="Times New Roman" w:eastAsia="Calibri" w:hAnsi="Times New Roman" w:cs="Times New Roman"/>
          <w:sz w:val="24"/>
          <w:szCs w:val="24"/>
        </w:rPr>
        <w:t xml:space="preserve"> flexibility among employers</w:t>
      </w:r>
      <w:r w:rsidR="0099776B">
        <w:rPr>
          <w:rFonts w:ascii="Times New Roman" w:eastAsia="Calibri" w:hAnsi="Times New Roman" w:cs="Times New Roman"/>
          <w:sz w:val="24"/>
          <w:szCs w:val="24"/>
        </w:rPr>
        <w:t xml:space="preserve">. The issue, as ever, is </w:t>
      </w:r>
      <w:r w:rsidR="0012434A">
        <w:rPr>
          <w:rFonts w:ascii="Times New Roman" w:eastAsia="Calibri" w:hAnsi="Times New Roman" w:cs="Times New Roman"/>
          <w:sz w:val="24"/>
          <w:szCs w:val="24"/>
        </w:rPr>
        <w:t>get</w:t>
      </w:r>
      <w:r w:rsidR="0099776B">
        <w:rPr>
          <w:rFonts w:ascii="Times New Roman" w:eastAsia="Calibri" w:hAnsi="Times New Roman" w:cs="Times New Roman"/>
          <w:sz w:val="24"/>
          <w:szCs w:val="24"/>
        </w:rPr>
        <w:t>ting the</w:t>
      </w:r>
      <w:r w:rsidR="0012434A">
        <w:rPr>
          <w:rFonts w:ascii="Times New Roman" w:eastAsia="Calibri" w:hAnsi="Times New Roman" w:cs="Times New Roman"/>
          <w:sz w:val="24"/>
          <w:szCs w:val="24"/>
        </w:rPr>
        <w:t xml:space="preserve"> appropriate mix </w:t>
      </w:r>
      <w:r w:rsidR="0099776B">
        <w:rPr>
          <w:rFonts w:ascii="Times New Roman" w:eastAsia="Calibri" w:hAnsi="Times New Roman" w:cs="Times New Roman"/>
          <w:sz w:val="24"/>
          <w:szCs w:val="24"/>
        </w:rPr>
        <w:t>in order to balanc</w:t>
      </w:r>
      <w:r w:rsidR="0012434A">
        <w:rPr>
          <w:rFonts w:ascii="Times New Roman" w:eastAsia="Calibri" w:hAnsi="Times New Roman" w:cs="Times New Roman"/>
          <w:sz w:val="24"/>
          <w:szCs w:val="24"/>
        </w:rPr>
        <w:t>e</w:t>
      </w:r>
      <w:r w:rsidR="0099776B">
        <w:rPr>
          <w:rFonts w:ascii="Times New Roman" w:eastAsia="Calibri" w:hAnsi="Times New Roman" w:cs="Times New Roman"/>
          <w:sz w:val="24"/>
          <w:szCs w:val="24"/>
        </w:rPr>
        <w:t xml:space="preserve"> the two interests.</w:t>
      </w:r>
    </w:p>
    <w:p w:rsidR="00AB35D1" w:rsidRDefault="00AB35D1" w:rsidP="00B90750">
      <w:pPr>
        <w:spacing w:after="0" w:line="480" w:lineRule="auto"/>
        <w:jc w:val="both"/>
        <w:rPr>
          <w:rFonts w:ascii="Times New Roman" w:eastAsia="Calibri" w:hAnsi="Times New Roman" w:cs="Times New Roman"/>
          <w:sz w:val="24"/>
          <w:szCs w:val="24"/>
        </w:rPr>
      </w:pPr>
    </w:p>
    <w:p w:rsidR="004B2D7B" w:rsidRDefault="0012434A" w:rsidP="00B9075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Whatever combination of </w:t>
      </w:r>
      <w:r w:rsidR="003B6D1A">
        <w:rPr>
          <w:rFonts w:ascii="Times New Roman" w:eastAsia="Calibri" w:hAnsi="Times New Roman" w:cs="Times New Roman"/>
          <w:sz w:val="24"/>
          <w:szCs w:val="24"/>
        </w:rPr>
        <w:t>the</w:t>
      </w:r>
      <w:r w:rsidR="00CD68BC">
        <w:rPr>
          <w:rFonts w:ascii="Times New Roman" w:eastAsia="Calibri" w:hAnsi="Times New Roman" w:cs="Times New Roman"/>
          <w:sz w:val="24"/>
          <w:szCs w:val="24"/>
        </w:rPr>
        <w:t>s</w:t>
      </w:r>
      <w:r w:rsidR="003B6D1A">
        <w:rPr>
          <w:rFonts w:ascii="Times New Roman" w:eastAsia="Calibri" w:hAnsi="Times New Roman" w:cs="Times New Roman"/>
          <w:sz w:val="24"/>
          <w:szCs w:val="24"/>
        </w:rPr>
        <w:t>e</w:t>
      </w:r>
      <w:r w:rsidR="00CD68BC">
        <w:rPr>
          <w:rFonts w:ascii="Times New Roman" w:eastAsia="Calibri" w:hAnsi="Times New Roman" w:cs="Times New Roman"/>
          <w:sz w:val="24"/>
          <w:szCs w:val="24"/>
        </w:rPr>
        <w:t xml:space="preserve"> method</w:t>
      </w:r>
      <w:r w:rsidR="003B6D1A">
        <w:rPr>
          <w:rFonts w:ascii="Times New Roman" w:eastAsia="Calibri" w:hAnsi="Times New Roman" w:cs="Times New Roman"/>
          <w:sz w:val="24"/>
          <w:szCs w:val="24"/>
        </w:rPr>
        <w:t>s</w:t>
      </w:r>
      <w:r w:rsidR="00CD68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employed </w:t>
      </w:r>
      <w:r w:rsidR="00CD68BC">
        <w:rPr>
          <w:rFonts w:ascii="Times New Roman" w:eastAsia="Calibri" w:hAnsi="Times New Roman" w:cs="Times New Roman"/>
          <w:sz w:val="24"/>
          <w:szCs w:val="24"/>
        </w:rPr>
        <w:t xml:space="preserve">there are </w:t>
      </w:r>
      <w:r w:rsidR="00B31261">
        <w:rPr>
          <w:rFonts w:ascii="Times New Roman" w:eastAsia="Calibri" w:hAnsi="Times New Roman" w:cs="Times New Roman"/>
          <w:sz w:val="24"/>
          <w:szCs w:val="24"/>
        </w:rPr>
        <w:t xml:space="preserve">likely to be </w:t>
      </w:r>
      <w:r w:rsidR="00CD68BC">
        <w:rPr>
          <w:rFonts w:ascii="Times New Roman" w:eastAsia="Calibri" w:hAnsi="Times New Roman" w:cs="Times New Roman"/>
          <w:sz w:val="24"/>
          <w:szCs w:val="24"/>
        </w:rPr>
        <w:t xml:space="preserve">more shortages than </w:t>
      </w:r>
      <w:r w:rsidR="00E72B91">
        <w:rPr>
          <w:rFonts w:ascii="Times New Roman" w:eastAsia="Calibri" w:hAnsi="Times New Roman" w:cs="Times New Roman"/>
          <w:sz w:val="24"/>
          <w:szCs w:val="24"/>
        </w:rPr>
        <w:t xml:space="preserve">most governments would allow to be filled by immigration </w:t>
      </w:r>
      <w:r w:rsidR="00F25FA1">
        <w:rPr>
          <w:rFonts w:ascii="Times New Roman" w:eastAsia="Calibri" w:hAnsi="Times New Roman" w:cs="Times New Roman"/>
          <w:sz w:val="24"/>
          <w:szCs w:val="24"/>
        </w:rPr>
        <w:t>without some sort of quotas.</w:t>
      </w:r>
      <w:r w:rsidR="00950E3F">
        <w:rPr>
          <w:rFonts w:ascii="Times New Roman" w:eastAsia="Calibri" w:hAnsi="Times New Roman" w:cs="Times New Roman"/>
          <w:sz w:val="24"/>
          <w:szCs w:val="24"/>
        </w:rPr>
        <w:t xml:space="preserve"> </w:t>
      </w:r>
      <w:r w:rsidR="00CD68BC">
        <w:rPr>
          <w:rFonts w:ascii="Times New Roman" w:eastAsia="Calibri" w:hAnsi="Times New Roman" w:cs="Times New Roman"/>
          <w:sz w:val="24"/>
          <w:szCs w:val="24"/>
        </w:rPr>
        <w:t xml:space="preserve">The current </w:t>
      </w:r>
      <w:r w:rsidR="00A71244" w:rsidRPr="00B90750">
        <w:rPr>
          <w:rFonts w:ascii="Times New Roman" w:eastAsia="Calibri" w:hAnsi="Times New Roman" w:cs="Times New Roman"/>
          <w:sz w:val="24"/>
          <w:szCs w:val="24"/>
        </w:rPr>
        <w:t xml:space="preserve">form </w:t>
      </w:r>
      <w:r w:rsidR="00E517C4">
        <w:rPr>
          <w:rFonts w:ascii="Times New Roman" w:eastAsia="Calibri" w:hAnsi="Times New Roman" w:cs="Times New Roman"/>
          <w:sz w:val="24"/>
          <w:szCs w:val="24"/>
        </w:rPr>
        <w:t xml:space="preserve">of rationing within a set quota makes firms </w:t>
      </w:r>
      <w:r w:rsidR="00A71244" w:rsidRPr="00B90750">
        <w:rPr>
          <w:rFonts w:ascii="Times New Roman" w:eastAsia="Calibri" w:hAnsi="Times New Roman" w:cs="Times New Roman"/>
          <w:sz w:val="24"/>
          <w:szCs w:val="24"/>
        </w:rPr>
        <w:t>compet</w:t>
      </w:r>
      <w:r w:rsidR="00E517C4">
        <w:rPr>
          <w:rFonts w:ascii="Times New Roman" w:eastAsia="Calibri" w:hAnsi="Times New Roman" w:cs="Times New Roman"/>
          <w:sz w:val="24"/>
          <w:szCs w:val="24"/>
        </w:rPr>
        <w:t>e</w:t>
      </w:r>
      <w:r w:rsidR="00CD4ED3" w:rsidRPr="00B90750">
        <w:rPr>
          <w:rFonts w:ascii="Times New Roman" w:eastAsia="Calibri" w:hAnsi="Times New Roman" w:cs="Times New Roman"/>
          <w:sz w:val="24"/>
          <w:szCs w:val="24"/>
        </w:rPr>
        <w:t xml:space="preserve"> on salary </w:t>
      </w:r>
      <w:r w:rsidR="00A71244" w:rsidRPr="00B90750">
        <w:rPr>
          <w:rFonts w:ascii="Times New Roman" w:eastAsia="Calibri" w:hAnsi="Times New Roman" w:cs="Times New Roman"/>
          <w:sz w:val="24"/>
          <w:szCs w:val="24"/>
        </w:rPr>
        <w:t xml:space="preserve">which </w:t>
      </w:r>
      <w:r w:rsidR="00CD4ED3" w:rsidRPr="00B90750">
        <w:rPr>
          <w:rFonts w:ascii="Times New Roman" w:eastAsia="Calibri" w:hAnsi="Times New Roman" w:cs="Times New Roman"/>
          <w:sz w:val="24"/>
          <w:szCs w:val="24"/>
        </w:rPr>
        <w:t>some businesses may be less able to do than others.</w:t>
      </w:r>
      <w:r w:rsidR="00A75904" w:rsidRPr="00B90750">
        <w:rPr>
          <w:rStyle w:val="FootnoteReference"/>
          <w:rFonts w:ascii="Times New Roman" w:eastAsia="Calibri" w:hAnsi="Times New Roman" w:cs="Times New Roman"/>
          <w:sz w:val="24"/>
          <w:szCs w:val="24"/>
        </w:rPr>
        <w:footnoteReference w:id="29"/>
      </w:r>
      <w:r w:rsidR="00CD4ED3" w:rsidRPr="00B90750">
        <w:rPr>
          <w:rFonts w:ascii="Times New Roman" w:eastAsia="Calibri" w:hAnsi="Times New Roman" w:cs="Times New Roman"/>
          <w:sz w:val="24"/>
          <w:szCs w:val="24"/>
        </w:rPr>
        <w:t xml:space="preserve"> </w:t>
      </w:r>
      <w:r w:rsidR="00FA3498">
        <w:rPr>
          <w:rFonts w:ascii="Times New Roman" w:eastAsia="Calibri" w:hAnsi="Times New Roman" w:cs="Times New Roman"/>
          <w:sz w:val="24"/>
          <w:szCs w:val="24"/>
        </w:rPr>
        <w:t>This could prove to be anti-competitive in the long-run. Similarly q</w:t>
      </w:r>
      <w:r w:rsidR="00950E3F">
        <w:rPr>
          <w:rFonts w:ascii="Times New Roman" w:eastAsia="Calibri" w:hAnsi="Times New Roman" w:cs="Times New Roman"/>
          <w:sz w:val="24"/>
          <w:szCs w:val="24"/>
        </w:rPr>
        <w:t>uotas also need to be administered</w:t>
      </w:r>
      <w:r w:rsidR="00AF6F98">
        <w:rPr>
          <w:rFonts w:ascii="Times New Roman" w:eastAsia="Calibri" w:hAnsi="Times New Roman" w:cs="Times New Roman"/>
          <w:sz w:val="24"/>
          <w:szCs w:val="24"/>
        </w:rPr>
        <w:t>,</w:t>
      </w:r>
      <w:r w:rsidR="00950E3F">
        <w:rPr>
          <w:rFonts w:ascii="Times New Roman" w:eastAsia="Calibri" w:hAnsi="Times New Roman" w:cs="Times New Roman"/>
          <w:sz w:val="24"/>
          <w:szCs w:val="24"/>
        </w:rPr>
        <w:t xml:space="preserve"> presumably imposing as little cost and effort on firms and individuals</w:t>
      </w:r>
      <w:r w:rsidR="00FA3498">
        <w:rPr>
          <w:rFonts w:ascii="Times New Roman" w:eastAsia="Calibri" w:hAnsi="Times New Roman" w:cs="Times New Roman"/>
          <w:sz w:val="24"/>
          <w:szCs w:val="24"/>
        </w:rPr>
        <w:t xml:space="preserve"> as possible so to try to ensure that firms without large dedicated teams adept at working in the system do not lose out.</w:t>
      </w:r>
    </w:p>
    <w:p w:rsidR="00E822BF" w:rsidRDefault="00E822BF" w:rsidP="00B90750">
      <w:pPr>
        <w:spacing w:after="0" w:line="48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Welfare and Work </w:t>
      </w:r>
    </w:p>
    <w:p w:rsidR="00E822BF" w:rsidRDefault="00270763" w:rsidP="00B9075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One possible model for EU migration after Brexit would be to allow for free-entry from the EU after Brexit</w:t>
      </w:r>
      <w:r w:rsidR="00504D67">
        <w:rPr>
          <w:rFonts w:ascii="Times New Roman" w:eastAsia="Calibri" w:hAnsi="Times New Roman" w:cs="Times New Roman"/>
          <w:sz w:val="24"/>
          <w:szCs w:val="24"/>
        </w:rPr>
        <w:t xml:space="preserve"> with a fixed time interval in which to find a job</w:t>
      </w:r>
      <w:r w:rsidR="00F4381E">
        <w:rPr>
          <w:rFonts w:ascii="Times New Roman" w:eastAsia="Calibri" w:hAnsi="Times New Roman" w:cs="Times New Roman"/>
          <w:sz w:val="24"/>
          <w:szCs w:val="24"/>
        </w:rPr>
        <w:t xml:space="preserve">, possibly </w:t>
      </w:r>
      <w:r>
        <w:rPr>
          <w:rFonts w:ascii="Times New Roman" w:eastAsia="Calibri" w:hAnsi="Times New Roman" w:cs="Times New Roman"/>
          <w:sz w:val="24"/>
          <w:szCs w:val="24"/>
        </w:rPr>
        <w:t>accompanied by a registration scheme to help enforcement and monitoring of numbers. This would essentially be the status quo, since job seekers from the EU rather than those with a job offer are a minority of work related entries.</w:t>
      </w:r>
      <w:r w:rsidR="00F9737D">
        <w:rPr>
          <w:rStyle w:val="FootnoteReference"/>
          <w:rFonts w:ascii="Times New Roman" w:eastAsia="Calibri" w:hAnsi="Times New Roman" w:cs="Times New Roman"/>
          <w:sz w:val="24"/>
          <w:szCs w:val="24"/>
        </w:rPr>
        <w:footnoteReference w:id="30"/>
      </w:r>
      <w:r w:rsidR="005C393C">
        <w:rPr>
          <w:rFonts w:ascii="Times New Roman" w:eastAsia="Calibri" w:hAnsi="Times New Roman" w:cs="Times New Roman"/>
          <w:sz w:val="24"/>
          <w:szCs w:val="24"/>
        </w:rPr>
        <w:t xml:space="preserve"> It would not however be seen to address a</w:t>
      </w:r>
      <w:r w:rsidR="00E822BF">
        <w:rPr>
          <w:rFonts w:ascii="Times New Roman" w:eastAsia="Calibri" w:hAnsi="Times New Roman" w:cs="Times New Roman"/>
          <w:sz w:val="24"/>
          <w:szCs w:val="24"/>
        </w:rPr>
        <w:t>ny worries over the chimera of</w:t>
      </w:r>
      <w:r w:rsidR="00FE589B">
        <w:rPr>
          <w:rFonts w:ascii="Times New Roman" w:eastAsia="Calibri" w:hAnsi="Times New Roman" w:cs="Times New Roman"/>
          <w:sz w:val="24"/>
          <w:szCs w:val="24"/>
        </w:rPr>
        <w:t xml:space="preserve"> </w:t>
      </w:r>
      <w:r w:rsidR="00E822BF">
        <w:rPr>
          <w:rFonts w:ascii="Times New Roman" w:eastAsia="Calibri" w:hAnsi="Times New Roman" w:cs="Times New Roman"/>
          <w:sz w:val="24"/>
          <w:szCs w:val="24"/>
        </w:rPr>
        <w:t>“benefit tourism”</w:t>
      </w:r>
      <w:r w:rsidR="005C393C">
        <w:rPr>
          <w:rFonts w:ascii="Times New Roman" w:eastAsia="Calibri" w:hAnsi="Times New Roman" w:cs="Times New Roman"/>
          <w:sz w:val="24"/>
          <w:szCs w:val="24"/>
        </w:rPr>
        <w:t xml:space="preserve">. </w:t>
      </w:r>
      <w:r w:rsidR="00382D35">
        <w:rPr>
          <w:rFonts w:ascii="Times New Roman" w:eastAsia="Calibri" w:hAnsi="Times New Roman" w:cs="Times New Roman"/>
          <w:sz w:val="24"/>
          <w:szCs w:val="24"/>
        </w:rPr>
        <w:t>Whether real or imagined, t</w:t>
      </w:r>
      <w:r w:rsidR="005C393C">
        <w:rPr>
          <w:rFonts w:ascii="Times New Roman" w:eastAsia="Calibri" w:hAnsi="Times New Roman" w:cs="Times New Roman"/>
          <w:sz w:val="24"/>
          <w:szCs w:val="24"/>
        </w:rPr>
        <w:t>his could</w:t>
      </w:r>
      <w:r w:rsidR="00E822BF">
        <w:rPr>
          <w:rFonts w:ascii="Times New Roman" w:eastAsia="Calibri" w:hAnsi="Times New Roman" w:cs="Times New Roman"/>
          <w:sz w:val="24"/>
          <w:szCs w:val="24"/>
        </w:rPr>
        <w:t xml:space="preserve"> be </w:t>
      </w:r>
      <w:r w:rsidR="000502DF">
        <w:rPr>
          <w:rFonts w:ascii="Times New Roman" w:eastAsia="Calibri" w:hAnsi="Times New Roman" w:cs="Times New Roman"/>
          <w:sz w:val="24"/>
          <w:szCs w:val="24"/>
        </w:rPr>
        <w:t xml:space="preserve">seen to be </w:t>
      </w:r>
      <w:r w:rsidR="00E822BF">
        <w:rPr>
          <w:rFonts w:ascii="Times New Roman" w:eastAsia="Calibri" w:hAnsi="Times New Roman" w:cs="Times New Roman"/>
          <w:sz w:val="24"/>
          <w:szCs w:val="24"/>
        </w:rPr>
        <w:t>addressed by restricting entry to those</w:t>
      </w:r>
      <w:r w:rsidR="004B050B">
        <w:rPr>
          <w:rFonts w:ascii="Times New Roman" w:eastAsia="Calibri" w:hAnsi="Times New Roman" w:cs="Times New Roman"/>
          <w:sz w:val="24"/>
          <w:szCs w:val="24"/>
        </w:rPr>
        <w:t xml:space="preserve"> with a job offer after Brexit,</w:t>
      </w:r>
      <w:r w:rsidR="00E822BF">
        <w:rPr>
          <w:rFonts w:ascii="Times New Roman" w:eastAsia="Calibri" w:hAnsi="Times New Roman" w:cs="Times New Roman"/>
          <w:sz w:val="24"/>
          <w:szCs w:val="24"/>
        </w:rPr>
        <w:t xml:space="preserve"> EU and non-EU alike. </w:t>
      </w:r>
      <w:r w:rsidR="00CB62D6">
        <w:rPr>
          <w:rFonts w:ascii="Times New Roman" w:eastAsia="Calibri" w:hAnsi="Times New Roman" w:cs="Times New Roman"/>
          <w:sz w:val="24"/>
          <w:szCs w:val="24"/>
        </w:rPr>
        <w:t xml:space="preserve">If the entry level were </w:t>
      </w:r>
      <w:r w:rsidR="0099058D">
        <w:rPr>
          <w:rFonts w:ascii="Times New Roman" w:eastAsia="Calibri" w:hAnsi="Times New Roman" w:cs="Times New Roman"/>
          <w:sz w:val="24"/>
          <w:szCs w:val="24"/>
        </w:rPr>
        <w:t xml:space="preserve">set at </w:t>
      </w:r>
      <w:r w:rsidR="00CB62D6">
        <w:rPr>
          <w:rFonts w:ascii="Times New Roman" w:eastAsia="Calibri" w:hAnsi="Times New Roman" w:cs="Times New Roman"/>
          <w:sz w:val="24"/>
          <w:szCs w:val="24"/>
        </w:rPr>
        <w:t>graduate jobs th</w:t>
      </w:r>
      <w:r w:rsidR="00A01C8C">
        <w:rPr>
          <w:rFonts w:ascii="Times New Roman" w:eastAsia="Calibri" w:hAnsi="Times New Roman" w:cs="Times New Roman"/>
          <w:sz w:val="24"/>
          <w:szCs w:val="24"/>
        </w:rPr>
        <w:t>e going wage</w:t>
      </w:r>
      <w:r w:rsidR="00CB62D6">
        <w:rPr>
          <w:rFonts w:ascii="Times New Roman" w:eastAsia="Calibri" w:hAnsi="Times New Roman" w:cs="Times New Roman"/>
          <w:sz w:val="24"/>
          <w:szCs w:val="24"/>
        </w:rPr>
        <w:t xml:space="preserve"> would exclude most </w:t>
      </w:r>
      <w:r w:rsidR="0099058D">
        <w:rPr>
          <w:rFonts w:ascii="Times New Roman" w:eastAsia="Calibri" w:hAnsi="Times New Roman" w:cs="Times New Roman"/>
          <w:sz w:val="24"/>
          <w:szCs w:val="24"/>
        </w:rPr>
        <w:t xml:space="preserve">of these </w:t>
      </w:r>
      <w:r w:rsidR="00CB62D6">
        <w:rPr>
          <w:rFonts w:ascii="Times New Roman" w:eastAsia="Calibri" w:hAnsi="Times New Roman" w:cs="Times New Roman"/>
          <w:sz w:val="24"/>
          <w:szCs w:val="24"/>
        </w:rPr>
        <w:t>jobs from tax credit</w:t>
      </w:r>
      <w:r w:rsidR="0099058D">
        <w:rPr>
          <w:rFonts w:ascii="Times New Roman" w:eastAsia="Calibri" w:hAnsi="Times New Roman" w:cs="Times New Roman"/>
          <w:sz w:val="24"/>
          <w:szCs w:val="24"/>
        </w:rPr>
        <w:t xml:space="preserve"> payment</w:t>
      </w:r>
      <w:r w:rsidR="00CB62D6">
        <w:rPr>
          <w:rFonts w:ascii="Times New Roman" w:eastAsia="Calibri" w:hAnsi="Times New Roman" w:cs="Times New Roman"/>
          <w:sz w:val="24"/>
          <w:szCs w:val="24"/>
        </w:rPr>
        <w:t>s</w:t>
      </w:r>
      <w:r w:rsidR="00A4642C">
        <w:rPr>
          <w:rFonts w:ascii="Times New Roman" w:eastAsia="Calibri" w:hAnsi="Times New Roman" w:cs="Times New Roman"/>
          <w:sz w:val="24"/>
          <w:szCs w:val="24"/>
        </w:rPr>
        <w:t>,</w:t>
      </w:r>
      <w:r w:rsidR="00771F6E" w:rsidRPr="00771F6E">
        <w:rPr>
          <w:rFonts w:ascii="Times New Roman" w:eastAsia="Calibri" w:hAnsi="Times New Roman" w:cs="Times New Roman"/>
          <w:sz w:val="24"/>
          <w:szCs w:val="24"/>
        </w:rPr>
        <w:t xml:space="preserve"> </w:t>
      </w:r>
      <w:r w:rsidR="00771F6E">
        <w:rPr>
          <w:rFonts w:ascii="Times New Roman" w:eastAsia="Calibri" w:hAnsi="Times New Roman" w:cs="Times New Roman"/>
          <w:sz w:val="24"/>
          <w:szCs w:val="24"/>
        </w:rPr>
        <w:t>as is done with non-EEA migrants now</w:t>
      </w:r>
      <w:r w:rsidR="00CB62D6">
        <w:rPr>
          <w:rFonts w:ascii="Times New Roman" w:eastAsia="Calibri" w:hAnsi="Times New Roman" w:cs="Times New Roman"/>
          <w:sz w:val="24"/>
          <w:szCs w:val="24"/>
        </w:rPr>
        <w:t xml:space="preserve">. Welfare claims could then only be made after </w:t>
      </w:r>
      <w:r w:rsidR="0044001C">
        <w:rPr>
          <w:rFonts w:ascii="Times New Roman" w:eastAsia="Calibri" w:hAnsi="Times New Roman" w:cs="Times New Roman"/>
          <w:sz w:val="24"/>
          <w:szCs w:val="24"/>
        </w:rPr>
        <w:t>any subsequent spell of unemployment</w:t>
      </w:r>
      <w:r w:rsidR="007065E7">
        <w:rPr>
          <w:rFonts w:ascii="Times New Roman" w:eastAsia="Calibri" w:hAnsi="Times New Roman" w:cs="Times New Roman"/>
          <w:sz w:val="24"/>
          <w:szCs w:val="24"/>
        </w:rPr>
        <w:t xml:space="preserve"> or sickness </w:t>
      </w:r>
      <w:r w:rsidR="007065E7" w:rsidRPr="007065E7">
        <w:rPr>
          <w:rFonts w:ascii="Times New Roman" w:eastAsia="Calibri" w:hAnsi="Times New Roman" w:cs="Times New Roman"/>
          <w:i/>
          <w:sz w:val="24"/>
          <w:szCs w:val="24"/>
        </w:rPr>
        <w:t>and</w:t>
      </w:r>
      <w:r w:rsidR="007065E7">
        <w:rPr>
          <w:rFonts w:ascii="Times New Roman" w:eastAsia="Calibri" w:hAnsi="Times New Roman" w:cs="Times New Roman"/>
          <w:sz w:val="24"/>
          <w:szCs w:val="24"/>
        </w:rPr>
        <w:t xml:space="preserve"> granting of UK residency</w:t>
      </w:r>
      <w:r w:rsidR="00771F6E">
        <w:rPr>
          <w:rFonts w:ascii="Times New Roman" w:eastAsia="Calibri" w:hAnsi="Times New Roman" w:cs="Times New Roman"/>
          <w:sz w:val="24"/>
          <w:szCs w:val="24"/>
        </w:rPr>
        <w:t>, again as is done with non-EEA migrants now</w:t>
      </w:r>
      <w:r w:rsidR="007065E7">
        <w:rPr>
          <w:rFonts w:ascii="Times New Roman" w:eastAsia="Calibri" w:hAnsi="Times New Roman" w:cs="Times New Roman"/>
          <w:sz w:val="24"/>
          <w:szCs w:val="24"/>
        </w:rPr>
        <w:t>.</w:t>
      </w:r>
      <w:r w:rsidR="007065E7">
        <w:rPr>
          <w:rStyle w:val="FootnoteReference"/>
          <w:rFonts w:ascii="Times New Roman" w:eastAsia="Calibri" w:hAnsi="Times New Roman" w:cs="Times New Roman"/>
          <w:sz w:val="24"/>
          <w:szCs w:val="24"/>
        </w:rPr>
        <w:footnoteReference w:id="31"/>
      </w:r>
      <w:r w:rsidR="007065E7">
        <w:rPr>
          <w:rFonts w:ascii="Times New Roman" w:eastAsia="Calibri" w:hAnsi="Times New Roman" w:cs="Times New Roman"/>
          <w:sz w:val="24"/>
          <w:szCs w:val="24"/>
        </w:rPr>
        <w:t xml:space="preserve"> </w:t>
      </w:r>
    </w:p>
    <w:p w:rsidR="00270763" w:rsidRDefault="00270763" w:rsidP="00B90750">
      <w:pPr>
        <w:spacing w:after="0" w:line="480" w:lineRule="auto"/>
        <w:jc w:val="both"/>
        <w:rPr>
          <w:rFonts w:ascii="Times New Roman" w:eastAsia="Calibri" w:hAnsi="Times New Roman" w:cs="Times New Roman"/>
          <w:sz w:val="24"/>
          <w:szCs w:val="24"/>
        </w:rPr>
      </w:pPr>
    </w:p>
    <w:p w:rsidR="00B90750" w:rsidRPr="00B90750" w:rsidRDefault="00E822BF" w:rsidP="00B90750">
      <w:p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However</w:t>
      </w:r>
      <w:r w:rsidR="00E72B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even </w:t>
      </w:r>
      <w:r w:rsidR="00E72B91">
        <w:rPr>
          <w:rFonts w:ascii="Times New Roman" w:eastAsia="Calibri" w:hAnsi="Times New Roman" w:cs="Times New Roman"/>
          <w:sz w:val="24"/>
          <w:szCs w:val="24"/>
        </w:rPr>
        <w:t>r</w:t>
      </w:r>
      <w:r w:rsidR="00B90750">
        <w:rPr>
          <w:rFonts w:ascii="Times New Roman" w:eastAsia="Calibri" w:hAnsi="Times New Roman" w:cs="Times New Roman"/>
          <w:sz w:val="24"/>
          <w:szCs w:val="24"/>
        </w:rPr>
        <w:t xml:space="preserve">estricting </w:t>
      </w:r>
      <w:r>
        <w:rPr>
          <w:rFonts w:ascii="Times New Roman" w:eastAsia="Calibri" w:hAnsi="Times New Roman" w:cs="Times New Roman"/>
          <w:sz w:val="24"/>
          <w:szCs w:val="24"/>
        </w:rPr>
        <w:t xml:space="preserve">labour </w:t>
      </w:r>
      <w:r w:rsidR="00B90750">
        <w:rPr>
          <w:rFonts w:ascii="Times New Roman" w:eastAsia="Calibri" w:hAnsi="Times New Roman" w:cs="Times New Roman"/>
          <w:sz w:val="24"/>
          <w:szCs w:val="24"/>
        </w:rPr>
        <w:t xml:space="preserve">migration to </w:t>
      </w:r>
      <w:r>
        <w:rPr>
          <w:rFonts w:ascii="Times New Roman" w:eastAsia="Calibri" w:hAnsi="Times New Roman" w:cs="Times New Roman"/>
          <w:sz w:val="24"/>
          <w:szCs w:val="24"/>
        </w:rPr>
        <w:t xml:space="preserve">those with job offers in </w:t>
      </w:r>
      <w:r w:rsidR="00B90750">
        <w:rPr>
          <w:rFonts w:ascii="Times New Roman" w:eastAsia="Calibri" w:hAnsi="Times New Roman" w:cs="Times New Roman"/>
          <w:sz w:val="24"/>
          <w:szCs w:val="24"/>
        </w:rPr>
        <w:t xml:space="preserve">certain occupations does not automatically restrict migration to these sectors. </w:t>
      </w:r>
      <w:r w:rsidR="00B90750" w:rsidRPr="00B90750">
        <w:rPr>
          <w:rFonts w:ascii="Times New Roman" w:hAnsi="Times New Roman" w:cs="Times New Roman"/>
          <w:sz w:val="24"/>
          <w:szCs w:val="24"/>
        </w:rPr>
        <w:t xml:space="preserve">There will be an issue about whether to let EU students work in the UK </w:t>
      </w:r>
      <w:r w:rsidR="00B90750">
        <w:rPr>
          <w:rFonts w:ascii="Times New Roman" w:hAnsi="Times New Roman" w:cs="Times New Roman"/>
          <w:sz w:val="24"/>
          <w:szCs w:val="24"/>
        </w:rPr>
        <w:t xml:space="preserve">before and </w:t>
      </w:r>
      <w:r w:rsidR="00B90750" w:rsidRPr="00B90750">
        <w:rPr>
          <w:rFonts w:ascii="Times New Roman" w:hAnsi="Times New Roman" w:cs="Times New Roman"/>
          <w:sz w:val="24"/>
          <w:szCs w:val="24"/>
        </w:rPr>
        <w:t xml:space="preserve">after graduation. At present, non-EEA </w:t>
      </w:r>
      <w:r w:rsidR="00863B02">
        <w:rPr>
          <w:rFonts w:ascii="Times New Roman" w:hAnsi="Times New Roman" w:cs="Times New Roman"/>
          <w:sz w:val="24"/>
          <w:szCs w:val="24"/>
        </w:rPr>
        <w:t xml:space="preserve">student entrants </w:t>
      </w:r>
      <w:r w:rsidR="00B90750" w:rsidRPr="00B90750">
        <w:rPr>
          <w:rFonts w:ascii="Times New Roman" w:hAnsi="Times New Roman" w:cs="Times New Roman"/>
          <w:sz w:val="24"/>
          <w:szCs w:val="24"/>
        </w:rPr>
        <w:t xml:space="preserve">can </w:t>
      </w:r>
      <w:r w:rsidR="00B90750">
        <w:rPr>
          <w:rFonts w:ascii="Times New Roman" w:hAnsi="Times New Roman" w:cs="Times New Roman"/>
          <w:sz w:val="24"/>
          <w:szCs w:val="24"/>
        </w:rPr>
        <w:t xml:space="preserve">work for up to 20 hours a week in any sector while studying </w:t>
      </w:r>
      <w:r w:rsidR="00366981">
        <w:rPr>
          <w:rFonts w:ascii="Times New Roman" w:hAnsi="Times New Roman" w:cs="Times New Roman"/>
          <w:sz w:val="24"/>
          <w:szCs w:val="24"/>
        </w:rPr>
        <w:t xml:space="preserve">and can then </w:t>
      </w:r>
      <w:r w:rsidR="00931E82">
        <w:rPr>
          <w:rFonts w:ascii="Times New Roman" w:hAnsi="Times New Roman" w:cs="Times New Roman"/>
          <w:sz w:val="24"/>
          <w:szCs w:val="24"/>
        </w:rPr>
        <w:t>stay in the UK six</w:t>
      </w:r>
      <w:r w:rsidR="00B90750" w:rsidRPr="00B90750">
        <w:rPr>
          <w:rFonts w:ascii="Times New Roman" w:hAnsi="Times New Roman" w:cs="Times New Roman"/>
          <w:sz w:val="24"/>
          <w:szCs w:val="24"/>
        </w:rPr>
        <w:t xml:space="preserve"> months after graduation in order to try to find a Tier 2 (effectively graduate) job. There are no limits on the numbers of students who can do this. Similarly family members of legally resident EU individuals will almost certainly be allowed to migrate to the UK under international law, like Non-EEA migrants at present. Non-EEA family migrants can work in any sector in the UK.</w:t>
      </w:r>
      <w:r w:rsidR="0067593E">
        <w:rPr>
          <w:rFonts w:ascii="Times New Roman" w:hAnsi="Times New Roman" w:cs="Times New Roman"/>
          <w:sz w:val="24"/>
          <w:szCs w:val="24"/>
        </w:rPr>
        <w:t xml:space="preserve"> </w:t>
      </w:r>
      <w:r w:rsidR="003D307D">
        <w:rPr>
          <w:rFonts w:ascii="Times New Roman" w:hAnsi="Times New Roman" w:cs="Times New Roman"/>
          <w:sz w:val="24"/>
          <w:szCs w:val="24"/>
        </w:rPr>
        <w:t xml:space="preserve">There were no sector restrictions on self-employment for A2 workers during their transition period. </w:t>
      </w:r>
      <w:r w:rsidR="008144EF">
        <w:rPr>
          <w:rFonts w:ascii="Times New Roman" w:hAnsi="Times New Roman" w:cs="Times New Roman"/>
          <w:sz w:val="24"/>
          <w:szCs w:val="24"/>
        </w:rPr>
        <w:t>Would something similar apply to all EU workers after any Brexit?</w:t>
      </w:r>
      <w:r w:rsidR="00A33252">
        <w:rPr>
          <w:rStyle w:val="FootnoteReference"/>
          <w:rFonts w:ascii="Times New Roman" w:hAnsi="Times New Roman" w:cs="Times New Roman"/>
          <w:sz w:val="24"/>
          <w:szCs w:val="24"/>
        </w:rPr>
        <w:footnoteReference w:id="32"/>
      </w:r>
      <w:r w:rsidR="008144EF">
        <w:rPr>
          <w:rFonts w:ascii="Times New Roman" w:hAnsi="Times New Roman" w:cs="Times New Roman"/>
          <w:sz w:val="24"/>
          <w:szCs w:val="24"/>
        </w:rPr>
        <w:t xml:space="preserve"> </w:t>
      </w:r>
      <w:r w:rsidR="0075000E">
        <w:rPr>
          <w:rFonts w:ascii="Times New Roman" w:hAnsi="Times New Roman" w:cs="Times New Roman"/>
          <w:sz w:val="24"/>
          <w:szCs w:val="24"/>
        </w:rPr>
        <w:t xml:space="preserve">There are also firms who can bring in employers from international subsidiaries in occupations not on a shortage list. </w:t>
      </w:r>
      <w:r w:rsidR="0067593E">
        <w:rPr>
          <w:rFonts w:ascii="Times New Roman" w:hAnsi="Times New Roman" w:cs="Times New Roman"/>
          <w:sz w:val="24"/>
          <w:szCs w:val="24"/>
        </w:rPr>
        <w:t xml:space="preserve">Again decisions will have to be made on whether to </w:t>
      </w:r>
      <w:r w:rsidR="0075000E">
        <w:rPr>
          <w:rFonts w:ascii="Times New Roman" w:hAnsi="Times New Roman" w:cs="Times New Roman"/>
          <w:sz w:val="24"/>
          <w:szCs w:val="24"/>
        </w:rPr>
        <w:t xml:space="preserve">extend or amend </w:t>
      </w:r>
      <w:r w:rsidR="0067593E">
        <w:rPr>
          <w:rFonts w:ascii="Times New Roman" w:hAnsi="Times New Roman" w:cs="Times New Roman"/>
          <w:sz w:val="24"/>
          <w:szCs w:val="24"/>
        </w:rPr>
        <w:t xml:space="preserve">these work entry routes </w:t>
      </w:r>
      <w:r w:rsidR="0075000E">
        <w:rPr>
          <w:rFonts w:ascii="Times New Roman" w:hAnsi="Times New Roman" w:cs="Times New Roman"/>
          <w:sz w:val="24"/>
          <w:szCs w:val="24"/>
        </w:rPr>
        <w:t xml:space="preserve">to EEA workers </w:t>
      </w:r>
      <w:r w:rsidR="0067593E">
        <w:rPr>
          <w:rFonts w:ascii="Times New Roman" w:hAnsi="Times New Roman" w:cs="Times New Roman"/>
          <w:sz w:val="24"/>
          <w:szCs w:val="24"/>
        </w:rPr>
        <w:t>after Brexit.</w:t>
      </w:r>
    </w:p>
    <w:p w:rsidR="0009729F" w:rsidRPr="0093298E" w:rsidRDefault="0093298E" w:rsidP="003723E7">
      <w:pPr>
        <w:spacing w:after="0" w:line="480" w:lineRule="auto"/>
        <w:jc w:val="both"/>
        <w:rPr>
          <w:rFonts w:ascii="Times New Roman" w:hAnsi="Times New Roman" w:cs="Times New Roman"/>
          <w:b/>
          <w:i/>
          <w:sz w:val="24"/>
          <w:szCs w:val="24"/>
        </w:rPr>
      </w:pPr>
      <w:r w:rsidRPr="0093298E">
        <w:rPr>
          <w:rFonts w:ascii="Times New Roman" w:hAnsi="Times New Roman" w:cs="Times New Roman"/>
          <w:b/>
          <w:i/>
          <w:sz w:val="24"/>
          <w:szCs w:val="24"/>
        </w:rPr>
        <w:t>Area</w:t>
      </w:r>
      <w:r>
        <w:rPr>
          <w:rFonts w:ascii="Times New Roman" w:hAnsi="Times New Roman" w:cs="Times New Roman"/>
          <w:b/>
          <w:i/>
          <w:sz w:val="24"/>
          <w:szCs w:val="24"/>
        </w:rPr>
        <w:t>-</w:t>
      </w:r>
      <w:r w:rsidRPr="0093298E">
        <w:rPr>
          <w:rFonts w:ascii="Times New Roman" w:hAnsi="Times New Roman" w:cs="Times New Roman"/>
          <w:b/>
          <w:i/>
          <w:sz w:val="24"/>
          <w:szCs w:val="24"/>
        </w:rPr>
        <w:t>Based Schemes</w:t>
      </w:r>
    </w:p>
    <w:p w:rsidR="003723E7" w:rsidRDefault="00B66AF9" w:rsidP="003723E7">
      <w:pPr>
        <w:spacing w:after="0" w:line="480" w:lineRule="auto"/>
        <w:jc w:val="both"/>
        <w:rPr>
          <w:rFonts w:ascii="Times New Roman" w:hAnsi="Times New Roman" w:cs="Times New Roman"/>
          <w:sz w:val="24"/>
          <w:szCs w:val="24"/>
        </w:rPr>
      </w:pPr>
      <w:r w:rsidRPr="00B66AF9">
        <w:rPr>
          <w:rFonts w:ascii="Times New Roman" w:hAnsi="Times New Roman" w:cs="Times New Roman"/>
          <w:sz w:val="24"/>
          <w:szCs w:val="24"/>
        </w:rPr>
        <w:t xml:space="preserve">There are </w:t>
      </w:r>
      <w:r>
        <w:rPr>
          <w:rFonts w:ascii="Times New Roman" w:hAnsi="Times New Roman" w:cs="Times New Roman"/>
          <w:sz w:val="24"/>
          <w:szCs w:val="24"/>
        </w:rPr>
        <w:t xml:space="preserve">also </w:t>
      </w:r>
      <w:r w:rsidRPr="00B66AF9">
        <w:rPr>
          <w:rFonts w:ascii="Times New Roman" w:hAnsi="Times New Roman" w:cs="Times New Roman"/>
          <w:sz w:val="24"/>
          <w:szCs w:val="24"/>
        </w:rPr>
        <w:t>issues of regional or more likely country specific immigration schem</w:t>
      </w:r>
      <w:r>
        <w:rPr>
          <w:rFonts w:ascii="Times New Roman" w:hAnsi="Times New Roman" w:cs="Times New Roman"/>
          <w:sz w:val="24"/>
          <w:szCs w:val="24"/>
        </w:rPr>
        <w:t>e</w:t>
      </w:r>
      <w:r w:rsidRPr="00B66AF9">
        <w:rPr>
          <w:rFonts w:ascii="Times New Roman" w:hAnsi="Times New Roman" w:cs="Times New Roman"/>
          <w:sz w:val="24"/>
          <w:szCs w:val="24"/>
        </w:rPr>
        <w:t>s to consider. At the moment Scotland has some additional leeway over its work route since it has its own shortage</w:t>
      </w:r>
      <w:r w:rsidR="00772C8D">
        <w:rPr>
          <w:rFonts w:ascii="Times New Roman" w:hAnsi="Times New Roman" w:cs="Times New Roman"/>
          <w:sz w:val="24"/>
          <w:szCs w:val="24"/>
        </w:rPr>
        <w:t xml:space="preserve"> occupation</w:t>
      </w:r>
      <w:r w:rsidRPr="00B66AF9">
        <w:rPr>
          <w:rFonts w:ascii="Times New Roman" w:hAnsi="Times New Roman" w:cs="Times New Roman"/>
          <w:sz w:val="24"/>
          <w:szCs w:val="24"/>
        </w:rPr>
        <w:t xml:space="preserve"> list. </w:t>
      </w:r>
      <w:r>
        <w:rPr>
          <w:rFonts w:ascii="Times New Roman" w:hAnsi="Times New Roman" w:cs="Times New Roman"/>
          <w:sz w:val="24"/>
          <w:szCs w:val="24"/>
        </w:rPr>
        <w:t xml:space="preserve">Country/Regional based schemes are </w:t>
      </w:r>
      <w:r w:rsidRPr="00B66AF9">
        <w:rPr>
          <w:rFonts w:ascii="Times New Roman" w:eastAsia="Calibri" w:hAnsi="Times New Roman" w:cs="Times New Roman"/>
          <w:sz w:val="24"/>
          <w:szCs w:val="24"/>
        </w:rPr>
        <w:t>easier to operate</w:t>
      </w:r>
      <w:r>
        <w:rPr>
          <w:rFonts w:ascii="Times New Roman" w:eastAsia="Calibri" w:hAnsi="Times New Roman" w:cs="Times New Roman"/>
          <w:sz w:val="24"/>
          <w:szCs w:val="24"/>
        </w:rPr>
        <w:t xml:space="preserve"> with temporary visas. With </w:t>
      </w:r>
      <w:r w:rsidRPr="00B66AF9">
        <w:rPr>
          <w:rFonts w:ascii="Times New Roman" w:eastAsia="Calibri" w:hAnsi="Times New Roman" w:cs="Times New Roman"/>
          <w:sz w:val="24"/>
          <w:szCs w:val="24"/>
        </w:rPr>
        <w:t>permanent residence</w:t>
      </w:r>
      <w:r w:rsidR="00772C8D">
        <w:rPr>
          <w:rFonts w:ascii="Times New Roman" w:eastAsia="Calibri" w:hAnsi="Times New Roman" w:cs="Times New Roman"/>
          <w:sz w:val="24"/>
          <w:szCs w:val="24"/>
        </w:rPr>
        <w:t>,</w:t>
      </w:r>
      <w:r>
        <w:rPr>
          <w:rFonts w:ascii="Times New Roman" w:eastAsia="Calibri" w:hAnsi="Times New Roman" w:cs="Times New Roman"/>
          <w:sz w:val="24"/>
          <w:szCs w:val="24"/>
        </w:rPr>
        <w:t xml:space="preserve"> individuals </w:t>
      </w:r>
      <w:r w:rsidRPr="00B66AF9">
        <w:rPr>
          <w:rFonts w:ascii="Times New Roman" w:eastAsia="Calibri" w:hAnsi="Times New Roman" w:cs="Times New Roman"/>
          <w:sz w:val="24"/>
          <w:szCs w:val="24"/>
        </w:rPr>
        <w:t>can move</w:t>
      </w:r>
      <w:r>
        <w:rPr>
          <w:rFonts w:ascii="Times New Roman" w:eastAsia="Calibri" w:hAnsi="Times New Roman" w:cs="Times New Roman"/>
          <w:sz w:val="24"/>
          <w:szCs w:val="24"/>
        </w:rPr>
        <w:t xml:space="preserve"> away from the area which sought to attract migrants which can </w:t>
      </w:r>
      <w:r w:rsidR="00772C8D">
        <w:rPr>
          <w:rFonts w:ascii="Times New Roman" w:eastAsia="Calibri" w:hAnsi="Times New Roman" w:cs="Times New Roman"/>
          <w:sz w:val="24"/>
          <w:szCs w:val="24"/>
        </w:rPr>
        <w:t xml:space="preserve">then </w:t>
      </w:r>
      <w:r>
        <w:rPr>
          <w:rFonts w:ascii="Times New Roman" w:eastAsia="Calibri" w:hAnsi="Times New Roman" w:cs="Times New Roman"/>
          <w:sz w:val="24"/>
          <w:szCs w:val="24"/>
        </w:rPr>
        <w:t>negate the effect of the policy to attract migrants</w:t>
      </w:r>
      <w:r w:rsidRPr="00B66AF9">
        <w:rPr>
          <w:rFonts w:ascii="Times New Roman" w:eastAsia="Calibri" w:hAnsi="Times New Roman" w:cs="Times New Roman"/>
          <w:sz w:val="24"/>
          <w:szCs w:val="24"/>
        </w:rPr>
        <w:t xml:space="preserve">. </w:t>
      </w:r>
      <w:r>
        <w:rPr>
          <w:rFonts w:ascii="Times New Roman" w:eastAsia="Calibri" w:hAnsi="Times New Roman" w:cs="Times New Roman"/>
          <w:sz w:val="24"/>
          <w:szCs w:val="24"/>
        </w:rPr>
        <w:t>But temporary visas bring other problems in the form of monopsony issues. I</w:t>
      </w:r>
      <w:r w:rsidRPr="00B66AF9">
        <w:rPr>
          <w:rFonts w:ascii="Times New Roman" w:eastAsia="Calibri" w:hAnsi="Times New Roman" w:cs="Times New Roman"/>
          <w:sz w:val="24"/>
          <w:szCs w:val="24"/>
        </w:rPr>
        <w:t xml:space="preserve">f </w:t>
      </w:r>
      <w:r>
        <w:rPr>
          <w:rFonts w:ascii="Times New Roman" w:eastAsia="Calibri" w:hAnsi="Times New Roman" w:cs="Times New Roman"/>
          <w:sz w:val="24"/>
          <w:szCs w:val="24"/>
        </w:rPr>
        <w:t>individuals</w:t>
      </w:r>
      <w:r w:rsidRPr="00B66AF9">
        <w:rPr>
          <w:rFonts w:ascii="Times New Roman" w:eastAsia="Calibri" w:hAnsi="Times New Roman" w:cs="Times New Roman"/>
          <w:sz w:val="24"/>
          <w:szCs w:val="24"/>
        </w:rPr>
        <w:t xml:space="preserve"> are tie</w:t>
      </w:r>
      <w:r>
        <w:rPr>
          <w:rFonts w:ascii="Times New Roman" w:eastAsia="Calibri" w:hAnsi="Times New Roman" w:cs="Times New Roman"/>
          <w:sz w:val="24"/>
          <w:szCs w:val="24"/>
        </w:rPr>
        <w:t>d to a particular employer, this</w:t>
      </w:r>
      <w:r w:rsidRPr="00B66AF9">
        <w:rPr>
          <w:rFonts w:ascii="Times New Roman" w:eastAsia="Calibri" w:hAnsi="Times New Roman" w:cs="Times New Roman"/>
          <w:sz w:val="24"/>
          <w:szCs w:val="24"/>
        </w:rPr>
        <w:t xml:space="preserve"> gives the employer more power over </w:t>
      </w:r>
      <w:r w:rsidR="003723E7">
        <w:rPr>
          <w:rFonts w:ascii="Times New Roman" w:eastAsia="Calibri" w:hAnsi="Times New Roman" w:cs="Times New Roman"/>
          <w:sz w:val="24"/>
          <w:szCs w:val="24"/>
        </w:rPr>
        <w:t xml:space="preserve">a worker </w:t>
      </w:r>
      <w:r w:rsidRPr="00B66AF9">
        <w:rPr>
          <w:rFonts w:ascii="Times New Roman" w:eastAsia="Calibri" w:hAnsi="Times New Roman" w:cs="Times New Roman"/>
          <w:sz w:val="24"/>
          <w:szCs w:val="24"/>
        </w:rPr>
        <w:t xml:space="preserve">than if </w:t>
      </w:r>
      <w:r w:rsidR="003723E7">
        <w:rPr>
          <w:rFonts w:ascii="Times New Roman" w:eastAsia="Calibri" w:hAnsi="Times New Roman" w:cs="Times New Roman"/>
          <w:sz w:val="24"/>
          <w:szCs w:val="24"/>
        </w:rPr>
        <w:t>the worker were</w:t>
      </w:r>
      <w:r w:rsidRPr="00B66AF9">
        <w:rPr>
          <w:rFonts w:ascii="Times New Roman" w:eastAsia="Calibri" w:hAnsi="Times New Roman" w:cs="Times New Roman"/>
          <w:sz w:val="24"/>
          <w:szCs w:val="24"/>
        </w:rPr>
        <w:t xml:space="preserve"> free to choose where to work. </w:t>
      </w:r>
      <w:r w:rsidR="0093298E">
        <w:rPr>
          <w:rFonts w:ascii="Times New Roman" w:eastAsia="Calibri" w:hAnsi="Times New Roman" w:cs="Times New Roman"/>
          <w:sz w:val="24"/>
          <w:szCs w:val="24"/>
        </w:rPr>
        <w:t>More temporary working</w:t>
      </w:r>
      <w:r w:rsidR="003723E7">
        <w:rPr>
          <w:rFonts w:ascii="Times New Roman" w:eastAsia="Calibri" w:hAnsi="Times New Roman" w:cs="Times New Roman"/>
          <w:sz w:val="24"/>
          <w:szCs w:val="24"/>
        </w:rPr>
        <w:t xml:space="preserve"> may place more demands on the </w:t>
      </w:r>
      <w:r w:rsidR="0093298E">
        <w:rPr>
          <w:rFonts w:ascii="Times New Roman" w:eastAsia="Calibri" w:hAnsi="Times New Roman" w:cs="Times New Roman"/>
          <w:sz w:val="24"/>
          <w:szCs w:val="24"/>
        </w:rPr>
        <w:t xml:space="preserve">UK’s new </w:t>
      </w:r>
      <w:r w:rsidR="003723E7" w:rsidRPr="00620843">
        <w:rPr>
          <w:rFonts w:ascii="Times New Roman" w:hAnsi="Times New Roman" w:cs="Times New Roman"/>
          <w:sz w:val="24"/>
          <w:szCs w:val="24"/>
        </w:rPr>
        <w:t xml:space="preserve">Labour Inspectorate to ensure </w:t>
      </w:r>
      <w:r w:rsidR="003723E7">
        <w:rPr>
          <w:rFonts w:ascii="Times New Roman" w:hAnsi="Times New Roman" w:cs="Times New Roman"/>
          <w:sz w:val="24"/>
          <w:szCs w:val="24"/>
        </w:rPr>
        <w:t xml:space="preserve">working </w:t>
      </w:r>
      <w:r w:rsidR="003723E7" w:rsidRPr="00620843">
        <w:rPr>
          <w:rFonts w:ascii="Times New Roman" w:hAnsi="Times New Roman" w:cs="Times New Roman"/>
          <w:sz w:val="24"/>
          <w:szCs w:val="24"/>
        </w:rPr>
        <w:t>standards</w:t>
      </w:r>
      <w:r w:rsidR="003723E7">
        <w:rPr>
          <w:rFonts w:ascii="Times New Roman" w:hAnsi="Times New Roman" w:cs="Times New Roman"/>
          <w:sz w:val="24"/>
          <w:szCs w:val="24"/>
        </w:rPr>
        <w:t xml:space="preserve"> are met and indeed increase the likelihood that some individuals </w:t>
      </w:r>
      <w:r w:rsidR="001149A8">
        <w:rPr>
          <w:rFonts w:ascii="Times New Roman" w:hAnsi="Times New Roman" w:cs="Times New Roman"/>
          <w:sz w:val="24"/>
          <w:szCs w:val="24"/>
        </w:rPr>
        <w:t>o</w:t>
      </w:r>
      <w:r w:rsidR="003723E7" w:rsidRPr="00620843">
        <w:rPr>
          <w:rFonts w:ascii="Times New Roman" w:hAnsi="Times New Roman" w:cs="Times New Roman"/>
          <w:sz w:val="24"/>
          <w:szCs w:val="24"/>
        </w:rPr>
        <w:t>verstay</w:t>
      </w:r>
      <w:r w:rsidR="003723E7">
        <w:rPr>
          <w:rFonts w:ascii="Times New Roman" w:hAnsi="Times New Roman" w:cs="Times New Roman"/>
          <w:sz w:val="24"/>
          <w:szCs w:val="24"/>
        </w:rPr>
        <w:t xml:space="preserve"> the length of their visa</w:t>
      </w:r>
      <w:r w:rsidR="0093298E">
        <w:rPr>
          <w:rFonts w:ascii="Times New Roman" w:hAnsi="Times New Roman" w:cs="Times New Roman"/>
          <w:sz w:val="24"/>
          <w:szCs w:val="24"/>
        </w:rPr>
        <w:t xml:space="preserve">s. </w:t>
      </w:r>
    </w:p>
    <w:p w:rsidR="00CB62D6" w:rsidRPr="00620843" w:rsidRDefault="00CB62D6" w:rsidP="003723E7">
      <w:pPr>
        <w:spacing w:after="0" w:line="480" w:lineRule="auto"/>
        <w:jc w:val="both"/>
        <w:rPr>
          <w:rFonts w:ascii="Times New Roman" w:hAnsi="Times New Roman" w:cs="Times New Roman"/>
          <w:sz w:val="24"/>
          <w:szCs w:val="24"/>
        </w:rPr>
      </w:pPr>
    </w:p>
    <w:p w:rsidR="00620843" w:rsidRPr="0093298E" w:rsidRDefault="00620843" w:rsidP="00620843">
      <w:pPr>
        <w:rPr>
          <w:rFonts w:ascii="Times New Roman" w:hAnsi="Times New Roman" w:cs="Times New Roman"/>
          <w:b/>
          <w:i/>
          <w:sz w:val="24"/>
          <w:szCs w:val="24"/>
        </w:rPr>
      </w:pPr>
      <w:r w:rsidRPr="0093298E">
        <w:rPr>
          <w:rFonts w:ascii="Times New Roman" w:hAnsi="Times New Roman" w:cs="Times New Roman"/>
          <w:b/>
          <w:bCs/>
          <w:i/>
          <w:sz w:val="24"/>
          <w:szCs w:val="24"/>
        </w:rPr>
        <w:t xml:space="preserve">Cost of </w:t>
      </w:r>
      <w:r w:rsidR="00ED2091">
        <w:rPr>
          <w:rFonts w:ascii="Times New Roman" w:hAnsi="Times New Roman" w:cs="Times New Roman"/>
          <w:b/>
          <w:bCs/>
          <w:i/>
          <w:sz w:val="24"/>
          <w:szCs w:val="24"/>
        </w:rPr>
        <w:t xml:space="preserve">Hiring from </w:t>
      </w:r>
      <w:r w:rsidR="00346D24">
        <w:rPr>
          <w:rFonts w:ascii="Times New Roman" w:hAnsi="Times New Roman" w:cs="Times New Roman"/>
          <w:b/>
          <w:bCs/>
          <w:i/>
          <w:sz w:val="24"/>
          <w:szCs w:val="24"/>
        </w:rPr>
        <w:t>A</w:t>
      </w:r>
      <w:r w:rsidR="00ED2091">
        <w:rPr>
          <w:rFonts w:ascii="Times New Roman" w:hAnsi="Times New Roman" w:cs="Times New Roman"/>
          <w:b/>
          <w:bCs/>
          <w:i/>
          <w:sz w:val="24"/>
          <w:szCs w:val="24"/>
        </w:rPr>
        <w:t xml:space="preserve">broad </w:t>
      </w:r>
    </w:p>
    <w:p w:rsidR="00ED2091" w:rsidRPr="00ED2091" w:rsidRDefault="00ED2091" w:rsidP="00ED2091">
      <w:pPr>
        <w:tabs>
          <w:tab w:val="left" w:pos="3686"/>
        </w:tabs>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In April 2017, t</w:t>
      </w:r>
      <w:r w:rsidR="00BA46D6">
        <w:rPr>
          <w:rFonts w:ascii="Times New Roman" w:hAnsi="Times New Roman" w:cs="Times New Roman"/>
          <w:sz w:val="24"/>
          <w:szCs w:val="24"/>
        </w:rPr>
        <w:t xml:space="preserve">he UK introduced an immigration levy </w:t>
      </w:r>
      <w:r w:rsidR="00062C6B">
        <w:rPr>
          <w:rFonts w:ascii="Times New Roman" w:hAnsi="Times New Roman" w:cs="Times New Roman"/>
          <w:sz w:val="24"/>
          <w:szCs w:val="24"/>
        </w:rPr>
        <w:t xml:space="preserve">(the “Immigration Skills Charge”) </w:t>
      </w:r>
      <w:r w:rsidR="00BA46D6">
        <w:rPr>
          <w:rFonts w:ascii="Times New Roman" w:hAnsi="Times New Roman" w:cs="Times New Roman"/>
          <w:sz w:val="24"/>
          <w:szCs w:val="24"/>
        </w:rPr>
        <w:t>on</w:t>
      </w:r>
      <w:r w:rsidR="00062C6B">
        <w:rPr>
          <w:rFonts w:ascii="Times New Roman" w:hAnsi="Times New Roman" w:cs="Times New Roman"/>
          <w:sz w:val="24"/>
          <w:szCs w:val="24"/>
        </w:rPr>
        <w:t xml:space="preserve"> any firm hiring (graduate) labo</w:t>
      </w:r>
      <w:r w:rsidR="00BA46D6">
        <w:rPr>
          <w:rFonts w:ascii="Times New Roman" w:hAnsi="Times New Roman" w:cs="Times New Roman"/>
          <w:sz w:val="24"/>
          <w:szCs w:val="24"/>
        </w:rPr>
        <w:t xml:space="preserve">ur from outside the EU. </w:t>
      </w:r>
      <w:r w:rsidR="008230AD">
        <w:rPr>
          <w:rFonts w:ascii="Times New Roman" w:hAnsi="Times New Roman" w:cs="Times New Roman"/>
          <w:sz w:val="24"/>
          <w:szCs w:val="24"/>
        </w:rPr>
        <w:t xml:space="preserve">The charge varies by firm size but does </w:t>
      </w:r>
      <w:r w:rsidR="00620843" w:rsidRPr="00620843">
        <w:rPr>
          <w:rFonts w:ascii="Times New Roman" w:hAnsi="Times New Roman" w:cs="Times New Roman"/>
          <w:sz w:val="24"/>
          <w:szCs w:val="24"/>
        </w:rPr>
        <w:t xml:space="preserve">add to </w:t>
      </w:r>
      <w:r w:rsidR="008230AD">
        <w:rPr>
          <w:rFonts w:ascii="Times New Roman" w:hAnsi="Times New Roman" w:cs="Times New Roman"/>
          <w:sz w:val="24"/>
          <w:szCs w:val="24"/>
        </w:rPr>
        <w:t xml:space="preserve">the </w:t>
      </w:r>
      <w:r w:rsidR="00620843" w:rsidRPr="00620843">
        <w:rPr>
          <w:rFonts w:ascii="Times New Roman" w:hAnsi="Times New Roman" w:cs="Times New Roman"/>
          <w:sz w:val="24"/>
          <w:szCs w:val="24"/>
        </w:rPr>
        <w:t>existing firm costs of hiring migrant workers</w:t>
      </w:r>
      <w:r w:rsidR="00D965AC">
        <w:rPr>
          <w:rFonts w:ascii="Times New Roman" w:hAnsi="Times New Roman" w:cs="Times New Roman"/>
          <w:sz w:val="24"/>
          <w:szCs w:val="24"/>
        </w:rPr>
        <w:t xml:space="preserve"> and is arguably selective in that more profitable firms may be more likely to be able to afford to pay the levy</w:t>
      </w:r>
      <w:r w:rsidR="008230AD">
        <w:rPr>
          <w:rFonts w:ascii="Times New Roman" w:hAnsi="Times New Roman" w:cs="Times New Roman"/>
          <w:sz w:val="24"/>
          <w:szCs w:val="24"/>
        </w:rPr>
        <w:t xml:space="preserve">. </w:t>
      </w:r>
      <w:r>
        <w:rPr>
          <w:rFonts w:ascii="Times New Roman" w:hAnsi="Times New Roman" w:cs="Times New Roman"/>
          <w:sz w:val="24"/>
          <w:szCs w:val="24"/>
        </w:rPr>
        <w:t xml:space="preserve"> It is too early to tell whether this has deterred some firms from hiring from outside the EU, but kn</w:t>
      </w:r>
      <w:r w:rsidRPr="00ED2091">
        <w:rPr>
          <w:rFonts w:ascii="Times New Roman" w:hAnsi="Times New Roman" w:cs="Times New Roman"/>
          <w:sz w:val="24"/>
          <w:szCs w:val="24"/>
        </w:rPr>
        <w:t>owledge of this policy and its effects would be welcome in helping decide whether and how to extend to the hiring of workers from the EU.</w:t>
      </w:r>
      <w:r w:rsidR="00F83F78">
        <w:rPr>
          <w:rStyle w:val="FootnoteReference"/>
          <w:rFonts w:ascii="Times New Roman" w:hAnsi="Times New Roman" w:cs="Times New Roman"/>
          <w:sz w:val="24"/>
          <w:szCs w:val="24"/>
        </w:rPr>
        <w:footnoteReference w:id="33"/>
      </w:r>
      <w:r w:rsidRPr="00ED2091">
        <w:rPr>
          <w:rFonts w:ascii="Times New Roman" w:hAnsi="Times New Roman" w:cs="Times New Roman"/>
          <w:sz w:val="24"/>
          <w:szCs w:val="24"/>
        </w:rPr>
        <w:t xml:space="preserve"> Other costs of recruiting from abroad include l</w:t>
      </w:r>
      <w:r w:rsidR="00393DBC">
        <w:rPr>
          <w:rFonts w:ascii="Times New Roman" w:eastAsia="Calibri" w:hAnsi="Times New Roman" w:cs="Times New Roman"/>
          <w:sz w:val="24"/>
          <w:szCs w:val="24"/>
        </w:rPr>
        <w:t>abour market tests whereby would-be employers have to demonstrate that they have tried unsuccessfully to recruit from the domestic labour market. Such tests</w:t>
      </w:r>
      <w:r w:rsidRPr="00ED2091">
        <w:rPr>
          <w:rFonts w:ascii="Times New Roman" w:eastAsia="Calibri" w:hAnsi="Times New Roman" w:cs="Times New Roman"/>
          <w:sz w:val="24"/>
          <w:szCs w:val="24"/>
        </w:rPr>
        <w:t xml:space="preserve"> can be opaque</w:t>
      </w:r>
      <w:r w:rsidR="00393DBC">
        <w:rPr>
          <w:rFonts w:ascii="Times New Roman" w:eastAsia="Calibri" w:hAnsi="Times New Roman" w:cs="Times New Roman"/>
          <w:sz w:val="24"/>
          <w:szCs w:val="24"/>
        </w:rPr>
        <w:t xml:space="preserve"> and easily </w:t>
      </w:r>
      <w:r w:rsidRPr="00ED2091">
        <w:rPr>
          <w:rFonts w:ascii="Times New Roman" w:eastAsia="Calibri" w:hAnsi="Times New Roman" w:cs="Times New Roman"/>
          <w:sz w:val="24"/>
          <w:szCs w:val="24"/>
        </w:rPr>
        <w:t>manipulate</w:t>
      </w:r>
      <w:r w:rsidR="00393DBC">
        <w:rPr>
          <w:rFonts w:ascii="Times New Roman" w:eastAsia="Calibri" w:hAnsi="Times New Roman" w:cs="Times New Roman"/>
          <w:sz w:val="24"/>
          <w:szCs w:val="24"/>
        </w:rPr>
        <w:t>d</w:t>
      </w:r>
      <w:r w:rsidR="001D6C27">
        <w:rPr>
          <w:rFonts w:ascii="Times New Roman" w:eastAsia="Calibri" w:hAnsi="Times New Roman" w:cs="Times New Roman"/>
          <w:sz w:val="24"/>
          <w:szCs w:val="24"/>
        </w:rPr>
        <w:t xml:space="preserve"> and could be looked at again in a new policy environment.</w:t>
      </w:r>
      <w:r w:rsidRPr="00ED2091">
        <w:rPr>
          <w:rFonts w:ascii="Times New Roman" w:eastAsia="Calibri" w:hAnsi="Times New Roman" w:cs="Times New Roman"/>
          <w:sz w:val="24"/>
          <w:szCs w:val="24"/>
        </w:rPr>
        <w:t xml:space="preserve"> </w:t>
      </w:r>
      <w:r w:rsidR="001D6C27">
        <w:rPr>
          <w:rFonts w:ascii="Times New Roman" w:eastAsia="Calibri" w:hAnsi="Times New Roman" w:cs="Times New Roman"/>
          <w:sz w:val="24"/>
          <w:szCs w:val="24"/>
        </w:rPr>
        <w:t>It is also possible to</w:t>
      </w:r>
      <w:r w:rsidR="009053F0">
        <w:rPr>
          <w:rFonts w:ascii="Times New Roman" w:eastAsia="Calibri" w:hAnsi="Times New Roman" w:cs="Times New Roman"/>
          <w:sz w:val="24"/>
          <w:szCs w:val="24"/>
        </w:rPr>
        <w:t xml:space="preserve"> involve the workforce </w:t>
      </w:r>
      <w:r w:rsidR="00F6457D">
        <w:rPr>
          <w:rFonts w:ascii="Times New Roman" w:eastAsia="Calibri" w:hAnsi="Times New Roman" w:cs="Times New Roman"/>
          <w:sz w:val="24"/>
          <w:szCs w:val="24"/>
        </w:rPr>
        <w:t xml:space="preserve">to try to </w:t>
      </w:r>
      <w:r w:rsidR="009053F0">
        <w:rPr>
          <w:rFonts w:ascii="Times New Roman" w:eastAsia="Calibri" w:hAnsi="Times New Roman" w:cs="Times New Roman"/>
          <w:sz w:val="24"/>
          <w:szCs w:val="24"/>
        </w:rPr>
        <w:t>ensur</w:t>
      </w:r>
      <w:r w:rsidR="00F6457D">
        <w:rPr>
          <w:rFonts w:ascii="Times New Roman" w:eastAsia="Calibri" w:hAnsi="Times New Roman" w:cs="Times New Roman"/>
          <w:sz w:val="24"/>
          <w:szCs w:val="24"/>
        </w:rPr>
        <w:t>e that</w:t>
      </w:r>
      <w:r w:rsidR="009053F0">
        <w:rPr>
          <w:rFonts w:ascii="Times New Roman" w:eastAsia="Calibri" w:hAnsi="Times New Roman" w:cs="Times New Roman"/>
          <w:sz w:val="24"/>
          <w:szCs w:val="24"/>
        </w:rPr>
        <w:t xml:space="preserve"> working conditions do not change with the advent of migrant labour</w:t>
      </w:r>
      <w:r w:rsidR="001D6C27">
        <w:rPr>
          <w:rFonts w:ascii="Times New Roman" w:eastAsia="Calibri" w:hAnsi="Times New Roman" w:cs="Times New Roman"/>
          <w:sz w:val="24"/>
          <w:szCs w:val="24"/>
        </w:rPr>
        <w:t>, as</w:t>
      </w:r>
      <w:r w:rsidRPr="00ED2091">
        <w:rPr>
          <w:rFonts w:ascii="Times New Roman" w:eastAsia="Calibri" w:hAnsi="Times New Roman" w:cs="Times New Roman"/>
          <w:sz w:val="24"/>
          <w:szCs w:val="24"/>
        </w:rPr>
        <w:t xml:space="preserve"> in Norway</w:t>
      </w:r>
      <w:r w:rsidR="009053F0">
        <w:rPr>
          <w:rFonts w:ascii="Times New Roman" w:eastAsia="Calibri" w:hAnsi="Times New Roman" w:cs="Times New Roman"/>
          <w:sz w:val="24"/>
          <w:szCs w:val="24"/>
        </w:rPr>
        <w:t>, (OECD 2014)</w:t>
      </w:r>
      <w:r w:rsidR="001D6C27">
        <w:rPr>
          <w:rFonts w:ascii="Times New Roman" w:eastAsia="Calibri" w:hAnsi="Times New Roman" w:cs="Times New Roman"/>
          <w:sz w:val="24"/>
          <w:szCs w:val="24"/>
        </w:rPr>
        <w:t>.</w:t>
      </w:r>
      <w:r w:rsidR="00ED0B1D">
        <w:rPr>
          <w:rStyle w:val="FootnoteReference"/>
          <w:rFonts w:ascii="Times New Roman" w:eastAsia="Calibri" w:hAnsi="Times New Roman" w:cs="Times New Roman"/>
          <w:sz w:val="24"/>
          <w:szCs w:val="24"/>
        </w:rPr>
        <w:footnoteReference w:id="34"/>
      </w:r>
      <w:r w:rsidRPr="00ED2091">
        <w:rPr>
          <w:rFonts w:ascii="Times New Roman" w:eastAsia="Calibri" w:hAnsi="Times New Roman" w:cs="Times New Roman"/>
          <w:sz w:val="24"/>
          <w:szCs w:val="24"/>
        </w:rPr>
        <w:t xml:space="preserve"> Do</w:t>
      </w:r>
      <w:r w:rsidR="001D6C27">
        <w:rPr>
          <w:rFonts w:ascii="Times New Roman" w:eastAsia="Calibri" w:hAnsi="Times New Roman" w:cs="Times New Roman"/>
          <w:sz w:val="24"/>
          <w:szCs w:val="24"/>
        </w:rPr>
        <w:t xml:space="preserve">es the UK </w:t>
      </w:r>
      <w:r w:rsidRPr="00ED2091">
        <w:rPr>
          <w:rFonts w:ascii="Times New Roman" w:eastAsia="Calibri" w:hAnsi="Times New Roman" w:cs="Times New Roman"/>
          <w:sz w:val="24"/>
          <w:szCs w:val="24"/>
        </w:rPr>
        <w:t xml:space="preserve">want to </w:t>
      </w:r>
      <w:r w:rsidR="001D6C27">
        <w:rPr>
          <w:rFonts w:ascii="Times New Roman" w:eastAsia="Calibri" w:hAnsi="Times New Roman" w:cs="Times New Roman"/>
          <w:sz w:val="24"/>
          <w:szCs w:val="24"/>
        </w:rPr>
        <w:t>try</w:t>
      </w:r>
      <w:r w:rsidRPr="00ED2091">
        <w:rPr>
          <w:rFonts w:ascii="Times New Roman" w:eastAsia="Calibri" w:hAnsi="Times New Roman" w:cs="Times New Roman"/>
          <w:sz w:val="24"/>
          <w:szCs w:val="24"/>
        </w:rPr>
        <w:t xml:space="preserve"> that sort of system?</w:t>
      </w:r>
    </w:p>
    <w:p w:rsidR="00ED2091" w:rsidRPr="00ED2091" w:rsidRDefault="00ED2091" w:rsidP="00ED2091">
      <w:pPr>
        <w:spacing w:after="0" w:line="480" w:lineRule="auto"/>
        <w:jc w:val="both"/>
        <w:rPr>
          <w:rFonts w:ascii="Times New Roman" w:hAnsi="Times New Roman" w:cs="Times New Roman"/>
          <w:sz w:val="24"/>
          <w:szCs w:val="24"/>
        </w:rPr>
      </w:pPr>
    </w:p>
    <w:p w:rsidR="004616CB" w:rsidRDefault="004616CB" w:rsidP="005928A0">
      <w:pPr>
        <w:pStyle w:val="Default"/>
        <w:spacing w:line="480" w:lineRule="auto"/>
        <w:jc w:val="both"/>
        <w:rPr>
          <w:b/>
          <w:bCs/>
          <w:color w:val="00000A"/>
        </w:rPr>
      </w:pPr>
      <w:r>
        <w:rPr>
          <w:b/>
          <w:bCs/>
          <w:color w:val="00000A"/>
        </w:rPr>
        <w:t>Conclusions</w:t>
      </w:r>
    </w:p>
    <w:p w:rsidR="00BC4C78" w:rsidRDefault="004616CB" w:rsidP="00533601">
      <w:pPr>
        <w:pStyle w:val="Default"/>
        <w:spacing w:line="480" w:lineRule="auto"/>
        <w:jc w:val="both"/>
      </w:pPr>
      <w:r w:rsidRPr="005928A0">
        <w:rPr>
          <w:bCs/>
          <w:color w:val="00000A"/>
        </w:rPr>
        <w:t>Rather like the quote attributed to C</w:t>
      </w:r>
      <w:r w:rsidR="007552D7">
        <w:rPr>
          <w:bCs/>
          <w:color w:val="00000A"/>
        </w:rPr>
        <w:t>hou E</w:t>
      </w:r>
      <w:r w:rsidRPr="005928A0">
        <w:rPr>
          <w:bCs/>
          <w:color w:val="00000A"/>
        </w:rPr>
        <w:t>n Lai</w:t>
      </w:r>
      <w:r w:rsidR="001149A8">
        <w:rPr>
          <w:bCs/>
          <w:color w:val="00000A"/>
        </w:rPr>
        <w:t>,</w:t>
      </w:r>
      <w:r w:rsidRPr="005928A0">
        <w:rPr>
          <w:bCs/>
          <w:color w:val="00000A"/>
        </w:rPr>
        <w:t xml:space="preserve"> </w:t>
      </w:r>
      <w:r w:rsidR="007552D7">
        <w:rPr>
          <w:bCs/>
          <w:color w:val="00000A"/>
        </w:rPr>
        <w:t>on t</w:t>
      </w:r>
      <w:r w:rsidRPr="005928A0">
        <w:rPr>
          <w:bCs/>
          <w:color w:val="00000A"/>
        </w:rPr>
        <w:t>he conse</w:t>
      </w:r>
      <w:r w:rsidR="007552D7">
        <w:rPr>
          <w:bCs/>
          <w:color w:val="00000A"/>
        </w:rPr>
        <w:t>quences of the French revolution</w:t>
      </w:r>
      <w:r w:rsidR="007552D7">
        <w:rPr>
          <w:rStyle w:val="FootnoteReference"/>
          <w:bCs/>
          <w:color w:val="00000A"/>
        </w:rPr>
        <w:footnoteReference w:id="35"/>
      </w:r>
      <w:r w:rsidR="001149A8">
        <w:rPr>
          <w:bCs/>
          <w:color w:val="00000A"/>
        </w:rPr>
        <w:t>,</w:t>
      </w:r>
      <w:r w:rsidRPr="005928A0">
        <w:rPr>
          <w:bCs/>
          <w:color w:val="00000A"/>
        </w:rPr>
        <w:t xml:space="preserve"> that it was too early to say, so the consequences of Brexit. </w:t>
      </w:r>
      <w:r w:rsidR="001149A8">
        <w:t>There are s</w:t>
      </w:r>
      <w:r w:rsidR="001149A8" w:rsidRPr="00620843">
        <w:t xml:space="preserve">till </w:t>
      </w:r>
      <w:r w:rsidR="007552D7">
        <w:t xml:space="preserve">far </w:t>
      </w:r>
      <w:r w:rsidR="001149A8" w:rsidRPr="00620843">
        <w:t xml:space="preserve">too many unknown unknowns to say anything confidently about </w:t>
      </w:r>
      <w:r w:rsidR="007552D7">
        <w:t xml:space="preserve">what will happen in </w:t>
      </w:r>
      <w:r w:rsidR="001149A8" w:rsidRPr="00620843">
        <w:t xml:space="preserve">the near future. </w:t>
      </w:r>
      <w:r w:rsidR="009B2360">
        <w:t xml:space="preserve">There is still a dearth of evidence about Brexit and </w:t>
      </w:r>
      <w:r w:rsidR="007552D7">
        <w:t xml:space="preserve">its consequences in </w:t>
      </w:r>
      <w:r w:rsidR="009B2360">
        <w:t>the labour market to draw on to design policy</w:t>
      </w:r>
      <w:r w:rsidR="00C65892">
        <w:t>, though there is enough evidence around to evaluate the effects of EU immigration i</w:t>
      </w:r>
      <w:r w:rsidR="00F92DF7">
        <w:t>n</w:t>
      </w:r>
      <w:r w:rsidR="009455C2">
        <w:t xml:space="preserve"> the run-up to the Brexit vote which could </w:t>
      </w:r>
      <w:r w:rsidR="00243D2E">
        <w:t xml:space="preserve">be used to </w:t>
      </w:r>
      <w:r w:rsidR="009455C2">
        <w:t>inform future policy.</w:t>
      </w:r>
    </w:p>
    <w:p w:rsidR="007552D7" w:rsidRDefault="007552D7" w:rsidP="00533601">
      <w:pPr>
        <w:pStyle w:val="Default"/>
        <w:spacing w:line="480" w:lineRule="auto"/>
        <w:jc w:val="both"/>
      </w:pPr>
    </w:p>
    <w:p w:rsidR="00BC4C78" w:rsidRPr="004616CB" w:rsidRDefault="00BC4C78" w:rsidP="00BC4C78">
      <w:pPr>
        <w:spacing w:after="0" w:line="480" w:lineRule="auto"/>
        <w:jc w:val="both"/>
        <w:rPr>
          <w:rFonts w:ascii="Times New Roman" w:hAnsi="Times New Roman" w:cs="Times New Roman"/>
          <w:sz w:val="24"/>
          <w:szCs w:val="24"/>
        </w:rPr>
      </w:pPr>
      <w:r w:rsidRPr="004616CB">
        <w:rPr>
          <w:rFonts w:ascii="Times New Roman" w:hAnsi="Times New Roman" w:cs="Times New Roman"/>
          <w:sz w:val="24"/>
          <w:szCs w:val="24"/>
        </w:rPr>
        <w:t xml:space="preserve">Immigration </w:t>
      </w:r>
      <w:r w:rsidR="00243D2E">
        <w:rPr>
          <w:rFonts w:ascii="Times New Roman" w:hAnsi="Times New Roman" w:cs="Times New Roman"/>
          <w:sz w:val="24"/>
          <w:szCs w:val="24"/>
        </w:rPr>
        <w:t xml:space="preserve">seems to </w:t>
      </w:r>
      <w:r w:rsidRPr="004616CB">
        <w:rPr>
          <w:rFonts w:ascii="Times New Roman" w:hAnsi="Times New Roman" w:cs="Times New Roman"/>
          <w:sz w:val="24"/>
          <w:szCs w:val="24"/>
        </w:rPr>
        <w:t xml:space="preserve">matter much more politically than it does economically. All the empirical work that has been done on UK immigration shows very small </w:t>
      </w:r>
      <w:r w:rsidR="00243D2E">
        <w:rPr>
          <w:rFonts w:ascii="Times New Roman" w:hAnsi="Times New Roman" w:cs="Times New Roman"/>
          <w:sz w:val="24"/>
          <w:szCs w:val="24"/>
        </w:rPr>
        <w:t xml:space="preserve">labour market </w:t>
      </w:r>
      <w:r w:rsidRPr="004616CB">
        <w:rPr>
          <w:rFonts w:ascii="Times New Roman" w:hAnsi="Times New Roman" w:cs="Times New Roman"/>
          <w:sz w:val="24"/>
          <w:szCs w:val="24"/>
        </w:rPr>
        <w:t xml:space="preserve">effects, either positive or negative, though its influences in cultural matters probably extends much further. </w:t>
      </w:r>
      <w:r>
        <w:rPr>
          <w:rFonts w:ascii="Times New Roman" w:hAnsi="Times New Roman" w:cs="Times New Roman"/>
          <w:sz w:val="24"/>
          <w:szCs w:val="24"/>
        </w:rPr>
        <w:t xml:space="preserve"> </w:t>
      </w:r>
      <w:r w:rsidRPr="004616CB">
        <w:rPr>
          <w:rFonts w:ascii="Times New Roman" w:hAnsi="Times New Roman" w:cs="Times New Roman"/>
          <w:sz w:val="24"/>
          <w:szCs w:val="24"/>
        </w:rPr>
        <w:t>Any reduction in EU immigration would make paying the deficit off a little harder – since EU migrants pay more in taxes than receive in benefits and public services (whereas UK-born and non-EU migrants receive more in benefits than they pay in taxes), but these net payments are not very big.</w:t>
      </w:r>
      <w:r w:rsidR="00243D2E">
        <w:rPr>
          <w:rFonts w:ascii="Times New Roman" w:hAnsi="Times New Roman" w:cs="Times New Roman"/>
          <w:sz w:val="24"/>
          <w:szCs w:val="24"/>
        </w:rPr>
        <w:t xml:space="preserve"> </w:t>
      </w:r>
    </w:p>
    <w:p w:rsidR="00BC4C78" w:rsidRDefault="00BC4C78" w:rsidP="00533601">
      <w:pPr>
        <w:pStyle w:val="Default"/>
        <w:spacing w:line="480" w:lineRule="auto"/>
        <w:jc w:val="both"/>
      </w:pPr>
    </w:p>
    <w:p w:rsidR="00F6457D" w:rsidRDefault="00BC4C78" w:rsidP="00533601">
      <w:pPr>
        <w:pStyle w:val="Default"/>
        <w:spacing w:line="480" w:lineRule="auto"/>
        <w:jc w:val="both"/>
      </w:pPr>
      <w:r>
        <w:t>T</w:t>
      </w:r>
      <w:r w:rsidR="001149A8">
        <w:t xml:space="preserve">he options for </w:t>
      </w:r>
      <w:r>
        <w:t xml:space="preserve">future immigration </w:t>
      </w:r>
      <w:r w:rsidR="001149A8">
        <w:t>pol</w:t>
      </w:r>
      <w:r w:rsidR="0034034B">
        <w:t>i</w:t>
      </w:r>
      <w:r w:rsidR="001149A8">
        <w:t>cy are many and varied and there are no easy answers</w:t>
      </w:r>
      <w:r w:rsidR="00AF6AE4">
        <w:t xml:space="preserve"> as to what to do</w:t>
      </w:r>
      <w:r w:rsidR="007552D7">
        <w:t xml:space="preserve"> or what to prioritise</w:t>
      </w:r>
      <w:r w:rsidR="001149A8">
        <w:t xml:space="preserve">. </w:t>
      </w:r>
      <w:r w:rsidR="00620843" w:rsidRPr="00620843">
        <w:t>As such</w:t>
      </w:r>
      <w:r w:rsidR="0092222C">
        <w:t xml:space="preserve"> this makes i</w:t>
      </w:r>
      <w:r w:rsidR="00290121">
        <w:t xml:space="preserve">t </w:t>
      </w:r>
      <w:r w:rsidR="00620843" w:rsidRPr="00620843">
        <w:t xml:space="preserve">hard to design a </w:t>
      </w:r>
      <w:r w:rsidR="009B2360">
        <w:t xml:space="preserve">new </w:t>
      </w:r>
      <w:r w:rsidR="00620843" w:rsidRPr="00620843">
        <w:t>m</w:t>
      </w:r>
      <w:r w:rsidR="009B2360">
        <w:t>igration system</w:t>
      </w:r>
      <w:r w:rsidR="0092222C">
        <w:t xml:space="preserve">, even if that were wanted. </w:t>
      </w:r>
    </w:p>
    <w:p w:rsidR="002A277D" w:rsidRDefault="002A277D" w:rsidP="00533601">
      <w:pPr>
        <w:pStyle w:val="Default"/>
        <w:spacing w:line="480" w:lineRule="auto"/>
        <w:jc w:val="both"/>
      </w:pPr>
    </w:p>
    <w:p w:rsidR="0034034B" w:rsidRDefault="0034034B" w:rsidP="00533601">
      <w:pPr>
        <w:pStyle w:val="Default"/>
        <w:spacing w:line="480" w:lineRule="auto"/>
        <w:jc w:val="both"/>
      </w:pPr>
      <w:r>
        <w:t>We c</w:t>
      </w:r>
      <w:r w:rsidRPr="004616CB">
        <w:t xml:space="preserve">an say that </w:t>
      </w:r>
      <w:r w:rsidR="00AF6AE4">
        <w:t xml:space="preserve">restrictions on EU workers after the UK leaves the EU look likely, but </w:t>
      </w:r>
      <w:r w:rsidRPr="004616CB">
        <w:t>any adjustment</w:t>
      </w:r>
      <w:r w:rsidR="009B2360">
        <w:t xml:space="preserve"> will </w:t>
      </w:r>
      <w:r w:rsidR="007552D7">
        <w:t xml:space="preserve">not </w:t>
      </w:r>
      <w:r w:rsidR="009B2360">
        <w:t>be</w:t>
      </w:r>
      <w:r w:rsidR="009455C2">
        <w:t xml:space="preserve"> o</w:t>
      </w:r>
      <w:r w:rsidRPr="004616CB">
        <w:t xml:space="preserve">n the stock of </w:t>
      </w:r>
      <w:r>
        <w:t xml:space="preserve">EU </w:t>
      </w:r>
      <w:r w:rsidRPr="004616CB">
        <w:t xml:space="preserve">migrants but in the </w:t>
      </w:r>
      <w:r w:rsidR="009455C2">
        <w:t xml:space="preserve">numbers flowing in and out of the UK and these flows </w:t>
      </w:r>
      <w:r w:rsidR="009B2360">
        <w:t>are much smaller</w:t>
      </w:r>
      <w:r w:rsidR="007552D7">
        <w:t>. S</w:t>
      </w:r>
      <w:r w:rsidR="009B2360">
        <w:t>o any change is likely to be incremental, on average, though undoubtedly some</w:t>
      </w:r>
      <w:r w:rsidR="00345639">
        <w:t xml:space="preserve"> </w:t>
      </w:r>
      <w:r w:rsidR="009B2360">
        <w:t>sectors</w:t>
      </w:r>
      <w:r w:rsidR="00345639">
        <w:t>, typically lower paying</w:t>
      </w:r>
      <w:r w:rsidR="00243D2E">
        <w:t>,</w:t>
      </w:r>
      <w:r w:rsidR="00345639">
        <w:t xml:space="preserve"> high turnover</w:t>
      </w:r>
      <w:r w:rsidR="00243D2E">
        <w:t xml:space="preserve"> sectors</w:t>
      </w:r>
      <w:r w:rsidR="00345639">
        <w:t>,</w:t>
      </w:r>
      <w:r w:rsidR="009B2360">
        <w:t xml:space="preserve"> will be hit more than others</w:t>
      </w:r>
      <w:r>
        <w:t xml:space="preserve">. Brexit does allow the government the opportunity to </w:t>
      </w:r>
      <w:r w:rsidR="006648DE">
        <w:t>m</w:t>
      </w:r>
      <w:r>
        <w:t xml:space="preserve">ake </w:t>
      </w:r>
      <w:r w:rsidR="006648DE">
        <w:t xml:space="preserve">a </w:t>
      </w:r>
      <w:r>
        <w:t xml:space="preserve">serious consideration of its </w:t>
      </w:r>
      <w:r w:rsidR="006648DE">
        <w:t xml:space="preserve">future </w:t>
      </w:r>
      <w:r>
        <w:t>immigration policy</w:t>
      </w:r>
      <w:r w:rsidR="0092222C">
        <w:t xml:space="preserve">, but there is not much time to </w:t>
      </w:r>
      <w:r w:rsidR="0092222C" w:rsidRPr="00620843">
        <w:t>put</w:t>
      </w:r>
      <w:r w:rsidR="0092222C">
        <w:t xml:space="preserve"> a studied scheme in place before 2021.</w:t>
      </w:r>
      <w:r>
        <w:t xml:space="preserve"> </w:t>
      </w:r>
      <w:r w:rsidR="008A0FAA">
        <w:t>While that future almost certainly will place restrictions on numbers of EEA migrants, i</w:t>
      </w:r>
      <w:r w:rsidR="00465238">
        <w:t>t may well be that immigration policy, like so many policies in the UK</w:t>
      </w:r>
      <w:r w:rsidR="00F92DF7">
        <w:t>,</w:t>
      </w:r>
      <w:r w:rsidR="00465238">
        <w:t xml:space="preserve"> evolves and reacts to events and </w:t>
      </w:r>
      <w:r w:rsidR="00F6457D">
        <w:t xml:space="preserve">the </w:t>
      </w:r>
      <w:r w:rsidR="00465238">
        <w:t>unforeseen consequences of previous actions.</w:t>
      </w:r>
      <w:r w:rsidR="00A0704C">
        <w:rPr>
          <w:rStyle w:val="FootnoteReference"/>
        </w:rPr>
        <w:footnoteReference w:id="36"/>
      </w:r>
      <w:r w:rsidR="00465238">
        <w:t xml:space="preserve"> </w:t>
      </w:r>
    </w:p>
    <w:p w:rsidR="0034034B" w:rsidRDefault="0034034B" w:rsidP="0034034B">
      <w:pPr>
        <w:rPr>
          <w:rFonts w:ascii="Times New Roman" w:eastAsia="Times New Roman" w:hAnsi="Times New Roman" w:cs="Times New Roman"/>
          <w:color w:val="000000"/>
          <w:sz w:val="24"/>
          <w:szCs w:val="24"/>
          <w:lang w:eastAsia="zh-CN"/>
        </w:rPr>
      </w:pPr>
      <w:r>
        <w:br w:type="page"/>
      </w:r>
    </w:p>
    <w:p w:rsidR="00620843" w:rsidRPr="007F121A" w:rsidRDefault="00620843">
      <w:pPr>
        <w:rPr>
          <w:rFonts w:ascii="Times New Roman" w:hAnsi="Times New Roman" w:cs="Times New Roman"/>
          <w:b/>
          <w:sz w:val="24"/>
          <w:szCs w:val="24"/>
        </w:rPr>
      </w:pPr>
      <w:r w:rsidRPr="007F121A">
        <w:rPr>
          <w:rFonts w:ascii="Times New Roman" w:hAnsi="Times New Roman" w:cs="Times New Roman"/>
          <w:b/>
          <w:sz w:val="24"/>
          <w:szCs w:val="24"/>
        </w:rPr>
        <w:t>References</w:t>
      </w:r>
    </w:p>
    <w:p w:rsidR="000C1C63" w:rsidRPr="000C1C63" w:rsidRDefault="000C1C63" w:rsidP="000C1C6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Becker, S., F</w:t>
      </w:r>
      <w:r w:rsidRPr="000C1C63">
        <w:rPr>
          <w:rFonts w:ascii="Times New Roman" w:eastAsia="Times New Roman" w:hAnsi="Times New Roman" w:cs="Times New Roman"/>
          <w:sz w:val="24"/>
          <w:szCs w:val="24"/>
          <w:lang w:eastAsia="en-GB"/>
        </w:rPr>
        <w:t>etzer, T and D. Novy (2017), “Who voted for Brexit?</w:t>
      </w:r>
      <w:r>
        <w:rPr>
          <w:rFonts w:ascii="Times New Roman" w:eastAsia="Times New Roman" w:hAnsi="Times New Roman" w:cs="Times New Roman"/>
          <w:sz w:val="24"/>
          <w:szCs w:val="24"/>
          <w:lang w:eastAsia="en-GB"/>
        </w:rPr>
        <w:t xml:space="preserve"> </w:t>
      </w:r>
      <w:r w:rsidRPr="000C1C63">
        <w:rPr>
          <w:rFonts w:ascii="Times New Roman" w:eastAsia="Times New Roman" w:hAnsi="Times New Roman" w:cs="Times New Roman"/>
          <w:sz w:val="24"/>
          <w:szCs w:val="24"/>
          <w:lang w:eastAsia="en-GB"/>
        </w:rPr>
        <w:t>A Comprehensive District-Level Analysis”,</w:t>
      </w:r>
      <w:r>
        <w:rPr>
          <w:rFonts w:ascii="Times New Roman" w:eastAsia="Times New Roman" w:hAnsi="Times New Roman" w:cs="Times New Roman"/>
          <w:sz w:val="24"/>
          <w:szCs w:val="24"/>
          <w:lang w:eastAsia="en-GB"/>
        </w:rPr>
        <w:t xml:space="preserve"> </w:t>
      </w:r>
      <w:r w:rsidRPr="000C1C63">
        <w:rPr>
          <w:rFonts w:ascii="Times New Roman" w:eastAsia="Times New Roman" w:hAnsi="Times New Roman" w:cs="Times New Roman"/>
          <w:sz w:val="24"/>
          <w:szCs w:val="24"/>
          <w:lang w:eastAsia="en-GB"/>
        </w:rPr>
        <w:t>Centre for Economic Performance Discussion Paper NO. 1480.</w:t>
      </w:r>
    </w:p>
    <w:p w:rsidR="000C1C63" w:rsidRDefault="000C1C63" w:rsidP="000C1C63">
      <w:pPr>
        <w:spacing w:after="0" w:line="240" w:lineRule="auto"/>
        <w:rPr>
          <w:rFonts w:ascii="Times New Roman" w:hAnsi="Times New Roman" w:cs="Times New Roman"/>
          <w:sz w:val="24"/>
          <w:szCs w:val="24"/>
        </w:rPr>
      </w:pPr>
    </w:p>
    <w:p w:rsidR="006A331B" w:rsidRPr="006A331B" w:rsidRDefault="006A331B" w:rsidP="000C1C63">
      <w:pPr>
        <w:spacing w:after="0" w:line="240" w:lineRule="auto"/>
        <w:jc w:val="both"/>
        <w:rPr>
          <w:rFonts w:ascii="Times New Roman" w:eastAsia="Times New Roman" w:hAnsi="Times New Roman" w:cs="Times New Roman"/>
          <w:sz w:val="24"/>
          <w:szCs w:val="24"/>
          <w:lang w:eastAsia="en-GB"/>
        </w:rPr>
      </w:pPr>
      <w:r w:rsidRPr="006A331B">
        <w:rPr>
          <w:rFonts w:ascii="Times New Roman" w:eastAsia="Times New Roman" w:hAnsi="Times New Roman" w:cs="Times New Roman"/>
          <w:sz w:val="24"/>
          <w:szCs w:val="24"/>
          <w:lang w:eastAsia="en-GB"/>
        </w:rPr>
        <w:t>Bratsberg, Raaum and Roed (2014), “Immigrants, Labour Market Performance and Social Insurance”, Economic Journal, Vol. 124, November, pp. F644-F683.</w:t>
      </w:r>
    </w:p>
    <w:p w:rsidR="006A331B" w:rsidRDefault="006A331B" w:rsidP="000C1C63">
      <w:pPr>
        <w:spacing w:after="0" w:line="240" w:lineRule="auto"/>
        <w:jc w:val="both"/>
        <w:rPr>
          <w:rFonts w:ascii="Times New Roman" w:hAnsi="Times New Roman" w:cs="Times New Roman"/>
          <w:sz w:val="24"/>
          <w:szCs w:val="24"/>
        </w:rPr>
      </w:pPr>
    </w:p>
    <w:p w:rsidR="00CE0D23" w:rsidRPr="00862F2E" w:rsidRDefault="00307BA1" w:rsidP="000C1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Costa,</w:t>
      </w:r>
      <w:r w:rsidR="00CE0D23">
        <w:rPr>
          <w:rFonts w:ascii="Times New Roman" w:hAnsi="Times New Roman" w:cs="Times New Roman"/>
          <w:sz w:val="24"/>
          <w:szCs w:val="24"/>
        </w:rPr>
        <w:t xml:space="preserve"> R. and S. Machin, (2017), “Real Wages and Living Standards in the UK”, </w:t>
      </w:r>
      <w:r w:rsidR="00862F2E">
        <w:rPr>
          <w:rFonts w:ascii="Times New Roman" w:hAnsi="Times New Roman" w:cs="Times New Roman"/>
          <w:i/>
          <w:sz w:val="24"/>
          <w:szCs w:val="24"/>
        </w:rPr>
        <w:t xml:space="preserve">CEP Election Analysis Special Paper </w:t>
      </w:r>
      <w:r w:rsidR="00862F2E" w:rsidRPr="00862F2E">
        <w:rPr>
          <w:rFonts w:ascii="Times New Roman" w:hAnsi="Times New Roman" w:cs="Times New Roman"/>
          <w:sz w:val="24"/>
          <w:szCs w:val="24"/>
        </w:rPr>
        <w:t xml:space="preserve">EA036 , </w:t>
      </w:r>
      <w:hyperlink r:id="rId20" w:history="1">
        <w:r w:rsidR="00862F2E" w:rsidRPr="00862F2E">
          <w:rPr>
            <w:rStyle w:val="Hyperlink"/>
            <w:rFonts w:ascii="Times New Roman" w:hAnsi="Times New Roman" w:cs="Times New Roman"/>
            <w:sz w:val="24"/>
            <w:szCs w:val="24"/>
          </w:rPr>
          <w:t>http://cep.lse.ac.uk/pubs/download/ea036.pdf</w:t>
        </w:r>
      </w:hyperlink>
    </w:p>
    <w:p w:rsidR="00CE0D23" w:rsidRDefault="00CE0D23" w:rsidP="000C1C63">
      <w:pPr>
        <w:spacing w:after="0" w:line="240" w:lineRule="auto"/>
        <w:jc w:val="both"/>
        <w:rPr>
          <w:rFonts w:ascii="Times New Roman" w:hAnsi="Times New Roman" w:cs="Times New Roman"/>
          <w:sz w:val="24"/>
          <w:szCs w:val="24"/>
        </w:rPr>
      </w:pPr>
    </w:p>
    <w:p w:rsidR="007F121A" w:rsidRDefault="007F121A" w:rsidP="000C1C63">
      <w:pPr>
        <w:spacing w:after="0" w:line="240" w:lineRule="auto"/>
        <w:jc w:val="both"/>
        <w:rPr>
          <w:rFonts w:ascii="Times New Roman" w:hAnsi="Times New Roman" w:cs="Times New Roman"/>
          <w:sz w:val="24"/>
          <w:szCs w:val="24"/>
          <w:lang w:eastAsia="en-GB"/>
        </w:rPr>
      </w:pPr>
      <w:r w:rsidRPr="007F121A">
        <w:rPr>
          <w:rFonts w:ascii="Times New Roman" w:hAnsi="Times New Roman" w:cs="Times New Roman"/>
          <w:sz w:val="24"/>
          <w:szCs w:val="24"/>
        </w:rPr>
        <w:t xml:space="preserve">Dustmann, C., T. Frattini and I. Preston (2013) ‘The Effect of Immigration along the Distribution of Wages’, </w:t>
      </w:r>
      <w:r w:rsidRPr="007F121A">
        <w:rPr>
          <w:rFonts w:ascii="Times New Roman" w:hAnsi="Times New Roman" w:cs="Times New Roman"/>
          <w:i/>
          <w:iCs/>
          <w:sz w:val="24"/>
          <w:szCs w:val="24"/>
          <w:lang w:eastAsia="en-GB"/>
        </w:rPr>
        <w:t>Review of Economic Studies</w:t>
      </w:r>
      <w:r w:rsidRPr="007F121A">
        <w:rPr>
          <w:rFonts w:ascii="Times New Roman" w:hAnsi="Times New Roman" w:cs="Times New Roman"/>
          <w:sz w:val="24"/>
          <w:szCs w:val="24"/>
          <w:lang w:eastAsia="en-GB"/>
        </w:rPr>
        <w:t xml:space="preserve"> 80: 145-73. </w:t>
      </w:r>
    </w:p>
    <w:p w:rsidR="007F121A" w:rsidRDefault="007F121A" w:rsidP="000C1C63">
      <w:pPr>
        <w:spacing w:after="0" w:line="240" w:lineRule="auto"/>
        <w:jc w:val="both"/>
        <w:rPr>
          <w:rFonts w:ascii="Times New Roman" w:hAnsi="Times New Roman" w:cs="Times New Roman"/>
          <w:sz w:val="24"/>
          <w:szCs w:val="24"/>
          <w:lang w:eastAsia="en-GB"/>
        </w:rPr>
      </w:pPr>
    </w:p>
    <w:p w:rsidR="00FC11D5" w:rsidRDefault="00FC11D5" w:rsidP="000C1C63">
      <w:pPr>
        <w:jc w:val="both"/>
        <w:rPr>
          <w:rFonts w:ascii="Times New Roman" w:hAnsi="Times New Roman" w:cs="Times New Roman"/>
          <w:sz w:val="24"/>
          <w:szCs w:val="24"/>
        </w:rPr>
      </w:pPr>
      <w:r w:rsidRPr="00FC11D5">
        <w:rPr>
          <w:rFonts w:ascii="Times New Roman" w:hAnsi="Times New Roman" w:cs="Times New Roman"/>
          <w:sz w:val="24"/>
          <w:szCs w:val="24"/>
        </w:rPr>
        <w:t xml:space="preserve">Dustmann, C. and T. Frattini (2014) ‘The Fiscal Effects of Immigration to the UK.’ </w:t>
      </w:r>
      <w:r w:rsidRPr="00FC11D5">
        <w:rPr>
          <w:rFonts w:ascii="Times New Roman" w:hAnsi="Times New Roman" w:cs="Times New Roman"/>
          <w:i/>
          <w:sz w:val="24"/>
          <w:szCs w:val="24"/>
        </w:rPr>
        <w:t>Economic Journal</w:t>
      </w:r>
      <w:r w:rsidRPr="00FC11D5">
        <w:rPr>
          <w:rFonts w:ascii="Times New Roman" w:hAnsi="Times New Roman" w:cs="Times New Roman"/>
          <w:sz w:val="24"/>
          <w:szCs w:val="24"/>
        </w:rPr>
        <w:t xml:space="preserve"> 124: F593-643.</w:t>
      </w:r>
    </w:p>
    <w:p w:rsidR="00807E3E" w:rsidRPr="00807E3E" w:rsidRDefault="00807E3E" w:rsidP="000C1C63">
      <w:pPr>
        <w:jc w:val="both"/>
        <w:rPr>
          <w:rFonts w:ascii="Times New Roman" w:hAnsi="Times New Roman" w:cs="Times New Roman"/>
          <w:sz w:val="24"/>
          <w:szCs w:val="24"/>
        </w:rPr>
      </w:pPr>
      <w:r w:rsidRPr="00FC11D5">
        <w:rPr>
          <w:rFonts w:ascii="Times New Roman" w:hAnsi="Times New Roman" w:cs="Times New Roman"/>
          <w:sz w:val="24"/>
          <w:szCs w:val="24"/>
        </w:rPr>
        <w:t>Dustmann, C.</w:t>
      </w:r>
      <w:r w:rsidR="008E50EA">
        <w:rPr>
          <w:rFonts w:ascii="Times New Roman" w:hAnsi="Times New Roman" w:cs="Times New Roman"/>
          <w:sz w:val="24"/>
          <w:szCs w:val="24"/>
        </w:rPr>
        <w:t>, Sch</w:t>
      </w:r>
      <w:r>
        <w:rPr>
          <w:rFonts w:ascii="Times New Roman" w:hAnsi="Times New Roman" w:cs="Times New Roman"/>
          <w:sz w:val="24"/>
          <w:szCs w:val="24"/>
        </w:rPr>
        <w:t>o</w:t>
      </w:r>
      <w:r w:rsidR="008E50EA">
        <w:rPr>
          <w:rFonts w:ascii="Times New Roman" w:hAnsi="Times New Roman" w:cs="Times New Roman"/>
          <w:sz w:val="24"/>
          <w:szCs w:val="24"/>
        </w:rPr>
        <w:t>e</w:t>
      </w:r>
      <w:r>
        <w:rPr>
          <w:rFonts w:ascii="Times New Roman" w:hAnsi="Times New Roman" w:cs="Times New Roman"/>
          <w:sz w:val="24"/>
          <w:szCs w:val="24"/>
        </w:rPr>
        <w:t xml:space="preserve">nberg U., and J. Schuler, (2016), “The Impact of Immigration. Why Do Studies Reach Such Different Results?”, </w:t>
      </w:r>
      <w:r>
        <w:rPr>
          <w:rFonts w:ascii="Times New Roman" w:hAnsi="Times New Roman" w:cs="Times New Roman"/>
          <w:i/>
          <w:sz w:val="24"/>
          <w:szCs w:val="24"/>
        </w:rPr>
        <w:t>Journal of Economic Perspectives</w:t>
      </w:r>
      <w:r>
        <w:rPr>
          <w:rFonts w:ascii="Times New Roman" w:hAnsi="Times New Roman" w:cs="Times New Roman"/>
          <w:sz w:val="24"/>
          <w:szCs w:val="24"/>
        </w:rPr>
        <w:t>, Vol. 30, No. 4, pp. 31-56.</w:t>
      </w:r>
    </w:p>
    <w:p w:rsidR="005B7E9D" w:rsidRDefault="005B7E9D" w:rsidP="00916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DWP (2017), “Analysis of Migrants’ Access to Income Related Benefits”, August, DWP London.</w:t>
      </w:r>
    </w:p>
    <w:p w:rsidR="005B7E9D" w:rsidRDefault="005B7E9D" w:rsidP="00916D80">
      <w:pPr>
        <w:spacing w:after="0" w:line="240" w:lineRule="auto"/>
        <w:jc w:val="both"/>
        <w:rPr>
          <w:rFonts w:ascii="Times New Roman" w:hAnsi="Times New Roman" w:cs="Times New Roman"/>
          <w:sz w:val="24"/>
          <w:szCs w:val="24"/>
        </w:rPr>
      </w:pPr>
    </w:p>
    <w:p w:rsidR="00EE0443" w:rsidRPr="00EE0443" w:rsidRDefault="00EE0443" w:rsidP="00916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Hatton, T., (2016), “Immigration, Public Opinion and the Recession in Europe”, </w:t>
      </w:r>
      <w:r>
        <w:rPr>
          <w:rFonts w:ascii="Times New Roman" w:hAnsi="Times New Roman" w:cs="Times New Roman"/>
          <w:i/>
          <w:sz w:val="24"/>
          <w:szCs w:val="24"/>
        </w:rPr>
        <w:t>Economic Policy</w:t>
      </w:r>
      <w:r>
        <w:rPr>
          <w:rFonts w:ascii="Times New Roman" w:hAnsi="Times New Roman" w:cs="Times New Roman"/>
          <w:sz w:val="24"/>
          <w:szCs w:val="24"/>
        </w:rPr>
        <w:t>, Vol. 31, Issue 86, pp. 207-246.</w:t>
      </w:r>
    </w:p>
    <w:p w:rsidR="00EE0443" w:rsidRDefault="00EE0443" w:rsidP="00916D80">
      <w:pPr>
        <w:spacing w:after="0" w:line="240" w:lineRule="auto"/>
        <w:jc w:val="both"/>
        <w:rPr>
          <w:rFonts w:ascii="Times New Roman" w:hAnsi="Times New Roman" w:cs="Times New Roman"/>
          <w:sz w:val="24"/>
          <w:szCs w:val="24"/>
        </w:rPr>
      </w:pPr>
    </w:p>
    <w:p w:rsidR="005B7E9D" w:rsidRPr="00444A9B" w:rsidRDefault="005B7E9D" w:rsidP="00916D80">
      <w:pPr>
        <w:spacing w:after="0" w:line="240" w:lineRule="auto"/>
        <w:jc w:val="both"/>
        <w:rPr>
          <w:rFonts w:ascii="Times New Roman" w:hAnsi="Times New Roman" w:cs="Times New Roman"/>
          <w:sz w:val="24"/>
          <w:szCs w:val="24"/>
        </w:rPr>
      </w:pPr>
      <w:r w:rsidRPr="00444A9B">
        <w:rPr>
          <w:rFonts w:ascii="Times New Roman" w:hAnsi="Times New Roman" w:cs="Times New Roman"/>
          <w:sz w:val="24"/>
          <w:szCs w:val="24"/>
        </w:rPr>
        <w:t>HMRC (2017)</w:t>
      </w:r>
      <w:r w:rsidR="00444A9B" w:rsidRPr="00444A9B">
        <w:rPr>
          <w:rFonts w:ascii="Times New Roman" w:hAnsi="Times New Roman" w:cs="Times New Roman"/>
          <w:sz w:val="24"/>
          <w:szCs w:val="24"/>
        </w:rPr>
        <w:t>, “Income Tax, NICs, Tax Credits and Child Benefit Statistics for EEA Nationals, 2013 to 2014”, August, HMRC, London.</w:t>
      </w:r>
    </w:p>
    <w:p w:rsidR="005B7E9D" w:rsidRDefault="005B7E9D" w:rsidP="00916D80">
      <w:pPr>
        <w:spacing w:after="0" w:line="240" w:lineRule="auto"/>
        <w:jc w:val="both"/>
        <w:rPr>
          <w:rFonts w:ascii="Times New Roman" w:hAnsi="Times New Roman" w:cs="Times New Roman"/>
          <w:sz w:val="24"/>
          <w:szCs w:val="24"/>
        </w:rPr>
      </w:pPr>
    </w:p>
    <w:p w:rsidR="00916D80" w:rsidRPr="00916D80" w:rsidRDefault="00916D80" w:rsidP="00916D80">
      <w:pPr>
        <w:spacing w:after="0" w:line="240" w:lineRule="auto"/>
        <w:jc w:val="both"/>
        <w:rPr>
          <w:rFonts w:ascii="Times New Roman" w:eastAsia="Times New Roman" w:hAnsi="Times New Roman" w:cs="Times New Roman"/>
          <w:sz w:val="24"/>
          <w:szCs w:val="24"/>
          <w:lang w:eastAsia="en-GB"/>
        </w:rPr>
      </w:pPr>
      <w:r w:rsidRPr="00916D80">
        <w:rPr>
          <w:rFonts w:ascii="Times New Roman" w:hAnsi="Times New Roman" w:cs="Times New Roman"/>
          <w:sz w:val="24"/>
          <w:szCs w:val="24"/>
        </w:rPr>
        <w:t>Langella M., and A. Manning (2016), “</w:t>
      </w:r>
      <w:r w:rsidRPr="00916D80">
        <w:rPr>
          <w:rFonts w:ascii="Times New Roman" w:eastAsia="Times New Roman" w:hAnsi="Times New Roman" w:cs="Times New Roman"/>
          <w:sz w:val="24"/>
          <w:szCs w:val="24"/>
          <w:lang w:eastAsia="en-GB"/>
        </w:rPr>
        <w:t>Who voted Leave: the characteristics of individuals</w:t>
      </w:r>
    </w:p>
    <w:p w:rsidR="00916D80" w:rsidRPr="00916D80" w:rsidRDefault="00916D80" w:rsidP="00916D80">
      <w:pPr>
        <w:spacing w:after="0" w:line="240" w:lineRule="auto"/>
        <w:jc w:val="both"/>
        <w:rPr>
          <w:rFonts w:ascii="Times New Roman" w:eastAsia="Times New Roman" w:hAnsi="Times New Roman" w:cs="Times New Roman"/>
          <w:sz w:val="24"/>
          <w:szCs w:val="24"/>
          <w:lang w:eastAsia="en-GB"/>
        </w:rPr>
      </w:pPr>
      <w:r w:rsidRPr="00916D80">
        <w:rPr>
          <w:rFonts w:ascii="Times New Roman" w:eastAsia="Times New Roman" w:hAnsi="Times New Roman" w:cs="Times New Roman"/>
          <w:sz w:val="24"/>
          <w:szCs w:val="24"/>
          <w:lang w:eastAsia="en-GB"/>
        </w:rPr>
        <w:t>mattered, but so did those of local areas”, LSE Blog</w:t>
      </w:r>
    </w:p>
    <w:p w:rsidR="00916D80" w:rsidRDefault="00916D80" w:rsidP="00916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Pr="002D24D4">
          <w:rPr>
            <w:rStyle w:val="Hyperlink"/>
            <w:rFonts w:ascii="Times New Roman" w:hAnsi="Times New Roman" w:cs="Times New Roman"/>
            <w:sz w:val="24"/>
            <w:szCs w:val="24"/>
          </w:rPr>
          <w:t>http://eprints.lse.ac.uk/71596/1/blogs.lse.ac.uk-Who%20voted%20Leave%20the%20characteristics%20of%20individuals%20mattered%20but%20so%20did%20those%20of%20local%20areas.pdf</w:t>
        </w:r>
      </w:hyperlink>
      <w:r w:rsidRPr="00916D80">
        <w:rPr>
          <w:rFonts w:ascii="Times New Roman" w:hAnsi="Times New Roman" w:cs="Times New Roman"/>
          <w:sz w:val="24"/>
          <w:szCs w:val="24"/>
        </w:rPr>
        <w:t xml:space="preserve"> </w:t>
      </w:r>
    </w:p>
    <w:p w:rsidR="00916D80" w:rsidRDefault="00916D80" w:rsidP="000C1C63">
      <w:pPr>
        <w:spacing w:after="0" w:line="240" w:lineRule="auto"/>
        <w:jc w:val="both"/>
        <w:rPr>
          <w:rFonts w:ascii="Times New Roman" w:hAnsi="Times New Roman" w:cs="Times New Roman"/>
          <w:sz w:val="24"/>
          <w:szCs w:val="24"/>
        </w:rPr>
      </w:pPr>
    </w:p>
    <w:p w:rsidR="00E5610B" w:rsidRPr="00E5610B" w:rsidRDefault="005C64B3" w:rsidP="00E5610B">
      <w:pPr>
        <w:spacing w:after="0" w:line="240" w:lineRule="auto"/>
        <w:jc w:val="both"/>
        <w:rPr>
          <w:rFonts w:ascii="Times New Roman" w:hAnsi="Times New Roman" w:cs="Times New Roman"/>
          <w:i/>
          <w:sz w:val="24"/>
          <w:szCs w:val="24"/>
        </w:rPr>
      </w:pPr>
      <w:r w:rsidRPr="00E5610B">
        <w:rPr>
          <w:rFonts w:ascii="Times New Roman" w:hAnsi="Times New Roman" w:cs="Times New Roman"/>
          <w:sz w:val="24"/>
          <w:szCs w:val="24"/>
        </w:rPr>
        <w:t>Lemos S. and Portes, J., (2014), “</w:t>
      </w:r>
      <w:r w:rsidRPr="00E5610B">
        <w:rPr>
          <w:rFonts w:ascii="Times New Roman" w:eastAsia="Times New Roman" w:hAnsi="Times New Roman" w:cs="Times New Roman"/>
          <w:sz w:val="24"/>
          <w:szCs w:val="24"/>
          <w:lang w:eastAsia="en-GB"/>
        </w:rPr>
        <w:t xml:space="preserve">New Labour? The Effects of Migration from </w:t>
      </w:r>
      <w:r w:rsidRPr="005C64B3">
        <w:rPr>
          <w:rFonts w:ascii="Times New Roman" w:eastAsia="Times New Roman" w:hAnsi="Times New Roman" w:cs="Times New Roman"/>
          <w:sz w:val="24"/>
          <w:szCs w:val="24"/>
          <w:lang w:eastAsia="en-GB"/>
        </w:rPr>
        <w:t>Central and Eastern Europe on</w:t>
      </w:r>
      <w:r w:rsidRPr="00E5610B">
        <w:rPr>
          <w:rFonts w:ascii="Times New Roman" w:eastAsia="Times New Roman" w:hAnsi="Times New Roman" w:cs="Times New Roman"/>
          <w:sz w:val="24"/>
          <w:szCs w:val="24"/>
          <w:lang w:eastAsia="en-GB"/>
        </w:rPr>
        <w:t xml:space="preserve"> </w:t>
      </w:r>
      <w:r w:rsidRPr="005C64B3">
        <w:rPr>
          <w:rFonts w:ascii="Times New Roman" w:eastAsia="Times New Roman" w:hAnsi="Times New Roman" w:cs="Times New Roman"/>
          <w:sz w:val="24"/>
          <w:szCs w:val="24"/>
          <w:lang w:eastAsia="en-GB"/>
        </w:rPr>
        <w:t>Unemployment and Wages in the UK</w:t>
      </w:r>
      <w:r w:rsidRPr="00E5610B">
        <w:rPr>
          <w:rFonts w:ascii="Times New Roman" w:eastAsia="Times New Roman" w:hAnsi="Times New Roman" w:cs="Times New Roman"/>
          <w:sz w:val="24"/>
          <w:szCs w:val="24"/>
          <w:lang w:eastAsia="en-GB"/>
        </w:rPr>
        <w:t xml:space="preserve">”, </w:t>
      </w:r>
      <w:r w:rsidR="00E5610B" w:rsidRPr="00E5610B">
        <w:rPr>
          <w:rFonts w:ascii="Times New Roman" w:hAnsi="Times New Roman" w:cs="Times New Roman"/>
          <w:i/>
          <w:sz w:val="24"/>
          <w:szCs w:val="24"/>
        </w:rPr>
        <w:t>The B.E. Journal of</w:t>
      </w:r>
    </w:p>
    <w:p w:rsidR="005C64B3" w:rsidRDefault="00E5610B" w:rsidP="00E5610B">
      <w:pPr>
        <w:spacing w:after="0" w:line="240" w:lineRule="auto"/>
        <w:jc w:val="both"/>
        <w:rPr>
          <w:rFonts w:ascii="Times New Roman" w:eastAsia="Times New Roman" w:hAnsi="Times New Roman" w:cs="Times New Roman"/>
          <w:sz w:val="24"/>
          <w:szCs w:val="24"/>
          <w:lang w:eastAsia="en-GB"/>
        </w:rPr>
      </w:pPr>
      <w:r w:rsidRPr="00E5610B">
        <w:rPr>
          <w:rFonts w:ascii="Times New Roman" w:hAnsi="Times New Roman" w:cs="Times New Roman"/>
          <w:i/>
          <w:sz w:val="24"/>
          <w:szCs w:val="24"/>
        </w:rPr>
        <w:t>Economic Analysis &amp; Policy</w:t>
      </w:r>
      <w:r w:rsidRPr="00E5610B">
        <w:rPr>
          <w:rFonts w:ascii="Times New Roman" w:hAnsi="Times New Roman" w:cs="Times New Roman"/>
          <w:sz w:val="24"/>
          <w:szCs w:val="24"/>
        </w:rPr>
        <w:t xml:space="preserve">, </w:t>
      </w:r>
      <w:r w:rsidR="005C64B3" w:rsidRPr="00E5610B">
        <w:rPr>
          <w:rFonts w:ascii="Times New Roman" w:eastAsia="Times New Roman" w:hAnsi="Times New Roman" w:cs="Times New Roman"/>
          <w:sz w:val="24"/>
          <w:szCs w:val="24"/>
          <w:lang w:eastAsia="en-GB"/>
        </w:rPr>
        <w:t>Vol. 14, No. 1, pp. 299-338.</w:t>
      </w:r>
    </w:p>
    <w:p w:rsidR="00E5610B" w:rsidRPr="00E5610B" w:rsidRDefault="00E5610B" w:rsidP="00E5610B">
      <w:pPr>
        <w:spacing w:after="0" w:line="240" w:lineRule="auto"/>
        <w:jc w:val="both"/>
        <w:rPr>
          <w:rFonts w:ascii="Times New Roman" w:hAnsi="Times New Roman" w:cs="Times New Roman"/>
          <w:sz w:val="24"/>
          <w:szCs w:val="24"/>
        </w:rPr>
      </w:pPr>
    </w:p>
    <w:p w:rsidR="00990C7A" w:rsidRDefault="00990C7A" w:rsidP="000C1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LTIMs (2018), “</w:t>
      </w:r>
      <w:r w:rsidR="005171EF">
        <w:rPr>
          <w:rFonts w:ascii="Times New Roman" w:hAnsi="Times New Roman" w:cs="Times New Roman"/>
          <w:sz w:val="24"/>
          <w:szCs w:val="24"/>
        </w:rPr>
        <w:t>Provisional</w:t>
      </w:r>
      <w:r>
        <w:rPr>
          <w:rFonts w:ascii="Times New Roman" w:hAnsi="Times New Roman" w:cs="Times New Roman"/>
          <w:sz w:val="24"/>
          <w:szCs w:val="24"/>
        </w:rPr>
        <w:t xml:space="preserve"> Long-Term International Migration Estimates”, Office for National Statistics,</w:t>
      </w:r>
    </w:p>
    <w:p w:rsidR="00990C7A" w:rsidRDefault="00220249" w:rsidP="000C1C63">
      <w:pPr>
        <w:spacing w:after="0" w:line="240" w:lineRule="auto"/>
        <w:jc w:val="both"/>
        <w:rPr>
          <w:rStyle w:val="Hyperlink"/>
          <w:rFonts w:ascii="Times New Roman" w:hAnsi="Times New Roman" w:cs="Times New Roman"/>
          <w:sz w:val="24"/>
          <w:szCs w:val="24"/>
        </w:rPr>
      </w:pPr>
      <w:hyperlink r:id="rId22" w:history="1">
        <w:r w:rsidR="00A07C38" w:rsidRPr="00927327">
          <w:rPr>
            <w:rStyle w:val="Hyperlink"/>
            <w:rFonts w:ascii="Times New Roman" w:hAnsi="Times New Roman" w:cs="Times New Roman"/>
            <w:sz w:val="24"/>
            <w:szCs w:val="24"/>
          </w:rPr>
          <w:t>https://www.ons.gov.uk/peoplepopulationandcommunity/populationandmigration/internationalmigration/datasets/migrationstatisticsquarterlyreportprovisionallongterminternationalmigrationltimestimates</w:t>
        </w:r>
      </w:hyperlink>
      <w:r w:rsidR="00A07C38">
        <w:rPr>
          <w:rStyle w:val="Hyperlink"/>
          <w:rFonts w:ascii="Times New Roman" w:hAnsi="Times New Roman" w:cs="Times New Roman"/>
          <w:sz w:val="24"/>
          <w:szCs w:val="24"/>
        </w:rPr>
        <w:t xml:space="preserve"> </w:t>
      </w:r>
    </w:p>
    <w:p w:rsidR="00A07C38" w:rsidRDefault="00A07C38" w:rsidP="000C1C63">
      <w:pPr>
        <w:spacing w:after="0" w:line="240" w:lineRule="auto"/>
        <w:jc w:val="both"/>
        <w:rPr>
          <w:rFonts w:ascii="Times New Roman" w:hAnsi="Times New Roman" w:cs="Times New Roman"/>
          <w:sz w:val="24"/>
          <w:szCs w:val="24"/>
        </w:rPr>
      </w:pPr>
    </w:p>
    <w:p w:rsidR="007F121A" w:rsidRDefault="007F121A" w:rsidP="000C1C63">
      <w:pPr>
        <w:spacing w:after="0" w:line="240" w:lineRule="auto"/>
        <w:jc w:val="both"/>
        <w:rPr>
          <w:rFonts w:ascii="Times New Roman" w:hAnsi="Times New Roman" w:cs="Times New Roman"/>
          <w:sz w:val="24"/>
          <w:szCs w:val="24"/>
          <w:lang w:eastAsia="en-GB"/>
        </w:rPr>
      </w:pPr>
      <w:r w:rsidRPr="007F121A">
        <w:rPr>
          <w:rFonts w:ascii="Times New Roman" w:hAnsi="Times New Roman" w:cs="Times New Roman"/>
          <w:sz w:val="24"/>
          <w:szCs w:val="24"/>
        </w:rPr>
        <w:t>Manacorda,</w:t>
      </w:r>
      <w:r w:rsidRPr="007F121A">
        <w:rPr>
          <w:rFonts w:ascii="Times New Roman" w:hAnsi="Times New Roman" w:cs="Times New Roman"/>
          <w:sz w:val="24"/>
          <w:szCs w:val="24"/>
          <w:vertAlign w:val="superscript"/>
        </w:rPr>
        <w:t xml:space="preserve"> </w:t>
      </w:r>
      <w:r w:rsidRPr="007F121A">
        <w:rPr>
          <w:rFonts w:ascii="Times New Roman" w:hAnsi="Times New Roman" w:cs="Times New Roman"/>
          <w:sz w:val="24"/>
          <w:szCs w:val="24"/>
        </w:rPr>
        <w:t xml:space="preserve">M., A. Manning and J. Wadsworth (2011) ‘The Impact of Immigration on the Structure of Male Wages: Theory and Evidence from Britain’, </w:t>
      </w:r>
      <w:r w:rsidRPr="007F121A">
        <w:rPr>
          <w:rFonts w:ascii="Times New Roman" w:hAnsi="Times New Roman" w:cs="Times New Roman"/>
          <w:i/>
          <w:iCs/>
          <w:sz w:val="24"/>
          <w:szCs w:val="24"/>
          <w:lang w:eastAsia="en-GB"/>
        </w:rPr>
        <w:t>Journal of the European Economic Association</w:t>
      </w:r>
      <w:r w:rsidRPr="007F121A">
        <w:rPr>
          <w:rFonts w:ascii="Times New Roman" w:hAnsi="Times New Roman" w:cs="Times New Roman"/>
          <w:sz w:val="24"/>
          <w:szCs w:val="24"/>
          <w:lang w:eastAsia="en-GB"/>
        </w:rPr>
        <w:t xml:space="preserve"> 10: 120-51.</w:t>
      </w:r>
    </w:p>
    <w:p w:rsidR="007F121A" w:rsidRDefault="007F121A" w:rsidP="000C1C63">
      <w:pPr>
        <w:spacing w:after="0" w:line="240" w:lineRule="auto"/>
        <w:jc w:val="both"/>
        <w:rPr>
          <w:rFonts w:ascii="Times New Roman" w:hAnsi="Times New Roman" w:cs="Times New Roman"/>
          <w:sz w:val="24"/>
          <w:szCs w:val="24"/>
          <w:lang w:eastAsia="en-GB"/>
        </w:rPr>
      </w:pPr>
    </w:p>
    <w:p w:rsidR="00A352D1" w:rsidRDefault="00A352D1" w:rsidP="000C1C63">
      <w:pPr>
        <w:spacing w:after="0" w:line="240" w:lineRule="auto"/>
        <w:jc w:val="both"/>
        <w:rPr>
          <w:rFonts w:ascii="Times New Roman" w:hAnsi="Times New Roman" w:cs="Times New Roman"/>
          <w:sz w:val="24"/>
          <w:szCs w:val="24"/>
        </w:rPr>
      </w:pPr>
      <w:r w:rsidRPr="007F121A">
        <w:rPr>
          <w:rFonts w:ascii="Times New Roman" w:hAnsi="Times New Roman" w:cs="Times New Roman"/>
          <w:sz w:val="24"/>
          <w:szCs w:val="24"/>
        </w:rPr>
        <w:t>Mi</w:t>
      </w:r>
      <w:r>
        <w:rPr>
          <w:rFonts w:ascii="Times New Roman" w:hAnsi="Times New Roman" w:cs="Times New Roman"/>
          <w:sz w:val="24"/>
          <w:szCs w:val="24"/>
        </w:rPr>
        <w:t xml:space="preserve">gration Advisory Committee (2011) ‘Analysis of the Points Based System’, </w:t>
      </w:r>
    </w:p>
    <w:p w:rsidR="00A352D1" w:rsidRDefault="00220249" w:rsidP="000C1C63">
      <w:pPr>
        <w:spacing w:after="0" w:line="240" w:lineRule="auto"/>
        <w:jc w:val="both"/>
        <w:rPr>
          <w:rFonts w:ascii="Times New Roman" w:hAnsi="Times New Roman" w:cs="Times New Roman"/>
          <w:sz w:val="24"/>
          <w:szCs w:val="24"/>
        </w:rPr>
      </w:pPr>
      <w:hyperlink r:id="rId23" w:history="1">
        <w:r w:rsidR="00A352D1" w:rsidRPr="006D0A15">
          <w:rPr>
            <w:rStyle w:val="Hyperlink"/>
            <w:rFonts w:ascii="Times New Roman" w:hAnsi="Times New Roman" w:cs="Times New Roman"/>
            <w:sz w:val="24"/>
            <w:szCs w:val="24"/>
          </w:rPr>
          <w:t>https://assets.publishing.service.gov.uk/government/uploads/system/uploads/attachment_data/file/257255/report.pdf</w:t>
        </w:r>
      </w:hyperlink>
    </w:p>
    <w:p w:rsidR="00A352D1" w:rsidRPr="007F121A" w:rsidRDefault="00A352D1" w:rsidP="000C1C63">
      <w:pPr>
        <w:spacing w:after="0" w:line="240" w:lineRule="auto"/>
        <w:jc w:val="both"/>
        <w:rPr>
          <w:rFonts w:ascii="Times New Roman" w:hAnsi="Times New Roman" w:cs="Times New Roman"/>
          <w:sz w:val="24"/>
          <w:szCs w:val="24"/>
          <w:lang w:eastAsia="en-GB"/>
        </w:rPr>
      </w:pPr>
    </w:p>
    <w:p w:rsidR="00620843" w:rsidRPr="007F121A" w:rsidRDefault="00620843" w:rsidP="000C1C63">
      <w:pPr>
        <w:spacing w:after="0" w:line="240" w:lineRule="auto"/>
        <w:jc w:val="both"/>
        <w:rPr>
          <w:rFonts w:ascii="Times New Roman" w:hAnsi="Times New Roman" w:cs="Times New Roman"/>
          <w:sz w:val="24"/>
          <w:szCs w:val="24"/>
        </w:rPr>
      </w:pPr>
      <w:r w:rsidRPr="007F121A">
        <w:rPr>
          <w:rFonts w:ascii="Times New Roman" w:hAnsi="Times New Roman" w:cs="Times New Roman"/>
          <w:sz w:val="24"/>
          <w:szCs w:val="24"/>
        </w:rPr>
        <w:t>Migration Advisory Committee (2017) Briefing Paper</w:t>
      </w:r>
    </w:p>
    <w:p w:rsidR="00620843" w:rsidRPr="007F121A" w:rsidRDefault="00220249" w:rsidP="000C1C63">
      <w:pPr>
        <w:spacing w:after="0" w:line="240" w:lineRule="auto"/>
        <w:jc w:val="both"/>
        <w:rPr>
          <w:rFonts w:ascii="Times New Roman" w:hAnsi="Times New Roman" w:cs="Times New Roman"/>
          <w:sz w:val="24"/>
          <w:szCs w:val="24"/>
        </w:rPr>
      </w:pPr>
      <w:hyperlink r:id="rId24" w:history="1">
        <w:r w:rsidR="00620843" w:rsidRPr="007F121A">
          <w:rPr>
            <w:rStyle w:val="Hyperlink"/>
            <w:rFonts w:ascii="Times New Roman" w:hAnsi="Times New Roman" w:cs="Times New Roman"/>
            <w:sz w:val="24"/>
            <w:szCs w:val="24"/>
          </w:rPr>
          <w:t>https://www.gov.uk/government/uploads/system/uploads/attachment_data/file/636286/2017_08_08_MAC_Briefing_paper.pdf</w:t>
        </w:r>
      </w:hyperlink>
    </w:p>
    <w:p w:rsidR="00620843" w:rsidRPr="007F121A" w:rsidRDefault="00620843" w:rsidP="000C1C63">
      <w:pPr>
        <w:spacing w:after="0" w:line="240" w:lineRule="auto"/>
        <w:jc w:val="both"/>
        <w:rPr>
          <w:rFonts w:ascii="Times New Roman" w:hAnsi="Times New Roman" w:cs="Times New Roman"/>
          <w:sz w:val="24"/>
          <w:szCs w:val="24"/>
        </w:rPr>
      </w:pPr>
    </w:p>
    <w:p w:rsidR="004D0D43" w:rsidRDefault="004D0D43" w:rsidP="000C1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Mountford, A. and Wadsworth, J., (2018), ‘Trainspotting. Good Jobs, Training and Skilled Immigration’, Royal Holloway Economics Department Working Paper.</w:t>
      </w:r>
    </w:p>
    <w:p w:rsidR="004D0D43" w:rsidRDefault="004D0D43" w:rsidP="000C1C63">
      <w:pPr>
        <w:spacing w:after="0" w:line="240" w:lineRule="auto"/>
        <w:jc w:val="both"/>
        <w:rPr>
          <w:rFonts w:ascii="Times New Roman" w:hAnsi="Times New Roman" w:cs="Times New Roman"/>
          <w:sz w:val="24"/>
          <w:szCs w:val="24"/>
        </w:rPr>
      </w:pPr>
    </w:p>
    <w:p w:rsidR="007F121A" w:rsidRPr="007F121A" w:rsidRDefault="007F121A" w:rsidP="000C1C63">
      <w:pPr>
        <w:spacing w:after="0" w:line="240" w:lineRule="auto"/>
        <w:jc w:val="both"/>
        <w:rPr>
          <w:rFonts w:ascii="Times New Roman" w:hAnsi="Times New Roman" w:cs="Times New Roman"/>
          <w:sz w:val="24"/>
          <w:szCs w:val="24"/>
        </w:rPr>
      </w:pPr>
      <w:r w:rsidRPr="007F121A">
        <w:rPr>
          <w:rFonts w:ascii="Times New Roman" w:hAnsi="Times New Roman" w:cs="Times New Roman"/>
          <w:sz w:val="24"/>
          <w:szCs w:val="24"/>
        </w:rPr>
        <w:t>Nickell, S. and J. Salaheen (2015) ‘The Impact of Immigration on Occupational Wages: Evidence from Britain’, Bank of England Staff Working paper No. 574</w:t>
      </w:r>
    </w:p>
    <w:p w:rsidR="007F121A" w:rsidRDefault="007F121A" w:rsidP="000C1C63">
      <w:pPr>
        <w:spacing w:after="0" w:line="240" w:lineRule="auto"/>
        <w:jc w:val="both"/>
        <w:rPr>
          <w:rFonts w:ascii="Times New Roman" w:hAnsi="Times New Roman" w:cs="Times New Roman"/>
          <w:sz w:val="24"/>
          <w:szCs w:val="24"/>
        </w:rPr>
      </w:pPr>
    </w:p>
    <w:p w:rsidR="009053F0" w:rsidRDefault="00ED0B1D" w:rsidP="000C1C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OECD (2014), ‘R</w:t>
      </w:r>
      <w:r w:rsidR="009053F0">
        <w:rPr>
          <w:rFonts w:ascii="Times New Roman" w:eastAsia="Calibri" w:hAnsi="Times New Roman" w:cs="Times New Roman"/>
          <w:sz w:val="24"/>
          <w:szCs w:val="24"/>
        </w:rPr>
        <w:t>ecruiting Immigrant Workers in Norway’, OECD, Paris.</w:t>
      </w:r>
    </w:p>
    <w:p w:rsidR="00177588" w:rsidRDefault="00177588" w:rsidP="000C1C63">
      <w:pPr>
        <w:spacing w:after="0" w:line="240" w:lineRule="auto"/>
        <w:jc w:val="both"/>
        <w:rPr>
          <w:rFonts w:ascii="Times New Roman" w:eastAsia="Calibri" w:hAnsi="Times New Roman" w:cs="Times New Roman"/>
          <w:sz w:val="24"/>
          <w:szCs w:val="24"/>
        </w:rPr>
      </w:pPr>
    </w:p>
    <w:p w:rsidR="00177588" w:rsidRDefault="00177588" w:rsidP="000C1C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OECD (2106), “Recruiting for Success. Challenges for Canada’s Labour Migration System”, OECD, Paris.</w:t>
      </w:r>
    </w:p>
    <w:p w:rsidR="009053F0" w:rsidRDefault="009053F0" w:rsidP="000C1C63">
      <w:pPr>
        <w:spacing w:after="0" w:line="240" w:lineRule="auto"/>
        <w:jc w:val="both"/>
        <w:rPr>
          <w:rFonts w:ascii="Times New Roman" w:hAnsi="Times New Roman" w:cs="Times New Roman"/>
          <w:sz w:val="24"/>
          <w:szCs w:val="24"/>
        </w:rPr>
      </w:pPr>
    </w:p>
    <w:p w:rsidR="00344EFC" w:rsidRDefault="00344EFC" w:rsidP="000C1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OECD (2017), ‘Skills Outlook’, OECD, Paris.</w:t>
      </w:r>
    </w:p>
    <w:p w:rsidR="00344EFC" w:rsidRPr="007F121A" w:rsidRDefault="00344EFC" w:rsidP="000C1C63">
      <w:pPr>
        <w:spacing w:after="0" w:line="240" w:lineRule="auto"/>
        <w:jc w:val="both"/>
        <w:rPr>
          <w:rFonts w:ascii="Times New Roman" w:hAnsi="Times New Roman" w:cs="Times New Roman"/>
          <w:sz w:val="24"/>
          <w:szCs w:val="24"/>
        </w:rPr>
      </w:pPr>
    </w:p>
    <w:p w:rsidR="00512BB3" w:rsidRDefault="00512BB3" w:rsidP="000C1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Portes J., (2017), “Free Movement After Brexit – Policy Options”,  The UK in a Changing Europe, Kings College London,  </w:t>
      </w:r>
      <w:hyperlink r:id="rId25" w:history="1">
        <w:r w:rsidRPr="002D24D4">
          <w:rPr>
            <w:rStyle w:val="Hyperlink"/>
            <w:rFonts w:ascii="Times New Roman" w:hAnsi="Times New Roman" w:cs="Times New Roman"/>
            <w:sz w:val="24"/>
            <w:szCs w:val="24"/>
          </w:rPr>
          <w:t>http://ukandeu.ac.uk/research-papers/free-movement-after-brexit-policy-options/</w:t>
        </w:r>
      </w:hyperlink>
    </w:p>
    <w:p w:rsidR="00512BB3" w:rsidRDefault="00512BB3" w:rsidP="000C1C63">
      <w:pPr>
        <w:spacing w:after="0" w:line="240" w:lineRule="auto"/>
        <w:jc w:val="both"/>
        <w:rPr>
          <w:rFonts w:ascii="Times New Roman" w:hAnsi="Times New Roman" w:cs="Times New Roman"/>
          <w:sz w:val="24"/>
          <w:szCs w:val="24"/>
        </w:rPr>
      </w:pPr>
    </w:p>
    <w:p w:rsidR="00620843" w:rsidRDefault="00620843" w:rsidP="000C1C63">
      <w:pPr>
        <w:spacing w:after="0" w:line="240" w:lineRule="auto"/>
        <w:jc w:val="both"/>
        <w:rPr>
          <w:rFonts w:ascii="Times New Roman" w:hAnsi="Times New Roman" w:cs="Times New Roman"/>
          <w:sz w:val="24"/>
          <w:szCs w:val="24"/>
        </w:rPr>
      </w:pPr>
      <w:r w:rsidRPr="007F121A">
        <w:rPr>
          <w:rFonts w:ascii="Times New Roman" w:hAnsi="Times New Roman" w:cs="Times New Roman"/>
          <w:sz w:val="24"/>
          <w:szCs w:val="24"/>
        </w:rPr>
        <w:t>Resolution Foundation (2017) “Work in Brexit Britain”</w:t>
      </w:r>
    </w:p>
    <w:p w:rsidR="0055578E" w:rsidRDefault="0055578E" w:rsidP="0055578E">
      <w:pPr>
        <w:pStyle w:val="NoSpacing"/>
        <w:jc w:val="both"/>
        <w:rPr>
          <w:rFonts w:ascii="Times New Roman" w:hAnsi="Times New Roman"/>
          <w:sz w:val="24"/>
        </w:rPr>
      </w:pPr>
    </w:p>
    <w:p w:rsidR="0055578E" w:rsidRPr="00A67CF7" w:rsidRDefault="0055578E" w:rsidP="0055578E">
      <w:pPr>
        <w:pStyle w:val="NoSpacing"/>
        <w:jc w:val="both"/>
        <w:rPr>
          <w:rFonts w:ascii="Times New Roman" w:hAnsi="Times New Roman"/>
          <w:sz w:val="24"/>
          <w:szCs w:val="24"/>
        </w:rPr>
      </w:pPr>
      <w:r>
        <w:rPr>
          <w:rFonts w:ascii="Times New Roman" w:hAnsi="Times New Roman"/>
          <w:sz w:val="24"/>
        </w:rPr>
        <w:t xml:space="preserve">Ruhs, M. and J. Wadsworth (2018), </w:t>
      </w:r>
      <w:r w:rsidRPr="00A67CF7">
        <w:rPr>
          <w:rFonts w:ascii="Times New Roman" w:hAnsi="Times New Roman"/>
          <w:sz w:val="24"/>
        </w:rPr>
        <w:t>“</w:t>
      </w:r>
      <w:r w:rsidRPr="00A67CF7">
        <w:rPr>
          <w:rFonts w:ascii="Times New Roman" w:hAnsi="Times New Roman"/>
          <w:sz w:val="24"/>
          <w:szCs w:val="24"/>
        </w:rPr>
        <w:t>The impact of acquiring unrestricted work authorization on A2 migrants’</w:t>
      </w:r>
      <w:r>
        <w:rPr>
          <w:rFonts w:ascii="Times New Roman" w:hAnsi="Times New Roman"/>
          <w:sz w:val="24"/>
          <w:szCs w:val="24"/>
        </w:rPr>
        <w:t xml:space="preserve"> </w:t>
      </w:r>
      <w:r w:rsidRPr="00A67CF7">
        <w:rPr>
          <w:rFonts w:ascii="Times New Roman" w:hAnsi="Times New Roman"/>
          <w:sz w:val="24"/>
          <w:szCs w:val="24"/>
        </w:rPr>
        <w:t>labour market outcomes and use of welfare benefits in the UK</w:t>
      </w:r>
      <w:r>
        <w:rPr>
          <w:rFonts w:ascii="Times New Roman" w:hAnsi="Times New Roman"/>
          <w:sz w:val="24"/>
          <w:szCs w:val="24"/>
        </w:rPr>
        <w:t xml:space="preserve">”, </w:t>
      </w:r>
      <w:r w:rsidRPr="00A67CF7">
        <w:rPr>
          <w:rFonts w:ascii="Times New Roman" w:hAnsi="Times New Roman"/>
          <w:i/>
          <w:sz w:val="24"/>
          <w:szCs w:val="24"/>
        </w:rPr>
        <w:t>Industrial and Labor Relations Review</w:t>
      </w:r>
      <w:r>
        <w:rPr>
          <w:rFonts w:ascii="Times New Roman" w:hAnsi="Times New Roman"/>
          <w:sz w:val="24"/>
          <w:szCs w:val="24"/>
        </w:rPr>
        <w:t>, August, Vol. 1, No. 4, pp.823-852.</w:t>
      </w:r>
    </w:p>
    <w:p w:rsidR="0055578E" w:rsidRPr="007F121A" w:rsidRDefault="0055578E" w:rsidP="000C1C63">
      <w:pPr>
        <w:spacing w:after="0" w:line="240" w:lineRule="auto"/>
        <w:jc w:val="both"/>
        <w:rPr>
          <w:rFonts w:ascii="Times New Roman" w:hAnsi="Times New Roman" w:cs="Times New Roman"/>
          <w:sz w:val="24"/>
          <w:szCs w:val="24"/>
        </w:rPr>
      </w:pPr>
    </w:p>
    <w:p w:rsidR="00AC37E3" w:rsidRDefault="00AC37E3">
      <w:pPr>
        <w:rPr>
          <w:rFonts w:ascii="Times New Roman" w:hAnsi="Times New Roman" w:cs="Times New Roman"/>
          <w:sz w:val="24"/>
          <w:szCs w:val="24"/>
        </w:rPr>
      </w:pPr>
      <w:r>
        <w:rPr>
          <w:rFonts w:ascii="Times New Roman" w:hAnsi="Times New Roman" w:cs="Times New Roman"/>
          <w:sz w:val="24"/>
          <w:szCs w:val="24"/>
        </w:rPr>
        <w:br w:type="page"/>
      </w:r>
    </w:p>
    <w:p w:rsidR="00620843" w:rsidRDefault="00AC37E3" w:rsidP="007F1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Appendix</w:t>
      </w:r>
    </w:p>
    <w:p w:rsidR="00AC37E3" w:rsidRDefault="00AC37E3" w:rsidP="007F121A">
      <w:pPr>
        <w:spacing w:after="0" w:line="240" w:lineRule="auto"/>
        <w:jc w:val="both"/>
        <w:rPr>
          <w:rFonts w:ascii="Times New Roman" w:hAnsi="Times New Roman" w:cs="Times New Roman"/>
          <w:sz w:val="24"/>
          <w:szCs w:val="24"/>
        </w:rPr>
      </w:pPr>
    </w:p>
    <w:p w:rsidR="00AC37E3" w:rsidRPr="00AC37E3" w:rsidRDefault="00AC37E3" w:rsidP="007F121A">
      <w:pPr>
        <w:spacing w:after="0" w:line="240" w:lineRule="auto"/>
        <w:jc w:val="both"/>
        <w:rPr>
          <w:rFonts w:ascii="Times New Roman" w:hAnsi="Times New Roman" w:cs="Times New Roman"/>
          <w:b/>
          <w:sz w:val="24"/>
          <w:szCs w:val="24"/>
        </w:rPr>
      </w:pPr>
      <w:r w:rsidRPr="00AC37E3">
        <w:rPr>
          <w:rFonts w:ascii="Times New Roman" w:hAnsi="Times New Roman" w:cs="Times New Roman"/>
          <w:b/>
          <w:sz w:val="24"/>
          <w:szCs w:val="24"/>
        </w:rPr>
        <w:t>Figure A1. Cumulative Distribution Function of Hourly Wage by Immigrant Group</w:t>
      </w:r>
    </w:p>
    <w:p w:rsidR="00AC37E3" w:rsidRDefault="007E113F" w:rsidP="007F121A">
      <w:pPr>
        <w:spacing w:after="0" w:line="240" w:lineRule="auto"/>
        <w:jc w:val="both"/>
        <w:rPr>
          <w:rFonts w:ascii="Times New Roman" w:hAnsi="Times New Roman" w:cs="Times New Roman"/>
          <w:sz w:val="24"/>
          <w:szCs w:val="24"/>
        </w:rPr>
      </w:pPr>
      <w:r w:rsidRPr="007E113F">
        <w:rPr>
          <w:rFonts w:ascii="Times New Roman" w:hAnsi="Times New Roman" w:cs="Times New Roman"/>
          <w:noProof/>
          <w:sz w:val="24"/>
          <w:szCs w:val="24"/>
          <w:lang w:val="en-US"/>
        </w:rPr>
        <w:drawing>
          <wp:inline distT="0" distB="0" distL="0" distR="0">
            <wp:extent cx="5524500" cy="4017818"/>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35600" cy="4025891"/>
                    </a:xfrm>
                    <a:prstGeom prst="rect">
                      <a:avLst/>
                    </a:prstGeom>
                    <a:noFill/>
                    <a:ln>
                      <a:noFill/>
                    </a:ln>
                  </pic:spPr>
                </pic:pic>
              </a:graphicData>
            </a:graphic>
          </wp:inline>
        </w:drawing>
      </w:r>
    </w:p>
    <w:p w:rsidR="007E113F" w:rsidRPr="007F121A" w:rsidRDefault="007E113F" w:rsidP="007F1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LFS author calculations</w:t>
      </w:r>
    </w:p>
    <w:sectPr w:rsidR="007E113F" w:rsidRPr="007F121A" w:rsidSect="004616C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49" w:rsidRDefault="00220249" w:rsidP="004616CB">
      <w:pPr>
        <w:spacing w:after="0" w:line="240" w:lineRule="auto"/>
      </w:pPr>
      <w:r>
        <w:separator/>
      </w:r>
    </w:p>
  </w:endnote>
  <w:endnote w:type="continuationSeparator" w:id="0">
    <w:p w:rsidR="00220249" w:rsidRDefault="00220249" w:rsidP="0046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031139"/>
      <w:docPartObj>
        <w:docPartGallery w:val="Page Numbers (Bottom of Page)"/>
        <w:docPartUnique/>
      </w:docPartObj>
    </w:sdtPr>
    <w:sdtEndPr>
      <w:rPr>
        <w:noProof/>
      </w:rPr>
    </w:sdtEndPr>
    <w:sdtContent>
      <w:p w:rsidR="00051467" w:rsidRDefault="00051467">
        <w:pPr>
          <w:pStyle w:val="Footer"/>
          <w:jc w:val="center"/>
        </w:pPr>
        <w:r>
          <w:fldChar w:fldCharType="begin"/>
        </w:r>
        <w:r>
          <w:instrText xml:space="preserve"> PAGE   \* MERGEFORMAT </w:instrText>
        </w:r>
        <w:r>
          <w:fldChar w:fldCharType="separate"/>
        </w:r>
        <w:r w:rsidR="005F02ED">
          <w:rPr>
            <w:noProof/>
          </w:rPr>
          <w:t>1</w:t>
        </w:r>
        <w:r>
          <w:rPr>
            <w:noProof/>
          </w:rPr>
          <w:fldChar w:fldCharType="end"/>
        </w:r>
      </w:p>
    </w:sdtContent>
  </w:sdt>
  <w:p w:rsidR="00051467" w:rsidRDefault="00051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49" w:rsidRDefault="00220249" w:rsidP="004616CB">
      <w:pPr>
        <w:spacing w:after="0" w:line="240" w:lineRule="auto"/>
      </w:pPr>
      <w:r>
        <w:separator/>
      </w:r>
    </w:p>
  </w:footnote>
  <w:footnote w:type="continuationSeparator" w:id="0">
    <w:p w:rsidR="00220249" w:rsidRDefault="00220249" w:rsidP="004616CB">
      <w:pPr>
        <w:spacing w:after="0" w:line="240" w:lineRule="auto"/>
      </w:pPr>
      <w:r>
        <w:continuationSeparator/>
      </w:r>
    </w:p>
  </w:footnote>
  <w:footnote w:id="1">
    <w:p w:rsidR="00051467" w:rsidRPr="00983369" w:rsidRDefault="00051467">
      <w:pPr>
        <w:pStyle w:val="FootnoteText"/>
        <w:rPr>
          <w:rFonts w:ascii="Times New Roman" w:hAnsi="Times New Roman" w:cs="Times New Roman"/>
        </w:rPr>
      </w:pPr>
      <w:r w:rsidRPr="00983369">
        <w:rPr>
          <w:rStyle w:val="FootnoteReference"/>
          <w:rFonts w:ascii="Times New Roman" w:hAnsi="Times New Roman" w:cs="Times New Roman"/>
        </w:rPr>
        <w:footnoteRef/>
      </w:r>
      <w:r w:rsidRPr="00983369">
        <w:rPr>
          <w:rFonts w:ascii="Times New Roman" w:hAnsi="Times New Roman" w:cs="Times New Roman"/>
        </w:rPr>
        <w:t xml:space="preserve"> Assuming an exit deal is agreed on, which at the time of writing, is not yet a given.</w:t>
      </w:r>
      <w:r w:rsidR="00884073">
        <w:rPr>
          <w:rFonts w:ascii="Times New Roman" w:hAnsi="Times New Roman" w:cs="Times New Roman"/>
        </w:rPr>
        <w:t xml:space="preserve"> In the event of No Deal the government would have to think quickly about what to do about immigration from the EU after March 2019.</w:t>
      </w:r>
    </w:p>
  </w:footnote>
  <w:footnote w:id="2">
    <w:p w:rsidR="00051467" w:rsidRPr="00983369" w:rsidRDefault="00051467" w:rsidP="00685BC0">
      <w:pPr>
        <w:pStyle w:val="FootnoteText"/>
        <w:jc w:val="both"/>
        <w:rPr>
          <w:rFonts w:ascii="Times New Roman" w:hAnsi="Times New Roman" w:cs="Times New Roman"/>
        </w:rPr>
      </w:pPr>
      <w:r w:rsidRPr="00983369">
        <w:rPr>
          <w:rStyle w:val="FootnoteReference"/>
          <w:rFonts w:ascii="Times New Roman" w:hAnsi="Times New Roman" w:cs="Times New Roman"/>
        </w:rPr>
        <w:footnoteRef/>
      </w:r>
      <w:r w:rsidRPr="00983369">
        <w:rPr>
          <w:rFonts w:ascii="Times New Roman" w:hAnsi="Times New Roman" w:cs="Times New Roman"/>
        </w:rPr>
        <w:t xml:space="preserve"> See Costa and Machin (2017) for more details on the extent of real wage falls over this period.</w:t>
      </w:r>
    </w:p>
  </w:footnote>
  <w:footnote w:id="3">
    <w:p w:rsidR="00051467" w:rsidRPr="00983369" w:rsidRDefault="00051467" w:rsidP="00685BC0">
      <w:pPr>
        <w:pStyle w:val="FootnoteText"/>
        <w:jc w:val="both"/>
        <w:rPr>
          <w:rFonts w:ascii="Times New Roman" w:hAnsi="Times New Roman" w:cs="Times New Roman"/>
        </w:rPr>
      </w:pPr>
      <w:r w:rsidRPr="00983369">
        <w:rPr>
          <w:rStyle w:val="FootnoteReference"/>
          <w:rFonts w:ascii="Times New Roman" w:hAnsi="Times New Roman" w:cs="Times New Roman"/>
        </w:rPr>
        <w:footnoteRef/>
      </w:r>
      <w:r w:rsidRPr="00983369">
        <w:rPr>
          <w:rFonts w:ascii="Times New Roman" w:hAnsi="Times New Roman" w:cs="Times New Roman"/>
        </w:rPr>
        <w:t xml:space="preserve"> For example see the time series of concerns over immigration recorded by IPSOs/Mori  </w:t>
      </w:r>
      <w:hyperlink r:id="rId1" w:history="1">
        <w:r w:rsidRPr="00983369">
          <w:rPr>
            <w:rStyle w:val="Hyperlink"/>
            <w:rFonts w:ascii="Times New Roman" w:hAnsi="Times New Roman" w:cs="Times New Roman"/>
          </w:rPr>
          <w:t>https://www.ipsos.com/ipsos-mori/en-uk/shifting-ground-attitudes-towards-immigration-and-brexit</w:t>
        </w:r>
      </w:hyperlink>
    </w:p>
    <w:p w:rsidR="00051467" w:rsidRPr="00983369" w:rsidRDefault="00A20EF9" w:rsidP="00685BC0">
      <w:pPr>
        <w:pStyle w:val="FootnoteText"/>
        <w:jc w:val="both"/>
        <w:rPr>
          <w:rFonts w:ascii="Times New Roman" w:hAnsi="Times New Roman" w:cs="Times New Roman"/>
        </w:rPr>
      </w:pPr>
      <w:r>
        <w:rPr>
          <w:rFonts w:ascii="Times New Roman" w:hAnsi="Times New Roman" w:cs="Times New Roman"/>
        </w:rPr>
        <w:t>Hatton (2016) concludes</w:t>
      </w:r>
      <w:r w:rsidR="00051467">
        <w:rPr>
          <w:rFonts w:ascii="Times New Roman" w:hAnsi="Times New Roman" w:cs="Times New Roman"/>
        </w:rPr>
        <w:t>, on the basis of a cross-country cross-time study, that existing immigrant shares and higher welfare benefits rather than negative macro-economic shocks appear to be more important for explaining rising anti-immigrant sentiments, though recessions do appear to raise anti-immigrant feelings.</w:t>
      </w:r>
    </w:p>
  </w:footnote>
  <w:footnote w:id="4">
    <w:p w:rsidR="00051467" w:rsidRPr="006829A5" w:rsidRDefault="00051467">
      <w:pPr>
        <w:pStyle w:val="FootnoteText"/>
        <w:rPr>
          <w:rFonts w:ascii="Times New Roman" w:hAnsi="Times New Roman" w:cs="Times New Roman"/>
        </w:rPr>
      </w:pPr>
      <w:r w:rsidRPr="006829A5">
        <w:rPr>
          <w:rStyle w:val="FootnoteReference"/>
          <w:rFonts w:ascii="Times New Roman" w:hAnsi="Times New Roman" w:cs="Times New Roman"/>
        </w:rPr>
        <w:footnoteRef/>
      </w:r>
      <w:r w:rsidRPr="006829A5">
        <w:rPr>
          <w:rFonts w:ascii="Times New Roman" w:hAnsi="Times New Roman" w:cs="Times New Roman"/>
        </w:rPr>
        <w:t xml:space="preserve"> This period covers the Great Recession and subsequent recovery and also spans an interval where immigration was rising continually. The overall pattern does not change much if different start and end points are used – results available on request – though future work should examine changes in periods when immigration is falling.</w:t>
      </w:r>
    </w:p>
  </w:footnote>
  <w:footnote w:id="5">
    <w:p w:rsidR="00EC4337" w:rsidRPr="00EC4337" w:rsidRDefault="00EC4337" w:rsidP="00EC4337">
      <w:pPr>
        <w:pStyle w:val="FootnoteText"/>
        <w:jc w:val="both"/>
        <w:rPr>
          <w:rFonts w:ascii="Times New Roman" w:hAnsi="Times New Roman" w:cs="Times New Roman"/>
        </w:rPr>
      </w:pPr>
      <w:r w:rsidRPr="00EC4337">
        <w:rPr>
          <w:rStyle w:val="FootnoteReference"/>
          <w:rFonts w:ascii="Times New Roman" w:hAnsi="Times New Roman" w:cs="Times New Roman"/>
        </w:rPr>
        <w:footnoteRef/>
      </w:r>
      <w:r w:rsidRPr="00EC4337">
        <w:rPr>
          <w:rFonts w:ascii="Times New Roman" w:hAnsi="Times New Roman" w:cs="Times New Roman"/>
        </w:rPr>
        <w:t xml:space="preserve"> </w:t>
      </w:r>
      <w:r w:rsidRPr="00EC4337">
        <w:rPr>
          <w:rFonts w:ascii="Times New Roman" w:hAnsi="Times New Roman" w:cs="Times New Roman"/>
          <w:bCs/>
          <w:color w:val="00000A"/>
        </w:rPr>
        <w:t xml:space="preserve">For this to generate an outward shift of the (labour) </w:t>
      </w:r>
      <w:r>
        <w:rPr>
          <w:rFonts w:ascii="Times New Roman" w:hAnsi="Times New Roman" w:cs="Times New Roman"/>
          <w:bCs/>
          <w:color w:val="00000A"/>
        </w:rPr>
        <w:t>dem</w:t>
      </w:r>
      <w:r w:rsidRPr="00EC4337">
        <w:rPr>
          <w:rFonts w:ascii="Times New Roman" w:hAnsi="Times New Roman" w:cs="Times New Roman"/>
          <w:bCs/>
          <w:color w:val="00000A"/>
        </w:rPr>
        <w:t>and curve rather than a movement along</w:t>
      </w:r>
      <w:r>
        <w:rPr>
          <w:rFonts w:ascii="Times New Roman" w:hAnsi="Times New Roman" w:cs="Times New Roman"/>
          <w:bCs/>
          <w:color w:val="00000A"/>
        </w:rPr>
        <w:t xml:space="preserve"> </w:t>
      </w:r>
      <w:r w:rsidRPr="00EC4337">
        <w:rPr>
          <w:rFonts w:ascii="Times New Roman" w:hAnsi="Times New Roman" w:cs="Times New Roman"/>
          <w:bCs/>
          <w:color w:val="00000A"/>
        </w:rPr>
        <w:t xml:space="preserve"> it, immigration must shift consumption patterns</w:t>
      </w:r>
      <w:r>
        <w:rPr>
          <w:rFonts w:ascii="Times New Roman" w:hAnsi="Times New Roman" w:cs="Times New Roman"/>
          <w:bCs/>
          <w:color w:val="00000A"/>
        </w:rPr>
        <w:t xml:space="preserve"> or productive potential in some way</w:t>
      </w:r>
      <w:r w:rsidRPr="00EC4337">
        <w:rPr>
          <w:rFonts w:ascii="Times New Roman" w:hAnsi="Times New Roman" w:cs="Times New Roman"/>
          <w:bCs/>
          <w:color w:val="00000A"/>
        </w:rPr>
        <w:t>.</w:t>
      </w:r>
    </w:p>
  </w:footnote>
  <w:footnote w:id="6">
    <w:p w:rsidR="00051467" w:rsidRPr="002E5A1F" w:rsidRDefault="00051467" w:rsidP="002E5A1F">
      <w:pPr>
        <w:pStyle w:val="Default"/>
        <w:jc w:val="both"/>
        <w:rPr>
          <w:bCs/>
          <w:color w:val="00000A"/>
          <w:sz w:val="20"/>
          <w:szCs w:val="20"/>
        </w:rPr>
      </w:pPr>
      <w:r w:rsidRPr="00F53AC5">
        <w:rPr>
          <w:rStyle w:val="FootnoteReference"/>
          <w:sz w:val="20"/>
          <w:szCs w:val="20"/>
        </w:rPr>
        <w:footnoteRef/>
      </w:r>
      <w:r w:rsidRPr="00F53AC5">
        <w:rPr>
          <w:sz w:val="20"/>
          <w:szCs w:val="20"/>
        </w:rPr>
        <w:t xml:space="preserve"> </w:t>
      </w:r>
      <w:r w:rsidRPr="00F53AC5">
        <w:rPr>
          <w:bCs/>
          <w:color w:val="00000A"/>
          <w:sz w:val="20"/>
          <w:szCs w:val="20"/>
        </w:rPr>
        <w:t>Population growth since 2016 is therefore driven mostly by changes among the UK-born of non-working age.</w:t>
      </w:r>
    </w:p>
  </w:footnote>
  <w:footnote w:id="7">
    <w:p w:rsidR="00051467" w:rsidRPr="00A75012" w:rsidRDefault="00051467">
      <w:pPr>
        <w:pStyle w:val="FootnoteText"/>
        <w:rPr>
          <w:rFonts w:ascii="Times New Roman" w:hAnsi="Times New Roman" w:cs="Times New Roman"/>
        </w:rPr>
      </w:pPr>
      <w:r w:rsidRPr="00A75012">
        <w:rPr>
          <w:rStyle w:val="FootnoteReference"/>
          <w:rFonts w:ascii="Times New Roman" w:hAnsi="Times New Roman" w:cs="Times New Roman"/>
        </w:rPr>
        <w:footnoteRef/>
      </w:r>
      <w:r w:rsidRPr="00A75012">
        <w:rPr>
          <w:rFonts w:ascii="Times New Roman" w:hAnsi="Times New Roman" w:cs="Times New Roman"/>
        </w:rPr>
        <w:t xml:space="preserve"> Note that inflows still exceed outflows in the period after Brexit according to the LTIMs data graphed in Figure 6</w:t>
      </w:r>
      <w:r>
        <w:rPr>
          <w:rFonts w:ascii="Times New Roman" w:hAnsi="Times New Roman" w:cs="Times New Roman"/>
        </w:rPr>
        <w:t>,</w:t>
      </w:r>
      <w:r w:rsidRPr="00A75012">
        <w:rPr>
          <w:rFonts w:ascii="Times New Roman" w:hAnsi="Times New Roman" w:cs="Times New Roman"/>
        </w:rPr>
        <w:t xml:space="preserve"> suggesting that the numbers of immigrants</w:t>
      </w:r>
      <w:r>
        <w:rPr>
          <w:rFonts w:ascii="Times New Roman" w:hAnsi="Times New Roman" w:cs="Times New Roman"/>
        </w:rPr>
        <w:t xml:space="preserve"> in the UK</w:t>
      </w:r>
      <w:r w:rsidRPr="00A75012">
        <w:rPr>
          <w:rFonts w:ascii="Times New Roman" w:hAnsi="Times New Roman" w:cs="Times New Roman"/>
        </w:rPr>
        <w:t xml:space="preserve"> continues to rise. This is in contrast to the estimates from the Labour Force Survey which suggest that immigrant numbers have fallen since 2017q1</w:t>
      </w:r>
      <w:r>
        <w:rPr>
          <w:rFonts w:ascii="Times New Roman" w:hAnsi="Times New Roman" w:cs="Times New Roman"/>
        </w:rPr>
        <w:t>. An investigation of the reasons for diverging information from different government official statistics on immigration is long overdue.</w:t>
      </w:r>
    </w:p>
  </w:footnote>
  <w:footnote w:id="8">
    <w:p w:rsidR="006D0100" w:rsidRPr="006D0100" w:rsidRDefault="006D0100" w:rsidP="006D0100">
      <w:pPr>
        <w:pStyle w:val="FootnoteText"/>
        <w:jc w:val="both"/>
        <w:rPr>
          <w:rFonts w:ascii="Times New Roman" w:hAnsi="Times New Roman" w:cs="Times New Roman"/>
        </w:rPr>
      </w:pPr>
      <w:r w:rsidRPr="006D0100">
        <w:rPr>
          <w:rStyle w:val="FootnoteReference"/>
          <w:rFonts w:ascii="Times New Roman" w:hAnsi="Times New Roman" w:cs="Times New Roman"/>
        </w:rPr>
        <w:footnoteRef/>
      </w:r>
      <w:r w:rsidRPr="006D0100">
        <w:rPr>
          <w:rFonts w:ascii="Times New Roman" w:hAnsi="Times New Roman" w:cs="Times New Roman"/>
        </w:rPr>
        <w:t xml:space="preserve"> The </w:t>
      </w:r>
      <w:r>
        <w:rPr>
          <w:rFonts w:ascii="Times New Roman" w:hAnsi="Times New Roman" w:cs="Times New Roman"/>
        </w:rPr>
        <w:t xml:space="preserve">2004 and 2007 </w:t>
      </w:r>
      <w:r w:rsidRPr="006D0100">
        <w:rPr>
          <w:rFonts w:ascii="Times New Roman" w:hAnsi="Times New Roman" w:cs="Times New Roman"/>
        </w:rPr>
        <w:t xml:space="preserve">Accession countries </w:t>
      </w:r>
      <w:r>
        <w:rPr>
          <w:rFonts w:ascii="Times New Roman" w:hAnsi="Times New Roman" w:cs="Times New Roman"/>
        </w:rPr>
        <w:t xml:space="preserve">respectively are </w:t>
      </w:r>
      <w:r w:rsidRPr="006D0100">
        <w:rPr>
          <w:rFonts w:ascii="Times New Roman" w:hAnsi="Times New Roman" w:cs="Times New Roman"/>
          <w:lang w:eastAsia="en-GB"/>
        </w:rPr>
        <w:t>A8=Czech Republic, Estonia, Hungary, Latvia, Lithuania, Poland, Slovakia and Slovenia</w:t>
      </w:r>
      <w:r>
        <w:rPr>
          <w:rFonts w:ascii="Times New Roman" w:hAnsi="Times New Roman" w:cs="Times New Roman"/>
          <w:lang w:eastAsia="en-GB"/>
        </w:rPr>
        <w:t xml:space="preserve">; </w:t>
      </w:r>
      <w:r w:rsidRPr="006D0100">
        <w:rPr>
          <w:rFonts w:ascii="Times New Roman" w:hAnsi="Times New Roman" w:cs="Times New Roman"/>
          <w:lang w:eastAsia="en-GB"/>
        </w:rPr>
        <w:t>A2=Romania &amp; Bulgaria.</w:t>
      </w:r>
    </w:p>
  </w:footnote>
  <w:footnote w:id="9">
    <w:p w:rsidR="00051467" w:rsidRPr="000B42BE" w:rsidRDefault="00051467" w:rsidP="00314775">
      <w:pPr>
        <w:pStyle w:val="FootnoteText"/>
        <w:rPr>
          <w:rFonts w:ascii="Times New Roman" w:hAnsi="Times New Roman" w:cs="Times New Roman"/>
        </w:rPr>
      </w:pPr>
      <w:r w:rsidRPr="000B42BE">
        <w:rPr>
          <w:rStyle w:val="FootnoteReference"/>
          <w:rFonts w:ascii="Times New Roman" w:hAnsi="Times New Roman" w:cs="Times New Roman"/>
        </w:rPr>
        <w:footnoteRef/>
      </w:r>
      <w:r w:rsidRPr="000B42BE">
        <w:rPr>
          <w:rFonts w:ascii="Times New Roman" w:hAnsi="Times New Roman" w:cs="Times New Roman"/>
        </w:rPr>
        <w:t xml:space="preserve"> This essentially drives the findings of Dustmann and Frattini</w:t>
      </w:r>
      <w:r w:rsidR="00E96428">
        <w:rPr>
          <w:rFonts w:ascii="Times New Roman" w:hAnsi="Times New Roman" w:cs="Times New Roman"/>
        </w:rPr>
        <w:t xml:space="preserve"> </w:t>
      </w:r>
      <w:r w:rsidRPr="000B42BE">
        <w:rPr>
          <w:rFonts w:ascii="Times New Roman" w:hAnsi="Times New Roman" w:cs="Times New Roman"/>
        </w:rPr>
        <w:t xml:space="preserve"> (2014) </w:t>
      </w:r>
      <w:r w:rsidR="00E96428">
        <w:rPr>
          <w:rFonts w:ascii="Times New Roman" w:hAnsi="Times New Roman" w:cs="Times New Roman"/>
        </w:rPr>
        <w:t xml:space="preserve">which indicates </w:t>
      </w:r>
      <w:r w:rsidRPr="000B42BE">
        <w:rPr>
          <w:rFonts w:ascii="Times New Roman" w:hAnsi="Times New Roman" w:cs="Times New Roman"/>
        </w:rPr>
        <w:t>that EU migrants are net fiscal contributors, unlike the UK-Born population.</w:t>
      </w:r>
      <w:r w:rsidR="005B7E9D">
        <w:rPr>
          <w:rFonts w:ascii="Times New Roman" w:hAnsi="Times New Roman" w:cs="Times New Roman"/>
        </w:rPr>
        <w:t xml:space="preserve"> See HMRC (2017) for a disaggregation by EU countries of tax receipts versus tax credit payments and DWP (2017) for an assessment of welfare payments. </w:t>
      </w:r>
    </w:p>
  </w:footnote>
  <w:footnote w:id="10">
    <w:p w:rsidR="00051467" w:rsidRPr="008F4923" w:rsidRDefault="00051467">
      <w:pPr>
        <w:pStyle w:val="FootnoteText"/>
        <w:rPr>
          <w:rFonts w:ascii="Times New Roman" w:hAnsi="Times New Roman" w:cs="Times New Roman"/>
        </w:rPr>
      </w:pPr>
      <w:r w:rsidRPr="008F4923">
        <w:rPr>
          <w:rStyle w:val="FootnoteReference"/>
          <w:rFonts w:ascii="Times New Roman" w:hAnsi="Times New Roman" w:cs="Times New Roman"/>
        </w:rPr>
        <w:footnoteRef/>
      </w:r>
      <w:r w:rsidRPr="008F4923">
        <w:rPr>
          <w:rFonts w:ascii="Times New Roman" w:hAnsi="Times New Roman" w:cs="Times New Roman"/>
        </w:rPr>
        <w:t xml:space="preserve"> </w:t>
      </w:r>
      <w:r>
        <w:rPr>
          <w:rFonts w:ascii="Times New Roman" w:hAnsi="Times New Roman" w:cs="Times New Roman"/>
        </w:rPr>
        <w:t>T</w:t>
      </w:r>
      <w:r w:rsidRPr="008F4923">
        <w:rPr>
          <w:rFonts w:ascii="Times New Roman" w:hAnsi="Times New Roman" w:cs="Times New Roman"/>
        </w:rPr>
        <w:t>here may of course be implications for the funding of welfare and education services if tax revenues</w:t>
      </w:r>
      <w:r w:rsidR="00CC52B4">
        <w:rPr>
          <w:rFonts w:ascii="Times New Roman" w:hAnsi="Times New Roman" w:cs="Times New Roman"/>
        </w:rPr>
        <w:t xml:space="preserve"> were to</w:t>
      </w:r>
      <w:r w:rsidR="002E5A1F">
        <w:rPr>
          <w:rFonts w:ascii="Times New Roman" w:hAnsi="Times New Roman" w:cs="Times New Roman"/>
        </w:rPr>
        <w:t xml:space="preserve"> </w:t>
      </w:r>
      <w:r>
        <w:rPr>
          <w:rFonts w:ascii="Times New Roman" w:hAnsi="Times New Roman" w:cs="Times New Roman"/>
        </w:rPr>
        <w:t xml:space="preserve">fall </w:t>
      </w:r>
      <w:r w:rsidR="00CC52B4">
        <w:rPr>
          <w:rFonts w:ascii="Times New Roman" w:hAnsi="Times New Roman" w:cs="Times New Roman"/>
        </w:rPr>
        <w:t xml:space="preserve">following a decline in </w:t>
      </w:r>
      <w:r>
        <w:rPr>
          <w:rFonts w:ascii="Times New Roman" w:hAnsi="Times New Roman" w:cs="Times New Roman"/>
        </w:rPr>
        <w:t xml:space="preserve">the numbers of </w:t>
      </w:r>
      <w:r w:rsidR="00CC52B4">
        <w:rPr>
          <w:rFonts w:ascii="Times New Roman" w:hAnsi="Times New Roman" w:cs="Times New Roman"/>
        </w:rPr>
        <w:t>(</w:t>
      </w:r>
      <w:r w:rsidRPr="008F4923">
        <w:rPr>
          <w:rFonts w:ascii="Times New Roman" w:hAnsi="Times New Roman" w:cs="Times New Roman"/>
        </w:rPr>
        <w:t>employed</w:t>
      </w:r>
      <w:r w:rsidR="00CC52B4">
        <w:rPr>
          <w:rFonts w:ascii="Times New Roman" w:hAnsi="Times New Roman" w:cs="Times New Roman"/>
        </w:rPr>
        <w:t>)</w:t>
      </w:r>
      <w:r w:rsidRPr="008F4923">
        <w:rPr>
          <w:rFonts w:ascii="Times New Roman" w:hAnsi="Times New Roman" w:cs="Times New Roman"/>
        </w:rPr>
        <w:t xml:space="preserve"> EU migrants </w:t>
      </w:r>
      <w:r w:rsidRPr="007F2E7F">
        <w:rPr>
          <w:rFonts w:ascii="Times New Roman" w:hAnsi="Times New Roman" w:cs="Times New Roman"/>
        </w:rPr>
        <w:t>and there be no offsetting rise in revenues</w:t>
      </w:r>
      <w:r>
        <w:rPr>
          <w:rFonts w:ascii="Times New Roman" w:hAnsi="Times New Roman" w:cs="Times New Roman"/>
        </w:rPr>
        <w:t xml:space="preserve"> from elsewhere</w:t>
      </w:r>
      <w:r w:rsidRPr="007F2E7F">
        <w:rPr>
          <w:rFonts w:ascii="Times New Roman" w:hAnsi="Times New Roman" w:cs="Times New Roman"/>
        </w:rPr>
        <w:t>. The LTIMS data (not shown</w:t>
      </w:r>
      <w:r>
        <w:rPr>
          <w:rFonts w:ascii="Times New Roman" w:hAnsi="Times New Roman" w:cs="Times New Roman"/>
        </w:rPr>
        <w:t xml:space="preserve"> here</w:t>
      </w:r>
      <w:r w:rsidRPr="007F2E7F">
        <w:rPr>
          <w:rFonts w:ascii="Times New Roman" w:hAnsi="Times New Roman" w:cs="Times New Roman"/>
        </w:rPr>
        <w:t xml:space="preserve">) suggest that suggests that EU </w:t>
      </w:r>
      <w:r w:rsidR="00B77949">
        <w:rPr>
          <w:rFonts w:ascii="Times New Roman" w:hAnsi="Times New Roman" w:cs="Times New Roman"/>
        </w:rPr>
        <w:t>speculative job search flows – rather than flows for those with a job offer</w:t>
      </w:r>
      <w:r w:rsidRPr="007F2E7F">
        <w:rPr>
          <w:rFonts w:ascii="Times New Roman" w:hAnsi="Times New Roman" w:cs="Times New Roman"/>
        </w:rPr>
        <w:t xml:space="preserve"> were affected most after Brexit.</w:t>
      </w:r>
    </w:p>
  </w:footnote>
  <w:footnote w:id="11">
    <w:p w:rsidR="00051467" w:rsidRPr="00911D00" w:rsidRDefault="00051467" w:rsidP="00FF4A40">
      <w:pPr>
        <w:keepNext/>
        <w:spacing w:after="0" w:line="240" w:lineRule="auto"/>
        <w:jc w:val="both"/>
        <w:rPr>
          <w:rFonts w:ascii="Times New Roman" w:hAnsi="Times New Roman" w:cs="Times New Roman"/>
          <w:sz w:val="20"/>
          <w:szCs w:val="20"/>
        </w:rPr>
      </w:pPr>
      <w:r w:rsidRPr="00911D00">
        <w:rPr>
          <w:rStyle w:val="FootnoteReference"/>
          <w:rFonts w:ascii="Times New Roman" w:hAnsi="Times New Roman" w:cs="Times New Roman"/>
          <w:sz w:val="20"/>
          <w:szCs w:val="20"/>
        </w:rPr>
        <w:footnoteRef/>
      </w:r>
      <w:r w:rsidRPr="00911D00">
        <w:rPr>
          <w:rFonts w:ascii="Times New Roman" w:hAnsi="Times New Roman" w:cs="Times New Roman"/>
          <w:sz w:val="20"/>
          <w:szCs w:val="20"/>
        </w:rPr>
        <w:t xml:space="preserve"> </w:t>
      </w:r>
      <w:r>
        <w:rPr>
          <w:rFonts w:ascii="Times New Roman" w:hAnsi="Times New Roman" w:cs="Times New Roman"/>
          <w:sz w:val="20"/>
          <w:szCs w:val="20"/>
        </w:rPr>
        <w:t>This basic finding does not change much if a lower level of disaggregation is used (local authority)</w:t>
      </w:r>
      <w:r w:rsidRPr="00911D00">
        <w:rPr>
          <w:rFonts w:ascii="Times New Roman" w:hAnsi="Times New Roman" w:cs="Times New Roman"/>
          <w:sz w:val="20"/>
          <w:szCs w:val="20"/>
        </w:rPr>
        <w:t xml:space="preserve">. </w:t>
      </w:r>
      <w:r>
        <w:rPr>
          <w:rFonts w:ascii="Times New Roman" w:hAnsi="Times New Roman" w:cs="Times New Roman"/>
          <w:sz w:val="20"/>
          <w:szCs w:val="20"/>
        </w:rPr>
        <w:t>See, among others Becker, Fetzer and Novy (2017) or Langella and Manning (2016) for a more detailed analysis of the determinants of the Brexit vote. The consensus of these papers is that, while the local area rate of change in immigration is positive and statistically significant determinant of the Leave share of the vote, relative economic deprivation explains more of the variation in the Leave vote than immigration.</w:t>
      </w:r>
    </w:p>
    <w:p w:rsidR="00051467" w:rsidRDefault="00051467" w:rsidP="00911D00">
      <w:pPr>
        <w:pStyle w:val="FootnoteText"/>
      </w:pPr>
    </w:p>
  </w:footnote>
  <w:footnote w:id="12">
    <w:p w:rsidR="00051467" w:rsidRPr="005C0560" w:rsidRDefault="00051467" w:rsidP="00E93F29">
      <w:pPr>
        <w:spacing w:after="0" w:line="240" w:lineRule="auto"/>
        <w:jc w:val="both"/>
        <w:rPr>
          <w:rFonts w:ascii="Times New Roman" w:hAnsi="Times New Roman" w:cs="Times New Roman"/>
          <w:sz w:val="20"/>
          <w:szCs w:val="20"/>
        </w:rPr>
      </w:pPr>
      <w:r w:rsidRPr="005C0560">
        <w:rPr>
          <w:rStyle w:val="FootnoteReference"/>
          <w:rFonts w:ascii="Times New Roman" w:hAnsi="Times New Roman" w:cs="Times New Roman"/>
          <w:sz w:val="20"/>
          <w:szCs w:val="20"/>
        </w:rPr>
        <w:footnoteRef/>
      </w:r>
      <w:r w:rsidRPr="005C0560">
        <w:rPr>
          <w:rFonts w:ascii="Times New Roman" w:hAnsi="Times New Roman" w:cs="Times New Roman"/>
          <w:sz w:val="20"/>
          <w:szCs w:val="20"/>
        </w:rPr>
        <w:t xml:space="preserve"> Figure A1 in the appendix gives the cumulative distributions associated with these plots. The Figure shows that 90% of employees from the A8/A2 countries earn less than £15 an hour compared to 75% of UK-born employees and 60% of employees from other EU countries.</w:t>
      </w:r>
    </w:p>
    <w:p w:rsidR="00051467" w:rsidRDefault="00051467">
      <w:pPr>
        <w:pStyle w:val="FootnoteText"/>
      </w:pPr>
    </w:p>
  </w:footnote>
  <w:footnote w:id="13">
    <w:p w:rsidR="00051467" w:rsidRPr="00106128" w:rsidRDefault="00051467" w:rsidP="00467A67">
      <w:pPr>
        <w:pStyle w:val="FootnoteText"/>
        <w:rPr>
          <w:rFonts w:ascii="Times New Roman" w:hAnsi="Times New Roman" w:cs="Times New Roman"/>
        </w:rPr>
      </w:pPr>
      <w:r w:rsidRPr="00106128">
        <w:rPr>
          <w:rStyle w:val="FootnoteReference"/>
          <w:rFonts w:ascii="Times New Roman" w:hAnsi="Times New Roman" w:cs="Times New Roman"/>
        </w:rPr>
        <w:footnoteRef/>
      </w:r>
      <w:r w:rsidRPr="00106128">
        <w:rPr>
          <w:rFonts w:ascii="Times New Roman" w:hAnsi="Times New Roman" w:cs="Times New Roman"/>
        </w:rPr>
        <w:t xml:space="preserve"> Food and Beverage </w:t>
      </w:r>
      <w:r>
        <w:rPr>
          <w:rFonts w:ascii="Times New Roman" w:hAnsi="Times New Roman" w:cs="Times New Roman"/>
        </w:rPr>
        <w:t>retail (SIC 56</w:t>
      </w:r>
      <w:r w:rsidRPr="00106128">
        <w:rPr>
          <w:rFonts w:ascii="Times New Roman" w:hAnsi="Times New Roman" w:cs="Times New Roman"/>
        </w:rPr>
        <w:t xml:space="preserve">) has the highest labour turnover rate in the UK, with around one third of the workforce typically hired each year. The LFS suggests that the EU share of the workforce in this sector is 11% </w:t>
      </w:r>
      <w:r>
        <w:rPr>
          <w:rFonts w:ascii="Times New Roman" w:hAnsi="Times New Roman" w:cs="Times New Roman"/>
        </w:rPr>
        <w:t xml:space="preserve"> and the share of EU workers in new hires is around 12%. T</w:t>
      </w:r>
      <w:r w:rsidRPr="00106128">
        <w:rPr>
          <w:rFonts w:ascii="Times New Roman" w:hAnsi="Times New Roman" w:cs="Times New Roman"/>
        </w:rPr>
        <w:t>he median hourly wage £7.50, equal to the level of the adult National Minimum Wage in 2017.</w:t>
      </w:r>
    </w:p>
  </w:footnote>
  <w:footnote w:id="14">
    <w:p w:rsidR="00051467" w:rsidRPr="007B1A17" w:rsidRDefault="00051467">
      <w:pPr>
        <w:pStyle w:val="FootnoteText"/>
        <w:rPr>
          <w:rFonts w:ascii="Times New Roman" w:hAnsi="Times New Roman" w:cs="Times New Roman"/>
        </w:rPr>
      </w:pPr>
      <w:r w:rsidRPr="007B1A17">
        <w:rPr>
          <w:rStyle w:val="FootnoteReference"/>
          <w:rFonts w:ascii="Times New Roman" w:hAnsi="Times New Roman" w:cs="Times New Roman"/>
        </w:rPr>
        <w:footnoteRef/>
      </w:r>
      <w:r w:rsidRPr="007B1A17">
        <w:rPr>
          <w:rFonts w:ascii="Times New Roman" w:hAnsi="Times New Roman" w:cs="Times New Roman"/>
        </w:rPr>
        <w:t xml:space="preserve"> These patterns do not seem to be </w:t>
      </w:r>
      <w:r>
        <w:rPr>
          <w:rFonts w:ascii="Times New Roman" w:hAnsi="Times New Roman" w:cs="Times New Roman"/>
        </w:rPr>
        <w:t xml:space="preserve">solely </w:t>
      </w:r>
      <w:r w:rsidRPr="007B1A17">
        <w:rPr>
          <w:rFonts w:ascii="Times New Roman" w:hAnsi="Times New Roman" w:cs="Times New Roman"/>
        </w:rPr>
        <w:t>due to segmentation between EU workers into temporary work and UK-born workers into permanent jobs in the sectors highlighted in Table 3.</w:t>
      </w:r>
      <w:r>
        <w:rPr>
          <w:rFonts w:ascii="Times New Roman" w:hAnsi="Times New Roman" w:cs="Times New Roman"/>
        </w:rPr>
        <w:t xml:space="preserve"> While EU workers are over-represented in temporary jobs in these sectors, they are also over-represented in permanent jobs in the same sectors. Results (not shown) available on request.</w:t>
      </w:r>
    </w:p>
  </w:footnote>
  <w:footnote w:id="15">
    <w:p w:rsidR="00051467" w:rsidRPr="00EA6384" w:rsidRDefault="00051467">
      <w:pPr>
        <w:pStyle w:val="FootnoteText"/>
        <w:rPr>
          <w:rFonts w:ascii="Times New Roman" w:hAnsi="Times New Roman" w:cs="Times New Roman"/>
        </w:rPr>
      </w:pPr>
      <w:r w:rsidRPr="00EA6384">
        <w:rPr>
          <w:rStyle w:val="FootnoteReference"/>
          <w:rFonts w:ascii="Times New Roman" w:hAnsi="Times New Roman" w:cs="Times New Roman"/>
        </w:rPr>
        <w:footnoteRef/>
      </w:r>
      <w:r w:rsidRPr="00EA6384">
        <w:rPr>
          <w:rFonts w:ascii="Times New Roman" w:hAnsi="Times New Roman" w:cs="Times New Roman"/>
        </w:rPr>
        <w:t xml:space="preserve"> To what extent this </w:t>
      </w:r>
      <w:r>
        <w:rPr>
          <w:rFonts w:ascii="Times New Roman" w:hAnsi="Times New Roman" w:cs="Times New Roman"/>
        </w:rPr>
        <w:t>may be</w:t>
      </w:r>
      <w:r w:rsidRPr="00EA6384">
        <w:rPr>
          <w:rFonts w:ascii="Times New Roman" w:hAnsi="Times New Roman" w:cs="Times New Roman"/>
        </w:rPr>
        <w:t xml:space="preserve"> a constrained choice is hard to establish.</w:t>
      </w:r>
    </w:p>
  </w:footnote>
  <w:footnote w:id="16">
    <w:p w:rsidR="00051467" w:rsidRPr="00686A87" w:rsidRDefault="00051467" w:rsidP="00686A87">
      <w:pPr>
        <w:spacing w:after="0" w:line="240" w:lineRule="auto"/>
        <w:jc w:val="both"/>
        <w:rPr>
          <w:rFonts w:ascii="Times New Roman" w:eastAsia="Times New Roman" w:hAnsi="Times New Roman" w:cs="Times New Roman"/>
          <w:sz w:val="20"/>
          <w:szCs w:val="20"/>
          <w:lang w:eastAsia="en-GB"/>
        </w:rPr>
      </w:pPr>
      <w:r w:rsidRPr="00512027">
        <w:rPr>
          <w:rStyle w:val="FootnoteReference"/>
          <w:rFonts w:ascii="Times New Roman" w:hAnsi="Times New Roman" w:cs="Times New Roman"/>
          <w:sz w:val="20"/>
          <w:szCs w:val="20"/>
        </w:rPr>
        <w:footnoteRef/>
      </w:r>
      <w:r w:rsidRPr="00512027">
        <w:rPr>
          <w:rFonts w:ascii="Times New Roman" w:hAnsi="Times New Roman" w:cs="Times New Roman"/>
          <w:sz w:val="20"/>
          <w:szCs w:val="20"/>
        </w:rPr>
        <w:t xml:space="preserve"> Again it should be emphasised</w:t>
      </w:r>
      <w:r>
        <w:rPr>
          <w:rFonts w:ascii="Times New Roman" w:hAnsi="Times New Roman" w:cs="Times New Roman"/>
          <w:sz w:val="20"/>
          <w:szCs w:val="20"/>
        </w:rPr>
        <w:t xml:space="preserve"> </w:t>
      </w:r>
      <w:r w:rsidRPr="00512027">
        <w:rPr>
          <w:rFonts w:ascii="Times New Roman" w:hAnsi="Times New Roman" w:cs="Times New Roman"/>
          <w:sz w:val="20"/>
          <w:szCs w:val="20"/>
        </w:rPr>
        <w:t>that any</w:t>
      </w:r>
      <w:r>
        <w:rPr>
          <w:rFonts w:ascii="Times New Roman" w:hAnsi="Times New Roman" w:cs="Times New Roman"/>
          <w:sz w:val="20"/>
          <w:szCs w:val="20"/>
        </w:rPr>
        <w:t xml:space="preserve"> estimated</w:t>
      </w:r>
      <w:r w:rsidRPr="00512027">
        <w:rPr>
          <w:rFonts w:ascii="Times New Roman" w:hAnsi="Times New Roman" w:cs="Times New Roman"/>
          <w:sz w:val="20"/>
          <w:szCs w:val="20"/>
        </w:rPr>
        <w:t xml:space="preserve"> downward effect on wages is rather small</w:t>
      </w:r>
      <w:r>
        <w:rPr>
          <w:rFonts w:ascii="Times New Roman" w:hAnsi="Times New Roman" w:cs="Times New Roman"/>
          <w:sz w:val="20"/>
          <w:szCs w:val="20"/>
        </w:rPr>
        <w:t>.</w:t>
      </w:r>
      <w:r w:rsidRPr="00512027">
        <w:rPr>
          <w:rFonts w:ascii="Times New Roman" w:hAnsi="Times New Roman" w:cs="Times New Roman"/>
          <w:sz w:val="20"/>
          <w:szCs w:val="20"/>
        </w:rPr>
        <w:t xml:space="preserve"> </w:t>
      </w:r>
    </w:p>
  </w:footnote>
  <w:footnote w:id="17">
    <w:p w:rsidR="00051467" w:rsidRPr="00007AA3" w:rsidRDefault="00051467">
      <w:pPr>
        <w:pStyle w:val="FootnoteText"/>
        <w:rPr>
          <w:rFonts w:ascii="Times New Roman" w:hAnsi="Times New Roman" w:cs="Times New Roman"/>
        </w:rPr>
      </w:pPr>
      <w:r w:rsidRPr="00007AA3">
        <w:rPr>
          <w:rStyle w:val="FootnoteReference"/>
          <w:rFonts w:ascii="Times New Roman" w:hAnsi="Times New Roman" w:cs="Times New Roman"/>
        </w:rPr>
        <w:footnoteRef/>
      </w:r>
      <w:r w:rsidRPr="00007AA3">
        <w:rPr>
          <w:rFonts w:ascii="Times New Roman" w:hAnsi="Times New Roman" w:cs="Times New Roman"/>
        </w:rPr>
        <w:t xml:space="preserve"> See MAC (2017)</w:t>
      </w:r>
      <w:r>
        <w:rPr>
          <w:rFonts w:ascii="Times New Roman" w:hAnsi="Times New Roman" w:cs="Times New Roman"/>
        </w:rPr>
        <w:t xml:space="preserve"> and MAC(2018), </w:t>
      </w:r>
      <w:r w:rsidRPr="00007AA3">
        <w:rPr>
          <w:rFonts w:ascii="Times New Roman" w:hAnsi="Times New Roman" w:cs="Times New Roman"/>
        </w:rPr>
        <w:t>Portes (2017) and Resolution Foundation (2017) for other views on immigration policy options going forward.</w:t>
      </w:r>
    </w:p>
  </w:footnote>
  <w:footnote w:id="18">
    <w:p w:rsidR="007D53E4" w:rsidRPr="007D53E4" w:rsidRDefault="007D53E4" w:rsidP="007D53E4">
      <w:pPr>
        <w:pStyle w:val="FootnoteText"/>
        <w:jc w:val="both"/>
        <w:rPr>
          <w:rFonts w:ascii="Times New Roman" w:hAnsi="Times New Roman" w:cs="Times New Roman"/>
        </w:rPr>
      </w:pPr>
      <w:r w:rsidRPr="007D53E4">
        <w:rPr>
          <w:rStyle w:val="FootnoteReference"/>
          <w:rFonts w:ascii="Times New Roman" w:hAnsi="Times New Roman" w:cs="Times New Roman"/>
        </w:rPr>
        <w:footnoteRef/>
      </w:r>
      <w:r w:rsidRPr="007D53E4">
        <w:rPr>
          <w:rFonts w:ascii="Times New Roman" w:hAnsi="Times New Roman" w:cs="Times New Roman"/>
        </w:rPr>
        <w:t xml:space="preserve"> The coefficient</w:t>
      </w:r>
      <w:r>
        <w:rPr>
          <w:rFonts w:ascii="Times New Roman" w:hAnsi="Times New Roman" w:cs="Times New Roman"/>
        </w:rPr>
        <w:t>s</w:t>
      </w:r>
      <w:r w:rsidRPr="007D53E4">
        <w:rPr>
          <w:rFonts w:ascii="Times New Roman" w:hAnsi="Times New Roman" w:cs="Times New Roman"/>
        </w:rPr>
        <w:t xml:space="preserve"> in an econometric model implies symmetry of any estimated effect.</w:t>
      </w:r>
    </w:p>
  </w:footnote>
  <w:footnote w:id="19">
    <w:p w:rsidR="00051467" w:rsidRPr="00302EF9" w:rsidRDefault="00051467" w:rsidP="00302EF9">
      <w:pPr>
        <w:pStyle w:val="FootnoteText"/>
        <w:jc w:val="both"/>
        <w:rPr>
          <w:rFonts w:ascii="Times New Roman" w:hAnsi="Times New Roman" w:cs="Times New Roman"/>
        </w:rPr>
      </w:pPr>
      <w:r w:rsidRPr="00302EF9">
        <w:rPr>
          <w:rStyle w:val="FootnoteReference"/>
          <w:rFonts w:ascii="Times New Roman" w:hAnsi="Times New Roman" w:cs="Times New Roman"/>
        </w:rPr>
        <w:footnoteRef/>
      </w:r>
      <w:r w:rsidRPr="00302EF9">
        <w:rPr>
          <w:rFonts w:ascii="Times New Roman" w:hAnsi="Times New Roman" w:cs="Times New Roman"/>
        </w:rPr>
        <w:t xml:space="preserve"> This is the role of social welfare functions/planners in Economics.</w:t>
      </w:r>
      <w:r>
        <w:rPr>
          <w:rFonts w:ascii="Times New Roman" w:hAnsi="Times New Roman" w:cs="Times New Roman"/>
        </w:rPr>
        <w:t xml:space="preserve"> The difficulties in quantifying the various preferences, costs and benefits remain.</w:t>
      </w:r>
    </w:p>
  </w:footnote>
  <w:footnote w:id="20">
    <w:p w:rsidR="00051467" w:rsidRPr="00802D91" w:rsidRDefault="00051467" w:rsidP="00802D91">
      <w:pPr>
        <w:pStyle w:val="FootnoteText"/>
        <w:jc w:val="both"/>
        <w:rPr>
          <w:rFonts w:ascii="Times New Roman" w:hAnsi="Times New Roman" w:cs="Times New Roman"/>
        </w:rPr>
      </w:pPr>
      <w:r w:rsidRPr="00802D91">
        <w:rPr>
          <w:rStyle w:val="FootnoteReference"/>
          <w:rFonts w:ascii="Times New Roman" w:hAnsi="Times New Roman" w:cs="Times New Roman"/>
        </w:rPr>
        <w:footnoteRef/>
      </w:r>
      <w:r w:rsidRPr="00802D91">
        <w:rPr>
          <w:rFonts w:ascii="Times New Roman" w:hAnsi="Times New Roman" w:cs="Times New Roman"/>
        </w:rPr>
        <w:t xml:space="preserve"> To see this</w:t>
      </w:r>
      <w:r>
        <w:rPr>
          <w:rFonts w:ascii="Times New Roman" w:hAnsi="Times New Roman" w:cs="Times New Roman"/>
        </w:rPr>
        <w:t>,</w:t>
      </w:r>
      <w:r w:rsidRPr="00802D91">
        <w:rPr>
          <w:rFonts w:ascii="Times New Roman" w:hAnsi="Times New Roman" w:cs="Times New Roman"/>
        </w:rPr>
        <w:t xml:space="preserve"> compare the stocks given in </w:t>
      </w:r>
      <w:r w:rsidRPr="00802D91">
        <w:rPr>
          <w:rFonts w:ascii="Times New Roman" w:hAnsi="Times New Roman" w:cs="Times New Roman"/>
        </w:rPr>
        <w:fldChar w:fldCharType="begin"/>
      </w:r>
      <w:r w:rsidRPr="00802D91">
        <w:rPr>
          <w:rFonts w:ascii="Times New Roman" w:hAnsi="Times New Roman" w:cs="Times New Roman"/>
        </w:rPr>
        <w:instrText xml:space="preserve"> REF _Ref512496561 \h  \* MERGEFORMAT </w:instrText>
      </w:r>
      <w:r w:rsidRPr="00802D91">
        <w:rPr>
          <w:rFonts w:ascii="Times New Roman" w:hAnsi="Times New Roman" w:cs="Times New Roman"/>
        </w:rPr>
      </w:r>
      <w:r w:rsidRPr="00802D91">
        <w:rPr>
          <w:rFonts w:ascii="Times New Roman" w:hAnsi="Times New Roman" w:cs="Times New Roman"/>
        </w:rPr>
        <w:fldChar w:fldCharType="separate"/>
      </w:r>
      <w:r w:rsidRPr="00802D91">
        <w:rPr>
          <w:rFonts w:ascii="Times New Roman" w:hAnsi="Times New Roman" w:cs="Times New Roman"/>
        </w:rPr>
        <w:t xml:space="preserve">Table </w:t>
      </w:r>
      <w:r w:rsidRPr="00802D91">
        <w:rPr>
          <w:rFonts w:ascii="Times New Roman" w:hAnsi="Times New Roman" w:cs="Times New Roman"/>
          <w:noProof/>
        </w:rPr>
        <w:t>1</w:t>
      </w:r>
      <w:r w:rsidRPr="00802D91">
        <w:rPr>
          <w:rFonts w:ascii="Times New Roman" w:hAnsi="Times New Roman" w:cs="Times New Roman"/>
        </w:rPr>
        <w:fldChar w:fldCharType="end"/>
      </w:r>
      <w:r w:rsidRPr="00802D91">
        <w:rPr>
          <w:rFonts w:ascii="Times New Roman" w:hAnsi="Times New Roman" w:cs="Times New Roman"/>
        </w:rPr>
        <w:t xml:space="preserve"> to the flows documented in </w:t>
      </w:r>
      <w:r w:rsidRPr="00802D91">
        <w:rPr>
          <w:rFonts w:ascii="Times New Roman" w:hAnsi="Times New Roman" w:cs="Times New Roman"/>
        </w:rPr>
        <w:fldChar w:fldCharType="begin"/>
      </w:r>
      <w:r w:rsidRPr="00802D91">
        <w:rPr>
          <w:rFonts w:ascii="Times New Roman" w:hAnsi="Times New Roman" w:cs="Times New Roman"/>
        </w:rPr>
        <w:instrText xml:space="preserve"> REF _Ref512496606 \h  \* MERGEFORMAT </w:instrText>
      </w:r>
      <w:r w:rsidRPr="00802D91">
        <w:rPr>
          <w:rFonts w:ascii="Times New Roman" w:hAnsi="Times New Roman" w:cs="Times New Roman"/>
        </w:rPr>
      </w:r>
      <w:r w:rsidRPr="00802D91">
        <w:rPr>
          <w:rFonts w:ascii="Times New Roman" w:hAnsi="Times New Roman" w:cs="Times New Roman"/>
        </w:rPr>
        <w:fldChar w:fldCharType="separate"/>
      </w:r>
      <w:r w:rsidRPr="00802D91">
        <w:rPr>
          <w:rFonts w:ascii="Times New Roman" w:hAnsi="Times New Roman" w:cs="Times New Roman"/>
        </w:rPr>
        <w:t xml:space="preserve">Figure </w:t>
      </w:r>
      <w:r w:rsidRPr="00802D91">
        <w:rPr>
          <w:rFonts w:ascii="Times New Roman" w:hAnsi="Times New Roman" w:cs="Times New Roman"/>
          <w:noProof/>
        </w:rPr>
        <w:t>1</w:t>
      </w:r>
      <w:r w:rsidRPr="00802D91">
        <w:rPr>
          <w:rFonts w:ascii="Times New Roman" w:hAnsi="Times New Roman" w:cs="Times New Roman"/>
        </w:rPr>
        <w:fldChar w:fldCharType="end"/>
      </w:r>
      <w:r>
        <w:rPr>
          <w:rFonts w:ascii="Times New Roman" w:hAnsi="Times New Roman" w:cs="Times New Roman"/>
        </w:rPr>
        <w:t>. The LFS also estimates the EU inflow (share of EU migrants who had been in the UK for less than one year) to be 10% in 2018</w:t>
      </w:r>
    </w:p>
  </w:footnote>
  <w:footnote w:id="21">
    <w:p w:rsidR="00051467" w:rsidRPr="00EF1211" w:rsidRDefault="00051467">
      <w:pPr>
        <w:pStyle w:val="FootnoteText"/>
        <w:rPr>
          <w:rFonts w:ascii="Times New Roman" w:hAnsi="Times New Roman" w:cs="Times New Roman"/>
        </w:rPr>
      </w:pPr>
      <w:r w:rsidRPr="00EF1211">
        <w:rPr>
          <w:rStyle w:val="FootnoteReference"/>
          <w:rFonts w:ascii="Times New Roman" w:hAnsi="Times New Roman" w:cs="Times New Roman"/>
        </w:rPr>
        <w:footnoteRef/>
      </w:r>
      <w:r w:rsidRPr="00EF1211">
        <w:rPr>
          <w:rFonts w:ascii="Times New Roman" w:hAnsi="Times New Roman" w:cs="Times New Roman"/>
        </w:rPr>
        <w:t xml:space="preserve"> Arguably trying to target a net </w:t>
      </w:r>
      <w:r>
        <w:rPr>
          <w:rFonts w:ascii="Times New Roman" w:hAnsi="Times New Roman" w:cs="Times New Roman"/>
        </w:rPr>
        <w:t xml:space="preserve">migration figure in which </w:t>
      </w:r>
      <w:r w:rsidRPr="00EF1211">
        <w:rPr>
          <w:rFonts w:ascii="Times New Roman" w:hAnsi="Times New Roman" w:cs="Times New Roman"/>
        </w:rPr>
        <w:t xml:space="preserve">government has, in the absence of time limited entry, little control over </w:t>
      </w:r>
      <w:r>
        <w:rPr>
          <w:rFonts w:ascii="Times New Roman" w:hAnsi="Times New Roman" w:cs="Times New Roman"/>
        </w:rPr>
        <w:t>outflows, let alone inflows in an environment of free entry was not the most sensible policy to adopt</w:t>
      </w:r>
      <w:r w:rsidRPr="00EF1211">
        <w:rPr>
          <w:rFonts w:ascii="Times New Roman" w:hAnsi="Times New Roman" w:cs="Times New Roman"/>
        </w:rPr>
        <w:t>.</w:t>
      </w:r>
      <w:r>
        <w:rPr>
          <w:rFonts w:ascii="Times New Roman" w:hAnsi="Times New Roman" w:cs="Times New Roman"/>
        </w:rPr>
        <w:t xml:space="preserve"> We leave this to economic historians to debate.</w:t>
      </w:r>
    </w:p>
  </w:footnote>
  <w:footnote w:id="22">
    <w:p w:rsidR="00A75F9C" w:rsidRPr="00A75F9C" w:rsidRDefault="00A75F9C" w:rsidP="00A75F9C">
      <w:pPr>
        <w:pStyle w:val="FootnoteText"/>
        <w:jc w:val="both"/>
        <w:rPr>
          <w:rFonts w:ascii="Times New Roman" w:hAnsi="Times New Roman" w:cs="Times New Roman"/>
        </w:rPr>
      </w:pPr>
      <w:r w:rsidRPr="00A75F9C">
        <w:rPr>
          <w:rStyle w:val="FootnoteReference"/>
          <w:rFonts w:ascii="Times New Roman" w:hAnsi="Times New Roman" w:cs="Times New Roman"/>
        </w:rPr>
        <w:footnoteRef/>
      </w:r>
      <w:r w:rsidRPr="00A75F9C">
        <w:rPr>
          <w:rFonts w:ascii="Times New Roman" w:hAnsi="Times New Roman" w:cs="Times New Roman"/>
        </w:rPr>
        <w:t xml:space="preserve"> In practice freedom of entry </w:t>
      </w:r>
      <w:r>
        <w:rPr>
          <w:rFonts w:ascii="Times New Roman" w:hAnsi="Times New Roman" w:cs="Times New Roman"/>
        </w:rPr>
        <w:t xml:space="preserve">currently </w:t>
      </w:r>
      <w:r w:rsidRPr="00A75F9C">
        <w:rPr>
          <w:rFonts w:ascii="Times New Roman" w:hAnsi="Times New Roman" w:cs="Times New Roman"/>
        </w:rPr>
        <w:t>applies to European Economic Area (EEA) nationals rather than EU nationals and Swiss nationals</w:t>
      </w:r>
      <w:r w:rsidR="00F83693">
        <w:rPr>
          <w:rFonts w:ascii="Times New Roman" w:hAnsi="Times New Roman" w:cs="Times New Roman"/>
        </w:rPr>
        <w:t>. It is unlikely that the UK will differentiate between these groups after Brexit.</w:t>
      </w:r>
    </w:p>
  </w:footnote>
  <w:footnote w:id="23">
    <w:p w:rsidR="00051467" w:rsidRPr="00A96DE5" w:rsidRDefault="00051467" w:rsidP="0023189A">
      <w:pPr>
        <w:pStyle w:val="FootnoteText"/>
        <w:jc w:val="both"/>
        <w:rPr>
          <w:rFonts w:ascii="Times New Roman" w:hAnsi="Times New Roman" w:cs="Times New Roman"/>
        </w:rPr>
      </w:pPr>
      <w:r w:rsidRPr="00A96DE5">
        <w:rPr>
          <w:rStyle w:val="FootnoteReference"/>
          <w:rFonts w:ascii="Times New Roman" w:hAnsi="Times New Roman" w:cs="Times New Roman"/>
        </w:rPr>
        <w:footnoteRef/>
      </w:r>
      <w:r w:rsidRPr="00A96DE5">
        <w:rPr>
          <w:rFonts w:ascii="Times New Roman" w:hAnsi="Times New Roman" w:cs="Times New Roman"/>
        </w:rPr>
        <w:t xml:space="preserve"> </w:t>
      </w:r>
      <w:r w:rsidR="00DC56B1">
        <w:rPr>
          <w:rFonts w:ascii="Times New Roman" w:hAnsi="Times New Roman" w:cs="Times New Roman"/>
        </w:rPr>
        <w:t>Similar to a general non-time delimited policy, a</w:t>
      </w:r>
      <w:r w:rsidRPr="00A96DE5">
        <w:rPr>
          <w:rFonts w:ascii="Times New Roman" w:hAnsi="Times New Roman" w:cs="Times New Roman"/>
        </w:rPr>
        <w:t xml:space="preserve">rguably this may have happened with some sectors placed on the </w:t>
      </w:r>
      <w:r>
        <w:rPr>
          <w:rFonts w:ascii="Times New Roman" w:hAnsi="Times New Roman" w:cs="Times New Roman"/>
        </w:rPr>
        <w:t xml:space="preserve">existing </w:t>
      </w:r>
      <w:r w:rsidRPr="00A96DE5">
        <w:rPr>
          <w:rFonts w:ascii="Times New Roman" w:hAnsi="Times New Roman" w:cs="Times New Roman"/>
        </w:rPr>
        <w:t>UK Shortage Occupation List. Once on the list, without periodic re-assessments there is less incentive to try alternatives to hiring immigrants.</w:t>
      </w:r>
    </w:p>
  </w:footnote>
  <w:footnote w:id="24">
    <w:p w:rsidR="00051467" w:rsidRPr="003C1C87" w:rsidRDefault="00051467">
      <w:pPr>
        <w:pStyle w:val="FootnoteText"/>
        <w:rPr>
          <w:rFonts w:ascii="Times New Roman" w:hAnsi="Times New Roman" w:cs="Times New Roman"/>
        </w:rPr>
      </w:pPr>
      <w:r w:rsidRPr="003C1C87">
        <w:rPr>
          <w:rStyle w:val="FootnoteReference"/>
          <w:rFonts w:ascii="Times New Roman" w:hAnsi="Times New Roman" w:cs="Times New Roman"/>
        </w:rPr>
        <w:footnoteRef/>
      </w:r>
      <w:r w:rsidRPr="003C1C87">
        <w:rPr>
          <w:rFonts w:ascii="Times New Roman" w:hAnsi="Times New Roman" w:cs="Times New Roman"/>
        </w:rPr>
        <w:t xml:space="preserve"> See Mountford and Wadsworth (2018) for a detailed discussion</w:t>
      </w:r>
      <w:r>
        <w:rPr>
          <w:rFonts w:ascii="Times New Roman" w:hAnsi="Times New Roman" w:cs="Times New Roman"/>
        </w:rPr>
        <w:t xml:space="preserve"> and an empirical investigation of these competing hypotheses</w:t>
      </w:r>
      <w:r w:rsidRPr="003C1C87">
        <w:rPr>
          <w:rFonts w:ascii="Times New Roman" w:hAnsi="Times New Roman" w:cs="Times New Roman"/>
        </w:rPr>
        <w:t>.</w:t>
      </w:r>
    </w:p>
  </w:footnote>
  <w:footnote w:id="25">
    <w:p w:rsidR="00051467" w:rsidRPr="00530455" w:rsidRDefault="00051467" w:rsidP="00A75F9C">
      <w:pPr>
        <w:pStyle w:val="FootnoteText"/>
        <w:jc w:val="both"/>
        <w:rPr>
          <w:rFonts w:ascii="Times New Roman" w:hAnsi="Times New Roman" w:cs="Times New Roman"/>
        </w:rPr>
      </w:pPr>
      <w:r w:rsidRPr="00530455">
        <w:rPr>
          <w:rStyle w:val="FootnoteReference"/>
          <w:rFonts w:ascii="Times New Roman" w:hAnsi="Times New Roman" w:cs="Times New Roman"/>
        </w:rPr>
        <w:footnoteRef/>
      </w:r>
      <w:r w:rsidRPr="00530455">
        <w:rPr>
          <w:rFonts w:ascii="Times New Roman" w:hAnsi="Times New Roman" w:cs="Times New Roman"/>
        </w:rPr>
        <w:t xml:space="preserve"> Note this is graduate jobs not people. The definition of a graduate job is in turn is based on occupational classification and/or average wages in the occupation.</w:t>
      </w:r>
      <w:r>
        <w:rPr>
          <w:rFonts w:ascii="Times New Roman" w:hAnsi="Times New Roman" w:cs="Times New Roman"/>
        </w:rPr>
        <w:t xml:space="preserve"> </w:t>
      </w:r>
    </w:p>
  </w:footnote>
  <w:footnote w:id="26">
    <w:p w:rsidR="00051467" w:rsidRPr="00987A98" w:rsidRDefault="00051467" w:rsidP="00A75F9C">
      <w:pPr>
        <w:pStyle w:val="FootnoteText"/>
        <w:jc w:val="both"/>
        <w:rPr>
          <w:rFonts w:ascii="Times New Roman" w:hAnsi="Times New Roman" w:cs="Times New Roman"/>
        </w:rPr>
      </w:pPr>
      <w:r w:rsidRPr="00987A98">
        <w:rPr>
          <w:rStyle w:val="FootnoteReference"/>
          <w:rFonts w:ascii="Times New Roman" w:hAnsi="Times New Roman" w:cs="Times New Roman"/>
        </w:rPr>
        <w:footnoteRef/>
      </w:r>
      <w:r w:rsidRPr="00987A98">
        <w:rPr>
          <w:rFonts w:ascii="Times New Roman" w:hAnsi="Times New Roman" w:cs="Times New Roman"/>
        </w:rPr>
        <w:t xml:space="preserve"> The Migration Advisory Committee (2011) report on occupation shortages highlights shortages in many vocational (non-graduate) occupations that were subsequently excluded from the shortage list used to determine the allocation of work visas in the UK</w:t>
      </w:r>
      <w:r>
        <w:rPr>
          <w:rFonts w:ascii="Times New Roman" w:hAnsi="Times New Roman" w:cs="Times New Roman"/>
        </w:rPr>
        <w:t>.</w:t>
      </w:r>
    </w:p>
  </w:footnote>
  <w:footnote w:id="27">
    <w:p w:rsidR="00051467" w:rsidRPr="002C0C89" w:rsidRDefault="00051467" w:rsidP="00A75F9C">
      <w:pPr>
        <w:pStyle w:val="FootnoteText"/>
        <w:jc w:val="both"/>
        <w:rPr>
          <w:rFonts w:ascii="Times New Roman" w:hAnsi="Times New Roman" w:cs="Times New Roman"/>
        </w:rPr>
      </w:pPr>
      <w:r w:rsidRPr="00F6795F">
        <w:rPr>
          <w:rStyle w:val="FootnoteReference"/>
          <w:rFonts w:ascii="Times New Roman" w:hAnsi="Times New Roman" w:cs="Times New Roman"/>
        </w:rPr>
        <w:footnoteRef/>
      </w:r>
      <w:r w:rsidRPr="00F6795F">
        <w:rPr>
          <w:rFonts w:ascii="Times New Roman" w:hAnsi="Times New Roman" w:cs="Times New Roman"/>
        </w:rPr>
        <w:t xml:space="preserve"> That said Canada and Australia operate</w:t>
      </w:r>
      <w:r>
        <w:rPr>
          <w:rFonts w:ascii="Times New Roman" w:hAnsi="Times New Roman" w:cs="Times New Roman"/>
        </w:rPr>
        <w:t>, in part,</w:t>
      </w:r>
      <w:r w:rsidRPr="00F6795F">
        <w:rPr>
          <w:rFonts w:ascii="Times New Roman" w:hAnsi="Times New Roman" w:cs="Times New Roman"/>
        </w:rPr>
        <w:t xml:space="preserve"> a</w:t>
      </w:r>
      <w:r>
        <w:rPr>
          <w:rFonts w:ascii="Times New Roman" w:hAnsi="Times New Roman" w:cs="Times New Roman"/>
        </w:rPr>
        <w:t>n individual</w:t>
      </w:r>
      <w:r w:rsidRPr="00F6795F">
        <w:rPr>
          <w:rFonts w:ascii="Times New Roman" w:hAnsi="Times New Roman" w:cs="Times New Roman"/>
        </w:rPr>
        <w:t xml:space="preserve"> points based </w:t>
      </w:r>
      <w:r>
        <w:rPr>
          <w:rFonts w:ascii="Times New Roman" w:hAnsi="Times New Roman" w:cs="Times New Roman"/>
        </w:rPr>
        <w:t xml:space="preserve">immigration </w:t>
      </w:r>
      <w:r w:rsidRPr="00F6795F">
        <w:rPr>
          <w:rFonts w:ascii="Times New Roman" w:hAnsi="Times New Roman" w:cs="Times New Roman"/>
        </w:rPr>
        <w:t>system.</w:t>
      </w:r>
      <w:r>
        <w:rPr>
          <w:rFonts w:ascii="Times New Roman" w:hAnsi="Times New Roman" w:cs="Times New Roman"/>
        </w:rPr>
        <w:t xml:space="preserve"> Canada recently re-weighted its points system toward skilled migrants with a job offer, OECD (2016). Australia’s individual points system also depends, partly, on the individual working in a (moving) set of shortage occupations. Both countries however, while certainly not offering unrestricted immigration, operate policies that can facilitate rising numbers of skilled immigrants. Rising numbers of skilled immigrants is unlikely to be a policy should the UK relinquish </w:t>
      </w:r>
      <w:r w:rsidRPr="002C0C89">
        <w:rPr>
          <w:rFonts w:ascii="Times New Roman" w:hAnsi="Times New Roman" w:cs="Times New Roman"/>
        </w:rPr>
        <w:t xml:space="preserve">free movement of labour. </w:t>
      </w:r>
    </w:p>
  </w:footnote>
  <w:footnote w:id="28">
    <w:p w:rsidR="002C0C89" w:rsidRPr="002C0C89" w:rsidRDefault="002C0C89" w:rsidP="002C0C89">
      <w:pPr>
        <w:pStyle w:val="FootnoteText"/>
        <w:jc w:val="both"/>
        <w:rPr>
          <w:rFonts w:ascii="Times New Roman" w:hAnsi="Times New Roman" w:cs="Times New Roman"/>
        </w:rPr>
      </w:pPr>
      <w:r w:rsidRPr="002C0C89">
        <w:rPr>
          <w:rStyle w:val="FootnoteReference"/>
          <w:rFonts w:ascii="Times New Roman" w:hAnsi="Times New Roman" w:cs="Times New Roman"/>
        </w:rPr>
        <w:footnoteRef/>
      </w:r>
      <w:r w:rsidRPr="002C0C89">
        <w:rPr>
          <w:rFonts w:ascii="Times New Roman" w:hAnsi="Times New Roman" w:cs="Times New Roman"/>
        </w:rPr>
        <w:t xml:space="preserve"> See for example </w:t>
      </w:r>
      <w:hyperlink r:id="rId2" w:history="1">
        <w:r w:rsidRPr="002C0C89">
          <w:rPr>
            <w:rStyle w:val="Hyperlink"/>
            <w:rFonts w:ascii="Times New Roman" w:hAnsi="Times New Roman" w:cs="Times New Roman"/>
          </w:rPr>
          <w:t>https://www.gov.uk/government/publications/immigration-statistics-year-ending-march-2018/summary-of-latest-statistics</w:t>
        </w:r>
      </w:hyperlink>
    </w:p>
    <w:p w:rsidR="002C0C89" w:rsidRDefault="002C0C89">
      <w:pPr>
        <w:pStyle w:val="FootnoteText"/>
      </w:pPr>
    </w:p>
  </w:footnote>
  <w:footnote w:id="29">
    <w:p w:rsidR="00051467" w:rsidRPr="00A75904" w:rsidRDefault="00051467" w:rsidP="00A75904">
      <w:pPr>
        <w:pStyle w:val="FootnoteText"/>
        <w:jc w:val="both"/>
        <w:rPr>
          <w:rFonts w:ascii="Times New Roman" w:hAnsi="Times New Roman" w:cs="Times New Roman"/>
        </w:rPr>
      </w:pPr>
      <w:r w:rsidRPr="00A75904">
        <w:rPr>
          <w:rStyle w:val="FootnoteReference"/>
          <w:rFonts w:ascii="Times New Roman" w:hAnsi="Times New Roman" w:cs="Times New Roman"/>
        </w:rPr>
        <w:footnoteRef/>
      </w:r>
      <w:r w:rsidRPr="00A75904">
        <w:rPr>
          <w:rFonts w:ascii="Times New Roman" w:hAnsi="Times New Roman" w:cs="Times New Roman"/>
        </w:rPr>
        <w:t xml:space="preserve"> </w:t>
      </w:r>
      <w:r>
        <w:rPr>
          <w:rFonts w:ascii="Times New Roman" w:hAnsi="Times New Roman" w:cs="Times New Roman"/>
        </w:rPr>
        <w:t xml:space="preserve"> There will also be an issue about whether to let EU students work in the UK after graduation. At present, non-EEA graduates can stay in the UK 6 months after graduation in order to try to find a Tier 2 (effectively graduate) job. There are no limits on the numbers of students who can do this. Similarly family members of legally resident EU individuals will almost certainly be allowed to migrate to the UK under international law, like Non-EEA migrants at present. Non-EEA family migrants can work in any sector in the UK. </w:t>
      </w:r>
    </w:p>
  </w:footnote>
  <w:footnote w:id="30">
    <w:p w:rsidR="00F9737D" w:rsidRPr="00F9737D" w:rsidRDefault="00F9737D">
      <w:pPr>
        <w:pStyle w:val="FootnoteText"/>
        <w:rPr>
          <w:rFonts w:ascii="Times New Roman" w:hAnsi="Times New Roman" w:cs="Times New Roman"/>
        </w:rPr>
      </w:pPr>
      <w:r w:rsidRPr="00F9737D">
        <w:rPr>
          <w:rStyle w:val="FootnoteReference"/>
          <w:rFonts w:ascii="Times New Roman" w:hAnsi="Times New Roman" w:cs="Times New Roman"/>
        </w:rPr>
        <w:footnoteRef/>
      </w:r>
      <w:r w:rsidRPr="00F9737D">
        <w:rPr>
          <w:rFonts w:ascii="Times New Roman" w:hAnsi="Times New Roman" w:cs="Times New Roman"/>
        </w:rPr>
        <w:t xml:space="preserve"> Job seeking flows have fallen to less than 30% of all job related flows in 2017 q4 from a peak of 41% in 2015q4</w:t>
      </w:r>
      <w:r w:rsidR="005171EF">
        <w:rPr>
          <w:rFonts w:ascii="Times New Roman" w:hAnsi="Times New Roman" w:cs="Times New Roman"/>
        </w:rPr>
        <w:t>, (LTIMS 2018)</w:t>
      </w:r>
      <w:r w:rsidRPr="00F9737D">
        <w:rPr>
          <w:rFonts w:ascii="Times New Roman" w:hAnsi="Times New Roman" w:cs="Times New Roman"/>
        </w:rPr>
        <w:t>.</w:t>
      </w:r>
      <w:r>
        <w:rPr>
          <w:rFonts w:ascii="Times New Roman" w:hAnsi="Times New Roman" w:cs="Times New Roman"/>
        </w:rPr>
        <w:t xml:space="preserve"> Job seekers from the EEA have been unable to claim Housing benefit in the UK since 2014.</w:t>
      </w:r>
    </w:p>
  </w:footnote>
  <w:footnote w:id="31">
    <w:p w:rsidR="007065E7" w:rsidRDefault="007065E7">
      <w:pPr>
        <w:pStyle w:val="FootnoteText"/>
        <w:rPr>
          <w:rFonts w:ascii="Times New Roman" w:hAnsi="Times New Roman" w:cs="Times New Roman"/>
        </w:rPr>
      </w:pPr>
      <w:r w:rsidRPr="00990C2A">
        <w:rPr>
          <w:rStyle w:val="FootnoteReference"/>
          <w:rFonts w:ascii="Times New Roman" w:hAnsi="Times New Roman" w:cs="Times New Roman"/>
        </w:rPr>
        <w:footnoteRef/>
      </w:r>
      <w:r w:rsidRPr="00990C2A">
        <w:rPr>
          <w:rFonts w:ascii="Times New Roman" w:hAnsi="Times New Roman" w:cs="Times New Roman"/>
        </w:rPr>
        <w:t xml:space="preserve"> Non-EEA </w:t>
      </w:r>
      <w:r w:rsidR="00013546">
        <w:rPr>
          <w:rFonts w:ascii="Times New Roman" w:hAnsi="Times New Roman" w:cs="Times New Roman"/>
        </w:rPr>
        <w:t xml:space="preserve">Tier 2 </w:t>
      </w:r>
      <w:r w:rsidRPr="00990C2A">
        <w:rPr>
          <w:rFonts w:ascii="Times New Roman" w:hAnsi="Times New Roman" w:cs="Times New Roman"/>
        </w:rPr>
        <w:t>migrants are on a job specific work permit</w:t>
      </w:r>
      <w:r w:rsidR="00013546">
        <w:rPr>
          <w:rFonts w:ascii="Times New Roman" w:hAnsi="Times New Roman" w:cs="Times New Roman"/>
        </w:rPr>
        <w:t xml:space="preserve">. This means that </w:t>
      </w:r>
      <w:r w:rsidRPr="00990C2A">
        <w:rPr>
          <w:rFonts w:ascii="Times New Roman" w:hAnsi="Times New Roman" w:cs="Times New Roman"/>
        </w:rPr>
        <w:t xml:space="preserve">they are tied to the job </w:t>
      </w:r>
      <w:r w:rsidR="00B86821">
        <w:rPr>
          <w:rFonts w:ascii="Times New Roman" w:hAnsi="Times New Roman" w:cs="Times New Roman"/>
        </w:rPr>
        <w:t xml:space="preserve">with the permit </w:t>
      </w:r>
      <w:r w:rsidRPr="00990C2A">
        <w:rPr>
          <w:rFonts w:ascii="Times New Roman" w:hAnsi="Times New Roman" w:cs="Times New Roman"/>
        </w:rPr>
        <w:t xml:space="preserve">until they </w:t>
      </w:r>
      <w:r w:rsidR="00B86821">
        <w:rPr>
          <w:rFonts w:ascii="Times New Roman" w:hAnsi="Times New Roman" w:cs="Times New Roman"/>
        </w:rPr>
        <w:t>have indefinite leave to remain</w:t>
      </w:r>
      <w:r w:rsidR="00013546">
        <w:rPr>
          <w:rFonts w:ascii="Times New Roman" w:hAnsi="Times New Roman" w:cs="Times New Roman"/>
        </w:rPr>
        <w:t xml:space="preserve"> and are hence</w:t>
      </w:r>
      <w:r w:rsidR="00B86821">
        <w:rPr>
          <w:rFonts w:ascii="Times New Roman" w:hAnsi="Times New Roman" w:cs="Times New Roman"/>
        </w:rPr>
        <w:t xml:space="preserve"> effectively excluded from the welfare system until this time. </w:t>
      </w:r>
      <w:r w:rsidR="00B86821" w:rsidRPr="00990C2A">
        <w:rPr>
          <w:rFonts w:ascii="Times New Roman" w:hAnsi="Times New Roman" w:cs="Times New Roman"/>
        </w:rPr>
        <w:t>Should the firm</w:t>
      </w:r>
      <w:r w:rsidR="00B86821">
        <w:rPr>
          <w:rFonts w:ascii="Times New Roman" w:hAnsi="Times New Roman" w:cs="Times New Roman"/>
        </w:rPr>
        <w:t xml:space="preserve"> they work for collapse </w:t>
      </w:r>
      <w:r w:rsidR="004E4D9F">
        <w:rPr>
          <w:rFonts w:ascii="Times New Roman" w:hAnsi="Times New Roman" w:cs="Times New Roman"/>
        </w:rPr>
        <w:t xml:space="preserve">or </w:t>
      </w:r>
      <w:r w:rsidR="001A3E33">
        <w:rPr>
          <w:rFonts w:ascii="Times New Roman" w:hAnsi="Times New Roman" w:cs="Times New Roman"/>
        </w:rPr>
        <w:t xml:space="preserve">the individual be </w:t>
      </w:r>
      <w:r w:rsidR="004E4D9F">
        <w:rPr>
          <w:rFonts w:ascii="Times New Roman" w:hAnsi="Times New Roman" w:cs="Times New Roman"/>
        </w:rPr>
        <w:t xml:space="preserve">laid off </w:t>
      </w:r>
      <w:r w:rsidR="00B86821">
        <w:rPr>
          <w:rFonts w:ascii="Times New Roman" w:hAnsi="Times New Roman" w:cs="Times New Roman"/>
        </w:rPr>
        <w:t>during this period</w:t>
      </w:r>
      <w:r w:rsidR="001A3E33">
        <w:rPr>
          <w:rFonts w:ascii="Times New Roman" w:hAnsi="Times New Roman" w:cs="Times New Roman"/>
        </w:rPr>
        <w:t>,</w:t>
      </w:r>
      <w:r w:rsidR="00B86821">
        <w:rPr>
          <w:rFonts w:ascii="Times New Roman" w:hAnsi="Times New Roman" w:cs="Times New Roman"/>
        </w:rPr>
        <w:t xml:space="preserve"> migrants have two months to try to find an alternative sponsor.</w:t>
      </w:r>
      <w:r w:rsidR="00AD52B8">
        <w:rPr>
          <w:rFonts w:ascii="Times New Roman" w:hAnsi="Times New Roman" w:cs="Times New Roman"/>
        </w:rPr>
        <w:t xml:space="preserve"> See </w:t>
      </w:r>
      <w:hyperlink r:id="rId3" w:history="1">
        <w:r w:rsidR="00AD52B8" w:rsidRPr="002D24D4">
          <w:rPr>
            <w:rStyle w:val="Hyperlink"/>
            <w:rFonts w:ascii="Times New Roman" w:hAnsi="Times New Roman" w:cs="Times New Roman"/>
          </w:rPr>
          <w:t>https://www.gov.uk/employee-lose-sponsor-licence</w:t>
        </w:r>
      </w:hyperlink>
    </w:p>
    <w:p w:rsidR="00AD52B8" w:rsidRPr="00990C2A" w:rsidRDefault="00AD52B8">
      <w:pPr>
        <w:pStyle w:val="FootnoteText"/>
        <w:rPr>
          <w:rFonts w:ascii="Times New Roman" w:hAnsi="Times New Roman" w:cs="Times New Roman"/>
        </w:rPr>
      </w:pPr>
    </w:p>
  </w:footnote>
  <w:footnote w:id="32">
    <w:p w:rsidR="00051467" w:rsidRPr="00A33252" w:rsidRDefault="00051467" w:rsidP="00A33252">
      <w:pPr>
        <w:pStyle w:val="FootnoteText"/>
        <w:jc w:val="both"/>
        <w:rPr>
          <w:rFonts w:ascii="Times New Roman" w:hAnsi="Times New Roman" w:cs="Times New Roman"/>
        </w:rPr>
      </w:pPr>
      <w:r w:rsidRPr="00A33252">
        <w:rPr>
          <w:rStyle w:val="FootnoteReference"/>
          <w:rFonts w:ascii="Times New Roman" w:hAnsi="Times New Roman" w:cs="Times New Roman"/>
        </w:rPr>
        <w:footnoteRef/>
      </w:r>
      <w:r w:rsidRPr="00A33252">
        <w:rPr>
          <w:rFonts w:ascii="Times New Roman" w:hAnsi="Times New Roman" w:cs="Times New Roman"/>
        </w:rPr>
        <w:t xml:space="preserve"> Ruhs and Wadsworth (2017) show that the ending of transition restrictions in A2 workers in 2015 immediately reduced the numbers of A2 self-employed workers</w:t>
      </w:r>
      <w:r>
        <w:rPr>
          <w:rFonts w:ascii="Times New Roman" w:hAnsi="Times New Roman" w:cs="Times New Roman"/>
        </w:rPr>
        <w:t xml:space="preserve"> without reducing numbers of A2 employed. This </w:t>
      </w:r>
      <w:r w:rsidRPr="00A33252">
        <w:rPr>
          <w:rFonts w:ascii="Times New Roman" w:hAnsi="Times New Roman" w:cs="Times New Roman"/>
        </w:rPr>
        <w:t>suggest</w:t>
      </w:r>
      <w:r>
        <w:rPr>
          <w:rFonts w:ascii="Times New Roman" w:hAnsi="Times New Roman" w:cs="Times New Roman"/>
        </w:rPr>
        <w:t xml:space="preserve">s </w:t>
      </w:r>
      <w:r w:rsidRPr="00A33252">
        <w:rPr>
          <w:rFonts w:ascii="Times New Roman" w:hAnsi="Times New Roman" w:cs="Times New Roman"/>
        </w:rPr>
        <w:t xml:space="preserve">that </w:t>
      </w:r>
      <w:r>
        <w:rPr>
          <w:rFonts w:ascii="Times New Roman" w:hAnsi="Times New Roman" w:cs="Times New Roman"/>
        </w:rPr>
        <w:t>work patterns adjust to the regulatory environment of the day.</w:t>
      </w:r>
    </w:p>
  </w:footnote>
  <w:footnote w:id="33">
    <w:p w:rsidR="00051467" w:rsidRPr="00F83F78" w:rsidRDefault="00051467">
      <w:pPr>
        <w:pStyle w:val="FootnoteText"/>
        <w:rPr>
          <w:rFonts w:ascii="Times New Roman" w:hAnsi="Times New Roman" w:cs="Times New Roman"/>
        </w:rPr>
      </w:pPr>
      <w:r w:rsidRPr="00F83F78">
        <w:rPr>
          <w:rStyle w:val="FootnoteReference"/>
          <w:rFonts w:ascii="Times New Roman" w:hAnsi="Times New Roman" w:cs="Times New Roman"/>
        </w:rPr>
        <w:footnoteRef/>
      </w:r>
      <w:r>
        <w:rPr>
          <w:rFonts w:ascii="Times New Roman" w:hAnsi="Times New Roman" w:cs="Times New Roman"/>
        </w:rPr>
        <w:t xml:space="preserve"> There has only been two</w:t>
      </w:r>
      <w:r w:rsidRPr="00F83F78">
        <w:rPr>
          <w:rFonts w:ascii="Times New Roman" w:hAnsi="Times New Roman" w:cs="Times New Roman"/>
        </w:rPr>
        <w:t xml:space="preserve"> published quarter</w:t>
      </w:r>
      <w:r>
        <w:rPr>
          <w:rFonts w:ascii="Times New Roman" w:hAnsi="Times New Roman" w:cs="Times New Roman"/>
        </w:rPr>
        <w:t>s</w:t>
      </w:r>
      <w:r w:rsidRPr="00F83F78">
        <w:rPr>
          <w:rFonts w:ascii="Times New Roman" w:hAnsi="Times New Roman" w:cs="Times New Roman"/>
        </w:rPr>
        <w:t xml:space="preserve"> of inflow data since the policy was implemented.</w:t>
      </w:r>
      <w:r>
        <w:rPr>
          <w:rFonts w:ascii="Times New Roman" w:hAnsi="Times New Roman" w:cs="Times New Roman"/>
        </w:rPr>
        <w:t xml:space="preserve"> If anything work related inflows from outside the EU were up in the quarter (and on the year) after the policy began.</w:t>
      </w:r>
    </w:p>
  </w:footnote>
  <w:footnote w:id="34">
    <w:p w:rsidR="00051467" w:rsidRPr="00ED0B1D" w:rsidRDefault="00051467" w:rsidP="00ED0B1D">
      <w:pPr>
        <w:spacing w:after="0" w:line="240" w:lineRule="auto"/>
        <w:jc w:val="both"/>
        <w:rPr>
          <w:rFonts w:ascii="Times New Roman" w:eastAsia="Times New Roman" w:hAnsi="Times New Roman" w:cs="Times New Roman"/>
          <w:sz w:val="20"/>
          <w:szCs w:val="20"/>
          <w:lang w:eastAsia="en-GB"/>
        </w:rPr>
      </w:pPr>
      <w:r w:rsidRPr="00ED0B1D">
        <w:rPr>
          <w:rStyle w:val="FootnoteReference"/>
          <w:rFonts w:ascii="Times New Roman" w:hAnsi="Times New Roman" w:cs="Times New Roman"/>
          <w:sz w:val="20"/>
          <w:szCs w:val="20"/>
        </w:rPr>
        <w:footnoteRef/>
      </w:r>
      <w:r w:rsidRPr="00ED0B1D">
        <w:rPr>
          <w:rFonts w:ascii="Times New Roman" w:hAnsi="Times New Roman" w:cs="Times New Roman"/>
          <w:sz w:val="20"/>
          <w:szCs w:val="20"/>
        </w:rPr>
        <w:t xml:space="preserve"> </w:t>
      </w:r>
      <w:r w:rsidRPr="00ED0B1D">
        <w:rPr>
          <w:rFonts w:ascii="Times New Roman" w:eastAsia="Times New Roman" w:hAnsi="Times New Roman" w:cs="Times New Roman"/>
          <w:sz w:val="20"/>
          <w:szCs w:val="20"/>
          <w:lang w:eastAsia="en-GB"/>
        </w:rPr>
        <w:t>A general requirement for all work-related residence permits from outside the EFTA is that wage and working conditions for the job in question correspond to those for Norwegian workers in similar jobs.</w:t>
      </w:r>
      <w:r>
        <w:rPr>
          <w:rFonts w:ascii="Times New Roman" w:eastAsia="Times New Roman" w:hAnsi="Times New Roman" w:cs="Times New Roman"/>
          <w:sz w:val="20"/>
          <w:szCs w:val="20"/>
          <w:lang w:eastAsia="en-GB"/>
        </w:rPr>
        <w:t xml:space="preserve"> There are exemptions for to these rules for migrants in temporary work. See Bratsberg, Raaum and Roed (2014) for an analysis of immigrant performance in Norway.</w:t>
      </w:r>
    </w:p>
  </w:footnote>
  <w:footnote w:id="35">
    <w:p w:rsidR="00051467" w:rsidRPr="007552D7" w:rsidRDefault="00051467">
      <w:pPr>
        <w:pStyle w:val="FootnoteText"/>
        <w:rPr>
          <w:rFonts w:ascii="Times New Roman" w:hAnsi="Times New Roman" w:cs="Times New Roman"/>
        </w:rPr>
      </w:pPr>
      <w:r w:rsidRPr="007552D7">
        <w:rPr>
          <w:rStyle w:val="FootnoteReference"/>
          <w:rFonts w:ascii="Times New Roman" w:hAnsi="Times New Roman" w:cs="Times New Roman"/>
        </w:rPr>
        <w:footnoteRef/>
      </w:r>
      <w:r w:rsidRPr="007552D7">
        <w:rPr>
          <w:rFonts w:ascii="Times New Roman" w:hAnsi="Times New Roman" w:cs="Times New Roman"/>
        </w:rPr>
        <w:t xml:space="preserve"> It seems that Chou was referring to the student uprisings of 1968 not the revolution of 1789 as is commonly  referenced </w:t>
      </w:r>
      <w:hyperlink r:id="rId4" w:history="1">
        <w:r w:rsidRPr="007552D7">
          <w:rPr>
            <w:rStyle w:val="Hyperlink"/>
            <w:rFonts w:ascii="Times New Roman" w:hAnsi="Times New Roman" w:cs="Times New Roman"/>
          </w:rPr>
          <w:t>https://mediamythalert.wordpress.com/2011/06/14/too-early-to-say-zhou-was-speaking-about-1968-not-1789/</w:t>
        </w:r>
      </w:hyperlink>
    </w:p>
    <w:p w:rsidR="00051467" w:rsidRDefault="00051467">
      <w:pPr>
        <w:pStyle w:val="FootnoteText"/>
      </w:pPr>
      <w:r>
        <w:t xml:space="preserve">. </w:t>
      </w:r>
    </w:p>
  </w:footnote>
  <w:footnote w:id="36">
    <w:p w:rsidR="00A0704C" w:rsidRPr="00A0704C" w:rsidRDefault="00A0704C" w:rsidP="00A0704C">
      <w:pPr>
        <w:pStyle w:val="FootnoteText"/>
        <w:jc w:val="both"/>
        <w:rPr>
          <w:rFonts w:ascii="Times New Roman" w:hAnsi="Times New Roman" w:cs="Times New Roman"/>
        </w:rPr>
      </w:pPr>
      <w:r w:rsidRPr="00A0704C">
        <w:rPr>
          <w:rStyle w:val="FootnoteReference"/>
          <w:rFonts w:ascii="Times New Roman" w:hAnsi="Times New Roman" w:cs="Times New Roman"/>
        </w:rPr>
        <w:footnoteRef/>
      </w:r>
      <w:r w:rsidRPr="00A0704C">
        <w:rPr>
          <w:rFonts w:ascii="Times New Roman" w:hAnsi="Times New Roman" w:cs="Times New Roman"/>
        </w:rPr>
        <w:t xml:space="preserve"> The Migration Advisory Committee is set to report on its recommendations for future EEA migration in September (2108) and the government is due to set out its proposals in a White Paper scheduled for October 2018. Let’s see.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91BCF"/>
    <w:multiLevelType w:val="hybridMultilevel"/>
    <w:tmpl w:val="EA9AA522"/>
    <w:lvl w:ilvl="0" w:tplc="CC9AC3FA">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E66D6"/>
    <w:multiLevelType w:val="hybridMultilevel"/>
    <w:tmpl w:val="27BCA954"/>
    <w:lvl w:ilvl="0" w:tplc="9F028C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66"/>
    <w:rsid w:val="00001F4E"/>
    <w:rsid w:val="000030C1"/>
    <w:rsid w:val="00006773"/>
    <w:rsid w:val="000077AD"/>
    <w:rsid w:val="000078AF"/>
    <w:rsid w:val="00007AA3"/>
    <w:rsid w:val="000111E6"/>
    <w:rsid w:val="00013546"/>
    <w:rsid w:val="0001419A"/>
    <w:rsid w:val="00015EC3"/>
    <w:rsid w:val="000263AB"/>
    <w:rsid w:val="00027F18"/>
    <w:rsid w:val="00033341"/>
    <w:rsid w:val="00033C5C"/>
    <w:rsid w:val="00033CDC"/>
    <w:rsid w:val="00033D5A"/>
    <w:rsid w:val="00035A0C"/>
    <w:rsid w:val="00047B9A"/>
    <w:rsid w:val="000502DF"/>
    <w:rsid w:val="00051467"/>
    <w:rsid w:val="00051C56"/>
    <w:rsid w:val="000564EF"/>
    <w:rsid w:val="00062795"/>
    <w:rsid w:val="00062C6B"/>
    <w:rsid w:val="00065B53"/>
    <w:rsid w:val="00066A5A"/>
    <w:rsid w:val="000675E5"/>
    <w:rsid w:val="00083063"/>
    <w:rsid w:val="00086F86"/>
    <w:rsid w:val="00090ED4"/>
    <w:rsid w:val="00091857"/>
    <w:rsid w:val="00094053"/>
    <w:rsid w:val="00095526"/>
    <w:rsid w:val="0009729F"/>
    <w:rsid w:val="000A16F8"/>
    <w:rsid w:val="000A23BB"/>
    <w:rsid w:val="000A2C57"/>
    <w:rsid w:val="000B0753"/>
    <w:rsid w:val="000B0FF3"/>
    <w:rsid w:val="000B42BE"/>
    <w:rsid w:val="000B4F87"/>
    <w:rsid w:val="000B55D1"/>
    <w:rsid w:val="000B7E8A"/>
    <w:rsid w:val="000C1C63"/>
    <w:rsid w:val="000C4080"/>
    <w:rsid w:val="000D1B2C"/>
    <w:rsid w:val="000E248C"/>
    <w:rsid w:val="000E36CE"/>
    <w:rsid w:val="000F20F8"/>
    <w:rsid w:val="000F2A41"/>
    <w:rsid w:val="0010111D"/>
    <w:rsid w:val="00106128"/>
    <w:rsid w:val="00107A68"/>
    <w:rsid w:val="00107FDF"/>
    <w:rsid w:val="00113446"/>
    <w:rsid w:val="001149A8"/>
    <w:rsid w:val="00120E58"/>
    <w:rsid w:val="001213CE"/>
    <w:rsid w:val="0012434A"/>
    <w:rsid w:val="00126190"/>
    <w:rsid w:val="001354F2"/>
    <w:rsid w:val="00142D5B"/>
    <w:rsid w:val="00150282"/>
    <w:rsid w:val="00151627"/>
    <w:rsid w:val="0015594A"/>
    <w:rsid w:val="00157553"/>
    <w:rsid w:val="00163837"/>
    <w:rsid w:val="00170EE7"/>
    <w:rsid w:val="00171D53"/>
    <w:rsid w:val="00176931"/>
    <w:rsid w:val="00177588"/>
    <w:rsid w:val="00180471"/>
    <w:rsid w:val="001818E6"/>
    <w:rsid w:val="00181E56"/>
    <w:rsid w:val="00183408"/>
    <w:rsid w:val="00185247"/>
    <w:rsid w:val="001936CD"/>
    <w:rsid w:val="00194AA4"/>
    <w:rsid w:val="00194CC0"/>
    <w:rsid w:val="00195E9A"/>
    <w:rsid w:val="00196444"/>
    <w:rsid w:val="001966F4"/>
    <w:rsid w:val="0019688F"/>
    <w:rsid w:val="00197F95"/>
    <w:rsid w:val="001A0659"/>
    <w:rsid w:val="001A3E33"/>
    <w:rsid w:val="001A4147"/>
    <w:rsid w:val="001B1A43"/>
    <w:rsid w:val="001B1A8C"/>
    <w:rsid w:val="001B66F0"/>
    <w:rsid w:val="001B79A1"/>
    <w:rsid w:val="001C0D9F"/>
    <w:rsid w:val="001C2467"/>
    <w:rsid w:val="001C2F0C"/>
    <w:rsid w:val="001C6D4D"/>
    <w:rsid w:val="001C7F19"/>
    <w:rsid w:val="001D1990"/>
    <w:rsid w:val="001D33A8"/>
    <w:rsid w:val="001D6C27"/>
    <w:rsid w:val="001D6D75"/>
    <w:rsid w:val="001E5BA3"/>
    <w:rsid w:val="00200964"/>
    <w:rsid w:val="00201301"/>
    <w:rsid w:val="002067FB"/>
    <w:rsid w:val="002069D8"/>
    <w:rsid w:val="002079E5"/>
    <w:rsid w:val="00215C63"/>
    <w:rsid w:val="00216810"/>
    <w:rsid w:val="00217F35"/>
    <w:rsid w:val="00220249"/>
    <w:rsid w:val="0022340C"/>
    <w:rsid w:val="00230352"/>
    <w:rsid w:val="0023189A"/>
    <w:rsid w:val="0023301F"/>
    <w:rsid w:val="0024261C"/>
    <w:rsid w:val="0024337D"/>
    <w:rsid w:val="00243D2E"/>
    <w:rsid w:val="00251286"/>
    <w:rsid w:val="002513EE"/>
    <w:rsid w:val="00256FBB"/>
    <w:rsid w:val="00270763"/>
    <w:rsid w:val="0027156E"/>
    <w:rsid w:val="002724A4"/>
    <w:rsid w:val="00277E78"/>
    <w:rsid w:val="00286371"/>
    <w:rsid w:val="00290121"/>
    <w:rsid w:val="0029604C"/>
    <w:rsid w:val="0029630D"/>
    <w:rsid w:val="00297266"/>
    <w:rsid w:val="002A277D"/>
    <w:rsid w:val="002A622C"/>
    <w:rsid w:val="002A6A2A"/>
    <w:rsid w:val="002A79BB"/>
    <w:rsid w:val="002C0C89"/>
    <w:rsid w:val="002C204C"/>
    <w:rsid w:val="002C24D0"/>
    <w:rsid w:val="002C66EE"/>
    <w:rsid w:val="002C75DE"/>
    <w:rsid w:val="002D3145"/>
    <w:rsid w:val="002D651B"/>
    <w:rsid w:val="002E5A1F"/>
    <w:rsid w:val="002F1CBD"/>
    <w:rsid w:val="002F3349"/>
    <w:rsid w:val="002F791E"/>
    <w:rsid w:val="00300DAE"/>
    <w:rsid w:val="00302001"/>
    <w:rsid w:val="00302EF9"/>
    <w:rsid w:val="00304578"/>
    <w:rsid w:val="00306CCA"/>
    <w:rsid w:val="00307BA1"/>
    <w:rsid w:val="00311B93"/>
    <w:rsid w:val="00314775"/>
    <w:rsid w:val="00320666"/>
    <w:rsid w:val="003239FD"/>
    <w:rsid w:val="0034034B"/>
    <w:rsid w:val="00341A50"/>
    <w:rsid w:val="003425AD"/>
    <w:rsid w:val="00344EFC"/>
    <w:rsid w:val="00345639"/>
    <w:rsid w:val="00346D24"/>
    <w:rsid w:val="00347DF9"/>
    <w:rsid w:val="0035314F"/>
    <w:rsid w:val="00353777"/>
    <w:rsid w:val="00356CBC"/>
    <w:rsid w:val="00357CCA"/>
    <w:rsid w:val="00366981"/>
    <w:rsid w:val="00366BA6"/>
    <w:rsid w:val="003723E7"/>
    <w:rsid w:val="00372757"/>
    <w:rsid w:val="00372B33"/>
    <w:rsid w:val="00373A34"/>
    <w:rsid w:val="00382D35"/>
    <w:rsid w:val="00385680"/>
    <w:rsid w:val="00385998"/>
    <w:rsid w:val="00385DC6"/>
    <w:rsid w:val="0039085D"/>
    <w:rsid w:val="00390D55"/>
    <w:rsid w:val="00392397"/>
    <w:rsid w:val="00393DBC"/>
    <w:rsid w:val="00397A00"/>
    <w:rsid w:val="003A4B9F"/>
    <w:rsid w:val="003A6CE6"/>
    <w:rsid w:val="003A7CAA"/>
    <w:rsid w:val="003B54E7"/>
    <w:rsid w:val="003B6C2B"/>
    <w:rsid w:val="003B6D1A"/>
    <w:rsid w:val="003C1C87"/>
    <w:rsid w:val="003D307D"/>
    <w:rsid w:val="003D3A59"/>
    <w:rsid w:val="003D4F8E"/>
    <w:rsid w:val="003D63D7"/>
    <w:rsid w:val="003E1091"/>
    <w:rsid w:val="003E2E73"/>
    <w:rsid w:val="003E3100"/>
    <w:rsid w:val="003F13FA"/>
    <w:rsid w:val="003F2734"/>
    <w:rsid w:val="003F3B6B"/>
    <w:rsid w:val="0040107E"/>
    <w:rsid w:val="004036E7"/>
    <w:rsid w:val="00412396"/>
    <w:rsid w:val="00412C05"/>
    <w:rsid w:val="004217F2"/>
    <w:rsid w:val="004218A6"/>
    <w:rsid w:val="00433180"/>
    <w:rsid w:val="00434332"/>
    <w:rsid w:val="0044001C"/>
    <w:rsid w:val="00444A9B"/>
    <w:rsid w:val="00447014"/>
    <w:rsid w:val="004542BA"/>
    <w:rsid w:val="004565A7"/>
    <w:rsid w:val="004616CB"/>
    <w:rsid w:val="004626FA"/>
    <w:rsid w:val="00462B8B"/>
    <w:rsid w:val="004632AD"/>
    <w:rsid w:val="00463EF7"/>
    <w:rsid w:val="00465238"/>
    <w:rsid w:val="00466676"/>
    <w:rsid w:val="00466756"/>
    <w:rsid w:val="00467A67"/>
    <w:rsid w:val="00471343"/>
    <w:rsid w:val="00484500"/>
    <w:rsid w:val="00485552"/>
    <w:rsid w:val="00486EAF"/>
    <w:rsid w:val="00487719"/>
    <w:rsid w:val="00492DE9"/>
    <w:rsid w:val="004946E5"/>
    <w:rsid w:val="0049552B"/>
    <w:rsid w:val="004A2C5C"/>
    <w:rsid w:val="004A6547"/>
    <w:rsid w:val="004A70A3"/>
    <w:rsid w:val="004B050B"/>
    <w:rsid w:val="004B1E15"/>
    <w:rsid w:val="004B2D7B"/>
    <w:rsid w:val="004B3255"/>
    <w:rsid w:val="004B5A1B"/>
    <w:rsid w:val="004B7333"/>
    <w:rsid w:val="004C73FB"/>
    <w:rsid w:val="004D0D43"/>
    <w:rsid w:val="004D3EB3"/>
    <w:rsid w:val="004D4073"/>
    <w:rsid w:val="004D6FCA"/>
    <w:rsid w:val="004D78E0"/>
    <w:rsid w:val="004E4D9F"/>
    <w:rsid w:val="004F0C55"/>
    <w:rsid w:val="004F1C74"/>
    <w:rsid w:val="004F49D6"/>
    <w:rsid w:val="004F638B"/>
    <w:rsid w:val="00504D67"/>
    <w:rsid w:val="00506E8C"/>
    <w:rsid w:val="005071CF"/>
    <w:rsid w:val="00507DBC"/>
    <w:rsid w:val="00511DB0"/>
    <w:rsid w:val="00512027"/>
    <w:rsid w:val="00512BB3"/>
    <w:rsid w:val="005171EF"/>
    <w:rsid w:val="00522702"/>
    <w:rsid w:val="00522E65"/>
    <w:rsid w:val="00530455"/>
    <w:rsid w:val="0053219A"/>
    <w:rsid w:val="00533601"/>
    <w:rsid w:val="00534734"/>
    <w:rsid w:val="00535268"/>
    <w:rsid w:val="0053595A"/>
    <w:rsid w:val="00544960"/>
    <w:rsid w:val="0055141A"/>
    <w:rsid w:val="00554DAC"/>
    <w:rsid w:val="0055578E"/>
    <w:rsid w:val="00555D97"/>
    <w:rsid w:val="005605F5"/>
    <w:rsid w:val="00564AD7"/>
    <w:rsid w:val="00564F54"/>
    <w:rsid w:val="00567A1B"/>
    <w:rsid w:val="005762A8"/>
    <w:rsid w:val="00576D27"/>
    <w:rsid w:val="00576F31"/>
    <w:rsid w:val="00580B7C"/>
    <w:rsid w:val="0058167F"/>
    <w:rsid w:val="00582476"/>
    <w:rsid w:val="00585B4B"/>
    <w:rsid w:val="00586120"/>
    <w:rsid w:val="00587EAB"/>
    <w:rsid w:val="005928A0"/>
    <w:rsid w:val="00594B11"/>
    <w:rsid w:val="00594B93"/>
    <w:rsid w:val="005A5360"/>
    <w:rsid w:val="005A66B8"/>
    <w:rsid w:val="005A686E"/>
    <w:rsid w:val="005B1091"/>
    <w:rsid w:val="005B7E9D"/>
    <w:rsid w:val="005C0244"/>
    <w:rsid w:val="005C0560"/>
    <w:rsid w:val="005C393C"/>
    <w:rsid w:val="005C64B3"/>
    <w:rsid w:val="005C66FC"/>
    <w:rsid w:val="005D6F5F"/>
    <w:rsid w:val="005F02ED"/>
    <w:rsid w:val="005F06E1"/>
    <w:rsid w:val="005F22D0"/>
    <w:rsid w:val="005F3C8D"/>
    <w:rsid w:val="005F7D76"/>
    <w:rsid w:val="00602124"/>
    <w:rsid w:val="006159F2"/>
    <w:rsid w:val="00620843"/>
    <w:rsid w:val="00622909"/>
    <w:rsid w:val="0062397F"/>
    <w:rsid w:val="00624D66"/>
    <w:rsid w:val="0062696D"/>
    <w:rsid w:val="00630712"/>
    <w:rsid w:val="00635AA5"/>
    <w:rsid w:val="00642F4B"/>
    <w:rsid w:val="00643B4A"/>
    <w:rsid w:val="00647906"/>
    <w:rsid w:val="00651A6C"/>
    <w:rsid w:val="006648DE"/>
    <w:rsid w:val="00675707"/>
    <w:rsid w:val="0067593E"/>
    <w:rsid w:val="006829A5"/>
    <w:rsid w:val="00685BC0"/>
    <w:rsid w:val="00686A87"/>
    <w:rsid w:val="0069446A"/>
    <w:rsid w:val="00694B9B"/>
    <w:rsid w:val="00696BAA"/>
    <w:rsid w:val="006A118F"/>
    <w:rsid w:val="006A331B"/>
    <w:rsid w:val="006B405F"/>
    <w:rsid w:val="006B5301"/>
    <w:rsid w:val="006C025F"/>
    <w:rsid w:val="006C2DBF"/>
    <w:rsid w:val="006C3581"/>
    <w:rsid w:val="006C4529"/>
    <w:rsid w:val="006D0100"/>
    <w:rsid w:val="006E3886"/>
    <w:rsid w:val="006F1EEC"/>
    <w:rsid w:val="006F5E49"/>
    <w:rsid w:val="006F6C68"/>
    <w:rsid w:val="007001FE"/>
    <w:rsid w:val="007065E7"/>
    <w:rsid w:val="00707AA7"/>
    <w:rsid w:val="007115C2"/>
    <w:rsid w:val="0071199A"/>
    <w:rsid w:val="00712231"/>
    <w:rsid w:val="00716282"/>
    <w:rsid w:val="007178DC"/>
    <w:rsid w:val="0072309D"/>
    <w:rsid w:val="00731EFE"/>
    <w:rsid w:val="00732026"/>
    <w:rsid w:val="007361D5"/>
    <w:rsid w:val="007405C9"/>
    <w:rsid w:val="00745BC3"/>
    <w:rsid w:val="0075000E"/>
    <w:rsid w:val="00754248"/>
    <w:rsid w:val="007552D7"/>
    <w:rsid w:val="00761D30"/>
    <w:rsid w:val="00765028"/>
    <w:rsid w:val="00770F89"/>
    <w:rsid w:val="00771AD9"/>
    <w:rsid w:val="00771F6E"/>
    <w:rsid w:val="00772C8D"/>
    <w:rsid w:val="00775848"/>
    <w:rsid w:val="0078305B"/>
    <w:rsid w:val="007845A5"/>
    <w:rsid w:val="00793EFC"/>
    <w:rsid w:val="007A08E1"/>
    <w:rsid w:val="007A2B05"/>
    <w:rsid w:val="007A38AD"/>
    <w:rsid w:val="007A52CD"/>
    <w:rsid w:val="007B0ADC"/>
    <w:rsid w:val="007B1A17"/>
    <w:rsid w:val="007B1E39"/>
    <w:rsid w:val="007B2140"/>
    <w:rsid w:val="007B4357"/>
    <w:rsid w:val="007B4FB5"/>
    <w:rsid w:val="007B6A0A"/>
    <w:rsid w:val="007C15C7"/>
    <w:rsid w:val="007C4CE8"/>
    <w:rsid w:val="007C762D"/>
    <w:rsid w:val="007D53E4"/>
    <w:rsid w:val="007E1139"/>
    <w:rsid w:val="007E113F"/>
    <w:rsid w:val="007E4EC0"/>
    <w:rsid w:val="007F1008"/>
    <w:rsid w:val="007F121A"/>
    <w:rsid w:val="007F2E7F"/>
    <w:rsid w:val="007F3328"/>
    <w:rsid w:val="008004A3"/>
    <w:rsid w:val="00801569"/>
    <w:rsid w:val="00802D91"/>
    <w:rsid w:val="00807E3E"/>
    <w:rsid w:val="0081096F"/>
    <w:rsid w:val="00811AA1"/>
    <w:rsid w:val="008144EF"/>
    <w:rsid w:val="008230AD"/>
    <w:rsid w:val="0082676E"/>
    <w:rsid w:val="00827CA3"/>
    <w:rsid w:val="0083697A"/>
    <w:rsid w:val="00850685"/>
    <w:rsid w:val="00852E62"/>
    <w:rsid w:val="00854B55"/>
    <w:rsid w:val="00862F2E"/>
    <w:rsid w:val="00863B02"/>
    <w:rsid w:val="00874803"/>
    <w:rsid w:val="00877DBF"/>
    <w:rsid w:val="00880C88"/>
    <w:rsid w:val="008820CD"/>
    <w:rsid w:val="00884073"/>
    <w:rsid w:val="00884C47"/>
    <w:rsid w:val="00885CDF"/>
    <w:rsid w:val="00890F3B"/>
    <w:rsid w:val="00892937"/>
    <w:rsid w:val="00894406"/>
    <w:rsid w:val="00897948"/>
    <w:rsid w:val="008A0FAA"/>
    <w:rsid w:val="008A235C"/>
    <w:rsid w:val="008A7050"/>
    <w:rsid w:val="008A71B2"/>
    <w:rsid w:val="008A7D4C"/>
    <w:rsid w:val="008B5B0E"/>
    <w:rsid w:val="008C22D4"/>
    <w:rsid w:val="008C256A"/>
    <w:rsid w:val="008C50ED"/>
    <w:rsid w:val="008C7EEC"/>
    <w:rsid w:val="008D07CF"/>
    <w:rsid w:val="008D14C6"/>
    <w:rsid w:val="008E3B16"/>
    <w:rsid w:val="008E4E7D"/>
    <w:rsid w:val="008E50EA"/>
    <w:rsid w:val="008F4923"/>
    <w:rsid w:val="008F717B"/>
    <w:rsid w:val="009026E1"/>
    <w:rsid w:val="00902CA1"/>
    <w:rsid w:val="009053F0"/>
    <w:rsid w:val="00910451"/>
    <w:rsid w:val="00911D00"/>
    <w:rsid w:val="00916D80"/>
    <w:rsid w:val="00917D22"/>
    <w:rsid w:val="0092222C"/>
    <w:rsid w:val="0092337E"/>
    <w:rsid w:val="00924A88"/>
    <w:rsid w:val="00925855"/>
    <w:rsid w:val="0092601A"/>
    <w:rsid w:val="009264F7"/>
    <w:rsid w:val="00931E82"/>
    <w:rsid w:val="0093298E"/>
    <w:rsid w:val="00941CDB"/>
    <w:rsid w:val="009455C2"/>
    <w:rsid w:val="00945BA2"/>
    <w:rsid w:val="00950355"/>
    <w:rsid w:val="00950E3F"/>
    <w:rsid w:val="00951815"/>
    <w:rsid w:val="009550D0"/>
    <w:rsid w:val="009600E2"/>
    <w:rsid w:val="00960692"/>
    <w:rsid w:val="00980134"/>
    <w:rsid w:val="00983369"/>
    <w:rsid w:val="00984202"/>
    <w:rsid w:val="00987A98"/>
    <w:rsid w:val="0099058D"/>
    <w:rsid w:val="00990C2A"/>
    <w:rsid w:val="00990C7A"/>
    <w:rsid w:val="009912EA"/>
    <w:rsid w:val="00994DD4"/>
    <w:rsid w:val="00994DF5"/>
    <w:rsid w:val="00995283"/>
    <w:rsid w:val="0099776B"/>
    <w:rsid w:val="009A35FD"/>
    <w:rsid w:val="009B1B7C"/>
    <w:rsid w:val="009B2360"/>
    <w:rsid w:val="009C06B7"/>
    <w:rsid w:val="009C5319"/>
    <w:rsid w:val="009C6673"/>
    <w:rsid w:val="009D2F22"/>
    <w:rsid w:val="009D5008"/>
    <w:rsid w:val="009D612D"/>
    <w:rsid w:val="009E224C"/>
    <w:rsid w:val="009E2F41"/>
    <w:rsid w:val="009E64BC"/>
    <w:rsid w:val="009E70C3"/>
    <w:rsid w:val="009F04A8"/>
    <w:rsid w:val="009F26E4"/>
    <w:rsid w:val="009F3B2C"/>
    <w:rsid w:val="00A01C8C"/>
    <w:rsid w:val="00A02909"/>
    <w:rsid w:val="00A02F87"/>
    <w:rsid w:val="00A053D4"/>
    <w:rsid w:val="00A055D2"/>
    <w:rsid w:val="00A0704C"/>
    <w:rsid w:val="00A07307"/>
    <w:rsid w:val="00A07C38"/>
    <w:rsid w:val="00A1013C"/>
    <w:rsid w:val="00A13D6D"/>
    <w:rsid w:val="00A15B11"/>
    <w:rsid w:val="00A206E1"/>
    <w:rsid w:val="00A20EF9"/>
    <w:rsid w:val="00A33252"/>
    <w:rsid w:val="00A352D1"/>
    <w:rsid w:val="00A427F8"/>
    <w:rsid w:val="00A4642C"/>
    <w:rsid w:val="00A465DE"/>
    <w:rsid w:val="00A55343"/>
    <w:rsid w:val="00A56457"/>
    <w:rsid w:val="00A632F5"/>
    <w:rsid w:val="00A63859"/>
    <w:rsid w:val="00A659C1"/>
    <w:rsid w:val="00A70D36"/>
    <w:rsid w:val="00A71244"/>
    <w:rsid w:val="00A75012"/>
    <w:rsid w:val="00A75904"/>
    <w:rsid w:val="00A75F9C"/>
    <w:rsid w:val="00A8100E"/>
    <w:rsid w:val="00A96DE5"/>
    <w:rsid w:val="00AA0AA8"/>
    <w:rsid w:val="00AA2665"/>
    <w:rsid w:val="00AA2EEB"/>
    <w:rsid w:val="00AB03F8"/>
    <w:rsid w:val="00AB35D1"/>
    <w:rsid w:val="00AB4523"/>
    <w:rsid w:val="00AB5C0A"/>
    <w:rsid w:val="00AC37E3"/>
    <w:rsid w:val="00AC697F"/>
    <w:rsid w:val="00AD12D1"/>
    <w:rsid w:val="00AD52B8"/>
    <w:rsid w:val="00AD5F55"/>
    <w:rsid w:val="00AD6149"/>
    <w:rsid w:val="00AE01AE"/>
    <w:rsid w:val="00AE1E5C"/>
    <w:rsid w:val="00AE3230"/>
    <w:rsid w:val="00AE460C"/>
    <w:rsid w:val="00AE4930"/>
    <w:rsid w:val="00AE5903"/>
    <w:rsid w:val="00AF413A"/>
    <w:rsid w:val="00AF4BCC"/>
    <w:rsid w:val="00AF6AE4"/>
    <w:rsid w:val="00AF6F98"/>
    <w:rsid w:val="00AF7E84"/>
    <w:rsid w:val="00B14320"/>
    <w:rsid w:val="00B1444A"/>
    <w:rsid w:val="00B14E1E"/>
    <w:rsid w:val="00B23A0A"/>
    <w:rsid w:val="00B25FB6"/>
    <w:rsid w:val="00B30613"/>
    <w:rsid w:val="00B31261"/>
    <w:rsid w:val="00B33073"/>
    <w:rsid w:val="00B37A43"/>
    <w:rsid w:val="00B37A8B"/>
    <w:rsid w:val="00B40791"/>
    <w:rsid w:val="00B415BF"/>
    <w:rsid w:val="00B57FAE"/>
    <w:rsid w:val="00B61852"/>
    <w:rsid w:val="00B66AF9"/>
    <w:rsid w:val="00B7265E"/>
    <w:rsid w:val="00B7435A"/>
    <w:rsid w:val="00B75B2B"/>
    <w:rsid w:val="00B76225"/>
    <w:rsid w:val="00B77949"/>
    <w:rsid w:val="00B826FA"/>
    <w:rsid w:val="00B8292A"/>
    <w:rsid w:val="00B86821"/>
    <w:rsid w:val="00B90750"/>
    <w:rsid w:val="00B96A3E"/>
    <w:rsid w:val="00B97161"/>
    <w:rsid w:val="00B971B7"/>
    <w:rsid w:val="00B9785F"/>
    <w:rsid w:val="00B97DBE"/>
    <w:rsid w:val="00BA001B"/>
    <w:rsid w:val="00BA281A"/>
    <w:rsid w:val="00BA46D6"/>
    <w:rsid w:val="00BB4217"/>
    <w:rsid w:val="00BB4FE4"/>
    <w:rsid w:val="00BB629D"/>
    <w:rsid w:val="00BC4C78"/>
    <w:rsid w:val="00BC7861"/>
    <w:rsid w:val="00BD059A"/>
    <w:rsid w:val="00BE3FA9"/>
    <w:rsid w:val="00BE7CD3"/>
    <w:rsid w:val="00BF0A94"/>
    <w:rsid w:val="00BF0FC9"/>
    <w:rsid w:val="00BF1A7F"/>
    <w:rsid w:val="00BF7BE8"/>
    <w:rsid w:val="00BF7C0D"/>
    <w:rsid w:val="00C00731"/>
    <w:rsid w:val="00C01F1C"/>
    <w:rsid w:val="00C05BD8"/>
    <w:rsid w:val="00C06099"/>
    <w:rsid w:val="00C06DC4"/>
    <w:rsid w:val="00C108F1"/>
    <w:rsid w:val="00C21B8B"/>
    <w:rsid w:val="00C24C70"/>
    <w:rsid w:val="00C339D7"/>
    <w:rsid w:val="00C47780"/>
    <w:rsid w:val="00C52B63"/>
    <w:rsid w:val="00C65171"/>
    <w:rsid w:val="00C655CD"/>
    <w:rsid w:val="00C65892"/>
    <w:rsid w:val="00C67341"/>
    <w:rsid w:val="00C75214"/>
    <w:rsid w:val="00C81A9E"/>
    <w:rsid w:val="00C840D2"/>
    <w:rsid w:val="00C91053"/>
    <w:rsid w:val="00C91A34"/>
    <w:rsid w:val="00C92C6B"/>
    <w:rsid w:val="00C95465"/>
    <w:rsid w:val="00CB2FDF"/>
    <w:rsid w:val="00CB3DCF"/>
    <w:rsid w:val="00CB62D6"/>
    <w:rsid w:val="00CC4289"/>
    <w:rsid w:val="00CC43E3"/>
    <w:rsid w:val="00CC4A95"/>
    <w:rsid w:val="00CC52B4"/>
    <w:rsid w:val="00CC61CB"/>
    <w:rsid w:val="00CD0015"/>
    <w:rsid w:val="00CD4ED3"/>
    <w:rsid w:val="00CD68BC"/>
    <w:rsid w:val="00CE0140"/>
    <w:rsid w:val="00CE0D23"/>
    <w:rsid w:val="00CE1512"/>
    <w:rsid w:val="00CE34F9"/>
    <w:rsid w:val="00CE4245"/>
    <w:rsid w:val="00CE7134"/>
    <w:rsid w:val="00CF0748"/>
    <w:rsid w:val="00CF0941"/>
    <w:rsid w:val="00CF36BB"/>
    <w:rsid w:val="00CF533D"/>
    <w:rsid w:val="00D125B9"/>
    <w:rsid w:val="00D20165"/>
    <w:rsid w:val="00D21F95"/>
    <w:rsid w:val="00D2386F"/>
    <w:rsid w:val="00D26A97"/>
    <w:rsid w:val="00D3735C"/>
    <w:rsid w:val="00D40C21"/>
    <w:rsid w:val="00D51179"/>
    <w:rsid w:val="00D5735C"/>
    <w:rsid w:val="00D71F54"/>
    <w:rsid w:val="00D77F95"/>
    <w:rsid w:val="00D825BC"/>
    <w:rsid w:val="00D82861"/>
    <w:rsid w:val="00D86B28"/>
    <w:rsid w:val="00D9388A"/>
    <w:rsid w:val="00D96161"/>
    <w:rsid w:val="00D965AC"/>
    <w:rsid w:val="00DA4AC7"/>
    <w:rsid w:val="00DA7696"/>
    <w:rsid w:val="00DB0ABD"/>
    <w:rsid w:val="00DC1F33"/>
    <w:rsid w:val="00DC25DE"/>
    <w:rsid w:val="00DC3E26"/>
    <w:rsid w:val="00DC56B1"/>
    <w:rsid w:val="00DC7041"/>
    <w:rsid w:val="00DD1F2D"/>
    <w:rsid w:val="00DE44CA"/>
    <w:rsid w:val="00DE5D18"/>
    <w:rsid w:val="00DE79FE"/>
    <w:rsid w:val="00DF0905"/>
    <w:rsid w:val="00DF1860"/>
    <w:rsid w:val="00DF2EC7"/>
    <w:rsid w:val="00DF59EF"/>
    <w:rsid w:val="00E174E3"/>
    <w:rsid w:val="00E26FC1"/>
    <w:rsid w:val="00E339E4"/>
    <w:rsid w:val="00E35B34"/>
    <w:rsid w:val="00E36201"/>
    <w:rsid w:val="00E41BEB"/>
    <w:rsid w:val="00E517C4"/>
    <w:rsid w:val="00E52C4E"/>
    <w:rsid w:val="00E52E6F"/>
    <w:rsid w:val="00E5610B"/>
    <w:rsid w:val="00E568FA"/>
    <w:rsid w:val="00E62FC2"/>
    <w:rsid w:val="00E63AC3"/>
    <w:rsid w:val="00E63CD9"/>
    <w:rsid w:val="00E72B91"/>
    <w:rsid w:val="00E819B9"/>
    <w:rsid w:val="00E822BF"/>
    <w:rsid w:val="00E84323"/>
    <w:rsid w:val="00E845CE"/>
    <w:rsid w:val="00E90723"/>
    <w:rsid w:val="00E93603"/>
    <w:rsid w:val="00E93F29"/>
    <w:rsid w:val="00E9440B"/>
    <w:rsid w:val="00E96428"/>
    <w:rsid w:val="00EA6384"/>
    <w:rsid w:val="00EB51A6"/>
    <w:rsid w:val="00EC0BB2"/>
    <w:rsid w:val="00EC1145"/>
    <w:rsid w:val="00EC3122"/>
    <w:rsid w:val="00EC4337"/>
    <w:rsid w:val="00EC4E3A"/>
    <w:rsid w:val="00EC73D5"/>
    <w:rsid w:val="00ED0B1D"/>
    <w:rsid w:val="00ED2091"/>
    <w:rsid w:val="00ED6AB1"/>
    <w:rsid w:val="00ED7F37"/>
    <w:rsid w:val="00EE0443"/>
    <w:rsid w:val="00EF1211"/>
    <w:rsid w:val="00EF61C8"/>
    <w:rsid w:val="00EF66E7"/>
    <w:rsid w:val="00EF7EAC"/>
    <w:rsid w:val="00F04C84"/>
    <w:rsid w:val="00F15775"/>
    <w:rsid w:val="00F21A54"/>
    <w:rsid w:val="00F2583E"/>
    <w:rsid w:val="00F25FA1"/>
    <w:rsid w:val="00F26CDC"/>
    <w:rsid w:val="00F27222"/>
    <w:rsid w:val="00F346EE"/>
    <w:rsid w:val="00F37B94"/>
    <w:rsid w:val="00F4381E"/>
    <w:rsid w:val="00F53AC5"/>
    <w:rsid w:val="00F5683E"/>
    <w:rsid w:val="00F63B6E"/>
    <w:rsid w:val="00F6457D"/>
    <w:rsid w:val="00F6689A"/>
    <w:rsid w:val="00F6795F"/>
    <w:rsid w:val="00F741BB"/>
    <w:rsid w:val="00F80540"/>
    <w:rsid w:val="00F83693"/>
    <w:rsid w:val="00F83F78"/>
    <w:rsid w:val="00F8449B"/>
    <w:rsid w:val="00F84B44"/>
    <w:rsid w:val="00F92DF7"/>
    <w:rsid w:val="00F9737D"/>
    <w:rsid w:val="00FA3498"/>
    <w:rsid w:val="00FC11D5"/>
    <w:rsid w:val="00FC3C54"/>
    <w:rsid w:val="00FC6E19"/>
    <w:rsid w:val="00FC795B"/>
    <w:rsid w:val="00FD59A5"/>
    <w:rsid w:val="00FE22F0"/>
    <w:rsid w:val="00FE589B"/>
    <w:rsid w:val="00FE71BF"/>
    <w:rsid w:val="00FE7C1D"/>
    <w:rsid w:val="00FF06AB"/>
    <w:rsid w:val="00FF1346"/>
    <w:rsid w:val="00FF43E8"/>
    <w:rsid w:val="00FF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6049A-9BEF-4172-9603-97A3AEE9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D66"/>
    <w:pPr>
      <w:widowControl w:val="0"/>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FrameContents">
    <w:name w:val="Frame Contents"/>
    <w:basedOn w:val="Normal"/>
    <w:rsid w:val="00902CA1"/>
    <w:pPr>
      <w:suppressAutoHyphens/>
      <w:spacing w:after="0" w:line="240" w:lineRule="auto"/>
    </w:pPr>
    <w:rPr>
      <w:rFonts w:ascii="Times New Roman" w:eastAsia="Times New Roman" w:hAnsi="Times New Roman" w:cs="Times New Roman"/>
      <w:color w:val="00000A"/>
      <w:sz w:val="24"/>
      <w:szCs w:val="24"/>
      <w:lang w:eastAsia="zh-CN"/>
    </w:rPr>
  </w:style>
  <w:style w:type="paragraph" w:styleId="ListParagraph">
    <w:name w:val="List Paragraph"/>
    <w:basedOn w:val="Normal"/>
    <w:uiPriority w:val="34"/>
    <w:qFormat/>
    <w:rsid w:val="008E3B16"/>
    <w:pPr>
      <w:ind w:left="720"/>
      <w:contextualSpacing/>
    </w:pPr>
  </w:style>
  <w:style w:type="paragraph" w:customStyle="1" w:styleId="CM10">
    <w:name w:val="CM10"/>
    <w:basedOn w:val="Default"/>
    <w:next w:val="Default"/>
    <w:rsid w:val="005F22D0"/>
    <w:pPr>
      <w:spacing w:after="425"/>
    </w:pPr>
    <w:rPr>
      <w:color w:val="00000A"/>
    </w:rPr>
  </w:style>
  <w:style w:type="character" w:styleId="Hyperlink">
    <w:name w:val="Hyperlink"/>
    <w:basedOn w:val="DefaultParagraphFont"/>
    <w:uiPriority w:val="99"/>
    <w:unhideWhenUsed/>
    <w:rsid w:val="004616CB"/>
    <w:rPr>
      <w:color w:val="0563C1" w:themeColor="hyperlink"/>
      <w:u w:val="single"/>
    </w:rPr>
  </w:style>
  <w:style w:type="paragraph" w:styleId="Header">
    <w:name w:val="header"/>
    <w:basedOn w:val="Normal"/>
    <w:link w:val="HeaderChar"/>
    <w:uiPriority w:val="99"/>
    <w:unhideWhenUsed/>
    <w:rsid w:val="0046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6CB"/>
  </w:style>
  <w:style w:type="paragraph" w:styleId="Footer">
    <w:name w:val="footer"/>
    <w:basedOn w:val="Normal"/>
    <w:link w:val="FooterChar"/>
    <w:uiPriority w:val="99"/>
    <w:unhideWhenUsed/>
    <w:rsid w:val="0046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6CB"/>
  </w:style>
  <w:style w:type="paragraph" w:styleId="FootnoteText">
    <w:name w:val="footnote text"/>
    <w:basedOn w:val="Normal"/>
    <w:link w:val="FootnoteTextChar"/>
    <w:uiPriority w:val="99"/>
    <w:unhideWhenUsed/>
    <w:rsid w:val="00854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B55"/>
    <w:rPr>
      <w:sz w:val="20"/>
      <w:szCs w:val="20"/>
    </w:rPr>
  </w:style>
  <w:style w:type="character" w:styleId="FootnoteReference">
    <w:name w:val="footnote reference"/>
    <w:basedOn w:val="DefaultParagraphFont"/>
    <w:uiPriority w:val="99"/>
    <w:unhideWhenUsed/>
    <w:rsid w:val="00854B55"/>
    <w:rPr>
      <w:vertAlign w:val="superscript"/>
    </w:rPr>
  </w:style>
  <w:style w:type="paragraph" w:styleId="Caption">
    <w:name w:val="caption"/>
    <w:basedOn w:val="Normal"/>
    <w:next w:val="Normal"/>
    <w:uiPriority w:val="35"/>
    <w:unhideWhenUsed/>
    <w:qFormat/>
    <w:rsid w:val="00C67341"/>
    <w:pPr>
      <w:spacing w:after="200" w:line="240" w:lineRule="auto"/>
    </w:pPr>
    <w:rPr>
      <w:i/>
      <w:iCs/>
      <w:color w:val="44546A" w:themeColor="text2"/>
      <w:sz w:val="18"/>
      <w:szCs w:val="18"/>
    </w:rPr>
  </w:style>
  <w:style w:type="paragraph" w:styleId="NoSpacing">
    <w:name w:val="No Spacing"/>
    <w:uiPriority w:val="1"/>
    <w:qFormat/>
    <w:rsid w:val="0055578E"/>
    <w:pPr>
      <w:spacing w:after="0" w:line="240" w:lineRule="auto"/>
    </w:pPr>
    <w:rPr>
      <w:rFonts w:ascii="Calibri" w:eastAsia="Calibri" w:hAnsi="Calibri" w:cs="Times New Roman"/>
    </w:rPr>
  </w:style>
  <w:style w:type="character" w:styleId="Emphasis">
    <w:name w:val="Emphasis"/>
    <w:basedOn w:val="DefaultParagraphFont"/>
    <w:uiPriority w:val="20"/>
    <w:qFormat/>
    <w:rsid w:val="00910451"/>
    <w:rPr>
      <w:i/>
      <w:iCs/>
    </w:rPr>
  </w:style>
  <w:style w:type="character" w:styleId="Strong">
    <w:name w:val="Strong"/>
    <w:basedOn w:val="DefaultParagraphFont"/>
    <w:uiPriority w:val="22"/>
    <w:qFormat/>
    <w:rsid w:val="00910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8266">
      <w:bodyDiv w:val="1"/>
      <w:marLeft w:val="0"/>
      <w:marRight w:val="0"/>
      <w:marTop w:val="0"/>
      <w:marBottom w:val="0"/>
      <w:divBdr>
        <w:top w:val="none" w:sz="0" w:space="0" w:color="auto"/>
        <w:left w:val="none" w:sz="0" w:space="0" w:color="auto"/>
        <w:bottom w:val="none" w:sz="0" w:space="0" w:color="auto"/>
        <w:right w:val="none" w:sz="0" w:space="0" w:color="auto"/>
      </w:divBdr>
      <w:divsChild>
        <w:div w:id="998777164">
          <w:marLeft w:val="0"/>
          <w:marRight w:val="0"/>
          <w:marTop w:val="0"/>
          <w:marBottom w:val="0"/>
          <w:divBdr>
            <w:top w:val="none" w:sz="0" w:space="0" w:color="auto"/>
            <w:left w:val="none" w:sz="0" w:space="0" w:color="auto"/>
            <w:bottom w:val="none" w:sz="0" w:space="0" w:color="auto"/>
            <w:right w:val="none" w:sz="0" w:space="0" w:color="auto"/>
          </w:divBdr>
        </w:div>
        <w:div w:id="1906183159">
          <w:marLeft w:val="0"/>
          <w:marRight w:val="0"/>
          <w:marTop w:val="0"/>
          <w:marBottom w:val="0"/>
          <w:divBdr>
            <w:top w:val="none" w:sz="0" w:space="0" w:color="auto"/>
            <w:left w:val="none" w:sz="0" w:space="0" w:color="auto"/>
            <w:bottom w:val="none" w:sz="0" w:space="0" w:color="auto"/>
            <w:right w:val="none" w:sz="0" w:space="0" w:color="auto"/>
          </w:divBdr>
        </w:div>
        <w:div w:id="544103807">
          <w:marLeft w:val="0"/>
          <w:marRight w:val="0"/>
          <w:marTop w:val="0"/>
          <w:marBottom w:val="0"/>
          <w:divBdr>
            <w:top w:val="none" w:sz="0" w:space="0" w:color="auto"/>
            <w:left w:val="none" w:sz="0" w:space="0" w:color="auto"/>
            <w:bottom w:val="none" w:sz="0" w:space="0" w:color="auto"/>
            <w:right w:val="none" w:sz="0" w:space="0" w:color="auto"/>
          </w:divBdr>
        </w:div>
      </w:divsChild>
    </w:div>
    <w:div w:id="297271764">
      <w:bodyDiv w:val="1"/>
      <w:marLeft w:val="0"/>
      <w:marRight w:val="0"/>
      <w:marTop w:val="0"/>
      <w:marBottom w:val="0"/>
      <w:divBdr>
        <w:top w:val="none" w:sz="0" w:space="0" w:color="auto"/>
        <w:left w:val="none" w:sz="0" w:space="0" w:color="auto"/>
        <w:bottom w:val="none" w:sz="0" w:space="0" w:color="auto"/>
        <w:right w:val="none" w:sz="0" w:space="0" w:color="auto"/>
      </w:divBdr>
    </w:div>
    <w:div w:id="561526328">
      <w:bodyDiv w:val="1"/>
      <w:marLeft w:val="0"/>
      <w:marRight w:val="0"/>
      <w:marTop w:val="0"/>
      <w:marBottom w:val="0"/>
      <w:divBdr>
        <w:top w:val="none" w:sz="0" w:space="0" w:color="auto"/>
        <w:left w:val="none" w:sz="0" w:space="0" w:color="auto"/>
        <w:bottom w:val="none" w:sz="0" w:space="0" w:color="auto"/>
        <w:right w:val="none" w:sz="0" w:space="0" w:color="auto"/>
      </w:divBdr>
    </w:div>
    <w:div w:id="674646008">
      <w:bodyDiv w:val="1"/>
      <w:marLeft w:val="0"/>
      <w:marRight w:val="0"/>
      <w:marTop w:val="0"/>
      <w:marBottom w:val="0"/>
      <w:divBdr>
        <w:top w:val="none" w:sz="0" w:space="0" w:color="auto"/>
        <w:left w:val="none" w:sz="0" w:space="0" w:color="auto"/>
        <w:bottom w:val="none" w:sz="0" w:space="0" w:color="auto"/>
        <w:right w:val="none" w:sz="0" w:space="0" w:color="auto"/>
      </w:divBdr>
    </w:div>
    <w:div w:id="710573187">
      <w:bodyDiv w:val="1"/>
      <w:marLeft w:val="0"/>
      <w:marRight w:val="0"/>
      <w:marTop w:val="0"/>
      <w:marBottom w:val="0"/>
      <w:divBdr>
        <w:top w:val="none" w:sz="0" w:space="0" w:color="auto"/>
        <w:left w:val="none" w:sz="0" w:space="0" w:color="auto"/>
        <w:bottom w:val="none" w:sz="0" w:space="0" w:color="auto"/>
        <w:right w:val="none" w:sz="0" w:space="0" w:color="auto"/>
      </w:divBdr>
    </w:div>
    <w:div w:id="898856442">
      <w:bodyDiv w:val="1"/>
      <w:marLeft w:val="0"/>
      <w:marRight w:val="0"/>
      <w:marTop w:val="0"/>
      <w:marBottom w:val="0"/>
      <w:divBdr>
        <w:top w:val="none" w:sz="0" w:space="0" w:color="auto"/>
        <w:left w:val="none" w:sz="0" w:space="0" w:color="auto"/>
        <w:bottom w:val="none" w:sz="0" w:space="0" w:color="auto"/>
        <w:right w:val="none" w:sz="0" w:space="0" w:color="auto"/>
      </w:divBdr>
      <w:divsChild>
        <w:div w:id="831259152">
          <w:marLeft w:val="0"/>
          <w:marRight w:val="0"/>
          <w:marTop w:val="0"/>
          <w:marBottom w:val="0"/>
          <w:divBdr>
            <w:top w:val="none" w:sz="0" w:space="0" w:color="auto"/>
            <w:left w:val="none" w:sz="0" w:space="0" w:color="auto"/>
            <w:bottom w:val="none" w:sz="0" w:space="0" w:color="auto"/>
            <w:right w:val="none" w:sz="0" w:space="0" w:color="auto"/>
          </w:divBdr>
        </w:div>
        <w:div w:id="765803812">
          <w:marLeft w:val="0"/>
          <w:marRight w:val="0"/>
          <w:marTop w:val="0"/>
          <w:marBottom w:val="0"/>
          <w:divBdr>
            <w:top w:val="none" w:sz="0" w:space="0" w:color="auto"/>
            <w:left w:val="none" w:sz="0" w:space="0" w:color="auto"/>
            <w:bottom w:val="none" w:sz="0" w:space="0" w:color="auto"/>
            <w:right w:val="none" w:sz="0" w:space="0" w:color="auto"/>
          </w:divBdr>
        </w:div>
      </w:divsChild>
    </w:div>
    <w:div w:id="1010646037">
      <w:bodyDiv w:val="1"/>
      <w:marLeft w:val="0"/>
      <w:marRight w:val="0"/>
      <w:marTop w:val="0"/>
      <w:marBottom w:val="0"/>
      <w:divBdr>
        <w:top w:val="none" w:sz="0" w:space="0" w:color="auto"/>
        <w:left w:val="none" w:sz="0" w:space="0" w:color="auto"/>
        <w:bottom w:val="none" w:sz="0" w:space="0" w:color="auto"/>
        <w:right w:val="none" w:sz="0" w:space="0" w:color="auto"/>
      </w:divBdr>
      <w:divsChild>
        <w:div w:id="433551027">
          <w:marLeft w:val="0"/>
          <w:marRight w:val="0"/>
          <w:marTop w:val="0"/>
          <w:marBottom w:val="0"/>
          <w:divBdr>
            <w:top w:val="none" w:sz="0" w:space="0" w:color="auto"/>
            <w:left w:val="none" w:sz="0" w:space="0" w:color="auto"/>
            <w:bottom w:val="none" w:sz="0" w:space="0" w:color="auto"/>
            <w:right w:val="none" w:sz="0" w:space="0" w:color="auto"/>
          </w:divBdr>
        </w:div>
        <w:div w:id="1625771278">
          <w:marLeft w:val="0"/>
          <w:marRight w:val="0"/>
          <w:marTop w:val="0"/>
          <w:marBottom w:val="0"/>
          <w:divBdr>
            <w:top w:val="none" w:sz="0" w:space="0" w:color="auto"/>
            <w:left w:val="none" w:sz="0" w:space="0" w:color="auto"/>
            <w:bottom w:val="none" w:sz="0" w:space="0" w:color="auto"/>
            <w:right w:val="none" w:sz="0" w:space="0" w:color="auto"/>
          </w:divBdr>
        </w:div>
        <w:div w:id="709721304">
          <w:marLeft w:val="0"/>
          <w:marRight w:val="0"/>
          <w:marTop w:val="0"/>
          <w:marBottom w:val="0"/>
          <w:divBdr>
            <w:top w:val="none" w:sz="0" w:space="0" w:color="auto"/>
            <w:left w:val="none" w:sz="0" w:space="0" w:color="auto"/>
            <w:bottom w:val="none" w:sz="0" w:space="0" w:color="auto"/>
            <w:right w:val="none" w:sz="0" w:space="0" w:color="auto"/>
          </w:divBdr>
        </w:div>
        <w:div w:id="464979132">
          <w:marLeft w:val="0"/>
          <w:marRight w:val="0"/>
          <w:marTop w:val="0"/>
          <w:marBottom w:val="0"/>
          <w:divBdr>
            <w:top w:val="none" w:sz="0" w:space="0" w:color="auto"/>
            <w:left w:val="none" w:sz="0" w:space="0" w:color="auto"/>
            <w:bottom w:val="none" w:sz="0" w:space="0" w:color="auto"/>
            <w:right w:val="none" w:sz="0" w:space="0" w:color="auto"/>
          </w:divBdr>
        </w:div>
        <w:div w:id="387147965">
          <w:marLeft w:val="0"/>
          <w:marRight w:val="0"/>
          <w:marTop w:val="0"/>
          <w:marBottom w:val="0"/>
          <w:divBdr>
            <w:top w:val="none" w:sz="0" w:space="0" w:color="auto"/>
            <w:left w:val="none" w:sz="0" w:space="0" w:color="auto"/>
            <w:bottom w:val="none" w:sz="0" w:space="0" w:color="auto"/>
            <w:right w:val="none" w:sz="0" w:space="0" w:color="auto"/>
          </w:divBdr>
        </w:div>
      </w:divsChild>
    </w:div>
    <w:div w:id="1100906168">
      <w:bodyDiv w:val="1"/>
      <w:marLeft w:val="0"/>
      <w:marRight w:val="0"/>
      <w:marTop w:val="0"/>
      <w:marBottom w:val="0"/>
      <w:divBdr>
        <w:top w:val="none" w:sz="0" w:space="0" w:color="auto"/>
        <w:left w:val="none" w:sz="0" w:space="0" w:color="auto"/>
        <w:bottom w:val="none" w:sz="0" w:space="0" w:color="auto"/>
        <w:right w:val="none" w:sz="0" w:space="0" w:color="auto"/>
      </w:divBdr>
    </w:div>
    <w:div w:id="1210066327">
      <w:bodyDiv w:val="1"/>
      <w:marLeft w:val="0"/>
      <w:marRight w:val="0"/>
      <w:marTop w:val="0"/>
      <w:marBottom w:val="0"/>
      <w:divBdr>
        <w:top w:val="none" w:sz="0" w:space="0" w:color="auto"/>
        <w:left w:val="none" w:sz="0" w:space="0" w:color="auto"/>
        <w:bottom w:val="none" w:sz="0" w:space="0" w:color="auto"/>
        <w:right w:val="none" w:sz="0" w:space="0" w:color="auto"/>
      </w:divBdr>
    </w:div>
    <w:div w:id="1421297793">
      <w:bodyDiv w:val="1"/>
      <w:marLeft w:val="0"/>
      <w:marRight w:val="0"/>
      <w:marTop w:val="0"/>
      <w:marBottom w:val="0"/>
      <w:divBdr>
        <w:top w:val="none" w:sz="0" w:space="0" w:color="auto"/>
        <w:left w:val="none" w:sz="0" w:space="0" w:color="auto"/>
        <w:bottom w:val="none" w:sz="0" w:space="0" w:color="auto"/>
        <w:right w:val="none" w:sz="0" w:space="0" w:color="auto"/>
      </w:divBdr>
    </w:div>
    <w:div w:id="1513454243">
      <w:bodyDiv w:val="1"/>
      <w:marLeft w:val="0"/>
      <w:marRight w:val="0"/>
      <w:marTop w:val="0"/>
      <w:marBottom w:val="0"/>
      <w:divBdr>
        <w:top w:val="none" w:sz="0" w:space="0" w:color="auto"/>
        <w:left w:val="none" w:sz="0" w:space="0" w:color="auto"/>
        <w:bottom w:val="none" w:sz="0" w:space="0" w:color="auto"/>
        <w:right w:val="none" w:sz="0" w:space="0" w:color="auto"/>
      </w:divBdr>
    </w:div>
    <w:div w:id="1622027579">
      <w:bodyDiv w:val="1"/>
      <w:marLeft w:val="0"/>
      <w:marRight w:val="0"/>
      <w:marTop w:val="0"/>
      <w:marBottom w:val="0"/>
      <w:divBdr>
        <w:top w:val="none" w:sz="0" w:space="0" w:color="auto"/>
        <w:left w:val="none" w:sz="0" w:space="0" w:color="auto"/>
        <w:bottom w:val="none" w:sz="0" w:space="0" w:color="auto"/>
        <w:right w:val="none" w:sz="0" w:space="0" w:color="auto"/>
      </w:divBdr>
    </w:div>
    <w:div w:id="2017687882">
      <w:bodyDiv w:val="1"/>
      <w:marLeft w:val="0"/>
      <w:marRight w:val="0"/>
      <w:marTop w:val="0"/>
      <w:marBottom w:val="0"/>
      <w:divBdr>
        <w:top w:val="none" w:sz="0" w:space="0" w:color="auto"/>
        <w:left w:val="none" w:sz="0" w:space="0" w:color="auto"/>
        <w:bottom w:val="none" w:sz="0" w:space="0" w:color="auto"/>
        <w:right w:val="none" w:sz="0" w:space="0" w:color="auto"/>
      </w:divBdr>
      <w:divsChild>
        <w:div w:id="1357732678">
          <w:marLeft w:val="0"/>
          <w:marRight w:val="0"/>
          <w:marTop w:val="0"/>
          <w:marBottom w:val="0"/>
          <w:divBdr>
            <w:top w:val="none" w:sz="0" w:space="0" w:color="auto"/>
            <w:left w:val="none" w:sz="0" w:space="0" w:color="auto"/>
            <w:bottom w:val="none" w:sz="0" w:space="0" w:color="auto"/>
            <w:right w:val="none" w:sz="0" w:space="0" w:color="auto"/>
          </w:divBdr>
        </w:div>
        <w:div w:id="1057170532">
          <w:marLeft w:val="0"/>
          <w:marRight w:val="0"/>
          <w:marTop w:val="0"/>
          <w:marBottom w:val="0"/>
          <w:divBdr>
            <w:top w:val="none" w:sz="0" w:space="0" w:color="auto"/>
            <w:left w:val="none" w:sz="0" w:space="0" w:color="auto"/>
            <w:bottom w:val="none" w:sz="0" w:space="0" w:color="auto"/>
            <w:right w:val="none" w:sz="0" w:space="0" w:color="auto"/>
          </w:divBdr>
        </w:div>
        <w:div w:id="509831866">
          <w:marLeft w:val="0"/>
          <w:marRight w:val="0"/>
          <w:marTop w:val="0"/>
          <w:marBottom w:val="0"/>
          <w:divBdr>
            <w:top w:val="none" w:sz="0" w:space="0" w:color="auto"/>
            <w:left w:val="none" w:sz="0" w:space="0" w:color="auto"/>
            <w:bottom w:val="none" w:sz="0" w:space="0" w:color="auto"/>
            <w:right w:val="none" w:sz="0" w:space="0" w:color="auto"/>
          </w:divBdr>
        </w:div>
      </w:divsChild>
    </w:div>
    <w:div w:id="2042511275">
      <w:bodyDiv w:val="1"/>
      <w:marLeft w:val="0"/>
      <w:marRight w:val="0"/>
      <w:marTop w:val="0"/>
      <w:marBottom w:val="0"/>
      <w:divBdr>
        <w:top w:val="none" w:sz="0" w:space="0" w:color="auto"/>
        <w:left w:val="none" w:sz="0" w:space="0" w:color="auto"/>
        <w:bottom w:val="none" w:sz="0" w:space="0" w:color="auto"/>
        <w:right w:val="none" w:sz="0" w:space="0" w:color="auto"/>
      </w:divBdr>
      <w:divsChild>
        <w:div w:id="464081947">
          <w:marLeft w:val="0"/>
          <w:marRight w:val="0"/>
          <w:marTop w:val="0"/>
          <w:marBottom w:val="0"/>
          <w:divBdr>
            <w:top w:val="none" w:sz="0" w:space="0" w:color="auto"/>
            <w:left w:val="none" w:sz="0" w:space="0" w:color="auto"/>
            <w:bottom w:val="none" w:sz="0" w:space="0" w:color="auto"/>
            <w:right w:val="none" w:sz="0" w:space="0" w:color="auto"/>
          </w:divBdr>
        </w:div>
        <w:div w:id="508637213">
          <w:marLeft w:val="0"/>
          <w:marRight w:val="0"/>
          <w:marTop w:val="0"/>
          <w:marBottom w:val="0"/>
          <w:divBdr>
            <w:top w:val="none" w:sz="0" w:space="0" w:color="auto"/>
            <w:left w:val="none" w:sz="0" w:space="0" w:color="auto"/>
            <w:bottom w:val="none" w:sz="0" w:space="0" w:color="auto"/>
            <w:right w:val="none" w:sz="0" w:space="0" w:color="auto"/>
          </w:divBdr>
        </w:div>
        <w:div w:id="1677342735">
          <w:marLeft w:val="0"/>
          <w:marRight w:val="0"/>
          <w:marTop w:val="0"/>
          <w:marBottom w:val="0"/>
          <w:divBdr>
            <w:top w:val="none" w:sz="0" w:space="0" w:color="auto"/>
            <w:left w:val="none" w:sz="0" w:space="0" w:color="auto"/>
            <w:bottom w:val="none" w:sz="0" w:space="0" w:color="auto"/>
            <w:right w:val="none" w:sz="0" w:space="0" w:color="auto"/>
          </w:divBdr>
        </w:div>
        <w:div w:id="1098406803">
          <w:marLeft w:val="0"/>
          <w:marRight w:val="0"/>
          <w:marTop w:val="0"/>
          <w:marBottom w:val="0"/>
          <w:divBdr>
            <w:top w:val="none" w:sz="0" w:space="0" w:color="auto"/>
            <w:left w:val="none" w:sz="0" w:space="0" w:color="auto"/>
            <w:bottom w:val="none" w:sz="0" w:space="0" w:color="auto"/>
            <w:right w:val="none" w:sz="0" w:space="0" w:color="auto"/>
          </w:divBdr>
        </w:div>
        <w:div w:id="863329128">
          <w:marLeft w:val="0"/>
          <w:marRight w:val="0"/>
          <w:marTop w:val="0"/>
          <w:marBottom w:val="0"/>
          <w:divBdr>
            <w:top w:val="none" w:sz="0" w:space="0" w:color="auto"/>
            <w:left w:val="none" w:sz="0" w:space="0" w:color="auto"/>
            <w:bottom w:val="none" w:sz="0" w:space="0" w:color="auto"/>
            <w:right w:val="none" w:sz="0" w:space="0" w:color="auto"/>
          </w:divBdr>
        </w:div>
        <w:div w:id="1057628960">
          <w:marLeft w:val="0"/>
          <w:marRight w:val="0"/>
          <w:marTop w:val="0"/>
          <w:marBottom w:val="0"/>
          <w:divBdr>
            <w:top w:val="none" w:sz="0" w:space="0" w:color="auto"/>
            <w:left w:val="none" w:sz="0" w:space="0" w:color="auto"/>
            <w:bottom w:val="none" w:sz="0" w:space="0" w:color="auto"/>
            <w:right w:val="none" w:sz="0" w:space="0" w:color="auto"/>
          </w:divBdr>
        </w:div>
        <w:div w:id="533471037">
          <w:marLeft w:val="0"/>
          <w:marRight w:val="0"/>
          <w:marTop w:val="0"/>
          <w:marBottom w:val="0"/>
          <w:divBdr>
            <w:top w:val="none" w:sz="0" w:space="0" w:color="auto"/>
            <w:left w:val="none" w:sz="0" w:space="0" w:color="auto"/>
            <w:bottom w:val="none" w:sz="0" w:space="0" w:color="auto"/>
            <w:right w:val="none" w:sz="0" w:space="0" w:color="auto"/>
          </w:divBdr>
        </w:div>
      </w:divsChild>
    </w:div>
    <w:div w:id="2099713464">
      <w:bodyDiv w:val="1"/>
      <w:marLeft w:val="0"/>
      <w:marRight w:val="0"/>
      <w:marTop w:val="0"/>
      <w:marBottom w:val="0"/>
      <w:divBdr>
        <w:top w:val="none" w:sz="0" w:space="0" w:color="auto"/>
        <w:left w:val="none" w:sz="0" w:space="0" w:color="auto"/>
        <w:bottom w:val="none" w:sz="0" w:space="0" w:color="auto"/>
        <w:right w:val="none" w:sz="0" w:space="0" w:color="auto"/>
      </w:divBdr>
      <w:divsChild>
        <w:div w:id="970523690">
          <w:marLeft w:val="0"/>
          <w:marRight w:val="0"/>
          <w:marTop w:val="0"/>
          <w:marBottom w:val="0"/>
          <w:divBdr>
            <w:top w:val="none" w:sz="0" w:space="0" w:color="auto"/>
            <w:left w:val="none" w:sz="0" w:space="0" w:color="auto"/>
            <w:bottom w:val="none" w:sz="0" w:space="0" w:color="auto"/>
            <w:right w:val="none" w:sz="0" w:space="0" w:color="auto"/>
          </w:divBdr>
        </w:div>
        <w:div w:id="141616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dsworth@rhul.ac.uk"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eprints.lse.ac.uk/71596/1/blogs.lse.ac.uk-Who%20voted%20Leave%20the%20characteristics%20of%20individuals%20mattered%20but%20so%20did%20those%20of%20local%20areas.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ukandeu.ac.uk/research-papers/free-movement-after-brexit-policy-options/"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cep.lse.ac.uk/pubs/download/ea03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gov.uk/government/uploads/system/uploads/attachment_data/file/636286/2017_08_08_MAC_Briefing_paper.pdf"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assets.publishing.service.gov.uk/government/uploads/system/uploads/attachment_data/file/257255/report.pdf" TargetMode="Externa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yperlink" Target="https://www.ons.gov.uk/peoplepopulationandcommunity/populationandmigration/internationalmigration/datasets/migrationstatisticsquarterlyreportprovisionallongterminternationalmigrationltimestimat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employee-lose-sponsor-licence" TargetMode="External"/><Relationship Id="rId2" Type="http://schemas.openxmlformats.org/officeDocument/2006/relationships/hyperlink" Target="https://www.gov.uk/government/publications/immigration-statistics-year-ending-march-2018/summary-of-latest-statistics" TargetMode="External"/><Relationship Id="rId1" Type="http://schemas.openxmlformats.org/officeDocument/2006/relationships/hyperlink" Target="https://www.ipsos.com/ipsos-mori/en-uk/shifting-ground-attitudes-towards-immigration-and-brexit" TargetMode="External"/><Relationship Id="rId4" Type="http://schemas.openxmlformats.org/officeDocument/2006/relationships/hyperlink" Target="https://mediamythalert.wordpress.com/2011/06/14/too-early-to-say-zhou-was-speaking-about-1968-not-1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FBE8-FB69-47D7-A2E3-1389691C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6901</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Wadsworth</dc:creator>
  <cp:keywords/>
  <dc:description/>
  <cp:lastModifiedBy>Revan, Jade</cp:lastModifiedBy>
  <cp:revision>2</cp:revision>
  <dcterms:created xsi:type="dcterms:W3CDTF">2018-11-15T10:56:00Z</dcterms:created>
  <dcterms:modified xsi:type="dcterms:W3CDTF">2018-11-15T10:56:00Z</dcterms:modified>
</cp:coreProperties>
</file>