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F2478" w14:textId="46802259" w:rsidR="00710B34" w:rsidRPr="003F2012" w:rsidRDefault="00775282" w:rsidP="003F2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MEDIUM CHAIN FATTY ACIDS</w:t>
      </w:r>
    </w:p>
    <w:p w14:paraId="51E2FD23" w14:textId="4F96A169" w:rsidR="00710B34" w:rsidRPr="003F2012" w:rsidRDefault="000779B5" w:rsidP="00710B34">
      <w:pPr>
        <w:rPr>
          <w:rFonts w:ascii="Times New Roman" w:hAnsi="Times New Roman" w:cs="Times New Roman"/>
          <w:sz w:val="24"/>
          <w:szCs w:val="24"/>
        </w:rPr>
      </w:pPr>
      <w:r w:rsidRPr="003F2012">
        <w:rPr>
          <w:rFonts w:ascii="Times New Roman" w:hAnsi="Times New Roman" w:cs="Times New Roman"/>
          <w:sz w:val="24"/>
          <w:szCs w:val="24"/>
        </w:rPr>
        <w:t>*</w:t>
      </w:r>
      <w:r w:rsidR="00710B34" w:rsidRPr="003F2012">
        <w:rPr>
          <w:rFonts w:ascii="Times New Roman" w:hAnsi="Times New Roman" w:cs="Times New Roman"/>
          <w:sz w:val="24"/>
          <w:szCs w:val="24"/>
        </w:rPr>
        <w:t>M</w:t>
      </w:r>
      <w:r w:rsidRPr="003F2012">
        <w:rPr>
          <w:rFonts w:ascii="Times New Roman" w:hAnsi="Times New Roman" w:cs="Times New Roman"/>
          <w:sz w:val="24"/>
          <w:szCs w:val="24"/>
        </w:rPr>
        <w:t xml:space="preserve">atthew </w:t>
      </w:r>
      <w:r w:rsidR="00710B34" w:rsidRPr="003F2012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="00710B34" w:rsidRPr="003F2012">
        <w:rPr>
          <w:rFonts w:ascii="Times New Roman" w:hAnsi="Times New Roman" w:cs="Times New Roman"/>
          <w:sz w:val="24"/>
          <w:szCs w:val="24"/>
        </w:rPr>
        <w:t>Walker</w:t>
      </w:r>
      <w:r w:rsidRPr="003F2012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3F201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F2012">
        <w:rPr>
          <w:rFonts w:ascii="Times New Roman" w:hAnsi="Times New Roman" w:cs="Times New Roman"/>
          <w:sz w:val="24"/>
          <w:szCs w:val="24"/>
        </w:rPr>
        <w:t xml:space="preserve"> </w:t>
      </w:r>
      <w:r w:rsidRPr="003F2012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="00710B34" w:rsidRPr="003F2012">
        <w:rPr>
          <w:rFonts w:ascii="Times New Roman" w:hAnsi="Times New Roman" w:cs="Times New Roman"/>
          <w:sz w:val="24"/>
          <w:szCs w:val="24"/>
        </w:rPr>
        <w:t>R</w:t>
      </w:r>
      <w:r w:rsidRPr="003F2012">
        <w:rPr>
          <w:rFonts w:ascii="Times New Roman" w:hAnsi="Times New Roman" w:cs="Times New Roman"/>
          <w:sz w:val="24"/>
          <w:szCs w:val="24"/>
        </w:rPr>
        <w:t xml:space="preserve">obin </w:t>
      </w:r>
      <w:proofErr w:type="spellStart"/>
      <w:r w:rsidR="00710B34" w:rsidRPr="003F2012">
        <w:rPr>
          <w:rFonts w:ascii="Times New Roman" w:hAnsi="Times New Roman" w:cs="Times New Roman"/>
          <w:sz w:val="24"/>
          <w:szCs w:val="24"/>
        </w:rPr>
        <w:t>S.B.Williams</w:t>
      </w:r>
      <w:proofErr w:type="spellEnd"/>
      <w:r w:rsidR="00710B34" w:rsidRPr="003F20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59875" w14:textId="5E0000B4" w:rsidR="00710B34" w:rsidRPr="003F2012" w:rsidRDefault="000779B5" w:rsidP="00710B34">
      <w:pPr>
        <w:rPr>
          <w:rFonts w:ascii="Times New Roman" w:hAnsi="Times New Roman" w:cs="Times New Roman"/>
          <w:sz w:val="24"/>
          <w:szCs w:val="24"/>
        </w:rPr>
      </w:pPr>
      <w:r w:rsidRPr="003F201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710B34" w:rsidRPr="003F2012">
        <w:rPr>
          <w:rFonts w:ascii="Times New Roman" w:hAnsi="Times New Roman" w:cs="Times New Roman"/>
          <w:sz w:val="24"/>
          <w:szCs w:val="24"/>
        </w:rPr>
        <w:t>Department of Clinical and Experimental Epilepsy, Institute of Neurology, University College London, WC1N 3BG, UK</w:t>
      </w:r>
      <w:r w:rsidRPr="003F2012">
        <w:rPr>
          <w:rFonts w:ascii="Times New Roman" w:hAnsi="Times New Roman" w:cs="Times New Roman"/>
          <w:sz w:val="24"/>
          <w:szCs w:val="24"/>
        </w:rPr>
        <w:t xml:space="preserve"> and</w:t>
      </w:r>
      <w:r w:rsidRPr="003F2012">
        <w:rPr>
          <w:rFonts w:ascii="Times New Roman" w:hAnsi="Times New Roman" w:cs="Times New Roman"/>
          <w:sz w:val="24"/>
          <w:szCs w:val="24"/>
          <w:vertAlign w:val="superscript"/>
        </w:rPr>
        <w:t xml:space="preserve"> † </w:t>
      </w:r>
      <w:r w:rsidR="00710B34" w:rsidRPr="003F2012">
        <w:rPr>
          <w:rFonts w:ascii="Times New Roman" w:hAnsi="Times New Roman" w:cs="Times New Roman"/>
          <w:sz w:val="24"/>
          <w:szCs w:val="24"/>
        </w:rPr>
        <w:t>Centre for Biomedical Sciences, School of Biological Sciences, Royal Holloway University of London, Egham, TW20 0EX, UK</w:t>
      </w:r>
    </w:p>
    <w:p w14:paraId="2E86933A" w14:textId="77777777" w:rsidR="000779B5" w:rsidRDefault="000779B5" w:rsidP="0074259B">
      <w:pPr>
        <w:rPr>
          <w:rFonts w:ascii="Times New Roman" w:hAnsi="Times New Roman" w:cs="Times New Roman"/>
          <w:b/>
          <w:sz w:val="24"/>
          <w:szCs w:val="24"/>
        </w:rPr>
      </w:pPr>
    </w:p>
    <w:p w14:paraId="7BCADFEC" w14:textId="4127F0D4" w:rsidR="0074259B" w:rsidRPr="003F2012" w:rsidRDefault="0074259B" w:rsidP="0074259B">
      <w:pPr>
        <w:rPr>
          <w:rFonts w:ascii="Times New Roman" w:hAnsi="Times New Roman" w:cs="Times New Roman"/>
          <w:b/>
          <w:sz w:val="24"/>
          <w:szCs w:val="24"/>
        </w:rPr>
      </w:pPr>
      <w:r w:rsidRPr="003F2012">
        <w:rPr>
          <w:rFonts w:ascii="Times New Roman" w:hAnsi="Times New Roman" w:cs="Times New Roman"/>
          <w:b/>
          <w:sz w:val="24"/>
          <w:szCs w:val="24"/>
        </w:rPr>
        <w:t>Introduction and rationale for development</w:t>
      </w:r>
    </w:p>
    <w:p w14:paraId="30FD685B" w14:textId="6F1C4FB7" w:rsidR="008E15A2" w:rsidRDefault="00775282" w:rsidP="0017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B43B4" w:rsidRPr="003F2012">
        <w:rPr>
          <w:rFonts w:ascii="Times New Roman" w:hAnsi="Times New Roman" w:cs="Times New Roman"/>
          <w:sz w:val="24"/>
          <w:szCs w:val="24"/>
        </w:rPr>
        <w:t>edium chain fatty acid</w:t>
      </w:r>
      <w:r>
        <w:rPr>
          <w:rFonts w:ascii="Times New Roman" w:hAnsi="Times New Roman" w:cs="Times New Roman"/>
          <w:sz w:val="24"/>
          <w:szCs w:val="24"/>
        </w:rPr>
        <w:t>s, including decanoic acid,</w:t>
      </w:r>
      <w:r w:rsidR="00457AD8" w:rsidRPr="003F2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provide the </w:t>
      </w:r>
      <w:r w:rsidR="005F3A3A">
        <w:rPr>
          <w:rFonts w:ascii="Times New Roman" w:hAnsi="Times New Roman" w:cs="Times New Roman"/>
          <w:sz w:val="24"/>
          <w:szCs w:val="24"/>
        </w:rPr>
        <w:t xml:space="preserve">key </w:t>
      </w:r>
      <w:r>
        <w:rPr>
          <w:rFonts w:ascii="Times New Roman" w:hAnsi="Times New Roman" w:cs="Times New Roman"/>
          <w:sz w:val="24"/>
          <w:szCs w:val="24"/>
        </w:rPr>
        <w:t>constituents of</w:t>
      </w:r>
      <w:r w:rsidR="00457AD8" w:rsidRPr="003F2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medium chain </w:t>
      </w:r>
      <w:r w:rsidR="00457AD8" w:rsidRPr="003F2012">
        <w:rPr>
          <w:rFonts w:ascii="Times New Roman" w:hAnsi="Times New Roman" w:cs="Times New Roman"/>
          <w:sz w:val="24"/>
          <w:szCs w:val="24"/>
        </w:rPr>
        <w:t>triglycerides (MCT) in the MCT ketogenic diet. This diet provides one of</w:t>
      </w:r>
      <w:r w:rsidR="00710B34" w:rsidRPr="003F2012">
        <w:rPr>
          <w:rFonts w:ascii="Times New Roman" w:hAnsi="Times New Roman" w:cs="Times New Roman"/>
          <w:sz w:val="24"/>
          <w:szCs w:val="24"/>
        </w:rPr>
        <w:t xml:space="preserve"> the last option</w:t>
      </w:r>
      <w:r w:rsidR="000D1608" w:rsidRPr="003F2012">
        <w:rPr>
          <w:rFonts w:ascii="Times New Roman" w:hAnsi="Times New Roman" w:cs="Times New Roman"/>
          <w:sz w:val="24"/>
          <w:szCs w:val="24"/>
        </w:rPr>
        <w:t>s</w:t>
      </w:r>
      <w:r w:rsidR="00710B34" w:rsidRPr="003F2012">
        <w:rPr>
          <w:rFonts w:ascii="Times New Roman" w:hAnsi="Times New Roman" w:cs="Times New Roman"/>
          <w:sz w:val="24"/>
          <w:szCs w:val="24"/>
        </w:rPr>
        <w:t xml:space="preserve"> for the treatment of patients with refractory epilepsy</w:t>
      </w:r>
      <w:r w:rsidR="000C4D64" w:rsidRPr="003F2012">
        <w:rPr>
          <w:rFonts w:ascii="Times New Roman" w:hAnsi="Times New Roman" w:cs="Times New Roman"/>
          <w:sz w:val="24"/>
          <w:szCs w:val="24"/>
        </w:rPr>
        <w:t xml:space="preserve"> </w:t>
      </w:r>
      <w:r w:rsidR="00BB43B4" w:rsidRPr="003F2012">
        <w:rPr>
          <w:rFonts w:ascii="Times New Roman" w:eastAsia="AdvP0036" w:hAnsi="Times New Roman" w:cs="Times New Roman"/>
          <w:sz w:val="24"/>
          <w:szCs w:val="24"/>
        </w:rPr>
        <w:t>and has been validated in</w:t>
      </w:r>
      <w:r w:rsidR="000C4D64" w:rsidRPr="003F2012">
        <w:rPr>
          <w:rFonts w:ascii="Times New Roman" w:eastAsia="AdvP0036" w:hAnsi="Times New Roman" w:cs="Times New Roman"/>
          <w:sz w:val="24"/>
          <w:szCs w:val="24"/>
        </w:rPr>
        <w:t xml:space="preserve"> </w:t>
      </w:r>
      <w:r w:rsidR="00BB43B4" w:rsidRPr="003F2012">
        <w:rPr>
          <w:rFonts w:ascii="Times New Roman" w:eastAsia="AdvP0036" w:hAnsi="Times New Roman" w:cs="Times New Roman"/>
          <w:sz w:val="24"/>
          <w:szCs w:val="24"/>
        </w:rPr>
        <w:t>a clinical</w:t>
      </w:r>
      <w:r w:rsidR="000C4D64" w:rsidRPr="003F2012">
        <w:rPr>
          <w:rFonts w:ascii="Times New Roman" w:eastAsia="AdvP0036" w:hAnsi="Times New Roman" w:cs="Times New Roman"/>
          <w:sz w:val="24"/>
          <w:szCs w:val="24"/>
        </w:rPr>
        <w:t xml:space="preserve"> trial</w:t>
      </w:r>
      <w:r w:rsidR="000C4D64" w:rsidRPr="003F2012">
        <w:rPr>
          <w:rFonts w:ascii="Times New Roman" w:hAnsi="Times New Roman" w:cs="Times New Roman"/>
          <w:sz w:val="24"/>
          <w:szCs w:val="24"/>
        </w:rPr>
        <w:t xml:space="preserve"> in </w:t>
      </w:r>
      <w:r w:rsidR="000C4D64" w:rsidRPr="003F2012">
        <w:rPr>
          <w:rFonts w:ascii="Times New Roman" w:eastAsia="AdvP0036" w:hAnsi="Times New Roman" w:cs="Times New Roman"/>
          <w:sz w:val="24"/>
          <w:szCs w:val="24"/>
        </w:rPr>
        <w:t xml:space="preserve">childhood </w:t>
      </w:r>
      <w:r w:rsidR="000779B5" w:rsidRPr="003F2012">
        <w:rPr>
          <w:rFonts w:ascii="Times New Roman" w:eastAsia="AdvP0036" w:hAnsi="Times New Roman" w:cs="Times New Roman"/>
          <w:sz w:val="24"/>
          <w:szCs w:val="24"/>
        </w:rPr>
        <w:t>epilepsy</w:t>
      </w:r>
      <w:r w:rsidR="000779B5">
        <w:rPr>
          <w:rFonts w:ascii="Times New Roman" w:eastAsia="AdvP0036" w:hAnsi="Times New Roman" w:cs="Times New Roman"/>
          <w:sz w:val="24"/>
          <w:szCs w:val="24"/>
        </w:rPr>
        <w:t xml:space="preserve"> (Augustin et al, 2018)</w:t>
      </w:r>
      <w:r w:rsidR="000D1608" w:rsidRPr="003F2012">
        <w:rPr>
          <w:rFonts w:ascii="Times New Roman" w:hAnsi="Times New Roman" w:cs="Times New Roman"/>
          <w:sz w:val="24"/>
          <w:szCs w:val="24"/>
        </w:rPr>
        <w:t>. Although often effective, the diet is</w:t>
      </w:r>
      <w:r w:rsidR="00710B34" w:rsidRPr="003F2012">
        <w:rPr>
          <w:rFonts w:ascii="Times New Roman" w:hAnsi="Times New Roman" w:cs="Times New Roman"/>
          <w:sz w:val="24"/>
          <w:szCs w:val="24"/>
        </w:rPr>
        <w:t xml:space="preserve"> more commonly </w:t>
      </w:r>
      <w:r w:rsidR="00457AD8" w:rsidRPr="003F2012">
        <w:rPr>
          <w:rFonts w:ascii="Times New Roman" w:hAnsi="Times New Roman" w:cs="Times New Roman"/>
          <w:sz w:val="24"/>
          <w:szCs w:val="24"/>
        </w:rPr>
        <w:t>used in the treatment of</w:t>
      </w:r>
      <w:r w:rsidR="00710B34" w:rsidRPr="003F2012">
        <w:rPr>
          <w:rFonts w:ascii="Times New Roman" w:hAnsi="Times New Roman" w:cs="Times New Roman"/>
          <w:sz w:val="24"/>
          <w:szCs w:val="24"/>
        </w:rPr>
        <w:t xml:space="preserve"> paediatric patients </w:t>
      </w:r>
      <w:r w:rsidR="00BB43B4" w:rsidRPr="003F2012">
        <w:rPr>
          <w:rFonts w:ascii="Times New Roman" w:hAnsi="Times New Roman" w:cs="Times New Roman"/>
          <w:sz w:val="24"/>
          <w:szCs w:val="24"/>
        </w:rPr>
        <w:t xml:space="preserve">rather </w:t>
      </w:r>
      <w:r w:rsidR="00710B34" w:rsidRPr="003F2012">
        <w:rPr>
          <w:rFonts w:ascii="Times New Roman" w:hAnsi="Times New Roman" w:cs="Times New Roman"/>
          <w:sz w:val="24"/>
          <w:szCs w:val="24"/>
        </w:rPr>
        <w:t xml:space="preserve">than adults, due to the stringent dietary restrictions. </w:t>
      </w:r>
      <w:r w:rsidR="000C4D64" w:rsidRPr="003F2012">
        <w:rPr>
          <w:rFonts w:ascii="Times New Roman" w:hAnsi="Times New Roman" w:cs="Times New Roman"/>
          <w:sz w:val="24"/>
          <w:szCs w:val="24"/>
        </w:rPr>
        <w:t xml:space="preserve">The mechanism of the </w:t>
      </w:r>
      <w:r w:rsidR="008E15A2">
        <w:rPr>
          <w:rFonts w:ascii="Times New Roman" w:hAnsi="Times New Roman" w:cs="Times New Roman"/>
          <w:sz w:val="24"/>
          <w:szCs w:val="24"/>
        </w:rPr>
        <w:t xml:space="preserve">ketogenic </w:t>
      </w:r>
      <w:r w:rsidR="000C4D64" w:rsidRPr="003F2012">
        <w:rPr>
          <w:rFonts w:ascii="Times New Roman" w:hAnsi="Times New Roman" w:cs="Times New Roman"/>
          <w:sz w:val="24"/>
          <w:szCs w:val="24"/>
        </w:rPr>
        <w:t xml:space="preserve">diet </w:t>
      </w:r>
      <w:r w:rsidR="00BB43B4" w:rsidRPr="003F2012">
        <w:rPr>
          <w:rFonts w:ascii="Times New Roman" w:hAnsi="Times New Roman" w:cs="Times New Roman"/>
          <w:sz w:val="24"/>
          <w:szCs w:val="24"/>
        </w:rPr>
        <w:t>is</w:t>
      </w:r>
      <w:r w:rsidR="000C4D64" w:rsidRPr="003F2012">
        <w:rPr>
          <w:rFonts w:ascii="Times New Roman" w:hAnsi="Times New Roman" w:cs="Times New Roman"/>
          <w:sz w:val="24"/>
          <w:szCs w:val="24"/>
        </w:rPr>
        <w:t xml:space="preserve"> broadly considered to be through the hydrolysis of triglycerides to release free fatty acids (</w:t>
      </w:r>
      <w:r w:rsidR="008E15A2" w:rsidRPr="005912BB">
        <w:rPr>
          <w:rFonts w:ascii="Times New Roman" w:hAnsi="Times New Roman" w:cs="Times New Roman"/>
          <w:sz w:val="24"/>
          <w:szCs w:val="24"/>
        </w:rPr>
        <w:t>decanoic acid and octanoic acid</w:t>
      </w:r>
      <w:r w:rsidR="008E15A2">
        <w:rPr>
          <w:rFonts w:ascii="Times New Roman" w:hAnsi="Times New Roman" w:cs="Times New Roman"/>
          <w:sz w:val="24"/>
          <w:szCs w:val="24"/>
        </w:rPr>
        <w:t xml:space="preserve">, </w:t>
      </w:r>
      <w:r w:rsidR="000C4D64" w:rsidRPr="003F2012">
        <w:rPr>
          <w:rFonts w:ascii="Times New Roman" w:hAnsi="Times New Roman" w:cs="Times New Roman"/>
          <w:sz w:val="24"/>
          <w:szCs w:val="24"/>
        </w:rPr>
        <w:t>in the case of the MCT diet)</w:t>
      </w:r>
      <w:r w:rsidR="003F2012">
        <w:rPr>
          <w:rFonts w:ascii="Times New Roman" w:hAnsi="Times New Roman" w:cs="Times New Roman"/>
          <w:sz w:val="24"/>
          <w:szCs w:val="24"/>
        </w:rPr>
        <w:t>,</w:t>
      </w:r>
      <w:r w:rsidR="000C4D64" w:rsidRPr="003F2012">
        <w:rPr>
          <w:rFonts w:ascii="Times New Roman" w:hAnsi="Times New Roman" w:cs="Times New Roman"/>
          <w:sz w:val="24"/>
          <w:szCs w:val="24"/>
        </w:rPr>
        <w:t xml:space="preserve"> that are metabolised to ketones </w:t>
      </w:r>
      <w:r w:rsidR="00BB43B4" w:rsidRPr="003F2012">
        <w:rPr>
          <w:rFonts w:ascii="Times New Roman" w:hAnsi="Times New Roman" w:cs="Times New Roman"/>
          <w:sz w:val="24"/>
          <w:szCs w:val="24"/>
        </w:rPr>
        <w:t>to</w:t>
      </w:r>
      <w:r w:rsidR="000C4D64" w:rsidRPr="003F2012">
        <w:rPr>
          <w:rFonts w:ascii="Times New Roman" w:hAnsi="Times New Roman" w:cs="Times New Roman"/>
          <w:sz w:val="24"/>
          <w:szCs w:val="24"/>
        </w:rPr>
        <w:t xml:space="preserve"> provide seizure control</w:t>
      </w:r>
      <w:r w:rsidR="008E15A2" w:rsidRPr="008E15A2">
        <w:rPr>
          <w:rFonts w:ascii="Times New Roman" w:eastAsia="AdvP0036" w:hAnsi="Times New Roman" w:cs="Times New Roman"/>
          <w:sz w:val="24"/>
          <w:szCs w:val="24"/>
        </w:rPr>
        <w:t xml:space="preserve"> </w:t>
      </w:r>
      <w:r w:rsidR="008E15A2">
        <w:rPr>
          <w:rFonts w:ascii="Times New Roman" w:eastAsia="AdvP0036" w:hAnsi="Times New Roman" w:cs="Times New Roman"/>
          <w:sz w:val="24"/>
          <w:szCs w:val="24"/>
        </w:rPr>
        <w:t>(Augustin et al, 2018)</w:t>
      </w:r>
      <w:r w:rsidR="008E15A2" w:rsidRPr="005912BB">
        <w:rPr>
          <w:rFonts w:ascii="Times New Roman" w:hAnsi="Times New Roman" w:cs="Times New Roman"/>
          <w:sz w:val="24"/>
          <w:szCs w:val="24"/>
        </w:rPr>
        <w:t xml:space="preserve">. </w:t>
      </w:r>
      <w:r w:rsidR="000C4D64" w:rsidRPr="003F2012">
        <w:rPr>
          <w:rFonts w:ascii="Times New Roman" w:hAnsi="Times New Roman" w:cs="Times New Roman"/>
          <w:sz w:val="24"/>
          <w:szCs w:val="24"/>
        </w:rPr>
        <w:t xml:space="preserve"> This mechanism has</w:t>
      </w:r>
      <w:r w:rsidR="004472F7" w:rsidRPr="003F2012">
        <w:rPr>
          <w:rFonts w:ascii="Times New Roman" w:hAnsi="Times New Roman" w:cs="Times New Roman"/>
          <w:sz w:val="24"/>
          <w:szCs w:val="24"/>
        </w:rPr>
        <w:t xml:space="preserve"> recent</w:t>
      </w:r>
      <w:r w:rsidR="000C4D64" w:rsidRPr="003F2012">
        <w:rPr>
          <w:rFonts w:ascii="Times New Roman" w:hAnsi="Times New Roman" w:cs="Times New Roman"/>
          <w:sz w:val="24"/>
          <w:szCs w:val="24"/>
        </w:rPr>
        <w:t>ly been challenged, with the</w:t>
      </w:r>
      <w:r w:rsidR="004472F7" w:rsidRPr="003F2012">
        <w:rPr>
          <w:rFonts w:ascii="Times New Roman" w:hAnsi="Times New Roman" w:cs="Times New Roman"/>
          <w:sz w:val="24"/>
          <w:szCs w:val="24"/>
        </w:rPr>
        <w:t xml:space="preserve"> </w:t>
      </w:r>
      <w:r w:rsidR="00BB43B4" w:rsidRPr="003F2012">
        <w:rPr>
          <w:rFonts w:ascii="Times New Roman" w:hAnsi="Times New Roman" w:cs="Times New Roman"/>
          <w:sz w:val="24"/>
          <w:szCs w:val="24"/>
        </w:rPr>
        <w:t>proposal that</w:t>
      </w:r>
      <w:r w:rsidR="004472F7" w:rsidRPr="003F2012">
        <w:rPr>
          <w:rFonts w:ascii="Times New Roman" w:hAnsi="Times New Roman" w:cs="Times New Roman"/>
          <w:sz w:val="24"/>
          <w:szCs w:val="24"/>
        </w:rPr>
        <w:t xml:space="preserve"> decanoic acid</w:t>
      </w:r>
      <w:r w:rsidR="000D1608" w:rsidRPr="003F2012">
        <w:rPr>
          <w:rFonts w:ascii="Times New Roman" w:hAnsi="Times New Roman" w:cs="Times New Roman"/>
          <w:sz w:val="24"/>
          <w:szCs w:val="24"/>
        </w:rPr>
        <w:t xml:space="preserve"> </w:t>
      </w:r>
      <w:r w:rsidR="00BB43B4" w:rsidRPr="003F2012">
        <w:rPr>
          <w:rFonts w:ascii="Times New Roman" w:hAnsi="Times New Roman" w:cs="Times New Roman"/>
          <w:sz w:val="24"/>
          <w:szCs w:val="24"/>
        </w:rPr>
        <w:t>functions as</w:t>
      </w:r>
      <w:r w:rsidR="000D1608" w:rsidRPr="003F2012">
        <w:rPr>
          <w:rFonts w:ascii="Times New Roman" w:hAnsi="Times New Roman" w:cs="Times New Roman"/>
          <w:sz w:val="24"/>
          <w:szCs w:val="24"/>
        </w:rPr>
        <w:t xml:space="preserve"> the therapeutic </w:t>
      </w:r>
      <w:r w:rsidR="00BB43B4" w:rsidRPr="003F2012">
        <w:rPr>
          <w:rFonts w:ascii="Times New Roman" w:hAnsi="Times New Roman" w:cs="Times New Roman"/>
          <w:sz w:val="24"/>
          <w:szCs w:val="24"/>
        </w:rPr>
        <w:t>component</w:t>
      </w:r>
      <w:r w:rsidR="000D1608" w:rsidRPr="003F2012">
        <w:rPr>
          <w:rFonts w:ascii="Times New Roman" w:hAnsi="Times New Roman" w:cs="Times New Roman"/>
          <w:sz w:val="24"/>
          <w:szCs w:val="24"/>
        </w:rPr>
        <w:t xml:space="preserve"> of the diet</w:t>
      </w:r>
      <w:r w:rsidR="00E76D41">
        <w:rPr>
          <w:rFonts w:ascii="Times New Roman" w:hAnsi="Times New Roman" w:cs="Times New Roman"/>
          <w:sz w:val="24"/>
          <w:szCs w:val="24"/>
        </w:rPr>
        <w:t xml:space="preserve"> </w:t>
      </w:r>
      <w:r w:rsidR="00E76D41" w:rsidRPr="00A067A7">
        <w:rPr>
          <w:rFonts w:ascii="Times New Roman" w:hAnsi="Times New Roman" w:cs="Times New Roman"/>
          <w:sz w:val="24"/>
          <w:szCs w:val="24"/>
        </w:rPr>
        <w:t>(</w:t>
      </w:r>
      <w:r w:rsidRPr="003F2012">
        <w:rPr>
          <w:rFonts w:ascii="Times New Roman" w:hAnsi="Times New Roman" w:cs="Times New Roman"/>
          <w:sz w:val="24"/>
          <w:szCs w:val="24"/>
        </w:rPr>
        <w:t>Chang et al 2016</w:t>
      </w:r>
      <w:r w:rsidR="00E76D41" w:rsidRPr="00A067A7">
        <w:rPr>
          <w:rFonts w:ascii="Times New Roman" w:hAnsi="Times New Roman" w:cs="Times New Roman"/>
          <w:sz w:val="24"/>
          <w:szCs w:val="24"/>
        </w:rPr>
        <w:t>)</w:t>
      </w:r>
      <w:r w:rsidR="008F6BD8" w:rsidRPr="003F2012">
        <w:rPr>
          <w:rFonts w:ascii="Times New Roman" w:hAnsi="Times New Roman" w:cs="Times New Roman"/>
          <w:sz w:val="24"/>
          <w:szCs w:val="24"/>
        </w:rPr>
        <w:t>, and that this mechanism can be reproduced by specific related congeners</w:t>
      </w:r>
      <w:r w:rsidR="000C4D64" w:rsidRPr="003F2012">
        <w:rPr>
          <w:rFonts w:ascii="Times New Roman" w:hAnsi="Times New Roman" w:cs="Times New Roman"/>
          <w:sz w:val="24"/>
          <w:szCs w:val="24"/>
        </w:rPr>
        <w:t xml:space="preserve">. </w:t>
      </w:r>
      <w:r w:rsidR="004472F7" w:rsidRPr="003F20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93C36" w14:textId="3B45BBE6" w:rsidR="00170C85" w:rsidRPr="00E11420" w:rsidRDefault="00AA33CB" w:rsidP="00170C85">
      <w:pPr>
        <w:rPr>
          <w:rFonts w:ascii="Times New Roman" w:hAnsi="Times New Roman" w:cs="Times New Roman"/>
          <w:sz w:val="24"/>
          <w:szCs w:val="24"/>
        </w:rPr>
      </w:pPr>
      <w:r w:rsidRPr="00E11420">
        <w:rPr>
          <w:rFonts w:ascii="Times New Roman" w:hAnsi="Times New Roman" w:cs="Times New Roman"/>
          <w:sz w:val="24"/>
          <w:szCs w:val="24"/>
        </w:rPr>
        <w:t>De</w:t>
      </w:r>
      <w:r w:rsidR="006D6E20" w:rsidRPr="00E11420">
        <w:rPr>
          <w:rFonts w:ascii="Times New Roman" w:hAnsi="Times New Roman" w:cs="Times New Roman"/>
          <w:sz w:val="24"/>
          <w:szCs w:val="24"/>
        </w:rPr>
        <w:t xml:space="preserve">canoic acid </w:t>
      </w:r>
      <w:r w:rsidR="006D6E20" w:rsidRPr="003F2012">
        <w:rPr>
          <w:rFonts w:ascii="Times New Roman" w:hAnsi="Times New Roman" w:cs="Times New Roman"/>
          <w:sz w:val="24"/>
          <w:szCs w:val="24"/>
        </w:rPr>
        <w:t>was first</w:t>
      </w:r>
      <w:r w:rsidR="004472F7" w:rsidRPr="003F2012">
        <w:rPr>
          <w:rFonts w:ascii="Times New Roman" w:hAnsi="Times New Roman" w:cs="Times New Roman"/>
          <w:sz w:val="24"/>
          <w:szCs w:val="24"/>
        </w:rPr>
        <w:t xml:space="preserve"> </w:t>
      </w:r>
      <w:r w:rsidR="000D1608" w:rsidRPr="003F2012">
        <w:rPr>
          <w:rFonts w:ascii="Times New Roman" w:hAnsi="Times New Roman" w:cs="Times New Roman"/>
          <w:sz w:val="24"/>
          <w:szCs w:val="24"/>
        </w:rPr>
        <w:t>suggested</w:t>
      </w:r>
      <w:r w:rsidR="004472F7" w:rsidRPr="003F2012">
        <w:rPr>
          <w:rFonts w:ascii="Times New Roman" w:hAnsi="Times New Roman" w:cs="Times New Roman"/>
          <w:sz w:val="24"/>
          <w:szCs w:val="24"/>
        </w:rPr>
        <w:t xml:space="preserve"> </w:t>
      </w:r>
      <w:r w:rsidR="006D6E20" w:rsidRPr="003F2012">
        <w:rPr>
          <w:rFonts w:ascii="Times New Roman" w:hAnsi="Times New Roman" w:cs="Times New Roman"/>
          <w:sz w:val="24"/>
          <w:szCs w:val="24"/>
        </w:rPr>
        <w:t xml:space="preserve">as </w:t>
      </w:r>
      <w:r w:rsidR="00BB43B4" w:rsidRPr="003F2012">
        <w:rPr>
          <w:rFonts w:ascii="Times New Roman" w:hAnsi="Times New Roman" w:cs="Times New Roman"/>
          <w:sz w:val="24"/>
          <w:szCs w:val="24"/>
        </w:rPr>
        <w:t>the</w:t>
      </w:r>
      <w:r w:rsidR="006D6E20" w:rsidRPr="003F2012">
        <w:rPr>
          <w:rFonts w:ascii="Times New Roman" w:hAnsi="Times New Roman" w:cs="Times New Roman"/>
          <w:sz w:val="24"/>
          <w:szCs w:val="24"/>
        </w:rPr>
        <w:t xml:space="preserve"> active component of the diet f</w:t>
      </w:r>
      <w:r w:rsidR="004472F7" w:rsidRPr="003F2012">
        <w:rPr>
          <w:rFonts w:ascii="Times New Roman" w:hAnsi="Times New Roman" w:cs="Times New Roman"/>
          <w:sz w:val="24"/>
          <w:szCs w:val="24"/>
        </w:rPr>
        <w:t>rom research in a simple biomedical model</w:t>
      </w:r>
      <w:r w:rsidR="008E15A2">
        <w:rPr>
          <w:rFonts w:ascii="Times New Roman" w:hAnsi="Times New Roman" w:cs="Times New Roman"/>
          <w:sz w:val="24"/>
          <w:szCs w:val="24"/>
        </w:rPr>
        <w:t xml:space="preserve"> (Chang et al, 2012)</w:t>
      </w:r>
      <w:r w:rsidR="00415764" w:rsidRPr="003F2012">
        <w:rPr>
          <w:rFonts w:ascii="Times New Roman" w:hAnsi="Times New Roman" w:cs="Times New Roman"/>
          <w:sz w:val="24"/>
          <w:szCs w:val="24"/>
        </w:rPr>
        <w:t xml:space="preserve"> where a range of novel fatty acids were </w:t>
      </w:r>
      <w:r w:rsidR="006D6E20" w:rsidRPr="003F2012">
        <w:rPr>
          <w:rFonts w:ascii="Times New Roman" w:hAnsi="Times New Roman" w:cs="Times New Roman"/>
          <w:sz w:val="24"/>
          <w:szCs w:val="24"/>
        </w:rPr>
        <w:t>proposed as seizure control treatments</w:t>
      </w:r>
      <w:r w:rsidR="00BB43B4" w:rsidRPr="003F2012">
        <w:rPr>
          <w:rFonts w:ascii="Times New Roman" w:hAnsi="Times New Roman" w:cs="Times New Roman"/>
          <w:sz w:val="24"/>
          <w:szCs w:val="24"/>
        </w:rPr>
        <w:t>. Several of these fats have been</w:t>
      </w:r>
      <w:r w:rsidR="006D6E20" w:rsidRPr="003F2012">
        <w:rPr>
          <w:rFonts w:ascii="Times New Roman" w:hAnsi="Times New Roman" w:cs="Times New Roman"/>
          <w:sz w:val="24"/>
          <w:szCs w:val="24"/>
        </w:rPr>
        <w:t xml:space="preserve"> subsequently validated</w:t>
      </w:r>
      <w:r w:rsidR="00415764" w:rsidRPr="003F2012">
        <w:rPr>
          <w:rFonts w:ascii="Times New Roman" w:hAnsi="Times New Roman" w:cs="Times New Roman"/>
          <w:sz w:val="24"/>
          <w:szCs w:val="24"/>
        </w:rPr>
        <w:t xml:space="preserve"> in a range of </w:t>
      </w:r>
      <w:r w:rsidR="000D1608" w:rsidRPr="003F2012">
        <w:rPr>
          <w:rFonts w:ascii="Times New Roman" w:hAnsi="Times New Roman" w:cs="Times New Roman"/>
          <w:i/>
          <w:sz w:val="24"/>
          <w:szCs w:val="24"/>
        </w:rPr>
        <w:t>in vitro</w:t>
      </w:r>
      <w:r w:rsidR="000D1608" w:rsidRPr="003F2012">
        <w:rPr>
          <w:rFonts w:ascii="Times New Roman" w:hAnsi="Times New Roman" w:cs="Times New Roman"/>
          <w:sz w:val="24"/>
          <w:szCs w:val="24"/>
        </w:rPr>
        <w:t xml:space="preserve"> and </w:t>
      </w:r>
      <w:r w:rsidR="000D1608" w:rsidRPr="003F2012">
        <w:rPr>
          <w:rFonts w:ascii="Times New Roman" w:hAnsi="Times New Roman" w:cs="Times New Roman"/>
          <w:i/>
          <w:sz w:val="24"/>
          <w:szCs w:val="24"/>
        </w:rPr>
        <w:t>in vivo</w:t>
      </w:r>
      <w:r w:rsidR="000D1608" w:rsidRPr="003F2012">
        <w:rPr>
          <w:rFonts w:ascii="Times New Roman" w:hAnsi="Times New Roman" w:cs="Times New Roman"/>
          <w:sz w:val="24"/>
          <w:szCs w:val="24"/>
        </w:rPr>
        <w:t xml:space="preserve"> </w:t>
      </w:r>
      <w:r w:rsidR="00415764" w:rsidRPr="003F2012">
        <w:rPr>
          <w:rFonts w:ascii="Times New Roman" w:hAnsi="Times New Roman" w:cs="Times New Roman"/>
          <w:sz w:val="24"/>
          <w:szCs w:val="24"/>
        </w:rPr>
        <w:t>model</w:t>
      </w:r>
      <w:r w:rsidR="006D6E20" w:rsidRPr="003F2012">
        <w:rPr>
          <w:rFonts w:ascii="Times New Roman" w:hAnsi="Times New Roman" w:cs="Times New Roman"/>
          <w:sz w:val="24"/>
          <w:szCs w:val="24"/>
        </w:rPr>
        <w:t>s</w:t>
      </w:r>
      <w:r w:rsidR="00822DD0" w:rsidRPr="000779B5" w:rsidDel="00822DD0">
        <w:rPr>
          <w:rFonts w:ascii="Times New Roman" w:hAnsi="Times New Roman" w:cs="Times New Roman"/>
          <w:sz w:val="24"/>
          <w:szCs w:val="24"/>
        </w:rPr>
        <w:t xml:space="preserve"> </w:t>
      </w:r>
      <w:r w:rsidR="008E15A2">
        <w:rPr>
          <w:rFonts w:ascii="Times New Roman" w:hAnsi="Times New Roman" w:cs="Times New Roman"/>
          <w:sz w:val="24"/>
          <w:szCs w:val="24"/>
        </w:rPr>
        <w:t>(Chang et al, 2013, 2015)</w:t>
      </w:r>
      <w:r w:rsidR="000D1608" w:rsidRPr="003F2012">
        <w:rPr>
          <w:rFonts w:ascii="Times New Roman" w:hAnsi="Times New Roman" w:cs="Times New Roman"/>
          <w:sz w:val="24"/>
          <w:szCs w:val="24"/>
        </w:rPr>
        <w:t>.</w:t>
      </w:r>
      <w:r w:rsidR="00474236" w:rsidRPr="003F2012">
        <w:rPr>
          <w:rFonts w:ascii="Times New Roman" w:hAnsi="Times New Roman" w:cs="Times New Roman"/>
          <w:sz w:val="24"/>
          <w:szCs w:val="24"/>
        </w:rPr>
        <w:t xml:space="preserve"> </w:t>
      </w:r>
      <w:r w:rsidR="005E6BC5" w:rsidRPr="003F2012">
        <w:rPr>
          <w:rFonts w:ascii="Times New Roman" w:hAnsi="Times New Roman" w:cs="Times New Roman"/>
          <w:sz w:val="24"/>
          <w:szCs w:val="24"/>
        </w:rPr>
        <w:t>Further analysis</w:t>
      </w:r>
      <w:r w:rsidR="000D1608" w:rsidRPr="003F2012">
        <w:rPr>
          <w:rFonts w:ascii="Times New Roman" w:hAnsi="Times New Roman" w:cs="Times New Roman"/>
          <w:sz w:val="24"/>
          <w:szCs w:val="24"/>
        </w:rPr>
        <w:t xml:space="preserve"> </w:t>
      </w:r>
      <w:r w:rsidR="00BB43B4" w:rsidRPr="003F2012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="00BB43B4" w:rsidRPr="003F2012">
        <w:rPr>
          <w:rFonts w:ascii="Times New Roman" w:hAnsi="Times New Roman" w:cs="Times New Roman"/>
          <w:sz w:val="24"/>
          <w:szCs w:val="24"/>
        </w:rPr>
        <w:t>decanoic</w:t>
      </w:r>
      <w:proofErr w:type="gramEnd"/>
      <w:r w:rsidR="00BB43B4" w:rsidRPr="003F2012">
        <w:rPr>
          <w:rFonts w:ascii="Times New Roman" w:hAnsi="Times New Roman" w:cs="Times New Roman"/>
          <w:sz w:val="24"/>
          <w:szCs w:val="24"/>
        </w:rPr>
        <w:t xml:space="preserve"> acid </w:t>
      </w:r>
      <w:r w:rsidR="000D1608" w:rsidRPr="003F2012">
        <w:rPr>
          <w:rFonts w:ascii="Times New Roman" w:hAnsi="Times New Roman" w:cs="Times New Roman"/>
          <w:sz w:val="24"/>
          <w:szCs w:val="24"/>
        </w:rPr>
        <w:t>show</w:t>
      </w:r>
      <w:r w:rsidR="005E6BC5" w:rsidRPr="003F2012">
        <w:rPr>
          <w:rFonts w:ascii="Times New Roman" w:hAnsi="Times New Roman" w:cs="Times New Roman"/>
          <w:sz w:val="24"/>
          <w:szCs w:val="24"/>
        </w:rPr>
        <w:t>ed</w:t>
      </w:r>
      <w:r w:rsidR="000D1608" w:rsidRPr="003F2012">
        <w:rPr>
          <w:rFonts w:ascii="Times New Roman" w:hAnsi="Times New Roman" w:cs="Times New Roman"/>
          <w:sz w:val="24"/>
          <w:szCs w:val="24"/>
        </w:rPr>
        <w:t xml:space="preserve"> that</w:t>
      </w:r>
      <w:r w:rsidR="00BB43B4" w:rsidRPr="003F2012">
        <w:rPr>
          <w:rFonts w:ascii="Times New Roman" w:hAnsi="Times New Roman" w:cs="Times New Roman"/>
          <w:sz w:val="24"/>
          <w:szCs w:val="24"/>
        </w:rPr>
        <w:t xml:space="preserve"> it functions to block activity in two acute </w:t>
      </w:r>
      <w:r w:rsidR="00BB43B4" w:rsidRPr="003F2012">
        <w:rPr>
          <w:rFonts w:ascii="Times New Roman" w:hAnsi="Times New Roman" w:cs="Times New Roman"/>
          <w:i/>
          <w:sz w:val="24"/>
          <w:szCs w:val="24"/>
        </w:rPr>
        <w:t>ex vivo</w:t>
      </w:r>
      <w:r w:rsidR="00BB43B4" w:rsidRPr="003F2012">
        <w:rPr>
          <w:rFonts w:ascii="Times New Roman" w:hAnsi="Times New Roman" w:cs="Times New Roman"/>
          <w:sz w:val="24"/>
          <w:szCs w:val="24"/>
        </w:rPr>
        <w:t xml:space="preserve"> rat hippocampal slice models of epileptiform activity</w:t>
      </w:r>
      <w:r w:rsidR="000D1608" w:rsidRPr="003F2012">
        <w:rPr>
          <w:rFonts w:ascii="Times New Roman" w:hAnsi="Times New Roman" w:cs="Times New Roman"/>
          <w:sz w:val="24"/>
          <w:szCs w:val="24"/>
        </w:rPr>
        <w:t xml:space="preserve">, </w:t>
      </w:r>
      <w:r w:rsidR="00BB43B4" w:rsidRPr="003F2012">
        <w:rPr>
          <w:rFonts w:ascii="Times New Roman" w:hAnsi="Times New Roman" w:cs="Times New Roman"/>
          <w:sz w:val="24"/>
          <w:szCs w:val="24"/>
        </w:rPr>
        <w:t xml:space="preserve">and this effect was not evident for </w:t>
      </w:r>
      <w:r w:rsidR="009E26E3" w:rsidRPr="003F2012">
        <w:rPr>
          <w:rFonts w:ascii="Times New Roman" w:hAnsi="Times New Roman" w:cs="Times New Roman"/>
          <w:sz w:val="24"/>
          <w:szCs w:val="24"/>
        </w:rPr>
        <w:t xml:space="preserve">ketones </w:t>
      </w:r>
      <w:r w:rsidR="000D1608" w:rsidRPr="003F2012">
        <w:rPr>
          <w:rFonts w:ascii="Times New Roman" w:hAnsi="Times New Roman" w:cs="Times New Roman"/>
          <w:sz w:val="24"/>
          <w:szCs w:val="24"/>
        </w:rPr>
        <w:t>nor octanoic acid</w:t>
      </w:r>
      <w:r w:rsidR="008E15A2">
        <w:rPr>
          <w:rFonts w:ascii="Times New Roman" w:hAnsi="Times New Roman" w:cs="Times New Roman"/>
          <w:sz w:val="24"/>
          <w:szCs w:val="24"/>
        </w:rPr>
        <w:t xml:space="preserve"> (Chang et al, 2015)</w:t>
      </w:r>
      <w:r w:rsidR="009E26E3" w:rsidRPr="003F20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A78C3B" w14:textId="77777777" w:rsidR="00AA33CB" w:rsidRPr="00E11420" w:rsidRDefault="00AA33CB" w:rsidP="000C4D64">
      <w:pPr>
        <w:autoSpaceDE w:val="0"/>
        <w:autoSpaceDN w:val="0"/>
        <w:adjustRightInd w:val="0"/>
        <w:spacing w:after="0" w:line="240" w:lineRule="auto"/>
        <w:rPr>
          <w:rFonts w:ascii="Times New Roman" w:eastAsia="AdvP0036" w:hAnsi="Times New Roman" w:cs="Times New Roman"/>
          <w:sz w:val="24"/>
          <w:szCs w:val="24"/>
        </w:rPr>
      </w:pPr>
    </w:p>
    <w:p w14:paraId="07BB7826" w14:textId="7D463A52" w:rsidR="0074259B" w:rsidRPr="00E11420" w:rsidRDefault="0074259B" w:rsidP="0074259B">
      <w:pPr>
        <w:rPr>
          <w:rFonts w:ascii="Times New Roman" w:hAnsi="Times New Roman" w:cs="Times New Roman"/>
          <w:b/>
          <w:sz w:val="24"/>
          <w:szCs w:val="24"/>
        </w:rPr>
      </w:pPr>
      <w:r w:rsidRPr="00E11420">
        <w:rPr>
          <w:rFonts w:ascii="Times New Roman" w:hAnsi="Times New Roman" w:cs="Times New Roman"/>
          <w:b/>
          <w:sz w:val="24"/>
          <w:szCs w:val="24"/>
        </w:rPr>
        <w:t>Pharmacology</w:t>
      </w:r>
    </w:p>
    <w:p w14:paraId="3DFCEC92" w14:textId="5E616F0F" w:rsidR="004472F7" w:rsidRPr="00E11420" w:rsidRDefault="001F709B" w:rsidP="0074259B">
      <w:pPr>
        <w:rPr>
          <w:rFonts w:ascii="Times New Roman" w:hAnsi="Times New Roman" w:cs="Times New Roman"/>
          <w:sz w:val="24"/>
          <w:szCs w:val="24"/>
        </w:rPr>
      </w:pPr>
      <w:r w:rsidRPr="00E11420">
        <w:rPr>
          <w:rFonts w:ascii="Times New Roman" w:hAnsi="Times New Roman" w:cs="Times New Roman"/>
          <w:sz w:val="24"/>
          <w:szCs w:val="24"/>
        </w:rPr>
        <w:t>Release of decanoic acid from triglycerides in the gastrointestinal tract enables direct absorption through the gut wall</w:t>
      </w:r>
      <w:r w:rsidR="003829A5" w:rsidRPr="00E11420">
        <w:rPr>
          <w:rFonts w:ascii="Times New Roman" w:hAnsi="Times New Roman" w:cs="Times New Roman"/>
          <w:sz w:val="24"/>
          <w:szCs w:val="24"/>
        </w:rPr>
        <w:t>,</w:t>
      </w:r>
      <w:r w:rsidRPr="00E11420">
        <w:rPr>
          <w:rFonts w:ascii="Times New Roman" w:hAnsi="Times New Roman" w:cs="Times New Roman"/>
          <w:sz w:val="24"/>
          <w:szCs w:val="24"/>
        </w:rPr>
        <w:t xml:space="preserve"> </w:t>
      </w:r>
      <w:r w:rsidR="003829A5" w:rsidRPr="00E11420">
        <w:rPr>
          <w:rFonts w:ascii="Times New Roman" w:hAnsi="Times New Roman" w:cs="Times New Roman"/>
          <w:sz w:val="24"/>
          <w:szCs w:val="24"/>
        </w:rPr>
        <w:t xml:space="preserve">where it is mostly </w:t>
      </w:r>
      <w:r w:rsidRPr="00E11420">
        <w:rPr>
          <w:rFonts w:ascii="Times New Roman" w:hAnsi="Times New Roman" w:cs="Times New Roman"/>
          <w:sz w:val="24"/>
          <w:szCs w:val="24"/>
        </w:rPr>
        <w:t>metabolis</w:t>
      </w:r>
      <w:r w:rsidR="003829A5" w:rsidRPr="00E11420">
        <w:rPr>
          <w:rFonts w:ascii="Times New Roman" w:hAnsi="Times New Roman" w:cs="Times New Roman"/>
          <w:sz w:val="24"/>
          <w:szCs w:val="24"/>
        </w:rPr>
        <w:t>ed</w:t>
      </w:r>
      <w:r w:rsidRPr="00E11420">
        <w:rPr>
          <w:rFonts w:ascii="Times New Roman" w:hAnsi="Times New Roman" w:cs="Times New Roman"/>
          <w:sz w:val="24"/>
          <w:szCs w:val="24"/>
        </w:rPr>
        <w:t xml:space="preserve"> in the liver through </w:t>
      </w:r>
      <w:r w:rsidR="00E01099">
        <w:rPr>
          <w:rFonts w:ascii="Times New Roman" w:hAnsi="Times New Roman" w:cs="Times New Roman"/>
          <w:sz w:val="24"/>
          <w:szCs w:val="24"/>
        </w:rPr>
        <w:t>β</w:t>
      </w:r>
      <w:r w:rsidRPr="00E11420">
        <w:rPr>
          <w:rFonts w:ascii="Times New Roman" w:hAnsi="Times New Roman" w:cs="Times New Roman"/>
          <w:sz w:val="24"/>
          <w:szCs w:val="24"/>
        </w:rPr>
        <w:t>-oxidation to produce ketone bodies</w:t>
      </w:r>
      <w:r w:rsidR="006C2B0F">
        <w:rPr>
          <w:rFonts w:ascii="Times New Roman" w:hAnsi="Times New Roman" w:cs="Times New Roman"/>
          <w:sz w:val="24"/>
          <w:szCs w:val="24"/>
        </w:rPr>
        <w:t>. H</w:t>
      </w:r>
      <w:r w:rsidR="00CB32DC" w:rsidRPr="00E11420">
        <w:rPr>
          <w:rFonts w:ascii="Times New Roman" w:hAnsi="Times New Roman" w:cs="Times New Roman"/>
          <w:sz w:val="24"/>
          <w:szCs w:val="24"/>
        </w:rPr>
        <w:t>owever</w:t>
      </w:r>
      <w:r w:rsidR="00AF2755">
        <w:rPr>
          <w:rFonts w:ascii="Times New Roman" w:hAnsi="Times New Roman" w:cs="Times New Roman"/>
          <w:sz w:val="24"/>
          <w:szCs w:val="24"/>
        </w:rPr>
        <w:t>,</w:t>
      </w:r>
      <w:r w:rsidRPr="00E11420">
        <w:rPr>
          <w:rFonts w:ascii="Times New Roman" w:hAnsi="Times New Roman" w:cs="Times New Roman"/>
          <w:sz w:val="24"/>
          <w:szCs w:val="24"/>
        </w:rPr>
        <w:t xml:space="preserve"> some fat</w:t>
      </w:r>
      <w:r w:rsidR="006C2B0F">
        <w:rPr>
          <w:rFonts w:ascii="Times New Roman" w:hAnsi="Times New Roman" w:cs="Times New Roman"/>
          <w:sz w:val="24"/>
          <w:szCs w:val="24"/>
        </w:rPr>
        <w:t>ty acids</w:t>
      </w:r>
      <w:r w:rsidR="003829A5" w:rsidRPr="00E11420">
        <w:rPr>
          <w:rFonts w:ascii="Times New Roman" w:hAnsi="Times New Roman" w:cs="Times New Roman"/>
          <w:sz w:val="24"/>
          <w:szCs w:val="24"/>
        </w:rPr>
        <w:t xml:space="preserve"> escap</w:t>
      </w:r>
      <w:r w:rsidR="00CB32DC" w:rsidRPr="00E11420">
        <w:rPr>
          <w:rFonts w:ascii="Times New Roman" w:hAnsi="Times New Roman" w:cs="Times New Roman"/>
          <w:sz w:val="24"/>
          <w:szCs w:val="24"/>
        </w:rPr>
        <w:t>e</w:t>
      </w:r>
      <w:r w:rsidR="003829A5" w:rsidRPr="00E11420">
        <w:rPr>
          <w:rFonts w:ascii="Times New Roman" w:hAnsi="Times New Roman" w:cs="Times New Roman"/>
          <w:sz w:val="24"/>
          <w:szCs w:val="24"/>
        </w:rPr>
        <w:t xml:space="preserve"> into the circulatory system.</w:t>
      </w:r>
      <w:r w:rsidRPr="00E11420">
        <w:rPr>
          <w:rFonts w:ascii="Times New Roman" w:hAnsi="Times New Roman" w:cs="Times New Roman"/>
          <w:sz w:val="24"/>
          <w:szCs w:val="24"/>
        </w:rPr>
        <w:t xml:space="preserve"> In animal models, decanoic acid has bee</w:t>
      </w:r>
      <w:r w:rsidR="00CB32DC" w:rsidRPr="00E11420">
        <w:rPr>
          <w:rFonts w:ascii="Times New Roman" w:hAnsi="Times New Roman" w:cs="Times New Roman"/>
          <w:sz w:val="24"/>
          <w:szCs w:val="24"/>
        </w:rPr>
        <w:t>n found to penetrate the blood-</w:t>
      </w:r>
      <w:r w:rsidRPr="00E11420">
        <w:rPr>
          <w:rFonts w:ascii="Times New Roman" w:hAnsi="Times New Roman" w:cs="Times New Roman"/>
          <w:sz w:val="24"/>
          <w:szCs w:val="24"/>
        </w:rPr>
        <w:t>brain barrier and to be present in brain at 60%– 80% of serum levels</w:t>
      </w:r>
      <w:r w:rsidR="006C2B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2B0F">
        <w:rPr>
          <w:rFonts w:ascii="Times New Roman" w:hAnsi="Times New Roman" w:cs="Times New Roman"/>
          <w:sz w:val="24"/>
          <w:szCs w:val="24"/>
        </w:rPr>
        <w:t>Wlaz</w:t>
      </w:r>
      <w:proofErr w:type="spellEnd"/>
      <w:r w:rsidR="006C2B0F">
        <w:rPr>
          <w:rFonts w:ascii="Times New Roman" w:hAnsi="Times New Roman" w:cs="Times New Roman"/>
          <w:sz w:val="24"/>
          <w:szCs w:val="24"/>
        </w:rPr>
        <w:t xml:space="preserve"> et al, 2015)</w:t>
      </w:r>
      <w:r w:rsidRPr="00E11420">
        <w:rPr>
          <w:rFonts w:ascii="Times New Roman" w:hAnsi="Times New Roman" w:cs="Times New Roman"/>
          <w:sz w:val="24"/>
          <w:szCs w:val="24"/>
        </w:rPr>
        <w:t>.</w:t>
      </w:r>
      <w:r w:rsidR="003829A5" w:rsidRPr="00E11420">
        <w:rPr>
          <w:rFonts w:ascii="Times New Roman" w:hAnsi="Times New Roman" w:cs="Times New Roman"/>
          <w:sz w:val="24"/>
          <w:szCs w:val="24"/>
        </w:rPr>
        <w:t xml:space="preserve"> In the brain, d</w:t>
      </w:r>
      <w:r w:rsidR="006E5FA2" w:rsidRPr="00E11420">
        <w:rPr>
          <w:rFonts w:ascii="Times New Roman" w:hAnsi="Times New Roman" w:cs="Times New Roman"/>
          <w:sz w:val="24"/>
          <w:szCs w:val="24"/>
        </w:rPr>
        <w:t>ecanoic acid functions as a n</w:t>
      </w:r>
      <w:r w:rsidR="009E26E3" w:rsidRPr="00E11420">
        <w:rPr>
          <w:rFonts w:ascii="Times New Roman" w:hAnsi="Times New Roman" w:cs="Times New Roman"/>
          <w:sz w:val="24"/>
          <w:szCs w:val="24"/>
        </w:rPr>
        <w:t xml:space="preserve">on-competitive </w:t>
      </w:r>
      <w:r w:rsidR="006E5FA2" w:rsidRPr="00E11420">
        <w:rPr>
          <w:rFonts w:ascii="Times New Roman" w:hAnsi="Times New Roman" w:cs="Times New Roman"/>
          <w:sz w:val="24"/>
          <w:szCs w:val="24"/>
        </w:rPr>
        <w:t xml:space="preserve">inhibitor </w:t>
      </w:r>
      <w:r w:rsidR="00F761CC">
        <w:rPr>
          <w:rFonts w:ascii="Times New Roman" w:hAnsi="Times New Roman" w:cs="Times New Roman"/>
          <w:sz w:val="24"/>
          <w:szCs w:val="24"/>
        </w:rPr>
        <w:t>of the</w:t>
      </w:r>
      <w:r w:rsidR="006E5FA2" w:rsidRPr="00E11420">
        <w:rPr>
          <w:rFonts w:ascii="Times New Roman" w:hAnsi="Times New Roman" w:cs="Times New Roman"/>
          <w:sz w:val="24"/>
          <w:szCs w:val="24"/>
        </w:rPr>
        <w:t xml:space="preserve"> AMPA receptor</w:t>
      </w:r>
      <w:r w:rsidR="006C2B0F">
        <w:rPr>
          <w:rFonts w:ascii="Times New Roman" w:hAnsi="Times New Roman" w:cs="Times New Roman"/>
          <w:sz w:val="24"/>
          <w:szCs w:val="24"/>
        </w:rPr>
        <w:t xml:space="preserve"> (Chang et al, 2016)</w:t>
      </w:r>
      <w:r w:rsidR="009E26E3" w:rsidRPr="00E11420">
        <w:rPr>
          <w:rFonts w:ascii="Times New Roman" w:hAnsi="Times New Roman" w:cs="Times New Roman"/>
          <w:sz w:val="24"/>
          <w:szCs w:val="24"/>
        </w:rPr>
        <w:t xml:space="preserve">, </w:t>
      </w:r>
      <w:r w:rsidR="006E5FA2" w:rsidRPr="00E11420">
        <w:rPr>
          <w:rFonts w:ascii="Times New Roman" w:hAnsi="Times New Roman" w:cs="Times New Roman"/>
          <w:sz w:val="24"/>
          <w:szCs w:val="24"/>
        </w:rPr>
        <w:t xml:space="preserve">with an </w:t>
      </w:r>
      <w:r w:rsidR="009E26E3" w:rsidRPr="00E11420">
        <w:rPr>
          <w:rFonts w:ascii="Times New Roman" w:hAnsi="Times New Roman" w:cs="Times New Roman"/>
          <w:sz w:val="24"/>
          <w:szCs w:val="24"/>
        </w:rPr>
        <w:t>IC</w:t>
      </w:r>
      <w:r w:rsidR="009E26E3" w:rsidRPr="00E11420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6E5FA2" w:rsidRPr="00E11420">
        <w:rPr>
          <w:rFonts w:ascii="Times New Roman" w:hAnsi="Times New Roman" w:cs="Times New Roman"/>
          <w:sz w:val="24"/>
          <w:szCs w:val="24"/>
        </w:rPr>
        <w:t xml:space="preserve"> of </w:t>
      </w:r>
      <w:r w:rsidR="009E26E3" w:rsidRPr="00E11420">
        <w:rPr>
          <w:rFonts w:ascii="Times New Roman" w:hAnsi="Times New Roman" w:cs="Times New Roman"/>
          <w:sz w:val="24"/>
          <w:szCs w:val="24"/>
        </w:rPr>
        <w:t>0.52±0.02</w:t>
      </w:r>
      <w:r w:rsidR="003F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6E3" w:rsidRPr="00E11420">
        <w:rPr>
          <w:rFonts w:ascii="Times New Roman" w:hAnsi="Times New Roman" w:cs="Times New Roman"/>
          <w:sz w:val="24"/>
          <w:szCs w:val="24"/>
        </w:rPr>
        <w:t>mM</w:t>
      </w:r>
      <w:r w:rsidR="00F761CC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F761CC">
        <w:rPr>
          <w:rFonts w:ascii="Times New Roman" w:hAnsi="Times New Roman" w:cs="Times New Roman"/>
          <w:sz w:val="24"/>
          <w:szCs w:val="24"/>
        </w:rPr>
        <w:t xml:space="preserve"> This is</w:t>
      </w:r>
      <w:r w:rsidR="003829A5" w:rsidRPr="00E11420">
        <w:rPr>
          <w:rFonts w:ascii="Times New Roman" w:hAnsi="Times New Roman" w:cs="Times New Roman"/>
          <w:sz w:val="24"/>
          <w:szCs w:val="24"/>
        </w:rPr>
        <w:t xml:space="preserve"> considerably </w:t>
      </w:r>
      <w:r w:rsidR="00E86E0A" w:rsidRPr="00E11420">
        <w:rPr>
          <w:rFonts w:ascii="Times New Roman" w:hAnsi="Times New Roman" w:cs="Times New Roman"/>
          <w:sz w:val="24"/>
          <w:szCs w:val="24"/>
        </w:rPr>
        <w:t xml:space="preserve">lower </w:t>
      </w:r>
      <w:r w:rsidR="003829A5" w:rsidRPr="00E11420">
        <w:rPr>
          <w:rFonts w:ascii="Times New Roman" w:hAnsi="Times New Roman" w:cs="Times New Roman"/>
          <w:sz w:val="24"/>
          <w:szCs w:val="24"/>
        </w:rPr>
        <w:t>than that for</w:t>
      </w:r>
      <w:r w:rsidR="009E26E3" w:rsidRPr="00E11420">
        <w:rPr>
          <w:rFonts w:ascii="Times New Roman" w:hAnsi="Times New Roman" w:cs="Times New Roman"/>
          <w:sz w:val="24"/>
          <w:szCs w:val="24"/>
        </w:rPr>
        <w:t xml:space="preserve"> octanoic acid (IC</w:t>
      </w:r>
      <w:r w:rsidR="009E26E3" w:rsidRPr="00E11420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9E26E3" w:rsidRPr="00E11420">
        <w:rPr>
          <w:rFonts w:ascii="Times New Roman" w:hAnsi="Times New Roman" w:cs="Times New Roman"/>
          <w:sz w:val="24"/>
          <w:szCs w:val="24"/>
        </w:rPr>
        <w:t>=3.82±0.03</w:t>
      </w:r>
      <w:r w:rsidR="003F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6E3" w:rsidRPr="00E11420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9E26E3" w:rsidRPr="00E11420">
        <w:rPr>
          <w:rFonts w:ascii="Times New Roman" w:hAnsi="Times New Roman" w:cs="Times New Roman"/>
          <w:sz w:val="24"/>
          <w:szCs w:val="24"/>
        </w:rPr>
        <w:t>)</w:t>
      </w:r>
      <w:r w:rsidR="003829A5" w:rsidRPr="00E11420">
        <w:rPr>
          <w:rFonts w:ascii="Times New Roman" w:hAnsi="Times New Roman" w:cs="Times New Roman"/>
          <w:sz w:val="24"/>
          <w:szCs w:val="24"/>
        </w:rPr>
        <w:t>.</w:t>
      </w:r>
      <w:r w:rsidR="006E5FA2" w:rsidRPr="00E114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754CA" w14:textId="32AE234C" w:rsidR="0074259B" w:rsidRPr="004B1F8F" w:rsidRDefault="006C2B0F" w:rsidP="0074259B">
      <w:pPr>
        <w:rPr>
          <w:rFonts w:ascii="Times New Roman" w:hAnsi="Times New Roman" w:cs="Times New Roman"/>
          <w:i/>
          <w:sz w:val="24"/>
          <w:szCs w:val="24"/>
        </w:rPr>
      </w:pPr>
      <w:r w:rsidRPr="004B1F8F">
        <w:rPr>
          <w:rFonts w:ascii="Times New Roman" w:hAnsi="Times New Roman" w:cs="Times New Roman"/>
          <w:i/>
          <w:sz w:val="24"/>
          <w:szCs w:val="24"/>
        </w:rPr>
        <w:t>A</w:t>
      </w:r>
      <w:r w:rsidR="0074259B" w:rsidRPr="004B1F8F">
        <w:rPr>
          <w:rFonts w:ascii="Times New Roman" w:hAnsi="Times New Roman" w:cs="Times New Roman"/>
          <w:i/>
          <w:sz w:val="24"/>
          <w:szCs w:val="24"/>
        </w:rPr>
        <w:t xml:space="preserve">nticonvulsant profile </w:t>
      </w:r>
      <w:r w:rsidRPr="004B1F8F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74259B" w:rsidRPr="004B1F8F">
        <w:rPr>
          <w:rFonts w:ascii="Times New Roman" w:hAnsi="Times New Roman" w:cs="Times New Roman"/>
          <w:i/>
          <w:sz w:val="24"/>
          <w:szCs w:val="24"/>
        </w:rPr>
        <w:t>animal models</w:t>
      </w:r>
    </w:p>
    <w:p w14:paraId="472886BC" w14:textId="5CA5935E" w:rsidR="00717417" w:rsidRPr="004B1F8F" w:rsidRDefault="0002084C" w:rsidP="00256900">
      <w:pPr>
        <w:rPr>
          <w:rFonts w:ascii="Times New Roman" w:hAnsi="Times New Roman" w:cs="Times New Roman"/>
          <w:sz w:val="24"/>
          <w:szCs w:val="24"/>
        </w:rPr>
      </w:pPr>
      <w:r w:rsidRPr="004B1F8F">
        <w:rPr>
          <w:rFonts w:ascii="Times New Roman" w:hAnsi="Times New Roman" w:cs="Times New Roman"/>
          <w:sz w:val="24"/>
          <w:szCs w:val="24"/>
        </w:rPr>
        <w:t>Decanoic acid (1</w:t>
      </w:r>
      <w:r w:rsidR="003F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F8F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4B1F8F">
        <w:rPr>
          <w:rFonts w:ascii="Times New Roman" w:hAnsi="Times New Roman" w:cs="Times New Roman"/>
          <w:sz w:val="24"/>
          <w:szCs w:val="24"/>
        </w:rPr>
        <w:t>) block</w:t>
      </w:r>
      <w:r w:rsidR="00CB32DC" w:rsidRPr="004B1F8F">
        <w:rPr>
          <w:rFonts w:ascii="Times New Roman" w:hAnsi="Times New Roman" w:cs="Times New Roman"/>
          <w:sz w:val="24"/>
          <w:szCs w:val="24"/>
        </w:rPr>
        <w:t xml:space="preserve">s </w:t>
      </w:r>
      <w:r w:rsidRPr="004B1F8F">
        <w:rPr>
          <w:rFonts w:ascii="Times New Roman" w:hAnsi="Times New Roman" w:cs="Times New Roman"/>
          <w:sz w:val="24"/>
          <w:szCs w:val="24"/>
        </w:rPr>
        <w:t>PTZ-</w:t>
      </w:r>
      <w:r w:rsidR="004B1F8F">
        <w:rPr>
          <w:rFonts w:ascii="Times New Roman" w:hAnsi="Times New Roman" w:cs="Times New Roman"/>
          <w:sz w:val="24"/>
          <w:szCs w:val="24"/>
        </w:rPr>
        <w:t xml:space="preserve"> </w:t>
      </w:r>
      <w:r w:rsidRPr="004B1F8F">
        <w:rPr>
          <w:rFonts w:ascii="Times New Roman" w:hAnsi="Times New Roman" w:cs="Times New Roman"/>
          <w:sz w:val="24"/>
          <w:szCs w:val="24"/>
        </w:rPr>
        <w:t xml:space="preserve">or low magnesium-induced epileptiform discharges in rat entorhinal cortex-hippocampus slices within 20 min of </w:t>
      </w:r>
      <w:r w:rsidR="004B1F8F">
        <w:rPr>
          <w:rFonts w:ascii="Times New Roman" w:hAnsi="Times New Roman" w:cs="Times New Roman"/>
          <w:sz w:val="24"/>
          <w:szCs w:val="24"/>
        </w:rPr>
        <w:t>exposure</w:t>
      </w:r>
      <w:r w:rsidR="006C2B0F" w:rsidRPr="004B1F8F">
        <w:rPr>
          <w:rFonts w:ascii="Times New Roman" w:hAnsi="Times New Roman" w:cs="Times New Roman"/>
          <w:sz w:val="24"/>
          <w:szCs w:val="24"/>
        </w:rPr>
        <w:t xml:space="preserve"> (Chang et al, 2013</w:t>
      </w:r>
      <w:proofErr w:type="gramStart"/>
      <w:r w:rsidR="006C2B0F" w:rsidRPr="004B1F8F">
        <w:rPr>
          <w:rFonts w:ascii="Times New Roman" w:hAnsi="Times New Roman" w:cs="Times New Roman"/>
          <w:sz w:val="24"/>
          <w:szCs w:val="24"/>
        </w:rPr>
        <w:t>,2016</w:t>
      </w:r>
      <w:proofErr w:type="gramEnd"/>
      <w:r w:rsidR="006C2B0F" w:rsidRPr="004B1F8F">
        <w:rPr>
          <w:rFonts w:ascii="Times New Roman" w:hAnsi="Times New Roman" w:cs="Times New Roman"/>
          <w:sz w:val="24"/>
          <w:szCs w:val="24"/>
        </w:rPr>
        <w:t>).</w:t>
      </w:r>
      <w:r w:rsidRPr="004B1F8F">
        <w:rPr>
          <w:rFonts w:ascii="Times New Roman" w:hAnsi="Times New Roman" w:cs="Times New Roman"/>
          <w:sz w:val="24"/>
          <w:szCs w:val="24"/>
        </w:rPr>
        <w:t xml:space="preserve"> </w:t>
      </w:r>
      <w:r w:rsidR="00CB32DC" w:rsidRPr="004B1F8F">
        <w:rPr>
          <w:rFonts w:ascii="Times New Roman" w:hAnsi="Times New Roman" w:cs="Times New Roman"/>
          <w:sz w:val="24"/>
          <w:szCs w:val="24"/>
        </w:rPr>
        <w:t xml:space="preserve">The </w:t>
      </w:r>
      <w:r w:rsidR="00E574A8" w:rsidRPr="004B1F8F">
        <w:rPr>
          <w:rFonts w:ascii="Times New Roman" w:hAnsi="Times New Roman" w:cs="Times New Roman"/>
          <w:sz w:val="24"/>
          <w:szCs w:val="24"/>
        </w:rPr>
        <w:t>first study to show an</w:t>
      </w:r>
      <w:r w:rsidR="004B1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8F">
        <w:rPr>
          <w:rFonts w:ascii="Times New Roman" w:hAnsi="Times New Roman" w:cs="Times New Roman"/>
          <w:sz w:val="24"/>
          <w:szCs w:val="24"/>
        </w:rPr>
        <w:t>antiseizure</w:t>
      </w:r>
      <w:proofErr w:type="spellEnd"/>
      <w:r w:rsidR="00E574A8" w:rsidRPr="004B1F8F">
        <w:rPr>
          <w:rFonts w:ascii="Times New Roman" w:hAnsi="Times New Roman" w:cs="Times New Roman"/>
          <w:sz w:val="24"/>
          <w:szCs w:val="24"/>
        </w:rPr>
        <w:t xml:space="preserve"> effect </w:t>
      </w:r>
      <w:r w:rsidR="00CB32DC" w:rsidRPr="004B1F8F">
        <w:rPr>
          <w:rFonts w:ascii="Times New Roman" w:hAnsi="Times New Roman" w:cs="Times New Roman"/>
          <w:sz w:val="24"/>
          <w:szCs w:val="24"/>
        </w:rPr>
        <w:t xml:space="preserve">of </w:t>
      </w:r>
      <w:r w:rsidR="002F3481" w:rsidRPr="004B1F8F">
        <w:rPr>
          <w:rFonts w:ascii="Times New Roman" w:hAnsi="Times New Roman" w:cs="Times New Roman"/>
          <w:sz w:val="24"/>
          <w:szCs w:val="24"/>
        </w:rPr>
        <w:t>decano</w:t>
      </w:r>
      <w:r w:rsidR="00CB32DC" w:rsidRPr="004B1F8F">
        <w:rPr>
          <w:rFonts w:ascii="Times New Roman" w:hAnsi="Times New Roman" w:cs="Times New Roman"/>
          <w:sz w:val="24"/>
          <w:szCs w:val="24"/>
        </w:rPr>
        <w:t>ic acid</w:t>
      </w:r>
      <w:r w:rsidR="002F3481" w:rsidRPr="004B1F8F">
        <w:rPr>
          <w:rFonts w:ascii="Times New Roman" w:hAnsi="Times New Roman" w:cs="Times New Roman"/>
          <w:sz w:val="24"/>
          <w:szCs w:val="24"/>
        </w:rPr>
        <w:t xml:space="preserve"> </w:t>
      </w:r>
      <w:r w:rsidR="00E574A8" w:rsidRPr="004B1F8F">
        <w:rPr>
          <w:rFonts w:ascii="Times New Roman" w:hAnsi="Times New Roman" w:cs="Times New Roman"/>
          <w:sz w:val="24"/>
          <w:szCs w:val="24"/>
        </w:rPr>
        <w:t xml:space="preserve">involved </w:t>
      </w:r>
      <w:proofErr w:type="spellStart"/>
      <w:r w:rsidR="00E574A8" w:rsidRPr="004B1F8F">
        <w:rPr>
          <w:rFonts w:ascii="Times New Roman" w:hAnsi="Times New Roman" w:cs="Times New Roman"/>
          <w:sz w:val="24"/>
          <w:szCs w:val="24"/>
        </w:rPr>
        <w:t>i.p</w:t>
      </w:r>
      <w:proofErr w:type="spellEnd"/>
      <w:r w:rsidR="00E574A8" w:rsidRPr="004B1F8F">
        <w:rPr>
          <w:rFonts w:ascii="Times New Roman" w:hAnsi="Times New Roman" w:cs="Times New Roman"/>
          <w:sz w:val="24"/>
          <w:szCs w:val="24"/>
        </w:rPr>
        <w:t xml:space="preserve">. </w:t>
      </w:r>
      <w:r w:rsidR="0034229B" w:rsidRPr="004B1F8F">
        <w:rPr>
          <w:rFonts w:ascii="Times New Roman" w:hAnsi="Times New Roman" w:cs="Times New Roman"/>
          <w:sz w:val="24"/>
          <w:szCs w:val="24"/>
        </w:rPr>
        <w:t>administ</w:t>
      </w:r>
      <w:r w:rsidR="00E574A8" w:rsidRPr="004B1F8F">
        <w:rPr>
          <w:rFonts w:ascii="Times New Roman" w:hAnsi="Times New Roman" w:cs="Times New Roman"/>
          <w:sz w:val="24"/>
          <w:szCs w:val="24"/>
        </w:rPr>
        <w:t>ration</w:t>
      </w:r>
      <w:r w:rsidR="00B84903" w:rsidRPr="004B1F8F">
        <w:rPr>
          <w:rFonts w:ascii="Times New Roman" w:hAnsi="Times New Roman" w:cs="Times New Roman"/>
          <w:sz w:val="24"/>
          <w:szCs w:val="24"/>
        </w:rPr>
        <w:t xml:space="preserve"> </w:t>
      </w:r>
      <w:r w:rsidR="00CB32DC" w:rsidRPr="004B1F8F">
        <w:rPr>
          <w:rFonts w:ascii="Times New Roman" w:hAnsi="Times New Roman" w:cs="Times New Roman"/>
          <w:sz w:val="24"/>
          <w:szCs w:val="24"/>
        </w:rPr>
        <w:t>to</w:t>
      </w:r>
      <w:r w:rsidR="0034229B" w:rsidRPr="004B1F8F">
        <w:rPr>
          <w:rFonts w:ascii="Times New Roman" w:hAnsi="Times New Roman" w:cs="Times New Roman"/>
          <w:sz w:val="24"/>
          <w:szCs w:val="24"/>
        </w:rPr>
        <w:t xml:space="preserve"> mice 15 min before </w:t>
      </w:r>
      <w:r w:rsidR="002F3481" w:rsidRPr="004B1F8F">
        <w:rPr>
          <w:rFonts w:ascii="Times New Roman" w:hAnsi="Times New Roman" w:cs="Times New Roman"/>
          <w:sz w:val="24"/>
          <w:szCs w:val="24"/>
        </w:rPr>
        <w:t xml:space="preserve">seizure induction </w:t>
      </w:r>
      <w:r w:rsidR="00E574A8" w:rsidRPr="004B1F8F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proofErr w:type="gramStart"/>
      <w:r w:rsidR="00E574A8" w:rsidRPr="004B1F8F">
        <w:rPr>
          <w:rFonts w:ascii="Times New Roman" w:hAnsi="Times New Roman" w:cs="Times New Roman"/>
          <w:sz w:val="24"/>
          <w:szCs w:val="24"/>
        </w:rPr>
        <w:t>s.c</w:t>
      </w:r>
      <w:proofErr w:type="gramEnd"/>
      <w:r w:rsidR="00E574A8" w:rsidRPr="004B1F8F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E574A8" w:rsidRPr="004B1F8F">
        <w:rPr>
          <w:rFonts w:ascii="Times New Roman" w:hAnsi="Times New Roman" w:cs="Times New Roman"/>
          <w:sz w:val="24"/>
          <w:szCs w:val="24"/>
        </w:rPr>
        <w:t xml:space="preserve"> injections of </w:t>
      </w:r>
      <w:proofErr w:type="spellStart"/>
      <w:r w:rsidR="00E574A8" w:rsidRPr="004B1F8F">
        <w:rPr>
          <w:rFonts w:ascii="Times New Roman" w:hAnsi="Times New Roman" w:cs="Times New Roman"/>
          <w:sz w:val="24"/>
          <w:szCs w:val="24"/>
        </w:rPr>
        <w:t>picrotoxin</w:t>
      </w:r>
      <w:proofErr w:type="spellEnd"/>
      <w:r w:rsidR="004B1F8F">
        <w:rPr>
          <w:rFonts w:ascii="Times New Roman" w:hAnsi="Times New Roman" w:cs="Times New Roman"/>
          <w:sz w:val="24"/>
          <w:szCs w:val="24"/>
        </w:rPr>
        <w:t>. Decanoic acid</w:t>
      </w:r>
      <w:r w:rsidR="00E574A8" w:rsidRPr="004B1F8F">
        <w:rPr>
          <w:rFonts w:ascii="Times New Roman" w:hAnsi="Times New Roman" w:cs="Times New Roman"/>
          <w:sz w:val="24"/>
          <w:szCs w:val="24"/>
        </w:rPr>
        <w:t xml:space="preserve"> </w:t>
      </w:r>
      <w:r w:rsidR="006C2B0F" w:rsidRPr="004B1F8F">
        <w:rPr>
          <w:rFonts w:ascii="Times New Roman" w:hAnsi="Times New Roman" w:cs="Times New Roman"/>
          <w:sz w:val="24"/>
          <w:szCs w:val="24"/>
        </w:rPr>
        <w:t>caus</w:t>
      </w:r>
      <w:r w:rsidR="002F3481" w:rsidRPr="004B1F8F">
        <w:rPr>
          <w:rFonts w:ascii="Times New Roman" w:hAnsi="Times New Roman" w:cs="Times New Roman"/>
          <w:sz w:val="24"/>
          <w:szCs w:val="24"/>
        </w:rPr>
        <w:t xml:space="preserve">ed a small but significant delay in the onset to </w:t>
      </w:r>
      <w:proofErr w:type="spellStart"/>
      <w:r w:rsidR="002F3481" w:rsidRPr="004B1F8F">
        <w:rPr>
          <w:rFonts w:ascii="Times New Roman" w:hAnsi="Times New Roman" w:cs="Times New Roman"/>
          <w:sz w:val="24"/>
          <w:szCs w:val="24"/>
        </w:rPr>
        <w:t>clonic</w:t>
      </w:r>
      <w:proofErr w:type="spellEnd"/>
      <w:r w:rsidR="002F3481" w:rsidRPr="004B1F8F">
        <w:rPr>
          <w:rFonts w:ascii="Times New Roman" w:hAnsi="Times New Roman" w:cs="Times New Roman"/>
          <w:sz w:val="24"/>
          <w:szCs w:val="24"/>
        </w:rPr>
        <w:t xml:space="preserve"> convulsions at 172</w:t>
      </w:r>
      <w:r w:rsidR="006C2B0F" w:rsidRPr="004B1F8F">
        <w:rPr>
          <w:rFonts w:ascii="Times New Roman" w:hAnsi="Times New Roman" w:cs="Times New Roman"/>
          <w:sz w:val="24"/>
          <w:szCs w:val="24"/>
        </w:rPr>
        <w:t xml:space="preserve"> </w:t>
      </w:r>
      <w:r w:rsidR="002F3481" w:rsidRPr="004B1F8F">
        <w:rPr>
          <w:rFonts w:ascii="Times New Roman" w:hAnsi="Times New Roman" w:cs="Times New Roman"/>
          <w:sz w:val="24"/>
          <w:szCs w:val="24"/>
        </w:rPr>
        <w:t>mg/kg</w:t>
      </w:r>
      <w:r w:rsidR="00CB32DC" w:rsidRPr="004B1F8F">
        <w:rPr>
          <w:rFonts w:ascii="Times New Roman" w:hAnsi="Times New Roman" w:cs="Times New Roman"/>
          <w:sz w:val="24"/>
          <w:szCs w:val="24"/>
        </w:rPr>
        <w:t xml:space="preserve"> </w:t>
      </w:r>
      <w:r w:rsidR="00B84903" w:rsidRPr="004B1F8F">
        <w:rPr>
          <w:rFonts w:ascii="Times New Roman" w:hAnsi="Times New Roman" w:cs="Times New Roman"/>
          <w:sz w:val="24"/>
          <w:szCs w:val="24"/>
        </w:rPr>
        <w:t xml:space="preserve">(from around 480 </w:t>
      </w:r>
      <w:r w:rsidR="00B84903" w:rsidRPr="004B1F8F">
        <w:rPr>
          <w:rFonts w:ascii="Times New Roman" w:hAnsi="Times New Roman" w:cs="Times New Roman"/>
          <w:sz w:val="24"/>
          <w:szCs w:val="24"/>
        </w:rPr>
        <w:lastRenderedPageBreak/>
        <w:t>s without treatment to around 970 s with decanoic acid) whereas</w:t>
      </w:r>
      <w:r w:rsidR="004B1F8F">
        <w:rPr>
          <w:rFonts w:ascii="Times New Roman" w:hAnsi="Times New Roman" w:cs="Times New Roman"/>
          <w:sz w:val="24"/>
          <w:szCs w:val="24"/>
        </w:rPr>
        <w:t xml:space="preserve"> fatty acids with</w:t>
      </w:r>
      <w:r w:rsidR="00B84903" w:rsidRPr="004B1F8F">
        <w:rPr>
          <w:rFonts w:ascii="Times New Roman" w:hAnsi="Times New Roman" w:cs="Times New Roman"/>
          <w:sz w:val="24"/>
          <w:szCs w:val="24"/>
        </w:rPr>
        <w:t xml:space="preserve"> longer chain lengths caused greatly increasing onset time</w:t>
      </w:r>
      <w:r w:rsidR="004B1F8F">
        <w:rPr>
          <w:rFonts w:ascii="Times New Roman" w:hAnsi="Times New Roman" w:cs="Times New Roman"/>
          <w:sz w:val="24"/>
          <w:szCs w:val="24"/>
        </w:rPr>
        <w:t>,</w:t>
      </w:r>
      <w:r w:rsidR="00B84903" w:rsidRPr="004B1F8F">
        <w:rPr>
          <w:rFonts w:ascii="Times New Roman" w:hAnsi="Times New Roman" w:cs="Times New Roman"/>
          <w:sz w:val="24"/>
          <w:szCs w:val="24"/>
        </w:rPr>
        <w:t xml:space="preserve"> with palmitic acid (16 carbons) delaying convulsions to around 3600 s</w:t>
      </w:r>
      <w:r w:rsidR="00B84903" w:rsidRPr="00E11420">
        <w:rPr>
          <w:rFonts w:ascii="Times New Roman" w:hAnsi="Times New Roman" w:cs="Times New Roman"/>
          <w:sz w:val="24"/>
          <w:szCs w:val="24"/>
        </w:rPr>
        <w:t xml:space="preserve">, </w:t>
      </w:r>
      <w:r w:rsidR="00B84903" w:rsidRPr="00C361C4">
        <w:rPr>
          <w:rFonts w:ascii="Times New Roman" w:hAnsi="Times New Roman" w:cs="Times New Roman"/>
          <w:sz w:val="24"/>
          <w:szCs w:val="24"/>
        </w:rPr>
        <w:t xml:space="preserve">and decanoic acid did not increase survival time </w:t>
      </w:r>
      <w:r w:rsidR="006C2B0F" w:rsidRPr="004B1F8F">
        <w:rPr>
          <w:rFonts w:ascii="Times New Roman" w:hAnsi="Times New Roman" w:cs="Times New Roman"/>
          <w:sz w:val="24"/>
          <w:szCs w:val="24"/>
        </w:rPr>
        <w:t>(Nakamura et al, 1990)</w:t>
      </w:r>
      <w:r w:rsidR="00906B26" w:rsidRPr="004B1F8F">
        <w:rPr>
          <w:rFonts w:ascii="Times New Roman" w:hAnsi="Times New Roman" w:cs="Times New Roman"/>
          <w:sz w:val="24"/>
          <w:szCs w:val="24"/>
        </w:rPr>
        <w:t>.</w:t>
      </w:r>
      <w:r w:rsidRPr="004B1F8F">
        <w:rPr>
          <w:rFonts w:ascii="Times New Roman" w:hAnsi="Times New Roman" w:cs="Times New Roman"/>
          <w:sz w:val="24"/>
          <w:szCs w:val="24"/>
        </w:rPr>
        <w:t xml:space="preserve"> </w:t>
      </w:r>
      <w:r w:rsidR="00B84903" w:rsidRPr="004B1F8F">
        <w:rPr>
          <w:rFonts w:ascii="Times New Roman" w:hAnsi="Times New Roman" w:cs="Times New Roman"/>
          <w:sz w:val="24"/>
          <w:szCs w:val="24"/>
        </w:rPr>
        <w:t xml:space="preserve">Using the same administration route, this study also suggested that onset to </w:t>
      </w:r>
      <w:proofErr w:type="spellStart"/>
      <w:r w:rsidR="00B84903" w:rsidRPr="004B1F8F">
        <w:rPr>
          <w:rFonts w:ascii="Times New Roman" w:hAnsi="Times New Roman" w:cs="Times New Roman"/>
          <w:sz w:val="24"/>
          <w:szCs w:val="24"/>
        </w:rPr>
        <w:t>clonic</w:t>
      </w:r>
      <w:proofErr w:type="spellEnd"/>
      <w:r w:rsidR="00B84903" w:rsidRPr="004B1F8F">
        <w:rPr>
          <w:rFonts w:ascii="Times New Roman" w:hAnsi="Times New Roman" w:cs="Times New Roman"/>
          <w:sz w:val="24"/>
          <w:szCs w:val="24"/>
        </w:rPr>
        <w:t xml:space="preserve"> seizures induced by subcutaneous PTZ was not affected by d</w:t>
      </w:r>
      <w:r w:rsidR="001976CA" w:rsidRPr="004B1F8F">
        <w:rPr>
          <w:rFonts w:ascii="Times New Roman" w:hAnsi="Times New Roman" w:cs="Times New Roman"/>
          <w:sz w:val="24"/>
          <w:szCs w:val="24"/>
        </w:rPr>
        <w:t>ec</w:t>
      </w:r>
      <w:r w:rsidR="00B84903" w:rsidRPr="004B1F8F">
        <w:rPr>
          <w:rFonts w:ascii="Times New Roman" w:hAnsi="Times New Roman" w:cs="Times New Roman"/>
          <w:sz w:val="24"/>
          <w:szCs w:val="24"/>
        </w:rPr>
        <w:t>anoic acid at 172</w:t>
      </w:r>
      <w:r w:rsidR="004B1F8F">
        <w:rPr>
          <w:rFonts w:ascii="Times New Roman" w:hAnsi="Times New Roman" w:cs="Times New Roman"/>
          <w:sz w:val="24"/>
          <w:szCs w:val="24"/>
        </w:rPr>
        <w:t xml:space="preserve"> </w:t>
      </w:r>
      <w:r w:rsidR="00B84903" w:rsidRPr="004B1F8F">
        <w:rPr>
          <w:rFonts w:ascii="Times New Roman" w:hAnsi="Times New Roman" w:cs="Times New Roman"/>
          <w:sz w:val="24"/>
          <w:szCs w:val="24"/>
        </w:rPr>
        <w:t>mg/kg</w:t>
      </w:r>
      <w:r w:rsidR="004B1F8F">
        <w:rPr>
          <w:rFonts w:ascii="Times New Roman" w:hAnsi="Times New Roman" w:cs="Times New Roman"/>
          <w:sz w:val="24"/>
          <w:szCs w:val="24"/>
        </w:rPr>
        <w:t>,</w:t>
      </w:r>
      <w:r w:rsidR="00B84903" w:rsidRPr="004B1F8F">
        <w:rPr>
          <w:rFonts w:ascii="Times New Roman" w:hAnsi="Times New Roman" w:cs="Times New Roman"/>
          <w:sz w:val="24"/>
          <w:szCs w:val="24"/>
        </w:rPr>
        <w:t xml:space="preserve"> but </w:t>
      </w:r>
      <w:r w:rsidR="001976CA" w:rsidRPr="004B1F8F">
        <w:rPr>
          <w:rFonts w:ascii="Times New Roman" w:hAnsi="Times New Roman" w:cs="Times New Roman"/>
          <w:sz w:val="24"/>
          <w:szCs w:val="24"/>
        </w:rPr>
        <w:t>survival times increased</w:t>
      </w:r>
      <w:r w:rsidR="00B84903" w:rsidRPr="004B1F8F">
        <w:rPr>
          <w:rFonts w:ascii="Times New Roman" w:hAnsi="Times New Roman" w:cs="Times New Roman"/>
          <w:sz w:val="24"/>
          <w:szCs w:val="24"/>
        </w:rPr>
        <w:t xml:space="preserve"> </w:t>
      </w:r>
      <w:r w:rsidR="001976CA" w:rsidRPr="004B1F8F">
        <w:rPr>
          <w:rFonts w:ascii="Times New Roman" w:hAnsi="Times New Roman" w:cs="Times New Roman"/>
          <w:sz w:val="24"/>
          <w:szCs w:val="24"/>
        </w:rPr>
        <w:t>from around 422 s to 633</w:t>
      </w:r>
      <w:r w:rsidR="00717417" w:rsidRPr="004B1F8F">
        <w:rPr>
          <w:rFonts w:ascii="Times New Roman" w:hAnsi="Times New Roman" w:cs="Times New Roman"/>
          <w:sz w:val="24"/>
          <w:szCs w:val="24"/>
        </w:rPr>
        <w:t xml:space="preserve"> </w:t>
      </w:r>
      <w:r w:rsidR="001976CA" w:rsidRPr="004B1F8F">
        <w:rPr>
          <w:rFonts w:ascii="Times New Roman" w:hAnsi="Times New Roman" w:cs="Times New Roman"/>
          <w:sz w:val="24"/>
          <w:szCs w:val="24"/>
        </w:rPr>
        <w:t>s</w:t>
      </w:r>
      <w:r w:rsidR="001976CA" w:rsidRPr="00C361C4">
        <w:rPr>
          <w:rFonts w:ascii="Times New Roman" w:hAnsi="Times New Roman" w:cs="Times New Roman"/>
          <w:sz w:val="24"/>
          <w:szCs w:val="24"/>
        </w:rPr>
        <w:t>.</w:t>
      </w:r>
      <w:r w:rsidR="001976CA" w:rsidRPr="004B1F8F">
        <w:rPr>
          <w:rFonts w:ascii="Times New Roman" w:hAnsi="Times New Roman" w:cs="Times New Roman"/>
          <w:sz w:val="24"/>
          <w:szCs w:val="24"/>
        </w:rPr>
        <w:t xml:space="preserve"> Although this study sug</w:t>
      </w:r>
      <w:r w:rsidR="00717417" w:rsidRPr="004B1F8F">
        <w:rPr>
          <w:rFonts w:ascii="Times New Roman" w:hAnsi="Times New Roman" w:cs="Times New Roman"/>
          <w:sz w:val="24"/>
          <w:szCs w:val="24"/>
        </w:rPr>
        <w:t>gest</w:t>
      </w:r>
      <w:r w:rsidR="004B1F8F">
        <w:rPr>
          <w:rFonts w:ascii="Times New Roman" w:hAnsi="Times New Roman" w:cs="Times New Roman"/>
          <w:sz w:val="24"/>
          <w:szCs w:val="24"/>
        </w:rPr>
        <w:t>ed</w:t>
      </w:r>
      <w:r w:rsidR="00717417" w:rsidRPr="004B1F8F">
        <w:rPr>
          <w:rFonts w:ascii="Times New Roman" w:hAnsi="Times New Roman" w:cs="Times New Roman"/>
          <w:sz w:val="24"/>
          <w:szCs w:val="24"/>
        </w:rPr>
        <w:t xml:space="preserve"> a weak effect of decanoic</w:t>
      </w:r>
      <w:r w:rsidR="001976CA" w:rsidRPr="004B1F8F">
        <w:rPr>
          <w:rFonts w:ascii="Times New Roman" w:hAnsi="Times New Roman" w:cs="Times New Roman"/>
          <w:sz w:val="24"/>
          <w:szCs w:val="24"/>
        </w:rPr>
        <w:t xml:space="preserve"> acid on seizure activity, </w:t>
      </w:r>
      <w:r w:rsidR="00717417" w:rsidRPr="004B1F8F">
        <w:rPr>
          <w:rFonts w:ascii="Times New Roman" w:hAnsi="Times New Roman" w:cs="Times New Roman"/>
          <w:sz w:val="24"/>
          <w:szCs w:val="24"/>
        </w:rPr>
        <w:t>the small effect size and inconsistency between models d</w:t>
      </w:r>
      <w:r w:rsidR="004B1F8F">
        <w:rPr>
          <w:rFonts w:ascii="Times New Roman" w:hAnsi="Times New Roman" w:cs="Times New Roman"/>
          <w:sz w:val="24"/>
          <w:szCs w:val="24"/>
        </w:rPr>
        <w:t>id</w:t>
      </w:r>
      <w:r w:rsidR="00717417" w:rsidRPr="004B1F8F">
        <w:rPr>
          <w:rFonts w:ascii="Times New Roman" w:hAnsi="Times New Roman" w:cs="Times New Roman"/>
          <w:sz w:val="24"/>
          <w:szCs w:val="24"/>
        </w:rPr>
        <w:t xml:space="preserve"> not provide strong evidence for </w:t>
      </w:r>
      <w:r w:rsidR="00DF3A2E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DF3A2E">
        <w:rPr>
          <w:rFonts w:ascii="Times New Roman" w:hAnsi="Times New Roman" w:cs="Times New Roman"/>
          <w:sz w:val="24"/>
          <w:szCs w:val="24"/>
        </w:rPr>
        <w:t>antiseizure</w:t>
      </w:r>
      <w:proofErr w:type="spellEnd"/>
      <w:r w:rsidR="00DF3A2E">
        <w:rPr>
          <w:rFonts w:ascii="Times New Roman" w:hAnsi="Times New Roman" w:cs="Times New Roman"/>
          <w:sz w:val="24"/>
          <w:szCs w:val="24"/>
        </w:rPr>
        <w:t xml:space="preserve"> effect</w:t>
      </w:r>
      <w:r w:rsidR="00717417" w:rsidRPr="004B1F8F">
        <w:rPr>
          <w:rFonts w:ascii="Times New Roman" w:hAnsi="Times New Roman" w:cs="Times New Roman"/>
          <w:sz w:val="24"/>
          <w:szCs w:val="24"/>
        </w:rPr>
        <w:t xml:space="preserve">. </w:t>
      </w:r>
      <w:r w:rsidR="00B84903" w:rsidRPr="004B1F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C90C9" w14:textId="4C5C9FA6" w:rsidR="0034229B" w:rsidRDefault="00717417" w:rsidP="00256900">
      <w:pPr>
        <w:rPr>
          <w:rFonts w:ascii="Times New Roman" w:hAnsi="Times New Roman" w:cs="Times New Roman"/>
          <w:sz w:val="24"/>
          <w:szCs w:val="24"/>
        </w:rPr>
      </w:pPr>
      <w:r w:rsidRPr="004B1F8F">
        <w:rPr>
          <w:rFonts w:ascii="Times New Roman" w:hAnsi="Times New Roman" w:cs="Times New Roman"/>
          <w:sz w:val="24"/>
          <w:szCs w:val="24"/>
        </w:rPr>
        <w:t xml:space="preserve">However, </w:t>
      </w:r>
      <w:r w:rsidR="00F07CF4" w:rsidRPr="004B1F8F">
        <w:rPr>
          <w:rFonts w:ascii="Times New Roman" w:hAnsi="Times New Roman" w:cs="Times New Roman"/>
          <w:sz w:val="24"/>
          <w:szCs w:val="24"/>
        </w:rPr>
        <w:t>two</w:t>
      </w:r>
      <w:r w:rsidRPr="004B1F8F">
        <w:rPr>
          <w:rFonts w:ascii="Times New Roman" w:hAnsi="Times New Roman" w:cs="Times New Roman"/>
          <w:sz w:val="24"/>
          <w:szCs w:val="24"/>
        </w:rPr>
        <w:t xml:space="preserve"> subsequent stud</w:t>
      </w:r>
      <w:r w:rsidR="00F07CF4" w:rsidRPr="004B1F8F">
        <w:rPr>
          <w:rFonts w:ascii="Times New Roman" w:hAnsi="Times New Roman" w:cs="Times New Roman"/>
          <w:sz w:val="24"/>
          <w:szCs w:val="24"/>
        </w:rPr>
        <w:t xml:space="preserve">ies </w:t>
      </w:r>
      <w:r w:rsidR="00DF3A2E">
        <w:rPr>
          <w:rFonts w:ascii="Times New Roman" w:hAnsi="Times New Roman" w:cs="Times New Roman"/>
          <w:sz w:val="24"/>
          <w:szCs w:val="24"/>
        </w:rPr>
        <w:t>did</w:t>
      </w:r>
      <w:r w:rsidR="00F07CF4" w:rsidRPr="004B1F8F">
        <w:rPr>
          <w:rFonts w:ascii="Times New Roman" w:hAnsi="Times New Roman" w:cs="Times New Roman"/>
          <w:sz w:val="24"/>
          <w:szCs w:val="24"/>
        </w:rPr>
        <w:t xml:space="preserve"> suggest a role for decanoic acid in seizure control. U</w:t>
      </w:r>
      <w:r w:rsidRPr="004B1F8F">
        <w:rPr>
          <w:rFonts w:ascii="Times New Roman" w:hAnsi="Times New Roman" w:cs="Times New Roman"/>
          <w:sz w:val="24"/>
          <w:szCs w:val="24"/>
        </w:rPr>
        <w:t>sing a</w:t>
      </w:r>
      <w:r w:rsidR="0002084C" w:rsidRPr="004B1F8F">
        <w:rPr>
          <w:rFonts w:ascii="Times New Roman" w:hAnsi="Times New Roman" w:cs="Times New Roman"/>
          <w:sz w:val="24"/>
          <w:szCs w:val="24"/>
        </w:rPr>
        <w:t xml:space="preserve"> single bolus oral gavage dose of decanoic acid</w:t>
      </w:r>
      <w:r w:rsidR="00F07CF4" w:rsidRPr="004B1F8F">
        <w:rPr>
          <w:rFonts w:ascii="Times New Roman" w:hAnsi="Times New Roman" w:cs="Times New Roman"/>
          <w:sz w:val="24"/>
          <w:szCs w:val="24"/>
        </w:rPr>
        <w:t>,</w:t>
      </w:r>
      <w:r w:rsidR="004C5971" w:rsidRPr="004B1F8F">
        <w:rPr>
          <w:rFonts w:ascii="Times New Roman" w:hAnsi="Times New Roman" w:cs="Times New Roman"/>
          <w:sz w:val="24"/>
          <w:szCs w:val="24"/>
        </w:rPr>
        <w:t xml:space="preserve"> seizure thresholds</w:t>
      </w:r>
      <w:r w:rsidR="0002084C" w:rsidRPr="004B1F8F">
        <w:rPr>
          <w:rFonts w:ascii="Times New Roman" w:hAnsi="Times New Roman" w:cs="Times New Roman"/>
          <w:sz w:val="24"/>
          <w:szCs w:val="24"/>
        </w:rPr>
        <w:t xml:space="preserve"> in </w:t>
      </w:r>
      <w:r w:rsidR="004C5971" w:rsidRPr="004B1F8F">
        <w:rPr>
          <w:rFonts w:ascii="Times New Roman" w:hAnsi="Times New Roman" w:cs="Times New Roman"/>
          <w:sz w:val="24"/>
          <w:szCs w:val="24"/>
        </w:rPr>
        <w:t>the 6</w:t>
      </w:r>
      <w:r w:rsidR="006C2B0F" w:rsidRPr="004B1F8F">
        <w:rPr>
          <w:rFonts w:ascii="Times New Roman" w:hAnsi="Times New Roman" w:cs="Times New Roman"/>
          <w:sz w:val="24"/>
          <w:szCs w:val="24"/>
        </w:rPr>
        <w:t xml:space="preserve"> </w:t>
      </w:r>
      <w:r w:rsidR="004C5971" w:rsidRPr="004B1F8F">
        <w:rPr>
          <w:rFonts w:ascii="Times New Roman" w:hAnsi="Times New Roman" w:cs="Times New Roman"/>
          <w:sz w:val="24"/>
          <w:szCs w:val="24"/>
        </w:rPr>
        <w:t xml:space="preserve">Hz model </w:t>
      </w:r>
      <w:r w:rsidR="00F07CF4" w:rsidRPr="004B1F8F">
        <w:rPr>
          <w:rFonts w:ascii="Times New Roman" w:hAnsi="Times New Roman" w:cs="Times New Roman"/>
          <w:sz w:val="24"/>
          <w:szCs w:val="24"/>
        </w:rPr>
        <w:t xml:space="preserve">were significantly increased </w:t>
      </w:r>
      <w:r w:rsidR="004C5971" w:rsidRPr="004B1F8F">
        <w:rPr>
          <w:rFonts w:ascii="Times New Roman" w:hAnsi="Times New Roman" w:cs="Times New Roman"/>
          <w:sz w:val="24"/>
          <w:szCs w:val="24"/>
        </w:rPr>
        <w:t>(at</w:t>
      </w:r>
      <w:r w:rsidR="00906B26" w:rsidRPr="004B1F8F">
        <w:rPr>
          <w:rFonts w:ascii="Times New Roman" w:hAnsi="Times New Roman" w:cs="Times New Roman"/>
          <w:sz w:val="24"/>
          <w:szCs w:val="24"/>
        </w:rPr>
        <w:t xml:space="preserve"> 1.7</w:t>
      </w:r>
      <w:r w:rsidR="006C2B0F" w:rsidRPr="004B1F8F">
        <w:rPr>
          <w:rFonts w:ascii="Times New Roman" w:hAnsi="Times New Roman" w:cs="Times New Roman"/>
          <w:sz w:val="24"/>
          <w:szCs w:val="24"/>
        </w:rPr>
        <w:t xml:space="preserve"> </w:t>
      </w:r>
      <w:r w:rsidR="00906B26" w:rsidRPr="004B1F8F">
        <w:rPr>
          <w:rFonts w:ascii="Times New Roman" w:hAnsi="Times New Roman" w:cs="Times New Roman"/>
          <w:sz w:val="24"/>
          <w:szCs w:val="24"/>
        </w:rPr>
        <w:t>g/kg and 5.2</w:t>
      </w:r>
      <w:r w:rsidR="006C2B0F" w:rsidRPr="004B1F8F">
        <w:rPr>
          <w:rFonts w:ascii="Times New Roman" w:hAnsi="Times New Roman" w:cs="Times New Roman"/>
          <w:sz w:val="24"/>
          <w:szCs w:val="24"/>
        </w:rPr>
        <w:t xml:space="preserve"> </w:t>
      </w:r>
      <w:r w:rsidR="00906B26" w:rsidRPr="004B1F8F">
        <w:rPr>
          <w:rFonts w:ascii="Times New Roman" w:hAnsi="Times New Roman" w:cs="Times New Roman"/>
          <w:sz w:val="24"/>
          <w:szCs w:val="24"/>
        </w:rPr>
        <w:t>g/kg)</w:t>
      </w:r>
      <w:r w:rsidR="00F07CF4" w:rsidRPr="004B1F8F">
        <w:rPr>
          <w:rFonts w:ascii="Times New Roman" w:hAnsi="Times New Roman" w:cs="Times New Roman"/>
          <w:sz w:val="24"/>
          <w:szCs w:val="24"/>
        </w:rPr>
        <w:t xml:space="preserve">, and a similar </w:t>
      </w:r>
      <w:r w:rsidR="004C5971" w:rsidRPr="004B1F8F">
        <w:rPr>
          <w:rFonts w:ascii="Times New Roman" w:hAnsi="Times New Roman" w:cs="Times New Roman"/>
          <w:sz w:val="24"/>
          <w:szCs w:val="24"/>
        </w:rPr>
        <w:t>increase</w:t>
      </w:r>
      <w:r w:rsidR="00F07CF4" w:rsidRPr="004B1F8F">
        <w:rPr>
          <w:rFonts w:ascii="Times New Roman" w:hAnsi="Times New Roman" w:cs="Times New Roman"/>
          <w:sz w:val="24"/>
          <w:szCs w:val="24"/>
        </w:rPr>
        <w:t xml:space="preserve"> in</w:t>
      </w:r>
      <w:r w:rsidR="004C5971" w:rsidRPr="004B1F8F">
        <w:rPr>
          <w:rFonts w:ascii="Times New Roman" w:hAnsi="Times New Roman" w:cs="Times New Roman"/>
          <w:sz w:val="24"/>
          <w:szCs w:val="24"/>
        </w:rPr>
        <w:t xml:space="preserve"> the </w:t>
      </w:r>
      <w:r w:rsidR="00065BBC">
        <w:rPr>
          <w:rFonts w:ascii="Times New Roman" w:hAnsi="Times New Roman" w:cs="Times New Roman"/>
          <w:sz w:val="24"/>
          <w:szCs w:val="24"/>
        </w:rPr>
        <w:t>MES</w:t>
      </w:r>
      <w:r w:rsidR="004C5971" w:rsidRPr="004B1F8F">
        <w:rPr>
          <w:rFonts w:ascii="Times New Roman" w:hAnsi="Times New Roman" w:cs="Times New Roman"/>
          <w:sz w:val="24"/>
          <w:szCs w:val="24"/>
        </w:rPr>
        <w:t xml:space="preserve"> threshold </w:t>
      </w:r>
      <w:r w:rsidR="00F07CF4" w:rsidRPr="004B1F8F">
        <w:rPr>
          <w:rFonts w:ascii="Times New Roman" w:hAnsi="Times New Roman" w:cs="Times New Roman"/>
          <w:sz w:val="24"/>
          <w:szCs w:val="24"/>
        </w:rPr>
        <w:t xml:space="preserve">was observed </w:t>
      </w:r>
      <w:r w:rsidR="004C5971" w:rsidRPr="004B1F8F">
        <w:rPr>
          <w:rFonts w:ascii="Times New Roman" w:hAnsi="Times New Roman" w:cs="Times New Roman"/>
          <w:sz w:val="24"/>
          <w:szCs w:val="24"/>
        </w:rPr>
        <w:t>at 8.6</w:t>
      </w:r>
      <w:r w:rsidR="006C2B0F" w:rsidRPr="004B1F8F">
        <w:rPr>
          <w:rFonts w:ascii="Times New Roman" w:hAnsi="Times New Roman" w:cs="Times New Roman"/>
          <w:sz w:val="24"/>
          <w:szCs w:val="24"/>
        </w:rPr>
        <w:t xml:space="preserve"> </w:t>
      </w:r>
      <w:r w:rsidR="004C5971" w:rsidRPr="004B1F8F">
        <w:rPr>
          <w:rFonts w:ascii="Times New Roman" w:hAnsi="Times New Roman" w:cs="Times New Roman"/>
          <w:sz w:val="24"/>
          <w:szCs w:val="24"/>
        </w:rPr>
        <w:t>g/kg</w:t>
      </w:r>
      <w:r w:rsidR="00F761CC" w:rsidRPr="004B1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1CC" w:rsidRPr="004B1F8F">
        <w:rPr>
          <w:rFonts w:ascii="Times New Roman" w:hAnsi="Times New Roman" w:cs="Times New Roman"/>
          <w:sz w:val="24"/>
          <w:szCs w:val="24"/>
        </w:rPr>
        <w:t>p.o.</w:t>
      </w:r>
      <w:proofErr w:type="spellEnd"/>
      <w:r w:rsidR="0002084C" w:rsidRPr="004B1F8F">
        <w:rPr>
          <w:rFonts w:ascii="Times New Roman" w:hAnsi="Times New Roman" w:cs="Times New Roman"/>
          <w:sz w:val="24"/>
          <w:szCs w:val="24"/>
        </w:rPr>
        <w:t xml:space="preserve"> </w:t>
      </w:r>
      <w:r w:rsidR="00F07CF4" w:rsidRPr="004B1F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07CF4" w:rsidRPr="004B1F8F">
        <w:rPr>
          <w:rFonts w:ascii="Times New Roman" w:hAnsi="Times New Roman" w:cs="Times New Roman"/>
          <w:sz w:val="24"/>
          <w:szCs w:val="24"/>
        </w:rPr>
        <w:t>Wlaz</w:t>
      </w:r>
      <w:proofErr w:type="spellEnd"/>
      <w:r w:rsidR="00F07CF4" w:rsidRPr="004B1F8F">
        <w:rPr>
          <w:rFonts w:ascii="Times New Roman" w:hAnsi="Times New Roman" w:cs="Times New Roman"/>
          <w:sz w:val="24"/>
          <w:szCs w:val="24"/>
        </w:rPr>
        <w:t xml:space="preserve"> et al, 2015), </w:t>
      </w:r>
      <w:r w:rsidR="00DF3A2E">
        <w:rPr>
          <w:rFonts w:ascii="Times New Roman" w:hAnsi="Times New Roman" w:cs="Times New Roman"/>
          <w:sz w:val="24"/>
          <w:szCs w:val="24"/>
        </w:rPr>
        <w:t>although</w:t>
      </w:r>
      <w:r w:rsidR="0002084C" w:rsidRPr="004B1F8F">
        <w:rPr>
          <w:rFonts w:ascii="Times New Roman" w:hAnsi="Times New Roman" w:cs="Times New Roman"/>
          <w:sz w:val="24"/>
          <w:szCs w:val="24"/>
        </w:rPr>
        <w:t xml:space="preserve"> </w:t>
      </w:r>
      <w:r w:rsidR="00F07CF4" w:rsidRPr="004B1F8F">
        <w:rPr>
          <w:rFonts w:ascii="Times New Roman" w:hAnsi="Times New Roman" w:cs="Times New Roman"/>
          <w:sz w:val="24"/>
          <w:szCs w:val="24"/>
        </w:rPr>
        <w:t>no effect was observed</w:t>
      </w:r>
      <w:r w:rsidR="00065BBC">
        <w:rPr>
          <w:rFonts w:ascii="Times New Roman" w:hAnsi="Times New Roman" w:cs="Times New Roman"/>
          <w:sz w:val="24"/>
          <w:szCs w:val="24"/>
        </w:rPr>
        <w:t xml:space="preserve"> at decanoic acid doses </w:t>
      </w:r>
      <w:r w:rsidR="00065BBC" w:rsidRPr="004B1F8F">
        <w:rPr>
          <w:rFonts w:ascii="Times New Roman" w:hAnsi="Times New Roman" w:cs="Times New Roman"/>
          <w:sz w:val="24"/>
          <w:szCs w:val="24"/>
        </w:rPr>
        <w:t xml:space="preserve">up to at 8.6 g/kg </w:t>
      </w:r>
      <w:proofErr w:type="spellStart"/>
      <w:r w:rsidR="00065BBC" w:rsidRPr="004B1F8F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="00F07CF4" w:rsidRPr="004B1F8F">
        <w:rPr>
          <w:rFonts w:ascii="Times New Roman" w:hAnsi="Times New Roman" w:cs="Times New Roman"/>
          <w:sz w:val="24"/>
          <w:szCs w:val="24"/>
        </w:rPr>
        <w:t xml:space="preserve"> following</w:t>
      </w:r>
      <w:r w:rsidR="00906B26" w:rsidRPr="004B1F8F">
        <w:rPr>
          <w:rFonts w:ascii="Times New Roman" w:hAnsi="Times New Roman" w:cs="Times New Roman"/>
          <w:sz w:val="24"/>
          <w:szCs w:val="24"/>
        </w:rPr>
        <w:t xml:space="preserve"> </w:t>
      </w:r>
      <w:r w:rsidR="00057914" w:rsidRPr="004B1F8F">
        <w:rPr>
          <w:rFonts w:ascii="Times New Roman" w:hAnsi="Times New Roman" w:cs="Times New Roman"/>
          <w:sz w:val="24"/>
          <w:szCs w:val="24"/>
        </w:rPr>
        <w:t xml:space="preserve">seizure induction </w:t>
      </w:r>
      <w:r w:rsidR="00906B26" w:rsidRPr="004B1F8F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906B26" w:rsidRPr="004B1F8F">
        <w:rPr>
          <w:rFonts w:ascii="Times New Roman" w:hAnsi="Times New Roman" w:cs="Times New Roman"/>
          <w:sz w:val="24"/>
          <w:szCs w:val="24"/>
        </w:rPr>
        <w:t>i.v.</w:t>
      </w:r>
      <w:proofErr w:type="spellEnd"/>
      <w:r w:rsidR="00906B26" w:rsidRPr="004B1F8F">
        <w:rPr>
          <w:rFonts w:ascii="Times New Roman" w:hAnsi="Times New Roman" w:cs="Times New Roman"/>
          <w:sz w:val="24"/>
          <w:szCs w:val="24"/>
        </w:rPr>
        <w:t xml:space="preserve"> PTZ</w:t>
      </w:r>
      <w:r w:rsidR="00F07CF4" w:rsidRPr="004B1F8F">
        <w:rPr>
          <w:rFonts w:ascii="Times New Roman" w:hAnsi="Times New Roman" w:cs="Times New Roman"/>
          <w:sz w:val="24"/>
          <w:szCs w:val="24"/>
        </w:rPr>
        <w:t>.</w:t>
      </w:r>
      <w:r w:rsidR="006C2B0F" w:rsidRPr="004B1F8F">
        <w:rPr>
          <w:rFonts w:ascii="Times New Roman" w:hAnsi="Times New Roman" w:cs="Times New Roman"/>
          <w:sz w:val="24"/>
          <w:szCs w:val="24"/>
        </w:rPr>
        <w:t xml:space="preserve"> </w:t>
      </w:r>
      <w:r w:rsidR="00F07CF4" w:rsidRPr="004B1F8F">
        <w:rPr>
          <w:rFonts w:ascii="Times New Roman" w:hAnsi="Times New Roman" w:cs="Times New Roman"/>
          <w:sz w:val="24"/>
          <w:szCs w:val="24"/>
        </w:rPr>
        <w:t>In addition, d</w:t>
      </w:r>
      <w:r w:rsidR="0034229B" w:rsidRPr="004B1F8F">
        <w:rPr>
          <w:rFonts w:ascii="Times New Roman" w:hAnsi="Times New Roman" w:cs="Times New Roman"/>
          <w:sz w:val="24"/>
          <w:szCs w:val="24"/>
        </w:rPr>
        <w:t xml:space="preserve">ietary intake of </w:t>
      </w:r>
      <w:r w:rsidR="00906B26" w:rsidRPr="004B1F8F">
        <w:rPr>
          <w:rFonts w:ascii="Times New Roman" w:hAnsi="Times New Roman" w:cs="Times New Roman"/>
          <w:sz w:val="24"/>
          <w:szCs w:val="24"/>
        </w:rPr>
        <w:t xml:space="preserve">35% of calories through </w:t>
      </w:r>
      <w:r w:rsidR="0034229B" w:rsidRPr="004B1F8F">
        <w:rPr>
          <w:rFonts w:ascii="Times New Roman" w:hAnsi="Times New Roman" w:cs="Times New Roman"/>
          <w:sz w:val="24"/>
          <w:szCs w:val="24"/>
        </w:rPr>
        <w:t xml:space="preserve">decanoic acid (only) </w:t>
      </w:r>
      <w:r w:rsidR="00F07CF4" w:rsidRPr="004B1F8F">
        <w:rPr>
          <w:rFonts w:ascii="Times New Roman" w:hAnsi="Times New Roman" w:cs="Times New Roman"/>
          <w:sz w:val="24"/>
          <w:szCs w:val="24"/>
        </w:rPr>
        <w:t>triglycerides</w:t>
      </w:r>
      <w:r w:rsidR="00F07CF4" w:rsidRPr="004B1F8F" w:rsidDel="00F07CF4">
        <w:rPr>
          <w:rFonts w:ascii="Times New Roman" w:hAnsi="Times New Roman" w:cs="Times New Roman"/>
          <w:sz w:val="24"/>
          <w:szCs w:val="24"/>
        </w:rPr>
        <w:t xml:space="preserve"> </w:t>
      </w:r>
      <w:r w:rsidR="0034229B" w:rsidRPr="004B1F8F">
        <w:rPr>
          <w:rFonts w:ascii="Times New Roman" w:hAnsi="Times New Roman" w:cs="Times New Roman"/>
          <w:sz w:val="24"/>
          <w:szCs w:val="24"/>
        </w:rPr>
        <w:t>increased seizure threshold in the 6</w:t>
      </w:r>
      <w:r w:rsidR="006C2B0F" w:rsidRPr="004B1F8F">
        <w:rPr>
          <w:rFonts w:ascii="Times New Roman" w:hAnsi="Times New Roman" w:cs="Times New Roman"/>
          <w:sz w:val="24"/>
          <w:szCs w:val="24"/>
        </w:rPr>
        <w:t xml:space="preserve"> </w:t>
      </w:r>
      <w:r w:rsidR="0034229B" w:rsidRPr="004B1F8F">
        <w:rPr>
          <w:rFonts w:ascii="Times New Roman" w:hAnsi="Times New Roman" w:cs="Times New Roman"/>
          <w:sz w:val="24"/>
          <w:szCs w:val="24"/>
        </w:rPr>
        <w:t xml:space="preserve">Hz model and </w:t>
      </w:r>
      <w:r w:rsidR="00DF3A2E">
        <w:rPr>
          <w:rFonts w:ascii="Times New Roman" w:hAnsi="Times New Roman" w:cs="Times New Roman"/>
          <w:sz w:val="24"/>
          <w:szCs w:val="24"/>
        </w:rPr>
        <w:t xml:space="preserve">the </w:t>
      </w:r>
      <w:r w:rsidR="0034229B" w:rsidRPr="004B1F8F">
        <w:rPr>
          <w:rFonts w:ascii="Times New Roman" w:hAnsi="Times New Roman" w:cs="Times New Roman"/>
          <w:sz w:val="24"/>
          <w:szCs w:val="24"/>
        </w:rPr>
        <w:t>latency to first generalised</w:t>
      </w:r>
      <w:r w:rsidR="00256900" w:rsidRPr="004B1F8F">
        <w:rPr>
          <w:rFonts w:ascii="Times New Roman" w:hAnsi="Times New Roman" w:cs="Times New Roman"/>
          <w:sz w:val="24"/>
          <w:szCs w:val="24"/>
        </w:rPr>
        <w:t xml:space="preserve"> seizure in the </w:t>
      </w:r>
      <w:proofErr w:type="spellStart"/>
      <w:r w:rsidR="00256900" w:rsidRPr="004B1F8F">
        <w:rPr>
          <w:rFonts w:ascii="Times New Roman" w:hAnsi="Times New Roman" w:cs="Times New Roman"/>
          <w:sz w:val="24"/>
          <w:szCs w:val="24"/>
        </w:rPr>
        <w:t>flurothyl</w:t>
      </w:r>
      <w:proofErr w:type="spellEnd"/>
      <w:r w:rsidR="00256900" w:rsidRPr="004B1F8F">
        <w:rPr>
          <w:rFonts w:ascii="Times New Roman" w:hAnsi="Times New Roman" w:cs="Times New Roman"/>
          <w:sz w:val="24"/>
          <w:szCs w:val="24"/>
        </w:rPr>
        <w:t xml:space="preserve"> model</w:t>
      </w:r>
      <w:r w:rsidR="006C2B0F" w:rsidRPr="004B1F8F">
        <w:rPr>
          <w:rFonts w:ascii="Times New Roman" w:hAnsi="Times New Roman" w:cs="Times New Roman"/>
          <w:sz w:val="24"/>
          <w:szCs w:val="24"/>
        </w:rPr>
        <w:t xml:space="preserve"> (Tan et al, 2013</w:t>
      </w:r>
      <w:r w:rsidR="00F07CF4" w:rsidRPr="004B1F8F">
        <w:rPr>
          <w:rFonts w:ascii="Times New Roman" w:hAnsi="Times New Roman" w:cs="Times New Roman"/>
          <w:sz w:val="24"/>
          <w:szCs w:val="24"/>
        </w:rPr>
        <w:t>)</w:t>
      </w:r>
      <w:r w:rsidR="00DF3A2E">
        <w:rPr>
          <w:rFonts w:ascii="Times New Roman" w:hAnsi="Times New Roman" w:cs="Times New Roman"/>
          <w:sz w:val="24"/>
          <w:szCs w:val="24"/>
        </w:rPr>
        <w:t>. These effects were</w:t>
      </w:r>
      <w:r w:rsidR="00F07CF4" w:rsidRPr="004B1F8F">
        <w:rPr>
          <w:rFonts w:ascii="Times New Roman" w:hAnsi="Times New Roman" w:cs="Times New Roman"/>
          <w:sz w:val="24"/>
          <w:szCs w:val="24"/>
        </w:rPr>
        <w:t xml:space="preserve"> not seen </w:t>
      </w:r>
      <w:r w:rsidR="00057914" w:rsidRPr="004B1F8F">
        <w:rPr>
          <w:rFonts w:ascii="Times New Roman" w:hAnsi="Times New Roman" w:cs="Times New Roman"/>
          <w:sz w:val="24"/>
          <w:szCs w:val="24"/>
        </w:rPr>
        <w:t>following</w:t>
      </w:r>
      <w:r w:rsidR="00F07CF4" w:rsidRPr="004B1F8F">
        <w:rPr>
          <w:rFonts w:ascii="Times New Roman" w:hAnsi="Times New Roman" w:cs="Times New Roman"/>
          <w:sz w:val="24"/>
          <w:szCs w:val="24"/>
        </w:rPr>
        <w:t xml:space="preserve"> octanoic acid (only) triglyceride</w:t>
      </w:r>
      <w:r w:rsidR="00057914" w:rsidRPr="004B1F8F">
        <w:rPr>
          <w:rFonts w:ascii="Times New Roman" w:hAnsi="Times New Roman" w:cs="Times New Roman"/>
          <w:sz w:val="24"/>
          <w:szCs w:val="24"/>
        </w:rPr>
        <w:t xml:space="preserve"> dietary intake</w:t>
      </w:r>
      <w:r w:rsidR="00F07CF4" w:rsidRPr="004B1F8F">
        <w:rPr>
          <w:rFonts w:ascii="Times New Roman" w:hAnsi="Times New Roman" w:cs="Times New Roman"/>
          <w:sz w:val="24"/>
          <w:szCs w:val="24"/>
        </w:rPr>
        <w:t>. Importantly, this study also demonstrated that both decanoic acid and octanoic acid triglyceride</w:t>
      </w:r>
      <w:r w:rsidR="00DF3A2E">
        <w:rPr>
          <w:rFonts w:ascii="Times New Roman" w:hAnsi="Times New Roman" w:cs="Times New Roman"/>
          <w:sz w:val="24"/>
          <w:szCs w:val="24"/>
        </w:rPr>
        <w:t>s</w:t>
      </w:r>
      <w:r w:rsidR="00F07CF4" w:rsidRPr="004B1F8F">
        <w:rPr>
          <w:rFonts w:ascii="Times New Roman" w:hAnsi="Times New Roman" w:cs="Times New Roman"/>
          <w:sz w:val="24"/>
          <w:szCs w:val="24"/>
        </w:rPr>
        <w:t xml:space="preserve"> provided a common level</w:t>
      </w:r>
      <w:r w:rsidR="00057914" w:rsidRPr="004B1F8F">
        <w:rPr>
          <w:rFonts w:ascii="Times New Roman" w:hAnsi="Times New Roman" w:cs="Times New Roman"/>
          <w:sz w:val="24"/>
          <w:szCs w:val="24"/>
        </w:rPr>
        <w:t>s</w:t>
      </w:r>
      <w:r w:rsidR="00F07CF4" w:rsidRPr="004B1F8F">
        <w:rPr>
          <w:rFonts w:ascii="Times New Roman" w:hAnsi="Times New Roman" w:cs="Times New Roman"/>
          <w:sz w:val="24"/>
          <w:szCs w:val="24"/>
        </w:rPr>
        <w:t xml:space="preserve"> of keto</w:t>
      </w:r>
      <w:r w:rsidR="00057914" w:rsidRPr="004B1F8F">
        <w:rPr>
          <w:rFonts w:ascii="Times New Roman" w:hAnsi="Times New Roman" w:cs="Times New Roman"/>
          <w:sz w:val="24"/>
          <w:szCs w:val="24"/>
        </w:rPr>
        <w:t>sis</w:t>
      </w:r>
      <w:r w:rsidR="00F07CF4" w:rsidRPr="004B1F8F">
        <w:rPr>
          <w:rFonts w:ascii="Times New Roman" w:hAnsi="Times New Roman" w:cs="Times New Roman"/>
          <w:sz w:val="24"/>
          <w:szCs w:val="24"/>
        </w:rPr>
        <w:t xml:space="preserve">, but only the decanoic acid diet provided seizure control, strongly supporting a role for decanoic acid in seizure control independent of </w:t>
      </w:r>
      <w:r w:rsidR="00057914" w:rsidRPr="004B1F8F">
        <w:rPr>
          <w:rFonts w:ascii="Times New Roman" w:hAnsi="Times New Roman" w:cs="Times New Roman"/>
          <w:sz w:val="24"/>
          <w:szCs w:val="24"/>
        </w:rPr>
        <w:t>ketone generation</w:t>
      </w:r>
      <w:r w:rsidR="00F07CF4" w:rsidRPr="004B1F8F">
        <w:rPr>
          <w:rFonts w:ascii="Times New Roman" w:hAnsi="Times New Roman" w:cs="Times New Roman"/>
          <w:sz w:val="24"/>
          <w:szCs w:val="24"/>
        </w:rPr>
        <w:t>.</w:t>
      </w:r>
      <w:r w:rsidR="003829A5" w:rsidRPr="004B1F8F">
        <w:rPr>
          <w:rFonts w:ascii="Times New Roman" w:hAnsi="Times New Roman" w:cs="Times New Roman"/>
          <w:sz w:val="24"/>
          <w:szCs w:val="24"/>
        </w:rPr>
        <w:t xml:space="preserve"> </w:t>
      </w:r>
      <w:r w:rsidR="0078398D" w:rsidRPr="004B1F8F">
        <w:rPr>
          <w:rFonts w:ascii="Times New Roman" w:hAnsi="Times New Roman" w:cs="Times New Roman"/>
          <w:sz w:val="24"/>
          <w:szCs w:val="24"/>
        </w:rPr>
        <w:t xml:space="preserve">In addition to decanoic acid, a range of congeners, including branched and cyclic derivatives, also </w:t>
      </w:r>
      <w:r w:rsidR="003829A5" w:rsidRPr="004B1F8F">
        <w:rPr>
          <w:rFonts w:ascii="Times New Roman" w:hAnsi="Times New Roman" w:cs="Times New Roman"/>
          <w:sz w:val="24"/>
          <w:szCs w:val="24"/>
        </w:rPr>
        <w:t>show</w:t>
      </w:r>
      <w:r w:rsidR="0078398D" w:rsidRPr="004B1F8F">
        <w:rPr>
          <w:rFonts w:ascii="Times New Roman" w:hAnsi="Times New Roman" w:cs="Times New Roman"/>
          <w:sz w:val="24"/>
          <w:szCs w:val="24"/>
        </w:rPr>
        <w:t xml:space="preserve"> strong</w:t>
      </w:r>
      <w:r w:rsidR="003829A5" w:rsidRPr="004B1F8F">
        <w:rPr>
          <w:rFonts w:ascii="Times New Roman" w:hAnsi="Times New Roman" w:cs="Times New Roman"/>
          <w:sz w:val="24"/>
          <w:szCs w:val="24"/>
        </w:rPr>
        <w:t xml:space="preserve"> seizure control activity</w:t>
      </w:r>
      <w:r w:rsidR="006C2B0F" w:rsidRPr="004B1F8F">
        <w:rPr>
          <w:rFonts w:ascii="Times New Roman" w:hAnsi="Times New Roman" w:cs="Times New Roman"/>
          <w:sz w:val="24"/>
          <w:szCs w:val="24"/>
        </w:rPr>
        <w:t xml:space="preserve"> (Chang et al, 2013,</w:t>
      </w:r>
      <w:r w:rsidR="004C3992" w:rsidRPr="004B1F8F">
        <w:rPr>
          <w:rFonts w:ascii="Times New Roman" w:hAnsi="Times New Roman" w:cs="Times New Roman"/>
          <w:sz w:val="24"/>
          <w:szCs w:val="24"/>
        </w:rPr>
        <w:t xml:space="preserve"> </w:t>
      </w:r>
      <w:r w:rsidR="006C2B0F" w:rsidRPr="004B1F8F">
        <w:rPr>
          <w:rFonts w:ascii="Times New Roman" w:hAnsi="Times New Roman" w:cs="Times New Roman"/>
          <w:sz w:val="24"/>
          <w:szCs w:val="24"/>
        </w:rPr>
        <w:t>2015,</w:t>
      </w:r>
      <w:r w:rsidR="004C3992" w:rsidRPr="004B1F8F">
        <w:rPr>
          <w:rFonts w:ascii="Times New Roman" w:hAnsi="Times New Roman" w:cs="Times New Roman"/>
          <w:sz w:val="24"/>
          <w:szCs w:val="24"/>
        </w:rPr>
        <w:t xml:space="preserve"> </w:t>
      </w:r>
      <w:r w:rsidR="006C2B0F" w:rsidRPr="004B1F8F">
        <w:rPr>
          <w:rFonts w:ascii="Times New Roman" w:hAnsi="Times New Roman" w:cs="Times New Roman"/>
          <w:sz w:val="24"/>
          <w:szCs w:val="24"/>
        </w:rPr>
        <w:t>2016)</w:t>
      </w:r>
      <w:r w:rsidR="003829A5" w:rsidRPr="004B1F8F">
        <w:rPr>
          <w:rFonts w:ascii="Times New Roman" w:hAnsi="Times New Roman" w:cs="Times New Roman"/>
          <w:sz w:val="24"/>
          <w:szCs w:val="24"/>
        </w:rPr>
        <w:t>.</w:t>
      </w:r>
    </w:p>
    <w:p w14:paraId="4CAB7331" w14:textId="77777777" w:rsidR="004C3992" w:rsidRPr="00065BBC" w:rsidRDefault="004C3992" w:rsidP="00256900">
      <w:pPr>
        <w:rPr>
          <w:rFonts w:ascii="Times New Roman" w:hAnsi="Times New Roman" w:cs="Times New Roman"/>
          <w:sz w:val="24"/>
          <w:szCs w:val="24"/>
        </w:rPr>
      </w:pPr>
    </w:p>
    <w:p w14:paraId="686F0886" w14:textId="2E058606" w:rsidR="0074259B" w:rsidRPr="00065BBC" w:rsidRDefault="004C3992" w:rsidP="0074259B">
      <w:pPr>
        <w:rPr>
          <w:rFonts w:ascii="Times New Roman" w:hAnsi="Times New Roman" w:cs="Times New Roman"/>
          <w:i/>
          <w:sz w:val="24"/>
          <w:szCs w:val="24"/>
        </w:rPr>
      </w:pPr>
      <w:r w:rsidRPr="00065BBC">
        <w:rPr>
          <w:rFonts w:ascii="Times New Roman" w:hAnsi="Times New Roman" w:cs="Times New Roman"/>
          <w:i/>
          <w:sz w:val="24"/>
          <w:szCs w:val="24"/>
        </w:rPr>
        <w:t>O</w:t>
      </w:r>
      <w:r w:rsidR="0074259B" w:rsidRPr="00065BBC">
        <w:rPr>
          <w:rFonts w:ascii="Times New Roman" w:hAnsi="Times New Roman" w:cs="Times New Roman"/>
          <w:i/>
          <w:sz w:val="24"/>
          <w:szCs w:val="24"/>
        </w:rPr>
        <w:t>ther pharmacological properties</w:t>
      </w:r>
    </w:p>
    <w:p w14:paraId="552E9EB0" w14:textId="06511F35" w:rsidR="00F761CC" w:rsidRPr="00E11420" w:rsidRDefault="001F709B" w:rsidP="00F761CC">
      <w:pPr>
        <w:rPr>
          <w:rFonts w:ascii="Times New Roman" w:hAnsi="Times New Roman" w:cs="Times New Roman"/>
          <w:sz w:val="24"/>
          <w:szCs w:val="24"/>
        </w:rPr>
      </w:pPr>
      <w:r w:rsidRPr="00065BBC">
        <w:rPr>
          <w:rFonts w:ascii="Times New Roman" w:hAnsi="Times New Roman" w:cs="Times New Roman"/>
          <w:sz w:val="24"/>
          <w:szCs w:val="24"/>
        </w:rPr>
        <w:t>Decanoic acid has been s</w:t>
      </w:r>
      <w:r w:rsidR="0034229B" w:rsidRPr="00065BBC">
        <w:rPr>
          <w:rFonts w:ascii="Times New Roman" w:hAnsi="Times New Roman" w:cs="Times New Roman"/>
          <w:sz w:val="24"/>
          <w:szCs w:val="24"/>
        </w:rPr>
        <w:t xml:space="preserve">hown to </w:t>
      </w:r>
      <w:r w:rsidR="00DC5C7F" w:rsidRPr="00065BBC">
        <w:rPr>
          <w:rFonts w:ascii="Times New Roman" w:hAnsi="Times New Roman" w:cs="Times New Roman"/>
          <w:sz w:val="24"/>
          <w:szCs w:val="24"/>
        </w:rPr>
        <w:t>increase</w:t>
      </w:r>
      <w:r w:rsidR="0034229B" w:rsidRPr="00065BBC">
        <w:rPr>
          <w:rFonts w:ascii="Times New Roman" w:hAnsi="Times New Roman" w:cs="Times New Roman"/>
          <w:sz w:val="24"/>
          <w:szCs w:val="24"/>
        </w:rPr>
        <w:t xml:space="preserve"> mitochondrial proliferation through regulation of a fatty acid receptor, PPARγ</w:t>
      </w:r>
      <w:r w:rsidR="004C3992">
        <w:rPr>
          <w:rFonts w:ascii="Times New Roman" w:hAnsi="Times New Roman" w:cs="Times New Roman"/>
          <w:sz w:val="24"/>
          <w:szCs w:val="24"/>
        </w:rPr>
        <w:t xml:space="preserve"> (Hughes et al, 2014)</w:t>
      </w:r>
      <w:r w:rsidR="00E005DD" w:rsidRPr="00065BBC">
        <w:rPr>
          <w:rFonts w:ascii="Times New Roman" w:hAnsi="Times New Roman" w:cs="Times New Roman"/>
          <w:sz w:val="24"/>
          <w:szCs w:val="24"/>
        </w:rPr>
        <w:t xml:space="preserve">. </w:t>
      </w:r>
      <w:r w:rsidR="00C029A3">
        <w:rPr>
          <w:rFonts w:ascii="Times New Roman" w:hAnsi="Times New Roman" w:cs="Times New Roman"/>
          <w:sz w:val="24"/>
          <w:szCs w:val="24"/>
        </w:rPr>
        <w:t>In this study, decanoic acid treatment of cultured neural cells was shown to act via PPAR</w:t>
      </w:r>
      <w:r w:rsidR="00C029A3" w:rsidRPr="00065BBC">
        <w:rPr>
          <w:rFonts w:ascii="Symbol" w:hAnsi="Symbol" w:cs="Times New Roman"/>
          <w:sz w:val="24"/>
          <w:szCs w:val="24"/>
        </w:rPr>
        <w:t></w:t>
      </w:r>
      <w:r w:rsidR="00C029A3">
        <w:rPr>
          <w:rFonts w:ascii="Times New Roman" w:hAnsi="Times New Roman" w:cs="Times New Roman"/>
          <w:sz w:val="24"/>
          <w:szCs w:val="24"/>
        </w:rPr>
        <w:t xml:space="preserve"> to enhance mitochondrial biogenesis and </w:t>
      </w:r>
      <w:r w:rsidR="00C029A3" w:rsidRPr="00C029A3">
        <w:rPr>
          <w:rFonts w:ascii="Times New Roman" w:hAnsi="Times New Roman" w:cs="Times New Roman"/>
          <w:sz w:val="24"/>
          <w:szCs w:val="24"/>
        </w:rPr>
        <w:t xml:space="preserve">activity </w:t>
      </w:r>
      <w:r w:rsidR="00C029A3">
        <w:rPr>
          <w:rFonts w:ascii="Times New Roman" w:hAnsi="Times New Roman" w:cs="Times New Roman"/>
          <w:sz w:val="24"/>
          <w:szCs w:val="24"/>
        </w:rPr>
        <w:t>of the</w:t>
      </w:r>
      <w:r w:rsidR="00C029A3" w:rsidRPr="00C029A3">
        <w:rPr>
          <w:rFonts w:ascii="Times New Roman" w:hAnsi="Times New Roman" w:cs="Times New Roman"/>
          <w:sz w:val="24"/>
          <w:szCs w:val="24"/>
        </w:rPr>
        <w:t xml:space="preserve"> mitochondrial complex I</w:t>
      </w:r>
      <w:r w:rsidR="00C029A3">
        <w:rPr>
          <w:rFonts w:ascii="Times New Roman" w:hAnsi="Times New Roman" w:cs="Times New Roman"/>
          <w:sz w:val="24"/>
          <w:szCs w:val="24"/>
        </w:rPr>
        <w:t xml:space="preserve">. This mechanism was not evident for octanoic acid, and is thought </w:t>
      </w:r>
      <w:r w:rsidR="00065BBC">
        <w:rPr>
          <w:rFonts w:ascii="Times New Roman" w:hAnsi="Times New Roman" w:cs="Times New Roman"/>
          <w:sz w:val="24"/>
          <w:szCs w:val="24"/>
        </w:rPr>
        <w:t xml:space="preserve">to </w:t>
      </w:r>
      <w:r w:rsidR="00C029A3" w:rsidRPr="00C029A3">
        <w:rPr>
          <w:rFonts w:ascii="Times New Roman" w:hAnsi="Times New Roman" w:cs="Times New Roman"/>
          <w:sz w:val="24"/>
          <w:szCs w:val="24"/>
        </w:rPr>
        <w:t>increas</w:t>
      </w:r>
      <w:r w:rsidR="00C029A3">
        <w:rPr>
          <w:rFonts w:ascii="Times New Roman" w:hAnsi="Times New Roman" w:cs="Times New Roman"/>
          <w:sz w:val="24"/>
          <w:szCs w:val="24"/>
        </w:rPr>
        <w:t>e</w:t>
      </w:r>
      <w:r w:rsidR="00C029A3" w:rsidRPr="00C029A3">
        <w:rPr>
          <w:rFonts w:ascii="Times New Roman" w:hAnsi="Times New Roman" w:cs="Times New Roman"/>
          <w:sz w:val="24"/>
          <w:szCs w:val="24"/>
        </w:rPr>
        <w:t xml:space="preserve"> ATP availability lead</w:t>
      </w:r>
      <w:r w:rsidR="00C029A3">
        <w:rPr>
          <w:rFonts w:ascii="Times New Roman" w:hAnsi="Times New Roman" w:cs="Times New Roman"/>
          <w:sz w:val="24"/>
          <w:szCs w:val="24"/>
        </w:rPr>
        <w:t>ing</w:t>
      </w:r>
      <w:r w:rsidR="00C029A3" w:rsidRPr="00C029A3">
        <w:rPr>
          <w:rFonts w:ascii="Times New Roman" w:hAnsi="Times New Roman" w:cs="Times New Roman"/>
          <w:sz w:val="24"/>
          <w:szCs w:val="24"/>
        </w:rPr>
        <w:t xml:space="preserve"> to an increase in seizure threshold</w:t>
      </w:r>
      <w:r w:rsidR="00C029A3">
        <w:rPr>
          <w:rFonts w:ascii="Times New Roman" w:hAnsi="Times New Roman" w:cs="Times New Roman"/>
          <w:sz w:val="24"/>
          <w:szCs w:val="24"/>
        </w:rPr>
        <w:t xml:space="preserve"> </w:t>
      </w:r>
      <w:r w:rsidR="00065BBC">
        <w:rPr>
          <w:rFonts w:ascii="Times New Roman" w:hAnsi="Times New Roman" w:cs="Times New Roman"/>
          <w:sz w:val="24"/>
          <w:szCs w:val="24"/>
        </w:rPr>
        <w:t xml:space="preserve">and to a reduction in seizure activity </w:t>
      </w:r>
      <w:r w:rsidR="00C029A3">
        <w:rPr>
          <w:rFonts w:ascii="Times New Roman" w:hAnsi="Times New Roman" w:cs="Times New Roman"/>
          <w:sz w:val="24"/>
          <w:szCs w:val="24"/>
        </w:rPr>
        <w:t>following long term treatment</w:t>
      </w:r>
      <w:r w:rsidR="006E5FA2" w:rsidRPr="00065B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A6E1D6" w14:textId="7A548251" w:rsidR="004472F7" w:rsidRPr="00E11420" w:rsidRDefault="004472F7" w:rsidP="0034229B">
      <w:pPr>
        <w:rPr>
          <w:rFonts w:ascii="Times New Roman" w:hAnsi="Times New Roman" w:cs="Times New Roman"/>
          <w:sz w:val="24"/>
          <w:szCs w:val="24"/>
        </w:rPr>
      </w:pPr>
    </w:p>
    <w:p w14:paraId="6CF6A1CA" w14:textId="648EDCCE" w:rsidR="0074259B" w:rsidRPr="00065BBC" w:rsidRDefault="004C3992" w:rsidP="0074259B">
      <w:pPr>
        <w:rPr>
          <w:rFonts w:ascii="Times New Roman" w:hAnsi="Times New Roman" w:cs="Times New Roman"/>
          <w:i/>
          <w:sz w:val="24"/>
          <w:szCs w:val="24"/>
        </w:rPr>
      </w:pPr>
      <w:r w:rsidRPr="00065BBC">
        <w:rPr>
          <w:rFonts w:ascii="Times New Roman" w:hAnsi="Times New Roman" w:cs="Times New Roman"/>
          <w:i/>
          <w:sz w:val="24"/>
          <w:szCs w:val="24"/>
        </w:rPr>
        <w:t>M</w:t>
      </w:r>
      <w:r w:rsidR="0074259B" w:rsidRPr="00065BBC">
        <w:rPr>
          <w:rFonts w:ascii="Times New Roman" w:hAnsi="Times New Roman" w:cs="Times New Roman"/>
          <w:i/>
          <w:sz w:val="24"/>
          <w:szCs w:val="24"/>
        </w:rPr>
        <w:t>echanism</w:t>
      </w:r>
      <w:r w:rsidR="00822DD0">
        <w:rPr>
          <w:rFonts w:ascii="Times New Roman" w:hAnsi="Times New Roman" w:cs="Times New Roman"/>
          <w:i/>
          <w:sz w:val="24"/>
          <w:szCs w:val="24"/>
        </w:rPr>
        <w:t>s</w:t>
      </w:r>
      <w:r w:rsidR="0074259B" w:rsidRPr="00065BBC">
        <w:rPr>
          <w:rFonts w:ascii="Times New Roman" w:hAnsi="Times New Roman" w:cs="Times New Roman"/>
          <w:i/>
          <w:sz w:val="24"/>
          <w:szCs w:val="24"/>
        </w:rPr>
        <w:t xml:space="preserve"> of action</w:t>
      </w:r>
    </w:p>
    <w:p w14:paraId="01ABAB47" w14:textId="09C62779" w:rsidR="003F2012" w:rsidRDefault="003F2012" w:rsidP="00014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Studies u</w:t>
      </w:r>
      <w:r w:rsidRPr="003F2012">
        <w:rPr>
          <w:rFonts w:ascii="Times New Roman" w:hAnsi="Times New Roman" w:cs="Times New Roman"/>
          <w:sz w:val="24"/>
          <w:szCs w:val="24"/>
        </w:rPr>
        <w:t>sing whole cell patch clamp recordings from CA1 pyramidal neurons</w:t>
      </w:r>
      <w:r>
        <w:rPr>
          <w:rFonts w:ascii="Times New Roman" w:hAnsi="Times New Roman" w:cs="Times New Roman"/>
          <w:sz w:val="24"/>
          <w:szCs w:val="24"/>
        </w:rPr>
        <w:t xml:space="preserve"> have shown that</w:t>
      </w:r>
      <w:r w:rsidRPr="003F2012">
        <w:rPr>
          <w:rFonts w:ascii="Times New Roman" w:hAnsi="Times New Roman" w:cs="Times New Roman"/>
          <w:sz w:val="24"/>
          <w:szCs w:val="24"/>
        </w:rPr>
        <w:t xml:space="preserve"> decanoic acid reduce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F2012">
        <w:rPr>
          <w:rFonts w:ascii="Times New Roman" w:hAnsi="Times New Roman" w:cs="Times New Roman"/>
          <w:sz w:val="24"/>
          <w:szCs w:val="24"/>
        </w:rPr>
        <w:t xml:space="preserve"> </w:t>
      </w:r>
      <w:r w:rsidRPr="003F2012">
        <w:rPr>
          <w:rFonts w:ascii="Times New Roman" w:hAnsi="Times New Roman" w:cs="Times New Roman"/>
          <w:sz w:val="24"/>
          <w:szCs w:val="24"/>
          <w:shd w:val="clear" w:color="auto" w:fill="FFFFFF"/>
        </w:rPr>
        <w:t>excitatory postsynaptic currents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3F2012">
        <w:rPr>
          <w:rFonts w:ascii="Times New Roman" w:hAnsi="Times New Roman" w:cs="Times New Roman"/>
          <w:sz w:val="24"/>
          <w:szCs w:val="24"/>
        </w:rPr>
        <w:t>EPSCs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F2012">
        <w:rPr>
          <w:rFonts w:ascii="Times New Roman" w:hAnsi="Times New Roman" w:cs="Times New Roman"/>
          <w:sz w:val="24"/>
          <w:szCs w:val="24"/>
        </w:rPr>
        <w:t>, consistent with an effect on postsynaptic excitatory AMPA receptor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E15A2" w:rsidDel="008E1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(Chang et al, 2016)</w:t>
      </w:r>
      <w:r w:rsidRPr="003F2012">
        <w:rPr>
          <w:rFonts w:ascii="Times New Roman" w:hAnsi="Times New Roman" w:cs="Times New Roman"/>
          <w:sz w:val="24"/>
          <w:szCs w:val="24"/>
        </w:rPr>
        <w:t xml:space="preserve">. Direct inhibitory activity of decanoic acid against AMPA receptors was then shown using a </w:t>
      </w:r>
      <w:proofErr w:type="spellStart"/>
      <w:r w:rsidRPr="003F2012">
        <w:rPr>
          <w:rFonts w:ascii="Times New Roman" w:hAnsi="Times New Roman" w:cs="Times New Roman"/>
          <w:i/>
          <w:sz w:val="24"/>
          <w:szCs w:val="24"/>
        </w:rPr>
        <w:t>Xenopus</w:t>
      </w:r>
      <w:proofErr w:type="spellEnd"/>
      <w:r w:rsidRPr="003F2012">
        <w:rPr>
          <w:rFonts w:ascii="Times New Roman" w:hAnsi="Times New Roman" w:cs="Times New Roman"/>
          <w:sz w:val="24"/>
          <w:szCs w:val="24"/>
        </w:rPr>
        <w:t xml:space="preserve"> oocyte model, where the expression of distinct AMPA receptor subunits (GluA1, GluA2 and GluA3) enabled the detailed analysis of decanoic acid-dependent inhibition in isolated receptors</w:t>
      </w:r>
      <w:r>
        <w:rPr>
          <w:rFonts w:ascii="Times New Roman" w:hAnsi="Times New Roman" w:cs="Times New Roman"/>
          <w:sz w:val="24"/>
          <w:szCs w:val="24"/>
        </w:rPr>
        <w:t xml:space="preserve"> (Chang et al, 2016)</w:t>
      </w:r>
      <w:r w:rsidRPr="005912BB">
        <w:rPr>
          <w:rFonts w:ascii="Times New Roman" w:hAnsi="Times New Roman" w:cs="Times New Roman"/>
          <w:sz w:val="24"/>
          <w:szCs w:val="24"/>
        </w:rPr>
        <w:t>.</w:t>
      </w:r>
      <w:r w:rsidRPr="003F2012">
        <w:rPr>
          <w:rFonts w:ascii="Times New Roman" w:hAnsi="Times New Roman" w:cs="Times New Roman"/>
          <w:sz w:val="24"/>
          <w:szCs w:val="24"/>
        </w:rPr>
        <w:t xml:space="preserve">  </w:t>
      </w:r>
      <w:r w:rsidRPr="003F2012">
        <w:rPr>
          <w:rFonts w:ascii="Times New Roman" w:hAnsi="Times New Roman" w:cs="Times New Roman"/>
          <w:i/>
          <w:sz w:val="24"/>
          <w:szCs w:val="24"/>
        </w:rPr>
        <w:t>In silico</w:t>
      </w:r>
      <w:r w:rsidRPr="003F2012">
        <w:rPr>
          <w:rFonts w:ascii="Times New Roman" w:hAnsi="Times New Roman" w:cs="Times New Roman"/>
          <w:sz w:val="24"/>
          <w:szCs w:val="24"/>
        </w:rPr>
        <w:t xml:space="preserve"> docking analysis suggests decanoic acid binds to AMPA receptors on the M3 helices within the channel region</w:t>
      </w:r>
      <w:r>
        <w:rPr>
          <w:rFonts w:ascii="Times New Roman" w:hAnsi="Times New Roman" w:cs="Times New Roman"/>
          <w:sz w:val="24"/>
          <w:szCs w:val="24"/>
        </w:rPr>
        <w:t xml:space="preserve"> (Chang et al, 2016)</w:t>
      </w:r>
      <w:r w:rsidRPr="003F2012">
        <w:rPr>
          <w:rFonts w:ascii="Times New Roman" w:hAnsi="Times New Roman" w:cs="Times New Roman"/>
          <w:sz w:val="24"/>
          <w:szCs w:val="24"/>
        </w:rPr>
        <w:t xml:space="preserve">, providing a distinct binding site to that proposed for perampanel – a currently licensed treatment for </w:t>
      </w:r>
      <w:r>
        <w:rPr>
          <w:rFonts w:ascii="Times New Roman" w:hAnsi="Times New Roman" w:cs="Times New Roman"/>
          <w:sz w:val="24"/>
          <w:szCs w:val="24"/>
        </w:rPr>
        <w:t>focal</w:t>
      </w:r>
      <w:r w:rsidRPr="003F2012">
        <w:rPr>
          <w:rFonts w:ascii="Times New Roman" w:hAnsi="Times New Roman" w:cs="Times New Roman"/>
          <w:sz w:val="24"/>
          <w:szCs w:val="24"/>
        </w:rPr>
        <w:t xml:space="preserve"> and generalised tonic-</w:t>
      </w:r>
      <w:proofErr w:type="spellStart"/>
      <w:r w:rsidRPr="003F2012">
        <w:rPr>
          <w:rFonts w:ascii="Times New Roman" w:hAnsi="Times New Roman" w:cs="Times New Roman"/>
          <w:sz w:val="24"/>
          <w:szCs w:val="24"/>
        </w:rPr>
        <w:t>clonic</w:t>
      </w:r>
      <w:proofErr w:type="spellEnd"/>
      <w:r w:rsidRPr="003F2012">
        <w:rPr>
          <w:rFonts w:ascii="Times New Roman" w:hAnsi="Times New Roman" w:cs="Times New Roman"/>
          <w:sz w:val="24"/>
          <w:szCs w:val="24"/>
        </w:rPr>
        <w:t xml:space="preserve"> seizures through AMPA receptor inhibition.</w:t>
      </w:r>
    </w:p>
    <w:p w14:paraId="4CA9A2D1" w14:textId="246D914F" w:rsidR="009E26E3" w:rsidRPr="00065BBC" w:rsidRDefault="002F18F3" w:rsidP="000142B6">
      <w:pPr>
        <w:rPr>
          <w:rFonts w:ascii="Times New Roman" w:hAnsi="Times New Roman" w:cs="Times New Roman"/>
          <w:sz w:val="24"/>
          <w:szCs w:val="24"/>
        </w:rPr>
      </w:pPr>
      <w:r w:rsidRPr="00065BBC">
        <w:rPr>
          <w:rFonts w:ascii="Times New Roman" w:hAnsi="Times New Roman" w:cs="Times New Roman"/>
          <w:sz w:val="24"/>
          <w:szCs w:val="24"/>
        </w:rPr>
        <w:lastRenderedPageBreak/>
        <w:t xml:space="preserve">Decanoic acid directly inhibits AMPA receptors of different </w:t>
      </w:r>
      <w:r w:rsidR="0078398D" w:rsidRPr="00065BBC">
        <w:rPr>
          <w:rFonts w:ascii="Times New Roman" w:hAnsi="Times New Roman" w:cs="Times New Roman"/>
          <w:sz w:val="24"/>
          <w:szCs w:val="24"/>
        </w:rPr>
        <w:t>subunit</w:t>
      </w:r>
      <w:r w:rsidRPr="00065BBC">
        <w:rPr>
          <w:rFonts w:ascii="Times New Roman" w:hAnsi="Times New Roman" w:cs="Times New Roman"/>
          <w:sz w:val="24"/>
          <w:szCs w:val="24"/>
        </w:rPr>
        <w:t xml:space="preserve"> combinations, with greatest potency </w:t>
      </w:r>
      <w:r w:rsidR="006E5FA2" w:rsidRPr="00065BBC">
        <w:rPr>
          <w:rFonts w:ascii="Times New Roman" w:hAnsi="Times New Roman" w:cs="Times New Roman"/>
          <w:sz w:val="24"/>
          <w:szCs w:val="24"/>
        </w:rPr>
        <w:t xml:space="preserve">against </w:t>
      </w:r>
      <w:r w:rsidR="009E26E3" w:rsidRPr="00065BBC">
        <w:rPr>
          <w:rFonts w:ascii="Times New Roman" w:hAnsi="Times New Roman" w:cs="Times New Roman"/>
          <w:sz w:val="24"/>
          <w:szCs w:val="24"/>
        </w:rPr>
        <w:t>GluA2/3</w:t>
      </w:r>
      <w:r w:rsidR="000142B6" w:rsidRPr="00065BBC">
        <w:rPr>
          <w:rFonts w:ascii="Times New Roman" w:hAnsi="Times New Roman" w:cs="Times New Roman"/>
          <w:sz w:val="24"/>
          <w:szCs w:val="24"/>
        </w:rPr>
        <w:t xml:space="preserve"> (</w:t>
      </w:r>
      <w:r w:rsidR="000142B6" w:rsidRPr="00065BBC">
        <w:rPr>
          <w:rFonts w:ascii="Times New Roman" w:eastAsia="AdvP0036" w:hAnsi="Times New Roman" w:cs="Times New Roman"/>
          <w:sz w:val="24"/>
          <w:szCs w:val="24"/>
        </w:rPr>
        <w:t>IC</w:t>
      </w:r>
      <w:r w:rsidR="000142B6" w:rsidRPr="00065BBC">
        <w:rPr>
          <w:rFonts w:ascii="Times New Roman" w:eastAsia="AdvP0036" w:hAnsi="Times New Roman" w:cs="Times New Roman"/>
          <w:sz w:val="24"/>
          <w:szCs w:val="24"/>
          <w:vertAlign w:val="subscript"/>
        </w:rPr>
        <w:t>50</w:t>
      </w:r>
      <w:r w:rsidR="000142B6" w:rsidRPr="00065BBC">
        <w:rPr>
          <w:rFonts w:ascii="Times New Roman" w:eastAsia="AdvP0036" w:hAnsi="Times New Roman" w:cs="Times New Roman"/>
          <w:sz w:val="24"/>
          <w:szCs w:val="24"/>
        </w:rPr>
        <w:t xml:space="preserve"> = 0.52</w:t>
      </w:r>
      <w:r w:rsidR="003F2012">
        <w:rPr>
          <w:rFonts w:ascii="Times New Roman" w:eastAsia="AdvP0036" w:hAnsi="Times New Roman" w:cs="Times New Roman"/>
          <w:sz w:val="24"/>
          <w:szCs w:val="24"/>
        </w:rPr>
        <w:t xml:space="preserve"> </w:t>
      </w:r>
      <w:proofErr w:type="spellStart"/>
      <w:r w:rsidR="000142B6" w:rsidRPr="00065BBC">
        <w:rPr>
          <w:rFonts w:ascii="Times New Roman" w:eastAsia="AdvP0036" w:hAnsi="Times New Roman" w:cs="Times New Roman"/>
          <w:sz w:val="24"/>
          <w:szCs w:val="24"/>
        </w:rPr>
        <w:t>mM</w:t>
      </w:r>
      <w:proofErr w:type="spellEnd"/>
      <w:r w:rsidR="000142B6" w:rsidRPr="00065BBC">
        <w:rPr>
          <w:rFonts w:ascii="Times New Roman" w:eastAsia="AdvP0036" w:hAnsi="Times New Roman" w:cs="Times New Roman"/>
          <w:sz w:val="24"/>
          <w:szCs w:val="24"/>
        </w:rPr>
        <w:t>)</w:t>
      </w:r>
      <w:r w:rsidR="000142B6" w:rsidRPr="00065BBC">
        <w:rPr>
          <w:rFonts w:ascii="Times New Roman" w:hAnsi="Times New Roman" w:cs="Times New Roman"/>
          <w:sz w:val="24"/>
          <w:szCs w:val="24"/>
        </w:rPr>
        <w:t xml:space="preserve">, </w:t>
      </w:r>
      <w:r w:rsidR="00F761CC">
        <w:rPr>
          <w:rFonts w:ascii="Times New Roman" w:hAnsi="Times New Roman" w:cs="Times New Roman"/>
          <w:sz w:val="24"/>
          <w:szCs w:val="24"/>
        </w:rPr>
        <w:t>followed by</w:t>
      </w:r>
      <w:r w:rsidR="009E26E3" w:rsidRPr="00065BBC">
        <w:rPr>
          <w:rFonts w:ascii="Times New Roman" w:hAnsi="Times New Roman" w:cs="Times New Roman"/>
          <w:sz w:val="24"/>
          <w:szCs w:val="24"/>
        </w:rPr>
        <w:t xml:space="preserve"> GluA1/2</w:t>
      </w:r>
      <w:r w:rsidR="000142B6" w:rsidRPr="00065BBC">
        <w:rPr>
          <w:rFonts w:ascii="Times New Roman" w:hAnsi="Times New Roman" w:cs="Times New Roman"/>
          <w:sz w:val="24"/>
          <w:szCs w:val="24"/>
        </w:rPr>
        <w:t xml:space="preserve"> (</w:t>
      </w:r>
      <w:r w:rsidR="000142B6" w:rsidRPr="00065BBC">
        <w:rPr>
          <w:rFonts w:ascii="Times New Roman" w:eastAsia="AdvP0036" w:hAnsi="Times New Roman" w:cs="Times New Roman"/>
          <w:sz w:val="24"/>
          <w:szCs w:val="24"/>
        </w:rPr>
        <w:t>IC</w:t>
      </w:r>
      <w:r w:rsidR="000142B6" w:rsidRPr="00065BBC">
        <w:rPr>
          <w:rFonts w:ascii="Times New Roman" w:eastAsia="AdvP0036" w:hAnsi="Times New Roman" w:cs="Times New Roman"/>
          <w:sz w:val="24"/>
          <w:szCs w:val="24"/>
          <w:vertAlign w:val="subscript"/>
        </w:rPr>
        <w:t>50</w:t>
      </w:r>
      <w:r w:rsidR="000142B6" w:rsidRPr="00065BBC">
        <w:rPr>
          <w:rFonts w:ascii="Times New Roman" w:eastAsia="AdvP0036" w:hAnsi="Times New Roman" w:cs="Times New Roman"/>
          <w:sz w:val="24"/>
          <w:szCs w:val="24"/>
        </w:rPr>
        <w:t xml:space="preserve"> = 1.16</w:t>
      </w:r>
      <w:r w:rsidR="003F2012">
        <w:rPr>
          <w:rFonts w:ascii="Times New Roman" w:eastAsia="AdvP0036" w:hAnsi="Times New Roman" w:cs="Times New Roman"/>
          <w:sz w:val="24"/>
          <w:szCs w:val="24"/>
        </w:rPr>
        <w:t xml:space="preserve"> </w:t>
      </w:r>
      <w:proofErr w:type="spellStart"/>
      <w:r w:rsidR="000142B6" w:rsidRPr="00065BBC">
        <w:rPr>
          <w:rFonts w:ascii="Times New Roman" w:eastAsia="AdvP0036" w:hAnsi="Times New Roman" w:cs="Times New Roman"/>
          <w:sz w:val="24"/>
          <w:szCs w:val="24"/>
        </w:rPr>
        <w:t>mM</w:t>
      </w:r>
      <w:proofErr w:type="spellEnd"/>
      <w:r w:rsidR="000142B6" w:rsidRPr="00065BBC">
        <w:rPr>
          <w:rFonts w:ascii="Times New Roman" w:eastAsia="AdvP0036" w:hAnsi="Times New Roman" w:cs="Times New Roman"/>
          <w:sz w:val="24"/>
          <w:szCs w:val="24"/>
        </w:rPr>
        <w:t>)</w:t>
      </w:r>
      <w:r w:rsidRPr="00065BBC">
        <w:rPr>
          <w:rFonts w:ascii="Times New Roman" w:hAnsi="Times New Roman" w:cs="Times New Roman"/>
          <w:sz w:val="24"/>
          <w:szCs w:val="24"/>
        </w:rPr>
        <w:t xml:space="preserve">, </w:t>
      </w:r>
      <w:r w:rsidR="006E5FA2" w:rsidRPr="00065BBC">
        <w:rPr>
          <w:rFonts w:ascii="Times New Roman" w:hAnsi="Times New Roman" w:cs="Times New Roman"/>
          <w:sz w:val="24"/>
          <w:szCs w:val="24"/>
        </w:rPr>
        <w:t>and then</w:t>
      </w:r>
      <w:r w:rsidR="000142B6" w:rsidRPr="00065BBC">
        <w:rPr>
          <w:rFonts w:ascii="Times New Roman" w:hAnsi="Times New Roman" w:cs="Times New Roman"/>
          <w:sz w:val="24"/>
          <w:szCs w:val="24"/>
        </w:rPr>
        <w:t xml:space="preserve"> GluA1 only (</w:t>
      </w:r>
      <w:r w:rsidR="000142B6" w:rsidRPr="00065BBC">
        <w:rPr>
          <w:rFonts w:ascii="Times New Roman" w:eastAsia="AdvP0036" w:hAnsi="Times New Roman" w:cs="Times New Roman"/>
          <w:sz w:val="24"/>
          <w:szCs w:val="24"/>
        </w:rPr>
        <w:t>IC</w:t>
      </w:r>
      <w:r w:rsidR="000142B6" w:rsidRPr="00065BBC">
        <w:rPr>
          <w:rFonts w:ascii="Times New Roman" w:eastAsia="AdvP0036" w:hAnsi="Times New Roman" w:cs="Times New Roman"/>
          <w:sz w:val="24"/>
          <w:szCs w:val="24"/>
          <w:vertAlign w:val="subscript"/>
        </w:rPr>
        <w:t>50</w:t>
      </w:r>
      <w:r w:rsidR="000142B6" w:rsidRPr="00065BBC">
        <w:rPr>
          <w:rFonts w:ascii="Times New Roman" w:eastAsia="AdvP0036" w:hAnsi="Times New Roman" w:cs="Times New Roman"/>
          <w:sz w:val="24"/>
          <w:szCs w:val="24"/>
        </w:rPr>
        <w:t xml:space="preserve"> = 2.09</w:t>
      </w:r>
      <w:r w:rsidR="003F2012">
        <w:rPr>
          <w:rFonts w:ascii="Times New Roman" w:eastAsia="AdvP0036" w:hAnsi="Times New Roman" w:cs="Times New Roman"/>
          <w:sz w:val="24"/>
          <w:szCs w:val="24"/>
        </w:rPr>
        <w:t xml:space="preserve"> </w:t>
      </w:r>
      <w:proofErr w:type="spellStart"/>
      <w:r w:rsidR="000142B6" w:rsidRPr="00065BBC">
        <w:rPr>
          <w:rFonts w:ascii="Times New Roman" w:eastAsia="AdvP0036" w:hAnsi="Times New Roman" w:cs="Times New Roman"/>
          <w:sz w:val="24"/>
          <w:szCs w:val="24"/>
        </w:rPr>
        <w:t>mM</w:t>
      </w:r>
      <w:proofErr w:type="spellEnd"/>
      <w:r w:rsidR="000142B6" w:rsidRPr="00065BBC">
        <w:rPr>
          <w:rFonts w:ascii="Times New Roman" w:eastAsia="AdvP0036" w:hAnsi="Times New Roman" w:cs="Times New Roman"/>
          <w:sz w:val="24"/>
          <w:szCs w:val="24"/>
        </w:rPr>
        <w:t>)</w:t>
      </w:r>
      <w:r w:rsidR="0078398D" w:rsidRPr="00065BBC">
        <w:rPr>
          <w:rFonts w:ascii="Times New Roman" w:eastAsia="AdvP0036" w:hAnsi="Times New Roman" w:cs="Times New Roman"/>
          <w:sz w:val="24"/>
          <w:szCs w:val="24"/>
        </w:rPr>
        <w:t>. This</w:t>
      </w:r>
      <w:r w:rsidR="000142B6" w:rsidRPr="00065BBC">
        <w:rPr>
          <w:rFonts w:ascii="Times New Roman" w:eastAsia="AdvP0036" w:hAnsi="Times New Roman" w:cs="Times New Roman"/>
          <w:sz w:val="24"/>
          <w:szCs w:val="24"/>
        </w:rPr>
        <w:t xml:space="preserve"> </w:t>
      </w:r>
      <w:r w:rsidR="000142B6" w:rsidRPr="00065BBC">
        <w:rPr>
          <w:rFonts w:ascii="Times New Roman" w:hAnsi="Times New Roman" w:cs="Times New Roman"/>
          <w:sz w:val="24"/>
          <w:szCs w:val="24"/>
        </w:rPr>
        <w:t>suggest</w:t>
      </w:r>
      <w:r w:rsidR="0078398D" w:rsidRPr="00065BBC">
        <w:rPr>
          <w:rFonts w:ascii="Times New Roman" w:hAnsi="Times New Roman" w:cs="Times New Roman"/>
          <w:sz w:val="24"/>
          <w:szCs w:val="24"/>
        </w:rPr>
        <w:t>s</w:t>
      </w:r>
      <w:r w:rsidR="000142B6" w:rsidRPr="00065BBC">
        <w:rPr>
          <w:rFonts w:ascii="Times New Roman" w:hAnsi="Times New Roman" w:cs="Times New Roman"/>
          <w:sz w:val="24"/>
          <w:szCs w:val="24"/>
        </w:rPr>
        <w:t xml:space="preserve"> activity against the</w:t>
      </w:r>
      <w:r w:rsidRPr="00065BBC">
        <w:rPr>
          <w:rFonts w:ascii="Times New Roman" w:hAnsi="Times New Roman" w:cs="Times New Roman"/>
          <w:sz w:val="24"/>
          <w:szCs w:val="24"/>
        </w:rPr>
        <w:t xml:space="preserve"> </w:t>
      </w:r>
      <w:r w:rsidR="000142B6" w:rsidRPr="00065BBC">
        <w:rPr>
          <w:rFonts w:ascii="Times New Roman" w:hAnsi="Times New Roman" w:cs="Times New Roman"/>
          <w:sz w:val="24"/>
          <w:szCs w:val="24"/>
        </w:rPr>
        <w:t>most common</w:t>
      </w:r>
      <w:r w:rsidRPr="00065BBC">
        <w:rPr>
          <w:rFonts w:ascii="Times New Roman" w:hAnsi="Times New Roman" w:cs="Times New Roman"/>
          <w:sz w:val="24"/>
          <w:szCs w:val="24"/>
        </w:rPr>
        <w:t xml:space="preserve"> receptor combinations in the mammalian brain</w:t>
      </w:r>
      <w:r w:rsidR="004C3992">
        <w:rPr>
          <w:rFonts w:ascii="Times New Roman" w:hAnsi="Times New Roman" w:cs="Times New Roman"/>
          <w:sz w:val="24"/>
          <w:szCs w:val="24"/>
        </w:rPr>
        <w:t xml:space="preserve"> (Chang et al, 2016)</w:t>
      </w:r>
      <w:r w:rsidR="000142B6" w:rsidRPr="00065BBC">
        <w:rPr>
          <w:rFonts w:ascii="Times New Roman" w:hAnsi="Times New Roman" w:cs="Times New Roman"/>
          <w:sz w:val="24"/>
          <w:szCs w:val="24"/>
        </w:rPr>
        <w:t xml:space="preserve">. </w:t>
      </w:r>
      <w:r w:rsidR="006E5FA2" w:rsidRPr="00065BBC">
        <w:rPr>
          <w:rFonts w:ascii="Times New Roman" w:hAnsi="Times New Roman" w:cs="Times New Roman"/>
          <w:sz w:val="24"/>
          <w:szCs w:val="24"/>
        </w:rPr>
        <w:t>Furthermore</w:t>
      </w:r>
      <w:r w:rsidR="00AF2755">
        <w:rPr>
          <w:rFonts w:ascii="Times New Roman" w:hAnsi="Times New Roman" w:cs="Times New Roman"/>
          <w:sz w:val="24"/>
          <w:szCs w:val="24"/>
        </w:rPr>
        <w:t>,</w:t>
      </w:r>
      <w:r w:rsidR="006E5FA2" w:rsidRPr="00065BBC">
        <w:rPr>
          <w:rFonts w:ascii="Times New Roman" w:hAnsi="Times New Roman" w:cs="Times New Roman"/>
          <w:sz w:val="24"/>
          <w:szCs w:val="24"/>
        </w:rPr>
        <w:t xml:space="preserve"> </w:t>
      </w:r>
      <w:r w:rsidR="003C38AA" w:rsidRPr="00065BBC">
        <w:rPr>
          <w:rFonts w:ascii="Times New Roman" w:hAnsi="Times New Roman" w:cs="Times New Roman"/>
          <w:sz w:val="24"/>
          <w:szCs w:val="24"/>
        </w:rPr>
        <w:t xml:space="preserve">the inhibitory effect of </w:t>
      </w:r>
      <w:r w:rsidR="00254991" w:rsidRPr="00065BBC">
        <w:rPr>
          <w:rFonts w:ascii="Times New Roman" w:hAnsi="Times New Roman" w:cs="Times New Roman"/>
          <w:sz w:val="24"/>
          <w:szCs w:val="24"/>
        </w:rPr>
        <w:t>d</w:t>
      </w:r>
      <w:r w:rsidR="000142B6" w:rsidRPr="00065BBC">
        <w:rPr>
          <w:rFonts w:ascii="Times New Roman" w:hAnsi="Times New Roman" w:cs="Times New Roman"/>
          <w:sz w:val="24"/>
          <w:szCs w:val="24"/>
        </w:rPr>
        <w:t xml:space="preserve">ecanoic acid </w:t>
      </w:r>
      <w:r w:rsidR="003C38AA" w:rsidRPr="00065BBC">
        <w:rPr>
          <w:rFonts w:ascii="Times New Roman" w:hAnsi="Times New Roman" w:cs="Times New Roman"/>
          <w:sz w:val="24"/>
          <w:szCs w:val="24"/>
        </w:rPr>
        <w:t>against AMPA receptors is voltage</w:t>
      </w:r>
      <w:r w:rsidR="004C3992">
        <w:rPr>
          <w:rFonts w:ascii="Times New Roman" w:hAnsi="Times New Roman" w:cs="Times New Roman"/>
          <w:sz w:val="24"/>
          <w:szCs w:val="24"/>
        </w:rPr>
        <w:t>-</w:t>
      </w:r>
      <w:r w:rsidR="003C38AA" w:rsidRPr="00065BBC">
        <w:rPr>
          <w:rFonts w:ascii="Times New Roman" w:hAnsi="Times New Roman" w:cs="Times New Roman"/>
          <w:sz w:val="24"/>
          <w:szCs w:val="24"/>
        </w:rPr>
        <w:t xml:space="preserve">dependent, </w:t>
      </w:r>
      <w:r w:rsidR="006E5FA2" w:rsidRPr="00065BBC">
        <w:rPr>
          <w:rFonts w:ascii="Times New Roman" w:hAnsi="Times New Roman" w:cs="Times New Roman"/>
          <w:sz w:val="24"/>
          <w:szCs w:val="24"/>
        </w:rPr>
        <w:t xml:space="preserve">where potency against </w:t>
      </w:r>
      <w:r w:rsidR="00254991" w:rsidRPr="00065BBC">
        <w:rPr>
          <w:rFonts w:ascii="Times New Roman" w:hAnsi="Times New Roman" w:cs="Times New Roman"/>
          <w:sz w:val="24"/>
          <w:szCs w:val="24"/>
        </w:rPr>
        <w:t xml:space="preserve">GluA2/3 </w:t>
      </w:r>
      <w:r w:rsidR="006E5FA2" w:rsidRPr="00065BBC">
        <w:rPr>
          <w:rFonts w:ascii="Times New Roman" w:hAnsi="Times New Roman" w:cs="Times New Roman"/>
          <w:sz w:val="24"/>
          <w:szCs w:val="24"/>
        </w:rPr>
        <w:t xml:space="preserve">receptors </w:t>
      </w:r>
      <w:r w:rsidR="008928D5" w:rsidRPr="00065BBC">
        <w:rPr>
          <w:rFonts w:ascii="Times New Roman" w:hAnsi="Times New Roman" w:cs="Times New Roman"/>
          <w:sz w:val="24"/>
          <w:szCs w:val="24"/>
        </w:rPr>
        <w:t>at -80</w:t>
      </w:r>
      <w:r w:rsidR="003F2012">
        <w:rPr>
          <w:rFonts w:ascii="Times New Roman" w:hAnsi="Times New Roman" w:cs="Times New Roman"/>
          <w:sz w:val="24"/>
          <w:szCs w:val="24"/>
        </w:rPr>
        <w:t xml:space="preserve"> </w:t>
      </w:r>
      <w:r w:rsidR="008928D5" w:rsidRPr="00065BBC">
        <w:rPr>
          <w:rFonts w:ascii="Times New Roman" w:hAnsi="Times New Roman" w:cs="Times New Roman"/>
          <w:sz w:val="24"/>
          <w:szCs w:val="24"/>
        </w:rPr>
        <w:t xml:space="preserve">mV </w:t>
      </w:r>
      <w:r w:rsidR="006D6BB3" w:rsidRPr="00065BBC">
        <w:rPr>
          <w:rFonts w:ascii="Times New Roman" w:hAnsi="Times New Roman" w:cs="Times New Roman"/>
          <w:sz w:val="24"/>
          <w:szCs w:val="24"/>
        </w:rPr>
        <w:t>(IC</w:t>
      </w:r>
      <w:r w:rsidR="006D6BB3" w:rsidRPr="00065BBC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6D6BB3" w:rsidRPr="00065BBC">
        <w:rPr>
          <w:rFonts w:ascii="Times New Roman" w:hAnsi="Times New Roman" w:cs="Times New Roman"/>
          <w:sz w:val="24"/>
          <w:szCs w:val="24"/>
        </w:rPr>
        <w:t xml:space="preserve"> of </w:t>
      </w:r>
      <w:r w:rsidR="008928D5" w:rsidRPr="00065BBC">
        <w:rPr>
          <w:rFonts w:ascii="Times New Roman" w:hAnsi="Times New Roman" w:cs="Times New Roman"/>
          <w:sz w:val="24"/>
          <w:szCs w:val="24"/>
        </w:rPr>
        <w:t>1.11</w:t>
      </w:r>
      <w:r w:rsidR="003F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D5" w:rsidRPr="00065BBC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6D6BB3" w:rsidRPr="00065BBC">
        <w:rPr>
          <w:rFonts w:ascii="Times New Roman" w:hAnsi="Times New Roman" w:cs="Times New Roman"/>
          <w:sz w:val="24"/>
          <w:szCs w:val="24"/>
        </w:rPr>
        <w:t>)</w:t>
      </w:r>
      <w:r w:rsidR="008928D5" w:rsidRPr="00065BBC">
        <w:rPr>
          <w:rFonts w:ascii="Times New Roman" w:hAnsi="Times New Roman" w:cs="Times New Roman"/>
          <w:sz w:val="24"/>
          <w:szCs w:val="24"/>
        </w:rPr>
        <w:t xml:space="preserve"> is </w:t>
      </w:r>
      <w:r w:rsidR="0078398D" w:rsidRPr="00065BBC">
        <w:rPr>
          <w:rFonts w:ascii="Times New Roman" w:hAnsi="Times New Roman" w:cs="Times New Roman"/>
          <w:sz w:val="24"/>
          <w:szCs w:val="24"/>
        </w:rPr>
        <w:t xml:space="preserve">enhanced under more depolarised condition at </w:t>
      </w:r>
      <w:r w:rsidR="008928D5" w:rsidRPr="00065BBC">
        <w:rPr>
          <w:rFonts w:ascii="Times New Roman" w:hAnsi="Times New Roman" w:cs="Times New Roman"/>
          <w:sz w:val="24"/>
          <w:szCs w:val="24"/>
        </w:rPr>
        <w:t>-40</w:t>
      </w:r>
      <w:r w:rsidR="003F2012">
        <w:rPr>
          <w:rFonts w:ascii="Times New Roman" w:hAnsi="Times New Roman" w:cs="Times New Roman"/>
          <w:sz w:val="24"/>
          <w:szCs w:val="24"/>
        </w:rPr>
        <w:t xml:space="preserve"> </w:t>
      </w:r>
      <w:r w:rsidR="008928D5" w:rsidRPr="00065BBC">
        <w:rPr>
          <w:rFonts w:ascii="Times New Roman" w:hAnsi="Times New Roman" w:cs="Times New Roman"/>
          <w:sz w:val="24"/>
          <w:szCs w:val="24"/>
        </w:rPr>
        <w:t>mV</w:t>
      </w:r>
      <w:r w:rsidR="006D6BB3" w:rsidRPr="00065BBC">
        <w:rPr>
          <w:rFonts w:ascii="Times New Roman" w:hAnsi="Times New Roman" w:cs="Times New Roman"/>
          <w:sz w:val="24"/>
          <w:szCs w:val="24"/>
        </w:rPr>
        <w:t xml:space="preserve"> (to IC</w:t>
      </w:r>
      <w:r w:rsidR="006D6BB3" w:rsidRPr="00065BBC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6D6BB3" w:rsidRPr="00065BBC">
        <w:rPr>
          <w:rFonts w:ascii="Times New Roman" w:hAnsi="Times New Roman" w:cs="Times New Roman"/>
          <w:sz w:val="24"/>
          <w:szCs w:val="24"/>
        </w:rPr>
        <w:t xml:space="preserve"> of 0.43</w:t>
      </w:r>
      <w:r w:rsidR="003F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BB3" w:rsidRPr="00065BBC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6D6BB3" w:rsidRPr="00065BBC">
        <w:rPr>
          <w:rFonts w:ascii="Times New Roman" w:hAnsi="Times New Roman" w:cs="Times New Roman"/>
          <w:sz w:val="24"/>
          <w:szCs w:val="24"/>
        </w:rPr>
        <w:t>)</w:t>
      </w:r>
      <w:r w:rsidR="008928D5" w:rsidRPr="00065BBC">
        <w:rPr>
          <w:rFonts w:ascii="Times New Roman" w:hAnsi="Times New Roman" w:cs="Times New Roman"/>
          <w:sz w:val="24"/>
          <w:szCs w:val="24"/>
        </w:rPr>
        <w:t xml:space="preserve">, </w:t>
      </w:r>
      <w:r w:rsidR="009E26E3" w:rsidRPr="00065BBC">
        <w:rPr>
          <w:rFonts w:ascii="Times New Roman" w:hAnsi="Times New Roman" w:cs="Times New Roman"/>
          <w:sz w:val="24"/>
          <w:szCs w:val="24"/>
        </w:rPr>
        <w:t xml:space="preserve">suggesting stronger inhibitory activity during </w:t>
      </w:r>
      <w:r w:rsidR="00F761CC">
        <w:rPr>
          <w:rFonts w:ascii="Times New Roman" w:hAnsi="Times New Roman" w:cs="Times New Roman"/>
          <w:sz w:val="24"/>
          <w:szCs w:val="24"/>
        </w:rPr>
        <w:t xml:space="preserve">prolonged </w:t>
      </w:r>
      <w:r w:rsidR="009E26E3" w:rsidRPr="00065BBC">
        <w:rPr>
          <w:rFonts w:ascii="Times New Roman" w:hAnsi="Times New Roman" w:cs="Times New Roman"/>
          <w:sz w:val="24"/>
          <w:szCs w:val="24"/>
        </w:rPr>
        <w:t>seizure</w:t>
      </w:r>
      <w:r w:rsidR="00F761CC">
        <w:rPr>
          <w:rFonts w:ascii="Times New Roman" w:hAnsi="Times New Roman" w:cs="Times New Roman"/>
          <w:sz w:val="24"/>
          <w:szCs w:val="24"/>
        </w:rPr>
        <w:t xml:space="preserve"> activity</w:t>
      </w:r>
      <w:r w:rsidR="009E26E3" w:rsidRPr="00065BBC">
        <w:rPr>
          <w:rFonts w:ascii="Times New Roman" w:hAnsi="Times New Roman" w:cs="Times New Roman"/>
          <w:sz w:val="24"/>
          <w:szCs w:val="24"/>
        </w:rPr>
        <w:t>.</w:t>
      </w:r>
    </w:p>
    <w:p w14:paraId="22D7FD13" w14:textId="77777777" w:rsidR="004C3992" w:rsidRDefault="004C3992" w:rsidP="008928D5">
      <w:pPr>
        <w:rPr>
          <w:rFonts w:ascii="Times New Roman" w:hAnsi="Times New Roman" w:cs="Times New Roman"/>
          <w:b/>
          <w:sz w:val="24"/>
          <w:szCs w:val="24"/>
        </w:rPr>
      </w:pPr>
    </w:p>
    <w:p w14:paraId="531490E0" w14:textId="2414B876" w:rsidR="002F18F3" w:rsidRPr="00065BBC" w:rsidRDefault="0074259B" w:rsidP="008928D5">
      <w:pPr>
        <w:rPr>
          <w:rFonts w:ascii="Times New Roman" w:hAnsi="Times New Roman" w:cs="Times New Roman"/>
          <w:b/>
          <w:sz w:val="24"/>
          <w:szCs w:val="24"/>
        </w:rPr>
      </w:pPr>
      <w:r w:rsidRPr="00065BBC">
        <w:rPr>
          <w:rFonts w:ascii="Times New Roman" w:hAnsi="Times New Roman" w:cs="Times New Roman"/>
          <w:b/>
          <w:sz w:val="24"/>
          <w:szCs w:val="24"/>
        </w:rPr>
        <w:t xml:space="preserve">Toxicology </w:t>
      </w:r>
    </w:p>
    <w:p w14:paraId="5706CC72" w14:textId="4B827E15" w:rsidR="00711D64" w:rsidRPr="00065BBC" w:rsidRDefault="008928D5" w:rsidP="0074259B">
      <w:pPr>
        <w:rPr>
          <w:rFonts w:ascii="Times New Roman" w:hAnsi="Times New Roman" w:cs="Times New Roman"/>
          <w:sz w:val="24"/>
          <w:szCs w:val="24"/>
        </w:rPr>
      </w:pPr>
      <w:r w:rsidRPr="00065BBC">
        <w:rPr>
          <w:rFonts w:ascii="Times New Roman" w:hAnsi="Times New Roman" w:cs="Times New Roman"/>
          <w:sz w:val="24"/>
          <w:szCs w:val="24"/>
        </w:rPr>
        <w:t xml:space="preserve">Few reports of decanoic acid toxicology have been published. </w:t>
      </w:r>
      <w:r w:rsidR="0078398D" w:rsidRPr="00065BBC">
        <w:rPr>
          <w:rFonts w:ascii="Times New Roman" w:hAnsi="Times New Roman" w:cs="Times New Roman"/>
          <w:sz w:val="24"/>
          <w:szCs w:val="24"/>
        </w:rPr>
        <w:t>Unpublished data</w:t>
      </w:r>
      <w:r w:rsidRPr="00065BBC">
        <w:rPr>
          <w:rFonts w:ascii="Times New Roman" w:hAnsi="Times New Roman" w:cs="Times New Roman"/>
          <w:sz w:val="24"/>
          <w:szCs w:val="24"/>
        </w:rPr>
        <w:t xml:space="preserve"> kindly provided by the Epilepsy Therapy Screening Program</w:t>
      </w:r>
      <w:r w:rsidR="0078398D" w:rsidRPr="00065BBC">
        <w:rPr>
          <w:rFonts w:ascii="Times New Roman" w:hAnsi="Times New Roman" w:cs="Times New Roman"/>
          <w:sz w:val="24"/>
          <w:szCs w:val="24"/>
        </w:rPr>
        <w:t xml:space="preserve"> </w:t>
      </w:r>
      <w:r w:rsidRPr="00065BBC">
        <w:rPr>
          <w:rFonts w:ascii="Times New Roman" w:hAnsi="Times New Roman" w:cs="Times New Roman"/>
          <w:sz w:val="24"/>
          <w:szCs w:val="24"/>
        </w:rPr>
        <w:t xml:space="preserve">suggests no behavioural toxicity </w:t>
      </w:r>
      <w:r w:rsidR="00DF328F">
        <w:rPr>
          <w:rFonts w:ascii="Times New Roman" w:hAnsi="Times New Roman" w:cs="Times New Roman"/>
          <w:sz w:val="24"/>
          <w:szCs w:val="24"/>
        </w:rPr>
        <w:t xml:space="preserve">in mice </w:t>
      </w:r>
      <w:r w:rsidRPr="00065BBC">
        <w:rPr>
          <w:rFonts w:ascii="Times New Roman" w:hAnsi="Times New Roman" w:cs="Times New Roman"/>
          <w:sz w:val="24"/>
          <w:szCs w:val="24"/>
        </w:rPr>
        <w:t>at up</w:t>
      </w:r>
      <w:r w:rsidR="0053156A" w:rsidRPr="00065BBC">
        <w:rPr>
          <w:rFonts w:ascii="Times New Roman" w:hAnsi="Times New Roman" w:cs="Times New Roman"/>
          <w:sz w:val="24"/>
          <w:szCs w:val="24"/>
        </w:rPr>
        <w:t xml:space="preserve"> </w:t>
      </w:r>
      <w:r w:rsidRPr="00065BBC">
        <w:rPr>
          <w:rFonts w:ascii="Times New Roman" w:hAnsi="Times New Roman" w:cs="Times New Roman"/>
          <w:sz w:val="24"/>
          <w:szCs w:val="24"/>
        </w:rPr>
        <w:t>to</w:t>
      </w:r>
      <w:r w:rsidR="002F18F3" w:rsidRPr="00065BBC">
        <w:rPr>
          <w:rFonts w:ascii="Times New Roman" w:hAnsi="Times New Roman" w:cs="Times New Roman"/>
          <w:sz w:val="24"/>
          <w:szCs w:val="24"/>
        </w:rPr>
        <w:t xml:space="preserve"> 300</w:t>
      </w:r>
      <w:r w:rsidR="004C3992">
        <w:rPr>
          <w:rFonts w:ascii="Times New Roman" w:hAnsi="Times New Roman" w:cs="Times New Roman"/>
          <w:sz w:val="24"/>
          <w:szCs w:val="24"/>
        </w:rPr>
        <w:t xml:space="preserve"> </w:t>
      </w:r>
      <w:r w:rsidR="002F18F3" w:rsidRPr="00065BBC">
        <w:rPr>
          <w:rFonts w:ascii="Times New Roman" w:hAnsi="Times New Roman" w:cs="Times New Roman"/>
          <w:sz w:val="24"/>
          <w:szCs w:val="24"/>
        </w:rPr>
        <w:t xml:space="preserve">mg/kg </w:t>
      </w:r>
      <w:r w:rsidRPr="00065B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5BBC">
        <w:rPr>
          <w:rFonts w:ascii="Times New Roman" w:hAnsi="Times New Roman" w:cs="Times New Roman"/>
          <w:sz w:val="24"/>
          <w:szCs w:val="24"/>
        </w:rPr>
        <w:t>i.p</w:t>
      </w:r>
      <w:proofErr w:type="spellEnd"/>
      <w:r w:rsidRPr="00065BBC">
        <w:rPr>
          <w:rFonts w:ascii="Times New Roman" w:hAnsi="Times New Roman" w:cs="Times New Roman"/>
          <w:sz w:val="24"/>
          <w:szCs w:val="24"/>
        </w:rPr>
        <w:t xml:space="preserve">.). </w:t>
      </w:r>
      <w:r w:rsidR="00881999" w:rsidRPr="00065BBC">
        <w:rPr>
          <w:rFonts w:ascii="Times New Roman" w:hAnsi="Times New Roman" w:cs="Times New Roman"/>
          <w:sz w:val="24"/>
          <w:szCs w:val="24"/>
        </w:rPr>
        <w:t xml:space="preserve">High concentration single bolus gavage experiments in mice suggest </w:t>
      </w:r>
      <w:r w:rsidR="0053156A" w:rsidRPr="00065BBC">
        <w:rPr>
          <w:rFonts w:ascii="Times New Roman" w:hAnsi="Times New Roman" w:cs="Times New Roman"/>
          <w:sz w:val="24"/>
          <w:szCs w:val="24"/>
        </w:rPr>
        <w:t>impaired</w:t>
      </w:r>
      <w:r w:rsidR="00881999" w:rsidRPr="00065BBC">
        <w:rPr>
          <w:rFonts w:ascii="Times New Roman" w:hAnsi="Times New Roman" w:cs="Times New Roman"/>
          <w:sz w:val="24"/>
          <w:szCs w:val="24"/>
        </w:rPr>
        <w:t xml:space="preserve"> motor performance in the chimney test with a TD</w:t>
      </w:r>
      <w:r w:rsidR="00881999" w:rsidRPr="00065BBC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881999" w:rsidRPr="00065BBC">
        <w:rPr>
          <w:rFonts w:ascii="Times New Roman" w:hAnsi="Times New Roman" w:cs="Times New Roman"/>
          <w:sz w:val="24"/>
          <w:szCs w:val="24"/>
        </w:rPr>
        <w:t xml:space="preserve"> of 17.6 g/kg, and no single dose was shown to significantly impa</w:t>
      </w:r>
      <w:r w:rsidR="0053156A" w:rsidRPr="00065BBC">
        <w:rPr>
          <w:rFonts w:ascii="Times New Roman" w:hAnsi="Times New Roman" w:cs="Times New Roman"/>
          <w:sz w:val="24"/>
          <w:szCs w:val="24"/>
        </w:rPr>
        <w:t>ir</w:t>
      </w:r>
      <w:r w:rsidR="00881999" w:rsidRPr="00065BBC">
        <w:rPr>
          <w:rFonts w:ascii="Times New Roman" w:hAnsi="Times New Roman" w:cs="Times New Roman"/>
          <w:sz w:val="24"/>
          <w:szCs w:val="24"/>
        </w:rPr>
        <w:t xml:space="preserve"> grip strength</w:t>
      </w:r>
      <w:r w:rsidR="004C39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C3992">
        <w:rPr>
          <w:rFonts w:ascii="Times New Roman" w:hAnsi="Times New Roman" w:cs="Times New Roman"/>
          <w:sz w:val="24"/>
          <w:szCs w:val="24"/>
        </w:rPr>
        <w:t>Wlaz</w:t>
      </w:r>
      <w:proofErr w:type="spellEnd"/>
      <w:r w:rsidR="004C3992">
        <w:rPr>
          <w:rFonts w:ascii="Times New Roman" w:hAnsi="Times New Roman" w:cs="Times New Roman"/>
          <w:sz w:val="24"/>
          <w:szCs w:val="24"/>
        </w:rPr>
        <w:t xml:space="preserve"> et al, 2015)</w:t>
      </w:r>
      <w:r w:rsidR="0053156A" w:rsidRPr="00065BBC">
        <w:rPr>
          <w:rFonts w:ascii="Times New Roman" w:hAnsi="Times New Roman" w:cs="Times New Roman"/>
          <w:sz w:val="24"/>
          <w:szCs w:val="24"/>
        </w:rPr>
        <w:t>.</w:t>
      </w:r>
      <w:r w:rsidR="00711D64" w:rsidRPr="00065B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E20E8" w14:textId="682BB728" w:rsidR="004C3992" w:rsidRDefault="004C3992" w:rsidP="0074259B">
      <w:pPr>
        <w:rPr>
          <w:rFonts w:ascii="Times New Roman" w:hAnsi="Times New Roman" w:cs="Times New Roman"/>
          <w:b/>
          <w:sz w:val="24"/>
          <w:szCs w:val="24"/>
        </w:rPr>
      </w:pPr>
    </w:p>
    <w:p w14:paraId="76A148E8" w14:textId="701E56F7" w:rsidR="0074259B" w:rsidRPr="00065BBC" w:rsidRDefault="0074259B" w:rsidP="0074259B">
      <w:pPr>
        <w:rPr>
          <w:rFonts w:ascii="Times New Roman" w:hAnsi="Times New Roman" w:cs="Times New Roman"/>
          <w:b/>
          <w:sz w:val="24"/>
          <w:szCs w:val="24"/>
        </w:rPr>
      </w:pPr>
      <w:r w:rsidRPr="00065BBC">
        <w:rPr>
          <w:rFonts w:ascii="Times New Roman" w:hAnsi="Times New Roman" w:cs="Times New Roman"/>
          <w:b/>
          <w:sz w:val="24"/>
          <w:szCs w:val="24"/>
        </w:rPr>
        <w:t xml:space="preserve">Pharmacokinetics </w:t>
      </w:r>
    </w:p>
    <w:p w14:paraId="2476EA50" w14:textId="0DCCE7D8" w:rsidR="00943359" w:rsidRPr="00065BBC" w:rsidRDefault="00943359" w:rsidP="00E005DD">
      <w:pPr>
        <w:rPr>
          <w:rFonts w:ascii="Times New Roman" w:hAnsi="Times New Roman" w:cs="Times New Roman"/>
          <w:sz w:val="24"/>
          <w:szCs w:val="24"/>
        </w:rPr>
      </w:pPr>
      <w:r w:rsidRPr="00065BBC">
        <w:rPr>
          <w:rFonts w:ascii="Times New Roman" w:hAnsi="Times New Roman" w:cs="Times New Roman"/>
          <w:sz w:val="24"/>
          <w:szCs w:val="24"/>
        </w:rPr>
        <w:t xml:space="preserve">Several early studies have monitored medium chain fats in peripheral blood from children on the MCT ketogenic diet (reviewed </w:t>
      </w:r>
      <w:r w:rsidR="004C3992">
        <w:rPr>
          <w:rFonts w:ascii="Times New Roman" w:hAnsi="Times New Roman" w:cs="Times New Roman"/>
          <w:sz w:val="24"/>
          <w:szCs w:val="24"/>
        </w:rPr>
        <w:t>by Augustin et al, 2018</w:t>
      </w:r>
      <w:r w:rsidRPr="00065BBC">
        <w:rPr>
          <w:rFonts w:ascii="Times New Roman" w:hAnsi="Times New Roman" w:cs="Times New Roman"/>
          <w:sz w:val="24"/>
          <w:szCs w:val="24"/>
        </w:rPr>
        <w:t xml:space="preserve">). These studies show </w:t>
      </w:r>
      <w:r w:rsidR="00BC24C4" w:rsidRPr="00065BBC">
        <w:rPr>
          <w:rFonts w:ascii="Times New Roman" w:hAnsi="Times New Roman" w:cs="Times New Roman"/>
          <w:sz w:val="24"/>
          <w:szCs w:val="24"/>
        </w:rPr>
        <w:t>wide variation in decanoic acid levels</w:t>
      </w:r>
      <w:r w:rsidR="004C3992">
        <w:rPr>
          <w:rFonts w:ascii="Times New Roman" w:hAnsi="Times New Roman" w:cs="Times New Roman"/>
          <w:sz w:val="24"/>
          <w:szCs w:val="24"/>
        </w:rPr>
        <w:t xml:space="preserve"> (</w:t>
      </w:r>
      <w:r w:rsidRPr="00065BBC">
        <w:rPr>
          <w:rFonts w:ascii="Times New Roman" w:hAnsi="Times New Roman" w:cs="Times New Roman"/>
          <w:sz w:val="24"/>
          <w:szCs w:val="24"/>
        </w:rPr>
        <w:t>87</w:t>
      </w:r>
      <w:r w:rsidR="00BC24C4" w:rsidRPr="00065BBC">
        <w:rPr>
          <w:rFonts w:ascii="Times New Roman" w:hAnsi="Times New Roman" w:cs="Times New Roman"/>
          <w:sz w:val="24"/>
          <w:szCs w:val="24"/>
        </w:rPr>
        <w:t xml:space="preserve"> </w:t>
      </w:r>
      <w:r w:rsidRPr="00065BBC">
        <w:rPr>
          <w:rFonts w:ascii="Times New Roman" w:hAnsi="Times New Roman" w:cs="Times New Roman"/>
          <w:sz w:val="24"/>
          <w:szCs w:val="24"/>
        </w:rPr>
        <w:t xml:space="preserve">– 552 </w:t>
      </w:r>
      <w:proofErr w:type="spellStart"/>
      <w:r w:rsidR="00E005DD" w:rsidRPr="00065BBC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4C3992">
        <w:rPr>
          <w:rFonts w:ascii="Times New Roman" w:hAnsi="Times New Roman" w:cs="Times New Roman"/>
          <w:sz w:val="24"/>
          <w:szCs w:val="24"/>
        </w:rPr>
        <w:t>,</w:t>
      </w:r>
      <w:r w:rsidR="00E005DD" w:rsidRPr="00065BBC">
        <w:rPr>
          <w:rFonts w:ascii="Times New Roman" w:hAnsi="Times New Roman" w:cs="Times New Roman"/>
          <w:sz w:val="24"/>
          <w:szCs w:val="24"/>
        </w:rPr>
        <w:t xml:space="preserve"> with an averag</w:t>
      </w:r>
      <w:r w:rsidRPr="00065BBC">
        <w:rPr>
          <w:rFonts w:ascii="Times New Roman" w:hAnsi="Times New Roman" w:cs="Times New Roman"/>
          <w:sz w:val="24"/>
          <w:szCs w:val="24"/>
        </w:rPr>
        <w:t xml:space="preserve">e of 157 </w:t>
      </w:r>
      <w:proofErr w:type="spellStart"/>
      <w:r w:rsidRPr="00065BBC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4C3992">
        <w:rPr>
          <w:rFonts w:ascii="Times New Roman" w:hAnsi="Times New Roman" w:cs="Times New Roman"/>
          <w:sz w:val="24"/>
          <w:szCs w:val="24"/>
        </w:rPr>
        <w:t>)</w:t>
      </w:r>
      <w:r w:rsidRPr="00065BBC">
        <w:rPr>
          <w:rFonts w:ascii="Times New Roman" w:hAnsi="Times New Roman" w:cs="Times New Roman"/>
          <w:sz w:val="24"/>
          <w:szCs w:val="24"/>
        </w:rPr>
        <w:t xml:space="preserve">. </w:t>
      </w:r>
      <w:r w:rsidR="00A011BA" w:rsidRPr="00065BBC">
        <w:rPr>
          <w:rFonts w:ascii="Times New Roman" w:hAnsi="Times New Roman" w:cs="Times New Roman"/>
          <w:sz w:val="24"/>
          <w:szCs w:val="24"/>
        </w:rPr>
        <w:t xml:space="preserve">In contrast, patients had </w:t>
      </w:r>
      <w:r w:rsidR="00B1367E" w:rsidRPr="00065BBC">
        <w:rPr>
          <w:rFonts w:ascii="Times New Roman" w:hAnsi="Times New Roman" w:cs="Times New Roman"/>
          <w:sz w:val="24"/>
          <w:szCs w:val="24"/>
        </w:rPr>
        <w:t>greater</w:t>
      </w:r>
      <w:r w:rsidR="00A011BA" w:rsidRPr="00065BBC">
        <w:rPr>
          <w:rFonts w:ascii="Times New Roman" w:hAnsi="Times New Roman" w:cs="Times New Roman"/>
          <w:sz w:val="24"/>
          <w:szCs w:val="24"/>
        </w:rPr>
        <w:t xml:space="preserve"> levels of octanoic acid</w:t>
      </w:r>
      <w:r w:rsidR="00714A93" w:rsidRPr="00065BBC">
        <w:rPr>
          <w:rFonts w:ascii="Times New Roman" w:hAnsi="Times New Roman" w:cs="Times New Roman"/>
          <w:sz w:val="24"/>
          <w:szCs w:val="24"/>
        </w:rPr>
        <w:t>, averag</w:t>
      </w:r>
      <w:r w:rsidR="004E5D23" w:rsidRPr="00065BBC">
        <w:rPr>
          <w:rFonts w:ascii="Times New Roman" w:hAnsi="Times New Roman" w:cs="Times New Roman"/>
          <w:sz w:val="24"/>
          <w:szCs w:val="24"/>
        </w:rPr>
        <w:t>ing</w:t>
      </w:r>
      <w:r w:rsidR="00714A93" w:rsidRPr="00065BBC">
        <w:rPr>
          <w:rFonts w:ascii="Times New Roman" w:hAnsi="Times New Roman" w:cs="Times New Roman"/>
          <w:sz w:val="24"/>
          <w:szCs w:val="24"/>
        </w:rPr>
        <w:t xml:space="preserve"> 310 </w:t>
      </w:r>
      <w:proofErr w:type="spellStart"/>
      <w:r w:rsidR="00714A93" w:rsidRPr="00065BBC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4C3992">
        <w:rPr>
          <w:rFonts w:ascii="Times New Roman" w:hAnsi="Times New Roman" w:cs="Times New Roman"/>
          <w:sz w:val="24"/>
          <w:szCs w:val="24"/>
        </w:rPr>
        <w:t>, a finding which</w:t>
      </w:r>
      <w:r w:rsidR="004E5D23" w:rsidRPr="00065BBC">
        <w:rPr>
          <w:rFonts w:ascii="Times New Roman" w:hAnsi="Times New Roman" w:cs="Times New Roman"/>
          <w:sz w:val="24"/>
          <w:szCs w:val="24"/>
        </w:rPr>
        <w:t xml:space="preserve"> may</w:t>
      </w:r>
      <w:r w:rsidR="00714A93" w:rsidRPr="00065BBC">
        <w:rPr>
          <w:rFonts w:ascii="Times New Roman" w:hAnsi="Times New Roman" w:cs="Times New Roman"/>
          <w:sz w:val="24"/>
          <w:szCs w:val="24"/>
        </w:rPr>
        <w:t xml:space="preserve"> reflect the higher </w:t>
      </w:r>
      <w:r w:rsidR="006D348D" w:rsidRPr="00065BBC">
        <w:rPr>
          <w:rFonts w:ascii="Times New Roman" w:hAnsi="Times New Roman" w:cs="Times New Roman"/>
          <w:sz w:val="24"/>
          <w:szCs w:val="24"/>
        </w:rPr>
        <w:t>content</w:t>
      </w:r>
      <w:r w:rsidR="00714A93" w:rsidRPr="00065BBC">
        <w:rPr>
          <w:rFonts w:ascii="Times New Roman" w:hAnsi="Times New Roman" w:cs="Times New Roman"/>
          <w:sz w:val="24"/>
          <w:szCs w:val="24"/>
        </w:rPr>
        <w:t xml:space="preserve"> of </w:t>
      </w:r>
      <w:r w:rsidR="004E5D23" w:rsidRPr="00065BBC">
        <w:rPr>
          <w:rFonts w:ascii="Times New Roman" w:hAnsi="Times New Roman" w:cs="Times New Roman"/>
          <w:sz w:val="24"/>
          <w:szCs w:val="24"/>
        </w:rPr>
        <w:t>oct</w:t>
      </w:r>
      <w:r w:rsidR="00714A93" w:rsidRPr="00065BBC">
        <w:rPr>
          <w:rFonts w:ascii="Times New Roman" w:hAnsi="Times New Roman" w:cs="Times New Roman"/>
          <w:sz w:val="24"/>
          <w:szCs w:val="24"/>
        </w:rPr>
        <w:t>anoic acid provided with</w:t>
      </w:r>
      <w:r w:rsidR="004E5D23" w:rsidRPr="00065BBC">
        <w:rPr>
          <w:rFonts w:ascii="Times New Roman" w:hAnsi="Times New Roman" w:cs="Times New Roman"/>
          <w:sz w:val="24"/>
          <w:szCs w:val="24"/>
        </w:rPr>
        <w:t>in</w:t>
      </w:r>
      <w:r w:rsidR="00714A93" w:rsidRPr="00065BBC">
        <w:rPr>
          <w:rFonts w:ascii="Times New Roman" w:hAnsi="Times New Roman" w:cs="Times New Roman"/>
          <w:sz w:val="24"/>
          <w:szCs w:val="24"/>
        </w:rPr>
        <w:t xml:space="preserve"> the MCT supplement.</w:t>
      </w:r>
      <w:r w:rsidR="001F709B" w:rsidRPr="00065BBC">
        <w:rPr>
          <w:rFonts w:ascii="Times New Roman" w:hAnsi="Times New Roman" w:cs="Times New Roman"/>
          <w:sz w:val="24"/>
          <w:szCs w:val="24"/>
        </w:rPr>
        <w:t xml:space="preserve"> Although octanoic acid is unlikely to inhibit AMPA receptors at therapeutic concentrations, it may function to elevate neuronal decanoic acid levels through preferential </w:t>
      </w:r>
      <w:r w:rsidR="004E5D23" w:rsidRPr="00065BBC">
        <w:rPr>
          <w:rFonts w:ascii="Times New Roman" w:hAnsi="Times New Roman" w:cs="Times New Roman"/>
          <w:sz w:val="24"/>
          <w:szCs w:val="24"/>
        </w:rPr>
        <w:t>oxidation</w:t>
      </w:r>
      <w:r w:rsidR="004C3992" w:rsidRPr="004C3992">
        <w:rPr>
          <w:rFonts w:ascii="Times New Roman" w:hAnsi="Times New Roman" w:cs="Times New Roman"/>
          <w:sz w:val="24"/>
          <w:szCs w:val="24"/>
        </w:rPr>
        <w:t xml:space="preserve"> </w:t>
      </w:r>
      <w:r w:rsidR="004C3992">
        <w:rPr>
          <w:rFonts w:ascii="Times New Roman" w:hAnsi="Times New Roman" w:cs="Times New Roman"/>
          <w:sz w:val="24"/>
          <w:szCs w:val="24"/>
        </w:rPr>
        <w:t>(Augustin et al, 2018</w:t>
      </w:r>
      <w:r w:rsidR="004C3992" w:rsidRPr="005912BB">
        <w:rPr>
          <w:rFonts w:ascii="Times New Roman" w:hAnsi="Times New Roman" w:cs="Times New Roman"/>
          <w:sz w:val="24"/>
          <w:szCs w:val="24"/>
        </w:rPr>
        <w:t>).</w:t>
      </w:r>
    </w:p>
    <w:p w14:paraId="0107C6A0" w14:textId="77777777" w:rsidR="004C2638" w:rsidRDefault="004C2638" w:rsidP="00E005DD">
      <w:pPr>
        <w:rPr>
          <w:rFonts w:ascii="Times New Roman" w:hAnsi="Times New Roman" w:cs="Times New Roman"/>
          <w:b/>
          <w:sz w:val="24"/>
          <w:szCs w:val="24"/>
        </w:rPr>
      </w:pPr>
    </w:p>
    <w:p w14:paraId="225B8726" w14:textId="08E714C6" w:rsidR="0074259B" w:rsidRPr="00065BBC" w:rsidRDefault="0074259B" w:rsidP="00E005DD">
      <w:pPr>
        <w:rPr>
          <w:rFonts w:ascii="Times New Roman" w:hAnsi="Times New Roman" w:cs="Times New Roman"/>
          <w:sz w:val="24"/>
          <w:szCs w:val="24"/>
        </w:rPr>
      </w:pPr>
      <w:r w:rsidRPr="00065BBC">
        <w:rPr>
          <w:rFonts w:ascii="Times New Roman" w:hAnsi="Times New Roman" w:cs="Times New Roman"/>
          <w:b/>
          <w:sz w:val="24"/>
          <w:szCs w:val="24"/>
        </w:rPr>
        <w:t>Drug interactions</w:t>
      </w:r>
    </w:p>
    <w:p w14:paraId="2C5C77ED" w14:textId="77777777" w:rsidR="001510C9" w:rsidRDefault="00482ED6" w:rsidP="0074259B">
      <w:pPr>
        <w:rPr>
          <w:rFonts w:ascii="Times New Roman" w:hAnsi="Times New Roman" w:cs="Times New Roman"/>
          <w:sz w:val="24"/>
          <w:szCs w:val="24"/>
        </w:rPr>
      </w:pPr>
      <w:r w:rsidRPr="00E11420">
        <w:rPr>
          <w:rFonts w:ascii="Times New Roman" w:hAnsi="Times New Roman" w:cs="Times New Roman"/>
          <w:sz w:val="24"/>
          <w:szCs w:val="24"/>
        </w:rPr>
        <w:t>Contraindications for the ketogenic diet include defects in fatty acid metabolism and function including fatty acid oxidation, and deficiencies in carnitine-related function, organic translocase, pyruvate carboxylase and hypoglycaemia.</w:t>
      </w:r>
    </w:p>
    <w:p w14:paraId="72718A23" w14:textId="77777777" w:rsidR="004C2638" w:rsidRPr="00E11420" w:rsidRDefault="004C2638" w:rsidP="0074259B">
      <w:pPr>
        <w:rPr>
          <w:rFonts w:ascii="Times New Roman" w:hAnsi="Times New Roman" w:cs="Times New Roman"/>
          <w:sz w:val="24"/>
          <w:szCs w:val="24"/>
        </w:rPr>
      </w:pPr>
    </w:p>
    <w:p w14:paraId="08CD4A68" w14:textId="7C8EE88F" w:rsidR="0074259B" w:rsidRPr="00065BBC" w:rsidRDefault="0074259B" w:rsidP="0074259B">
      <w:pPr>
        <w:rPr>
          <w:rFonts w:ascii="Times New Roman" w:hAnsi="Times New Roman" w:cs="Times New Roman"/>
          <w:b/>
          <w:sz w:val="24"/>
          <w:szCs w:val="24"/>
        </w:rPr>
      </w:pPr>
      <w:r w:rsidRPr="00065BBC">
        <w:rPr>
          <w:rFonts w:ascii="Times New Roman" w:hAnsi="Times New Roman" w:cs="Times New Roman"/>
          <w:b/>
          <w:sz w:val="24"/>
          <w:szCs w:val="24"/>
        </w:rPr>
        <w:t xml:space="preserve">Efficacy data </w:t>
      </w:r>
    </w:p>
    <w:p w14:paraId="46AC2005" w14:textId="3DF5F96C" w:rsidR="00822DD0" w:rsidRDefault="004C2638" w:rsidP="00BA3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randomized</w:t>
      </w:r>
      <w:r w:rsidR="003532CB" w:rsidRPr="00065BBC">
        <w:rPr>
          <w:rFonts w:ascii="Times New Roman" w:hAnsi="Times New Roman" w:cs="Times New Roman"/>
          <w:sz w:val="24"/>
          <w:szCs w:val="24"/>
        </w:rPr>
        <w:t xml:space="preserve"> trial </w:t>
      </w:r>
      <w:r>
        <w:rPr>
          <w:rFonts w:ascii="Times New Roman" w:hAnsi="Times New Roman" w:cs="Times New Roman"/>
          <w:sz w:val="24"/>
          <w:szCs w:val="24"/>
        </w:rPr>
        <w:t>suggested</w:t>
      </w:r>
      <w:r w:rsidR="003532CB" w:rsidRPr="00065BBC">
        <w:rPr>
          <w:rFonts w:ascii="Times New Roman" w:hAnsi="Times New Roman" w:cs="Times New Roman"/>
          <w:sz w:val="24"/>
          <w:szCs w:val="24"/>
        </w:rPr>
        <w:t xml:space="preserve"> that t</w:t>
      </w:r>
      <w:r w:rsidR="00714A93" w:rsidRPr="00065BBC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A93" w:rsidRPr="00065BBC">
        <w:rPr>
          <w:rFonts w:ascii="Times New Roman" w:hAnsi="Times New Roman" w:cs="Times New Roman"/>
          <w:sz w:val="24"/>
          <w:szCs w:val="24"/>
        </w:rPr>
        <w:t xml:space="preserve">classical </w:t>
      </w:r>
      <w:r>
        <w:rPr>
          <w:rFonts w:ascii="Times New Roman" w:hAnsi="Times New Roman" w:cs="Times New Roman"/>
          <w:sz w:val="24"/>
          <w:szCs w:val="24"/>
        </w:rPr>
        <w:t xml:space="preserve">and the MCT </w:t>
      </w:r>
      <w:r w:rsidR="00714A93" w:rsidRPr="00065BBC">
        <w:rPr>
          <w:rFonts w:ascii="Times New Roman" w:hAnsi="Times New Roman" w:cs="Times New Roman"/>
          <w:sz w:val="24"/>
          <w:szCs w:val="24"/>
        </w:rPr>
        <w:t xml:space="preserve">ketogenic </w:t>
      </w:r>
      <w:r w:rsidR="003532CB" w:rsidRPr="00065BBC">
        <w:rPr>
          <w:rFonts w:ascii="Times New Roman" w:hAnsi="Times New Roman" w:cs="Times New Roman"/>
          <w:sz w:val="24"/>
          <w:szCs w:val="24"/>
        </w:rPr>
        <w:t>diet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822DD0">
        <w:rPr>
          <w:rFonts w:ascii="Times New Roman" w:hAnsi="Times New Roman" w:cs="Times New Roman"/>
          <w:sz w:val="24"/>
          <w:szCs w:val="24"/>
        </w:rPr>
        <w:t xml:space="preserve">may </w:t>
      </w:r>
      <w:r w:rsidR="003532CB" w:rsidRPr="00065BBC">
        <w:rPr>
          <w:rFonts w:ascii="Times New Roman" w:hAnsi="Times New Roman" w:cs="Times New Roman"/>
          <w:sz w:val="24"/>
          <w:szCs w:val="24"/>
        </w:rPr>
        <w:t>show similar efficacy in seizure control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32CB" w:rsidRPr="00065BBC">
        <w:rPr>
          <w:rFonts w:ascii="Times New Roman" w:hAnsi="Times New Roman" w:cs="Times New Roman"/>
          <w:sz w:val="24"/>
          <w:szCs w:val="24"/>
        </w:rPr>
        <w:t xml:space="preserve">although the classical diet </w:t>
      </w:r>
      <w:r w:rsidR="00714A93" w:rsidRPr="00065BBC">
        <w:rPr>
          <w:rFonts w:ascii="Times New Roman" w:hAnsi="Times New Roman" w:cs="Times New Roman"/>
          <w:sz w:val="24"/>
          <w:szCs w:val="24"/>
        </w:rPr>
        <w:t xml:space="preserve">requires a more stringent </w:t>
      </w:r>
      <w:r w:rsidR="003532CB" w:rsidRPr="00065BBC">
        <w:rPr>
          <w:rFonts w:ascii="Times New Roman" w:hAnsi="Times New Roman" w:cs="Times New Roman"/>
          <w:sz w:val="24"/>
          <w:szCs w:val="24"/>
        </w:rPr>
        <w:t>regimen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992">
        <w:rPr>
          <w:rFonts w:ascii="Times New Roman" w:hAnsi="Times New Roman" w:cs="Times New Roman"/>
          <w:sz w:val="24"/>
          <w:szCs w:val="24"/>
        </w:rPr>
        <w:t>(Neal et al, 2009).</w:t>
      </w:r>
      <w:r w:rsidR="00BA37E8" w:rsidRPr="00065BBC">
        <w:rPr>
          <w:rFonts w:ascii="Times New Roman" w:hAnsi="Times New Roman" w:cs="Times New Roman"/>
          <w:sz w:val="24"/>
          <w:szCs w:val="24"/>
        </w:rPr>
        <w:t xml:space="preserve"> </w:t>
      </w:r>
      <w:r w:rsidR="00D452B9" w:rsidRPr="00065BBC">
        <w:rPr>
          <w:rFonts w:ascii="Times New Roman" w:hAnsi="Times New Roman" w:cs="Times New Roman"/>
          <w:sz w:val="24"/>
          <w:szCs w:val="24"/>
        </w:rPr>
        <w:t>In th</w:t>
      </w:r>
      <w:r w:rsidR="00822DD0">
        <w:rPr>
          <w:rFonts w:ascii="Times New Roman" w:hAnsi="Times New Roman" w:cs="Times New Roman"/>
          <w:sz w:val="24"/>
          <w:szCs w:val="24"/>
        </w:rPr>
        <w:t>at</w:t>
      </w:r>
      <w:r w:rsidR="00BA37E8" w:rsidRPr="00065BBC">
        <w:rPr>
          <w:rFonts w:ascii="Times New Roman" w:hAnsi="Times New Roman" w:cs="Times New Roman"/>
          <w:sz w:val="24"/>
          <w:szCs w:val="24"/>
        </w:rPr>
        <w:t xml:space="preserve"> </w:t>
      </w:r>
      <w:r w:rsidR="003532CB" w:rsidRPr="00065BBC">
        <w:rPr>
          <w:rFonts w:ascii="Times New Roman" w:hAnsi="Times New Roman" w:cs="Times New Roman"/>
          <w:sz w:val="24"/>
          <w:szCs w:val="24"/>
        </w:rPr>
        <w:t>trial</w:t>
      </w:r>
      <w:r w:rsidR="00822DD0">
        <w:rPr>
          <w:rFonts w:ascii="Times New Roman" w:hAnsi="Times New Roman" w:cs="Times New Roman"/>
          <w:sz w:val="24"/>
          <w:szCs w:val="24"/>
        </w:rPr>
        <w:t>,</w:t>
      </w:r>
      <w:r w:rsidR="00D452B9" w:rsidRPr="00D452B9">
        <w:rPr>
          <w:rFonts w:ascii="Times New Roman" w:hAnsi="Times New Roman" w:cs="Times New Roman"/>
          <w:sz w:val="24"/>
          <w:szCs w:val="24"/>
        </w:rPr>
        <w:t xml:space="preserve"> </w:t>
      </w:r>
      <w:r w:rsidR="00D452B9">
        <w:rPr>
          <w:rFonts w:ascii="Times New Roman" w:hAnsi="Times New Roman" w:cs="Times New Roman"/>
          <w:sz w:val="24"/>
          <w:szCs w:val="24"/>
        </w:rPr>
        <w:t>the classical diet and the MCT diet were administered to a total of 125</w:t>
      </w:r>
      <w:r w:rsidR="00D452B9" w:rsidRPr="005912BB">
        <w:rPr>
          <w:rFonts w:ascii="Times New Roman" w:hAnsi="Times New Roman" w:cs="Times New Roman"/>
          <w:sz w:val="24"/>
          <w:szCs w:val="24"/>
        </w:rPr>
        <w:t xml:space="preserve"> </w:t>
      </w:r>
      <w:r w:rsidR="00D452B9">
        <w:rPr>
          <w:rFonts w:ascii="Times New Roman" w:hAnsi="Times New Roman" w:cs="Times New Roman"/>
          <w:sz w:val="24"/>
          <w:szCs w:val="24"/>
        </w:rPr>
        <w:t>children</w:t>
      </w:r>
      <w:r w:rsidR="00822DD0">
        <w:rPr>
          <w:rFonts w:ascii="Times New Roman" w:hAnsi="Times New Roman" w:cs="Times New Roman"/>
          <w:sz w:val="24"/>
          <w:szCs w:val="24"/>
        </w:rPr>
        <w:t xml:space="preserve"> with pharmacoresista</w:t>
      </w:r>
      <w:r w:rsidR="00D452B9">
        <w:rPr>
          <w:rFonts w:ascii="Times New Roman" w:hAnsi="Times New Roman" w:cs="Times New Roman"/>
          <w:sz w:val="24"/>
          <w:szCs w:val="24"/>
        </w:rPr>
        <w:t>nt epilepsy</w:t>
      </w:r>
      <w:r w:rsidR="00822DD0">
        <w:rPr>
          <w:rFonts w:ascii="Times New Roman" w:hAnsi="Times New Roman" w:cs="Times New Roman"/>
          <w:sz w:val="24"/>
          <w:szCs w:val="24"/>
        </w:rPr>
        <w:t>,</w:t>
      </w:r>
      <w:r w:rsidR="00D452B9">
        <w:rPr>
          <w:rFonts w:ascii="Times New Roman" w:hAnsi="Times New Roman" w:cs="Times New Roman"/>
          <w:sz w:val="24"/>
          <w:szCs w:val="24"/>
        </w:rPr>
        <w:t xml:space="preserve"> </w:t>
      </w:r>
      <w:r w:rsidR="00822DD0">
        <w:rPr>
          <w:rFonts w:ascii="Times New Roman" w:hAnsi="Times New Roman" w:cs="Times New Roman"/>
          <w:sz w:val="24"/>
          <w:szCs w:val="24"/>
        </w:rPr>
        <w:t>but only</w:t>
      </w:r>
      <w:r w:rsidR="00D452B9">
        <w:rPr>
          <w:rFonts w:ascii="Times New Roman" w:hAnsi="Times New Roman" w:cs="Times New Roman"/>
          <w:sz w:val="24"/>
          <w:szCs w:val="24"/>
        </w:rPr>
        <w:t xml:space="preserve"> 47 patients were evaluable for efficacy at the 12 month assessment. The average percent decrease in seizure frequency compared with baseline was 53% for the </w:t>
      </w:r>
      <w:r w:rsidR="00E76D41">
        <w:rPr>
          <w:rFonts w:ascii="Times New Roman" w:hAnsi="Times New Roman" w:cs="Times New Roman"/>
          <w:sz w:val="24"/>
          <w:szCs w:val="24"/>
        </w:rPr>
        <w:t xml:space="preserve">evaluable </w:t>
      </w:r>
      <w:r w:rsidR="00D452B9">
        <w:rPr>
          <w:rFonts w:ascii="Times New Roman" w:hAnsi="Times New Roman" w:cs="Times New Roman"/>
          <w:sz w:val="24"/>
          <w:szCs w:val="24"/>
        </w:rPr>
        <w:t xml:space="preserve">children </w:t>
      </w:r>
      <w:r w:rsidR="00E76D41">
        <w:rPr>
          <w:rFonts w:ascii="Times New Roman" w:hAnsi="Times New Roman" w:cs="Times New Roman"/>
          <w:sz w:val="24"/>
          <w:szCs w:val="24"/>
        </w:rPr>
        <w:t>in the</w:t>
      </w:r>
      <w:r w:rsidR="00D452B9">
        <w:rPr>
          <w:rFonts w:ascii="Times New Roman" w:hAnsi="Times New Roman" w:cs="Times New Roman"/>
          <w:sz w:val="24"/>
          <w:szCs w:val="24"/>
        </w:rPr>
        <w:t xml:space="preserve"> MCT ketogenic diet </w:t>
      </w:r>
      <w:r w:rsidR="00E76D41">
        <w:rPr>
          <w:rFonts w:ascii="Times New Roman" w:hAnsi="Times New Roman" w:cs="Times New Roman"/>
          <w:sz w:val="24"/>
          <w:szCs w:val="24"/>
        </w:rPr>
        <w:t xml:space="preserve">group </w:t>
      </w:r>
      <w:r w:rsidR="00D452B9">
        <w:rPr>
          <w:rFonts w:ascii="Times New Roman" w:hAnsi="Times New Roman" w:cs="Times New Roman"/>
          <w:sz w:val="24"/>
          <w:szCs w:val="24"/>
        </w:rPr>
        <w:t>(n=25) and</w:t>
      </w:r>
      <w:r w:rsidR="00822DD0">
        <w:rPr>
          <w:rFonts w:ascii="Times New Roman" w:hAnsi="Times New Roman" w:cs="Times New Roman"/>
          <w:sz w:val="24"/>
          <w:szCs w:val="24"/>
        </w:rPr>
        <w:t xml:space="preserve"> 40.8</w:t>
      </w:r>
      <w:r w:rsidR="00D452B9">
        <w:rPr>
          <w:rFonts w:ascii="Times New Roman" w:hAnsi="Times New Roman" w:cs="Times New Roman"/>
          <w:sz w:val="24"/>
          <w:szCs w:val="24"/>
        </w:rPr>
        <w:t xml:space="preserve">% for those </w:t>
      </w:r>
      <w:r w:rsidR="00E76D41">
        <w:rPr>
          <w:rFonts w:ascii="Times New Roman" w:hAnsi="Times New Roman" w:cs="Times New Roman"/>
          <w:sz w:val="24"/>
          <w:szCs w:val="24"/>
        </w:rPr>
        <w:t>evaluable in</w:t>
      </w:r>
      <w:r w:rsidR="00D452B9">
        <w:rPr>
          <w:rFonts w:ascii="Times New Roman" w:hAnsi="Times New Roman" w:cs="Times New Roman"/>
          <w:sz w:val="24"/>
          <w:szCs w:val="24"/>
        </w:rPr>
        <w:t xml:space="preserve"> the classical ketogenic diet </w:t>
      </w:r>
      <w:r w:rsidR="00E76D41">
        <w:rPr>
          <w:rFonts w:ascii="Times New Roman" w:hAnsi="Times New Roman" w:cs="Times New Roman"/>
          <w:sz w:val="24"/>
          <w:szCs w:val="24"/>
        </w:rPr>
        <w:t xml:space="preserve">group </w:t>
      </w:r>
      <w:r w:rsidR="00822DD0">
        <w:rPr>
          <w:rFonts w:ascii="Times New Roman" w:hAnsi="Times New Roman" w:cs="Times New Roman"/>
          <w:sz w:val="24"/>
          <w:szCs w:val="24"/>
        </w:rPr>
        <w:t xml:space="preserve">(n=22). </w:t>
      </w:r>
      <w:r w:rsidR="00BA37E8" w:rsidRPr="00065BBC">
        <w:rPr>
          <w:rFonts w:ascii="Times New Roman" w:hAnsi="Times New Roman" w:cs="Times New Roman"/>
          <w:sz w:val="24"/>
          <w:szCs w:val="24"/>
        </w:rPr>
        <w:t xml:space="preserve"> </w:t>
      </w:r>
      <w:r w:rsidR="00822DD0">
        <w:rPr>
          <w:rFonts w:ascii="Times New Roman" w:hAnsi="Times New Roman" w:cs="Times New Roman"/>
          <w:sz w:val="24"/>
          <w:szCs w:val="24"/>
        </w:rPr>
        <w:t>No breakdown of outcome by seizure type was reporte</w:t>
      </w:r>
      <w:r w:rsidR="00065BBC">
        <w:rPr>
          <w:rFonts w:ascii="Times New Roman" w:hAnsi="Times New Roman" w:cs="Times New Roman"/>
          <w:sz w:val="24"/>
          <w:szCs w:val="24"/>
        </w:rPr>
        <w:t>d.</w:t>
      </w:r>
    </w:p>
    <w:p w14:paraId="5455280C" w14:textId="198432F9" w:rsidR="004472F7" w:rsidRPr="00065BBC" w:rsidRDefault="004472F7" w:rsidP="00BA37E8">
      <w:pPr>
        <w:rPr>
          <w:rFonts w:ascii="Times New Roman" w:hAnsi="Times New Roman" w:cs="Times New Roman"/>
          <w:sz w:val="24"/>
          <w:szCs w:val="24"/>
        </w:rPr>
      </w:pPr>
    </w:p>
    <w:p w14:paraId="61EE3218" w14:textId="3280DC9E" w:rsidR="0074259B" w:rsidRPr="00065BBC" w:rsidRDefault="0074259B" w:rsidP="0074259B">
      <w:pPr>
        <w:rPr>
          <w:rFonts w:ascii="Times New Roman" w:hAnsi="Times New Roman" w:cs="Times New Roman"/>
          <w:b/>
          <w:sz w:val="24"/>
          <w:szCs w:val="24"/>
        </w:rPr>
      </w:pPr>
      <w:r w:rsidRPr="00065BBC">
        <w:rPr>
          <w:rFonts w:ascii="Times New Roman" w:hAnsi="Times New Roman" w:cs="Times New Roman"/>
          <w:b/>
          <w:sz w:val="24"/>
          <w:szCs w:val="24"/>
        </w:rPr>
        <w:t>Tolerability and side effect profile</w:t>
      </w:r>
    </w:p>
    <w:p w14:paraId="0A04A57A" w14:textId="78487A5D" w:rsidR="001E71C5" w:rsidRPr="00065BBC" w:rsidRDefault="00E005DD" w:rsidP="0074259B">
      <w:pPr>
        <w:rPr>
          <w:rFonts w:ascii="Times New Roman" w:hAnsi="Times New Roman" w:cs="Times New Roman"/>
          <w:sz w:val="24"/>
          <w:szCs w:val="24"/>
        </w:rPr>
      </w:pPr>
      <w:r w:rsidRPr="00065BBC">
        <w:rPr>
          <w:rFonts w:ascii="Times New Roman" w:hAnsi="Times New Roman" w:cs="Times New Roman"/>
          <w:sz w:val="24"/>
          <w:szCs w:val="24"/>
        </w:rPr>
        <w:t xml:space="preserve">Although no data exist </w:t>
      </w:r>
      <w:r w:rsidR="006D348D" w:rsidRPr="00065BBC">
        <w:rPr>
          <w:rFonts w:ascii="Times New Roman" w:hAnsi="Times New Roman" w:cs="Times New Roman"/>
          <w:sz w:val="24"/>
          <w:szCs w:val="24"/>
        </w:rPr>
        <w:t xml:space="preserve">regarding </w:t>
      </w:r>
      <w:r w:rsidRPr="00065BBC">
        <w:rPr>
          <w:rFonts w:ascii="Times New Roman" w:hAnsi="Times New Roman" w:cs="Times New Roman"/>
          <w:sz w:val="24"/>
          <w:szCs w:val="24"/>
        </w:rPr>
        <w:t>decanoic acid</w:t>
      </w:r>
      <w:r w:rsidR="00D17B75" w:rsidRPr="00065BBC">
        <w:rPr>
          <w:rFonts w:ascii="Times New Roman" w:hAnsi="Times New Roman" w:cs="Times New Roman"/>
          <w:sz w:val="24"/>
          <w:szCs w:val="24"/>
        </w:rPr>
        <w:t>-</w:t>
      </w:r>
      <w:r w:rsidRPr="00065BBC">
        <w:rPr>
          <w:rFonts w:ascii="Times New Roman" w:hAnsi="Times New Roman" w:cs="Times New Roman"/>
          <w:sz w:val="24"/>
          <w:szCs w:val="24"/>
        </w:rPr>
        <w:t>only treatment in patient groups, the MCT ketogenic diet is associated with a range o</w:t>
      </w:r>
      <w:r w:rsidR="00D17B75" w:rsidRPr="00065BBC">
        <w:rPr>
          <w:rFonts w:ascii="Times New Roman" w:hAnsi="Times New Roman" w:cs="Times New Roman"/>
          <w:sz w:val="24"/>
          <w:szCs w:val="24"/>
        </w:rPr>
        <w:t>f gastrointestinal-</w:t>
      </w:r>
      <w:r w:rsidRPr="00065BBC">
        <w:rPr>
          <w:rFonts w:ascii="Times New Roman" w:hAnsi="Times New Roman" w:cs="Times New Roman"/>
          <w:sz w:val="24"/>
          <w:szCs w:val="24"/>
        </w:rPr>
        <w:t>related side effects, such as cramps, bloating, diarrhoea, and vomiting</w:t>
      </w:r>
      <w:r w:rsidR="001E71C5" w:rsidRPr="00065BBC">
        <w:rPr>
          <w:rFonts w:ascii="Times New Roman" w:hAnsi="Times New Roman" w:cs="Times New Roman"/>
          <w:sz w:val="24"/>
          <w:szCs w:val="24"/>
        </w:rPr>
        <w:t>. In addition, it is important to note that AMPA receptors play an important role in synaptic strengthening during long-term potentiation and synaptic plasticity</w:t>
      </w:r>
      <w:r w:rsidR="00822DD0">
        <w:rPr>
          <w:rFonts w:ascii="Times New Roman" w:hAnsi="Times New Roman" w:cs="Times New Roman"/>
          <w:sz w:val="24"/>
          <w:szCs w:val="24"/>
        </w:rPr>
        <w:t>. H</w:t>
      </w:r>
      <w:r w:rsidR="001E71C5" w:rsidRPr="00065BBC">
        <w:rPr>
          <w:rFonts w:ascii="Times New Roman" w:hAnsi="Times New Roman" w:cs="Times New Roman"/>
          <w:sz w:val="24"/>
          <w:szCs w:val="24"/>
        </w:rPr>
        <w:t>owever</w:t>
      </w:r>
      <w:r w:rsidR="00822DD0">
        <w:rPr>
          <w:rFonts w:ascii="Times New Roman" w:hAnsi="Times New Roman" w:cs="Times New Roman"/>
          <w:sz w:val="24"/>
          <w:szCs w:val="24"/>
        </w:rPr>
        <w:t>,</w:t>
      </w:r>
      <w:r w:rsidR="001E71C5" w:rsidRPr="00065BBC">
        <w:rPr>
          <w:rFonts w:ascii="Times New Roman" w:hAnsi="Times New Roman" w:cs="Times New Roman"/>
          <w:sz w:val="24"/>
          <w:szCs w:val="24"/>
        </w:rPr>
        <w:t xml:space="preserve"> inhibition of AMPA receptor activity has been demonstrated</w:t>
      </w:r>
      <w:r w:rsidR="00822DD0">
        <w:rPr>
          <w:rFonts w:ascii="Times New Roman" w:hAnsi="Times New Roman" w:cs="Times New Roman"/>
          <w:sz w:val="24"/>
          <w:szCs w:val="24"/>
        </w:rPr>
        <w:t xml:space="preserve"> not</w:t>
      </w:r>
      <w:r w:rsidR="001E71C5" w:rsidRPr="00065BBC">
        <w:rPr>
          <w:rFonts w:ascii="Times New Roman" w:hAnsi="Times New Roman" w:cs="Times New Roman"/>
          <w:sz w:val="24"/>
          <w:szCs w:val="24"/>
        </w:rPr>
        <w:t xml:space="preserve"> to impair long-term potentiation </w:t>
      </w:r>
      <w:r w:rsidR="00822DD0">
        <w:rPr>
          <w:rFonts w:ascii="Times New Roman" w:hAnsi="Times New Roman" w:cs="Times New Roman"/>
          <w:sz w:val="24"/>
          <w:szCs w:val="24"/>
        </w:rPr>
        <w:t>or</w:t>
      </w:r>
      <w:r w:rsidR="001E71C5" w:rsidRPr="00065BBC">
        <w:rPr>
          <w:rFonts w:ascii="Times New Roman" w:hAnsi="Times New Roman" w:cs="Times New Roman"/>
          <w:sz w:val="24"/>
          <w:szCs w:val="24"/>
        </w:rPr>
        <w:t xml:space="preserve"> </w:t>
      </w:r>
      <w:r w:rsidR="009A5168" w:rsidRPr="00065BBC">
        <w:rPr>
          <w:rFonts w:ascii="Times New Roman" w:hAnsi="Times New Roman" w:cs="Times New Roman"/>
          <w:sz w:val="24"/>
          <w:szCs w:val="24"/>
        </w:rPr>
        <w:t>cognition</w:t>
      </w:r>
      <w:r w:rsidR="00D17B75" w:rsidRPr="00065BBC">
        <w:rPr>
          <w:rFonts w:ascii="Times New Roman" w:hAnsi="Times New Roman" w:cs="Times New Roman"/>
          <w:sz w:val="24"/>
          <w:szCs w:val="24"/>
        </w:rPr>
        <w:t xml:space="preserve"> (</w:t>
      </w:r>
      <w:r w:rsidR="00822DD0">
        <w:rPr>
          <w:rFonts w:ascii="Times New Roman" w:hAnsi="Times New Roman" w:cs="Times New Roman"/>
          <w:sz w:val="24"/>
          <w:szCs w:val="24"/>
        </w:rPr>
        <w:t xml:space="preserve">for </w:t>
      </w:r>
      <w:r w:rsidR="00D17B75" w:rsidRPr="00065BBC">
        <w:rPr>
          <w:rFonts w:ascii="Times New Roman" w:hAnsi="Times New Roman" w:cs="Times New Roman"/>
          <w:sz w:val="24"/>
          <w:szCs w:val="24"/>
        </w:rPr>
        <w:t>review</w:t>
      </w:r>
      <w:r w:rsidR="00822DD0">
        <w:rPr>
          <w:rFonts w:ascii="Times New Roman" w:hAnsi="Times New Roman" w:cs="Times New Roman"/>
          <w:sz w:val="24"/>
          <w:szCs w:val="24"/>
        </w:rPr>
        <w:t>, see</w:t>
      </w:r>
      <w:r w:rsidR="004C3992">
        <w:rPr>
          <w:rFonts w:ascii="Times New Roman" w:hAnsi="Times New Roman" w:cs="Times New Roman"/>
          <w:sz w:val="24"/>
          <w:szCs w:val="24"/>
        </w:rPr>
        <w:t xml:space="preserve"> Chang et al, 2016</w:t>
      </w:r>
      <w:r w:rsidR="001E71C5" w:rsidRPr="00065BBC">
        <w:rPr>
          <w:rFonts w:ascii="Times New Roman" w:hAnsi="Times New Roman" w:cs="Times New Roman"/>
          <w:sz w:val="24"/>
          <w:szCs w:val="24"/>
        </w:rPr>
        <w:t>)</w:t>
      </w:r>
      <w:r w:rsidR="00822DD0">
        <w:rPr>
          <w:rFonts w:ascii="Times New Roman" w:hAnsi="Times New Roman" w:cs="Times New Roman"/>
          <w:sz w:val="24"/>
          <w:szCs w:val="24"/>
        </w:rPr>
        <w:t>,</w:t>
      </w:r>
      <w:r w:rsidR="001E71C5" w:rsidRPr="00065BBC">
        <w:rPr>
          <w:rFonts w:ascii="Times New Roman" w:hAnsi="Times New Roman" w:cs="Times New Roman"/>
          <w:sz w:val="24"/>
          <w:szCs w:val="24"/>
        </w:rPr>
        <w:t xml:space="preserve"> suggesting that dietary</w:t>
      </w:r>
      <w:r w:rsidR="009A5168" w:rsidRPr="00065BBC">
        <w:rPr>
          <w:rFonts w:ascii="Times New Roman" w:hAnsi="Times New Roman" w:cs="Times New Roman"/>
          <w:sz w:val="24"/>
          <w:szCs w:val="24"/>
        </w:rPr>
        <w:t xml:space="preserve"> decanoic acid is unlikely to adversely affect learning and memory. In contrast</w:t>
      </w:r>
      <w:r w:rsidR="00822DD0">
        <w:rPr>
          <w:rFonts w:ascii="Times New Roman" w:hAnsi="Times New Roman" w:cs="Times New Roman"/>
          <w:sz w:val="24"/>
          <w:szCs w:val="24"/>
        </w:rPr>
        <w:t>,</w:t>
      </w:r>
      <w:r w:rsidR="009A5168" w:rsidRPr="00065BBC">
        <w:rPr>
          <w:rFonts w:ascii="Times New Roman" w:hAnsi="Times New Roman" w:cs="Times New Roman"/>
          <w:sz w:val="24"/>
          <w:szCs w:val="24"/>
        </w:rPr>
        <w:t xml:space="preserve"> the MCT ketogenic diet</w:t>
      </w:r>
      <w:r w:rsidR="00822DD0">
        <w:rPr>
          <w:rFonts w:ascii="Times New Roman" w:hAnsi="Times New Roman" w:cs="Times New Roman"/>
          <w:sz w:val="24"/>
          <w:szCs w:val="24"/>
        </w:rPr>
        <w:t xml:space="preserve"> has been reported to be</w:t>
      </w:r>
      <w:r w:rsidR="009A5168" w:rsidRPr="00065BBC">
        <w:rPr>
          <w:rFonts w:ascii="Times New Roman" w:hAnsi="Times New Roman" w:cs="Times New Roman"/>
          <w:sz w:val="24"/>
          <w:szCs w:val="24"/>
        </w:rPr>
        <w:t xml:space="preserve"> associated with positive effects on cognition</w:t>
      </w:r>
      <w:r w:rsidR="00822DD0">
        <w:rPr>
          <w:rFonts w:ascii="Times New Roman" w:hAnsi="Times New Roman" w:cs="Times New Roman"/>
          <w:sz w:val="24"/>
          <w:szCs w:val="24"/>
        </w:rPr>
        <w:t xml:space="preserve"> </w:t>
      </w:r>
      <w:r w:rsidR="008171E9">
        <w:rPr>
          <w:rFonts w:ascii="Times New Roman" w:hAnsi="Times New Roman" w:cs="Times New Roman"/>
          <w:sz w:val="24"/>
          <w:szCs w:val="24"/>
        </w:rPr>
        <w:t>(Taylor et al 2018)</w:t>
      </w:r>
      <w:r w:rsidR="009A5168" w:rsidRPr="00065BBC">
        <w:rPr>
          <w:rFonts w:ascii="Times New Roman" w:hAnsi="Times New Roman" w:cs="Times New Roman"/>
          <w:sz w:val="24"/>
          <w:szCs w:val="24"/>
        </w:rPr>
        <w:t xml:space="preserve"> although the mechanism of this positive effect remains to be identified.</w:t>
      </w:r>
    </w:p>
    <w:p w14:paraId="6F4CFC3B" w14:textId="77777777" w:rsidR="00822DD0" w:rsidRDefault="00822DD0" w:rsidP="0074259B">
      <w:pPr>
        <w:rPr>
          <w:rFonts w:ascii="Times New Roman" w:hAnsi="Times New Roman" w:cs="Times New Roman"/>
          <w:b/>
          <w:sz w:val="24"/>
          <w:szCs w:val="24"/>
        </w:rPr>
      </w:pPr>
    </w:p>
    <w:p w14:paraId="77754523" w14:textId="416408E9" w:rsidR="0074259B" w:rsidRPr="00065BBC" w:rsidRDefault="0074259B" w:rsidP="0074259B">
      <w:pPr>
        <w:rPr>
          <w:rFonts w:ascii="Times New Roman" w:hAnsi="Times New Roman" w:cs="Times New Roman"/>
          <w:b/>
          <w:sz w:val="24"/>
          <w:szCs w:val="24"/>
        </w:rPr>
      </w:pPr>
      <w:r w:rsidRPr="00065BBC">
        <w:rPr>
          <w:rFonts w:ascii="Times New Roman" w:hAnsi="Times New Roman" w:cs="Times New Roman"/>
          <w:b/>
          <w:sz w:val="24"/>
          <w:szCs w:val="24"/>
        </w:rPr>
        <w:t xml:space="preserve">Planned studies </w:t>
      </w:r>
    </w:p>
    <w:p w14:paraId="68EA4A85" w14:textId="6451EC9C" w:rsidR="009405FE" w:rsidRDefault="00B67AEF" w:rsidP="0074259B">
      <w:pPr>
        <w:rPr>
          <w:rFonts w:ascii="Times New Roman" w:hAnsi="Times New Roman" w:cs="Times New Roman"/>
          <w:sz w:val="24"/>
          <w:szCs w:val="24"/>
        </w:rPr>
      </w:pPr>
      <w:r w:rsidRPr="00065BBC">
        <w:rPr>
          <w:rFonts w:ascii="Times New Roman" w:hAnsi="Times New Roman" w:cs="Times New Roman"/>
          <w:sz w:val="24"/>
          <w:szCs w:val="24"/>
        </w:rPr>
        <w:t xml:space="preserve">A </w:t>
      </w:r>
      <w:r w:rsidR="009A1547" w:rsidRPr="00065BBC">
        <w:rPr>
          <w:rFonts w:ascii="Times New Roman" w:hAnsi="Times New Roman" w:cs="Times New Roman"/>
          <w:sz w:val="24"/>
          <w:szCs w:val="24"/>
        </w:rPr>
        <w:t xml:space="preserve">recently developed </w:t>
      </w:r>
      <w:r w:rsidRPr="00065BBC">
        <w:rPr>
          <w:rFonts w:ascii="Times New Roman" w:hAnsi="Times New Roman" w:cs="Times New Roman"/>
          <w:sz w:val="24"/>
          <w:szCs w:val="24"/>
        </w:rPr>
        <w:t xml:space="preserve">modified MCT </w:t>
      </w:r>
      <w:r w:rsidR="00784DE7">
        <w:rPr>
          <w:rFonts w:ascii="Times New Roman" w:hAnsi="Times New Roman" w:cs="Times New Roman"/>
          <w:sz w:val="24"/>
          <w:szCs w:val="24"/>
        </w:rPr>
        <w:t xml:space="preserve">diet </w:t>
      </w:r>
      <w:r w:rsidRPr="00065BBC">
        <w:rPr>
          <w:rFonts w:ascii="Times New Roman" w:hAnsi="Times New Roman" w:cs="Times New Roman"/>
          <w:sz w:val="24"/>
          <w:szCs w:val="24"/>
        </w:rPr>
        <w:t xml:space="preserve">containing </w:t>
      </w:r>
      <w:r w:rsidR="00822DD0">
        <w:rPr>
          <w:rFonts w:ascii="Times New Roman" w:hAnsi="Times New Roman" w:cs="Times New Roman"/>
          <w:sz w:val="24"/>
          <w:szCs w:val="24"/>
        </w:rPr>
        <w:t>high</w:t>
      </w:r>
      <w:r w:rsidR="009A1547" w:rsidRPr="00065BBC">
        <w:rPr>
          <w:rFonts w:ascii="Times New Roman" w:hAnsi="Times New Roman" w:cs="Times New Roman"/>
          <w:sz w:val="24"/>
          <w:szCs w:val="24"/>
        </w:rPr>
        <w:t xml:space="preserve"> levels of decanoic acid (</w:t>
      </w:r>
      <w:proofErr w:type="spellStart"/>
      <w:r w:rsidR="009A1547" w:rsidRPr="00065BBC">
        <w:rPr>
          <w:rFonts w:ascii="Times New Roman" w:hAnsi="Times New Roman" w:cs="Times New Roman"/>
          <w:sz w:val="24"/>
          <w:szCs w:val="24"/>
        </w:rPr>
        <w:t>Betashot</w:t>
      </w:r>
      <w:proofErr w:type="spellEnd"/>
      <w:r w:rsidR="009A1547" w:rsidRPr="00065BBC">
        <w:rPr>
          <w:rFonts w:ascii="Times New Roman" w:hAnsi="Times New Roman" w:cs="Times New Roman"/>
          <w:sz w:val="24"/>
          <w:szCs w:val="24"/>
        </w:rPr>
        <w:t>) is currently in tolerability clinical trials (tolerability) with both adult and paediatric drug-resistant patients (NCT02825745).</w:t>
      </w:r>
      <w:r w:rsidR="00D17B75" w:rsidRPr="00065BBC">
        <w:rPr>
          <w:rFonts w:ascii="Times New Roman" w:hAnsi="Times New Roman" w:cs="Times New Roman"/>
          <w:sz w:val="24"/>
          <w:szCs w:val="24"/>
        </w:rPr>
        <w:t xml:space="preserve"> This study involve</w:t>
      </w:r>
      <w:r w:rsidR="00A44067">
        <w:rPr>
          <w:rFonts w:ascii="Times New Roman" w:hAnsi="Times New Roman" w:cs="Times New Roman"/>
          <w:sz w:val="24"/>
          <w:szCs w:val="24"/>
        </w:rPr>
        <w:t>s</w:t>
      </w:r>
      <w:r w:rsidR="00D17B75" w:rsidRPr="00065BBC">
        <w:rPr>
          <w:rFonts w:ascii="Times New Roman" w:hAnsi="Times New Roman" w:cs="Times New Roman"/>
          <w:sz w:val="24"/>
          <w:szCs w:val="24"/>
        </w:rPr>
        <w:t xml:space="preserve"> less stringent dietary restrictions tha</w:t>
      </w:r>
      <w:r w:rsidR="00D37B03">
        <w:rPr>
          <w:rFonts w:ascii="Times New Roman" w:hAnsi="Times New Roman" w:cs="Times New Roman"/>
          <w:sz w:val="24"/>
          <w:szCs w:val="24"/>
        </w:rPr>
        <w:t>n</w:t>
      </w:r>
      <w:r w:rsidR="00D17B75" w:rsidRPr="00065BBC">
        <w:rPr>
          <w:rFonts w:ascii="Times New Roman" w:hAnsi="Times New Roman" w:cs="Times New Roman"/>
          <w:sz w:val="24"/>
          <w:szCs w:val="24"/>
        </w:rPr>
        <w:t xml:space="preserve"> the c</w:t>
      </w:r>
      <w:r w:rsidR="00822DD0">
        <w:rPr>
          <w:rFonts w:ascii="Times New Roman" w:hAnsi="Times New Roman" w:cs="Times New Roman"/>
          <w:sz w:val="24"/>
          <w:szCs w:val="24"/>
        </w:rPr>
        <w:t>urrently used</w:t>
      </w:r>
      <w:r w:rsidR="00D17B75" w:rsidRPr="00065BBC">
        <w:rPr>
          <w:rFonts w:ascii="Times New Roman" w:hAnsi="Times New Roman" w:cs="Times New Roman"/>
          <w:sz w:val="24"/>
          <w:szCs w:val="24"/>
        </w:rPr>
        <w:t xml:space="preserve"> MCT ketogenic diet.</w:t>
      </w:r>
    </w:p>
    <w:p w14:paraId="7F39C56D" w14:textId="77777777" w:rsidR="004C3992" w:rsidRPr="00E11420" w:rsidRDefault="004C3992" w:rsidP="0074259B">
      <w:pPr>
        <w:rPr>
          <w:rFonts w:ascii="Times New Roman" w:hAnsi="Times New Roman" w:cs="Times New Roman"/>
          <w:sz w:val="24"/>
          <w:szCs w:val="24"/>
        </w:rPr>
      </w:pPr>
    </w:p>
    <w:p w14:paraId="6657E320" w14:textId="5B93337C" w:rsidR="009405FE" w:rsidRPr="00065BBC" w:rsidRDefault="009405FE" w:rsidP="0074259B">
      <w:pPr>
        <w:rPr>
          <w:rFonts w:ascii="Times New Roman" w:hAnsi="Times New Roman" w:cs="Times New Roman"/>
          <w:b/>
          <w:sz w:val="24"/>
          <w:szCs w:val="24"/>
        </w:rPr>
      </w:pPr>
      <w:r w:rsidRPr="00065BBC">
        <w:rPr>
          <w:rFonts w:ascii="Times New Roman" w:hAnsi="Times New Roman" w:cs="Times New Roman"/>
          <w:b/>
          <w:sz w:val="24"/>
          <w:szCs w:val="24"/>
        </w:rPr>
        <w:t>D</w:t>
      </w:r>
      <w:r w:rsidR="004C3992">
        <w:rPr>
          <w:rFonts w:ascii="Times New Roman" w:hAnsi="Times New Roman" w:cs="Times New Roman"/>
          <w:b/>
          <w:sz w:val="24"/>
          <w:szCs w:val="24"/>
        </w:rPr>
        <w:t>isclosure of conflict of interest</w:t>
      </w:r>
    </w:p>
    <w:p w14:paraId="54B13EA1" w14:textId="77777777" w:rsidR="009405FE" w:rsidRPr="00E11420" w:rsidRDefault="006D348D" w:rsidP="0074259B">
      <w:pPr>
        <w:rPr>
          <w:rFonts w:ascii="Times New Roman" w:hAnsi="Times New Roman" w:cs="Times New Roman"/>
          <w:sz w:val="24"/>
          <w:szCs w:val="24"/>
        </w:rPr>
      </w:pPr>
      <w:r w:rsidRPr="00E11420">
        <w:rPr>
          <w:rFonts w:ascii="Times New Roman" w:hAnsi="Times New Roman" w:cs="Times New Roman"/>
          <w:sz w:val="24"/>
          <w:szCs w:val="24"/>
        </w:rPr>
        <w:t>Ma</w:t>
      </w:r>
      <w:r w:rsidR="001E71C5" w:rsidRPr="00E11420">
        <w:rPr>
          <w:rFonts w:ascii="Times New Roman" w:hAnsi="Times New Roman" w:cs="Times New Roman"/>
          <w:sz w:val="24"/>
          <w:szCs w:val="24"/>
        </w:rPr>
        <w:t xml:space="preserve">thew Walker and Robin Williams </w:t>
      </w:r>
      <w:r w:rsidR="009405FE" w:rsidRPr="00E11420">
        <w:rPr>
          <w:rFonts w:ascii="Times New Roman" w:hAnsi="Times New Roman" w:cs="Times New Roman"/>
          <w:sz w:val="24"/>
          <w:szCs w:val="24"/>
        </w:rPr>
        <w:t>have received res</w:t>
      </w:r>
      <w:r w:rsidR="001E71C5" w:rsidRPr="00E11420">
        <w:rPr>
          <w:rFonts w:ascii="Times New Roman" w:hAnsi="Times New Roman" w:cs="Times New Roman"/>
          <w:sz w:val="24"/>
          <w:szCs w:val="24"/>
        </w:rPr>
        <w:t xml:space="preserve">earch funding from Vitaflo Ltd, have </w:t>
      </w:r>
      <w:r w:rsidR="009405FE" w:rsidRPr="00E11420">
        <w:rPr>
          <w:rFonts w:ascii="Times New Roman" w:hAnsi="Times New Roman" w:cs="Times New Roman"/>
          <w:sz w:val="24"/>
          <w:szCs w:val="24"/>
        </w:rPr>
        <w:t>received Consultancy and</w:t>
      </w:r>
      <w:r w:rsidR="001E71C5" w:rsidRPr="00E11420">
        <w:rPr>
          <w:rFonts w:ascii="Times New Roman" w:hAnsi="Times New Roman" w:cs="Times New Roman"/>
          <w:sz w:val="24"/>
          <w:szCs w:val="24"/>
        </w:rPr>
        <w:t>/or</w:t>
      </w:r>
      <w:r w:rsidR="009405FE" w:rsidRPr="00E11420">
        <w:rPr>
          <w:rFonts w:ascii="Times New Roman" w:hAnsi="Times New Roman" w:cs="Times New Roman"/>
          <w:sz w:val="24"/>
          <w:szCs w:val="24"/>
        </w:rPr>
        <w:t xml:space="preserve"> Speakers’ fees from UCB pharma, </w:t>
      </w:r>
      <w:r w:rsidR="001E71C5" w:rsidRPr="00E11420">
        <w:rPr>
          <w:rFonts w:ascii="Times New Roman" w:hAnsi="Times New Roman" w:cs="Times New Roman"/>
          <w:sz w:val="24"/>
          <w:szCs w:val="24"/>
        </w:rPr>
        <w:t xml:space="preserve">and hold a patent (WO 2012069790, </w:t>
      </w:r>
      <w:r w:rsidR="009405FE" w:rsidRPr="00E11420">
        <w:rPr>
          <w:rFonts w:ascii="Times New Roman" w:hAnsi="Times New Roman" w:cs="Times New Roman"/>
          <w:sz w:val="24"/>
          <w:szCs w:val="24"/>
        </w:rPr>
        <w:t>WO 2013186570) related to this work.</w:t>
      </w:r>
    </w:p>
    <w:p w14:paraId="2EBC97EE" w14:textId="77777777" w:rsidR="00822DD0" w:rsidRDefault="00822DD0" w:rsidP="00BB43B4">
      <w:pPr>
        <w:rPr>
          <w:rFonts w:ascii="Times New Roman" w:hAnsi="Times New Roman" w:cs="Times New Roman"/>
          <w:b/>
          <w:sz w:val="24"/>
          <w:szCs w:val="24"/>
        </w:rPr>
      </w:pPr>
    </w:p>
    <w:p w14:paraId="141D5F74" w14:textId="6A5DB532" w:rsidR="00BB43B4" w:rsidRPr="00065BBC" w:rsidRDefault="0074259B" w:rsidP="00BB43B4">
      <w:pPr>
        <w:rPr>
          <w:rFonts w:ascii="Times New Roman" w:hAnsi="Times New Roman" w:cs="Times New Roman"/>
          <w:sz w:val="24"/>
          <w:szCs w:val="24"/>
        </w:rPr>
      </w:pPr>
      <w:r w:rsidRPr="00065BBC">
        <w:rPr>
          <w:rFonts w:ascii="Times New Roman" w:hAnsi="Times New Roman" w:cs="Times New Roman"/>
          <w:b/>
          <w:sz w:val="24"/>
          <w:szCs w:val="24"/>
        </w:rPr>
        <w:t xml:space="preserve">References </w:t>
      </w:r>
    </w:p>
    <w:p w14:paraId="45E39E63" w14:textId="27FD2D3C" w:rsidR="00BB43B4" w:rsidRDefault="00BB43B4" w:rsidP="00BB43B4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065BBC">
        <w:rPr>
          <w:rFonts w:ascii="Times New Roman" w:hAnsi="Times New Roman" w:cs="Times New Roman"/>
          <w:sz w:val="24"/>
          <w:szCs w:val="24"/>
        </w:rPr>
        <w:fldChar w:fldCharType="begin"/>
      </w:r>
      <w:r w:rsidRPr="00065BBC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065BBC">
        <w:rPr>
          <w:rFonts w:ascii="Times New Roman" w:hAnsi="Times New Roman" w:cs="Times New Roman"/>
          <w:sz w:val="24"/>
          <w:szCs w:val="24"/>
        </w:rPr>
        <w:fldChar w:fldCharType="separate"/>
      </w:r>
      <w:r w:rsidRPr="00065BBC">
        <w:rPr>
          <w:rFonts w:ascii="Times New Roman" w:hAnsi="Times New Roman" w:cs="Times New Roman"/>
          <w:sz w:val="24"/>
          <w:szCs w:val="24"/>
        </w:rPr>
        <w:t>Augustin K, Khabbush A, Williams S, et al. Mechanisms of action for the medium-chain triglyceride ketogenic diet in neurological and metabolic disorders. Lancet Neurol 2018;17:84-93.</w:t>
      </w:r>
    </w:p>
    <w:p w14:paraId="687724E3" w14:textId="77777777" w:rsidR="00B44820" w:rsidRPr="00065BBC" w:rsidRDefault="00B44820" w:rsidP="00BB43B4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48400D1D" w14:textId="36BD2A1E" w:rsidR="00BB43B4" w:rsidRDefault="00BB43B4" w:rsidP="00BB43B4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065BBC">
        <w:rPr>
          <w:rFonts w:ascii="Times New Roman" w:hAnsi="Times New Roman" w:cs="Times New Roman"/>
          <w:sz w:val="24"/>
          <w:szCs w:val="24"/>
        </w:rPr>
        <w:t>Chang P, Orabi B, Deranieh RM, et al. The antiepileptic drug valproic acid and other medium-chain fatty acids acutely reduce phosphoinositide levels independently of inositol in Dictyostelium. Dis Model Mech 2012;5:115-124.</w:t>
      </w:r>
    </w:p>
    <w:p w14:paraId="54AD6A67" w14:textId="77777777" w:rsidR="00B44820" w:rsidRPr="00065BBC" w:rsidRDefault="00B44820" w:rsidP="00BB43B4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5C43E082" w14:textId="12059A24" w:rsidR="00BB43B4" w:rsidRDefault="00BB43B4" w:rsidP="00BB43B4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065BBC">
        <w:rPr>
          <w:rFonts w:ascii="Times New Roman" w:hAnsi="Times New Roman" w:cs="Times New Roman"/>
          <w:sz w:val="24"/>
          <w:szCs w:val="24"/>
        </w:rPr>
        <w:t>Chang P, Terbach N, Plant N, Chen PE, Walker MC, Williams RS. Seizure control by ketogenic diet-associated medium chain fatty acids. Neuropharmacology 2013;69:105-114.</w:t>
      </w:r>
    </w:p>
    <w:p w14:paraId="302A696F" w14:textId="77777777" w:rsidR="008171E9" w:rsidRPr="00065BBC" w:rsidRDefault="008171E9" w:rsidP="00BB43B4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3308C64D" w14:textId="7BF7175D" w:rsidR="00BB43B4" w:rsidRDefault="00BB43B4" w:rsidP="00BB43B4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065BBC">
        <w:rPr>
          <w:rFonts w:ascii="Times New Roman" w:hAnsi="Times New Roman" w:cs="Times New Roman"/>
          <w:sz w:val="24"/>
          <w:szCs w:val="24"/>
        </w:rPr>
        <w:t>Chang P, Zuckermann AM, Williams S, et al. Seizure control by derivatives of medium chain fatty acids associated with the ketogenic diet show novel branching-point structure for enhanced potency. J Pharmacol Exp Ther 2015;352:43-52.</w:t>
      </w:r>
    </w:p>
    <w:p w14:paraId="1BD7E496" w14:textId="77777777" w:rsidR="00B44820" w:rsidRPr="00065BBC" w:rsidRDefault="00B44820" w:rsidP="00BB43B4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72AC411A" w14:textId="51484524" w:rsidR="00BB43B4" w:rsidRDefault="00BB43B4" w:rsidP="00BB43B4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065BBC">
        <w:rPr>
          <w:rFonts w:ascii="Times New Roman" w:hAnsi="Times New Roman" w:cs="Times New Roman"/>
          <w:sz w:val="24"/>
          <w:szCs w:val="24"/>
        </w:rPr>
        <w:t>Chang P, Augustin K, Boddum K, et al. Seizure control by decanoic acid through direct AMPA receptor inhibition. Brain 2016;139:431-443.</w:t>
      </w:r>
    </w:p>
    <w:p w14:paraId="446908F0" w14:textId="77777777" w:rsidR="00B44820" w:rsidRDefault="00B44820" w:rsidP="00BB43B4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554A6713" w14:textId="77777777" w:rsidR="00822DD0" w:rsidRPr="00065BBC" w:rsidRDefault="00822DD0" w:rsidP="00BB43B4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5912BB">
        <w:rPr>
          <w:rFonts w:ascii="Times New Roman" w:hAnsi="Times New Roman" w:cs="Times New Roman"/>
          <w:sz w:val="24"/>
          <w:szCs w:val="24"/>
        </w:rPr>
        <w:t xml:space="preserve">Hughes SD, Kanabus M, Anderson G, et al. The ketogenic diet component decanoic acid increases mitochondrial citrate synthase and complex I activity in neuronal cells. J </w:t>
      </w:r>
      <w:bookmarkStart w:id="0" w:name="_GoBack"/>
      <w:bookmarkEnd w:id="0"/>
      <w:r w:rsidRPr="005912BB">
        <w:rPr>
          <w:rFonts w:ascii="Times New Roman" w:hAnsi="Times New Roman" w:cs="Times New Roman"/>
          <w:sz w:val="24"/>
          <w:szCs w:val="24"/>
        </w:rPr>
        <w:t>Neurochem 2014;129:426-433.</w:t>
      </w:r>
    </w:p>
    <w:p w14:paraId="088A08D1" w14:textId="77777777" w:rsidR="00065BBC" w:rsidRDefault="00065BBC" w:rsidP="00BB43B4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026E5752" w14:textId="5145D2EB" w:rsidR="00BB43B4" w:rsidRDefault="00BB43B4" w:rsidP="00BB43B4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065BBC">
        <w:rPr>
          <w:rFonts w:ascii="Times New Roman" w:hAnsi="Times New Roman" w:cs="Times New Roman"/>
          <w:sz w:val="24"/>
          <w:szCs w:val="24"/>
        </w:rPr>
        <w:t xml:space="preserve">Nakamura J, Miwa T, Sasaki H, </w:t>
      </w:r>
      <w:r w:rsidR="006C2B0F">
        <w:rPr>
          <w:rFonts w:ascii="Times New Roman" w:hAnsi="Times New Roman" w:cs="Times New Roman"/>
          <w:sz w:val="24"/>
          <w:szCs w:val="24"/>
        </w:rPr>
        <w:t>et al</w:t>
      </w:r>
      <w:r w:rsidRPr="00065BBC">
        <w:rPr>
          <w:rFonts w:ascii="Times New Roman" w:hAnsi="Times New Roman" w:cs="Times New Roman"/>
          <w:sz w:val="24"/>
          <w:szCs w:val="24"/>
        </w:rPr>
        <w:t>. Effect of straight chain fatty acids on seizures induced by picrotoxin and pentylenetetrazole in mice. J Pharmacobiodyn 1990;13:76-81.</w:t>
      </w:r>
    </w:p>
    <w:p w14:paraId="274C2B6B" w14:textId="77777777" w:rsidR="008171E9" w:rsidRDefault="008171E9" w:rsidP="00BB43B4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609CFE36" w14:textId="7EB9549D" w:rsidR="00B44820" w:rsidRPr="00065BBC" w:rsidRDefault="00822DD0" w:rsidP="00065BBC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5912BB">
        <w:rPr>
          <w:rFonts w:ascii="Times New Roman" w:hAnsi="Times New Roman" w:cs="Times New Roman"/>
          <w:sz w:val="24"/>
          <w:szCs w:val="24"/>
        </w:rPr>
        <w:t xml:space="preserve">Neal EG, Chaffe H, Schwartz RH, et al. A randomized trial of classical and medium-chain triglyceride ketogenic diets in the treatment of childhood epilepsy. </w:t>
      </w:r>
      <w:r w:rsidRPr="00065BBC">
        <w:rPr>
          <w:rFonts w:ascii="Times New Roman" w:hAnsi="Times New Roman" w:cs="Times New Roman"/>
          <w:sz w:val="24"/>
          <w:szCs w:val="24"/>
        </w:rPr>
        <w:t>Epilepsia 2009;50:1109-1117.</w:t>
      </w:r>
    </w:p>
    <w:p w14:paraId="125CADF3" w14:textId="77777777" w:rsidR="00065BBC" w:rsidRDefault="00065BBC" w:rsidP="00BB43B4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71BD917C" w14:textId="60C9A20B" w:rsidR="00BB43B4" w:rsidRDefault="00BB43B4" w:rsidP="00BB43B4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C361C4">
        <w:rPr>
          <w:rFonts w:ascii="Times New Roman" w:hAnsi="Times New Roman" w:cs="Times New Roman"/>
          <w:sz w:val="24"/>
          <w:szCs w:val="24"/>
        </w:rPr>
        <w:t xml:space="preserve">Tan KN, Carrasco-Pozo C, McDonald TS, </w:t>
      </w:r>
      <w:r w:rsidR="006C2B0F" w:rsidRPr="00C361C4">
        <w:rPr>
          <w:rFonts w:ascii="Times New Roman" w:hAnsi="Times New Roman" w:cs="Times New Roman"/>
          <w:sz w:val="24"/>
          <w:szCs w:val="24"/>
        </w:rPr>
        <w:t>et al.</w:t>
      </w:r>
      <w:r w:rsidRPr="00C361C4">
        <w:rPr>
          <w:rFonts w:ascii="Times New Roman" w:hAnsi="Times New Roman" w:cs="Times New Roman"/>
          <w:sz w:val="24"/>
          <w:szCs w:val="24"/>
        </w:rPr>
        <w:t xml:space="preserve"> </w:t>
      </w:r>
      <w:r w:rsidRPr="00065BBC">
        <w:rPr>
          <w:rFonts w:ascii="Times New Roman" w:hAnsi="Times New Roman" w:cs="Times New Roman"/>
          <w:sz w:val="24"/>
          <w:szCs w:val="24"/>
        </w:rPr>
        <w:t>Tridecanoin is anticonvulsant, antioxidant, and improves mitochondrial function. J Cereb Blood Flow Metab 2016;37.</w:t>
      </w:r>
    </w:p>
    <w:p w14:paraId="08E07DF1" w14:textId="77777777" w:rsidR="008171E9" w:rsidRPr="00065BBC" w:rsidRDefault="008171E9" w:rsidP="00BB43B4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136107BA" w14:textId="76B3676A" w:rsidR="00822DD0" w:rsidRDefault="00822DD0" w:rsidP="00822DD0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E11420">
        <w:rPr>
          <w:rFonts w:ascii="Times New Roman" w:hAnsi="Times New Roman" w:cs="Times New Roman"/>
          <w:sz w:val="24"/>
          <w:szCs w:val="24"/>
        </w:rPr>
        <w:t xml:space="preserve">Wlaz P, Socala K, Nieoczym D, et al. </w:t>
      </w:r>
      <w:r w:rsidRPr="005912BB">
        <w:rPr>
          <w:rFonts w:ascii="Times New Roman" w:hAnsi="Times New Roman" w:cs="Times New Roman"/>
          <w:sz w:val="24"/>
          <w:szCs w:val="24"/>
        </w:rPr>
        <w:t>Acute anticonvulsant effects of capric acid in seizure tests in mice. Prog Neuropsychopharmacol Biol Psychiatry 2015;57:110-116.</w:t>
      </w:r>
    </w:p>
    <w:p w14:paraId="3433B84B" w14:textId="77777777" w:rsidR="008171E9" w:rsidRDefault="008171E9" w:rsidP="00822DD0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3F31F5E7" w14:textId="26A910AD" w:rsidR="008171E9" w:rsidRPr="005912BB" w:rsidRDefault="008171E9" w:rsidP="00822DD0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8171E9">
        <w:rPr>
          <w:rFonts w:ascii="Times New Roman" w:hAnsi="Times New Roman" w:cs="Times New Roman"/>
          <w:sz w:val="24"/>
          <w:szCs w:val="24"/>
        </w:rPr>
        <w:t>Taylor MK, Sullivan DK, Mahnken JD, Burns JM, Swerdlow RH. Feasibility and efficacy data from a ketogenic diet intervention in Alzheimer's disease. Alzheimer's &amp; Dementia: Translational Research &amp; Clinical Interventions 2018;4:28-36.</w:t>
      </w:r>
    </w:p>
    <w:p w14:paraId="0C72380D" w14:textId="77777777" w:rsidR="00822DD0" w:rsidRPr="00065BBC" w:rsidRDefault="00822DD0" w:rsidP="00BB43B4">
      <w:pPr>
        <w:pStyle w:val="EndNoteBibliography"/>
        <w:rPr>
          <w:rFonts w:ascii="Times New Roman" w:hAnsi="Times New Roman" w:cs="Times New Roman"/>
          <w:sz w:val="24"/>
          <w:szCs w:val="24"/>
        </w:rPr>
      </w:pPr>
    </w:p>
    <w:p w14:paraId="14DCF728" w14:textId="77777777" w:rsidR="0074259B" w:rsidRDefault="00BB43B4" w:rsidP="00BB43B4">
      <w:r w:rsidRPr="00065BB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C02885A" w14:textId="77777777" w:rsidR="008F0A37" w:rsidRDefault="008F0A37" w:rsidP="00BB43B4"/>
    <w:p w14:paraId="0835E833" w14:textId="77777777" w:rsidR="008F0A37" w:rsidRDefault="008F0A37" w:rsidP="00BB43B4"/>
    <w:p w14:paraId="1719979D" w14:textId="77777777" w:rsidR="008F0A37" w:rsidRDefault="008F0A37" w:rsidP="00BB43B4"/>
    <w:p w14:paraId="4BDA2685" w14:textId="77777777" w:rsidR="008F0A37" w:rsidRDefault="008F0A37" w:rsidP="00BB43B4"/>
    <w:p w14:paraId="0B0496E9" w14:textId="77777777" w:rsidR="008F0A37" w:rsidRDefault="008F0A37" w:rsidP="00BB43B4">
      <w:pPr>
        <w:sectPr w:rsidR="008F0A37" w:rsidSect="008F0A3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1E0CE9" w14:textId="77777777" w:rsidR="008F0A37" w:rsidRDefault="008F0A37" w:rsidP="00BB43B4"/>
    <w:p w14:paraId="7DE21D2F" w14:textId="77777777" w:rsidR="0074259B" w:rsidRDefault="001510C9" w:rsidP="0074259B">
      <w:r>
        <w:rPr>
          <w:b/>
          <w:bCs/>
          <w:sz w:val="20"/>
          <w:szCs w:val="20"/>
        </w:rPr>
        <w:t>Table 1: Anticonvulsant profile</w:t>
      </w:r>
      <w:r>
        <w:rPr>
          <w:rFonts w:ascii="Times New Roman" w:hAnsi="Times New Roman" w:cs="Times New Roman"/>
          <w:b/>
          <w:bCs/>
          <w:sz w:val="13"/>
          <w:szCs w:val="13"/>
        </w:rPr>
        <w:t xml:space="preserve">1 </w:t>
      </w:r>
      <w:r>
        <w:rPr>
          <w:b/>
          <w:bCs/>
          <w:sz w:val="20"/>
          <w:szCs w:val="20"/>
        </w:rPr>
        <w:t>and proposed mechanism(s) of action</w:t>
      </w:r>
    </w:p>
    <w:tbl>
      <w:tblPr>
        <w:tblStyle w:val="TableGrid"/>
        <w:tblpPr w:leftFromText="180" w:rightFromText="180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903"/>
        <w:gridCol w:w="1226"/>
        <w:gridCol w:w="781"/>
        <w:gridCol w:w="1128"/>
        <w:gridCol w:w="1128"/>
        <w:gridCol w:w="892"/>
        <w:gridCol w:w="1143"/>
        <w:gridCol w:w="858"/>
        <w:gridCol w:w="843"/>
        <w:gridCol w:w="1102"/>
        <w:gridCol w:w="779"/>
        <w:gridCol w:w="1248"/>
        <w:gridCol w:w="795"/>
        <w:gridCol w:w="1122"/>
      </w:tblGrid>
      <w:tr w:rsidR="0093709A" w14:paraId="69ED096B" w14:textId="77777777" w:rsidTr="00EC2874">
        <w:trPr>
          <w:cantSplit/>
          <w:trHeight w:val="1408"/>
        </w:trPr>
        <w:tc>
          <w:tcPr>
            <w:tcW w:w="903" w:type="dxa"/>
            <w:textDirection w:val="btLr"/>
          </w:tcPr>
          <w:p w14:paraId="66868C68" w14:textId="77777777" w:rsidR="0093709A" w:rsidRDefault="0093709A" w:rsidP="00AE6651">
            <w:pPr>
              <w:pStyle w:val="Default"/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Species </w:t>
            </w:r>
          </w:p>
        </w:tc>
        <w:tc>
          <w:tcPr>
            <w:tcW w:w="1215" w:type="dxa"/>
            <w:textDirection w:val="btLr"/>
          </w:tcPr>
          <w:p w14:paraId="52C56731" w14:textId="77777777" w:rsidR="0093709A" w:rsidRDefault="0093709A" w:rsidP="00AE6651">
            <w:pPr>
              <w:pStyle w:val="Default"/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Route of </w:t>
            </w:r>
          </w:p>
          <w:p w14:paraId="7A14B4D7" w14:textId="77777777" w:rsidR="0093709A" w:rsidRDefault="0093709A" w:rsidP="00AE6651">
            <w:pPr>
              <w:pStyle w:val="Default"/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Administ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-ration </w:t>
            </w:r>
          </w:p>
        </w:tc>
        <w:tc>
          <w:tcPr>
            <w:tcW w:w="781" w:type="dxa"/>
            <w:textDirection w:val="btLr"/>
          </w:tcPr>
          <w:p w14:paraId="076A877B" w14:textId="77777777" w:rsidR="0093709A" w:rsidRDefault="0093709A" w:rsidP="00AE6651">
            <w:pPr>
              <w:pStyle w:val="Default"/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Time of </w:t>
            </w:r>
          </w:p>
          <w:p w14:paraId="1CDC3867" w14:textId="77777777" w:rsidR="0093709A" w:rsidRDefault="0093709A" w:rsidP="00AE6651">
            <w:pPr>
              <w:pStyle w:val="Default"/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Test (min) </w:t>
            </w:r>
          </w:p>
        </w:tc>
        <w:tc>
          <w:tcPr>
            <w:tcW w:w="1128" w:type="dxa"/>
            <w:textDirection w:val="btLr"/>
          </w:tcPr>
          <w:p w14:paraId="476C7C2B" w14:textId="77777777" w:rsidR="0093709A" w:rsidRDefault="0093709A" w:rsidP="00AE6651">
            <w:pPr>
              <w:pStyle w:val="Default"/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MES </w:t>
            </w:r>
          </w:p>
        </w:tc>
        <w:tc>
          <w:tcPr>
            <w:tcW w:w="1128" w:type="dxa"/>
            <w:textDirection w:val="btLr"/>
          </w:tcPr>
          <w:p w14:paraId="27E452AB" w14:textId="77777777" w:rsidR="0093709A" w:rsidRDefault="0093709A" w:rsidP="00AE6651">
            <w:pPr>
              <w:pStyle w:val="Default"/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scPTZ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extDirection w:val="btLr"/>
          </w:tcPr>
          <w:p w14:paraId="7D4423D0" w14:textId="77777777" w:rsidR="0093709A" w:rsidRDefault="0093709A" w:rsidP="00AE6651">
            <w:pPr>
              <w:pStyle w:val="Default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6Hz 22mA</w:t>
            </w:r>
          </w:p>
        </w:tc>
        <w:tc>
          <w:tcPr>
            <w:tcW w:w="1143" w:type="dxa"/>
            <w:textDirection w:val="btLr"/>
          </w:tcPr>
          <w:p w14:paraId="3A1EDD85" w14:textId="77777777" w:rsidR="0093709A" w:rsidRDefault="0093709A" w:rsidP="00AE6651">
            <w:pPr>
              <w:pStyle w:val="Default"/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HZ </w:t>
            </w:r>
          </w:p>
          <w:p w14:paraId="4D251401" w14:textId="77777777" w:rsidR="0093709A" w:rsidRDefault="0093709A" w:rsidP="00AE6651">
            <w:pPr>
              <w:pStyle w:val="Default"/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 mA </w:t>
            </w:r>
          </w:p>
        </w:tc>
        <w:tc>
          <w:tcPr>
            <w:tcW w:w="858" w:type="dxa"/>
            <w:textDirection w:val="btLr"/>
          </w:tcPr>
          <w:p w14:paraId="227D384A" w14:textId="77777777" w:rsidR="0093709A" w:rsidRDefault="0093709A" w:rsidP="00AE6651">
            <w:pPr>
              <w:pStyle w:val="Default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Hz 44mA</w:t>
            </w:r>
          </w:p>
        </w:tc>
        <w:tc>
          <w:tcPr>
            <w:tcW w:w="844" w:type="dxa"/>
            <w:textDirection w:val="btLr"/>
          </w:tcPr>
          <w:p w14:paraId="38E54520" w14:textId="77777777" w:rsidR="0093709A" w:rsidRDefault="0093709A" w:rsidP="00AE6651">
            <w:pPr>
              <w:pStyle w:val="Default"/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Corneal </w:t>
            </w:r>
          </w:p>
          <w:p w14:paraId="4E99B916" w14:textId="77777777" w:rsidR="0093709A" w:rsidRDefault="0093709A" w:rsidP="00AE6651">
            <w:pPr>
              <w:pStyle w:val="Default"/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Kindled mouse </w:t>
            </w:r>
          </w:p>
        </w:tc>
        <w:tc>
          <w:tcPr>
            <w:tcW w:w="1104" w:type="dxa"/>
            <w:textDirection w:val="btLr"/>
          </w:tcPr>
          <w:p w14:paraId="7A5E605F" w14:textId="77777777" w:rsidR="0093709A" w:rsidRDefault="0093709A" w:rsidP="00AE6651">
            <w:pPr>
              <w:pStyle w:val="Default"/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Kindled rat </w:t>
            </w:r>
          </w:p>
          <w:p w14:paraId="11A4257C" w14:textId="77777777" w:rsidR="0093709A" w:rsidRDefault="0093709A" w:rsidP="00AE6651">
            <w:pPr>
              <w:pStyle w:val="Default"/>
              <w:ind w:left="113" w:right="113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(i.e., amygdala, </w:t>
            </w:r>
            <w:r>
              <w:rPr>
                <w:b/>
                <w:bCs/>
                <w:sz w:val="18"/>
                <w:szCs w:val="18"/>
              </w:rPr>
              <w:t xml:space="preserve">hippocampal) </w:t>
            </w:r>
          </w:p>
        </w:tc>
        <w:tc>
          <w:tcPr>
            <w:tcW w:w="780" w:type="dxa"/>
            <w:textDirection w:val="btLr"/>
          </w:tcPr>
          <w:p w14:paraId="613EBB05" w14:textId="77777777" w:rsidR="0093709A" w:rsidRDefault="0093709A" w:rsidP="00AE6651">
            <w:pPr>
              <w:pStyle w:val="Default"/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Spike-wave seizure model </w:t>
            </w:r>
          </w:p>
          <w:p w14:paraId="3E9998C4" w14:textId="77777777" w:rsidR="0093709A" w:rsidRDefault="0093709A" w:rsidP="00AE6651">
            <w:pPr>
              <w:pStyle w:val="Default"/>
              <w:ind w:left="113" w:right="113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2 </w:t>
            </w:r>
          </w:p>
        </w:tc>
        <w:tc>
          <w:tcPr>
            <w:tcW w:w="1249" w:type="dxa"/>
            <w:textDirection w:val="btLr"/>
          </w:tcPr>
          <w:p w14:paraId="25866AE6" w14:textId="77777777" w:rsidR="0093709A" w:rsidRDefault="0093709A" w:rsidP="00AE6651">
            <w:pPr>
              <w:pStyle w:val="Default"/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Behavioral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Toxicity </w:t>
            </w:r>
          </w:p>
          <w:p w14:paraId="30BFCF46" w14:textId="77777777" w:rsidR="0093709A" w:rsidRDefault="0093709A" w:rsidP="0093709A">
            <w:pPr>
              <w:pStyle w:val="Default"/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(e.g.,</w:t>
            </w:r>
            <w:proofErr w:type="spellStart"/>
            <w:r>
              <w:rPr>
                <w:b/>
                <w:bCs/>
                <w:sz w:val="20"/>
                <w:szCs w:val="20"/>
              </w:rPr>
              <w:t>rotarod</w:t>
            </w:r>
            <w:r>
              <w:rPr>
                <w:b/>
                <w:bCs/>
                <w:sz w:val="18"/>
                <w:szCs w:val="18"/>
              </w:rPr>
              <w:t>observational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etc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796" w:type="dxa"/>
            <w:textDirection w:val="btLr"/>
          </w:tcPr>
          <w:p w14:paraId="497F827A" w14:textId="77777777" w:rsidR="0093709A" w:rsidRDefault="0093709A" w:rsidP="00AE6651">
            <w:pPr>
              <w:pStyle w:val="Default"/>
              <w:ind w:left="113" w:right="113"/>
              <w:rPr>
                <w:sz w:val="13"/>
                <w:szCs w:val="13"/>
              </w:rPr>
            </w:pPr>
            <w:r>
              <w:rPr>
                <w:b/>
                <w:bCs/>
                <w:sz w:val="20"/>
                <w:szCs w:val="20"/>
              </w:rPr>
              <w:t>In vivo activity in other disease model systems actions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3 </w:t>
            </w:r>
          </w:p>
        </w:tc>
        <w:tc>
          <w:tcPr>
            <w:tcW w:w="1125" w:type="dxa"/>
            <w:textDirection w:val="btLr"/>
          </w:tcPr>
          <w:p w14:paraId="3BBD5830" w14:textId="77777777" w:rsidR="0093709A" w:rsidRDefault="0093709A" w:rsidP="00AE6651">
            <w:pPr>
              <w:pStyle w:val="Default"/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Proposed mechanism(s) of action </w:t>
            </w:r>
          </w:p>
        </w:tc>
      </w:tr>
      <w:tr w:rsidR="001D66E0" w14:paraId="26F50870" w14:textId="77777777" w:rsidTr="00EC2874">
        <w:tc>
          <w:tcPr>
            <w:tcW w:w="903" w:type="dxa"/>
          </w:tcPr>
          <w:p w14:paraId="458F41DC" w14:textId="77777777" w:rsidR="001D66E0" w:rsidRDefault="001D66E0" w:rsidP="001D66E0">
            <w:r>
              <w:t>Mouse</w:t>
            </w:r>
          </w:p>
        </w:tc>
        <w:tc>
          <w:tcPr>
            <w:tcW w:w="1215" w:type="dxa"/>
          </w:tcPr>
          <w:p w14:paraId="23DE75A8" w14:textId="77777777" w:rsidR="001D66E0" w:rsidRDefault="001D66E0" w:rsidP="000C4D64">
            <w:proofErr w:type="spellStart"/>
            <w:r>
              <w:t>i.p</w:t>
            </w:r>
            <w:proofErr w:type="spellEnd"/>
            <w:r>
              <w:t>.  of decanoic acid</w:t>
            </w:r>
            <w:r>
              <w:fldChar w:fldCharType="begin"/>
            </w:r>
            <w:r w:rsidR="000C4D64">
              <w:instrText xml:space="preserve"> ADDIN EN.CITE &lt;EndNote&gt;&lt;Cite&gt;&lt;Author&gt;Nakamura&lt;/Author&gt;&lt;Year&gt;1990&lt;/Year&gt;&lt;RecNum&gt;4982&lt;/RecNum&gt;&lt;DisplayText&gt;&lt;style face="superscript"&gt;7&lt;/style&gt;&lt;/DisplayText&gt;&lt;record&gt;&lt;rec-number&gt;4982&lt;/rec-number&gt;&lt;foreign-keys&gt;&lt;key app="EN" db-id="5pavzp2ssv9aateddtm5vpah5xeaz50fx9fa" timestamp="1516183583"&gt;4982&lt;/key&gt;&lt;/foreign-keys&gt;&lt;ref-type name="Journal Article"&gt;17&lt;/ref-type&gt;&lt;contributors&gt;&lt;authors&gt;&lt;author&gt;Nakamura, J.&lt;/author&gt;&lt;author&gt;Miwa, T.&lt;/author&gt;&lt;author&gt;Sasaki, H.&lt;/author&gt;&lt;author&gt;Shibasaki, J.&lt;/author&gt;&lt;author&gt;Kaneto, H.&lt;/author&gt;&lt;/authors&gt;&lt;/contributors&gt;&lt;auth-address&gt;Faculty of Pharmaceutical Sciences, Nagasaki University, Japan.&lt;/auth-address&gt;&lt;titles&gt;&lt;title&gt;Effect of straight chain fatty acids on seizures induced by picrotoxin and pentylenetetrazole in mice&lt;/title&gt;&lt;secondary-title&gt;J Pharmacobiodyn&lt;/secondary-title&gt;&lt;/titles&gt;&lt;periodical&gt;&lt;full-title&gt;J Pharmacobiodyn&lt;/full-title&gt;&lt;/periodical&gt;&lt;pages&gt;76-81&lt;/pages&gt;&lt;volume&gt;13&lt;/volume&gt;&lt;number&gt;1&lt;/number&gt;&lt;keywords&gt;&lt;keyword&gt;Animals&lt;/keyword&gt;&lt;keyword&gt;*Anticonvulsants&lt;/keyword&gt;&lt;keyword&gt;Decanoic Acids/pharmacology&lt;/keyword&gt;&lt;keyword&gt;Fatty Acids/*pharmacology&lt;/keyword&gt;&lt;keyword&gt;Lauric Acids/pharmacology&lt;/keyword&gt;&lt;keyword&gt;Male&lt;/keyword&gt;&lt;keyword&gt;Mice&lt;/keyword&gt;&lt;keyword&gt;Myristic Acid&lt;/keyword&gt;&lt;keyword&gt;Myristic Acids/pharmacology&lt;/keyword&gt;&lt;keyword&gt;Palmitic Acid&lt;/keyword&gt;&lt;keyword&gt;Palmitic Acids/pharmacology&lt;/keyword&gt;&lt;keyword&gt;*Pentylenetetrazole/antagonists &amp;amp; inhibitors&lt;/keyword&gt;&lt;keyword&gt;*Picrotoxin/antagonists &amp;amp; inhibitors&lt;/keyword&gt;&lt;keyword&gt;Seizures/chemically induced/*drug therapy&lt;/keyword&gt;&lt;keyword&gt;Stearic Acids/pharmacology&lt;/keyword&gt;&lt;/keywords&gt;&lt;dates&gt;&lt;year&gt;1990&lt;/year&gt;&lt;pub-dates&gt;&lt;date&gt;Jan&lt;/date&gt;&lt;/pub-dates&gt;&lt;/dates&gt;&lt;isbn&gt;0386-846X (Print)&amp;#xD;0386-846X (Linking)&lt;/isbn&gt;&lt;accession-num&gt;2341972&lt;/accession-num&gt;&lt;urls&gt;&lt;related-urls&gt;&lt;url&gt;http://www.ncbi.nlm.nih.gov/pubmed/2341972&lt;/url&gt;&lt;/related-urls&gt;&lt;/urls&gt;&lt;/record&gt;&lt;/Cite&gt;&lt;/EndNote&gt;</w:instrText>
            </w:r>
            <w:r>
              <w:fldChar w:fldCharType="separate"/>
            </w:r>
            <w:r w:rsidR="000C4D64" w:rsidRPr="000C4D64">
              <w:rPr>
                <w:noProof/>
                <w:vertAlign w:val="superscript"/>
              </w:rPr>
              <w:t>7</w:t>
            </w:r>
            <w:r>
              <w:fldChar w:fldCharType="end"/>
            </w:r>
          </w:p>
        </w:tc>
        <w:tc>
          <w:tcPr>
            <w:tcW w:w="781" w:type="dxa"/>
          </w:tcPr>
          <w:p w14:paraId="2854749E" w14:textId="77777777" w:rsidR="001D66E0" w:rsidRDefault="002F3481" w:rsidP="002F3481">
            <w:r>
              <w:t xml:space="preserve">15 </w:t>
            </w:r>
          </w:p>
        </w:tc>
        <w:tc>
          <w:tcPr>
            <w:tcW w:w="1128" w:type="dxa"/>
          </w:tcPr>
          <w:p w14:paraId="4B0A88EC" w14:textId="77777777" w:rsidR="001D66E0" w:rsidRDefault="001D66E0" w:rsidP="001D66E0">
            <w:r>
              <w:t>NT</w:t>
            </w:r>
          </w:p>
        </w:tc>
        <w:tc>
          <w:tcPr>
            <w:tcW w:w="1128" w:type="dxa"/>
          </w:tcPr>
          <w:p w14:paraId="6E339010" w14:textId="77777777" w:rsidR="001D66E0" w:rsidRDefault="001D66E0" w:rsidP="001D66E0">
            <w:r>
              <w:t>86 and 172mg/kg small but significant increase in survival time</w:t>
            </w:r>
          </w:p>
        </w:tc>
        <w:tc>
          <w:tcPr>
            <w:tcW w:w="894" w:type="dxa"/>
          </w:tcPr>
          <w:p w14:paraId="4B2A96D8" w14:textId="77777777" w:rsidR="001D66E0" w:rsidRDefault="001D66E0" w:rsidP="001D66E0">
            <w:r>
              <w:t>NT</w:t>
            </w:r>
          </w:p>
        </w:tc>
        <w:tc>
          <w:tcPr>
            <w:tcW w:w="1143" w:type="dxa"/>
          </w:tcPr>
          <w:p w14:paraId="3BE9BF00" w14:textId="77777777" w:rsidR="001D66E0" w:rsidRDefault="001D66E0" w:rsidP="001D66E0">
            <w:r>
              <w:t>NT</w:t>
            </w:r>
          </w:p>
        </w:tc>
        <w:tc>
          <w:tcPr>
            <w:tcW w:w="858" w:type="dxa"/>
          </w:tcPr>
          <w:p w14:paraId="1151375F" w14:textId="77777777" w:rsidR="001D66E0" w:rsidRDefault="001D66E0" w:rsidP="001D66E0">
            <w:r>
              <w:t>NT</w:t>
            </w:r>
          </w:p>
        </w:tc>
        <w:tc>
          <w:tcPr>
            <w:tcW w:w="844" w:type="dxa"/>
          </w:tcPr>
          <w:p w14:paraId="73C5FF37" w14:textId="77777777" w:rsidR="001D66E0" w:rsidRDefault="001D66E0" w:rsidP="001D66E0">
            <w:r>
              <w:t>NT</w:t>
            </w:r>
          </w:p>
        </w:tc>
        <w:tc>
          <w:tcPr>
            <w:tcW w:w="1104" w:type="dxa"/>
          </w:tcPr>
          <w:p w14:paraId="0DDCDAAB" w14:textId="77777777" w:rsidR="001D66E0" w:rsidRDefault="001D66E0" w:rsidP="001D66E0">
            <w:r w:rsidRPr="0027065E">
              <w:t>NT</w:t>
            </w:r>
          </w:p>
        </w:tc>
        <w:tc>
          <w:tcPr>
            <w:tcW w:w="780" w:type="dxa"/>
          </w:tcPr>
          <w:p w14:paraId="6CBD84FF" w14:textId="77777777" w:rsidR="001D66E0" w:rsidRDefault="001D66E0" w:rsidP="001D66E0">
            <w:r w:rsidRPr="0027065E">
              <w:t>NT</w:t>
            </w:r>
          </w:p>
        </w:tc>
        <w:tc>
          <w:tcPr>
            <w:tcW w:w="1249" w:type="dxa"/>
          </w:tcPr>
          <w:p w14:paraId="3DA4114A" w14:textId="77777777" w:rsidR="001D66E0" w:rsidRDefault="001D66E0" w:rsidP="001D66E0">
            <w:r>
              <w:t>NT</w:t>
            </w:r>
          </w:p>
        </w:tc>
        <w:tc>
          <w:tcPr>
            <w:tcW w:w="796" w:type="dxa"/>
          </w:tcPr>
          <w:p w14:paraId="5A381807" w14:textId="77777777" w:rsidR="001D66E0" w:rsidRDefault="001D66E0" w:rsidP="001D66E0">
            <w:r>
              <w:t>NT</w:t>
            </w:r>
          </w:p>
        </w:tc>
        <w:tc>
          <w:tcPr>
            <w:tcW w:w="1125" w:type="dxa"/>
          </w:tcPr>
          <w:p w14:paraId="34FE9DB5" w14:textId="77777777" w:rsidR="001D66E0" w:rsidRDefault="001D66E0" w:rsidP="001D66E0">
            <w:r w:rsidRPr="00B85C22">
              <w:t>NT</w:t>
            </w:r>
          </w:p>
        </w:tc>
      </w:tr>
      <w:tr w:rsidR="001D66E0" w14:paraId="4F337196" w14:textId="77777777" w:rsidTr="00EC2874">
        <w:tc>
          <w:tcPr>
            <w:tcW w:w="903" w:type="dxa"/>
          </w:tcPr>
          <w:p w14:paraId="215188CE" w14:textId="77777777" w:rsidR="001D66E0" w:rsidRDefault="001D66E0" w:rsidP="001D66E0"/>
        </w:tc>
        <w:tc>
          <w:tcPr>
            <w:tcW w:w="1215" w:type="dxa"/>
          </w:tcPr>
          <w:p w14:paraId="4FFA11B0" w14:textId="77777777" w:rsidR="001D66E0" w:rsidRDefault="001D66E0" w:rsidP="001D66E0">
            <w:proofErr w:type="spellStart"/>
            <w:r>
              <w:t>i.p</w:t>
            </w:r>
            <w:proofErr w:type="spellEnd"/>
            <w:r>
              <w:t>. 100mg/kg</w:t>
            </w:r>
          </w:p>
        </w:tc>
        <w:tc>
          <w:tcPr>
            <w:tcW w:w="781" w:type="dxa"/>
          </w:tcPr>
          <w:p w14:paraId="47857862" w14:textId="77777777" w:rsidR="001D66E0" w:rsidRDefault="002F3481" w:rsidP="002F3481">
            <w:r>
              <w:t xml:space="preserve">15-240 </w:t>
            </w:r>
          </w:p>
        </w:tc>
        <w:tc>
          <w:tcPr>
            <w:tcW w:w="1128" w:type="dxa"/>
          </w:tcPr>
          <w:p w14:paraId="66683392" w14:textId="77777777" w:rsidR="001D66E0" w:rsidRDefault="001D66E0" w:rsidP="001D66E0">
            <w:r>
              <w:t>NT</w:t>
            </w:r>
          </w:p>
        </w:tc>
        <w:tc>
          <w:tcPr>
            <w:tcW w:w="1128" w:type="dxa"/>
            <w:shd w:val="clear" w:color="auto" w:fill="FFFFFF" w:themeFill="background1"/>
          </w:tcPr>
          <w:p w14:paraId="468F5E6D" w14:textId="77777777" w:rsidR="001D66E0" w:rsidRDefault="001D66E0" w:rsidP="001D66E0">
            <w:r>
              <w:t>NT</w:t>
            </w:r>
          </w:p>
        </w:tc>
        <w:tc>
          <w:tcPr>
            <w:tcW w:w="894" w:type="dxa"/>
            <w:shd w:val="clear" w:color="auto" w:fill="FFFFFF" w:themeFill="background1"/>
          </w:tcPr>
          <w:p w14:paraId="05265524" w14:textId="77777777" w:rsidR="001D66E0" w:rsidRDefault="001D66E0" w:rsidP="001D66E0">
            <w:r w:rsidRPr="0027065E">
              <w:t>NT</w:t>
            </w:r>
          </w:p>
        </w:tc>
        <w:tc>
          <w:tcPr>
            <w:tcW w:w="1143" w:type="dxa"/>
            <w:shd w:val="clear" w:color="auto" w:fill="FFFFFF" w:themeFill="background1"/>
          </w:tcPr>
          <w:p w14:paraId="2A9CFBE1" w14:textId="77777777" w:rsidR="001D66E0" w:rsidRDefault="001D66E0" w:rsidP="001D66E0">
            <w:r>
              <w:t xml:space="preserve">No control </w:t>
            </w:r>
          </w:p>
        </w:tc>
        <w:tc>
          <w:tcPr>
            <w:tcW w:w="858" w:type="dxa"/>
          </w:tcPr>
          <w:p w14:paraId="6377AA3F" w14:textId="77777777" w:rsidR="001D66E0" w:rsidRDefault="001D66E0" w:rsidP="001D66E0">
            <w:r>
              <w:t>NT</w:t>
            </w:r>
          </w:p>
        </w:tc>
        <w:tc>
          <w:tcPr>
            <w:tcW w:w="844" w:type="dxa"/>
          </w:tcPr>
          <w:p w14:paraId="00CB25FB" w14:textId="77777777" w:rsidR="001D66E0" w:rsidRDefault="001D66E0" w:rsidP="001D66E0">
            <w:r>
              <w:t>NT</w:t>
            </w:r>
          </w:p>
        </w:tc>
        <w:tc>
          <w:tcPr>
            <w:tcW w:w="1104" w:type="dxa"/>
          </w:tcPr>
          <w:p w14:paraId="0C7CC1AA" w14:textId="77777777" w:rsidR="001D66E0" w:rsidRDefault="001D66E0" w:rsidP="001D66E0">
            <w:r w:rsidRPr="0027065E">
              <w:t>NT</w:t>
            </w:r>
          </w:p>
        </w:tc>
        <w:tc>
          <w:tcPr>
            <w:tcW w:w="780" w:type="dxa"/>
          </w:tcPr>
          <w:p w14:paraId="291E4212" w14:textId="77777777" w:rsidR="001D66E0" w:rsidRDefault="001D66E0" w:rsidP="001D66E0">
            <w:r>
              <w:t>NT</w:t>
            </w:r>
          </w:p>
        </w:tc>
        <w:tc>
          <w:tcPr>
            <w:tcW w:w="1249" w:type="dxa"/>
          </w:tcPr>
          <w:p w14:paraId="08D96B12" w14:textId="77777777" w:rsidR="001D66E0" w:rsidRDefault="001D66E0" w:rsidP="001D66E0">
            <w:r>
              <w:t>NT</w:t>
            </w:r>
          </w:p>
        </w:tc>
        <w:tc>
          <w:tcPr>
            <w:tcW w:w="796" w:type="dxa"/>
          </w:tcPr>
          <w:p w14:paraId="17ED480D" w14:textId="77777777" w:rsidR="001D66E0" w:rsidRDefault="001D66E0" w:rsidP="001D66E0">
            <w:r w:rsidRPr="0027065E">
              <w:t>NT</w:t>
            </w:r>
          </w:p>
        </w:tc>
        <w:tc>
          <w:tcPr>
            <w:tcW w:w="1125" w:type="dxa"/>
          </w:tcPr>
          <w:p w14:paraId="04F1E6E4" w14:textId="77777777" w:rsidR="001D66E0" w:rsidRDefault="001D66E0" w:rsidP="001D66E0">
            <w:r w:rsidRPr="007A2772">
              <w:t>NT</w:t>
            </w:r>
          </w:p>
        </w:tc>
      </w:tr>
      <w:tr w:rsidR="001D66E0" w14:paraId="6E3A3900" w14:textId="77777777" w:rsidTr="00EC2874">
        <w:tc>
          <w:tcPr>
            <w:tcW w:w="903" w:type="dxa"/>
          </w:tcPr>
          <w:p w14:paraId="039964E5" w14:textId="77777777" w:rsidR="001D66E0" w:rsidRDefault="001D66E0" w:rsidP="001D66E0"/>
        </w:tc>
        <w:tc>
          <w:tcPr>
            <w:tcW w:w="1215" w:type="dxa"/>
          </w:tcPr>
          <w:p w14:paraId="2EC05572" w14:textId="77777777" w:rsidR="001D66E0" w:rsidRDefault="001D66E0" w:rsidP="001D66E0">
            <w:proofErr w:type="spellStart"/>
            <w:r>
              <w:t>i.p</w:t>
            </w:r>
            <w:proofErr w:type="spellEnd"/>
            <w:r>
              <w:t>. up to 300mg/kg</w:t>
            </w:r>
          </w:p>
        </w:tc>
        <w:tc>
          <w:tcPr>
            <w:tcW w:w="781" w:type="dxa"/>
          </w:tcPr>
          <w:p w14:paraId="239ACF5B" w14:textId="77777777" w:rsidR="001D66E0" w:rsidRDefault="002F3481" w:rsidP="002F3481">
            <w:r>
              <w:t xml:space="preserve">120 </w:t>
            </w:r>
          </w:p>
        </w:tc>
        <w:tc>
          <w:tcPr>
            <w:tcW w:w="1128" w:type="dxa"/>
          </w:tcPr>
          <w:p w14:paraId="0511A0D7" w14:textId="77777777" w:rsidR="001D66E0" w:rsidRDefault="001D66E0" w:rsidP="001D66E0">
            <w:r>
              <w:t>NT</w:t>
            </w:r>
          </w:p>
        </w:tc>
        <w:tc>
          <w:tcPr>
            <w:tcW w:w="1128" w:type="dxa"/>
            <w:shd w:val="clear" w:color="auto" w:fill="FFFFFF" w:themeFill="background1"/>
          </w:tcPr>
          <w:p w14:paraId="10541639" w14:textId="77777777" w:rsidR="001D66E0" w:rsidRDefault="001D66E0" w:rsidP="001D66E0">
            <w:r>
              <w:t>NT</w:t>
            </w:r>
          </w:p>
        </w:tc>
        <w:tc>
          <w:tcPr>
            <w:tcW w:w="894" w:type="dxa"/>
            <w:shd w:val="clear" w:color="auto" w:fill="FFFFFF" w:themeFill="background1"/>
          </w:tcPr>
          <w:p w14:paraId="04E55271" w14:textId="77777777" w:rsidR="001D66E0" w:rsidRDefault="001D66E0" w:rsidP="001D66E0">
            <w:r w:rsidRPr="0027065E">
              <w:t>NT</w:t>
            </w:r>
          </w:p>
        </w:tc>
        <w:tc>
          <w:tcPr>
            <w:tcW w:w="1143" w:type="dxa"/>
            <w:shd w:val="clear" w:color="auto" w:fill="FFFFFF" w:themeFill="background1"/>
          </w:tcPr>
          <w:p w14:paraId="6C986255" w14:textId="77777777" w:rsidR="001D66E0" w:rsidRDefault="001D66E0" w:rsidP="001D66E0">
            <w:r w:rsidRPr="0027065E">
              <w:t>NT</w:t>
            </w:r>
          </w:p>
        </w:tc>
        <w:tc>
          <w:tcPr>
            <w:tcW w:w="858" w:type="dxa"/>
          </w:tcPr>
          <w:p w14:paraId="2D015A4E" w14:textId="77777777" w:rsidR="001D66E0" w:rsidRDefault="001D66E0" w:rsidP="001D66E0">
            <w:r>
              <w:t>No control</w:t>
            </w:r>
          </w:p>
        </w:tc>
        <w:tc>
          <w:tcPr>
            <w:tcW w:w="844" w:type="dxa"/>
          </w:tcPr>
          <w:p w14:paraId="27F22CE4" w14:textId="77777777" w:rsidR="001D66E0" w:rsidRDefault="001D66E0" w:rsidP="001D66E0">
            <w:r>
              <w:t>NT</w:t>
            </w:r>
          </w:p>
        </w:tc>
        <w:tc>
          <w:tcPr>
            <w:tcW w:w="1104" w:type="dxa"/>
          </w:tcPr>
          <w:p w14:paraId="10B0F668" w14:textId="77777777" w:rsidR="001D66E0" w:rsidRDefault="001D66E0" w:rsidP="001D66E0">
            <w:r>
              <w:t>NT</w:t>
            </w:r>
          </w:p>
        </w:tc>
        <w:tc>
          <w:tcPr>
            <w:tcW w:w="780" w:type="dxa"/>
          </w:tcPr>
          <w:p w14:paraId="6FE9A382" w14:textId="77777777" w:rsidR="001D66E0" w:rsidRDefault="001D66E0" w:rsidP="001D66E0">
            <w:r w:rsidRPr="0027065E">
              <w:t>NT</w:t>
            </w:r>
          </w:p>
        </w:tc>
        <w:tc>
          <w:tcPr>
            <w:tcW w:w="1249" w:type="dxa"/>
          </w:tcPr>
          <w:p w14:paraId="7132A71D" w14:textId="77777777" w:rsidR="001D66E0" w:rsidRDefault="001D66E0" w:rsidP="001D66E0">
            <w:r>
              <w:t>NT</w:t>
            </w:r>
          </w:p>
        </w:tc>
        <w:tc>
          <w:tcPr>
            <w:tcW w:w="796" w:type="dxa"/>
          </w:tcPr>
          <w:p w14:paraId="3F41EB29" w14:textId="77777777" w:rsidR="001D66E0" w:rsidRDefault="001D66E0" w:rsidP="001D66E0">
            <w:r>
              <w:t>NT</w:t>
            </w:r>
          </w:p>
        </w:tc>
        <w:tc>
          <w:tcPr>
            <w:tcW w:w="1125" w:type="dxa"/>
          </w:tcPr>
          <w:p w14:paraId="5EE765D3" w14:textId="77777777" w:rsidR="001D66E0" w:rsidRDefault="001D66E0" w:rsidP="001D66E0">
            <w:r w:rsidRPr="0027065E">
              <w:t>NT</w:t>
            </w:r>
          </w:p>
        </w:tc>
      </w:tr>
      <w:tr w:rsidR="001D66E0" w14:paraId="41D548B7" w14:textId="77777777" w:rsidTr="00EC2874">
        <w:tc>
          <w:tcPr>
            <w:tcW w:w="903" w:type="dxa"/>
          </w:tcPr>
          <w:p w14:paraId="4AA99DAD" w14:textId="77777777" w:rsidR="001D66E0" w:rsidRDefault="001D66E0" w:rsidP="001D66E0"/>
        </w:tc>
        <w:tc>
          <w:tcPr>
            <w:tcW w:w="1215" w:type="dxa"/>
          </w:tcPr>
          <w:p w14:paraId="6812C63E" w14:textId="77777777" w:rsidR="001D66E0" w:rsidRDefault="001D66E0" w:rsidP="001D66E0">
            <w:proofErr w:type="spellStart"/>
            <w:r>
              <w:t>p.o.</w:t>
            </w:r>
            <w:proofErr w:type="spellEnd"/>
            <w:r>
              <w:t xml:space="preserve"> </w:t>
            </w:r>
          </w:p>
          <w:p w14:paraId="334C34E8" w14:textId="77777777" w:rsidR="001D66E0" w:rsidRDefault="001D66E0" w:rsidP="000C4D64">
            <w:r>
              <w:t>bolus gavage of decanoic acid</w:t>
            </w:r>
            <w:r>
              <w:fldChar w:fldCharType="begin">
                <w:fldData xml:space="preserve">PEVuZE5vdGU+PENpdGU+PEF1dGhvcj5XbGF6PC9BdXRob3I+PFllYXI+MjAxNTwvWWVhcj48UmVj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</w:fldData>
              </w:fldChar>
            </w:r>
            <w:r w:rsidR="000C4D64">
              <w:instrText xml:space="preserve"> ADDIN EN.CITE </w:instrText>
            </w:r>
            <w:r w:rsidR="000C4D64">
              <w:fldChar w:fldCharType="begin">
                <w:fldData xml:space="preserve">PEVuZE5vdGU+PENpdGU+PEF1dGhvcj5XbGF6PC9BdXRob3I+PFllYXI+MjAxNTwvWWVhcj48UmVj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</w:fldData>
              </w:fldChar>
            </w:r>
            <w:r w:rsidR="000C4D64">
              <w:instrText xml:space="preserve"> ADDIN EN.CITE.DATA </w:instrText>
            </w:r>
            <w:r w:rsidR="000C4D64">
              <w:fldChar w:fldCharType="end"/>
            </w:r>
            <w:r>
              <w:fldChar w:fldCharType="separate"/>
            </w:r>
            <w:r w:rsidR="000C4D64" w:rsidRPr="000C4D64">
              <w:rPr>
                <w:noProof/>
                <w:vertAlign w:val="superscript"/>
              </w:rPr>
              <w:t>6</w:t>
            </w:r>
            <w:r>
              <w:fldChar w:fldCharType="end"/>
            </w:r>
          </w:p>
        </w:tc>
        <w:tc>
          <w:tcPr>
            <w:tcW w:w="781" w:type="dxa"/>
          </w:tcPr>
          <w:p w14:paraId="0D966FD7" w14:textId="77777777" w:rsidR="001D66E0" w:rsidRDefault="001D66E0" w:rsidP="002F3481">
            <w:r>
              <w:t>30</w:t>
            </w:r>
          </w:p>
        </w:tc>
        <w:tc>
          <w:tcPr>
            <w:tcW w:w="1128" w:type="dxa"/>
          </w:tcPr>
          <w:p w14:paraId="5F4D507D" w14:textId="77777777" w:rsidR="001D66E0" w:rsidRPr="00B069D4" w:rsidRDefault="001D66E0" w:rsidP="001D66E0">
            <w:r>
              <w:t>significant increase in CS</w:t>
            </w:r>
            <w:r w:rsidRPr="00B069D4">
              <w:rPr>
                <w:vertAlign w:val="subscript"/>
              </w:rPr>
              <w:t>50</w:t>
            </w:r>
            <w:r>
              <w:t xml:space="preserve"> (mA) at 8.6g/kg</w:t>
            </w:r>
          </w:p>
        </w:tc>
        <w:tc>
          <w:tcPr>
            <w:tcW w:w="1128" w:type="dxa"/>
            <w:shd w:val="clear" w:color="auto" w:fill="FFFFFF" w:themeFill="background1"/>
          </w:tcPr>
          <w:p w14:paraId="3415ACE5" w14:textId="77777777" w:rsidR="001D66E0" w:rsidRDefault="001D66E0" w:rsidP="001D66E0">
            <w:r w:rsidRPr="00FE0A16">
              <w:t>NT</w:t>
            </w:r>
          </w:p>
        </w:tc>
        <w:tc>
          <w:tcPr>
            <w:tcW w:w="894" w:type="dxa"/>
            <w:shd w:val="clear" w:color="auto" w:fill="FFFFFF" w:themeFill="background1"/>
          </w:tcPr>
          <w:p w14:paraId="3E968CBB" w14:textId="77777777" w:rsidR="001D66E0" w:rsidRDefault="001D66E0" w:rsidP="001D66E0">
            <w:r w:rsidRPr="00FE0A16">
              <w:t>NT</w:t>
            </w:r>
          </w:p>
        </w:tc>
        <w:tc>
          <w:tcPr>
            <w:tcW w:w="1143" w:type="dxa"/>
            <w:shd w:val="clear" w:color="auto" w:fill="FFFFFF" w:themeFill="background1"/>
          </w:tcPr>
          <w:p w14:paraId="30A1BCF9" w14:textId="77777777" w:rsidR="001D66E0" w:rsidRPr="00B069D4" w:rsidRDefault="001D66E0" w:rsidP="001D66E0">
            <w:r>
              <w:t>significant increase in CS</w:t>
            </w:r>
            <w:r w:rsidRPr="00B069D4">
              <w:rPr>
                <w:vertAlign w:val="subscript"/>
              </w:rPr>
              <w:t>50</w:t>
            </w:r>
            <w:r>
              <w:t xml:space="preserve"> (mA) at 1.7g/kg and 5.2g/kg</w:t>
            </w:r>
          </w:p>
        </w:tc>
        <w:tc>
          <w:tcPr>
            <w:tcW w:w="858" w:type="dxa"/>
          </w:tcPr>
          <w:p w14:paraId="47DB6A88" w14:textId="77777777" w:rsidR="001D66E0" w:rsidRDefault="001D66E0" w:rsidP="001D66E0">
            <w:r w:rsidRPr="00B85C22">
              <w:t>NT</w:t>
            </w:r>
          </w:p>
        </w:tc>
        <w:tc>
          <w:tcPr>
            <w:tcW w:w="844" w:type="dxa"/>
          </w:tcPr>
          <w:p w14:paraId="4792C796" w14:textId="77777777" w:rsidR="001D66E0" w:rsidRDefault="001D66E0" w:rsidP="001D66E0">
            <w:r w:rsidRPr="00B85C22">
              <w:t>NT</w:t>
            </w:r>
          </w:p>
        </w:tc>
        <w:tc>
          <w:tcPr>
            <w:tcW w:w="1104" w:type="dxa"/>
          </w:tcPr>
          <w:p w14:paraId="64FF99B6" w14:textId="77777777" w:rsidR="001D66E0" w:rsidRDefault="001D66E0" w:rsidP="001D66E0">
            <w:r w:rsidRPr="00B85C22">
              <w:t>NT</w:t>
            </w:r>
          </w:p>
        </w:tc>
        <w:tc>
          <w:tcPr>
            <w:tcW w:w="780" w:type="dxa"/>
          </w:tcPr>
          <w:p w14:paraId="3CB8BB40" w14:textId="77777777" w:rsidR="001D66E0" w:rsidRDefault="001D66E0" w:rsidP="001D66E0">
            <w:r w:rsidRPr="00B85C22">
              <w:t>NT</w:t>
            </w:r>
          </w:p>
        </w:tc>
        <w:tc>
          <w:tcPr>
            <w:tcW w:w="1249" w:type="dxa"/>
          </w:tcPr>
          <w:p w14:paraId="15F461D1" w14:textId="77777777" w:rsidR="001D66E0" w:rsidRPr="0093709A" w:rsidRDefault="001D66E0" w:rsidP="00881999">
            <w:r w:rsidRPr="0093709A">
              <w:rPr>
                <w:rFonts w:cs="AdvTT5235d5a9"/>
              </w:rPr>
              <w:t>chimney test motor-impairing TD</w:t>
            </w:r>
            <w:r w:rsidRPr="00881999">
              <w:rPr>
                <w:rFonts w:cs="AdvTT5235d5a9"/>
                <w:vertAlign w:val="subscript"/>
              </w:rPr>
              <w:t>50</w:t>
            </w:r>
            <w:r w:rsidRPr="0093709A">
              <w:rPr>
                <w:rFonts w:cs="AdvTT5235d5a9"/>
              </w:rPr>
              <w:t xml:space="preserve"> value 17.</w:t>
            </w:r>
            <w:r w:rsidR="00881999">
              <w:rPr>
                <w:rFonts w:cs="AdvTT5235d5a9"/>
              </w:rPr>
              <w:t>6</w:t>
            </w:r>
            <w:r w:rsidRPr="0093709A">
              <w:rPr>
                <w:rFonts w:cs="AdvTT5235d5a9"/>
              </w:rPr>
              <w:t xml:space="preserve"> g/kg</w:t>
            </w:r>
          </w:p>
        </w:tc>
        <w:tc>
          <w:tcPr>
            <w:tcW w:w="796" w:type="dxa"/>
          </w:tcPr>
          <w:p w14:paraId="5B59410D" w14:textId="77777777" w:rsidR="001D66E0" w:rsidRDefault="001D66E0" w:rsidP="001D66E0">
            <w:r w:rsidRPr="00C75761">
              <w:t>NT</w:t>
            </w:r>
          </w:p>
        </w:tc>
        <w:tc>
          <w:tcPr>
            <w:tcW w:w="1125" w:type="dxa"/>
          </w:tcPr>
          <w:p w14:paraId="0A217D6C" w14:textId="77777777" w:rsidR="001D66E0" w:rsidRDefault="001D66E0" w:rsidP="001D66E0">
            <w:r w:rsidRPr="00B85C22">
              <w:t>NT</w:t>
            </w:r>
          </w:p>
        </w:tc>
      </w:tr>
      <w:tr w:rsidR="001D66E0" w14:paraId="340CB225" w14:textId="77777777" w:rsidTr="00EC2874">
        <w:tc>
          <w:tcPr>
            <w:tcW w:w="903" w:type="dxa"/>
          </w:tcPr>
          <w:p w14:paraId="2E535BF7" w14:textId="77777777" w:rsidR="001D66E0" w:rsidRDefault="001D66E0" w:rsidP="001D66E0"/>
        </w:tc>
        <w:tc>
          <w:tcPr>
            <w:tcW w:w="1215" w:type="dxa"/>
          </w:tcPr>
          <w:p w14:paraId="4EFBD125" w14:textId="77777777" w:rsidR="001D66E0" w:rsidRDefault="001D66E0" w:rsidP="000C4D64">
            <w:proofErr w:type="spellStart"/>
            <w:r>
              <w:t>p.o.</w:t>
            </w:r>
            <w:proofErr w:type="spellEnd"/>
            <w:r>
              <w:t xml:space="preserve">  10- day dietary intake of decanoic acid </w:t>
            </w:r>
            <w:r>
              <w:lastRenderedPageBreak/>
              <w:t>triglyceride (35% calories)</w:t>
            </w:r>
            <w:r>
              <w:fldChar w:fldCharType="begin"/>
            </w:r>
            <w:r w:rsidR="000C4D64">
              <w:instrText xml:space="preserve"> ADDIN EN.CITE &lt;EndNote&gt;&lt;Cite&gt;&lt;Author&gt;Tan&lt;/Author&gt;&lt;Year&gt;2016&lt;/Year&gt;&lt;RecNum&gt;1437&lt;/RecNum&gt;&lt;DisplayText&gt;&lt;style face="superscript"&gt;8&lt;/style&gt;&lt;/DisplayText&gt;&lt;record&gt;&lt;rec-number&gt;1437&lt;/rec-number&gt;&lt;foreign-keys&gt;&lt;key app="EN" db-id="5pavzp2ssv9aateddtm5vpah5xeaz50fx9fa" timestamp="1470667236"&gt;1437&lt;/key&gt;&lt;/foreign-keys&gt;&lt;ref-type name="Journal Article"&gt;17&lt;/ref-type&gt;&lt;contributors&gt;&lt;authors&gt;&lt;author&gt;Tan, K. N.&lt;/author&gt;&lt;author&gt;Carrasco-Pozo, C.&lt;/author&gt;&lt;author&gt;McDonald, T. S.&lt;/author&gt;&lt;author&gt;Puchowicz, M.&lt;/author&gt;&lt;author&gt;Borges, K.&lt;/author&gt;&lt;/authors&gt;&lt;/contributors&gt;&lt;auth-address&gt;Department of Pharmacology, School of Biomedical Sciences, The University of Queensland, St. Lucia, Australia.&amp;#xD;Department of Pharmacology, School of Biomedical Sciences, The University of Queensland, St. Lucia, Australia Department of Nutrition, Faculty of Medicine, The University of Chile, Santiago, Chile.&amp;#xD;Department of Nutrition, School of Medicine, Case Western Reserve University, Cleveland, OH, USA.&amp;#xD;Department of Pharmacology, School of Biomedical Sciences, The University of Queensland, St. Lucia, Australia k.borges@uq.edu.au.&lt;/auth-address&gt;&lt;titles&gt;&lt;title&gt;Tridecanoin is anticonvulsant, antioxidant, and improves mitochondrial function&lt;/title&gt;&lt;secondary-title&gt;J Cereb Blood Flow Metab&lt;/secondary-title&gt;&lt;/titles&gt;&lt;periodical&gt;&lt;full-title&gt;J Cereb Blood Flow Metab&lt;/full-title&gt;&lt;/periodical&gt;&lt;volume&gt;37&lt;/volume&gt;&lt;number&gt;6&lt;/number&gt;&lt;section&gt;2035&lt;/section&gt;&lt;keywords&gt;&lt;keyword&gt;Antioxidant&lt;/keyword&gt;&lt;keyword&gt;anti-seizure&lt;/keyword&gt;&lt;keyword&gt;decanoate&lt;/keyword&gt;&lt;keyword&gt;mitochondrial function&lt;/keyword&gt;&lt;keyword&gt;octanoate&lt;/keyword&gt;&lt;/keywords&gt;&lt;dates&gt;&lt;year&gt;2016&lt;/year&gt;&lt;pub-dates&gt;&lt;date&gt;Jul 14&lt;/date&gt;&lt;/pub-dates&gt;&lt;/dates&gt;&lt;isbn&gt;1559-7016 (Electronic)&amp;#xD;0271-678X (Linking)&lt;/isbn&gt;&lt;accession-num&gt;27418037&lt;/accession-num&gt;&lt;urls&gt;&lt;related-urls&gt;&lt;url&gt;http://www.ncbi.nlm.nih.gov/pubmed/27418037&lt;/url&gt;&lt;/related-urls&gt;&lt;/urls&gt;&lt;electronic-resource-num&gt;10.1177/0271678X16659498&lt;/electronic-resource-num&gt;&lt;/record&gt;&lt;/Cite&gt;&lt;/EndNote&gt;</w:instrText>
            </w:r>
            <w:r>
              <w:fldChar w:fldCharType="separate"/>
            </w:r>
            <w:r w:rsidR="000C4D64" w:rsidRPr="000C4D64">
              <w:rPr>
                <w:noProof/>
                <w:vertAlign w:val="superscript"/>
              </w:rPr>
              <w:t>8</w:t>
            </w:r>
            <w:r>
              <w:fldChar w:fldCharType="end"/>
            </w:r>
          </w:p>
        </w:tc>
        <w:tc>
          <w:tcPr>
            <w:tcW w:w="781" w:type="dxa"/>
          </w:tcPr>
          <w:p w14:paraId="2D935E0C" w14:textId="77777777" w:rsidR="001D66E0" w:rsidRDefault="001D66E0" w:rsidP="001D66E0">
            <w:r>
              <w:lastRenderedPageBreak/>
              <w:t>N/A</w:t>
            </w:r>
          </w:p>
        </w:tc>
        <w:tc>
          <w:tcPr>
            <w:tcW w:w="1128" w:type="dxa"/>
          </w:tcPr>
          <w:p w14:paraId="098BB187" w14:textId="77777777" w:rsidR="001D66E0" w:rsidRDefault="001D66E0" w:rsidP="001D66E0">
            <w:r w:rsidRPr="00535E58">
              <w:t>NT</w:t>
            </w:r>
          </w:p>
        </w:tc>
        <w:tc>
          <w:tcPr>
            <w:tcW w:w="1128" w:type="dxa"/>
            <w:shd w:val="clear" w:color="auto" w:fill="FFFFFF" w:themeFill="background1"/>
          </w:tcPr>
          <w:p w14:paraId="4F26403D" w14:textId="77777777" w:rsidR="001D66E0" w:rsidRDefault="001D66E0" w:rsidP="001D66E0">
            <w:r w:rsidRPr="00535E58">
              <w:t>NT</w:t>
            </w:r>
          </w:p>
        </w:tc>
        <w:tc>
          <w:tcPr>
            <w:tcW w:w="894" w:type="dxa"/>
            <w:shd w:val="clear" w:color="auto" w:fill="FFFFFF" w:themeFill="background1"/>
          </w:tcPr>
          <w:p w14:paraId="097B46D8" w14:textId="77777777" w:rsidR="001D66E0" w:rsidRDefault="001D66E0" w:rsidP="001D66E0">
            <w:r w:rsidRPr="00535E58">
              <w:t>NT</w:t>
            </w:r>
          </w:p>
        </w:tc>
        <w:tc>
          <w:tcPr>
            <w:tcW w:w="1143" w:type="dxa"/>
            <w:shd w:val="clear" w:color="auto" w:fill="FFFFFF" w:themeFill="background1"/>
          </w:tcPr>
          <w:p w14:paraId="59598869" w14:textId="77777777" w:rsidR="001D66E0" w:rsidRDefault="001D66E0" w:rsidP="001D66E0">
            <w:r>
              <w:t>Significant increase in CC</w:t>
            </w:r>
            <w:r w:rsidRPr="001C629A">
              <w:rPr>
                <w:vertAlign w:val="subscript"/>
              </w:rPr>
              <w:t>50</w:t>
            </w:r>
            <w:r>
              <w:rPr>
                <w:vertAlign w:val="subscript"/>
              </w:rPr>
              <w:t xml:space="preserve"> </w:t>
            </w:r>
            <w:r>
              <w:t>(mA)</w:t>
            </w:r>
          </w:p>
        </w:tc>
        <w:tc>
          <w:tcPr>
            <w:tcW w:w="858" w:type="dxa"/>
          </w:tcPr>
          <w:p w14:paraId="5AD309F9" w14:textId="77777777" w:rsidR="001D66E0" w:rsidRDefault="001D66E0" w:rsidP="001D66E0">
            <w:r w:rsidRPr="007A2772">
              <w:t>NT</w:t>
            </w:r>
          </w:p>
        </w:tc>
        <w:tc>
          <w:tcPr>
            <w:tcW w:w="844" w:type="dxa"/>
          </w:tcPr>
          <w:p w14:paraId="6D326986" w14:textId="77777777" w:rsidR="001D66E0" w:rsidRDefault="001D66E0" w:rsidP="001D66E0">
            <w:r w:rsidRPr="007A2772">
              <w:t>NT</w:t>
            </w:r>
          </w:p>
        </w:tc>
        <w:tc>
          <w:tcPr>
            <w:tcW w:w="1104" w:type="dxa"/>
          </w:tcPr>
          <w:p w14:paraId="4207323D" w14:textId="77777777" w:rsidR="001D66E0" w:rsidRDefault="001D66E0" w:rsidP="001D66E0">
            <w:r w:rsidRPr="007A2772">
              <w:t>NT</w:t>
            </w:r>
          </w:p>
        </w:tc>
        <w:tc>
          <w:tcPr>
            <w:tcW w:w="780" w:type="dxa"/>
          </w:tcPr>
          <w:p w14:paraId="291F320B" w14:textId="77777777" w:rsidR="001D66E0" w:rsidRDefault="001D66E0" w:rsidP="001D66E0">
            <w:r w:rsidRPr="007A2772">
              <w:t>NT</w:t>
            </w:r>
          </w:p>
        </w:tc>
        <w:tc>
          <w:tcPr>
            <w:tcW w:w="1249" w:type="dxa"/>
          </w:tcPr>
          <w:p w14:paraId="2CCF8858" w14:textId="77777777" w:rsidR="001D66E0" w:rsidRDefault="001D66E0" w:rsidP="001D66E0">
            <w:r w:rsidRPr="007A2772">
              <w:t>NT</w:t>
            </w:r>
          </w:p>
        </w:tc>
        <w:tc>
          <w:tcPr>
            <w:tcW w:w="796" w:type="dxa"/>
          </w:tcPr>
          <w:p w14:paraId="30AE6239" w14:textId="77777777" w:rsidR="001D66E0" w:rsidRDefault="001D66E0" w:rsidP="001D66E0">
            <w:r w:rsidRPr="00C75761">
              <w:t>NT</w:t>
            </w:r>
          </w:p>
        </w:tc>
        <w:tc>
          <w:tcPr>
            <w:tcW w:w="1125" w:type="dxa"/>
          </w:tcPr>
          <w:p w14:paraId="2CFAFEC6" w14:textId="77777777" w:rsidR="001D66E0" w:rsidRDefault="001D66E0" w:rsidP="001D66E0">
            <w:r w:rsidRPr="007A2772">
              <w:t>NT</w:t>
            </w:r>
          </w:p>
        </w:tc>
      </w:tr>
      <w:tr w:rsidR="001D66E0" w14:paraId="5F6E2F57" w14:textId="77777777" w:rsidTr="00EC2874">
        <w:tc>
          <w:tcPr>
            <w:tcW w:w="903" w:type="dxa"/>
          </w:tcPr>
          <w:p w14:paraId="661B0277" w14:textId="77777777" w:rsidR="001D66E0" w:rsidRDefault="001D66E0" w:rsidP="001D66E0"/>
        </w:tc>
        <w:tc>
          <w:tcPr>
            <w:tcW w:w="1215" w:type="dxa"/>
          </w:tcPr>
          <w:p w14:paraId="353A84F2" w14:textId="77777777" w:rsidR="001D66E0" w:rsidRDefault="001D66E0" w:rsidP="001D66E0">
            <w:proofErr w:type="spellStart"/>
            <w:r>
              <w:t>i.v.</w:t>
            </w:r>
            <w:proofErr w:type="spellEnd"/>
          </w:p>
        </w:tc>
        <w:tc>
          <w:tcPr>
            <w:tcW w:w="781" w:type="dxa"/>
          </w:tcPr>
          <w:p w14:paraId="210AF91B" w14:textId="77777777" w:rsidR="001D66E0" w:rsidRDefault="001D66E0" w:rsidP="001D66E0"/>
        </w:tc>
        <w:tc>
          <w:tcPr>
            <w:tcW w:w="1128" w:type="dxa"/>
          </w:tcPr>
          <w:p w14:paraId="3D033555" w14:textId="77777777" w:rsidR="001D66E0" w:rsidRDefault="001D66E0" w:rsidP="001D66E0"/>
        </w:tc>
        <w:tc>
          <w:tcPr>
            <w:tcW w:w="1128" w:type="dxa"/>
          </w:tcPr>
          <w:p w14:paraId="3F21E462" w14:textId="77777777" w:rsidR="001D66E0" w:rsidRDefault="001D66E0" w:rsidP="001D66E0"/>
        </w:tc>
        <w:tc>
          <w:tcPr>
            <w:tcW w:w="894" w:type="dxa"/>
          </w:tcPr>
          <w:p w14:paraId="124349AA" w14:textId="77777777" w:rsidR="001D66E0" w:rsidRDefault="001D66E0" w:rsidP="001D66E0"/>
        </w:tc>
        <w:tc>
          <w:tcPr>
            <w:tcW w:w="1143" w:type="dxa"/>
          </w:tcPr>
          <w:p w14:paraId="3A6DABDE" w14:textId="77777777" w:rsidR="001D66E0" w:rsidRDefault="001D66E0" w:rsidP="001D66E0"/>
        </w:tc>
        <w:tc>
          <w:tcPr>
            <w:tcW w:w="858" w:type="dxa"/>
          </w:tcPr>
          <w:p w14:paraId="1C672477" w14:textId="77777777" w:rsidR="001D66E0" w:rsidRDefault="001D66E0" w:rsidP="001D66E0"/>
        </w:tc>
        <w:tc>
          <w:tcPr>
            <w:tcW w:w="844" w:type="dxa"/>
          </w:tcPr>
          <w:p w14:paraId="3BEEA147" w14:textId="77777777" w:rsidR="001D66E0" w:rsidRDefault="001D66E0" w:rsidP="001D66E0"/>
        </w:tc>
        <w:tc>
          <w:tcPr>
            <w:tcW w:w="1104" w:type="dxa"/>
          </w:tcPr>
          <w:p w14:paraId="4CADF589" w14:textId="77777777" w:rsidR="001D66E0" w:rsidRDefault="001D66E0" w:rsidP="001D66E0"/>
        </w:tc>
        <w:tc>
          <w:tcPr>
            <w:tcW w:w="780" w:type="dxa"/>
          </w:tcPr>
          <w:p w14:paraId="48B17351" w14:textId="77777777" w:rsidR="001D66E0" w:rsidRDefault="001D66E0" w:rsidP="001D66E0"/>
        </w:tc>
        <w:tc>
          <w:tcPr>
            <w:tcW w:w="1249" w:type="dxa"/>
          </w:tcPr>
          <w:p w14:paraId="5AA1CF81" w14:textId="77777777" w:rsidR="001D66E0" w:rsidRDefault="001D66E0" w:rsidP="001D66E0"/>
        </w:tc>
        <w:tc>
          <w:tcPr>
            <w:tcW w:w="796" w:type="dxa"/>
          </w:tcPr>
          <w:p w14:paraId="0CA262FB" w14:textId="77777777" w:rsidR="001D66E0" w:rsidRDefault="001D66E0" w:rsidP="001D66E0"/>
        </w:tc>
        <w:tc>
          <w:tcPr>
            <w:tcW w:w="1125" w:type="dxa"/>
          </w:tcPr>
          <w:p w14:paraId="4CBBE5DD" w14:textId="77777777" w:rsidR="001D66E0" w:rsidRDefault="001D66E0" w:rsidP="001D66E0"/>
        </w:tc>
      </w:tr>
    </w:tbl>
    <w:p w14:paraId="211B1791" w14:textId="77777777" w:rsidR="001510C9" w:rsidRDefault="001510C9" w:rsidP="0074259B"/>
    <w:p w14:paraId="2763CBED" w14:textId="77777777" w:rsidR="001510C9" w:rsidRPr="001510C9" w:rsidRDefault="001510C9" w:rsidP="0015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510C9"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1 </w:t>
      </w:r>
      <w:r w:rsidRPr="001510C9">
        <w:rPr>
          <w:rFonts w:ascii="Arial" w:hAnsi="Arial" w:cs="Arial"/>
          <w:b/>
          <w:bCs/>
          <w:color w:val="000000"/>
          <w:sz w:val="18"/>
          <w:szCs w:val="18"/>
        </w:rPr>
        <w:t>Please report results (where available) as median effective (ED50) or median toxic (TD</w:t>
      </w:r>
      <w:r w:rsidRPr="001510C9">
        <w:rPr>
          <w:rFonts w:ascii="Arial" w:hAnsi="Arial" w:cs="Arial"/>
          <w:b/>
          <w:bCs/>
          <w:color w:val="000000"/>
          <w:sz w:val="12"/>
          <w:szCs w:val="12"/>
        </w:rPr>
        <w:t>50</w:t>
      </w:r>
      <w:r w:rsidRPr="001510C9">
        <w:rPr>
          <w:rFonts w:ascii="Arial" w:hAnsi="Arial" w:cs="Arial"/>
          <w:b/>
          <w:bCs/>
          <w:color w:val="000000"/>
          <w:sz w:val="18"/>
          <w:szCs w:val="18"/>
        </w:rPr>
        <w:t>) in mg/kg. If an ED</w:t>
      </w:r>
      <w:r w:rsidRPr="001510C9">
        <w:rPr>
          <w:rFonts w:ascii="Arial" w:hAnsi="Arial" w:cs="Arial"/>
          <w:b/>
          <w:bCs/>
          <w:color w:val="000000"/>
          <w:sz w:val="12"/>
          <w:szCs w:val="12"/>
        </w:rPr>
        <w:t xml:space="preserve">50 </w:t>
      </w:r>
      <w:r w:rsidRPr="001510C9">
        <w:rPr>
          <w:rFonts w:ascii="Arial" w:hAnsi="Arial" w:cs="Arial"/>
          <w:b/>
          <w:bCs/>
          <w:color w:val="000000"/>
          <w:sz w:val="18"/>
          <w:szCs w:val="18"/>
        </w:rPr>
        <w:t xml:space="preserve">could not be determined because of a lack of efficacy, please indicate the results obtained at the maximum dose tested; e.g., maximum 50% protection at a dose of 100 mg/kg. </w:t>
      </w:r>
    </w:p>
    <w:p w14:paraId="3A930A0E" w14:textId="77777777" w:rsidR="001510C9" w:rsidRPr="001510C9" w:rsidRDefault="001510C9" w:rsidP="0015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510C9"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2 </w:t>
      </w:r>
      <w:r w:rsidRPr="001510C9">
        <w:rPr>
          <w:rFonts w:ascii="Arial" w:hAnsi="Arial" w:cs="Arial"/>
          <w:b/>
          <w:bCs/>
          <w:color w:val="000000"/>
          <w:sz w:val="18"/>
          <w:szCs w:val="18"/>
        </w:rPr>
        <w:t xml:space="preserve">If appropriate please define which spike-wave model was employed. </w:t>
      </w:r>
    </w:p>
    <w:p w14:paraId="35F59573" w14:textId="77777777" w:rsidR="001510C9" w:rsidRPr="001510C9" w:rsidRDefault="001510C9" w:rsidP="0015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510C9"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3 </w:t>
      </w:r>
      <w:r w:rsidRPr="001510C9">
        <w:rPr>
          <w:rFonts w:ascii="Arial" w:hAnsi="Arial" w:cs="Arial"/>
          <w:b/>
          <w:bCs/>
          <w:color w:val="000000"/>
          <w:sz w:val="18"/>
          <w:szCs w:val="18"/>
        </w:rPr>
        <w:t xml:space="preserve">Please provide any relevant summary of demonstrated activity in other disease models; i.e., pain, migraine, bipolar, etc. Where appropriate, please provide sufficient experimental detail of study design and methods employed. </w:t>
      </w:r>
    </w:p>
    <w:p w14:paraId="297338DE" w14:textId="77777777" w:rsidR="001510C9" w:rsidRPr="001510C9" w:rsidRDefault="001510C9" w:rsidP="00151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510C9"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4 </w:t>
      </w:r>
      <w:r w:rsidRPr="001510C9">
        <w:rPr>
          <w:rFonts w:ascii="Arial" w:hAnsi="Arial" w:cs="Arial"/>
          <w:b/>
          <w:bCs/>
          <w:color w:val="000000"/>
          <w:sz w:val="18"/>
          <w:szCs w:val="18"/>
        </w:rPr>
        <w:t xml:space="preserve">If results are not available for one or more seizure tests because compound has not been tested, please indicate by placing NT in the appropriate column. </w:t>
      </w:r>
    </w:p>
    <w:p w14:paraId="44595931" w14:textId="77777777" w:rsidR="001510C9" w:rsidRDefault="001510C9" w:rsidP="001510C9">
      <w:r w:rsidRPr="001510C9">
        <w:rPr>
          <w:rFonts w:ascii="Arial" w:hAnsi="Arial" w:cs="Arial"/>
          <w:b/>
          <w:bCs/>
          <w:color w:val="000000"/>
          <w:sz w:val="20"/>
          <w:szCs w:val="20"/>
        </w:rPr>
        <w:t>N/A, not applicable</w:t>
      </w:r>
    </w:p>
    <w:p w14:paraId="32BF7DA6" w14:textId="77777777" w:rsidR="0074259B" w:rsidRDefault="0074259B" w:rsidP="0074259B"/>
    <w:p w14:paraId="774422C4" w14:textId="77777777" w:rsidR="0074259B" w:rsidRDefault="0074259B" w:rsidP="0074259B"/>
    <w:p w14:paraId="0BF6B4C3" w14:textId="77777777" w:rsidR="0074259B" w:rsidRDefault="0074259B" w:rsidP="0074259B"/>
    <w:p w14:paraId="1281648D" w14:textId="77777777" w:rsidR="0074259B" w:rsidRDefault="0074259B" w:rsidP="0074259B"/>
    <w:p w14:paraId="08FB222F" w14:textId="77777777" w:rsidR="0074259B" w:rsidRDefault="0074259B" w:rsidP="0074259B"/>
    <w:p w14:paraId="255B17F4" w14:textId="77777777" w:rsidR="0074259B" w:rsidRDefault="0074259B" w:rsidP="0074259B"/>
    <w:p w14:paraId="32B2ABEE" w14:textId="77777777" w:rsidR="0074259B" w:rsidRDefault="0074259B" w:rsidP="0074259B"/>
    <w:p w14:paraId="0B7A9D76" w14:textId="77777777" w:rsidR="0074259B" w:rsidRDefault="0074259B" w:rsidP="0074259B"/>
    <w:p w14:paraId="79F75CBB" w14:textId="77777777" w:rsidR="0074259B" w:rsidRDefault="0074259B" w:rsidP="0074259B"/>
    <w:p w14:paraId="21AD59DC" w14:textId="77777777" w:rsidR="0074259B" w:rsidRDefault="0074259B" w:rsidP="0074259B">
      <w:pPr>
        <w:sectPr w:rsidR="0074259B" w:rsidSect="0074259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25D245E" w14:textId="77777777" w:rsidR="004472F7" w:rsidRDefault="004472F7" w:rsidP="0074259B"/>
    <w:p w14:paraId="1A48DCA7" w14:textId="257AA3C2" w:rsidR="0074259B" w:rsidRDefault="0074259B" w:rsidP="0074259B"/>
    <w:sectPr w:rsidR="0074259B" w:rsidSect="00742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P0036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D11A9"/>
    <w:multiLevelType w:val="hybridMultilevel"/>
    <w:tmpl w:val="78582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84B87"/>
    <w:multiLevelType w:val="hybridMultilevel"/>
    <w:tmpl w:val="6584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pavzp2ssv9aateddtm5vpah5xeaz50fx9fa&quot;&gt;My papers references&lt;record-ids&gt;&lt;item&gt;1212&lt;/item&gt;&lt;item&gt;1214&lt;/item&gt;&lt;item&gt;1215&lt;/item&gt;&lt;item&gt;1427&lt;/item&gt;&lt;item&gt;1437&lt;/item&gt;&lt;item&gt;1535&lt;/item&gt;&lt;item&gt;3287&lt;/item&gt;&lt;item&gt;3316&lt;/item&gt;&lt;item&gt;4982&lt;/item&gt;&lt;item&gt;4983&lt;/item&gt;&lt;/record-ids&gt;&lt;/item&gt;&lt;/Libraries&gt;"/>
  </w:docVars>
  <w:rsids>
    <w:rsidRoot w:val="0074259B"/>
    <w:rsid w:val="000142B6"/>
    <w:rsid w:val="0002084C"/>
    <w:rsid w:val="00023BE5"/>
    <w:rsid w:val="00057914"/>
    <w:rsid w:val="00065BBC"/>
    <w:rsid w:val="000779B5"/>
    <w:rsid w:val="000B42AE"/>
    <w:rsid w:val="000C4D64"/>
    <w:rsid w:val="000D1608"/>
    <w:rsid w:val="000F09BD"/>
    <w:rsid w:val="001510C9"/>
    <w:rsid w:val="00170C85"/>
    <w:rsid w:val="00172B4D"/>
    <w:rsid w:val="001765AE"/>
    <w:rsid w:val="001976CA"/>
    <w:rsid w:val="001C629A"/>
    <w:rsid w:val="001D66E0"/>
    <w:rsid w:val="001E71C5"/>
    <w:rsid w:val="001F5F8E"/>
    <w:rsid w:val="001F709B"/>
    <w:rsid w:val="001F7DF4"/>
    <w:rsid w:val="0022766C"/>
    <w:rsid w:val="00254991"/>
    <w:rsid w:val="00256900"/>
    <w:rsid w:val="00276552"/>
    <w:rsid w:val="0029407C"/>
    <w:rsid w:val="002E6208"/>
    <w:rsid w:val="002F18F3"/>
    <w:rsid w:val="002F3481"/>
    <w:rsid w:val="0034229B"/>
    <w:rsid w:val="003532CB"/>
    <w:rsid w:val="003829A5"/>
    <w:rsid w:val="003A4333"/>
    <w:rsid w:val="003C38AA"/>
    <w:rsid w:val="003F2012"/>
    <w:rsid w:val="00415764"/>
    <w:rsid w:val="00447188"/>
    <w:rsid w:val="004472F7"/>
    <w:rsid w:val="00457AD8"/>
    <w:rsid w:val="00474236"/>
    <w:rsid w:val="00482ED6"/>
    <w:rsid w:val="00495C4B"/>
    <w:rsid w:val="004B1F8F"/>
    <w:rsid w:val="004C2638"/>
    <w:rsid w:val="004C3992"/>
    <w:rsid w:val="004C5971"/>
    <w:rsid w:val="004E5D23"/>
    <w:rsid w:val="0053156A"/>
    <w:rsid w:val="005B3640"/>
    <w:rsid w:val="005D00CC"/>
    <w:rsid w:val="005E5ACD"/>
    <w:rsid w:val="005E6BC5"/>
    <w:rsid w:val="005F3A3A"/>
    <w:rsid w:val="006109DD"/>
    <w:rsid w:val="0064211A"/>
    <w:rsid w:val="00656032"/>
    <w:rsid w:val="006C2B0F"/>
    <w:rsid w:val="006D348D"/>
    <w:rsid w:val="006D6BB3"/>
    <w:rsid w:val="006D6E20"/>
    <w:rsid w:val="006E5FA2"/>
    <w:rsid w:val="00700243"/>
    <w:rsid w:val="00710B34"/>
    <w:rsid w:val="00711D64"/>
    <w:rsid w:val="00714A93"/>
    <w:rsid w:val="00717417"/>
    <w:rsid w:val="0074259B"/>
    <w:rsid w:val="00775282"/>
    <w:rsid w:val="0078398D"/>
    <w:rsid w:val="00784DE7"/>
    <w:rsid w:val="007E340E"/>
    <w:rsid w:val="008171E9"/>
    <w:rsid w:val="00822DD0"/>
    <w:rsid w:val="00826615"/>
    <w:rsid w:val="00881999"/>
    <w:rsid w:val="008928D5"/>
    <w:rsid w:val="008D7DF0"/>
    <w:rsid w:val="008E15A2"/>
    <w:rsid w:val="008E4711"/>
    <w:rsid w:val="008F0A37"/>
    <w:rsid w:val="008F6BD8"/>
    <w:rsid w:val="00906B26"/>
    <w:rsid w:val="0093709A"/>
    <w:rsid w:val="009405FE"/>
    <w:rsid w:val="00943359"/>
    <w:rsid w:val="00950C6B"/>
    <w:rsid w:val="009A1547"/>
    <w:rsid w:val="009A5168"/>
    <w:rsid w:val="009D0D20"/>
    <w:rsid w:val="009E26E3"/>
    <w:rsid w:val="00A011BA"/>
    <w:rsid w:val="00A067A7"/>
    <w:rsid w:val="00A44067"/>
    <w:rsid w:val="00A819E6"/>
    <w:rsid w:val="00AA33CB"/>
    <w:rsid w:val="00AE6651"/>
    <w:rsid w:val="00AF2755"/>
    <w:rsid w:val="00B069D4"/>
    <w:rsid w:val="00B1367E"/>
    <w:rsid w:val="00B43094"/>
    <w:rsid w:val="00B44820"/>
    <w:rsid w:val="00B51365"/>
    <w:rsid w:val="00B67AEF"/>
    <w:rsid w:val="00B84903"/>
    <w:rsid w:val="00B84B05"/>
    <w:rsid w:val="00BA1BF6"/>
    <w:rsid w:val="00BA37E8"/>
    <w:rsid w:val="00BB43B4"/>
    <w:rsid w:val="00BC24C4"/>
    <w:rsid w:val="00C029A3"/>
    <w:rsid w:val="00C25B2C"/>
    <w:rsid w:val="00C361C4"/>
    <w:rsid w:val="00CB32DC"/>
    <w:rsid w:val="00D17B75"/>
    <w:rsid w:val="00D37B03"/>
    <w:rsid w:val="00D452B9"/>
    <w:rsid w:val="00DC5C7F"/>
    <w:rsid w:val="00DF328F"/>
    <w:rsid w:val="00DF3A2E"/>
    <w:rsid w:val="00DF7E2E"/>
    <w:rsid w:val="00E005DD"/>
    <w:rsid w:val="00E01099"/>
    <w:rsid w:val="00E11420"/>
    <w:rsid w:val="00E574A8"/>
    <w:rsid w:val="00E76D41"/>
    <w:rsid w:val="00E86E0A"/>
    <w:rsid w:val="00EA1419"/>
    <w:rsid w:val="00EC2874"/>
    <w:rsid w:val="00F07CF4"/>
    <w:rsid w:val="00F33135"/>
    <w:rsid w:val="00F7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4EADD"/>
  <w15:docId w15:val="{AC989831-6481-4CB2-BC54-9A7C902A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0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B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B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34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4472F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472F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472F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472F7"/>
    <w:rPr>
      <w:rFonts w:ascii="Calibri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34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2759</Words>
  <Characters>15727</Characters>
  <Application>Microsoft Office Word</Application>
  <DocSecurity>0</DocSecurity>
  <Lines>131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RHUL</Company>
  <LinksUpToDate>false</LinksUpToDate>
  <CharactersWithSpaces>18450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Robin</dc:creator>
  <cp:lastModifiedBy>Williams, Robin</cp:lastModifiedBy>
  <cp:revision>4</cp:revision>
  <dcterms:created xsi:type="dcterms:W3CDTF">2018-07-23T14:42:00Z</dcterms:created>
  <dcterms:modified xsi:type="dcterms:W3CDTF">2018-07-23T14:44:00Z</dcterms:modified>
</cp:coreProperties>
</file>