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1BE8F" w14:textId="77777777" w:rsidR="00196D0D" w:rsidRPr="00230E90" w:rsidRDefault="00196D0D" w:rsidP="00196D0D">
      <w:pPr>
        <w:keepNext/>
        <w:keepLines/>
        <w:jc w:val="center"/>
        <w:outlineLvl w:val="0"/>
        <w:rPr>
          <w:rFonts w:eastAsiaTheme="majorEastAsia" w:cs="Times New Roman"/>
          <w:b/>
          <w:color w:val="000000" w:themeColor="text1"/>
          <w:sz w:val="32"/>
          <w:szCs w:val="32"/>
        </w:rPr>
      </w:pPr>
      <w:bookmarkStart w:id="0" w:name="_GoBack"/>
      <w:bookmarkEnd w:id="0"/>
      <w:r>
        <w:rPr>
          <w:rFonts w:eastAsiaTheme="majorEastAsia" w:cs="Times New Roman"/>
          <w:b/>
          <w:color w:val="000000" w:themeColor="text1"/>
          <w:sz w:val="32"/>
          <w:szCs w:val="32"/>
        </w:rPr>
        <w:t>Accounting for the “working poor”</w:t>
      </w:r>
      <w:r w:rsidRPr="00230E90">
        <w:rPr>
          <w:rFonts w:eastAsiaTheme="majorEastAsia" w:cs="Times New Roman"/>
          <w:b/>
          <w:color w:val="000000" w:themeColor="text1"/>
          <w:sz w:val="32"/>
          <w:szCs w:val="32"/>
        </w:rPr>
        <w:t>: Analysing the Living Wage Debate in Aotearoa New Zealand</w:t>
      </w:r>
    </w:p>
    <w:p w14:paraId="7A882AF1" w14:textId="77777777" w:rsidR="00196D0D" w:rsidRDefault="00196D0D" w:rsidP="00196D0D">
      <w:pPr>
        <w:rPr>
          <w:rFonts w:cs="Times New Roman"/>
        </w:rPr>
      </w:pPr>
    </w:p>
    <w:p w14:paraId="54E46C31" w14:textId="77777777" w:rsidR="00196D0D" w:rsidRDefault="00196D0D" w:rsidP="00196D0D">
      <w:pPr>
        <w:rPr>
          <w:rFonts w:cs="Times New Roman"/>
        </w:rPr>
      </w:pPr>
    </w:p>
    <w:p w14:paraId="5A176B64" w14:textId="77777777" w:rsidR="00196D0D" w:rsidRPr="00B660C2" w:rsidRDefault="00196D0D" w:rsidP="00196D0D">
      <w:pPr>
        <w:rPr>
          <w:rFonts w:cs="Times New Roman"/>
        </w:rPr>
      </w:pPr>
    </w:p>
    <w:p w14:paraId="4F7FC221" w14:textId="77777777" w:rsidR="00196D0D" w:rsidRPr="00B660C2" w:rsidRDefault="00196D0D" w:rsidP="00196D0D">
      <w:pPr>
        <w:jc w:val="center"/>
        <w:rPr>
          <w:rFonts w:cs="Times New Roman"/>
        </w:rPr>
      </w:pPr>
    </w:p>
    <w:p w14:paraId="73474DEB" w14:textId="77777777" w:rsidR="00196D0D" w:rsidRPr="00B660C2" w:rsidRDefault="00196D0D" w:rsidP="00196D0D">
      <w:pPr>
        <w:jc w:val="center"/>
        <w:rPr>
          <w:rFonts w:cs="Times New Roman"/>
        </w:rPr>
      </w:pPr>
      <w:r w:rsidRPr="00B660C2">
        <w:rPr>
          <w:rFonts w:cs="Times New Roman"/>
        </w:rPr>
        <w:t>Peter Skilling</w:t>
      </w:r>
    </w:p>
    <w:p w14:paraId="118519B9" w14:textId="77777777" w:rsidR="00196D0D" w:rsidRPr="00B660C2" w:rsidRDefault="00196D0D" w:rsidP="00196D0D">
      <w:pPr>
        <w:jc w:val="center"/>
        <w:rPr>
          <w:rFonts w:cs="Times New Roman"/>
        </w:rPr>
      </w:pPr>
      <w:r w:rsidRPr="00B660C2">
        <w:rPr>
          <w:rFonts w:cs="Times New Roman"/>
        </w:rPr>
        <w:t>Senior Lecturer, Management</w:t>
      </w:r>
    </w:p>
    <w:p w14:paraId="3A3890AB" w14:textId="77777777" w:rsidR="00196D0D" w:rsidRPr="00B660C2" w:rsidRDefault="00196D0D" w:rsidP="00196D0D">
      <w:pPr>
        <w:jc w:val="center"/>
        <w:rPr>
          <w:rFonts w:cs="Times New Roman"/>
        </w:rPr>
      </w:pPr>
      <w:r w:rsidRPr="00B660C2">
        <w:rPr>
          <w:rFonts w:cs="Times New Roman"/>
        </w:rPr>
        <w:t>Faculty of Business and Law</w:t>
      </w:r>
    </w:p>
    <w:p w14:paraId="2712CE62" w14:textId="77777777" w:rsidR="00196D0D" w:rsidRPr="00B660C2" w:rsidRDefault="00196D0D" w:rsidP="00196D0D">
      <w:pPr>
        <w:jc w:val="center"/>
        <w:rPr>
          <w:rFonts w:cs="Times New Roman"/>
        </w:rPr>
      </w:pPr>
      <w:r w:rsidRPr="00B660C2">
        <w:rPr>
          <w:rFonts w:cs="Times New Roman"/>
        </w:rPr>
        <w:t>Auckland University of Technology</w:t>
      </w:r>
    </w:p>
    <w:p w14:paraId="17844C69" w14:textId="77777777" w:rsidR="00196D0D" w:rsidRPr="00B660C2" w:rsidRDefault="00196D0D" w:rsidP="00196D0D">
      <w:pPr>
        <w:jc w:val="center"/>
        <w:rPr>
          <w:rFonts w:cs="Times New Roman"/>
        </w:rPr>
      </w:pPr>
      <w:r w:rsidRPr="00B660C2">
        <w:rPr>
          <w:rFonts w:cs="Times New Roman"/>
        </w:rPr>
        <w:t>Auckland, New Zealand</w:t>
      </w:r>
    </w:p>
    <w:p w14:paraId="49742492" w14:textId="77777777" w:rsidR="00196D0D" w:rsidRDefault="004F67FD" w:rsidP="00196D0D">
      <w:pPr>
        <w:jc w:val="center"/>
        <w:rPr>
          <w:rFonts w:cs="Times New Roman"/>
        </w:rPr>
      </w:pPr>
      <w:hyperlink r:id="rId8" w:history="1">
        <w:r w:rsidR="00196D0D" w:rsidRPr="00B660C2">
          <w:rPr>
            <w:rFonts w:cs="Times New Roman"/>
            <w:color w:val="0563C1" w:themeColor="hyperlink"/>
            <w:u w:val="single"/>
          </w:rPr>
          <w:t>peter.skilling@aut.ac.nz</w:t>
        </w:r>
      </w:hyperlink>
    </w:p>
    <w:p w14:paraId="07ABD95F" w14:textId="77777777" w:rsidR="00196D0D" w:rsidRDefault="00196D0D" w:rsidP="00196D0D">
      <w:pPr>
        <w:jc w:val="center"/>
        <w:rPr>
          <w:rFonts w:cs="Times New Roman"/>
        </w:rPr>
      </w:pPr>
    </w:p>
    <w:p w14:paraId="66BECD4D" w14:textId="77777777" w:rsidR="00196D0D" w:rsidRPr="00B660C2" w:rsidRDefault="00196D0D" w:rsidP="00196D0D">
      <w:pPr>
        <w:jc w:val="center"/>
        <w:rPr>
          <w:rFonts w:cs="Times New Roman"/>
        </w:rPr>
      </w:pPr>
    </w:p>
    <w:p w14:paraId="40D7013A" w14:textId="77777777" w:rsidR="00196D0D" w:rsidRPr="00B660C2" w:rsidRDefault="00196D0D" w:rsidP="00196D0D">
      <w:pPr>
        <w:jc w:val="center"/>
        <w:rPr>
          <w:rFonts w:cs="Times New Roman"/>
        </w:rPr>
      </w:pPr>
      <w:r w:rsidRPr="00B660C2">
        <w:rPr>
          <w:rFonts w:cs="Times New Roman"/>
        </w:rPr>
        <w:t>Helen Tregidga</w:t>
      </w:r>
    </w:p>
    <w:p w14:paraId="1356EA63" w14:textId="77777777" w:rsidR="00196D0D" w:rsidRPr="00B660C2" w:rsidRDefault="00196D0D" w:rsidP="00196D0D">
      <w:pPr>
        <w:jc w:val="center"/>
        <w:rPr>
          <w:rFonts w:cs="Times New Roman"/>
        </w:rPr>
      </w:pPr>
      <w:r>
        <w:rPr>
          <w:rFonts w:cs="Times New Roman"/>
        </w:rPr>
        <w:t>Reader in CSR/Sustainability</w:t>
      </w:r>
    </w:p>
    <w:p w14:paraId="086A830D" w14:textId="77777777" w:rsidR="00196D0D" w:rsidRPr="00B660C2" w:rsidRDefault="00196D0D" w:rsidP="00196D0D">
      <w:pPr>
        <w:jc w:val="center"/>
        <w:rPr>
          <w:rFonts w:cs="Times New Roman"/>
        </w:rPr>
      </w:pPr>
      <w:r>
        <w:rPr>
          <w:rFonts w:cs="Times New Roman"/>
        </w:rPr>
        <w:t>School of Management</w:t>
      </w:r>
    </w:p>
    <w:p w14:paraId="79324E34" w14:textId="77777777" w:rsidR="00196D0D" w:rsidRPr="00B660C2" w:rsidRDefault="00196D0D" w:rsidP="00196D0D">
      <w:pPr>
        <w:jc w:val="center"/>
        <w:rPr>
          <w:rFonts w:cs="Times New Roman"/>
        </w:rPr>
      </w:pPr>
      <w:r>
        <w:rPr>
          <w:rFonts w:cs="Times New Roman"/>
        </w:rPr>
        <w:t>Royal Holloway, University of London</w:t>
      </w:r>
    </w:p>
    <w:p w14:paraId="19EF21D8" w14:textId="77777777" w:rsidR="00196D0D" w:rsidRDefault="00196D0D" w:rsidP="00196D0D">
      <w:pPr>
        <w:jc w:val="center"/>
        <w:rPr>
          <w:rFonts w:cs="Times New Roman"/>
        </w:rPr>
      </w:pPr>
      <w:r>
        <w:rPr>
          <w:rFonts w:cs="Times New Roman"/>
        </w:rPr>
        <w:t>Egham, TW20 0EX</w:t>
      </w:r>
    </w:p>
    <w:p w14:paraId="05F2262D" w14:textId="77777777" w:rsidR="00196D0D" w:rsidRPr="00B660C2" w:rsidRDefault="00196D0D" w:rsidP="00196D0D">
      <w:pPr>
        <w:jc w:val="center"/>
        <w:rPr>
          <w:rFonts w:cs="Times New Roman"/>
        </w:rPr>
      </w:pPr>
      <w:r>
        <w:rPr>
          <w:rFonts w:cs="Times New Roman"/>
        </w:rPr>
        <w:t>United Kingdom</w:t>
      </w:r>
    </w:p>
    <w:p w14:paraId="35AF437F" w14:textId="77777777" w:rsidR="00196D0D" w:rsidRPr="00B660C2" w:rsidRDefault="00196D0D" w:rsidP="00196D0D">
      <w:pPr>
        <w:jc w:val="center"/>
        <w:rPr>
          <w:rFonts w:cs="Times New Roman"/>
        </w:rPr>
      </w:pPr>
      <w:r>
        <w:rPr>
          <w:rFonts w:cs="Times New Roman"/>
          <w:color w:val="0563C1" w:themeColor="hyperlink"/>
          <w:u w:val="single"/>
        </w:rPr>
        <w:t>Helen.Tregidga@rhul.ac.uk</w:t>
      </w:r>
      <w:r w:rsidRPr="00B660C2">
        <w:rPr>
          <w:rFonts w:cs="Times New Roman"/>
        </w:rPr>
        <w:t xml:space="preserve"> </w:t>
      </w:r>
    </w:p>
    <w:p w14:paraId="1FBD2CFD" w14:textId="77777777" w:rsidR="00196D0D" w:rsidRPr="00B660C2" w:rsidRDefault="00196D0D" w:rsidP="00196D0D">
      <w:pPr>
        <w:jc w:val="center"/>
        <w:rPr>
          <w:rFonts w:cs="Times New Roman"/>
        </w:rPr>
      </w:pPr>
    </w:p>
    <w:p w14:paraId="3773B52F" w14:textId="77777777" w:rsidR="00196D0D" w:rsidRPr="00B660C2" w:rsidRDefault="00196D0D" w:rsidP="00196D0D">
      <w:pPr>
        <w:jc w:val="center"/>
        <w:rPr>
          <w:rFonts w:cs="Times New Roman"/>
        </w:rPr>
      </w:pPr>
    </w:p>
    <w:p w14:paraId="6CFAACA8" w14:textId="77777777" w:rsidR="00196D0D" w:rsidRDefault="00196D0D" w:rsidP="00196D0D">
      <w:pPr>
        <w:jc w:val="center"/>
        <w:rPr>
          <w:rFonts w:cs="Times New Roman"/>
        </w:rPr>
      </w:pPr>
    </w:p>
    <w:p w14:paraId="67BE880A" w14:textId="77777777" w:rsidR="00196D0D" w:rsidRDefault="00196D0D" w:rsidP="00196D0D">
      <w:pPr>
        <w:jc w:val="center"/>
        <w:rPr>
          <w:rFonts w:cs="Times New Roman"/>
        </w:rPr>
      </w:pPr>
    </w:p>
    <w:p w14:paraId="1375CDC3" w14:textId="77777777" w:rsidR="00196D0D" w:rsidRDefault="00196D0D" w:rsidP="00196D0D">
      <w:pPr>
        <w:jc w:val="center"/>
        <w:rPr>
          <w:rFonts w:cs="Times New Roman"/>
        </w:rPr>
      </w:pPr>
    </w:p>
    <w:p w14:paraId="29637B6C" w14:textId="77777777" w:rsidR="00196D0D" w:rsidRDefault="00196D0D" w:rsidP="00196D0D">
      <w:pPr>
        <w:jc w:val="center"/>
        <w:rPr>
          <w:rFonts w:cs="Times New Roman"/>
        </w:rPr>
      </w:pPr>
    </w:p>
    <w:p w14:paraId="68829FF2" w14:textId="77777777" w:rsidR="00196D0D" w:rsidRDefault="00196D0D" w:rsidP="00196D0D">
      <w:pPr>
        <w:jc w:val="center"/>
        <w:rPr>
          <w:rFonts w:cs="Times New Roman"/>
        </w:rPr>
      </w:pPr>
    </w:p>
    <w:p w14:paraId="763EEC37" w14:textId="77777777" w:rsidR="00196D0D" w:rsidRDefault="00196D0D" w:rsidP="00196D0D">
      <w:r w:rsidRPr="0084330A">
        <w:rPr>
          <w:rFonts w:cs="Times New Roman"/>
          <w:b/>
        </w:rPr>
        <w:t xml:space="preserve">Acknowledgements: </w:t>
      </w:r>
      <w:r>
        <w:rPr>
          <w:rFonts w:cs="Times New Roman"/>
        </w:rPr>
        <w:t>The data collection and analysis that forms part of this paper was supported by Peter Skilling’s Fast Start Grant from the Marsden Fund of Royal Society of New Zealand (Contract 12-AUT-013).  The authors would like to thank Michelle Rodrigue for her comments on an earlier version of the paper, and the reviewers and Special Issue Editors for their helpful comments and suggestions which greatly improved the paper.</w:t>
      </w:r>
    </w:p>
    <w:p w14:paraId="3948AADC" w14:textId="7A822476" w:rsidR="00665CFA" w:rsidRDefault="00665CFA" w:rsidP="00A22B9A">
      <w:pPr>
        <w:rPr>
          <w:rFonts w:eastAsiaTheme="majorEastAsia" w:cs="Times New Roman"/>
          <w:b/>
          <w:color w:val="000000" w:themeColor="text1"/>
          <w:szCs w:val="32"/>
        </w:rPr>
      </w:pPr>
      <w:r>
        <w:rPr>
          <w:rFonts w:eastAsiaTheme="majorEastAsia" w:cs="Times New Roman"/>
          <w:b/>
          <w:color w:val="000000" w:themeColor="text1"/>
          <w:szCs w:val="32"/>
        </w:rPr>
        <w:lastRenderedPageBreak/>
        <w:t xml:space="preserve">Accounting for the </w:t>
      </w:r>
      <w:r w:rsidR="0048094C">
        <w:rPr>
          <w:rFonts w:eastAsiaTheme="majorEastAsia" w:cs="Times New Roman"/>
          <w:b/>
          <w:color w:val="000000" w:themeColor="text1"/>
          <w:szCs w:val="32"/>
        </w:rPr>
        <w:t>“</w:t>
      </w:r>
      <w:r w:rsidRPr="00B660C2">
        <w:rPr>
          <w:rFonts w:eastAsiaTheme="majorEastAsia" w:cs="Times New Roman"/>
          <w:b/>
          <w:color w:val="000000" w:themeColor="text1"/>
          <w:szCs w:val="32"/>
        </w:rPr>
        <w:t>working poor</w:t>
      </w:r>
      <w:r w:rsidR="0048094C">
        <w:rPr>
          <w:rFonts w:eastAsiaTheme="majorEastAsia" w:cs="Times New Roman"/>
          <w:b/>
          <w:color w:val="000000" w:themeColor="text1"/>
          <w:szCs w:val="32"/>
        </w:rPr>
        <w:t>”</w:t>
      </w:r>
      <w:r w:rsidRPr="00B660C2">
        <w:rPr>
          <w:rFonts w:eastAsiaTheme="majorEastAsia" w:cs="Times New Roman"/>
          <w:b/>
          <w:color w:val="000000" w:themeColor="text1"/>
          <w:szCs w:val="32"/>
        </w:rPr>
        <w:t>: Analysing the Living Wage Debate in Aotearoa New Zealand</w:t>
      </w:r>
    </w:p>
    <w:p w14:paraId="1AA3DEA6" w14:textId="77777777" w:rsidR="00254286" w:rsidRDefault="00254286" w:rsidP="00A22B9A">
      <w:pPr>
        <w:rPr>
          <w:rFonts w:eastAsiaTheme="majorEastAsia" w:cs="Times New Roman"/>
          <w:b/>
          <w:color w:val="000000" w:themeColor="text1"/>
          <w:szCs w:val="32"/>
        </w:rPr>
      </w:pPr>
    </w:p>
    <w:p w14:paraId="3C1FA020" w14:textId="3805D580" w:rsidR="00665CFA" w:rsidRDefault="00665CFA" w:rsidP="00A22B9A">
      <w:pPr>
        <w:widowControl w:val="0"/>
        <w:rPr>
          <w:rFonts w:eastAsiaTheme="majorEastAsia" w:cs="Times New Roman"/>
          <w:color w:val="000000" w:themeColor="text1"/>
          <w:szCs w:val="32"/>
        </w:rPr>
      </w:pPr>
      <w:r>
        <w:rPr>
          <w:rFonts w:eastAsiaTheme="majorEastAsia" w:cs="Times New Roman"/>
          <w:b/>
          <w:color w:val="000000" w:themeColor="text1"/>
          <w:szCs w:val="32"/>
        </w:rPr>
        <w:t>Purpose:</w:t>
      </w:r>
      <w:r w:rsidR="00C34A85">
        <w:rPr>
          <w:rFonts w:eastAsiaTheme="majorEastAsia" w:cs="Times New Roman"/>
          <w:b/>
          <w:color w:val="000000" w:themeColor="text1"/>
          <w:szCs w:val="32"/>
        </w:rPr>
        <w:t xml:space="preserve"> </w:t>
      </w:r>
      <w:r w:rsidR="00C34A85">
        <w:rPr>
          <w:rFonts w:eastAsiaTheme="majorEastAsia" w:cs="Times New Roman"/>
          <w:color w:val="000000" w:themeColor="text1"/>
          <w:szCs w:val="32"/>
        </w:rPr>
        <w:t>To analyse justifications for, and accounting</w:t>
      </w:r>
      <w:r w:rsidR="007521AB">
        <w:rPr>
          <w:rFonts w:eastAsiaTheme="majorEastAsia" w:cs="Times New Roman"/>
          <w:color w:val="000000" w:themeColor="text1"/>
          <w:szCs w:val="32"/>
        </w:rPr>
        <w:t>’</w:t>
      </w:r>
      <w:r w:rsidR="00C34A85">
        <w:rPr>
          <w:rFonts w:eastAsiaTheme="majorEastAsia" w:cs="Times New Roman"/>
          <w:color w:val="000000" w:themeColor="text1"/>
          <w:szCs w:val="32"/>
        </w:rPr>
        <w:t>s role in, arguments for and against the living wage.</w:t>
      </w:r>
      <w:r>
        <w:rPr>
          <w:rFonts w:eastAsiaTheme="majorEastAsia" w:cs="Times New Roman"/>
          <w:color w:val="000000" w:themeColor="text1"/>
          <w:szCs w:val="32"/>
        </w:rPr>
        <w:t xml:space="preserve">  </w:t>
      </w:r>
    </w:p>
    <w:p w14:paraId="244ECA56" w14:textId="691B88AD" w:rsidR="00665CFA" w:rsidRDefault="00665CFA" w:rsidP="00A22B9A">
      <w:pPr>
        <w:widowControl w:val="0"/>
        <w:outlineLvl w:val="0"/>
        <w:rPr>
          <w:rFonts w:eastAsiaTheme="majorEastAsia" w:cs="Times New Roman"/>
          <w:color w:val="000000" w:themeColor="text1"/>
          <w:szCs w:val="32"/>
        </w:rPr>
      </w:pPr>
      <w:r>
        <w:rPr>
          <w:rFonts w:eastAsiaTheme="majorEastAsia" w:cs="Times New Roman"/>
          <w:b/>
          <w:color w:val="000000" w:themeColor="text1"/>
          <w:szCs w:val="32"/>
        </w:rPr>
        <w:t xml:space="preserve">Design/methodology/approach: </w:t>
      </w:r>
      <w:r w:rsidR="00C34A85">
        <w:rPr>
          <w:rFonts w:eastAsiaTheme="majorEastAsia" w:cs="Times New Roman"/>
          <w:color w:val="000000" w:themeColor="text1"/>
          <w:szCs w:val="32"/>
        </w:rPr>
        <w:t>A</w:t>
      </w:r>
      <w:r w:rsidR="00254286" w:rsidRPr="00581738">
        <w:rPr>
          <w:rFonts w:eastAsiaTheme="majorEastAsia" w:cs="Times New Roman"/>
          <w:color w:val="000000" w:themeColor="text1"/>
          <w:szCs w:val="32"/>
        </w:rPr>
        <w:t xml:space="preserve"> systematic content analysis of arguments </w:t>
      </w:r>
      <w:r w:rsidR="00254286">
        <w:rPr>
          <w:rFonts w:eastAsiaTheme="majorEastAsia" w:cs="Times New Roman"/>
          <w:color w:val="000000" w:themeColor="text1"/>
          <w:szCs w:val="32"/>
        </w:rPr>
        <w:t xml:space="preserve">made </w:t>
      </w:r>
      <w:r w:rsidR="00254286" w:rsidRPr="00581738">
        <w:rPr>
          <w:rFonts w:eastAsiaTheme="majorEastAsia" w:cs="Times New Roman"/>
          <w:color w:val="000000" w:themeColor="text1"/>
          <w:szCs w:val="32"/>
        </w:rPr>
        <w:t>for and against the living wage</w:t>
      </w:r>
      <w:r w:rsidR="00C34A85">
        <w:rPr>
          <w:rFonts w:eastAsiaTheme="majorEastAsia" w:cs="Times New Roman"/>
          <w:color w:val="000000" w:themeColor="text1"/>
          <w:szCs w:val="32"/>
        </w:rPr>
        <w:t xml:space="preserve"> in a range of </w:t>
      </w:r>
      <w:r w:rsidR="00F8307E">
        <w:rPr>
          <w:rFonts w:eastAsiaTheme="majorEastAsia" w:cs="Times New Roman"/>
          <w:color w:val="000000" w:themeColor="text1"/>
          <w:szCs w:val="32"/>
        </w:rPr>
        <w:t xml:space="preserve">secondary </w:t>
      </w:r>
      <w:r w:rsidR="00C34A85">
        <w:rPr>
          <w:rFonts w:eastAsiaTheme="majorEastAsia" w:cs="Times New Roman"/>
          <w:color w:val="000000" w:themeColor="text1"/>
          <w:szCs w:val="32"/>
        </w:rPr>
        <w:t>data sources</w:t>
      </w:r>
      <w:r w:rsidR="00F8307E">
        <w:rPr>
          <w:rFonts w:eastAsiaTheme="majorEastAsia" w:cs="Times New Roman"/>
          <w:color w:val="000000" w:themeColor="text1"/>
          <w:szCs w:val="32"/>
        </w:rPr>
        <w:t xml:space="preserve"> </w:t>
      </w:r>
      <w:r w:rsidR="00C34A85">
        <w:rPr>
          <w:rFonts w:eastAsiaTheme="majorEastAsia" w:cs="Times New Roman"/>
          <w:color w:val="000000" w:themeColor="text1"/>
          <w:szCs w:val="32"/>
        </w:rPr>
        <w:t>is conducted</w:t>
      </w:r>
      <w:r w:rsidR="00254286">
        <w:rPr>
          <w:rFonts w:eastAsiaTheme="majorEastAsia" w:cs="Times New Roman"/>
          <w:color w:val="000000" w:themeColor="text1"/>
          <w:szCs w:val="32"/>
        </w:rPr>
        <w:t>.  B</w:t>
      </w:r>
      <w:r w:rsidRPr="00711760">
        <w:rPr>
          <w:rFonts w:eastAsiaTheme="majorEastAsia" w:cs="Times New Roman"/>
          <w:color w:val="000000" w:themeColor="text1"/>
          <w:szCs w:val="32"/>
        </w:rPr>
        <w:t>oltanski</w:t>
      </w:r>
      <w:r>
        <w:rPr>
          <w:rFonts w:eastAsiaTheme="majorEastAsia" w:cs="Times New Roman"/>
          <w:color w:val="000000" w:themeColor="text1"/>
          <w:szCs w:val="32"/>
        </w:rPr>
        <w:t xml:space="preserve"> and Thévenot’s </w:t>
      </w:r>
      <w:r w:rsidR="0071004B">
        <w:rPr>
          <w:rFonts w:eastAsiaTheme="majorEastAsia" w:cs="Times New Roman"/>
          <w:color w:val="000000" w:themeColor="text1"/>
          <w:szCs w:val="32"/>
        </w:rPr>
        <w:t xml:space="preserve">typology of </w:t>
      </w:r>
      <w:r w:rsidR="007977E5">
        <w:rPr>
          <w:rFonts w:eastAsiaTheme="majorEastAsia" w:cs="Times New Roman"/>
          <w:color w:val="000000" w:themeColor="text1"/>
          <w:szCs w:val="32"/>
        </w:rPr>
        <w:t>“</w:t>
      </w:r>
      <w:r>
        <w:rPr>
          <w:rFonts w:eastAsiaTheme="majorEastAsia" w:cs="Times New Roman"/>
          <w:color w:val="000000" w:themeColor="text1"/>
          <w:szCs w:val="32"/>
        </w:rPr>
        <w:t>orders of worth</w:t>
      </w:r>
      <w:r w:rsidR="007977E5">
        <w:rPr>
          <w:rFonts w:eastAsiaTheme="majorEastAsia" w:cs="Times New Roman"/>
          <w:color w:val="000000" w:themeColor="text1"/>
          <w:szCs w:val="32"/>
        </w:rPr>
        <w:t>”</w:t>
      </w:r>
      <w:r>
        <w:rPr>
          <w:rFonts w:eastAsiaTheme="majorEastAsia" w:cs="Times New Roman"/>
          <w:color w:val="000000" w:themeColor="text1"/>
          <w:szCs w:val="32"/>
        </w:rPr>
        <w:t xml:space="preserve"> </w:t>
      </w:r>
      <w:r w:rsidR="00254286">
        <w:rPr>
          <w:rFonts w:eastAsiaTheme="majorEastAsia" w:cs="Times New Roman"/>
          <w:color w:val="000000" w:themeColor="text1"/>
          <w:szCs w:val="32"/>
        </w:rPr>
        <w:t>provide</w:t>
      </w:r>
      <w:r w:rsidR="00C34A85">
        <w:rPr>
          <w:rFonts w:eastAsiaTheme="majorEastAsia" w:cs="Times New Roman"/>
          <w:color w:val="000000" w:themeColor="text1"/>
          <w:szCs w:val="32"/>
        </w:rPr>
        <w:t>s</w:t>
      </w:r>
      <w:r w:rsidR="00254286">
        <w:rPr>
          <w:rFonts w:eastAsiaTheme="majorEastAsia" w:cs="Times New Roman"/>
          <w:color w:val="000000" w:themeColor="text1"/>
          <w:szCs w:val="32"/>
        </w:rPr>
        <w:t xml:space="preserve"> the </w:t>
      </w:r>
      <w:r w:rsidR="00C34A85">
        <w:rPr>
          <w:rFonts w:eastAsiaTheme="majorEastAsia" w:cs="Times New Roman"/>
          <w:color w:val="000000" w:themeColor="text1"/>
          <w:szCs w:val="32"/>
        </w:rPr>
        <w:t xml:space="preserve">framework </w:t>
      </w:r>
      <w:r w:rsidR="00254286">
        <w:rPr>
          <w:rFonts w:eastAsiaTheme="majorEastAsia" w:cs="Times New Roman"/>
          <w:color w:val="000000" w:themeColor="text1"/>
          <w:szCs w:val="32"/>
        </w:rPr>
        <w:t xml:space="preserve">for analysis. </w:t>
      </w:r>
    </w:p>
    <w:p w14:paraId="7DB50F7E" w14:textId="1D0D91B0" w:rsidR="00665CFA" w:rsidRDefault="00665CFA" w:rsidP="00A22B9A">
      <w:pPr>
        <w:widowControl w:val="0"/>
        <w:outlineLvl w:val="0"/>
        <w:rPr>
          <w:rFonts w:eastAsiaTheme="majorEastAsia" w:cs="Times New Roman"/>
          <w:color w:val="000000" w:themeColor="text1"/>
          <w:szCs w:val="32"/>
        </w:rPr>
      </w:pPr>
      <w:r>
        <w:rPr>
          <w:rFonts w:eastAsiaTheme="majorEastAsia" w:cs="Times New Roman"/>
          <w:b/>
          <w:color w:val="000000" w:themeColor="text1"/>
          <w:szCs w:val="32"/>
        </w:rPr>
        <w:t xml:space="preserve">Findings: </w:t>
      </w:r>
      <w:r>
        <w:rPr>
          <w:rFonts w:eastAsiaTheme="majorEastAsia" w:cs="Times New Roman"/>
          <w:color w:val="000000" w:themeColor="text1"/>
          <w:szCs w:val="32"/>
        </w:rPr>
        <w:t>Arguments for a living wage are found to draw on a range of orders of worth. The</w:t>
      </w:r>
      <w:r w:rsidR="00254286">
        <w:rPr>
          <w:rFonts w:eastAsiaTheme="majorEastAsia" w:cs="Times New Roman"/>
          <w:color w:val="000000" w:themeColor="text1"/>
          <w:szCs w:val="32"/>
        </w:rPr>
        <w:t>se arguments</w:t>
      </w:r>
      <w:r>
        <w:rPr>
          <w:rFonts w:eastAsiaTheme="majorEastAsia" w:cs="Times New Roman"/>
          <w:color w:val="000000" w:themeColor="text1"/>
          <w:szCs w:val="32"/>
        </w:rPr>
        <w:t xml:space="preserve"> hold</w:t>
      </w:r>
      <w:r w:rsidR="00C34A85">
        <w:rPr>
          <w:rFonts w:eastAsiaTheme="majorEastAsia" w:cs="Times New Roman"/>
          <w:color w:val="000000" w:themeColor="text1"/>
          <w:szCs w:val="32"/>
        </w:rPr>
        <w:t xml:space="preserve"> </w:t>
      </w:r>
      <w:r>
        <w:rPr>
          <w:rFonts w:eastAsiaTheme="majorEastAsia" w:cs="Times New Roman"/>
          <w:color w:val="000000" w:themeColor="text1"/>
          <w:szCs w:val="32"/>
        </w:rPr>
        <w:t>that</w:t>
      </w:r>
      <w:r w:rsidR="00254286">
        <w:rPr>
          <w:rFonts w:eastAsiaTheme="majorEastAsia" w:cs="Times New Roman"/>
          <w:color w:val="000000" w:themeColor="text1"/>
          <w:szCs w:val="32"/>
        </w:rPr>
        <w:t xml:space="preserve"> while market signals have a valid role in informing</w:t>
      </w:r>
      <w:r>
        <w:rPr>
          <w:rFonts w:eastAsiaTheme="majorEastAsia" w:cs="Times New Roman"/>
          <w:color w:val="000000" w:themeColor="text1"/>
          <w:szCs w:val="32"/>
        </w:rPr>
        <w:t xml:space="preserve"> wage decisions</w:t>
      </w:r>
      <w:r w:rsidR="00254286">
        <w:rPr>
          <w:rFonts w:eastAsiaTheme="majorEastAsia" w:cs="Times New Roman"/>
          <w:color w:val="000000" w:themeColor="text1"/>
          <w:szCs w:val="32"/>
        </w:rPr>
        <w:t xml:space="preserve">, such decisions should also take into account the </w:t>
      </w:r>
      <w:r w:rsidR="00254286" w:rsidRPr="00496BB0">
        <w:rPr>
          <w:rFonts w:eastAsiaTheme="majorEastAsia" w:cs="Times New Roman"/>
          <w:i/>
          <w:color w:val="000000" w:themeColor="text1"/>
          <w:szCs w:val="32"/>
        </w:rPr>
        <w:t xml:space="preserve">civic </w:t>
      </w:r>
      <w:r w:rsidR="00254286">
        <w:rPr>
          <w:rFonts w:eastAsiaTheme="majorEastAsia" w:cs="Times New Roman"/>
          <w:color w:val="000000" w:themeColor="text1"/>
          <w:szCs w:val="32"/>
        </w:rPr>
        <w:t xml:space="preserve">order’s emphasis on collective outcomes, the </w:t>
      </w:r>
      <w:r w:rsidR="00254286" w:rsidRPr="00496BB0">
        <w:rPr>
          <w:rFonts w:eastAsiaTheme="majorEastAsia" w:cs="Times New Roman"/>
          <w:i/>
          <w:color w:val="000000" w:themeColor="text1"/>
          <w:szCs w:val="32"/>
        </w:rPr>
        <w:t>industrial</w:t>
      </w:r>
      <w:r w:rsidR="00254286">
        <w:rPr>
          <w:rFonts w:eastAsiaTheme="majorEastAsia" w:cs="Times New Roman"/>
          <w:color w:val="000000" w:themeColor="text1"/>
          <w:szCs w:val="32"/>
        </w:rPr>
        <w:t xml:space="preserve"> order’s emphasis on long-term organisational performance, </w:t>
      </w:r>
      <w:r w:rsidR="007E0630">
        <w:rPr>
          <w:rFonts w:eastAsiaTheme="majorEastAsia" w:cs="Times New Roman"/>
          <w:color w:val="000000" w:themeColor="text1"/>
          <w:szCs w:val="32"/>
        </w:rPr>
        <w:t xml:space="preserve">and an emphasis on the inherent dignity of the human worker drawn from the </w:t>
      </w:r>
      <w:r w:rsidR="007E0630" w:rsidRPr="00496BB0">
        <w:rPr>
          <w:rFonts w:eastAsiaTheme="majorEastAsia" w:cs="Times New Roman"/>
          <w:i/>
          <w:color w:val="000000" w:themeColor="text1"/>
          <w:szCs w:val="32"/>
        </w:rPr>
        <w:t>domestic</w:t>
      </w:r>
      <w:r w:rsidR="007E0630">
        <w:rPr>
          <w:rFonts w:eastAsiaTheme="majorEastAsia" w:cs="Times New Roman"/>
          <w:color w:val="000000" w:themeColor="text1"/>
          <w:szCs w:val="32"/>
        </w:rPr>
        <w:t xml:space="preserve"> and </w:t>
      </w:r>
      <w:r w:rsidR="007E0630" w:rsidRPr="00496BB0">
        <w:rPr>
          <w:rFonts w:eastAsiaTheme="majorEastAsia" w:cs="Times New Roman"/>
          <w:i/>
          <w:color w:val="000000" w:themeColor="text1"/>
          <w:szCs w:val="32"/>
        </w:rPr>
        <w:t>inspired</w:t>
      </w:r>
      <w:r w:rsidR="007E0630">
        <w:rPr>
          <w:rFonts w:eastAsiaTheme="majorEastAsia" w:cs="Times New Roman"/>
          <w:color w:val="000000" w:themeColor="text1"/>
          <w:szCs w:val="32"/>
        </w:rPr>
        <w:t xml:space="preserve"> orders</w:t>
      </w:r>
      <w:r>
        <w:rPr>
          <w:rFonts w:eastAsiaTheme="majorEastAsia" w:cs="Times New Roman"/>
          <w:color w:val="000000" w:themeColor="text1"/>
          <w:szCs w:val="32"/>
        </w:rPr>
        <w:t xml:space="preserve">.  </w:t>
      </w:r>
      <w:r w:rsidR="00C34A85">
        <w:rPr>
          <w:rFonts w:eastAsiaTheme="majorEastAsia" w:cs="Times New Roman"/>
          <w:color w:val="000000" w:themeColor="text1"/>
          <w:szCs w:val="32"/>
        </w:rPr>
        <w:t>B</w:t>
      </w:r>
      <w:r>
        <w:rPr>
          <w:rFonts w:eastAsiaTheme="majorEastAsia" w:cs="Times New Roman"/>
          <w:color w:val="000000" w:themeColor="text1"/>
          <w:szCs w:val="32"/>
        </w:rPr>
        <w:t xml:space="preserve">usiness arguments against a living wage </w:t>
      </w:r>
      <w:r w:rsidR="007E0630">
        <w:rPr>
          <w:rFonts w:eastAsiaTheme="majorEastAsia" w:cs="Times New Roman"/>
          <w:color w:val="000000" w:themeColor="text1"/>
          <w:szCs w:val="32"/>
        </w:rPr>
        <w:t>hold that the current weight given to the tests and objectives of</w:t>
      </w:r>
      <w:r>
        <w:rPr>
          <w:rFonts w:eastAsiaTheme="majorEastAsia" w:cs="Times New Roman"/>
          <w:color w:val="000000" w:themeColor="text1"/>
          <w:szCs w:val="32"/>
        </w:rPr>
        <w:t xml:space="preserve"> </w:t>
      </w:r>
      <w:r w:rsidR="009C484E">
        <w:rPr>
          <w:rFonts w:eastAsiaTheme="majorEastAsia" w:cs="Times New Roman"/>
          <w:color w:val="000000" w:themeColor="text1"/>
          <w:szCs w:val="32"/>
        </w:rPr>
        <w:t xml:space="preserve">the </w:t>
      </w:r>
      <w:r w:rsidRPr="00496BB0">
        <w:rPr>
          <w:rFonts w:eastAsiaTheme="majorEastAsia" w:cs="Times New Roman"/>
          <w:i/>
          <w:color w:val="000000" w:themeColor="text1"/>
          <w:szCs w:val="32"/>
        </w:rPr>
        <w:t>market</w:t>
      </w:r>
      <w:r>
        <w:rPr>
          <w:rFonts w:eastAsiaTheme="majorEastAsia" w:cs="Times New Roman"/>
          <w:color w:val="000000" w:themeColor="text1"/>
          <w:szCs w:val="32"/>
        </w:rPr>
        <w:t xml:space="preserve"> order</w:t>
      </w:r>
      <w:r w:rsidR="007E0630">
        <w:rPr>
          <w:rFonts w:eastAsiaTheme="majorEastAsia" w:cs="Times New Roman"/>
          <w:color w:val="000000" w:themeColor="text1"/>
          <w:szCs w:val="32"/>
        </w:rPr>
        <w:t xml:space="preserve"> is optimal</w:t>
      </w:r>
      <w:r w:rsidR="00C34A85">
        <w:rPr>
          <w:rFonts w:eastAsiaTheme="majorEastAsia" w:cs="Times New Roman"/>
          <w:color w:val="000000" w:themeColor="text1"/>
          <w:szCs w:val="32"/>
        </w:rPr>
        <w:t xml:space="preserve"> and</w:t>
      </w:r>
      <w:r>
        <w:rPr>
          <w:rFonts w:eastAsiaTheme="majorEastAsia" w:cs="Times New Roman"/>
          <w:color w:val="000000" w:themeColor="text1"/>
          <w:szCs w:val="32"/>
        </w:rPr>
        <w:t xml:space="preserve"> that a living wage would undermine firm competitiveness</w:t>
      </w:r>
      <w:r w:rsidR="007E0630">
        <w:rPr>
          <w:rFonts w:eastAsiaTheme="majorEastAsia" w:cs="Times New Roman"/>
          <w:color w:val="000000" w:themeColor="text1"/>
          <w:szCs w:val="32"/>
        </w:rPr>
        <w:t xml:space="preserve"> and, ultimately, collective well-being</w:t>
      </w:r>
      <w:r>
        <w:rPr>
          <w:rFonts w:eastAsiaTheme="majorEastAsia" w:cs="Times New Roman"/>
          <w:color w:val="000000" w:themeColor="text1"/>
          <w:szCs w:val="32"/>
        </w:rPr>
        <w:t>.</w:t>
      </w:r>
      <w:r w:rsidRPr="001B27DE">
        <w:t xml:space="preserve"> </w:t>
      </w:r>
      <w:r w:rsidR="00B93755">
        <w:rPr>
          <w:rFonts w:eastAsiaTheme="majorEastAsia" w:cs="Times New Roman"/>
          <w:color w:val="000000" w:themeColor="text1"/>
          <w:szCs w:val="32"/>
        </w:rPr>
        <w:t xml:space="preserve">  </w:t>
      </w:r>
      <w:r w:rsidR="00416F1F">
        <w:rPr>
          <w:rFonts w:eastAsiaTheme="majorEastAsia" w:cs="Times New Roman"/>
          <w:color w:val="000000" w:themeColor="text1"/>
          <w:szCs w:val="32"/>
        </w:rPr>
        <w:t>J</w:t>
      </w:r>
      <w:r w:rsidR="00B93755">
        <w:rPr>
          <w:rFonts w:eastAsiaTheme="majorEastAsia" w:cs="Times New Roman"/>
          <w:color w:val="000000" w:themeColor="text1"/>
          <w:szCs w:val="32"/>
        </w:rPr>
        <w:t xml:space="preserve">ustifications of existing low-wage practices are </w:t>
      </w:r>
      <w:r w:rsidR="00416F1F">
        <w:rPr>
          <w:rFonts w:eastAsiaTheme="majorEastAsia" w:cs="Times New Roman"/>
          <w:color w:val="000000" w:themeColor="text1"/>
          <w:szCs w:val="32"/>
        </w:rPr>
        <w:t xml:space="preserve">shown to be </w:t>
      </w:r>
      <w:r w:rsidR="00B93755">
        <w:rPr>
          <w:rFonts w:eastAsiaTheme="majorEastAsia" w:cs="Times New Roman"/>
          <w:color w:val="000000" w:themeColor="text1"/>
          <w:szCs w:val="32"/>
        </w:rPr>
        <w:t>reflected in, and naturalised by, accounting discourses and practices</w:t>
      </w:r>
      <w:r w:rsidR="001F794A">
        <w:rPr>
          <w:rFonts w:eastAsiaTheme="majorEastAsia" w:cs="Times New Roman"/>
          <w:color w:val="000000" w:themeColor="text1"/>
          <w:szCs w:val="32"/>
        </w:rPr>
        <w:t xml:space="preserve">. </w:t>
      </w:r>
    </w:p>
    <w:p w14:paraId="26205534" w14:textId="3F4DE6CC" w:rsidR="00665CFA" w:rsidRDefault="00665CFA" w:rsidP="00A22B9A">
      <w:pPr>
        <w:widowControl w:val="0"/>
        <w:outlineLvl w:val="0"/>
        <w:rPr>
          <w:rFonts w:eastAsiaTheme="majorEastAsia" w:cs="Times New Roman"/>
          <w:color w:val="000000" w:themeColor="text1"/>
          <w:szCs w:val="32"/>
        </w:rPr>
      </w:pPr>
      <w:r>
        <w:rPr>
          <w:rFonts w:eastAsiaTheme="majorEastAsia" w:cs="Times New Roman"/>
          <w:b/>
          <w:color w:val="000000" w:themeColor="text1"/>
          <w:szCs w:val="32"/>
        </w:rPr>
        <w:t xml:space="preserve">Originality/value: </w:t>
      </w:r>
      <w:r w:rsidR="00BF11E5">
        <w:rPr>
          <w:rFonts w:eastAsiaTheme="majorEastAsia" w:cs="Times New Roman"/>
          <w:color w:val="000000" w:themeColor="text1"/>
          <w:szCs w:val="32"/>
        </w:rPr>
        <w:t>This study</w:t>
      </w:r>
      <w:r>
        <w:rPr>
          <w:rFonts w:eastAsiaTheme="majorEastAsia" w:cs="Times New Roman"/>
          <w:color w:val="000000" w:themeColor="text1"/>
          <w:szCs w:val="32"/>
        </w:rPr>
        <w:t xml:space="preserve"> contribut</w:t>
      </w:r>
      <w:r w:rsidR="00BF11E5">
        <w:rPr>
          <w:rFonts w:eastAsiaTheme="majorEastAsia" w:cs="Times New Roman"/>
          <w:color w:val="000000" w:themeColor="text1"/>
          <w:szCs w:val="32"/>
        </w:rPr>
        <w:t>es</w:t>
      </w:r>
      <w:r>
        <w:rPr>
          <w:rFonts w:eastAsiaTheme="majorEastAsia" w:cs="Times New Roman"/>
          <w:color w:val="000000" w:themeColor="text1"/>
          <w:szCs w:val="32"/>
        </w:rPr>
        <w:t xml:space="preserve"> to the </w:t>
      </w:r>
      <w:r w:rsidR="007E0630">
        <w:rPr>
          <w:rFonts w:eastAsiaTheme="majorEastAsia" w:cs="Times New Roman"/>
          <w:color w:val="000000" w:themeColor="text1"/>
          <w:szCs w:val="32"/>
        </w:rPr>
        <w:t xml:space="preserve">emergent </w:t>
      </w:r>
      <w:r>
        <w:rPr>
          <w:rFonts w:eastAsiaTheme="majorEastAsia" w:cs="Times New Roman"/>
          <w:color w:val="000000" w:themeColor="text1"/>
          <w:szCs w:val="32"/>
        </w:rPr>
        <w:t xml:space="preserve">literature </w:t>
      </w:r>
      <w:r w:rsidR="009C484E">
        <w:rPr>
          <w:rFonts w:eastAsiaTheme="majorEastAsia" w:cs="Times New Roman"/>
          <w:color w:val="000000" w:themeColor="text1"/>
          <w:szCs w:val="32"/>
        </w:rPr>
        <w:t>on</w:t>
      </w:r>
      <w:r>
        <w:rPr>
          <w:rFonts w:eastAsiaTheme="majorEastAsia" w:cs="Times New Roman"/>
          <w:color w:val="000000" w:themeColor="text1"/>
          <w:szCs w:val="32"/>
        </w:rPr>
        <w:t xml:space="preserve"> the relationship between accounting and inequality.  </w:t>
      </w:r>
      <w:r w:rsidR="00BF11E5">
        <w:rPr>
          <w:rFonts w:eastAsiaTheme="majorEastAsia" w:cs="Times New Roman"/>
          <w:color w:val="000000" w:themeColor="text1"/>
          <w:szCs w:val="32"/>
        </w:rPr>
        <w:t>It elucidates a</w:t>
      </w:r>
      <w:r>
        <w:rPr>
          <w:rFonts w:eastAsiaTheme="majorEastAsia" w:cs="Times New Roman"/>
          <w:color w:val="000000" w:themeColor="text1"/>
          <w:szCs w:val="32"/>
        </w:rPr>
        <w:t>ccounting</w:t>
      </w:r>
      <w:r w:rsidR="00F8307E">
        <w:rPr>
          <w:rFonts w:eastAsiaTheme="majorEastAsia" w:cs="Times New Roman"/>
          <w:color w:val="000000" w:themeColor="text1"/>
          <w:szCs w:val="32"/>
        </w:rPr>
        <w:t>’s role</w:t>
      </w:r>
      <w:r>
        <w:rPr>
          <w:rFonts w:eastAsiaTheme="majorEastAsia" w:cs="Times New Roman"/>
          <w:color w:val="000000" w:themeColor="text1"/>
          <w:szCs w:val="32"/>
        </w:rPr>
        <w:t xml:space="preserve"> in supporting the </w:t>
      </w:r>
      <w:r w:rsidRPr="00496BB0">
        <w:rPr>
          <w:rFonts w:eastAsiaTheme="majorEastAsia" w:cs="Times New Roman"/>
          <w:i/>
          <w:color w:val="000000" w:themeColor="text1"/>
          <w:szCs w:val="32"/>
        </w:rPr>
        <w:t>market</w:t>
      </w:r>
      <w:r>
        <w:rPr>
          <w:rFonts w:eastAsiaTheme="majorEastAsia" w:cs="Times New Roman"/>
          <w:color w:val="000000" w:themeColor="text1"/>
          <w:szCs w:val="32"/>
        </w:rPr>
        <w:t xml:space="preserve"> order of worth and thus the stabilisation and perpetuation of income inequalit</w:t>
      </w:r>
      <w:r w:rsidR="0071004B">
        <w:rPr>
          <w:rFonts w:eastAsiaTheme="majorEastAsia" w:cs="Times New Roman"/>
          <w:color w:val="000000" w:themeColor="text1"/>
          <w:szCs w:val="32"/>
        </w:rPr>
        <w:t>ies</w:t>
      </w:r>
      <w:r w:rsidR="00BF11E5">
        <w:rPr>
          <w:rFonts w:eastAsiaTheme="majorEastAsia" w:cs="Times New Roman"/>
          <w:color w:val="000000" w:themeColor="text1"/>
          <w:szCs w:val="32"/>
        </w:rPr>
        <w:t>.</w:t>
      </w:r>
      <w:r w:rsidR="00C34A85">
        <w:rPr>
          <w:rFonts w:eastAsiaTheme="majorEastAsia" w:cs="Times New Roman"/>
          <w:color w:val="000000" w:themeColor="text1"/>
          <w:szCs w:val="32"/>
        </w:rPr>
        <w:t xml:space="preserve"> </w:t>
      </w:r>
      <w:r w:rsidR="00BF11E5">
        <w:rPr>
          <w:rFonts w:eastAsiaTheme="majorEastAsia" w:cs="Times New Roman"/>
          <w:color w:val="000000" w:themeColor="text1"/>
          <w:szCs w:val="32"/>
        </w:rPr>
        <w:t>Its analysis of</w:t>
      </w:r>
      <w:r w:rsidR="00C34A85">
        <w:rPr>
          <w:rFonts w:eastAsiaTheme="majorEastAsia" w:cs="Times New Roman"/>
          <w:color w:val="000000" w:themeColor="text1"/>
          <w:szCs w:val="32"/>
        </w:rPr>
        <w:t xml:space="preserve"> the orders of worth invoked by those calling for a living wage </w:t>
      </w:r>
      <w:r w:rsidR="00A51122">
        <w:rPr>
          <w:rFonts w:eastAsiaTheme="majorEastAsia" w:cs="Times New Roman"/>
          <w:color w:val="000000" w:themeColor="text1"/>
          <w:szCs w:val="32"/>
        </w:rPr>
        <w:t>contribute to the task of</w:t>
      </w:r>
      <w:r>
        <w:rPr>
          <w:rFonts w:eastAsiaTheme="majorEastAsia" w:cs="Times New Roman"/>
          <w:color w:val="000000" w:themeColor="text1"/>
          <w:szCs w:val="32"/>
        </w:rPr>
        <w:t xml:space="preserve"> imagin</w:t>
      </w:r>
      <w:r w:rsidR="00A51122">
        <w:rPr>
          <w:rFonts w:eastAsiaTheme="majorEastAsia" w:cs="Times New Roman"/>
          <w:color w:val="000000" w:themeColor="text1"/>
          <w:szCs w:val="32"/>
        </w:rPr>
        <w:t>ing</w:t>
      </w:r>
      <w:r>
        <w:rPr>
          <w:rFonts w:eastAsiaTheme="majorEastAsia" w:cs="Times New Roman"/>
          <w:color w:val="000000" w:themeColor="text1"/>
          <w:szCs w:val="32"/>
        </w:rPr>
        <w:t xml:space="preserve"> and construct</w:t>
      </w:r>
      <w:r w:rsidR="00A51122">
        <w:rPr>
          <w:rFonts w:eastAsiaTheme="majorEastAsia" w:cs="Times New Roman"/>
          <w:color w:val="000000" w:themeColor="text1"/>
          <w:szCs w:val="32"/>
        </w:rPr>
        <w:t>ing an</w:t>
      </w:r>
      <w:r>
        <w:rPr>
          <w:rFonts w:eastAsiaTheme="majorEastAsia" w:cs="Times New Roman"/>
          <w:color w:val="000000" w:themeColor="text1"/>
          <w:szCs w:val="32"/>
        </w:rPr>
        <w:t xml:space="preserve"> alternative, more equitable, accounting discourse</w:t>
      </w:r>
      <w:r w:rsidR="004C4D39">
        <w:rPr>
          <w:rFonts w:eastAsiaTheme="majorEastAsia" w:cs="Times New Roman"/>
          <w:color w:val="000000" w:themeColor="text1"/>
          <w:szCs w:val="32"/>
        </w:rPr>
        <w:t xml:space="preserve"> and practice</w:t>
      </w:r>
      <w:r>
        <w:rPr>
          <w:rFonts w:eastAsiaTheme="majorEastAsia" w:cs="Times New Roman"/>
          <w:color w:val="000000" w:themeColor="text1"/>
          <w:szCs w:val="32"/>
        </w:rPr>
        <w:t xml:space="preserve">.  </w:t>
      </w:r>
    </w:p>
    <w:p w14:paraId="3752D494" w14:textId="59D45109" w:rsidR="00665CFA" w:rsidRPr="00CF0EEA" w:rsidRDefault="00665CFA" w:rsidP="00A22B9A">
      <w:pPr>
        <w:widowControl w:val="0"/>
        <w:outlineLvl w:val="0"/>
        <w:rPr>
          <w:rFonts w:eastAsiaTheme="majorEastAsia" w:cs="Times New Roman"/>
          <w:color w:val="000000" w:themeColor="text1"/>
          <w:szCs w:val="32"/>
        </w:rPr>
      </w:pPr>
      <w:r>
        <w:rPr>
          <w:rFonts w:eastAsiaTheme="majorEastAsia" w:cs="Times New Roman"/>
          <w:b/>
          <w:color w:val="000000" w:themeColor="text1"/>
          <w:szCs w:val="32"/>
        </w:rPr>
        <w:t xml:space="preserve">Keywords: </w:t>
      </w:r>
      <w:r>
        <w:rPr>
          <w:rFonts w:eastAsiaTheme="majorEastAsia" w:cs="Times New Roman"/>
          <w:color w:val="000000" w:themeColor="text1"/>
          <w:szCs w:val="32"/>
        </w:rPr>
        <w:t>income inequality, accounting for inequalit</w:t>
      </w:r>
      <w:r w:rsidR="00B042BD">
        <w:rPr>
          <w:rFonts w:eastAsiaTheme="majorEastAsia" w:cs="Times New Roman"/>
          <w:color w:val="000000" w:themeColor="text1"/>
          <w:szCs w:val="32"/>
        </w:rPr>
        <w:t xml:space="preserve">y, social accounting, pragmatic </w:t>
      </w:r>
      <w:r>
        <w:rPr>
          <w:rFonts w:eastAsiaTheme="majorEastAsia" w:cs="Times New Roman"/>
          <w:color w:val="000000" w:themeColor="text1"/>
          <w:szCs w:val="32"/>
        </w:rPr>
        <w:t>sociology</w:t>
      </w:r>
    </w:p>
    <w:p w14:paraId="69A56B4F" w14:textId="77777777" w:rsidR="00665CFA" w:rsidRDefault="00665CFA" w:rsidP="00A22B9A">
      <w:pPr>
        <w:widowControl w:val="0"/>
        <w:outlineLvl w:val="0"/>
        <w:rPr>
          <w:rFonts w:eastAsiaTheme="majorEastAsia" w:cs="Times New Roman"/>
          <w:color w:val="000000" w:themeColor="text1"/>
          <w:szCs w:val="32"/>
        </w:rPr>
      </w:pPr>
      <w:r>
        <w:rPr>
          <w:rFonts w:eastAsiaTheme="majorEastAsia" w:cs="Times New Roman"/>
          <w:b/>
          <w:color w:val="000000" w:themeColor="text1"/>
          <w:szCs w:val="32"/>
        </w:rPr>
        <w:t xml:space="preserve">Paper type: </w:t>
      </w:r>
      <w:r>
        <w:rPr>
          <w:rFonts w:eastAsiaTheme="majorEastAsia" w:cs="Times New Roman"/>
          <w:color w:val="000000" w:themeColor="text1"/>
          <w:szCs w:val="32"/>
        </w:rPr>
        <w:t>Research paper</w:t>
      </w:r>
    </w:p>
    <w:p w14:paraId="0A12AFE9" w14:textId="2752B198" w:rsidR="00665CFA" w:rsidRDefault="00665CFA" w:rsidP="00A22B9A">
      <w:pPr>
        <w:keepNext/>
        <w:keepLines/>
        <w:outlineLvl w:val="0"/>
        <w:rPr>
          <w:rFonts w:eastAsiaTheme="majorEastAsia" w:cs="Times New Roman"/>
          <w:color w:val="000000" w:themeColor="text1"/>
          <w:szCs w:val="32"/>
        </w:rPr>
      </w:pPr>
    </w:p>
    <w:p w14:paraId="2A73E332" w14:textId="77777777" w:rsidR="00581738" w:rsidRDefault="00581738" w:rsidP="00A22B9A">
      <w:pPr>
        <w:keepNext/>
        <w:keepLines/>
        <w:outlineLvl w:val="0"/>
        <w:rPr>
          <w:rFonts w:eastAsiaTheme="majorEastAsia" w:cs="Times New Roman"/>
          <w:color w:val="000000" w:themeColor="text1"/>
          <w:szCs w:val="32"/>
        </w:rPr>
      </w:pPr>
    </w:p>
    <w:p w14:paraId="09F33AF1" w14:textId="77777777" w:rsidR="00665CFA" w:rsidRDefault="00665CFA" w:rsidP="00A22B9A">
      <w:pPr>
        <w:keepNext/>
        <w:keepLines/>
        <w:outlineLvl w:val="0"/>
        <w:rPr>
          <w:rFonts w:eastAsiaTheme="majorEastAsia" w:cs="Times New Roman"/>
          <w:b/>
          <w:color w:val="000000" w:themeColor="text1"/>
          <w:szCs w:val="32"/>
        </w:rPr>
      </w:pPr>
      <w:r>
        <w:rPr>
          <w:rFonts w:eastAsiaTheme="majorEastAsia" w:cs="Times New Roman"/>
          <w:b/>
          <w:color w:val="000000" w:themeColor="text1"/>
          <w:szCs w:val="32"/>
        </w:rPr>
        <w:t>Introduction</w:t>
      </w:r>
    </w:p>
    <w:p w14:paraId="5328D2FE" w14:textId="4ECD38E3" w:rsidR="00665CFA" w:rsidRDefault="00665CFA" w:rsidP="00A22B9A">
      <w:pPr>
        <w:rPr>
          <w:rFonts w:cs="Times New Roman"/>
        </w:rPr>
      </w:pPr>
      <w:r>
        <w:rPr>
          <w:rFonts w:cs="Times New Roman"/>
        </w:rPr>
        <w:t xml:space="preserve">Accounting discourses, rationales, technologies and calculations, have long been recognised as supporting the hegemonic discourses of capitalism and neo-liberalism (Catchpowle, Cooper &amp; Wright, 2004; Cooper, 1995; Rose, 1991).  </w:t>
      </w:r>
      <w:r w:rsidR="00473773">
        <w:rPr>
          <w:rFonts w:cs="Times New Roman"/>
        </w:rPr>
        <w:t>Until recently, h</w:t>
      </w:r>
      <w:r>
        <w:rPr>
          <w:rFonts w:cs="Times New Roman"/>
        </w:rPr>
        <w:t xml:space="preserve">owever, accounting has been largely silent on the relationship between accounting and economic (in)equality (Sikka, </w:t>
      </w:r>
      <w:r>
        <w:rPr>
          <w:rFonts w:cs="Times New Roman"/>
        </w:rPr>
        <w:lastRenderedPageBreak/>
        <w:t>2015; Tweedie &amp; Haze</w:t>
      </w:r>
      <w:r w:rsidR="00A74A96">
        <w:rPr>
          <w:rFonts w:cs="Times New Roman"/>
        </w:rPr>
        <w:t>l</w:t>
      </w:r>
      <w:r>
        <w:rPr>
          <w:rFonts w:cs="Times New Roman"/>
        </w:rPr>
        <w:t>ton, 2015).</w:t>
      </w:r>
      <w:r>
        <w:rPr>
          <w:rStyle w:val="EndnoteReference"/>
          <w:rFonts w:cs="Times New Roman"/>
        </w:rPr>
        <w:endnoteReference w:id="1"/>
      </w:r>
      <w:r>
        <w:rPr>
          <w:rFonts w:cs="Times New Roman"/>
        </w:rPr>
        <w:t xml:space="preserve">  </w:t>
      </w:r>
      <w:r w:rsidRPr="007C10AC">
        <w:rPr>
          <w:rFonts w:cs="Times New Roman"/>
          <w:lang w:val="en-GB"/>
        </w:rPr>
        <w:t>Raven</w:t>
      </w:r>
      <w:r>
        <w:rPr>
          <w:rFonts w:cs="Times New Roman"/>
          <w:lang w:val="en-GB"/>
        </w:rPr>
        <w:t xml:space="preserve">scroft </w:t>
      </w:r>
      <w:r w:rsidR="007977E5">
        <w:rPr>
          <w:rFonts w:cs="Times New Roman"/>
          <w:lang w:val="en-GB"/>
        </w:rPr>
        <w:t>and</w:t>
      </w:r>
      <w:r>
        <w:rPr>
          <w:rFonts w:cs="Times New Roman"/>
          <w:lang w:val="en-GB"/>
        </w:rPr>
        <w:t xml:space="preserve"> Denison (2014, p. 91) argue</w:t>
      </w:r>
      <w:r w:rsidRPr="007C10AC">
        <w:rPr>
          <w:rFonts w:cs="Times New Roman"/>
          <w:lang w:val="en-GB"/>
        </w:rPr>
        <w:t xml:space="preserve"> that “accounting narratives have been silent on corporations’ role in expanding income inequality</w:t>
      </w:r>
      <w:r>
        <w:rPr>
          <w:rFonts w:cs="Times New Roman"/>
          <w:lang w:val="en-GB"/>
        </w:rPr>
        <w:t>” even though this is “</w:t>
      </w:r>
      <w:r w:rsidRPr="007C10AC">
        <w:rPr>
          <w:rFonts w:cs="Times New Roman"/>
          <w:lang w:val="en-GB"/>
        </w:rPr>
        <w:t xml:space="preserve">a phenomenon which causes significant problems for individuals, and could threaten the survival of our tradition of democratic institutions”. </w:t>
      </w:r>
      <w:r>
        <w:rPr>
          <w:rFonts w:cs="Times New Roman"/>
          <w:lang w:val="en-GB"/>
        </w:rPr>
        <w:t xml:space="preserve"> </w:t>
      </w:r>
      <w:r>
        <w:rPr>
          <w:rFonts w:cs="Times New Roman"/>
        </w:rPr>
        <w:t>The crucial significance of this issue, and the role of accounting in the allocation of firm resources</w:t>
      </w:r>
      <w:r w:rsidR="007977E5">
        <w:rPr>
          <w:rFonts w:cs="Times New Roman"/>
        </w:rPr>
        <w:t xml:space="preserve"> </w:t>
      </w:r>
      <w:r w:rsidR="007E0630">
        <w:rPr>
          <w:rFonts w:cs="Times New Roman"/>
        </w:rPr>
        <w:t>(</w:t>
      </w:r>
      <w:r w:rsidR="007977E5">
        <w:rPr>
          <w:rFonts w:cs="Times New Roman"/>
        </w:rPr>
        <w:t xml:space="preserve">and </w:t>
      </w:r>
      <w:r w:rsidR="00D44A96">
        <w:rPr>
          <w:rFonts w:cs="Times New Roman"/>
        </w:rPr>
        <w:t xml:space="preserve">in </w:t>
      </w:r>
      <w:r w:rsidR="007977E5">
        <w:rPr>
          <w:rFonts w:cs="Times New Roman"/>
        </w:rPr>
        <w:t xml:space="preserve">transparency and accountability in relation to </w:t>
      </w:r>
      <w:r w:rsidR="007E0630">
        <w:rPr>
          <w:rFonts w:cs="Times New Roman"/>
        </w:rPr>
        <w:t>this allocation)</w:t>
      </w:r>
      <w:r w:rsidR="0005528A">
        <w:rPr>
          <w:rFonts w:cs="Times New Roman"/>
        </w:rPr>
        <w:t>,</w:t>
      </w:r>
      <w:r>
        <w:rPr>
          <w:rFonts w:cs="Times New Roman"/>
        </w:rPr>
        <w:t xml:space="preserve"> has led to</w:t>
      </w:r>
      <w:r w:rsidRPr="00CC5F62">
        <w:rPr>
          <w:rFonts w:cs="Times New Roman"/>
        </w:rPr>
        <w:t xml:space="preserve"> </w:t>
      </w:r>
      <w:r>
        <w:rPr>
          <w:rFonts w:cs="Times New Roman"/>
        </w:rPr>
        <w:t xml:space="preserve">recent </w:t>
      </w:r>
      <w:r w:rsidRPr="00CC5F62">
        <w:rPr>
          <w:rFonts w:cs="Times New Roman"/>
        </w:rPr>
        <w:t xml:space="preserve">calls for </w:t>
      </w:r>
      <w:r w:rsidRPr="005937AE">
        <w:rPr>
          <w:rFonts w:cs="Times New Roman"/>
        </w:rPr>
        <w:t xml:space="preserve">social </w:t>
      </w:r>
      <w:r w:rsidRPr="00CC5F62">
        <w:rPr>
          <w:rFonts w:cs="Times New Roman"/>
        </w:rPr>
        <w:t>accounting</w:t>
      </w:r>
      <w:r>
        <w:rPr>
          <w:rFonts w:cs="Times New Roman"/>
        </w:rPr>
        <w:t>,</w:t>
      </w:r>
      <w:r w:rsidRPr="00CC5F62">
        <w:rPr>
          <w:rFonts w:cs="Times New Roman"/>
        </w:rPr>
        <w:t xml:space="preserve"> with its stated agenda of social emancipation, social justic</w:t>
      </w:r>
      <w:r w:rsidRPr="005937AE">
        <w:rPr>
          <w:rFonts w:cs="Times New Roman"/>
        </w:rPr>
        <w:t>e and progressive social change,</w:t>
      </w:r>
      <w:r w:rsidRPr="00CC5F62">
        <w:rPr>
          <w:rFonts w:cs="Times New Roman"/>
        </w:rPr>
        <w:t xml:space="preserve"> to engage with issues of economic inequality</w:t>
      </w:r>
      <w:r>
        <w:rPr>
          <w:rFonts w:cs="Times New Roman"/>
        </w:rPr>
        <w:t xml:space="preserve"> (Sikka, 2015; Tweedie &amp; Hazelton, 2015).  </w:t>
      </w:r>
      <w:r w:rsidRPr="007C10AC">
        <w:rPr>
          <w:rFonts w:cs="Times New Roman"/>
          <w:lang w:val="en-GB"/>
        </w:rPr>
        <w:t xml:space="preserve">We </w:t>
      </w:r>
      <w:r>
        <w:rPr>
          <w:rFonts w:cs="Times New Roman"/>
          <w:lang w:val="en-GB"/>
        </w:rPr>
        <w:t xml:space="preserve">respond to </w:t>
      </w:r>
      <w:r w:rsidR="002662D1">
        <w:rPr>
          <w:rFonts w:cs="Times New Roman"/>
          <w:lang w:val="en-GB"/>
        </w:rPr>
        <w:t>these</w:t>
      </w:r>
      <w:r>
        <w:rPr>
          <w:rFonts w:cs="Times New Roman"/>
          <w:lang w:val="en-GB"/>
        </w:rPr>
        <w:t xml:space="preserve"> call</w:t>
      </w:r>
      <w:r w:rsidR="002662D1">
        <w:rPr>
          <w:rFonts w:cs="Times New Roman"/>
          <w:lang w:val="en-GB"/>
        </w:rPr>
        <w:t>s</w:t>
      </w:r>
      <w:r>
        <w:rPr>
          <w:rFonts w:cs="Times New Roman"/>
          <w:lang w:val="en-GB"/>
        </w:rPr>
        <w:t xml:space="preserve"> </w:t>
      </w:r>
      <w:r w:rsidR="002662D1">
        <w:rPr>
          <w:rFonts w:cs="Times New Roman"/>
          <w:lang w:val="en-GB"/>
        </w:rPr>
        <w:t xml:space="preserve">and contribute to studies which examine (and </w:t>
      </w:r>
      <w:r w:rsidR="003D40AD">
        <w:rPr>
          <w:rFonts w:cs="Times New Roman"/>
          <w:lang w:val="en-GB"/>
        </w:rPr>
        <w:t>problematise</w:t>
      </w:r>
      <w:r w:rsidR="002662D1">
        <w:rPr>
          <w:rFonts w:cs="Times New Roman"/>
          <w:lang w:val="en-GB"/>
        </w:rPr>
        <w:t>)</w:t>
      </w:r>
      <w:r w:rsidRPr="007C10AC">
        <w:rPr>
          <w:rFonts w:cs="Times New Roman"/>
          <w:lang w:val="en-GB"/>
        </w:rPr>
        <w:t xml:space="preserve"> the relationship between accounting and economic inequality.</w:t>
      </w:r>
    </w:p>
    <w:p w14:paraId="603330E4" w14:textId="77777777" w:rsidR="00665CFA" w:rsidRDefault="00665CFA" w:rsidP="00A22B9A">
      <w:pPr>
        <w:rPr>
          <w:rFonts w:cs="Times New Roman"/>
        </w:rPr>
      </w:pPr>
    </w:p>
    <w:p w14:paraId="26E773C5" w14:textId="55DF6896" w:rsidR="00665CFA" w:rsidRDefault="00665CFA" w:rsidP="00A22B9A">
      <w:pPr>
        <w:rPr>
          <w:rFonts w:cs="Times New Roman"/>
        </w:rPr>
      </w:pPr>
      <w:r w:rsidRPr="002D193A">
        <w:rPr>
          <w:rFonts w:cs="Times New Roman"/>
        </w:rPr>
        <w:t xml:space="preserve">We address a gap in the literature </w:t>
      </w:r>
      <w:r>
        <w:rPr>
          <w:rFonts w:cs="Times New Roman"/>
        </w:rPr>
        <w:t xml:space="preserve">by examining the role of accounting </w:t>
      </w:r>
      <w:r w:rsidR="00D40D25">
        <w:rPr>
          <w:rFonts w:cs="Times New Roman"/>
        </w:rPr>
        <w:t xml:space="preserve">norms, practices and artefacts </w:t>
      </w:r>
      <w:r>
        <w:rPr>
          <w:rFonts w:cs="Times New Roman"/>
        </w:rPr>
        <w:t xml:space="preserve">in generating and stabilising </w:t>
      </w:r>
      <w:r w:rsidRPr="002D193A">
        <w:rPr>
          <w:rFonts w:cs="Times New Roman"/>
        </w:rPr>
        <w:t xml:space="preserve">the unequal distribution of </w:t>
      </w:r>
      <w:r>
        <w:rPr>
          <w:rFonts w:cs="Times New Roman"/>
        </w:rPr>
        <w:t xml:space="preserve">income and </w:t>
      </w:r>
      <w:r w:rsidRPr="002D193A">
        <w:rPr>
          <w:rFonts w:cs="Times New Roman"/>
        </w:rPr>
        <w:t xml:space="preserve">wealth </w:t>
      </w:r>
      <w:r>
        <w:rPr>
          <w:rFonts w:cs="Times New Roman"/>
        </w:rPr>
        <w:t xml:space="preserve">through wages.  </w:t>
      </w:r>
      <w:r w:rsidR="00D40D25">
        <w:rPr>
          <w:rFonts w:cs="Times New Roman"/>
        </w:rPr>
        <w:t xml:space="preserve">In keeping with </w:t>
      </w:r>
      <w:r>
        <w:rPr>
          <w:rFonts w:cs="Times New Roman"/>
        </w:rPr>
        <w:t>Dillard and Vinnari</w:t>
      </w:r>
      <w:r w:rsidR="00D40D25">
        <w:rPr>
          <w:rFonts w:cs="Times New Roman"/>
        </w:rPr>
        <w:t>’s</w:t>
      </w:r>
      <w:r>
        <w:rPr>
          <w:rFonts w:cs="Times New Roman"/>
        </w:rPr>
        <w:t xml:space="preserve"> (2016, p. 2) </w:t>
      </w:r>
      <w:r w:rsidR="00D40D25">
        <w:t xml:space="preserve">contention </w:t>
      </w:r>
      <w:r>
        <w:t xml:space="preserve">that </w:t>
      </w:r>
      <w:bookmarkStart w:id="1" w:name="_Hlk499215084"/>
      <w:r>
        <w:t>raising awareness of social problems and their causes is a necessary first step towards affecting emancipatory change</w:t>
      </w:r>
      <w:bookmarkEnd w:id="1"/>
      <w:r w:rsidR="00D40D25">
        <w:t>, we begin by analysing the public critiques and justifications of existing practices of low-pay and income inequality</w:t>
      </w:r>
      <w:r>
        <w:t>.</w:t>
      </w:r>
      <w:r w:rsidR="008E5588">
        <w:t xml:space="preserve"> </w:t>
      </w:r>
      <w:r>
        <w:t xml:space="preserve"> </w:t>
      </w:r>
      <w:r w:rsidR="00D40D25">
        <w:t xml:space="preserve">We then assess (1) how justifications of existing income inequalities are stabilised and normalised by dominant accounting </w:t>
      </w:r>
      <w:r w:rsidR="00E733D3">
        <w:t xml:space="preserve">discourses and </w:t>
      </w:r>
      <w:r w:rsidR="00D40D25">
        <w:t xml:space="preserve">practices, and (2) how critiques of those existing inequalities can help specify </w:t>
      </w:r>
      <w:r w:rsidR="00BB6472">
        <w:t xml:space="preserve">ways in which accounting </w:t>
      </w:r>
      <w:r w:rsidR="00E733D3">
        <w:t xml:space="preserve">discourses and </w:t>
      </w:r>
      <w:r w:rsidR="00BB6472">
        <w:t>practices might be re-formed</w:t>
      </w:r>
      <w:r w:rsidR="00D40D25">
        <w:t xml:space="preserve"> </w:t>
      </w:r>
      <w:r w:rsidR="00BB6472">
        <w:t xml:space="preserve">so as to support more egalitarian outcomes. </w:t>
      </w:r>
      <w:r w:rsidR="00496BB0">
        <w:t xml:space="preserve"> </w:t>
      </w:r>
      <w:r w:rsidR="00BB6472">
        <w:t>In</w:t>
      </w:r>
      <w:r w:rsidR="00BB6472">
        <w:rPr>
          <w:rFonts w:cs="Times New Roman"/>
        </w:rPr>
        <w:t xml:space="preserve"> </w:t>
      </w:r>
      <w:r w:rsidRPr="002D193A">
        <w:rPr>
          <w:rFonts w:cs="Times New Roman"/>
        </w:rPr>
        <w:t>respond</w:t>
      </w:r>
      <w:r w:rsidR="00BB6472">
        <w:rPr>
          <w:rFonts w:cs="Times New Roman"/>
        </w:rPr>
        <w:t>ing</w:t>
      </w:r>
      <w:r w:rsidRPr="002D193A">
        <w:rPr>
          <w:rFonts w:cs="Times New Roman"/>
        </w:rPr>
        <w:t xml:space="preserve"> to Sikka</w:t>
      </w:r>
      <w:r w:rsidR="00BB6472">
        <w:rPr>
          <w:rFonts w:cs="Times New Roman"/>
        </w:rPr>
        <w:t>’s</w:t>
      </w:r>
      <w:r w:rsidRPr="002D193A">
        <w:rPr>
          <w:rFonts w:cs="Times New Roman"/>
        </w:rPr>
        <w:t xml:space="preserve"> (2015, p. 47) </w:t>
      </w:r>
      <w:r w:rsidR="00BB6472">
        <w:rPr>
          <w:rFonts w:cs="Times New Roman"/>
        </w:rPr>
        <w:t>call for more</w:t>
      </w:r>
      <w:r w:rsidRPr="002D193A">
        <w:rPr>
          <w:rFonts w:cs="Times New Roman"/>
        </w:rPr>
        <w:t xml:space="preserve"> “scrutiny of the very concepts and categories of accounting which </w:t>
      </w:r>
      <w:r w:rsidR="00BB6472">
        <w:rPr>
          <w:rFonts w:cs="Times New Roman"/>
        </w:rPr>
        <w:t>…</w:t>
      </w:r>
      <w:r w:rsidRPr="002D193A">
        <w:rPr>
          <w:rFonts w:cs="Times New Roman"/>
        </w:rPr>
        <w:t xml:space="preserve"> facilitate inequitable dis</w:t>
      </w:r>
      <w:r>
        <w:rPr>
          <w:rFonts w:cs="Times New Roman"/>
        </w:rPr>
        <w:t xml:space="preserve">tribution of income and wealth”, we add to </w:t>
      </w:r>
      <w:r w:rsidR="00BA7753">
        <w:rPr>
          <w:rFonts w:cs="Times New Roman"/>
        </w:rPr>
        <w:t>the literature which examines, and suggests changes to, accounting discourse and practice in relation to income and wealth inequalities (e.g., Cooper, 2005; Haller</w:t>
      </w:r>
      <w:r w:rsidR="00703712">
        <w:rPr>
          <w:rFonts w:cs="Times New Roman"/>
        </w:rPr>
        <w:t>, van Staden, &amp; Landis</w:t>
      </w:r>
      <w:r w:rsidR="00BA7753">
        <w:rPr>
          <w:rFonts w:cs="Times New Roman"/>
        </w:rPr>
        <w:t xml:space="preserve">, 2016; </w:t>
      </w:r>
      <w:r>
        <w:rPr>
          <w:rFonts w:cs="Times New Roman"/>
        </w:rPr>
        <w:t xml:space="preserve">Ravenscroft </w:t>
      </w:r>
      <w:r w:rsidR="00BA7753">
        <w:rPr>
          <w:rFonts w:cs="Times New Roman"/>
        </w:rPr>
        <w:t>&amp;</w:t>
      </w:r>
      <w:r>
        <w:rPr>
          <w:rFonts w:cs="Times New Roman"/>
        </w:rPr>
        <w:t xml:space="preserve"> Denison</w:t>
      </w:r>
      <w:r w:rsidR="00BA7753">
        <w:rPr>
          <w:rFonts w:cs="Times New Roman"/>
        </w:rPr>
        <w:t>,</w:t>
      </w:r>
      <w:r w:rsidR="002D741F">
        <w:rPr>
          <w:rFonts w:cs="Times New Roman"/>
        </w:rPr>
        <w:t xml:space="preserve"> </w:t>
      </w:r>
      <w:r>
        <w:rPr>
          <w:rFonts w:cs="Times New Roman"/>
        </w:rPr>
        <w:t>2014</w:t>
      </w:r>
      <w:r w:rsidR="00BA7753">
        <w:rPr>
          <w:rFonts w:cs="Times New Roman"/>
        </w:rPr>
        <w:t>; Sikka, 2008; 2015; Tweedie &amp; Haze</w:t>
      </w:r>
      <w:r w:rsidR="00A74A96">
        <w:rPr>
          <w:rFonts w:cs="Times New Roman"/>
        </w:rPr>
        <w:t>l</w:t>
      </w:r>
      <w:r w:rsidR="00BA7753">
        <w:rPr>
          <w:rFonts w:cs="Times New Roman"/>
        </w:rPr>
        <w:t>ton, 2015</w:t>
      </w:r>
      <w:r w:rsidR="002D741F">
        <w:rPr>
          <w:rFonts w:cs="Times New Roman"/>
        </w:rPr>
        <w:t>).</w:t>
      </w:r>
    </w:p>
    <w:p w14:paraId="18511759" w14:textId="77777777" w:rsidR="00665CFA" w:rsidRPr="001B27DE" w:rsidRDefault="00665CFA" w:rsidP="00A22B9A"/>
    <w:p w14:paraId="79F96F72" w14:textId="5856D154" w:rsidR="00665CFA" w:rsidRDefault="00665CFA" w:rsidP="00A22B9A">
      <w:pPr>
        <w:rPr>
          <w:rFonts w:cs="Times New Roman"/>
        </w:rPr>
      </w:pPr>
      <w:r w:rsidRPr="002D193A">
        <w:rPr>
          <w:rFonts w:cs="Times New Roman"/>
        </w:rPr>
        <w:t xml:space="preserve">We </w:t>
      </w:r>
      <w:r>
        <w:rPr>
          <w:rFonts w:cs="Times New Roman"/>
        </w:rPr>
        <w:t>focus our study on calls for a living wage in Aotearoa New Zealand</w:t>
      </w:r>
      <w:r w:rsidR="00B4465B">
        <w:rPr>
          <w:rFonts w:cs="Times New Roman"/>
        </w:rPr>
        <w:t>.</w:t>
      </w:r>
      <w:r>
        <w:rPr>
          <w:rStyle w:val="EndnoteReference"/>
          <w:rFonts w:cs="Times New Roman"/>
        </w:rPr>
        <w:endnoteReference w:id="2"/>
      </w:r>
      <w:r>
        <w:rPr>
          <w:rFonts w:cs="Times New Roman"/>
        </w:rPr>
        <w:t xml:space="preserve">  </w:t>
      </w:r>
      <w:r w:rsidR="00BB6472">
        <w:rPr>
          <w:rFonts w:cs="Times New Roman"/>
        </w:rPr>
        <w:t>Recent calls around the world for a living wage have emerged i</w:t>
      </w:r>
      <w:r w:rsidR="00BB6472" w:rsidRPr="000124A5">
        <w:rPr>
          <w:rFonts w:cs="Times New Roman"/>
        </w:rPr>
        <w:t xml:space="preserve">n </w:t>
      </w:r>
      <w:r w:rsidRPr="000124A5">
        <w:rPr>
          <w:rFonts w:cs="Times New Roman"/>
        </w:rPr>
        <w:t xml:space="preserve">response to </w:t>
      </w:r>
      <w:r w:rsidR="00BB6472">
        <w:rPr>
          <w:rFonts w:cs="Times New Roman"/>
        </w:rPr>
        <w:t>growing concern over inequality and (especially) in-work poverty</w:t>
      </w:r>
      <w:r w:rsidRPr="000124A5">
        <w:rPr>
          <w:rFonts w:cs="Times New Roman"/>
        </w:rPr>
        <w:t>.</w:t>
      </w:r>
      <w:r w:rsidR="00B63050">
        <w:rPr>
          <w:rFonts w:cs="Times New Roman"/>
        </w:rPr>
        <w:t xml:space="preserve"> </w:t>
      </w:r>
      <w:r w:rsidRPr="000124A5">
        <w:rPr>
          <w:rFonts w:cs="Times New Roman"/>
        </w:rPr>
        <w:t xml:space="preserve"> These calls </w:t>
      </w:r>
      <w:r>
        <w:rPr>
          <w:rFonts w:cs="Times New Roman"/>
        </w:rPr>
        <w:t xml:space="preserve">construct the </w:t>
      </w:r>
      <w:r w:rsidR="00B63050">
        <w:rPr>
          <w:rFonts w:cs="Times New Roman"/>
        </w:rPr>
        <w:t>“</w:t>
      </w:r>
      <w:r>
        <w:rPr>
          <w:rFonts w:cs="Times New Roman"/>
        </w:rPr>
        <w:t>problem</w:t>
      </w:r>
      <w:r w:rsidR="00B63050">
        <w:rPr>
          <w:rFonts w:cs="Times New Roman"/>
        </w:rPr>
        <w:t xml:space="preserve">” </w:t>
      </w:r>
      <w:r>
        <w:rPr>
          <w:rFonts w:cs="Times New Roman"/>
        </w:rPr>
        <w:t xml:space="preserve">of the </w:t>
      </w:r>
      <w:r w:rsidR="00B63050">
        <w:rPr>
          <w:rFonts w:cs="Times New Roman"/>
        </w:rPr>
        <w:t>“</w:t>
      </w:r>
      <w:r>
        <w:rPr>
          <w:rFonts w:cs="Times New Roman"/>
        </w:rPr>
        <w:t>working poor</w:t>
      </w:r>
      <w:r w:rsidR="00B63050">
        <w:rPr>
          <w:rFonts w:cs="Times New Roman"/>
        </w:rPr>
        <w:t>”</w:t>
      </w:r>
      <w:r w:rsidRPr="000124A5">
        <w:rPr>
          <w:rFonts w:cs="Times New Roman"/>
        </w:rPr>
        <w:t xml:space="preserve"> and </w:t>
      </w:r>
      <w:r>
        <w:rPr>
          <w:rFonts w:cs="Times New Roman"/>
        </w:rPr>
        <w:t xml:space="preserve">offer a particular solution. </w:t>
      </w:r>
      <w:r w:rsidR="00B63050">
        <w:rPr>
          <w:rFonts w:cs="Times New Roman"/>
        </w:rPr>
        <w:t xml:space="preserve"> </w:t>
      </w:r>
      <w:r w:rsidR="00BB6472">
        <w:rPr>
          <w:rFonts w:cs="Times New Roman"/>
        </w:rPr>
        <w:t xml:space="preserve">In </w:t>
      </w:r>
      <w:r w:rsidR="00473773">
        <w:rPr>
          <w:rFonts w:cs="Times New Roman"/>
        </w:rPr>
        <w:t>a context of</w:t>
      </w:r>
      <w:r w:rsidR="00BB6472">
        <w:rPr>
          <w:rFonts w:cs="Times New Roman"/>
        </w:rPr>
        <w:t xml:space="preserve"> public opposition to traditional forms of (tax-funded) political redistribution (Collison, Dey, Hannah </w:t>
      </w:r>
      <w:r w:rsidR="00416F1F">
        <w:rPr>
          <w:rFonts w:cs="Times New Roman"/>
        </w:rPr>
        <w:t>&amp;</w:t>
      </w:r>
      <w:r w:rsidR="00BB6472">
        <w:rPr>
          <w:rFonts w:cs="Times New Roman"/>
        </w:rPr>
        <w:t xml:space="preserve"> Stevenson, 2010)</w:t>
      </w:r>
      <w:r>
        <w:rPr>
          <w:rFonts w:cs="Times New Roman"/>
        </w:rPr>
        <w:t xml:space="preserve">, the living wage movement </w:t>
      </w:r>
      <w:r w:rsidR="002C4570">
        <w:rPr>
          <w:rFonts w:cs="Times New Roman"/>
        </w:rPr>
        <w:t xml:space="preserve">does not call for more state </w:t>
      </w:r>
      <w:r w:rsidR="007E0630">
        <w:rPr>
          <w:rFonts w:cs="Times New Roman"/>
        </w:rPr>
        <w:t>support for low-paid workers</w:t>
      </w:r>
      <w:r w:rsidR="002C4570">
        <w:rPr>
          <w:rFonts w:cs="Times New Roman"/>
        </w:rPr>
        <w:t>.</w:t>
      </w:r>
      <w:r w:rsidR="00D44A96">
        <w:rPr>
          <w:rFonts w:cs="Times New Roman"/>
        </w:rPr>
        <w:t xml:space="preserve"> </w:t>
      </w:r>
      <w:r w:rsidR="002C4570">
        <w:rPr>
          <w:rFonts w:cs="Times New Roman"/>
        </w:rPr>
        <w:t xml:space="preserve"> Rather, it </w:t>
      </w:r>
      <w:r>
        <w:rPr>
          <w:rFonts w:cs="Times New Roman"/>
        </w:rPr>
        <w:lastRenderedPageBreak/>
        <w:t>holds</w:t>
      </w:r>
      <w:r w:rsidRPr="000124A5">
        <w:rPr>
          <w:rFonts w:cs="Times New Roman"/>
        </w:rPr>
        <w:t xml:space="preserve"> </w:t>
      </w:r>
      <w:r>
        <w:rPr>
          <w:rFonts w:cs="Times New Roman"/>
        </w:rPr>
        <w:t>business</w:t>
      </w:r>
      <w:r w:rsidR="00BB6472">
        <w:rPr>
          <w:rFonts w:cs="Times New Roman"/>
        </w:rPr>
        <w:t xml:space="preserve"> </w:t>
      </w:r>
      <w:r w:rsidRPr="000124A5">
        <w:rPr>
          <w:rFonts w:cs="Times New Roman"/>
        </w:rPr>
        <w:t xml:space="preserve">practices </w:t>
      </w:r>
      <w:r>
        <w:rPr>
          <w:rFonts w:cs="Times New Roman"/>
        </w:rPr>
        <w:t>as</w:t>
      </w:r>
      <w:r w:rsidRPr="000124A5">
        <w:rPr>
          <w:rFonts w:cs="Times New Roman"/>
        </w:rPr>
        <w:t xml:space="preserve"> responsible for </w:t>
      </w:r>
      <w:r>
        <w:rPr>
          <w:rFonts w:cs="Times New Roman"/>
        </w:rPr>
        <w:t xml:space="preserve">causing </w:t>
      </w:r>
      <w:r w:rsidR="00BB6472">
        <w:rPr>
          <w:rFonts w:cs="Times New Roman"/>
        </w:rPr>
        <w:t xml:space="preserve">- and, therefore, </w:t>
      </w:r>
      <w:r w:rsidR="002C4570">
        <w:rPr>
          <w:rFonts w:cs="Times New Roman"/>
        </w:rPr>
        <w:t xml:space="preserve">responsible </w:t>
      </w:r>
      <w:r w:rsidR="00BB6472">
        <w:rPr>
          <w:rFonts w:cs="Times New Roman"/>
        </w:rPr>
        <w:t xml:space="preserve">for addressing - </w:t>
      </w:r>
      <w:r w:rsidRPr="000124A5">
        <w:rPr>
          <w:rFonts w:cs="Times New Roman"/>
        </w:rPr>
        <w:t>th</w:t>
      </w:r>
      <w:r w:rsidR="002662D1">
        <w:rPr>
          <w:rFonts w:cs="Times New Roman"/>
        </w:rPr>
        <w:t>e</w:t>
      </w:r>
      <w:r w:rsidRPr="000124A5">
        <w:rPr>
          <w:rFonts w:cs="Times New Roman"/>
        </w:rPr>
        <w:t xml:space="preserve"> problem</w:t>
      </w:r>
      <w:r w:rsidR="002662D1">
        <w:rPr>
          <w:rFonts w:cs="Times New Roman"/>
        </w:rPr>
        <w:t xml:space="preserve"> of the working poor</w:t>
      </w:r>
      <w:r w:rsidR="00BB6472">
        <w:rPr>
          <w:rFonts w:cs="Times New Roman"/>
        </w:rPr>
        <w:t>.</w:t>
      </w:r>
      <w:r>
        <w:rPr>
          <w:rFonts w:cs="Times New Roman"/>
        </w:rPr>
        <w:t xml:space="preserve"> </w:t>
      </w:r>
      <w:r w:rsidR="00BB6472">
        <w:rPr>
          <w:rFonts w:cs="Times New Roman"/>
        </w:rPr>
        <w:t xml:space="preserve"> </w:t>
      </w:r>
      <w:r>
        <w:rPr>
          <w:rFonts w:cs="Times New Roman"/>
        </w:rPr>
        <w:t>In</w:t>
      </w:r>
      <w:r w:rsidRPr="000124A5">
        <w:rPr>
          <w:rFonts w:cs="Times New Roman"/>
        </w:rPr>
        <w:t xml:space="preserve"> analysing the living wage </w:t>
      </w:r>
      <w:r w:rsidR="002C4570">
        <w:rPr>
          <w:rFonts w:cs="Times New Roman"/>
        </w:rPr>
        <w:t>debate</w:t>
      </w:r>
      <w:r>
        <w:rPr>
          <w:rFonts w:cs="Times New Roman"/>
        </w:rPr>
        <w:t>, w</w:t>
      </w:r>
      <w:r w:rsidRPr="000124A5">
        <w:rPr>
          <w:rFonts w:cs="Times New Roman"/>
        </w:rPr>
        <w:t xml:space="preserve">e </w:t>
      </w:r>
      <w:r w:rsidR="00C4505B">
        <w:rPr>
          <w:rFonts w:cs="Times New Roman"/>
        </w:rPr>
        <w:t xml:space="preserve">first </w:t>
      </w:r>
      <w:r w:rsidRPr="000124A5">
        <w:rPr>
          <w:rFonts w:cs="Times New Roman"/>
        </w:rPr>
        <w:t xml:space="preserve">examine </w:t>
      </w:r>
      <w:r w:rsidR="002C4570">
        <w:rPr>
          <w:rFonts w:cs="Times New Roman"/>
        </w:rPr>
        <w:t xml:space="preserve">how arguments for a living wage construct specific critiques of the existing situation. We then examine how, in response, business, predominantly through business lobby groups, refute these calls through offering justifications of the status quo. </w:t>
      </w:r>
      <w:r w:rsidR="00506257">
        <w:rPr>
          <w:rFonts w:cs="Times New Roman"/>
        </w:rPr>
        <w:t xml:space="preserve">We show how both sides construct the role of business </w:t>
      </w:r>
      <w:r>
        <w:rPr>
          <w:rFonts w:cs="Times New Roman"/>
        </w:rPr>
        <w:t>in</w:t>
      </w:r>
      <w:r w:rsidRPr="000124A5">
        <w:rPr>
          <w:rFonts w:cs="Times New Roman"/>
        </w:rPr>
        <w:t xml:space="preserve"> accounting</w:t>
      </w:r>
      <w:r>
        <w:rPr>
          <w:rFonts w:cs="Times New Roman"/>
        </w:rPr>
        <w:t xml:space="preserve"> (or refusing to account)</w:t>
      </w:r>
      <w:r w:rsidRPr="000124A5">
        <w:rPr>
          <w:rFonts w:cs="Times New Roman"/>
        </w:rPr>
        <w:t xml:space="preserve"> for the </w:t>
      </w:r>
      <w:r w:rsidR="00416F1F">
        <w:rPr>
          <w:rFonts w:cs="Times New Roman"/>
        </w:rPr>
        <w:t>“</w:t>
      </w:r>
      <w:r w:rsidRPr="000124A5">
        <w:rPr>
          <w:rFonts w:cs="Times New Roman"/>
        </w:rPr>
        <w:t>working poor</w:t>
      </w:r>
      <w:r w:rsidR="00416F1F">
        <w:rPr>
          <w:rFonts w:cs="Times New Roman"/>
        </w:rPr>
        <w:t>”</w:t>
      </w:r>
      <w:r w:rsidRPr="000124A5">
        <w:rPr>
          <w:rFonts w:cs="Times New Roman"/>
        </w:rPr>
        <w:t xml:space="preserve">. </w:t>
      </w:r>
      <w:r>
        <w:rPr>
          <w:rFonts w:cs="Times New Roman"/>
        </w:rPr>
        <w:t xml:space="preserve"> </w:t>
      </w:r>
    </w:p>
    <w:p w14:paraId="71355881" w14:textId="77777777" w:rsidR="00665CFA" w:rsidRDefault="00665CFA" w:rsidP="00A22B9A">
      <w:pPr>
        <w:rPr>
          <w:rFonts w:cs="Times New Roman"/>
        </w:rPr>
      </w:pPr>
    </w:p>
    <w:p w14:paraId="269142E1" w14:textId="12031785" w:rsidR="00665CFA" w:rsidRDefault="00665CFA" w:rsidP="00A22B9A">
      <w:pPr>
        <w:rPr>
          <w:rFonts w:cs="Times New Roman"/>
        </w:rPr>
      </w:pPr>
      <w:r>
        <w:rPr>
          <w:rFonts w:cs="Times New Roman"/>
        </w:rPr>
        <w:t>As such, we</w:t>
      </w:r>
      <w:r w:rsidRPr="002D193A">
        <w:rPr>
          <w:rFonts w:cs="Times New Roman"/>
        </w:rPr>
        <w:t xml:space="preserve"> make visible accounting’s role in thi</w:t>
      </w:r>
      <w:r>
        <w:rPr>
          <w:rFonts w:cs="Times New Roman"/>
        </w:rPr>
        <w:t xml:space="preserve">s critical contemporary issue through addressing </w:t>
      </w:r>
      <w:r w:rsidR="00B704C6">
        <w:rPr>
          <w:rFonts w:cs="Times New Roman"/>
        </w:rPr>
        <w:t xml:space="preserve">three research </w:t>
      </w:r>
      <w:r>
        <w:rPr>
          <w:rFonts w:cs="Times New Roman"/>
        </w:rPr>
        <w:t xml:space="preserve">questions: </w:t>
      </w:r>
      <w:r w:rsidR="00D647CF">
        <w:rPr>
          <w:rFonts w:cs="Times New Roman"/>
        </w:rPr>
        <w:t xml:space="preserve">(1) </w:t>
      </w:r>
      <w:r>
        <w:rPr>
          <w:rFonts w:cs="Times New Roman"/>
        </w:rPr>
        <w:t xml:space="preserve">what </w:t>
      </w:r>
      <w:r w:rsidR="002C4570">
        <w:rPr>
          <w:rFonts w:cs="Times New Roman"/>
        </w:rPr>
        <w:t>critiques and</w:t>
      </w:r>
      <w:r>
        <w:rPr>
          <w:rFonts w:cs="Times New Roman"/>
        </w:rPr>
        <w:t xml:space="preserve"> justifications </w:t>
      </w:r>
      <w:r w:rsidR="002C4570">
        <w:rPr>
          <w:rFonts w:cs="Times New Roman"/>
        </w:rPr>
        <w:t xml:space="preserve">of existing levels of income and wealth inequality </w:t>
      </w:r>
      <w:r w:rsidR="00B4750B">
        <w:rPr>
          <w:rFonts w:cs="Times New Roman"/>
        </w:rPr>
        <w:t>a</w:t>
      </w:r>
      <w:r>
        <w:rPr>
          <w:rFonts w:cs="Times New Roman"/>
        </w:rPr>
        <w:t xml:space="preserve">re made in </w:t>
      </w:r>
      <w:r w:rsidR="002C4570">
        <w:rPr>
          <w:rFonts w:cs="Times New Roman"/>
        </w:rPr>
        <w:t xml:space="preserve">New Zealand’s public living wage </w:t>
      </w:r>
      <w:r>
        <w:rPr>
          <w:rFonts w:cs="Times New Roman"/>
        </w:rPr>
        <w:t>debate</w:t>
      </w:r>
      <w:r w:rsidR="002C4570">
        <w:rPr>
          <w:rFonts w:cs="Times New Roman"/>
        </w:rPr>
        <w:t>?</w:t>
      </w:r>
      <w:r w:rsidR="008E5588">
        <w:rPr>
          <w:rFonts w:cs="Times New Roman"/>
        </w:rPr>
        <w:t xml:space="preserve"> </w:t>
      </w:r>
      <w:r w:rsidR="007E0630">
        <w:rPr>
          <w:rFonts w:cs="Times New Roman"/>
        </w:rPr>
        <w:t xml:space="preserve"> </w:t>
      </w:r>
      <w:r w:rsidR="00D647CF">
        <w:rPr>
          <w:rFonts w:cs="Times New Roman"/>
        </w:rPr>
        <w:t xml:space="preserve">(2) </w:t>
      </w:r>
      <w:r w:rsidR="007E0630">
        <w:rPr>
          <w:rFonts w:cs="Times New Roman"/>
        </w:rPr>
        <w:t>H</w:t>
      </w:r>
      <w:r w:rsidR="002C4570">
        <w:rPr>
          <w:rFonts w:cs="Times New Roman"/>
        </w:rPr>
        <w:t xml:space="preserve">ow </w:t>
      </w:r>
      <w:r w:rsidR="00A51122">
        <w:rPr>
          <w:rFonts w:cs="Times New Roman"/>
        </w:rPr>
        <w:t xml:space="preserve">do </w:t>
      </w:r>
      <w:r w:rsidR="002C4570">
        <w:rPr>
          <w:rFonts w:cs="Times New Roman"/>
        </w:rPr>
        <w:t xml:space="preserve">(currently dominant) </w:t>
      </w:r>
      <w:r>
        <w:rPr>
          <w:rFonts w:cs="Times New Roman"/>
        </w:rPr>
        <w:t xml:space="preserve">accounting </w:t>
      </w:r>
      <w:r w:rsidR="002C4570">
        <w:rPr>
          <w:rFonts w:cs="Times New Roman"/>
        </w:rPr>
        <w:t>norms, practices and artefacts normalis</w:t>
      </w:r>
      <w:r w:rsidR="00A51122">
        <w:rPr>
          <w:rFonts w:cs="Times New Roman"/>
        </w:rPr>
        <w:t>e</w:t>
      </w:r>
      <w:r w:rsidR="002C4570">
        <w:rPr>
          <w:rFonts w:cs="Times New Roman"/>
        </w:rPr>
        <w:t xml:space="preserve"> and support </w:t>
      </w:r>
      <w:r>
        <w:rPr>
          <w:rFonts w:cs="Times New Roman"/>
        </w:rPr>
        <w:t>the justifications made of existing levels of income and wealth inequality?</w:t>
      </w:r>
      <w:r w:rsidR="008E5588">
        <w:rPr>
          <w:rFonts w:cs="Times New Roman"/>
        </w:rPr>
        <w:t xml:space="preserve"> </w:t>
      </w:r>
      <w:r w:rsidR="007E0630">
        <w:rPr>
          <w:rFonts w:cs="Times New Roman"/>
        </w:rPr>
        <w:t xml:space="preserve"> A</w:t>
      </w:r>
      <w:r>
        <w:rPr>
          <w:rFonts w:cs="Times New Roman"/>
        </w:rPr>
        <w:t xml:space="preserve">nd importantly, </w:t>
      </w:r>
      <w:r w:rsidR="00D647CF">
        <w:rPr>
          <w:rFonts w:cs="Times New Roman"/>
        </w:rPr>
        <w:t xml:space="preserve">(3) </w:t>
      </w:r>
      <w:r>
        <w:rPr>
          <w:rFonts w:cs="Times New Roman"/>
        </w:rPr>
        <w:t xml:space="preserve">how </w:t>
      </w:r>
      <w:r w:rsidR="00506257">
        <w:rPr>
          <w:rFonts w:cs="Times New Roman"/>
        </w:rPr>
        <w:t xml:space="preserve">does </w:t>
      </w:r>
      <w:r>
        <w:rPr>
          <w:rFonts w:cs="Times New Roman"/>
        </w:rPr>
        <w:t xml:space="preserve">understanding critiques of </w:t>
      </w:r>
      <w:r w:rsidR="00506257">
        <w:rPr>
          <w:rFonts w:cs="Times New Roman"/>
        </w:rPr>
        <w:t>these inequalities</w:t>
      </w:r>
      <w:r>
        <w:rPr>
          <w:rFonts w:cs="Times New Roman"/>
        </w:rPr>
        <w:t xml:space="preserve"> help us to imagine and construct new forms of accounting </w:t>
      </w:r>
      <w:r w:rsidR="00506257">
        <w:rPr>
          <w:rFonts w:cs="Times New Roman"/>
        </w:rPr>
        <w:t>that could</w:t>
      </w:r>
      <w:r>
        <w:rPr>
          <w:rFonts w:cs="Times New Roman"/>
        </w:rPr>
        <w:t xml:space="preserve"> support the more equitable distribution of income and wealth?</w:t>
      </w:r>
    </w:p>
    <w:p w14:paraId="2DBF6883" w14:textId="77777777" w:rsidR="00665CFA" w:rsidRDefault="00665CFA" w:rsidP="00A22B9A">
      <w:pPr>
        <w:rPr>
          <w:rFonts w:cs="Times New Roman"/>
        </w:rPr>
      </w:pPr>
    </w:p>
    <w:p w14:paraId="23193AF7" w14:textId="2AB64391" w:rsidR="00665CFA" w:rsidRDefault="00F14E38" w:rsidP="00A22B9A">
      <w:pPr>
        <w:rPr>
          <w:rFonts w:cs="Times New Roman"/>
        </w:rPr>
      </w:pPr>
      <w:r>
        <w:rPr>
          <w:rFonts w:cs="Times New Roman"/>
        </w:rPr>
        <w:t>We</w:t>
      </w:r>
      <w:r w:rsidR="00665CFA">
        <w:rPr>
          <w:rFonts w:cs="Times New Roman"/>
        </w:rPr>
        <w:t xml:space="preserve"> draw on the pragmatic sociology of Boltanski and Th</w:t>
      </w:r>
      <w:r w:rsidR="00665CFA" w:rsidRPr="002139CF">
        <w:rPr>
          <w:rFonts w:cs="Times New Roman"/>
        </w:rPr>
        <w:t>é</w:t>
      </w:r>
      <w:r w:rsidR="00665CFA">
        <w:rPr>
          <w:rFonts w:cs="Times New Roman"/>
        </w:rPr>
        <w:t>ven</w:t>
      </w:r>
      <w:r w:rsidR="00703712">
        <w:rPr>
          <w:rFonts w:cs="Times New Roman"/>
        </w:rPr>
        <w:t>ot (1999;</w:t>
      </w:r>
      <w:r w:rsidR="00665CFA">
        <w:rPr>
          <w:rFonts w:cs="Times New Roman"/>
        </w:rPr>
        <w:t xml:space="preserve"> 2006)</w:t>
      </w:r>
      <w:r w:rsidR="00506257">
        <w:rPr>
          <w:rFonts w:cs="Times New Roman"/>
        </w:rPr>
        <w:t xml:space="preserve"> to show the various conceptions of the common good appealed to (and </w:t>
      </w:r>
      <w:r w:rsidR="007E0630">
        <w:rPr>
          <w:rFonts w:cs="Times New Roman"/>
        </w:rPr>
        <w:t>challenged</w:t>
      </w:r>
      <w:r w:rsidR="00506257">
        <w:rPr>
          <w:rFonts w:cs="Times New Roman"/>
        </w:rPr>
        <w:t>) by actors arguing for and against a living wage</w:t>
      </w:r>
      <w:r w:rsidR="00665CFA">
        <w:rPr>
          <w:rFonts w:cs="Times New Roman"/>
        </w:rPr>
        <w:t>.  Boltanski and Th</w:t>
      </w:r>
      <w:r w:rsidR="00665CFA" w:rsidRPr="002139CF">
        <w:rPr>
          <w:rFonts w:cs="Times New Roman"/>
        </w:rPr>
        <w:t>é</w:t>
      </w:r>
      <w:r w:rsidR="00665CFA">
        <w:rPr>
          <w:rFonts w:cs="Times New Roman"/>
        </w:rPr>
        <w:t xml:space="preserve">venot’s typology of </w:t>
      </w:r>
      <w:r w:rsidR="00B63050">
        <w:rPr>
          <w:rFonts w:cs="Times New Roman"/>
        </w:rPr>
        <w:t>“</w:t>
      </w:r>
      <w:r w:rsidR="00665CFA">
        <w:rPr>
          <w:rFonts w:cs="Times New Roman"/>
        </w:rPr>
        <w:t>orders of worth</w:t>
      </w:r>
      <w:r w:rsidR="00B63050">
        <w:rPr>
          <w:rFonts w:cs="Times New Roman"/>
        </w:rPr>
        <w:t>”</w:t>
      </w:r>
      <w:r w:rsidR="00665CFA">
        <w:rPr>
          <w:rFonts w:cs="Times New Roman"/>
        </w:rPr>
        <w:t xml:space="preserve"> is used to (</w:t>
      </w:r>
      <w:r w:rsidR="00D647CF">
        <w:rPr>
          <w:rFonts w:cs="Times New Roman"/>
        </w:rPr>
        <w:t>a</w:t>
      </w:r>
      <w:r w:rsidR="00665CFA">
        <w:rPr>
          <w:rFonts w:cs="Times New Roman"/>
        </w:rPr>
        <w:t xml:space="preserve">) empirically analyse how accounting naturalises and </w:t>
      </w:r>
      <w:r w:rsidR="00506257">
        <w:rPr>
          <w:rFonts w:cs="Times New Roman"/>
        </w:rPr>
        <w:t>(thus) perpetuates</w:t>
      </w:r>
      <w:r w:rsidR="00665CFA">
        <w:rPr>
          <w:rFonts w:cs="Times New Roman"/>
        </w:rPr>
        <w:t xml:space="preserve"> </w:t>
      </w:r>
      <w:r w:rsidR="00506257">
        <w:rPr>
          <w:rFonts w:cs="Times New Roman"/>
        </w:rPr>
        <w:t xml:space="preserve">the </w:t>
      </w:r>
      <w:r w:rsidR="00D647CF">
        <w:rPr>
          <w:rFonts w:cs="Times New Roman"/>
        </w:rPr>
        <w:t xml:space="preserve">current prominence </w:t>
      </w:r>
      <w:r w:rsidR="00506257">
        <w:rPr>
          <w:rFonts w:cs="Times New Roman"/>
        </w:rPr>
        <w:t xml:space="preserve">of the </w:t>
      </w:r>
      <w:r w:rsidR="00506257" w:rsidRPr="00C4505B">
        <w:rPr>
          <w:rFonts w:cs="Times New Roman"/>
          <w:i/>
        </w:rPr>
        <w:t>market</w:t>
      </w:r>
      <w:r w:rsidR="00665CFA">
        <w:rPr>
          <w:rFonts w:cs="Times New Roman"/>
        </w:rPr>
        <w:t xml:space="preserve"> order of worth</w:t>
      </w:r>
      <w:r w:rsidR="00506257">
        <w:rPr>
          <w:rFonts w:cs="Times New Roman"/>
        </w:rPr>
        <w:t xml:space="preserve"> in a way that privileges certain objectives, certain actors, and certain measures of performance; </w:t>
      </w:r>
      <w:r w:rsidR="00665CFA">
        <w:rPr>
          <w:rFonts w:cs="Times New Roman"/>
        </w:rPr>
        <w:t>and to (</w:t>
      </w:r>
      <w:r w:rsidR="00D647CF">
        <w:rPr>
          <w:rFonts w:cs="Times New Roman"/>
        </w:rPr>
        <w:t>b</w:t>
      </w:r>
      <w:r w:rsidR="00665CFA">
        <w:rPr>
          <w:rFonts w:cs="Times New Roman"/>
        </w:rPr>
        <w:t xml:space="preserve">) </w:t>
      </w:r>
      <w:r w:rsidR="00506257">
        <w:rPr>
          <w:rFonts w:cs="Times New Roman"/>
        </w:rPr>
        <w:t>demonstrate</w:t>
      </w:r>
      <w:r w:rsidR="00665CFA">
        <w:rPr>
          <w:rFonts w:cs="Times New Roman"/>
        </w:rPr>
        <w:t xml:space="preserve"> how critiques of low wages draw on a </w:t>
      </w:r>
      <w:r w:rsidR="00506257">
        <w:rPr>
          <w:rFonts w:cs="Times New Roman"/>
        </w:rPr>
        <w:t xml:space="preserve">specific combination </w:t>
      </w:r>
      <w:r w:rsidR="00665CFA">
        <w:rPr>
          <w:rFonts w:cs="Times New Roman"/>
        </w:rPr>
        <w:t xml:space="preserve">of competing orders of worth </w:t>
      </w:r>
      <w:r w:rsidR="00506257">
        <w:rPr>
          <w:rFonts w:cs="Times New Roman"/>
        </w:rPr>
        <w:t xml:space="preserve">that </w:t>
      </w:r>
      <w:r w:rsidR="00665CFA">
        <w:rPr>
          <w:rFonts w:cs="Times New Roman"/>
        </w:rPr>
        <w:t>suggest alternative</w:t>
      </w:r>
      <w:r w:rsidR="00506257">
        <w:rPr>
          <w:rFonts w:cs="Times New Roman"/>
        </w:rPr>
        <w:t>s</w:t>
      </w:r>
      <w:r w:rsidR="00B253F0">
        <w:rPr>
          <w:rFonts w:cs="Times New Roman"/>
        </w:rPr>
        <w:t xml:space="preserve"> - </w:t>
      </w:r>
      <w:r w:rsidR="00506257">
        <w:rPr>
          <w:rFonts w:cs="Times New Roman"/>
        </w:rPr>
        <w:t>new</w:t>
      </w:r>
      <w:r w:rsidR="00665CFA">
        <w:rPr>
          <w:rFonts w:cs="Times New Roman"/>
        </w:rPr>
        <w:t xml:space="preserve"> visions and possibilities for accounting </w:t>
      </w:r>
      <w:r w:rsidR="00B63050">
        <w:rPr>
          <w:rFonts w:cs="Times New Roman"/>
        </w:rPr>
        <w:t xml:space="preserve">discourse and </w:t>
      </w:r>
      <w:r w:rsidR="00665CFA">
        <w:rPr>
          <w:rFonts w:cs="Times New Roman"/>
        </w:rPr>
        <w:t>practice.</w:t>
      </w:r>
      <w:r w:rsidR="00506257">
        <w:rPr>
          <w:rFonts w:cs="Times New Roman"/>
        </w:rPr>
        <w:t xml:space="preserve"> </w:t>
      </w:r>
      <w:r w:rsidR="008E5588">
        <w:rPr>
          <w:rFonts w:cs="Times New Roman"/>
        </w:rPr>
        <w:t xml:space="preserve"> </w:t>
      </w:r>
      <w:r w:rsidR="005276EE">
        <w:rPr>
          <w:rFonts w:cs="Times New Roman"/>
        </w:rPr>
        <w:t xml:space="preserve">Boltanski and Thévenot’s pragmatic sociology offers a particularly useful framework for showing how critiques and justifications of existing arrangements proceed not just through words and ideas, but also through the legitimacy and status that they accord to specific objects, metrics and people. </w:t>
      </w:r>
    </w:p>
    <w:p w14:paraId="19F7D340" w14:textId="77777777" w:rsidR="00665CFA" w:rsidRDefault="00665CFA" w:rsidP="00A22B9A">
      <w:pPr>
        <w:rPr>
          <w:rFonts w:cs="Times New Roman"/>
        </w:rPr>
      </w:pPr>
    </w:p>
    <w:p w14:paraId="536FF698" w14:textId="501C892D" w:rsidR="00665CFA" w:rsidRDefault="00665CFA" w:rsidP="00A22B9A">
      <w:pPr>
        <w:rPr>
          <w:rFonts w:cs="Times New Roman"/>
        </w:rPr>
      </w:pPr>
      <w:r w:rsidRPr="000124A5">
        <w:rPr>
          <w:rFonts w:cs="Times New Roman"/>
        </w:rPr>
        <w:t>The paper is structured as follows.</w:t>
      </w:r>
      <w:r>
        <w:rPr>
          <w:rFonts w:cs="Times New Roman"/>
        </w:rPr>
        <w:t xml:space="preserve">  First, we </w:t>
      </w:r>
      <w:r w:rsidR="00F14E38">
        <w:rPr>
          <w:rFonts w:cs="Times New Roman"/>
        </w:rPr>
        <w:t xml:space="preserve">position our study within the limited but expanding literature </w:t>
      </w:r>
      <w:r>
        <w:rPr>
          <w:rFonts w:cs="Times New Roman"/>
        </w:rPr>
        <w:t xml:space="preserve">on accounting and economic inequality.  Second, we </w:t>
      </w:r>
      <w:r w:rsidR="00090E36">
        <w:rPr>
          <w:rFonts w:cs="Times New Roman"/>
        </w:rPr>
        <w:t>discuss</w:t>
      </w:r>
      <w:r>
        <w:rPr>
          <w:rFonts w:cs="Times New Roman"/>
        </w:rPr>
        <w:t xml:space="preserve"> income and wealth inequality and trace the emergence of the concept of the living wage.  Third, we outline our theoretical framework</w:t>
      </w:r>
      <w:r w:rsidR="007E0630">
        <w:rPr>
          <w:rFonts w:cs="Times New Roman"/>
        </w:rPr>
        <w:t xml:space="preserve">, showing </w:t>
      </w:r>
      <w:r>
        <w:rPr>
          <w:rFonts w:cs="Times New Roman"/>
        </w:rPr>
        <w:t xml:space="preserve">how this framework informs our method. </w:t>
      </w:r>
      <w:r w:rsidR="00B63050">
        <w:rPr>
          <w:rFonts w:cs="Times New Roman"/>
        </w:rPr>
        <w:t xml:space="preserve"> </w:t>
      </w:r>
      <w:r>
        <w:rPr>
          <w:rFonts w:cs="Times New Roman"/>
        </w:rPr>
        <w:t>In th</w:t>
      </w:r>
      <w:r w:rsidR="00B4750B">
        <w:rPr>
          <w:rFonts w:cs="Times New Roman"/>
        </w:rPr>
        <w:t xml:space="preserve">e </w:t>
      </w:r>
      <w:r w:rsidR="00B4750B">
        <w:rPr>
          <w:rFonts w:cs="Times New Roman"/>
        </w:rPr>
        <w:lastRenderedPageBreak/>
        <w:t>fourth</w:t>
      </w:r>
      <w:r>
        <w:rPr>
          <w:rFonts w:cs="Times New Roman"/>
        </w:rPr>
        <w:t xml:space="preserve"> section </w:t>
      </w:r>
      <w:r w:rsidR="00406EE7">
        <w:rPr>
          <w:rFonts w:cs="Times New Roman"/>
        </w:rPr>
        <w:t xml:space="preserve">we discuss </w:t>
      </w:r>
      <w:r>
        <w:rPr>
          <w:rFonts w:cs="Times New Roman"/>
        </w:rPr>
        <w:t xml:space="preserve">the context for our research as well as our approach to data selection and analysis.  </w:t>
      </w:r>
      <w:r w:rsidR="00B4750B">
        <w:rPr>
          <w:rFonts w:cs="Times New Roman"/>
        </w:rPr>
        <w:t xml:space="preserve">Findings are then </w:t>
      </w:r>
      <w:r>
        <w:rPr>
          <w:rFonts w:cs="Times New Roman"/>
        </w:rPr>
        <w:t>present</w:t>
      </w:r>
      <w:r w:rsidR="00B4750B">
        <w:rPr>
          <w:rFonts w:cs="Times New Roman"/>
        </w:rPr>
        <w:t>ed</w:t>
      </w:r>
      <w:r>
        <w:rPr>
          <w:rFonts w:cs="Times New Roman"/>
        </w:rPr>
        <w:t xml:space="preserve"> and analyse</w:t>
      </w:r>
      <w:r w:rsidR="00B4750B">
        <w:rPr>
          <w:rFonts w:cs="Times New Roman"/>
        </w:rPr>
        <w:t>d</w:t>
      </w:r>
      <w:r>
        <w:rPr>
          <w:rFonts w:cs="Times New Roman"/>
        </w:rPr>
        <w:t xml:space="preserve">.  </w:t>
      </w:r>
      <w:r w:rsidR="00CB5FB5">
        <w:rPr>
          <w:rFonts w:cs="Times New Roman"/>
        </w:rPr>
        <w:t>Lastly,</w:t>
      </w:r>
      <w:r w:rsidR="00153CE6">
        <w:rPr>
          <w:rFonts w:cs="Times New Roman"/>
        </w:rPr>
        <w:t xml:space="preserve"> </w:t>
      </w:r>
      <w:r w:rsidR="00406EE7">
        <w:rPr>
          <w:rFonts w:cs="Times New Roman"/>
        </w:rPr>
        <w:t xml:space="preserve">we discuss </w:t>
      </w:r>
      <w:r w:rsidR="00153CE6">
        <w:rPr>
          <w:rFonts w:cs="Times New Roman"/>
        </w:rPr>
        <w:t>how accounting is implicated in calls for and against a living wage</w:t>
      </w:r>
      <w:r w:rsidR="00406EE7">
        <w:rPr>
          <w:rFonts w:cs="Times New Roman"/>
        </w:rPr>
        <w:t xml:space="preserve">, </w:t>
      </w:r>
      <w:r>
        <w:rPr>
          <w:rFonts w:cs="Times New Roman"/>
        </w:rPr>
        <w:t xml:space="preserve">before </w:t>
      </w:r>
      <w:r w:rsidR="00406EE7">
        <w:rPr>
          <w:rFonts w:cs="Times New Roman"/>
        </w:rPr>
        <w:t xml:space="preserve">making </w:t>
      </w:r>
      <w:r>
        <w:rPr>
          <w:rFonts w:cs="Times New Roman"/>
        </w:rPr>
        <w:t>concluding comments.</w:t>
      </w:r>
    </w:p>
    <w:p w14:paraId="095415D7" w14:textId="77777777" w:rsidR="00665CFA" w:rsidRDefault="00665CFA" w:rsidP="00A22B9A">
      <w:pPr>
        <w:rPr>
          <w:rFonts w:cs="Times New Roman"/>
        </w:rPr>
      </w:pPr>
    </w:p>
    <w:p w14:paraId="79D68CCE" w14:textId="77777777" w:rsidR="00665CFA" w:rsidRPr="00D86117" w:rsidRDefault="00665CFA" w:rsidP="00A22B9A">
      <w:pPr>
        <w:rPr>
          <w:rFonts w:cs="Times New Roman"/>
          <w:b/>
        </w:rPr>
      </w:pPr>
      <w:r>
        <w:rPr>
          <w:rFonts w:cs="Times New Roman"/>
          <w:b/>
        </w:rPr>
        <w:t>Accounting and Economic (In)equality</w:t>
      </w:r>
    </w:p>
    <w:p w14:paraId="08F61F18" w14:textId="71C760A1" w:rsidR="00583200" w:rsidRDefault="00CB3C02" w:rsidP="00583200">
      <w:pPr>
        <w:rPr>
          <w:rFonts w:cs="Times New Roman"/>
        </w:rPr>
      </w:pPr>
      <w:r>
        <w:rPr>
          <w:rFonts w:cs="Times New Roman"/>
        </w:rPr>
        <w:t>As noted</w:t>
      </w:r>
      <w:r w:rsidR="00583200">
        <w:rPr>
          <w:rFonts w:cs="Times New Roman"/>
        </w:rPr>
        <w:t xml:space="preserve">, previous research on the </w:t>
      </w:r>
      <w:r>
        <w:rPr>
          <w:rFonts w:cs="Times New Roman"/>
        </w:rPr>
        <w:t xml:space="preserve">relationship between accounting and inequalities of income and wealth </w:t>
      </w:r>
      <w:r w:rsidR="00CB5FB5">
        <w:rPr>
          <w:rFonts w:cs="Times New Roman"/>
        </w:rPr>
        <w:t>is</w:t>
      </w:r>
      <w:r w:rsidR="00583200">
        <w:rPr>
          <w:rFonts w:cs="Times New Roman"/>
        </w:rPr>
        <w:t xml:space="preserve"> surprisingly limited (Ravenscroft &amp; Denison, 2014</w:t>
      </w:r>
      <w:r w:rsidR="002D4BE5">
        <w:rPr>
          <w:rFonts w:cs="Times New Roman"/>
        </w:rPr>
        <w:t>)</w:t>
      </w:r>
      <w:r w:rsidR="00B253F0">
        <w:rPr>
          <w:rFonts w:cs="Times New Roman"/>
        </w:rPr>
        <w:t xml:space="preserve">.  Indeed, </w:t>
      </w:r>
      <w:r>
        <w:rPr>
          <w:rFonts w:cs="Times New Roman"/>
        </w:rPr>
        <w:t xml:space="preserve">the topic </w:t>
      </w:r>
      <w:r w:rsidR="0076286C">
        <w:rPr>
          <w:rFonts w:cs="Times New Roman"/>
        </w:rPr>
        <w:t xml:space="preserve">has </w:t>
      </w:r>
      <w:r w:rsidR="002D4BE5">
        <w:rPr>
          <w:rFonts w:cs="Times New Roman"/>
        </w:rPr>
        <w:t>remained “on the periphery of social accounting research” (</w:t>
      </w:r>
      <w:r w:rsidR="00583200">
        <w:rPr>
          <w:rFonts w:cs="Times New Roman"/>
        </w:rPr>
        <w:t>Tweedie &amp; Haze</w:t>
      </w:r>
      <w:r w:rsidR="00A74A96">
        <w:rPr>
          <w:rFonts w:cs="Times New Roman"/>
        </w:rPr>
        <w:t>l</w:t>
      </w:r>
      <w:r w:rsidR="00583200">
        <w:rPr>
          <w:rFonts w:cs="Times New Roman"/>
        </w:rPr>
        <w:t>ton, 2015</w:t>
      </w:r>
      <w:r w:rsidR="002D4BE5">
        <w:rPr>
          <w:rFonts w:cs="Times New Roman"/>
        </w:rPr>
        <w:t>, p. 113</w:t>
      </w:r>
      <w:r w:rsidR="00583200">
        <w:rPr>
          <w:rFonts w:cs="Times New Roman"/>
        </w:rPr>
        <w:t xml:space="preserve">).  This is likely to change as we see increasing attention to this issue across civil society, </w:t>
      </w:r>
      <w:r>
        <w:rPr>
          <w:rFonts w:cs="Times New Roman"/>
        </w:rPr>
        <w:t xml:space="preserve">increasing acknowledgment that accounting is implicated in creating and legitimating inequalities, </w:t>
      </w:r>
      <w:r w:rsidR="00583200">
        <w:rPr>
          <w:rFonts w:cs="Times New Roman"/>
        </w:rPr>
        <w:t>and increasing calls for accounting to engage with this critical contemporary issue (see</w:t>
      </w:r>
      <w:r w:rsidR="00583200" w:rsidRPr="00FA67AF">
        <w:rPr>
          <w:rFonts w:cs="Times New Roman"/>
        </w:rPr>
        <w:t xml:space="preserve"> </w:t>
      </w:r>
      <w:r w:rsidR="00583200">
        <w:rPr>
          <w:rFonts w:cs="Times New Roman"/>
        </w:rPr>
        <w:t>Sikka,</w:t>
      </w:r>
      <w:r w:rsidR="0076286C">
        <w:rPr>
          <w:rFonts w:cs="Times New Roman"/>
        </w:rPr>
        <w:t xml:space="preserve"> 2015; Tweedie &amp; Haze</w:t>
      </w:r>
      <w:r w:rsidR="00A74A96">
        <w:rPr>
          <w:rFonts w:cs="Times New Roman"/>
        </w:rPr>
        <w:t>l</w:t>
      </w:r>
      <w:r w:rsidR="0076286C">
        <w:rPr>
          <w:rFonts w:cs="Times New Roman"/>
        </w:rPr>
        <w:t>ton, 2015</w:t>
      </w:r>
      <w:r w:rsidR="00583200">
        <w:rPr>
          <w:rFonts w:cs="Times New Roman"/>
        </w:rPr>
        <w:t>).</w:t>
      </w:r>
    </w:p>
    <w:p w14:paraId="3C33DDE9" w14:textId="77777777" w:rsidR="00B63050" w:rsidRDefault="00B63050" w:rsidP="00A22B9A">
      <w:pPr>
        <w:rPr>
          <w:rFonts w:cs="Times New Roman"/>
        </w:rPr>
      </w:pPr>
    </w:p>
    <w:p w14:paraId="65AE3E87" w14:textId="7625F6DD" w:rsidR="002D4BE5" w:rsidRDefault="00CB3C02" w:rsidP="00A22B9A">
      <w:pPr>
        <w:rPr>
          <w:rFonts w:cs="Times New Roman"/>
        </w:rPr>
      </w:pPr>
      <w:r>
        <w:rPr>
          <w:rFonts w:cs="Times New Roman"/>
        </w:rPr>
        <w:t>Within the extant literature, one important strand</w:t>
      </w:r>
      <w:r w:rsidDel="00CB3C02">
        <w:rPr>
          <w:rFonts w:cs="Times New Roman"/>
        </w:rPr>
        <w:t xml:space="preserve"> </w:t>
      </w:r>
      <w:r w:rsidR="002D4BE5">
        <w:rPr>
          <w:rFonts w:cs="Times New Roman"/>
        </w:rPr>
        <w:t>consider</w:t>
      </w:r>
      <w:r w:rsidR="00090E36">
        <w:rPr>
          <w:rFonts w:cs="Times New Roman"/>
        </w:rPr>
        <w:t>s</w:t>
      </w:r>
      <w:r w:rsidR="002D4BE5">
        <w:rPr>
          <w:rFonts w:cs="Times New Roman"/>
        </w:rPr>
        <w:t xml:space="preserve"> how corporate structures and practices lead to inequality.  Sikka (2008), for example, considers corporate governance mechanisms in the UK in relation to income inequality</w:t>
      </w:r>
      <w:r w:rsidR="009D3054">
        <w:rPr>
          <w:rFonts w:cs="Times New Roman"/>
        </w:rPr>
        <w:t>. His research extends to a consideration of</w:t>
      </w:r>
      <w:r w:rsidR="002D4BE5">
        <w:rPr>
          <w:rFonts w:cs="Times New Roman"/>
        </w:rPr>
        <w:t xml:space="preserve"> the role of the state in developing links between corporate governance and the distribution of income and wealth.  </w:t>
      </w:r>
      <w:r w:rsidR="009D3054">
        <w:rPr>
          <w:rFonts w:cs="Times New Roman"/>
        </w:rPr>
        <w:t xml:space="preserve">Sikka </w:t>
      </w:r>
      <w:r w:rsidR="002D4BE5">
        <w:rPr>
          <w:rFonts w:cs="Times New Roman"/>
        </w:rPr>
        <w:t xml:space="preserve">notes limitations of UK law in relation to </w:t>
      </w:r>
      <w:r w:rsidR="00473773">
        <w:rPr>
          <w:rFonts w:cs="Times New Roman"/>
        </w:rPr>
        <w:t>areas that</w:t>
      </w:r>
      <w:r w:rsidR="002D4BE5">
        <w:rPr>
          <w:rFonts w:cs="Times New Roman"/>
        </w:rPr>
        <w:t xml:space="preserve"> would foster the more equitable distribution of income and wealth</w:t>
      </w:r>
      <w:r w:rsidR="00473773">
        <w:rPr>
          <w:rFonts w:cs="Times New Roman"/>
        </w:rPr>
        <w:t>,</w:t>
      </w:r>
      <w:r w:rsidR="002D4BE5">
        <w:rPr>
          <w:rFonts w:cs="Times New Roman"/>
        </w:rPr>
        <w:t xml:space="preserve"> such as</w:t>
      </w:r>
      <w:r w:rsidR="009D3054">
        <w:rPr>
          <w:rFonts w:cs="Times New Roman"/>
        </w:rPr>
        <w:t xml:space="preserve"> enhanced</w:t>
      </w:r>
      <w:r w:rsidR="002D4BE5">
        <w:rPr>
          <w:rFonts w:cs="Times New Roman"/>
        </w:rPr>
        <w:t xml:space="preserve"> consultation </w:t>
      </w:r>
      <w:r w:rsidR="009D3054">
        <w:rPr>
          <w:rFonts w:cs="Times New Roman"/>
        </w:rPr>
        <w:t>and reporting</w:t>
      </w:r>
      <w:r w:rsidR="002D4BE5">
        <w:rPr>
          <w:rFonts w:cs="Times New Roman"/>
        </w:rPr>
        <w:t xml:space="preserve"> on wage and wage distribution.  </w:t>
      </w:r>
      <w:r w:rsidR="00C34F89">
        <w:rPr>
          <w:rFonts w:cs="Times New Roman"/>
        </w:rPr>
        <w:t xml:space="preserve">Cooper (2005) </w:t>
      </w:r>
      <w:r w:rsidR="009D3054">
        <w:rPr>
          <w:rFonts w:cs="Times New Roman"/>
        </w:rPr>
        <w:t>makes a specific call for accounting academics to engage on the issue</w:t>
      </w:r>
      <w:r w:rsidR="002D4BE5">
        <w:rPr>
          <w:rFonts w:cs="Times New Roman"/>
        </w:rPr>
        <w:t xml:space="preserve"> </w:t>
      </w:r>
      <w:r w:rsidR="00744E3E">
        <w:rPr>
          <w:rFonts w:cs="Times New Roman"/>
        </w:rPr>
        <w:t xml:space="preserve">of </w:t>
      </w:r>
      <w:r w:rsidR="002D4BE5">
        <w:rPr>
          <w:rFonts w:cs="Times New Roman"/>
        </w:rPr>
        <w:t>income equality</w:t>
      </w:r>
      <w:r w:rsidR="00C34F89">
        <w:rPr>
          <w:rFonts w:cs="Times New Roman"/>
        </w:rPr>
        <w:t xml:space="preserve">.  She argues that “given the harrowing impact of market fundamentalism on the everyday lives of millions of people”, accounting academics have a responsibility to </w:t>
      </w:r>
      <w:r w:rsidR="009D3054">
        <w:rPr>
          <w:rFonts w:cs="Times New Roman"/>
        </w:rPr>
        <w:t>resist the myth of markets as “normal”, to elevate the voices of the poor, and to contribute to the “</w:t>
      </w:r>
      <w:r w:rsidR="00C34F89">
        <w:rPr>
          <w:rFonts w:cs="Times New Roman"/>
        </w:rPr>
        <w:t xml:space="preserve">building </w:t>
      </w:r>
      <w:r w:rsidR="009D3054">
        <w:rPr>
          <w:rFonts w:cs="Times New Roman"/>
        </w:rPr>
        <w:t xml:space="preserve">[of] </w:t>
      </w:r>
      <w:r w:rsidR="00C34F89">
        <w:rPr>
          <w:rFonts w:cs="Times New Roman"/>
        </w:rPr>
        <w:t>social movements” (Cooper, 2005, p. 604).</w:t>
      </w:r>
      <w:r w:rsidR="008C4630">
        <w:rPr>
          <w:rFonts w:cs="Times New Roman"/>
        </w:rPr>
        <w:t xml:space="preserve">  Sikka (2008) reinforces these calls </w:t>
      </w:r>
      <w:r w:rsidR="002D3ABD">
        <w:rPr>
          <w:rFonts w:cs="Times New Roman"/>
        </w:rPr>
        <w:t>to consult widely, and e</w:t>
      </w:r>
      <w:r w:rsidR="008C4630">
        <w:rPr>
          <w:rFonts w:cs="Times New Roman"/>
        </w:rPr>
        <w:t xml:space="preserve">specially </w:t>
      </w:r>
      <w:r w:rsidR="002D3ABD">
        <w:rPr>
          <w:rFonts w:cs="Times New Roman"/>
        </w:rPr>
        <w:t>with</w:t>
      </w:r>
      <w:r w:rsidR="008C4630">
        <w:rPr>
          <w:rFonts w:cs="Times New Roman"/>
        </w:rPr>
        <w:t xml:space="preserve"> the least powerful, on issues of wage distribution. </w:t>
      </w:r>
    </w:p>
    <w:p w14:paraId="0EE664AE" w14:textId="77777777" w:rsidR="00C34F89" w:rsidRDefault="00C34F89" w:rsidP="00A22B9A">
      <w:pPr>
        <w:rPr>
          <w:rFonts w:cs="Times New Roman"/>
        </w:rPr>
      </w:pPr>
    </w:p>
    <w:p w14:paraId="350A0D13" w14:textId="4CBA7A84" w:rsidR="00C34F89" w:rsidRDefault="009D3054" w:rsidP="00C34F89">
      <w:pPr>
        <w:rPr>
          <w:rFonts w:cs="Times New Roman"/>
        </w:rPr>
      </w:pPr>
      <w:r>
        <w:rPr>
          <w:rFonts w:cs="Times New Roman"/>
        </w:rPr>
        <w:t>In line with this “public intellectual” role</w:t>
      </w:r>
      <w:r w:rsidR="00AC5626">
        <w:rPr>
          <w:rFonts w:cs="Times New Roman"/>
        </w:rPr>
        <w:t xml:space="preserve">, </w:t>
      </w:r>
      <w:r w:rsidR="0077020C">
        <w:rPr>
          <w:rFonts w:cs="Times New Roman"/>
        </w:rPr>
        <w:t>Cooper</w:t>
      </w:r>
      <w:r w:rsidR="00AC5626">
        <w:rPr>
          <w:rFonts w:cs="Times New Roman"/>
        </w:rPr>
        <w:t xml:space="preserve"> </w:t>
      </w:r>
      <w:r w:rsidR="00090E36">
        <w:rPr>
          <w:rFonts w:cs="Times New Roman"/>
        </w:rPr>
        <w:t>and</w:t>
      </w:r>
      <w:r>
        <w:rPr>
          <w:rFonts w:cs="Times New Roman"/>
        </w:rPr>
        <w:t xml:space="preserve"> </w:t>
      </w:r>
      <w:r w:rsidR="00C34F89">
        <w:rPr>
          <w:rFonts w:cs="Times New Roman"/>
        </w:rPr>
        <w:t>colleagues</w:t>
      </w:r>
      <w:r w:rsidR="00153CE6">
        <w:rPr>
          <w:rFonts w:cs="Times New Roman"/>
        </w:rPr>
        <w:t xml:space="preserve"> </w:t>
      </w:r>
      <w:r>
        <w:rPr>
          <w:rFonts w:cs="Times New Roman"/>
        </w:rPr>
        <w:t>produce</w:t>
      </w:r>
      <w:r w:rsidR="00090E36">
        <w:rPr>
          <w:rFonts w:cs="Times New Roman"/>
        </w:rPr>
        <w:t>d</w:t>
      </w:r>
      <w:r>
        <w:rPr>
          <w:rFonts w:cs="Times New Roman"/>
        </w:rPr>
        <w:t xml:space="preserve"> a social account of student experiences working while in full time education, to examine one experience of</w:t>
      </w:r>
      <w:r w:rsidR="00C34F89">
        <w:rPr>
          <w:rFonts w:cs="Times New Roman"/>
        </w:rPr>
        <w:t xml:space="preserve"> financial hardship (Cooper, Taylor, Smith &amp; Catchpowle, 2005).  </w:t>
      </w:r>
      <w:r>
        <w:rPr>
          <w:rFonts w:cs="Times New Roman"/>
        </w:rPr>
        <w:t xml:space="preserve">They </w:t>
      </w:r>
      <w:r w:rsidR="00C34F89">
        <w:rPr>
          <w:rFonts w:cs="Times New Roman"/>
        </w:rPr>
        <w:t xml:space="preserve">demonstrate how the logic of market economies places pressure on capitalist enterprises “to raise levels of labour exploitation as a condition for the survival of the capitalist enterprise” (Cooper et al., 2005, p. </w:t>
      </w:r>
      <w:r w:rsidR="00C34F89">
        <w:rPr>
          <w:rFonts w:cs="Times New Roman"/>
        </w:rPr>
        <w:lastRenderedPageBreak/>
        <w:t xml:space="preserve">972).  </w:t>
      </w:r>
      <w:r>
        <w:rPr>
          <w:rFonts w:cs="Times New Roman"/>
        </w:rPr>
        <w:t>T</w:t>
      </w:r>
      <w:r w:rsidR="00C34F89">
        <w:rPr>
          <w:rFonts w:cs="Times New Roman"/>
        </w:rPr>
        <w:t>he</w:t>
      </w:r>
      <w:r w:rsidR="003C7E64">
        <w:rPr>
          <w:rFonts w:cs="Times New Roman"/>
        </w:rPr>
        <w:t>y note how the</w:t>
      </w:r>
      <w:r w:rsidR="00C34F89">
        <w:rPr>
          <w:rFonts w:cs="Times New Roman"/>
        </w:rPr>
        <w:t xml:space="preserve"> dominance of market ideology makes it difficult to question such relations</w:t>
      </w:r>
      <w:r w:rsidR="00F745A1">
        <w:rPr>
          <w:rFonts w:cs="Times New Roman"/>
        </w:rPr>
        <w:t xml:space="preserve"> of exploitation and domination</w:t>
      </w:r>
      <w:r w:rsidR="00255E9B">
        <w:rPr>
          <w:rFonts w:cs="Times New Roman"/>
        </w:rPr>
        <w:t>: work is positioned as “</w:t>
      </w:r>
      <w:r w:rsidR="00C34F89">
        <w:rPr>
          <w:rFonts w:cs="Times New Roman"/>
        </w:rPr>
        <w:t>the inevitable outcome of nature’s laws</w:t>
      </w:r>
      <w:r w:rsidR="00255E9B">
        <w:rPr>
          <w:rFonts w:cs="Times New Roman"/>
        </w:rPr>
        <w:t>”, and “st</w:t>
      </w:r>
      <w:r w:rsidR="00C34F89">
        <w:rPr>
          <w:rFonts w:cs="Times New Roman"/>
        </w:rPr>
        <w:t xml:space="preserve">ate benefits </w:t>
      </w:r>
      <w:r w:rsidR="00255E9B">
        <w:rPr>
          <w:rFonts w:cs="Times New Roman"/>
        </w:rPr>
        <w:t xml:space="preserve">[as] </w:t>
      </w:r>
      <w:r w:rsidR="00C34F89">
        <w:rPr>
          <w:rFonts w:cs="Times New Roman"/>
        </w:rPr>
        <w:t>unnatural”</w:t>
      </w:r>
      <w:r w:rsidR="00255E9B">
        <w:rPr>
          <w:rFonts w:cs="Times New Roman"/>
        </w:rPr>
        <w:t xml:space="preserve"> and socially harmful</w:t>
      </w:r>
      <w:r w:rsidR="00C34F89">
        <w:rPr>
          <w:rFonts w:cs="Times New Roman"/>
        </w:rPr>
        <w:t xml:space="preserve"> (Cooper et al., 2005, p. 972).</w:t>
      </w:r>
      <w:r w:rsidR="00F745A1">
        <w:rPr>
          <w:rFonts w:cs="Times New Roman"/>
        </w:rPr>
        <w:t xml:space="preserve">  Collison</w:t>
      </w:r>
      <w:r w:rsidR="00BB6472">
        <w:rPr>
          <w:rFonts w:cs="Times New Roman"/>
        </w:rPr>
        <w:t xml:space="preserve"> et al.</w:t>
      </w:r>
      <w:r w:rsidR="00F745A1">
        <w:rPr>
          <w:rFonts w:cs="Times New Roman"/>
        </w:rPr>
        <w:t xml:space="preserve"> (2010) </w:t>
      </w:r>
      <w:r w:rsidR="002662D1">
        <w:rPr>
          <w:rFonts w:cs="Times New Roman"/>
        </w:rPr>
        <w:t xml:space="preserve">also </w:t>
      </w:r>
      <w:r w:rsidR="00F745A1">
        <w:rPr>
          <w:rFonts w:cs="Times New Roman"/>
        </w:rPr>
        <w:t>consider the potential of social accounting</w:t>
      </w:r>
      <w:r w:rsidR="00183FCE">
        <w:rPr>
          <w:rFonts w:cs="Times New Roman"/>
        </w:rPr>
        <w:t>, and in particular silent and shadow accounts,</w:t>
      </w:r>
      <w:r w:rsidR="00F745A1">
        <w:rPr>
          <w:rFonts w:cs="Times New Roman"/>
        </w:rPr>
        <w:t xml:space="preserve"> to hold capitalism to account </w:t>
      </w:r>
      <w:r w:rsidR="00F74C1D">
        <w:rPr>
          <w:rFonts w:cs="Times New Roman"/>
        </w:rPr>
        <w:t xml:space="preserve">by </w:t>
      </w:r>
      <w:r w:rsidR="00F745A1">
        <w:rPr>
          <w:rFonts w:cs="Times New Roman"/>
        </w:rPr>
        <w:t>exploring the issue of income inequality in relation to child mortality.  They suggest th</w:t>
      </w:r>
      <w:r w:rsidR="00153CE6">
        <w:rPr>
          <w:rFonts w:cs="Times New Roman"/>
        </w:rPr>
        <w:t>at th</w:t>
      </w:r>
      <w:r w:rsidR="00F745A1">
        <w:rPr>
          <w:rFonts w:cs="Times New Roman"/>
        </w:rPr>
        <w:t xml:space="preserve">e possible efficacy of silent or shadow accounts </w:t>
      </w:r>
      <w:r w:rsidR="006301D8">
        <w:rPr>
          <w:rFonts w:cs="Times New Roman"/>
        </w:rPr>
        <w:t xml:space="preserve">lies in </w:t>
      </w:r>
      <w:r w:rsidR="00F745A1">
        <w:rPr>
          <w:rFonts w:cs="Times New Roman"/>
        </w:rPr>
        <w:t>their ability to “strike a chord with a (reassuringly persistent) level of public sentiment towards notions of equality and a “common good” (p. 974).</w:t>
      </w:r>
      <w:r w:rsidR="006E5EB3" w:rsidRPr="006E5EB3">
        <w:rPr>
          <w:rFonts w:cs="Times New Roman"/>
        </w:rPr>
        <w:t xml:space="preserve"> </w:t>
      </w:r>
      <w:r w:rsidR="006E5EB3">
        <w:rPr>
          <w:rFonts w:cs="Times New Roman"/>
        </w:rPr>
        <w:t xml:space="preserve"> </w:t>
      </w:r>
    </w:p>
    <w:p w14:paraId="2F70AE0C" w14:textId="77777777" w:rsidR="00D61ADC" w:rsidRDefault="00D61ADC" w:rsidP="00C34F89">
      <w:pPr>
        <w:rPr>
          <w:rFonts w:cs="Times New Roman"/>
        </w:rPr>
      </w:pPr>
    </w:p>
    <w:p w14:paraId="1CFFFCB0" w14:textId="064C1D05" w:rsidR="00F32985" w:rsidRDefault="0095606F" w:rsidP="00C34F89">
      <w:pPr>
        <w:rPr>
          <w:rFonts w:cs="Times New Roman"/>
        </w:rPr>
      </w:pPr>
      <w:r>
        <w:rPr>
          <w:rFonts w:cs="Times New Roman"/>
        </w:rPr>
        <w:t>Mo</w:t>
      </w:r>
      <w:r w:rsidR="00F32985">
        <w:rPr>
          <w:rFonts w:cs="Times New Roman"/>
        </w:rPr>
        <w:t>re recently</w:t>
      </w:r>
      <w:r w:rsidR="00A50834">
        <w:rPr>
          <w:rFonts w:cs="Times New Roman"/>
        </w:rPr>
        <w:t>,</w:t>
      </w:r>
      <w:r w:rsidR="00F32985">
        <w:rPr>
          <w:rFonts w:cs="Times New Roman"/>
        </w:rPr>
        <w:t xml:space="preserve"> a number of papers have focused on accounting techniques, metrics and artefacts and their role in the inequitable distribution of income and wealth.  Sikka (2015), for example, focuses on accounting calculations and discourses in relation to the determination of wages and taxes.  </w:t>
      </w:r>
      <w:bookmarkStart w:id="2" w:name="_Hlk499045736"/>
      <w:r w:rsidR="00F32985">
        <w:rPr>
          <w:rFonts w:cs="Times New Roman"/>
        </w:rPr>
        <w:t xml:space="preserve">He argues that the labelling of wages as costs dictate, within the hegemonic discourse of capitalism, that they are to be considered </w:t>
      </w:r>
      <w:r w:rsidR="00F74C1D">
        <w:rPr>
          <w:rFonts w:cs="Times New Roman"/>
        </w:rPr>
        <w:t xml:space="preserve">always and </w:t>
      </w:r>
      <w:r w:rsidR="00F32985">
        <w:rPr>
          <w:rFonts w:cs="Times New Roman"/>
        </w:rPr>
        <w:t xml:space="preserve">only as </w:t>
      </w:r>
      <w:r w:rsidR="00153CE6">
        <w:rPr>
          <w:rFonts w:cs="Times New Roman"/>
        </w:rPr>
        <w:t xml:space="preserve">a necessary evil </w:t>
      </w:r>
      <w:r w:rsidR="00F32985">
        <w:rPr>
          <w:rFonts w:cs="Times New Roman"/>
        </w:rPr>
        <w:t xml:space="preserve">to be reduced.  </w:t>
      </w:r>
      <w:r w:rsidR="00090E36">
        <w:rPr>
          <w:rFonts w:cs="Times New Roman"/>
        </w:rPr>
        <w:t>H</w:t>
      </w:r>
      <w:r w:rsidR="00F32985">
        <w:rPr>
          <w:rFonts w:cs="Times New Roman"/>
        </w:rPr>
        <w:t xml:space="preserve">e </w:t>
      </w:r>
      <w:r w:rsidR="00090E36">
        <w:rPr>
          <w:rFonts w:cs="Times New Roman"/>
        </w:rPr>
        <w:t xml:space="preserve">subsequently </w:t>
      </w:r>
      <w:r w:rsidR="00F32985">
        <w:rPr>
          <w:rFonts w:cs="Times New Roman"/>
        </w:rPr>
        <w:t>argues that the payment of “wages are not seen as legitimate rewards for the employment of social and human resources, but as barriers to expansion of capital” (p. 49) and that accounting practices “celebrate the gains to capital, but do not give visibility to the human consequences of the drive to reduce wages and tax payments” (p. 58).  Sikka (2015) call</w:t>
      </w:r>
      <w:r w:rsidR="00CB5FB5">
        <w:rPr>
          <w:rFonts w:cs="Times New Roman"/>
        </w:rPr>
        <w:t>s</w:t>
      </w:r>
      <w:r w:rsidR="00F32985">
        <w:rPr>
          <w:rFonts w:cs="Times New Roman"/>
        </w:rPr>
        <w:t xml:space="preserve"> for further scrutiny of accounting concepts and practices related to income and wealth distribution.</w:t>
      </w:r>
    </w:p>
    <w:bookmarkEnd w:id="2"/>
    <w:p w14:paraId="057CAE84" w14:textId="77777777" w:rsidR="006E5EB3" w:rsidRDefault="006E5EB3" w:rsidP="00C34F89">
      <w:pPr>
        <w:rPr>
          <w:rFonts w:cs="Times New Roman"/>
        </w:rPr>
      </w:pPr>
    </w:p>
    <w:p w14:paraId="4C534943" w14:textId="510D89C8" w:rsidR="006E5EB3" w:rsidRDefault="006E5EB3" w:rsidP="00C34F89">
      <w:pPr>
        <w:rPr>
          <w:rFonts w:cs="Times New Roman"/>
        </w:rPr>
      </w:pPr>
      <w:r>
        <w:rPr>
          <w:rFonts w:cs="Times New Roman"/>
        </w:rPr>
        <w:t xml:space="preserve">Other studies looking at accounting techniques and practices and the role of accounting in income inequality </w:t>
      </w:r>
      <w:r w:rsidR="00153CE6">
        <w:rPr>
          <w:rFonts w:cs="Times New Roman"/>
        </w:rPr>
        <w:t>emphasise</w:t>
      </w:r>
      <w:r w:rsidR="00246D1B">
        <w:rPr>
          <w:rFonts w:cs="Times New Roman"/>
        </w:rPr>
        <w:t xml:space="preserve"> the need</w:t>
      </w:r>
      <w:r>
        <w:rPr>
          <w:rFonts w:cs="Times New Roman"/>
        </w:rPr>
        <w:t xml:space="preserve"> for increased transparency and disclosure.  Ravenscroft and Denison (2014, p. 91) argue “that the public interest is undermined when disclosure requirements are too narrow, thus allowing corporations to behave unethically (though legally), without sufficient scrutiny … [or] accountability”.  </w:t>
      </w:r>
      <w:r w:rsidR="00CB5FB5">
        <w:rPr>
          <w:rFonts w:cs="Times New Roman"/>
        </w:rPr>
        <w:t>T</w:t>
      </w:r>
      <w:r>
        <w:rPr>
          <w:rFonts w:cs="Times New Roman"/>
        </w:rPr>
        <w:t xml:space="preserve">hey argue for further corporate disclosure on </w:t>
      </w:r>
      <w:r w:rsidR="00473773">
        <w:rPr>
          <w:rFonts w:cs="Times New Roman"/>
        </w:rPr>
        <w:t>transactions that</w:t>
      </w:r>
      <w:r>
        <w:rPr>
          <w:rFonts w:cs="Times New Roman"/>
        </w:rPr>
        <w:t xml:space="preserve"> contribute to current income inequality </w:t>
      </w:r>
      <w:r w:rsidR="00246D1B">
        <w:rPr>
          <w:rFonts w:cs="Times New Roman"/>
        </w:rPr>
        <w:t>and</w:t>
      </w:r>
      <w:r>
        <w:rPr>
          <w:rFonts w:cs="Times New Roman"/>
        </w:rPr>
        <w:t xml:space="preserve"> suggest mandated disclosure in three </w:t>
      </w:r>
      <w:r w:rsidR="00246D1B">
        <w:rPr>
          <w:rFonts w:cs="Times New Roman"/>
        </w:rPr>
        <w:t xml:space="preserve">key </w:t>
      </w:r>
      <w:r>
        <w:rPr>
          <w:rFonts w:cs="Times New Roman"/>
        </w:rPr>
        <w:t>areas</w:t>
      </w:r>
      <w:r w:rsidR="00246D1B">
        <w:rPr>
          <w:rFonts w:cs="Times New Roman"/>
        </w:rPr>
        <w:t xml:space="preserve">: </w:t>
      </w:r>
      <w:r>
        <w:rPr>
          <w:rFonts w:cs="Times New Roman"/>
        </w:rPr>
        <w:t>compensation, taxation and non-business expenses.  Haller et al., (2016) also focus on disclosures, in particular value added disclosures in sustainability reports.  Arguing that value added disclosures represent “the monetary economic contribution of an entity to society” (p. 1)</w:t>
      </w:r>
      <w:r w:rsidR="00183FCE">
        <w:rPr>
          <w:rFonts w:cs="Times New Roman"/>
        </w:rPr>
        <w:t>,</w:t>
      </w:r>
      <w:r>
        <w:rPr>
          <w:rFonts w:cs="Times New Roman"/>
        </w:rPr>
        <w:t xml:space="preserve"> they investigate such statements to “determine if the information provided is useful for assessing distributional fairness between stakeholders” (p. </w:t>
      </w:r>
      <w:r>
        <w:rPr>
          <w:rFonts w:cs="Times New Roman"/>
        </w:rPr>
        <w:lastRenderedPageBreak/>
        <w:t>1)</w:t>
      </w:r>
      <w:r w:rsidR="00246D1B">
        <w:rPr>
          <w:rFonts w:cs="Times New Roman"/>
        </w:rPr>
        <w:t xml:space="preserve"> and note pointedly that companies appear “e</w:t>
      </w:r>
      <w:r>
        <w:rPr>
          <w:rFonts w:cs="Times New Roman"/>
        </w:rPr>
        <w:t>ither reluctant to provide value added information</w:t>
      </w:r>
      <w:r w:rsidR="00246D1B">
        <w:rPr>
          <w:rFonts w:cs="Times New Roman"/>
        </w:rPr>
        <w:t>” or that they “</w:t>
      </w:r>
      <w:r>
        <w:rPr>
          <w:rFonts w:cs="Times New Roman"/>
        </w:rPr>
        <w:t xml:space="preserve">deliberately use value added disclosures to obfuscate” (Haller et al., 2016, p. 15).  </w:t>
      </w:r>
    </w:p>
    <w:p w14:paraId="5EEEAB4F" w14:textId="77777777" w:rsidR="00153CE6" w:rsidRDefault="00153CE6" w:rsidP="00C34F89">
      <w:pPr>
        <w:rPr>
          <w:rFonts w:cs="Times New Roman"/>
        </w:rPr>
      </w:pPr>
    </w:p>
    <w:p w14:paraId="6FBB02EE" w14:textId="37B58021" w:rsidR="008C4630" w:rsidRPr="00E6675A" w:rsidRDefault="00A631FD" w:rsidP="00C34F89">
      <w:pPr>
        <w:rPr>
          <w:rFonts w:cs="Times New Roman"/>
        </w:rPr>
      </w:pPr>
      <w:r>
        <w:rPr>
          <w:rFonts w:cs="Times New Roman"/>
        </w:rPr>
        <w:t>Tweedie and Haze</w:t>
      </w:r>
      <w:r w:rsidR="00A74A96">
        <w:rPr>
          <w:rFonts w:cs="Times New Roman"/>
        </w:rPr>
        <w:t>l</w:t>
      </w:r>
      <w:r>
        <w:rPr>
          <w:rFonts w:cs="Times New Roman"/>
        </w:rPr>
        <w:t>ton (2015) discuss</w:t>
      </w:r>
      <w:r w:rsidR="00E423CF" w:rsidRPr="009A16C0">
        <w:rPr>
          <w:rFonts w:cs="Times New Roman"/>
        </w:rPr>
        <w:t xml:space="preserve"> the relationship </w:t>
      </w:r>
      <w:r w:rsidR="00E423CF" w:rsidRPr="000D7C0D">
        <w:rPr>
          <w:rFonts w:cs="Times New Roman"/>
        </w:rPr>
        <w:t>between economic inequality and accounting and set out an a</w:t>
      </w:r>
      <w:r w:rsidR="00E423CF" w:rsidRPr="00372321">
        <w:rPr>
          <w:rFonts w:cs="Times New Roman"/>
        </w:rPr>
        <w:t xml:space="preserve">genda for social accounting.  </w:t>
      </w:r>
      <w:r w:rsidR="00EF0C53">
        <w:rPr>
          <w:rFonts w:cs="Times New Roman"/>
        </w:rPr>
        <w:t xml:space="preserve">They argue </w:t>
      </w:r>
      <w:r w:rsidR="008C4630" w:rsidRPr="000D7C0D">
        <w:rPr>
          <w:rFonts w:cs="Times New Roman"/>
        </w:rPr>
        <w:t>tha</w:t>
      </w:r>
      <w:r w:rsidR="00E423CF" w:rsidRPr="000D7C0D">
        <w:rPr>
          <w:rFonts w:cs="Times New Roman"/>
        </w:rPr>
        <w:t xml:space="preserve">t growing economic inequality </w:t>
      </w:r>
      <w:r w:rsidR="006634A0" w:rsidRPr="00372321">
        <w:rPr>
          <w:rFonts w:cs="Times New Roman"/>
        </w:rPr>
        <w:t>highlights</w:t>
      </w:r>
      <w:r w:rsidR="00BA13A0" w:rsidRPr="00372321">
        <w:rPr>
          <w:rFonts w:cs="Times New Roman"/>
        </w:rPr>
        <w:t xml:space="preserve"> the need for</w:t>
      </w:r>
      <w:r w:rsidR="00E423CF" w:rsidRPr="00372321">
        <w:rPr>
          <w:rFonts w:cs="Times New Roman"/>
        </w:rPr>
        <w:t xml:space="preserve"> greater </w:t>
      </w:r>
      <w:r w:rsidR="006301D8" w:rsidRPr="00372321">
        <w:rPr>
          <w:rFonts w:cs="Times New Roman"/>
        </w:rPr>
        <w:t>attention to</w:t>
      </w:r>
      <w:r w:rsidR="00E423CF" w:rsidRPr="00372321">
        <w:rPr>
          <w:rFonts w:cs="Times New Roman"/>
        </w:rPr>
        <w:t xml:space="preserve"> the social dimension of sustainability</w:t>
      </w:r>
      <w:r w:rsidR="003C7E64">
        <w:rPr>
          <w:rFonts w:cs="Times New Roman"/>
        </w:rPr>
        <w:t xml:space="preserve"> and </w:t>
      </w:r>
      <w:r w:rsidR="006301D8" w:rsidRPr="00372321">
        <w:rPr>
          <w:rFonts w:cs="Times New Roman"/>
        </w:rPr>
        <w:t>call</w:t>
      </w:r>
      <w:r w:rsidR="00BD0EA3" w:rsidRPr="00372321">
        <w:rPr>
          <w:rFonts w:cs="Times New Roman"/>
        </w:rPr>
        <w:t xml:space="preserve"> for accounting research</w:t>
      </w:r>
      <w:r w:rsidR="00BD0EA3">
        <w:rPr>
          <w:rFonts w:cs="Times New Roman"/>
        </w:rPr>
        <w:t xml:space="preserve"> to “extend its engagement with issues that threaten shared social bonds” (</w:t>
      </w:r>
      <w:r w:rsidR="003C7E64">
        <w:rPr>
          <w:rFonts w:cs="Times New Roman"/>
        </w:rPr>
        <w:t xml:space="preserve">Tweedie &amp; Hazelton, 2015, </w:t>
      </w:r>
      <w:r w:rsidR="00BD0EA3">
        <w:rPr>
          <w:rFonts w:cs="Times New Roman"/>
        </w:rPr>
        <w:t xml:space="preserve">p.117). </w:t>
      </w:r>
      <w:r>
        <w:rPr>
          <w:rFonts w:cs="Times New Roman"/>
        </w:rPr>
        <w:t xml:space="preserve"> </w:t>
      </w:r>
      <w:r w:rsidR="008C4630">
        <w:rPr>
          <w:rFonts w:eastAsiaTheme="majorEastAsia" w:cs="Times New Roman"/>
          <w:color w:val="000000" w:themeColor="text1"/>
          <w:szCs w:val="32"/>
        </w:rPr>
        <w:t>N</w:t>
      </w:r>
      <w:r>
        <w:rPr>
          <w:rFonts w:eastAsiaTheme="majorEastAsia" w:cs="Times New Roman"/>
          <w:color w:val="000000" w:themeColor="text1"/>
          <w:szCs w:val="32"/>
        </w:rPr>
        <w:t>ot</w:t>
      </w:r>
      <w:r w:rsidR="008C4630">
        <w:rPr>
          <w:rFonts w:eastAsiaTheme="majorEastAsia" w:cs="Times New Roman"/>
          <w:color w:val="000000" w:themeColor="text1"/>
          <w:szCs w:val="32"/>
        </w:rPr>
        <w:t>ing</w:t>
      </w:r>
      <w:r>
        <w:rPr>
          <w:rFonts w:eastAsiaTheme="majorEastAsia" w:cs="Times New Roman"/>
          <w:color w:val="000000" w:themeColor="text1"/>
          <w:szCs w:val="32"/>
        </w:rPr>
        <w:t xml:space="preserve"> that high levels of inequality have been associated with decreased levels of generalised social trust </w:t>
      </w:r>
      <w:r w:rsidR="00577F3D">
        <w:rPr>
          <w:rFonts w:eastAsiaTheme="majorEastAsia" w:cs="Times New Roman"/>
          <w:noProof/>
          <w:color w:val="000000" w:themeColor="text1"/>
          <w:szCs w:val="32"/>
        </w:rPr>
        <w:t>(OECD, 2011a</w:t>
      </w:r>
      <w:r>
        <w:rPr>
          <w:rFonts w:eastAsiaTheme="majorEastAsia" w:cs="Times New Roman"/>
          <w:noProof/>
          <w:color w:val="000000" w:themeColor="text1"/>
          <w:szCs w:val="32"/>
        </w:rPr>
        <w:t>; Uslaner, 2008)</w:t>
      </w:r>
      <w:r>
        <w:rPr>
          <w:rFonts w:eastAsiaTheme="majorEastAsia" w:cs="Times New Roman"/>
          <w:color w:val="000000" w:themeColor="text1"/>
          <w:szCs w:val="32"/>
        </w:rPr>
        <w:t xml:space="preserve"> and with an erosion of social cohesion </w:t>
      </w:r>
      <w:r w:rsidR="00577F3D">
        <w:rPr>
          <w:rFonts w:eastAsiaTheme="majorEastAsia" w:cs="Times New Roman"/>
          <w:noProof/>
          <w:color w:val="000000" w:themeColor="text1"/>
          <w:szCs w:val="32"/>
        </w:rPr>
        <w:t>(OECD, 2011a</w:t>
      </w:r>
      <w:r>
        <w:rPr>
          <w:rFonts w:eastAsiaTheme="majorEastAsia" w:cs="Times New Roman"/>
          <w:noProof/>
          <w:color w:val="000000" w:themeColor="text1"/>
          <w:szCs w:val="32"/>
        </w:rPr>
        <w:t>)</w:t>
      </w:r>
      <w:r w:rsidR="008C4630">
        <w:rPr>
          <w:rFonts w:eastAsiaTheme="majorEastAsia" w:cs="Times New Roman"/>
          <w:noProof/>
          <w:color w:val="000000" w:themeColor="text1"/>
          <w:szCs w:val="32"/>
        </w:rPr>
        <w:t xml:space="preserve">, we agree that there is an urgent </w:t>
      </w:r>
      <w:r w:rsidR="008C4630">
        <w:rPr>
          <w:rFonts w:eastAsiaTheme="majorEastAsia" w:cs="Times New Roman"/>
          <w:color w:val="000000" w:themeColor="text1"/>
          <w:szCs w:val="32"/>
        </w:rPr>
        <w:t>r</w:t>
      </w:r>
      <w:r w:rsidRPr="006D74BB">
        <w:rPr>
          <w:rFonts w:eastAsiaTheme="majorEastAsia" w:cs="Times New Roman"/>
          <w:color w:val="000000" w:themeColor="text1"/>
          <w:szCs w:val="32"/>
        </w:rPr>
        <w:t xml:space="preserve">ole for </w:t>
      </w:r>
      <w:r w:rsidR="00CB5FB5">
        <w:rPr>
          <w:rFonts w:eastAsiaTheme="majorEastAsia" w:cs="Times New Roman"/>
          <w:color w:val="000000" w:themeColor="text1"/>
          <w:szCs w:val="32"/>
        </w:rPr>
        <w:t>(</w:t>
      </w:r>
      <w:r w:rsidRPr="006D74BB">
        <w:rPr>
          <w:rFonts w:eastAsiaTheme="majorEastAsia" w:cs="Times New Roman"/>
          <w:color w:val="000000" w:themeColor="text1"/>
          <w:szCs w:val="32"/>
        </w:rPr>
        <w:t>social</w:t>
      </w:r>
      <w:r w:rsidR="00CB5FB5">
        <w:rPr>
          <w:rFonts w:eastAsiaTheme="majorEastAsia" w:cs="Times New Roman"/>
          <w:color w:val="000000" w:themeColor="text1"/>
          <w:szCs w:val="32"/>
        </w:rPr>
        <w:t>)</w:t>
      </w:r>
      <w:r w:rsidRPr="006D74BB">
        <w:rPr>
          <w:rFonts w:eastAsiaTheme="majorEastAsia" w:cs="Times New Roman"/>
          <w:color w:val="000000" w:themeColor="text1"/>
          <w:szCs w:val="32"/>
        </w:rPr>
        <w:t xml:space="preserve"> accountants to engage more with the issue.  </w:t>
      </w:r>
      <w:r w:rsidR="00153CE6">
        <w:rPr>
          <w:rFonts w:cs="Times New Roman"/>
        </w:rPr>
        <w:t xml:space="preserve">Tweedie and Hazelton </w:t>
      </w:r>
      <w:r w:rsidR="003C7E64">
        <w:rPr>
          <w:rFonts w:cs="Times New Roman"/>
        </w:rPr>
        <w:t xml:space="preserve">(2015) </w:t>
      </w:r>
      <w:r w:rsidR="00EF0C53">
        <w:rPr>
          <w:rFonts w:eastAsiaTheme="majorEastAsia" w:cs="Times New Roman"/>
          <w:color w:val="000000" w:themeColor="text1"/>
          <w:szCs w:val="32"/>
        </w:rPr>
        <w:t>identify two implications for social accounting that are particularly relevant for this study.</w:t>
      </w:r>
    </w:p>
    <w:p w14:paraId="7995EB29" w14:textId="77777777" w:rsidR="008C4630" w:rsidRDefault="008C4630" w:rsidP="00C34F89">
      <w:pPr>
        <w:rPr>
          <w:rFonts w:eastAsiaTheme="majorEastAsia" w:cs="Times New Roman"/>
          <w:color w:val="000000" w:themeColor="text1"/>
          <w:szCs w:val="32"/>
        </w:rPr>
      </w:pPr>
    </w:p>
    <w:p w14:paraId="0AC851AC" w14:textId="71620C05" w:rsidR="00BD0EA3" w:rsidRDefault="00EF0C53" w:rsidP="00C34F89">
      <w:pPr>
        <w:rPr>
          <w:rFonts w:cs="Times New Roman"/>
        </w:rPr>
      </w:pPr>
      <w:r>
        <w:rPr>
          <w:rFonts w:cs="Times New Roman"/>
        </w:rPr>
        <w:t>Firstly</w:t>
      </w:r>
      <w:r w:rsidR="000657AD" w:rsidRPr="000D7C0D">
        <w:rPr>
          <w:rFonts w:cs="Times New Roman"/>
        </w:rPr>
        <w:t>, Tweedie and Haze</w:t>
      </w:r>
      <w:r w:rsidR="00A74A96">
        <w:rPr>
          <w:rFonts w:cs="Times New Roman"/>
        </w:rPr>
        <w:t>l</w:t>
      </w:r>
      <w:r w:rsidR="000657AD" w:rsidRPr="000D7C0D">
        <w:rPr>
          <w:rFonts w:cs="Times New Roman"/>
        </w:rPr>
        <w:t xml:space="preserve">ton argue </w:t>
      </w:r>
      <w:r w:rsidR="006301D8" w:rsidRPr="000D7C0D">
        <w:rPr>
          <w:rFonts w:cs="Times New Roman"/>
        </w:rPr>
        <w:t xml:space="preserve">that </w:t>
      </w:r>
      <w:r w:rsidR="000657AD" w:rsidRPr="000D7C0D">
        <w:rPr>
          <w:rFonts w:cs="Times New Roman"/>
        </w:rPr>
        <w:t xml:space="preserve">social accounting research </w:t>
      </w:r>
      <w:r w:rsidR="008C4630" w:rsidRPr="00372321">
        <w:rPr>
          <w:rFonts w:cs="Times New Roman"/>
        </w:rPr>
        <w:t xml:space="preserve">should </w:t>
      </w:r>
      <w:r w:rsidR="000657AD" w:rsidRPr="00372321">
        <w:rPr>
          <w:rFonts w:cs="Times New Roman"/>
        </w:rPr>
        <w:t>delineate, expose and problemati</w:t>
      </w:r>
      <w:r w:rsidR="003D40AD">
        <w:rPr>
          <w:rFonts w:cs="Times New Roman"/>
        </w:rPr>
        <w:t>se</w:t>
      </w:r>
      <w:r w:rsidR="000657AD" w:rsidRPr="008E68BF">
        <w:rPr>
          <w:rFonts w:cs="Times New Roman"/>
        </w:rPr>
        <w:t xml:space="preserve"> the existing distribution of wealth.</w:t>
      </w:r>
      <w:r w:rsidR="000657AD">
        <w:rPr>
          <w:rFonts w:cs="Times New Roman"/>
        </w:rPr>
        <w:t xml:space="preserve">  There is both a technical and normative role in “exposing wealth to democratic scrutiny” (Piketty, 2014, p. 471, </w:t>
      </w:r>
      <w:r w:rsidR="00577F3D">
        <w:rPr>
          <w:rFonts w:cs="Times New Roman"/>
        </w:rPr>
        <w:t xml:space="preserve">also </w:t>
      </w:r>
      <w:r w:rsidR="000657AD">
        <w:rPr>
          <w:rFonts w:cs="Times New Roman"/>
        </w:rPr>
        <w:t>cited in Tweedie &amp; Haze</w:t>
      </w:r>
      <w:r w:rsidR="00A74A96">
        <w:rPr>
          <w:rFonts w:cs="Times New Roman"/>
        </w:rPr>
        <w:t>l</w:t>
      </w:r>
      <w:r w:rsidR="000657AD">
        <w:rPr>
          <w:rFonts w:cs="Times New Roman"/>
        </w:rPr>
        <w:t>ton, 2015).</w:t>
      </w:r>
      <w:r w:rsidR="00BA13A0">
        <w:rPr>
          <w:rFonts w:cs="Times New Roman"/>
        </w:rPr>
        <w:t xml:space="preserve"> </w:t>
      </w:r>
      <w:r w:rsidR="000657AD">
        <w:rPr>
          <w:rFonts w:cs="Times New Roman"/>
        </w:rPr>
        <w:t xml:space="preserve"> </w:t>
      </w:r>
      <w:r w:rsidR="008C4630">
        <w:rPr>
          <w:rFonts w:cs="Times New Roman"/>
        </w:rPr>
        <w:t>They argue that</w:t>
      </w:r>
      <w:r w:rsidR="00153CE6">
        <w:rPr>
          <w:rFonts w:cs="Times New Roman"/>
        </w:rPr>
        <w:t>, to be meaningful,</w:t>
      </w:r>
      <w:r w:rsidR="008C4630">
        <w:rPr>
          <w:rFonts w:cs="Times New Roman"/>
        </w:rPr>
        <w:t xml:space="preserve"> social deliberation on the acceptable level of inequality needs to be informed by the insights that accounting can generate on the ownership and distribution of capital. </w:t>
      </w:r>
      <w:r w:rsidR="002D3ABD" w:rsidRPr="002D3ABD">
        <w:rPr>
          <w:rFonts w:eastAsiaTheme="majorEastAsia" w:cs="Times New Roman"/>
          <w:color w:val="000000" w:themeColor="text1"/>
          <w:szCs w:val="32"/>
        </w:rPr>
        <w:t xml:space="preserve"> </w:t>
      </w:r>
      <w:r w:rsidR="002D3ABD">
        <w:rPr>
          <w:rFonts w:eastAsiaTheme="majorEastAsia" w:cs="Times New Roman"/>
          <w:color w:val="000000" w:themeColor="text1"/>
          <w:szCs w:val="32"/>
        </w:rPr>
        <w:t xml:space="preserve">In short, </w:t>
      </w:r>
      <w:r w:rsidR="002D3ABD">
        <w:rPr>
          <w:rFonts w:cs="Times New Roman"/>
        </w:rPr>
        <w:t xml:space="preserve">there is a role for social accountants to highlight the levels of income inequality that exist, how widespread they are, and to interrogate the structures that are implicated in the distribution of wealth and income.  </w:t>
      </w:r>
      <w:r w:rsidR="008C4630">
        <w:rPr>
          <w:rFonts w:eastAsiaTheme="majorEastAsia" w:cs="Times New Roman"/>
          <w:color w:val="000000" w:themeColor="text1"/>
          <w:szCs w:val="32"/>
        </w:rPr>
        <w:t xml:space="preserve">Our </w:t>
      </w:r>
      <w:r w:rsidR="00A631FD" w:rsidRPr="006D74BB">
        <w:rPr>
          <w:rFonts w:eastAsiaTheme="majorEastAsia" w:cs="Times New Roman"/>
          <w:color w:val="000000" w:themeColor="text1"/>
          <w:szCs w:val="32"/>
        </w:rPr>
        <w:t>investigat</w:t>
      </w:r>
      <w:r w:rsidR="008C4630">
        <w:rPr>
          <w:rFonts w:eastAsiaTheme="majorEastAsia" w:cs="Times New Roman"/>
          <w:color w:val="000000" w:themeColor="text1"/>
          <w:szCs w:val="32"/>
        </w:rPr>
        <w:t>ion of</w:t>
      </w:r>
      <w:r w:rsidR="00A631FD" w:rsidRPr="006D74BB">
        <w:rPr>
          <w:rFonts w:eastAsiaTheme="majorEastAsia" w:cs="Times New Roman"/>
          <w:color w:val="000000" w:themeColor="text1"/>
          <w:szCs w:val="32"/>
        </w:rPr>
        <w:t xml:space="preserve"> a public dispute where income inequalities are being explicitly critiqued and justified</w:t>
      </w:r>
      <w:r w:rsidR="008C4630">
        <w:rPr>
          <w:rFonts w:eastAsiaTheme="majorEastAsia" w:cs="Times New Roman"/>
          <w:color w:val="000000" w:themeColor="text1"/>
          <w:szCs w:val="32"/>
        </w:rPr>
        <w:t xml:space="preserve"> is ultimately an attempt to</w:t>
      </w:r>
      <w:r w:rsidR="005E4E26">
        <w:rPr>
          <w:rFonts w:eastAsiaTheme="majorEastAsia" w:cs="Times New Roman"/>
          <w:color w:val="000000" w:themeColor="text1"/>
          <w:szCs w:val="32"/>
        </w:rPr>
        <w:t xml:space="preserve"> further</w:t>
      </w:r>
      <w:r w:rsidR="00A631FD" w:rsidRPr="006D74BB">
        <w:rPr>
          <w:rFonts w:eastAsiaTheme="majorEastAsia" w:cs="Times New Roman"/>
          <w:color w:val="000000" w:themeColor="text1"/>
          <w:szCs w:val="32"/>
        </w:rPr>
        <w:t xml:space="preserve"> understand and problemati</w:t>
      </w:r>
      <w:r w:rsidR="00153CE6">
        <w:rPr>
          <w:rFonts w:eastAsiaTheme="majorEastAsia" w:cs="Times New Roman"/>
          <w:color w:val="000000" w:themeColor="text1"/>
          <w:szCs w:val="32"/>
        </w:rPr>
        <w:t>s</w:t>
      </w:r>
      <w:r w:rsidR="00A631FD" w:rsidRPr="006D74BB">
        <w:rPr>
          <w:rFonts w:eastAsiaTheme="majorEastAsia" w:cs="Times New Roman"/>
          <w:color w:val="000000" w:themeColor="text1"/>
          <w:szCs w:val="32"/>
        </w:rPr>
        <w:t xml:space="preserve">e the </w:t>
      </w:r>
      <w:r w:rsidR="008C4630">
        <w:rPr>
          <w:rFonts w:eastAsiaTheme="majorEastAsia" w:cs="Times New Roman"/>
          <w:color w:val="000000" w:themeColor="text1"/>
          <w:szCs w:val="32"/>
        </w:rPr>
        <w:t>dominant market-</w:t>
      </w:r>
      <w:r w:rsidR="008C5284">
        <w:rPr>
          <w:rFonts w:eastAsiaTheme="majorEastAsia" w:cs="Times New Roman"/>
          <w:color w:val="000000" w:themeColor="text1"/>
          <w:szCs w:val="32"/>
        </w:rPr>
        <w:t>centred</w:t>
      </w:r>
      <w:r w:rsidR="008C4630">
        <w:rPr>
          <w:rFonts w:eastAsiaTheme="majorEastAsia" w:cs="Times New Roman"/>
          <w:color w:val="000000" w:themeColor="text1"/>
          <w:szCs w:val="32"/>
        </w:rPr>
        <w:t xml:space="preserve"> </w:t>
      </w:r>
      <w:r w:rsidR="00A631FD" w:rsidRPr="006D74BB">
        <w:rPr>
          <w:rFonts w:eastAsiaTheme="majorEastAsia" w:cs="Times New Roman"/>
          <w:color w:val="000000" w:themeColor="text1"/>
          <w:szCs w:val="32"/>
        </w:rPr>
        <w:t>discourse.</w:t>
      </w:r>
      <w:r w:rsidR="005E4E26">
        <w:rPr>
          <w:rFonts w:cs="Times New Roman"/>
        </w:rPr>
        <w:t xml:space="preserve">  </w:t>
      </w:r>
      <w:r w:rsidR="00B96EC9">
        <w:rPr>
          <w:rFonts w:cs="Times New Roman"/>
        </w:rPr>
        <w:t xml:space="preserve">We show that such a problematisation cannot proceed simply at the level of ideas and arguments: a meaningful analysis must also consider the material and institutional practices – including, in this case, the accounting </w:t>
      </w:r>
      <w:r w:rsidR="00E733D3">
        <w:rPr>
          <w:rFonts w:cs="Times New Roman"/>
        </w:rPr>
        <w:t xml:space="preserve">discourses and </w:t>
      </w:r>
      <w:r w:rsidR="00B96EC9">
        <w:rPr>
          <w:rFonts w:cs="Times New Roman"/>
        </w:rPr>
        <w:t>practices - that stabilise certain arrangements.</w:t>
      </w:r>
      <w:r w:rsidR="00BA13A0">
        <w:rPr>
          <w:rFonts w:cs="Times New Roman"/>
        </w:rPr>
        <w:t xml:space="preserve"> </w:t>
      </w:r>
    </w:p>
    <w:p w14:paraId="7ACE3F29" w14:textId="77777777" w:rsidR="00BD0EA3" w:rsidRDefault="00BD0EA3" w:rsidP="00C34F89">
      <w:pPr>
        <w:rPr>
          <w:rFonts w:cs="Times New Roman"/>
        </w:rPr>
      </w:pPr>
    </w:p>
    <w:p w14:paraId="22FEFD13" w14:textId="0219B484" w:rsidR="004349BA" w:rsidRPr="004349BA" w:rsidRDefault="00010ECF" w:rsidP="004349BA">
      <w:pPr>
        <w:rPr>
          <w:rFonts w:cs="Times New Roman"/>
        </w:rPr>
      </w:pPr>
      <w:r>
        <w:rPr>
          <w:rFonts w:cs="Times New Roman"/>
        </w:rPr>
        <w:t>Secondly, and i</w:t>
      </w:r>
      <w:r w:rsidR="00B96EC9" w:rsidRPr="00010ECF">
        <w:rPr>
          <w:rFonts w:cs="Times New Roman"/>
        </w:rPr>
        <w:t>n developing th</w:t>
      </w:r>
      <w:r>
        <w:rPr>
          <w:rFonts w:cs="Times New Roman"/>
        </w:rPr>
        <w:t>e above</w:t>
      </w:r>
      <w:r w:rsidR="00B96EC9" w:rsidRPr="00010ECF">
        <w:rPr>
          <w:rFonts w:cs="Times New Roman"/>
        </w:rPr>
        <w:t xml:space="preserve"> point, </w:t>
      </w:r>
      <w:r w:rsidR="00BD0EA3" w:rsidRPr="00010ECF">
        <w:rPr>
          <w:rFonts w:cs="Times New Roman"/>
        </w:rPr>
        <w:t>Tweedie and Haze</w:t>
      </w:r>
      <w:r w:rsidR="00A74A96" w:rsidRPr="00010ECF">
        <w:rPr>
          <w:rFonts w:cs="Times New Roman"/>
        </w:rPr>
        <w:t>l</w:t>
      </w:r>
      <w:r w:rsidR="00BD0EA3" w:rsidRPr="00010ECF">
        <w:rPr>
          <w:rFonts w:cs="Times New Roman"/>
        </w:rPr>
        <w:t>ton articulate</w:t>
      </w:r>
      <w:r w:rsidR="00B96EC9" w:rsidRPr="00010ECF">
        <w:rPr>
          <w:rFonts w:cs="Times New Roman"/>
        </w:rPr>
        <w:t xml:space="preserve"> </w:t>
      </w:r>
      <w:r w:rsidR="00BD0EA3" w:rsidRPr="00010ECF">
        <w:rPr>
          <w:rFonts w:cs="Times New Roman"/>
        </w:rPr>
        <w:t>a role for social accountants in linking public concerns over economic inequity to real changes in wealth and inco</w:t>
      </w:r>
      <w:r w:rsidR="009C0DA3" w:rsidRPr="00010ECF">
        <w:rPr>
          <w:rFonts w:cs="Times New Roman"/>
        </w:rPr>
        <w:t>me distribution</w:t>
      </w:r>
      <w:r w:rsidR="00B96EC9" w:rsidRPr="00010ECF">
        <w:rPr>
          <w:rFonts w:cs="Times New Roman"/>
        </w:rPr>
        <w:t xml:space="preserve"> (see also Piketty, 2014, p. 570)</w:t>
      </w:r>
      <w:r w:rsidR="00BD0EA3" w:rsidRPr="00010ECF">
        <w:rPr>
          <w:rFonts w:cs="Times New Roman"/>
        </w:rPr>
        <w:t>.</w:t>
      </w:r>
      <w:r w:rsidR="00B96EC9" w:rsidRPr="00010ECF">
        <w:rPr>
          <w:rFonts w:cs="Times New Roman"/>
        </w:rPr>
        <w:t xml:space="preserve">  </w:t>
      </w:r>
      <w:r w:rsidR="003C7E64">
        <w:rPr>
          <w:rFonts w:cs="Times New Roman"/>
        </w:rPr>
        <w:t xml:space="preserve">Like </w:t>
      </w:r>
      <w:r w:rsidR="0070608B" w:rsidRPr="00010ECF">
        <w:rPr>
          <w:rFonts w:cs="Times New Roman"/>
        </w:rPr>
        <w:t xml:space="preserve">Haller et al. </w:t>
      </w:r>
      <w:r w:rsidR="006301D8" w:rsidRPr="00010ECF">
        <w:rPr>
          <w:rFonts w:cs="Times New Roman"/>
        </w:rPr>
        <w:t>(</w:t>
      </w:r>
      <w:r w:rsidR="0070608B" w:rsidRPr="00010ECF">
        <w:rPr>
          <w:rFonts w:cs="Times New Roman"/>
        </w:rPr>
        <w:t>2016</w:t>
      </w:r>
      <w:r w:rsidR="006301D8" w:rsidRPr="00010ECF">
        <w:rPr>
          <w:rFonts w:cs="Times New Roman"/>
        </w:rPr>
        <w:t>)</w:t>
      </w:r>
      <w:r w:rsidR="0076286C" w:rsidRPr="00010ECF">
        <w:rPr>
          <w:rFonts w:cs="Times New Roman"/>
        </w:rPr>
        <w:t>,</w:t>
      </w:r>
      <w:r w:rsidR="0070608B" w:rsidRPr="00010ECF">
        <w:rPr>
          <w:rFonts w:cs="Times New Roman"/>
        </w:rPr>
        <w:t xml:space="preserve"> Ravenscroft and Denison (2015) and Sikka (2015)</w:t>
      </w:r>
      <w:r w:rsidR="00E83181" w:rsidRPr="00010ECF">
        <w:rPr>
          <w:rFonts w:cs="Times New Roman"/>
        </w:rPr>
        <w:t xml:space="preserve">, Piketty (2014, p. 570) focusses on the </w:t>
      </w:r>
      <w:r w:rsidR="00E83181" w:rsidRPr="00010ECF">
        <w:rPr>
          <w:rFonts w:cs="Times New Roman"/>
        </w:rPr>
        <w:lastRenderedPageBreak/>
        <w:t>crucial role of</w:t>
      </w:r>
      <w:r w:rsidR="0070608B" w:rsidRPr="00010ECF">
        <w:rPr>
          <w:rFonts w:cs="Times New Roman"/>
        </w:rPr>
        <w:t xml:space="preserve"> disclosures</w:t>
      </w:r>
      <w:r w:rsidR="002D3ABD" w:rsidRPr="00010ECF">
        <w:rPr>
          <w:rFonts w:cs="Times New Roman"/>
        </w:rPr>
        <w:t xml:space="preserve">, reporting and </w:t>
      </w:r>
      <w:r w:rsidR="0070608B" w:rsidRPr="00010ECF">
        <w:rPr>
          <w:rFonts w:cs="Times New Roman"/>
        </w:rPr>
        <w:t xml:space="preserve">transparency, </w:t>
      </w:r>
      <w:r w:rsidR="00E83181" w:rsidRPr="00010ECF">
        <w:rPr>
          <w:rFonts w:cs="Times New Roman"/>
        </w:rPr>
        <w:t>arguing</w:t>
      </w:r>
      <w:r w:rsidR="0070608B" w:rsidRPr="00010ECF">
        <w:rPr>
          <w:rFonts w:cs="Times New Roman"/>
        </w:rPr>
        <w:t xml:space="preserve"> that c</w:t>
      </w:r>
      <w:r w:rsidR="00BD0EA3" w:rsidRPr="00010ECF">
        <w:rPr>
          <w:rFonts w:cs="Times New Roman"/>
        </w:rPr>
        <w:t xml:space="preserve">orporate accounts that report firm performance but contain no information about how firm wealth is “divided between profits and wages </w:t>
      </w:r>
      <w:r w:rsidR="002D3ABD" w:rsidRPr="00010ECF">
        <w:rPr>
          <w:rFonts w:cs="Times New Roman"/>
        </w:rPr>
        <w:t xml:space="preserve">… </w:t>
      </w:r>
      <w:r w:rsidR="00BD0EA3" w:rsidRPr="00010ECF">
        <w:rPr>
          <w:rFonts w:cs="Times New Roman"/>
        </w:rPr>
        <w:t xml:space="preserve">are entirely inadequate for allowing workers or ordinary citizens to form an opinion about corporate decisions”.  </w:t>
      </w:r>
      <w:r w:rsidR="00E83181" w:rsidRPr="00010ECF">
        <w:rPr>
          <w:rFonts w:cs="Times New Roman"/>
        </w:rPr>
        <w:t>Piketty is also explicit, however, that</w:t>
      </w:r>
      <w:r w:rsidR="004349BA" w:rsidRPr="00010ECF">
        <w:rPr>
          <w:rFonts w:cs="Times New Roman"/>
        </w:rPr>
        <w:t xml:space="preserve"> transparency is </w:t>
      </w:r>
      <w:r w:rsidR="00E83181" w:rsidRPr="00010ECF">
        <w:rPr>
          <w:rFonts w:cs="Times New Roman"/>
        </w:rPr>
        <w:t>“</w:t>
      </w:r>
      <w:r w:rsidR="004349BA" w:rsidRPr="00010ECF">
        <w:rPr>
          <w:rFonts w:cs="Times New Roman"/>
        </w:rPr>
        <w:t>of little use</w:t>
      </w:r>
      <w:r w:rsidR="00E83181" w:rsidRPr="00010ECF">
        <w:rPr>
          <w:rFonts w:cs="Times New Roman"/>
        </w:rPr>
        <w:t xml:space="preserve">” unless it is </w:t>
      </w:r>
      <w:bookmarkStart w:id="3" w:name="_Hlk502239052"/>
      <w:r w:rsidR="00E83181" w:rsidRPr="00010ECF">
        <w:rPr>
          <w:rFonts w:cs="Times New Roman"/>
        </w:rPr>
        <w:t>supplemented with a real right to intervene in corporate decision-making.”</w:t>
      </w:r>
      <w:r w:rsidR="001C57A6">
        <w:rPr>
          <w:rFonts w:cs="Times New Roman"/>
        </w:rPr>
        <w:t xml:space="preserve"> </w:t>
      </w:r>
      <w:r w:rsidR="00E83181" w:rsidRPr="00010ECF">
        <w:rPr>
          <w:rFonts w:cs="Times New Roman"/>
        </w:rPr>
        <w:t xml:space="preserve"> “Information”, he argues, “</w:t>
      </w:r>
      <w:r w:rsidR="004349BA" w:rsidRPr="00010ECF">
        <w:rPr>
          <w:rFonts w:cs="Times New Roman"/>
        </w:rPr>
        <w:t>must support democratic institutions; it is not an end in itself</w:t>
      </w:r>
      <w:r w:rsidR="00E83181" w:rsidRPr="00010ECF">
        <w:rPr>
          <w:rFonts w:cs="Times New Roman"/>
        </w:rPr>
        <w:t>”</w:t>
      </w:r>
      <w:r w:rsidR="004349BA" w:rsidRPr="00010ECF">
        <w:rPr>
          <w:rFonts w:cs="Times New Roman"/>
        </w:rPr>
        <w:t xml:space="preserve"> (Piketty, 2014</w:t>
      </w:r>
      <w:bookmarkEnd w:id="3"/>
      <w:r w:rsidR="004349BA" w:rsidRPr="00010ECF">
        <w:rPr>
          <w:rFonts w:cs="Times New Roman"/>
        </w:rPr>
        <w:t>, p. 570, also cited in Tweedie &amp; Haze</w:t>
      </w:r>
      <w:r w:rsidR="00A74A96" w:rsidRPr="00010ECF">
        <w:rPr>
          <w:rFonts w:cs="Times New Roman"/>
        </w:rPr>
        <w:t>l</w:t>
      </w:r>
      <w:r w:rsidR="004349BA" w:rsidRPr="00010ECF">
        <w:rPr>
          <w:rFonts w:cs="Times New Roman"/>
        </w:rPr>
        <w:t xml:space="preserve">ton, 2015, p. 118).  </w:t>
      </w:r>
      <w:r w:rsidR="003C7E64">
        <w:rPr>
          <w:rFonts w:cs="Times New Roman"/>
        </w:rPr>
        <w:t>Here, w</w:t>
      </w:r>
      <w:r w:rsidR="00B3309C" w:rsidRPr="00010ECF">
        <w:rPr>
          <w:rFonts w:cs="Times New Roman"/>
        </w:rPr>
        <w:t>e</w:t>
      </w:r>
      <w:r w:rsidR="00E83181" w:rsidRPr="00010ECF">
        <w:rPr>
          <w:rFonts w:cs="Times New Roman"/>
        </w:rPr>
        <w:t xml:space="preserve"> consider how the various sides in the living wage debate </w:t>
      </w:r>
      <w:r w:rsidR="00D056F7">
        <w:rPr>
          <w:rFonts w:cs="Times New Roman"/>
        </w:rPr>
        <w:t xml:space="preserve">seek </w:t>
      </w:r>
      <w:r w:rsidR="00E83181" w:rsidRPr="00010ECF">
        <w:rPr>
          <w:rFonts w:cs="Times New Roman"/>
        </w:rPr>
        <w:t xml:space="preserve">to construct and activate audiences for their arguments: calls for a living wage, for example, </w:t>
      </w:r>
      <w:r w:rsidR="00D056F7">
        <w:rPr>
          <w:rFonts w:cs="Times New Roman"/>
        </w:rPr>
        <w:t>seek</w:t>
      </w:r>
      <w:r w:rsidR="00D056F7" w:rsidRPr="00010ECF">
        <w:rPr>
          <w:rFonts w:cs="Times New Roman"/>
        </w:rPr>
        <w:t xml:space="preserve"> </w:t>
      </w:r>
      <w:r w:rsidR="00E83181" w:rsidRPr="00010ECF">
        <w:rPr>
          <w:rFonts w:cs="Times New Roman"/>
        </w:rPr>
        <w:t>to mobilise and empower the public to put pressure on firms to respond to concerns over inequality and transparency</w:t>
      </w:r>
      <w:r w:rsidRPr="00010ECF">
        <w:rPr>
          <w:rFonts w:cs="Times New Roman"/>
        </w:rPr>
        <w:t xml:space="preserve">.  </w:t>
      </w:r>
      <w:r w:rsidR="00CE6BB8">
        <w:rPr>
          <w:rFonts w:cs="Times New Roman"/>
        </w:rPr>
        <w:t>We also consider areas for further research and practice to</w:t>
      </w:r>
      <w:r w:rsidR="00A670DF">
        <w:rPr>
          <w:rFonts w:cs="Times New Roman"/>
        </w:rPr>
        <w:t xml:space="preserve"> </w:t>
      </w:r>
      <w:r w:rsidR="00160425" w:rsidRPr="00010ECF">
        <w:rPr>
          <w:rFonts w:cs="Times New Roman"/>
        </w:rPr>
        <w:t>enhance pressure</w:t>
      </w:r>
      <w:r w:rsidR="00CE6BB8">
        <w:rPr>
          <w:rFonts w:cs="Times New Roman"/>
        </w:rPr>
        <w:t xml:space="preserve"> and facilitate change</w:t>
      </w:r>
      <w:r w:rsidR="004349BA" w:rsidRPr="00010ECF">
        <w:rPr>
          <w:rFonts w:cs="Times New Roman"/>
        </w:rPr>
        <w:t>.</w:t>
      </w:r>
    </w:p>
    <w:p w14:paraId="0CE426A5" w14:textId="14945017" w:rsidR="005E4E26" w:rsidRDefault="005E4E26" w:rsidP="00D61ADC">
      <w:pPr>
        <w:rPr>
          <w:rFonts w:cs="Times New Roman"/>
        </w:rPr>
      </w:pPr>
    </w:p>
    <w:p w14:paraId="2D0AFE0D" w14:textId="2E9579C4" w:rsidR="00E83181" w:rsidRDefault="005E4E26" w:rsidP="00E83181">
      <w:pPr>
        <w:rPr>
          <w:rFonts w:cs="Times New Roman"/>
        </w:rPr>
      </w:pPr>
      <w:r>
        <w:rPr>
          <w:rFonts w:cs="Times New Roman"/>
        </w:rPr>
        <w:t>As this review de</w:t>
      </w:r>
      <w:r w:rsidR="00C50DBE">
        <w:rPr>
          <w:rFonts w:cs="Times New Roman"/>
        </w:rPr>
        <w:t xml:space="preserve">monstrates, despite social accounting’s </w:t>
      </w:r>
      <w:r w:rsidR="001B1858">
        <w:rPr>
          <w:rFonts w:cs="Times New Roman"/>
        </w:rPr>
        <w:t>long-standing</w:t>
      </w:r>
      <w:r w:rsidR="00C50DBE">
        <w:rPr>
          <w:rFonts w:cs="Times New Roman"/>
        </w:rPr>
        <w:t xml:space="preserve"> concerns with social justice and emancipatory social change, research examin</w:t>
      </w:r>
      <w:r w:rsidR="00372321">
        <w:rPr>
          <w:rFonts w:cs="Times New Roman"/>
        </w:rPr>
        <w:t>ing</w:t>
      </w:r>
      <w:r w:rsidR="00C50DBE">
        <w:rPr>
          <w:rFonts w:cs="Times New Roman"/>
        </w:rPr>
        <w:t xml:space="preserve"> accounting’s role in economic (in)equality </w:t>
      </w:r>
      <w:r w:rsidR="005E2053">
        <w:rPr>
          <w:rFonts w:cs="Times New Roman"/>
        </w:rPr>
        <w:t>remains</w:t>
      </w:r>
      <w:r w:rsidR="00C50DBE">
        <w:rPr>
          <w:rFonts w:cs="Times New Roman"/>
        </w:rPr>
        <w:t xml:space="preserve"> limited.  </w:t>
      </w:r>
      <w:r w:rsidR="00676965">
        <w:rPr>
          <w:rFonts w:cs="Times New Roman"/>
        </w:rPr>
        <w:t>A</w:t>
      </w:r>
      <w:r w:rsidR="00372321">
        <w:rPr>
          <w:rFonts w:cs="Times New Roman"/>
        </w:rPr>
        <w:t xml:space="preserve">n </w:t>
      </w:r>
      <w:r w:rsidR="00C50DBE">
        <w:rPr>
          <w:rFonts w:cs="Times New Roman"/>
        </w:rPr>
        <w:t>e</w:t>
      </w:r>
      <w:r w:rsidR="0076286C">
        <w:rPr>
          <w:rFonts w:cs="Times New Roman"/>
        </w:rPr>
        <w:t>merging literature</w:t>
      </w:r>
      <w:r w:rsidR="00C50DBE">
        <w:rPr>
          <w:rFonts w:cs="Times New Roman"/>
        </w:rPr>
        <w:t xml:space="preserve"> </w:t>
      </w:r>
      <w:r w:rsidR="00372321">
        <w:rPr>
          <w:rFonts w:cs="Times New Roman"/>
        </w:rPr>
        <w:t xml:space="preserve">notwithstanding, significant </w:t>
      </w:r>
      <w:r w:rsidR="00C50DBE">
        <w:rPr>
          <w:rFonts w:cs="Times New Roman"/>
        </w:rPr>
        <w:t xml:space="preserve">gaps </w:t>
      </w:r>
      <w:r w:rsidR="0076286C">
        <w:rPr>
          <w:rFonts w:cs="Times New Roman"/>
        </w:rPr>
        <w:t xml:space="preserve">remain </w:t>
      </w:r>
      <w:r w:rsidR="000D7C0D">
        <w:rPr>
          <w:rFonts w:cs="Times New Roman"/>
        </w:rPr>
        <w:t>in our understanding</w:t>
      </w:r>
      <w:r w:rsidR="00C50DBE">
        <w:rPr>
          <w:rFonts w:cs="Times New Roman"/>
        </w:rPr>
        <w:t xml:space="preserve">.  </w:t>
      </w:r>
      <w:r w:rsidR="004758C9">
        <w:rPr>
          <w:rFonts w:cs="Times New Roman"/>
        </w:rPr>
        <w:t>We</w:t>
      </w:r>
      <w:r w:rsidR="00372321">
        <w:rPr>
          <w:rFonts w:cs="Times New Roman"/>
        </w:rPr>
        <w:t xml:space="preserve"> respond to these gaps in two main ways. </w:t>
      </w:r>
      <w:r w:rsidR="003C7E64">
        <w:rPr>
          <w:rFonts w:cs="Times New Roman"/>
        </w:rPr>
        <w:t xml:space="preserve"> </w:t>
      </w:r>
      <w:r w:rsidR="00AF5AFA">
        <w:rPr>
          <w:rFonts w:cs="Times New Roman"/>
        </w:rPr>
        <w:t xml:space="preserve">First, </w:t>
      </w:r>
      <w:r w:rsidR="000D7C0D">
        <w:rPr>
          <w:rFonts w:cs="Times New Roman"/>
        </w:rPr>
        <w:t xml:space="preserve">by </w:t>
      </w:r>
      <w:r w:rsidR="00B96EC9">
        <w:rPr>
          <w:rFonts w:cs="Times New Roman"/>
        </w:rPr>
        <w:t>analysing specific</w:t>
      </w:r>
      <w:r w:rsidR="00AF5AFA">
        <w:rPr>
          <w:rFonts w:cs="Times New Roman"/>
        </w:rPr>
        <w:t xml:space="preserve"> justifications </w:t>
      </w:r>
      <w:r w:rsidR="000D7C0D">
        <w:rPr>
          <w:rFonts w:cs="Times New Roman"/>
        </w:rPr>
        <w:t xml:space="preserve">of existing </w:t>
      </w:r>
      <w:r w:rsidR="00AF5AFA">
        <w:rPr>
          <w:rFonts w:cs="Times New Roman"/>
        </w:rPr>
        <w:t xml:space="preserve">income </w:t>
      </w:r>
      <w:r w:rsidR="000D7C0D">
        <w:rPr>
          <w:rFonts w:cs="Times New Roman"/>
        </w:rPr>
        <w:t xml:space="preserve">inequalities, we show how the objects, norms and people privileged within </w:t>
      </w:r>
      <w:r w:rsidR="00B96EC9">
        <w:rPr>
          <w:rFonts w:cs="Times New Roman"/>
        </w:rPr>
        <w:t xml:space="preserve">currently dominant modes of </w:t>
      </w:r>
      <w:r w:rsidR="000D7C0D">
        <w:rPr>
          <w:rFonts w:cs="Times New Roman"/>
        </w:rPr>
        <w:t>accounting normalise and legitimate firms’ refusal to account for the working poor.</w:t>
      </w:r>
      <w:r w:rsidR="00676965">
        <w:rPr>
          <w:rFonts w:cs="Times New Roman"/>
        </w:rPr>
        <w:t xml:space="preserve"> </w:t>
      </w:r>
      <w:r w:rsidR="000D7C0D">
        <w:rPr>
          <w:rFonts w:cs="Times New Roman"/>
        </w:rPr>
        <w:t xml:space="preserve"> Second, </w:t>
      </w:r>
      <w:r w:rsidR="00B96EC9">
        <w:rPr>
          <w:rFonts w:cs="Times New Roman"/>
        </w:rPr>
        <w:t xml:space="preserve">by </w:t>
      </w:r>
      <w:r w:rsidR="002F2693">
        <w:rPr>
          <w:rFonts w:cs="Times New Roman"/>
        </w:rPr>
        <w:t>analysi</w:t>
      </w:r>
      <w:r w:rsidR="00B96EC9">
        <w:rPr>
          <w:rFonts w:cs="Times New Roman"/>
        </w:rPr>
        <w:t>ng</w:t>
      </w:r>
      <w:r w:rsidR="000D7C0D">
        <w:rPr>
          <w:rFonts w:cs="Times New Roman"/>
        </w:rPr>
        <w:t xml:space="preserve"> </w:t>
      </w:r>
      <w:r w:rsidR="00B96EC9">
        <w:rPr>
          <w:rFonts w:cs="Times New Roman"/>
        </w:rPr>
        <w:t xml:space="preserve">the </w:t>
      </w:r>
      <w:r w:rsidR="00C50DBE">
        <w:rPr>
          <w:rFonts w:cs="Times New Roman"/>
        </w:rPr>
        <w:t xml:space="preserve">critiques </w:t>
      </w:r>
      <w:r w:rsidR="000D7C0D">
        <w:rPr>
          <w:rFonts w:cs="Times New Roman"/>
        </w:rPr>
        <w:t>of inequality embedded in calls for a living wag</w:t>
      </w:r>
      <w:r w:rsidR="00E733D3">
        <w:rPr>
          <w:rFonts w:cs="Times New Roman"/>
        </w:rPr>
        <w:t>e</w:t>
      </w:r>
      <w:r w:rsidR="00711760">
        <w:rPr>
          <w:rFonts w:cs="Times New Roman"/>
        </w:rPr>
        <w:t xml:space="preserve">, we identify ways </w:t>
      </w:r>
      <w:r w:rsidR="000D7C0D">
        <w:rPr>
          <w:rFonts w:cs="Times New Roman"/>
        </w:rPr>
        <w:t xml:space="preserve">in which accounting </w:t>
      </w:r>
      <w:r w:rsidR="00711760">
        <w:rPr>
          <w:rFonts w:cs="Times New Roman"/>
        </w:rPr>
        <w:t>could</w:t>
      </w:r>
      <w:r w:rsidR="000D7C0D">
        <w:rPr>
          <w:rFonts w:cs="Times New Roman"/>
        </w:rPr>
        <w:t xml:space="preserve"> be reimagined (the different sorts of objects, norms and people that would need to be included and authorised) in order for accounting</w:t>
      </w:r>
      <w:r w:rsidR="00C50DBE">
        <w:rPr>
          <w:rFonts w:cs="Times New Roman"/>
        </w:rPr>
        <w:t xml:space="preserve"> </w:t>
      </w:r>
      <w:r w:rsidR="000D7C0D">
        <w:rPr>
          <w:rFonts w:cs="Times New Roman"/>
        </w:rPr>
        <w:t xml:space="preserve">to </w:t>
      </w:r>
      <w:r w:rsidR="00C50DBE">
        <w:rPr>
          <w:rFonts w:cs="Times New Roman"/>
        </w:rPr>
        <w:t xml:space="preserve">support the more equitable distribution of income and wealth.  </w:t>
      </w:r>
      <w:r w:rsidR="00CE6BB8">
        <w:rPr>
          <w:rFonts w:cs="Times New Roman"/>
        </w:rPr>
        <w:t>Importantly, o</w:t>
      </w:r>
      <w:r w:rsidR="00E83181">
        <w:rPr>
          <w:rFonts w:cs="Times New Roman"/>
        </w:rPr>
        <w:t xml:space="preserve">ur use of </w:t>
      </w:r>
      <w:r w:rsidR="007650ED">
        <w:rPr>
          <w:rFonts w:cs="Times New Roman"/>
        </w:rPr>
        <w:t>Boltanski</w:t>
      </w:r>
      <w:r w:rsidR="00E83181">
        <w:rPr>
          <w:rFonts w:cs="Times New Roman"/>
        </w:rPr>
        <w:t xml:space="preserve"> and </w:t>
      </w:r>
      <w:r w:rsidR="007650ED">
        <w:rPr>
          <w:rFonts w:cs="Times New Roman"/>
        </w:rPr>
        <w:t>Thévenot</w:t>
      </w:r>
      <w:r w:rsidR="00E83181">
        <w:rPr>
          <w:rFonts w:cs="Times New Roman"/>
        </w:rPr>
        <w:t xml:space="preserve"> allows us to understand and specify </w:t>
      </w:r>
      <w:r w:rsidR="00711760">
        <w:rPr>
          <w:rFonts w:cs="Times New Roman"/>
        </w:rPr>
        <w:t xml:space="preserve">the links between </w:t>
      </w:r>
      <w:r w:rsidR="00E83181">
        <w:rPr>
          <w:rFonts w:cs="Times New Roman"/>
        </w:rPr>
        <w:t xml:space="preserve">the arguments on either side of the living wage dispute </w:t>
      </w:r>
      <w:r w:rsidR="00711760">
        <w:rPr>
          <w:rFonts w:cs="Times New Roman"/>
        </w:rPr>
        <w:t>and the</w:t>
      </w:r>
      <w:r w:rsidR="00E83181">
        <w:rPr>
          <w:rFonts w:cs="Times New Roman"/>
        </w:rPr>
        <w:t xml:space="preserve"> different systems of accounting</w:t>
      </w:r>
      <w:r w:rsidR="00711760">
        <w:rPr>
          <w:rFonts w:cs="Times New Roman"/>
        </w:rPr>
        <w:t xml:space="preserve"> they imply</w:t>
      </w:r>
      <w:r w:rsidR="00E83181">
        <w:rPr>
          <w:rFonts w:cs="Times New Roman"/>
        </w:rPr>
        <w:t xml:space="preserve">.  </w:t>
      </w:r>
      <w:r w:rsidR="004758C9">
        <w:rPr>
          <w:rFonts w:cs="Times New Roman"/>
        </w:rPr>
        <w:t>H</w:t>
      </w:r>
      <w:r w:rsidR="007650ED">
        <w:rPr>
          <w:rFonts w:cs="Times New Roman"/>
        </w:rPr>
        <w:t xml:space="preserve">owever, we first outline the </w:t>
      </w:r>
      <w:r w:rsidR="004758C9">
        <w:rPr>
          <w:rFonts w:cs="Times New Roman"/>
        </w:rPr>
        <w:t>context of our study</w:t>
      </w:r>
      <w:r w:rsidR="007650ED">
        <w:rPr>
          <w:rFonts w:cs="Times New Roman"/>
        </w:rPr>
        <w:t>.</w:t>
      </w:r>
      <w:r w:rsidR="00E83181">
        <w:rPr>
          <w:rFonts w:cs="Times New Roman"/>
        </w:rPr>
        <w:t xml:space="preserve">  </w:t>
      </w:r>
    </w:p>
    <w:p w14:paraId="6E3D77EC" w14:textId="77777777" w:rsidR="00E423CF" w:rsidRDefault="00E423CF" w:rsidP="00183FCE">
      <w:pPr>
        <w:rPr>
          <w:rFonts w:cs="Times New Roman"/>
        </w:rPr>
      </w:pPr>
    </w:p>
    <w:p w14:paraId="3500456A" w14:textId="77777777" w:rsidR="00E423CF" w:rsidRPr="00E423CF" w:rsidRDefault="00E423CF" w:rsidP="00E423CF">
      <w:pPr>
        <w:keepNext/>
        <w:keepLines/>
        <w:outlineLvl w:val="0"/>
        <w:rPr>
          <w:rFonts w:eastAsiaTheme="majorEastAsia" w:cs="Times New Roman"/>
          <w:b/>
          <w:color w:val="000000" w:themeColor="text1"/>
          <w:szCs w:val="32"/>
        </w:rPr>
      </w:pPr>
      <w:r w:rsidRPr="00E423CF">
        <w:rPr>
          <w:rFonts w:eastAsiaTheme="majorEastAsia" w:cs="Times New Roman"/>
          <w:b/>
          <w:color w:val="000000" w:themeColor="text1"/>
          <w:szCs w:val="32"/>
        </w:rPr>
        <w:t>Income and Wealth Inequality and the rise of the living wage</w:t>
      </w:r>
    </w:p>
    <w:p w14:paraId="6673B571" w14:textId="242D27D4" w:rsidR="00E423CF" w:rsidRPr="00E423CF" w:rsidRDefault="00E423CF" w:rsidP="00E423CF">
      <w:pPr>
        <w:rPr>
          <w:rFonts w:cs="Times New Roman"/>
        </w:rPr>
      </w:pPr>
      <w:r w:rsidRPr="00E423CF">
        <w:rPr>
          <w:rFonts w:cs="Times New Roman"/>
        </w:rPr>
        <w:t xml:space="preserve">While increasing inequality has been a feature of many western societies for the last thirty years </w:t>
      </w:r>
      <w:r w:rsidRPr="00E423CF">
        <w:rPr>
          <w:rFonts w:cs="Times New Roman"/>
          <w:noProof/>
        </w:rPr>
        <w:t>(Förster &amp; Mira d'Ercole, 2005; OECD, 2008; Piketty &amp; Saez, 2006)</w:t>
      </w:r>
      <w:r w:rsidR="00676965">
        <w:rPr>
          <w:rFonts w:cs="Times New Roman"/>
          <w:noProof/>
        </w:rPr>
        <w:t>,</w:t>
      </w:r>
      <w:r w:rsidRPr="00E423CF">
        <w:rPr>
          <w:rFonts w:cs="Times New Roman"/>
        </w:rPr>
        <w:t xml:space="preserve"> public and academic attention to the issue has </w:t>
      </w:r>
      <w:r w:rsidR="003C7E64">
        <w:rPr>
          <w:rFonts w:cs="Times New Roman"/>
        </w:rPr>
        <w:t xml:space="preserve">recently </w:t>
      </w:r>
      <w:r w:rsidRPr="00E423CF">
        <w:rPr>
          <w:rFonts w:cs="Times New Roman"/>
        </w:rPr>
        <w:t xml:space="preserve">risen sharply.  This attention can be traced in part to the aftermath of the global financial crisis and the public outrage - expressed most starkly </w:t>
      </w:r>
      <w:r w:rsidRPr="00E423CF">
        <w:rPr>
          <w:rFonts w:cs="Times New Roman"/>
        </w:rPr>
        <w:lastRenderedPageBreak/>
        <w:t>in the “we the 99%” rhetoric of the Occupy movement - over the disparities between the high rates of pay for some</w:t>
      </w:r>
      <w:r w:rsidR="00676965">
        <w:rPr>
          <w:rFonts w:cs="Times New Roman"/>
        </w:rPr>
        <w:t>,</w:t>
      </w:r>
      <w:r w:rsidRPr="00E423CF">
        <w:rPr>
          <w:rFonts w:cs="Times New Roman"/>
        </w:rPr>
        <w:t xml:space="preserve"> and the hardship experienced by those in precarious, part-time and low-paid work.  Public concern has also been sparked by studies that posit a relationship between high levels of inequality and a wide range of negative consequences, including the erosion of social</w:t>
      </w:r>
      <w:r w:rsidR="00577F3D">
        <w:rPr>
          <w:rFonts w:cs="Times New Roman"/>
        </w:rPr>
        <w:t xml:space="preserve"> cohesion and trust (OECD, 2011</w:t>
      </w:r>
      <w:r w:rsidR="00473773">
        <w:rPr>
          <w:rFonts w:cs="Times New Roman"/>
        </w:rPr>
        <w:t>a</w:t>
      </w:r>
      <w:r w:rsidRPr="00E423CF">
        <w:rPr>
          <w:rFonts w:cs="Times New Roman"/>
        </w:rPr>
        <w:t xml:space="preserve">; Uslaner, 2008), reduced democratic responsiveness (Bartels, 2008), decreased levels of overall happiness (Layard, 2005), and poor public health outcomes (Wilkinson, 1996).  </w:t>
      </w:r>
      <w:r w:rsidR="00B14AC7">
        <w:rPr>
          <w:rFonts w:cs="Times New Roman"/>
        </w:rPr>
        <w:t>Indeed</w:t>
      </w:r>
      <w:r w:rsidRPr="00E423CF">
        <w:rPr>
          <w:rFonts w:cs="Times New Roman"/>
        </w:rPr>
        <w:t xml:space="preserve">, concern over </w:t>
      </w:r>
      <w:r w:rsidR="00711760">
        <w:rPr>
          <w:rFonts w:cs="Times New Roman"/>
        </w:rPr>
        <w:t>existing</w:t>
      </w:r>
      <w:r w:rsidRPr="00E423CF">
        <w:rPr>
          <w:rFonts w:cs="Times New Roman"/>
        </w:rPr>
        <w:t xml:space="preserve"> levels of inequality is no longer restricted to the “usual suspects” on the political left, but </w:t>
      </w:r>
      <w:r w:rsidR="00CF7A61">
        <w:rPr>
          <w:rFonts w:cs="Times New Roman"/>
        </w:rPr>
        <w:t>include</w:t>
      </w:r>
      <w:r w:rsidRPr="00E423CF">
        <w:rPr>
          <w:rFonts w:cs="Times New Roman"/>
        </w:rPr>
        <w:t xml:space="preserve"> a wide range of organisations and institutions, including the IMF </w:t>
      </w:r>
      <w:r w:rsidRPr="00E423CF">
        <w:rPr>
          <w:rFonts w:cs="Times New Roman"/>
          <w:noProof/>
        </w:rPr>
        <w:t>(Ostry &amp; Berg, 2011)</w:t>
      </w:r>
      <w:r w:rsidRPr="00E423CF">
        <w:rPr>
          <w:rFonts w:cs="Times New Roman"/>
        </w:rPr>
        <w:t xml:space="preserve">, the OECD </w:t>
      </w:r>
      <w:r w:rsidRPr="00E423CF">
        <w:rPr>
          <w:rFonts w:cs="Times New Roman"/>
          <w:noProof/>
        </w:rPr>
        <w:t>(2011</w:t>
      </w:r>
      <w:r w:rsidR="00577F3D">
        <w:rPr>
          <w:rFonts w:cs="Times New Roman"/>
          <w:noProof/>
        </w:rPr>
        <w:t>b</w:t>
      </w:r>
      <w:r w:rsidRPr="00E423CF">
        <w:rPr>
          <w:rFonts w:cs="Times New Roman"/>
          <w:noProof/>
        </w:rPr>
        <w:t>)</w:t>
      </w:r>
      <w:r w:rsidR="0003108A">
        <w:rPr>
          <w:rFonts w:cs="Times New Roman"/>
          <w:noProof/>
        </w:rPr>
        <w:t>,</w:t>
      </w:r>
      <w:r w:rsidRPr="00E423CF">
        <w:rPr>
          <w:rFonts w:cs="Times New Roman"/>
        </w:rPr>
        <w:t xml:space="preserve"> and the World Economic Forum </w:t>
      </w:r>
      <w:r w:rsidRPr="00E423CF">
        <w:rPr>
          <w:rFonts w:cs="Times New Roman"/>
          <w:noProof/>
        </w:rPr>
        <w:t>(Mohammed, 2015; World Economic Forum, 2014)</w:t>
      </w:r>
      <w:r w:rsidRPr="00E423CF">
        <w:rPr>
          <w:rFonts w:cs="Times New Roman"/>
        </w:rPr>
        <w:t xml:space="preserve">. </w:t>
      </w:r>
    </w:p>
    <w:p w14:paraId="0004AA43" w14:textId="77777777" w:rsidR="00E423CF" w:rsidRPr="00E423CF" w:rsidRDefault="00E423CF" w:rsidP="00E423CF">
      <w:pPr>
        <w:rPr>
          <w:rFonts w:cs="Times New Roman"/>
        </w:rPr>
      </w:pPr>
    </w:p>
    <w:p w14:paraId="4E0489A1" w14:textId="632AB069" w:rsidR="00E423CF" w:rsidRPr="00E423CF" w:rsidRDefault="00E423CF" w:rsidP="00E423CF">
      <w:pPr>
        <w:rPr>
          <w:rFonts w:cs="Times New Roman"/>
        </w:rPr>
      </w:pPr>
      <w:r w:rsidRPr="00E423CF">
        <w:rPr>
          <w:rFonts w:cs="Times New Roman"/>
        </w:rPr>
        <w:t xml:space="preserve">As noted by Collison et al., </w:t>
      </w:r>
      <w:r w:rsidR="00D72A86">
        <w:rPr>
          <w:rFonts w:cs="Times New Roman"/>
        </w:rPr>
        <w:t>(</w:t>
      </w:r>
      <w:r w:rsidRPr="00E423CF">
        <w:rPr>
          <w:rFonts w:cs="Times New Roman"/>
        </w:rPr>
        <w:t xml:space="preserve">2010), this emerging consensus on the dangers of high levels of inequality </w:t>
      </w:r>
      <w:r w:rsidR="008D2451">
        <w:rPr>
          <w:rFonts w:cs="Times New Roman"/>
        </w:rPr>
        <w:t>(Humpage, 201</w:t>
      </w:r>
      <w:r w:rsidR="007E3B83">
        <w:rPr>
          <w:rFonts w:cs="Times New Roman"/>
        </w:rPr>
        <w:t>4</w:t>
      </w:r>
      <w:r w:rsidR="008D2451">
        <w:rPr>
          <w:rFonts w:cs="Times New Roman"/>
        </w:rPr>
        <w:t xml:space="preserve">; Skilling &amp; McLay, 2015) </w:t>
      </w:r>
      <w:r w:rsidRPr="00E423CF">
        <w:rPr>
          <w:rFonts w:cs="Times New Roman"/>
        </w:rPr>
        <w:t xml:space="preserve">has not translated into support for potential public policies that promise to reduce inequality - especially if those redistributive policies are linked to an increase in taxation </w:t>
      </w:r>
      <w:r w:rsidRPr="00E423CF">
        <w:rPr>
          <w:rFonts w:cs="Times New Roman"/>
          <w:noProof/>
        </w:rPr>
        <w:t>(Humpage, 2008; Taylor-Gooby, 2013)</w:t>
      </w:r>
      <w:r w:rsidRPr="00E423CF">
        <w:rPr>
          <w:rFonts w:cs="Times New Roman"/>
        </w:rPr>
        <w:t xml:space="preserve">.  Given this limited appetite for addressing inequalities through political </w:t>
      </w:r>
      <w:r w:rsidRPr="00E423CF">
        <w:rPr>
          <w:rFonts w:cs="Times New Roman"/>
          <w:i/>
        </w:rPr>
        <w:t>re</w:t>
      </w:r>
      <w:r w:rsidRPr="00E423CF">
        <w:rPr>
          <w:rFonts w:cs="Times New Roman"/>
        </w:rPr>
        <w:t xml:space="preserve">-distribution, some commentators </w:t>
      </w:r>
      <w:r w:rsidRPr="00E423CF">
        <w:rPr>
          <w:rFonts w:cs="Times New Roman"/>
          <w:noProof/>
        </w:rPr>
        <w:t>(Wade, 2013)</w:t>
      </w:r>
      <w:r w:rsidRPr="00E423CF">
        <w:rPr>
          <w:rFonts w:cs="Times New Roman"/>
        </w:rPr>
        <w:t xml:space="preserve"> and politicians (see van den Heuvel, 2012) have argued instead for a focus on </w:t>
      </w:r>
      <w:r w:rsidRPr="00E423CF">
        <w:rPr>
          <w:rFonts w:cs="Times New Roman"/>
          <w:i/>
        </w:rPr>
        <w:t>pre</w:t>
      </w:r>
      <w:r w:rsidRPr="00E423CF">
        <w:rPr>
          <w:rFonts w:cs="Times New Roman"/>
        </w:rPr>
        <w:t xml:space="preserve">-distribution: a focus on how the market distributes earnings amongst its various participants </w:t>
      </w:r>
      <w:r w:rsidRPr="00E423CF">
        <w:rPr>
          <w:rFonts w:cs="Times New Roman"/>
          <w:i/>
        </w:rPr>
        <w:t>before</w:t>
      </w:r>
      <w:r w:rsidRPr="00E423CF">
        <w:rPr>
          <w:rFonts w:cs="Times New Roman"/>
        </w:rPr>
        <w:t xml:space="preserve"> taxes and transfers.  </w:t>
      </w:r>
      <w:r w:rsidR="007650ED" w:rsidRPr="00E423CF">
        <w:rPr>
          <w:rFonts w:cs="Times New Roman"/>
        </w:rPr>
        <w:t xml:space="preserve">Within this context, local living wage movements around the world have emerged that draw attention to, and aim to eradicate, working poverty.  </w:t>
      </w:r>
      <w:r w:rsidR="007650ED">
        <w:rPr>
          <w:rFonts w:cs="Times New Roman"/>
        </w:rPr>
        <w:t>Responding to the erosion of union density and union power over the last thirty years (</w:t>
      </w:r>
      <w:r w:rsidR="007650ED" w:rsidRPr="00555B1D">
        <w:t>Newman, 2014)</w:t>
      </w:r>
      <w:r w:rsidR="007650ED">
        <w:t xml:space="preserve">, living wage campaigns represent new vehicles through which to </w:t>
      </w:r>
      <w:r w:rsidRPr="00E423CF">
        <w:rPr>
          <w:rFonts w:cs="Times New Roman"/>
        </w:rPr>
        <w:t xml:space="preserve">place pressure on wage-paying organisations to raise the incomes of the lowest-paid. </w:t>
      </w:r>
    </w:p>
    <w:p w14:paraId="1F20D5A9" w14:textId="77777777" w:rsidR="00E423CF" w:rsidRPr="00E423CF" w:rsidRDefault="00E423CF" w:rsidP="00E423CF">
      <w:pPr>
        <w:rPr>
          <w:rFonts w:cs="Times New Roman"/>
        </w:rPr>
      </w:pPr>
    </w:p>
    <w:p w14:paraId="3782D552" w14:textId="472E6751" w:rsidR="00E423CF" w:rsidRDefault="00E423CF" w:rsidP="00E423CF">
      <w:pPr>
        <w:rPr>
          <w:rFonts w:cs="Times New Roman"/>
        </w:rPr>
      </w:pPr>
      <w:r w:rsidRPr="00E423CF">
        <w:rPr>
          <w:rFonts w:cs="Times New Roman"/>
        </w:rPr>
        <w:t>Taken generally, the living wage movement calls for an hourly wage determined not simply by the “market justice” principle of earned desert in the market, but also by the “political justice” principles of need and equality (Lane, 1986).  This call emphasises the role of below-subsistence wages in the production of economic, social and political inequalities.</w:t>
      </w:r>
      <w:r w:rsidR="00B5640D">
        <w:rPr>
          <w:rFonts w:cs="Times New Roman"/>
        </w:rPr>
        <w:t xml:space="preserve"> </w:t>
      </w:r>
      <w:r w:rsidR="000F2D3C">
        <w:rPr>
          <w:rFonts w:cs="Times New Roman"/>
        </w:rPr>
        <w:t xml:space="preserve">Very low-wages, it is further argued, are often accompanied by income support schemes for the low-paid, in what is effectively a taxpayer-funded subsidy for low-paying employers.  </w:t>
      </w:r>
      <w:r w:rsidR="00711760">
        <w:rPr>
          <w:rFonts w:cs="Times New Roman"/>
        </w:rPr>
        <w:t>A living wage, it is claimed, would benefit not just the low-paid workers directly involved, but also society more broadly</w:t>
      </w:r>
      <w:r w:rsidR="000F2D3C">
        <w:rPr>
          <w:rFonts w:cs="Times New Roman"/>
        </w:rPr>
        <w:t xml:space="preserve">, since </w:t>
      </w:r>
      <w:r w:rsidR="000F2D3C" w:rsidRPr="00E423CF">
        <w:rPr>
          <w:rFonts w:cs="Times New Roman"/>
        </w:rPr>
        <w:t>increased income</w:t>
      </w:r>
      <w:r w:rsidR="000F2D3C">
        <w:rPr>
          <w:rFonts w:cs="Times New Roman"/>
        </w:rPr>
        <w:t>s</w:t>
      </w:r>
      <w:r w:rsidR="000F2D3C" w:rsidRPr="00E423CF">
        <w:rPr>
          <w:rFonts w:cs="Times New Roman"/>
        </w:rPr>
        <w:t xml:space="preserve"> for the poorest families </w:t>
      </w:r>
      <w:r w:rsidR="000F2D3C">
        <w:rPr>
          <w:rFonts w:cs="Times New Roman"/>
        </w:rPr>
        <w:t>are expected to create</w:t>
      </w:r>
      <w:r w:rsidR="000F2D3C" w:rsidRPr="00E423CF">
        <w:rPr>
          <w:rFonts w:cs="Times New Roman"/>
        </w:rPr>
        <w:t xml:space="preserve"> </w:t>
      </w:r>
      <w:r w:rsidR="000F2D3C" w:rsidRPr="00E423CF">
        <w:rPr>
          <w:rFonts w:cs="Times New Roman"/>
        </w:rPr>
        <w:lastRenderedPageBreak/>
        <w:t>a virtuous cycle of improved health, educational and crime outcomes</w:t>
      </w:r>
      <w:r w:rsidR="000F2D3C">
        <w:rPr>
          <w:rFonts w:cs="Times New Roman"/>
        </w:rPr>
        <w:t xml:space="preserve">.  </w:t>
      </w:r>
      <w:r w:rsidR="00B5640D">
        <w:rPr>
          <w:rFonts w:cs="Times New Roman"/>
        </w:rPr>
        <w:t>Importantly, arguments for a living wage present it not as a favour, or an act of charity towards low-paid workers</w:t>
      </w:r>
      <w:r w:rsidR="00CA2588">
        <w:rPr>
          <w:rFonts w:cs="Times New Roman"/>
        </w:rPr>
        <w:t xml:space="preserve">. Rather, a living wage </w:t>
      </w:r>
      <w:r w:rsidRPr="00E423CF">
        <w:rPr>
          <w:rFonts w:cs="Times New Roman"/>
        </w:rPr>
        <w:t xml:space="preserve">is </w:t>
      </w:r>
      <w:r w:rsidR="000F2D3C">
        <w:rPr>
          <w:rFonts w:cs="Times New Roman"/>
        </w:rPr>
        <w:t>held to improve firm performance,</w:t>
      </w:r>
      <w:r w:rsidRPr="00E423CF">
        <w:rPr>
          <w:rFonts w:cs="Times New Roman"/>
        </w:rPr>
        <w:t xml:space="preserve"> as workers </w:t>
      </w:r>
      <w:r w:rsidR="000F2D3C">
        <w:rPr>
          <w:rFonts w:cs="Times New Roman"/>
        </w:rPr>
        <w:t>become</w:t>
      </w:r>
      <w:r w:rsidR="000F2D3C" w:rsidRPr="00E423CF">
        <w:rPr>
          <w:rFonts w:cs="Times New Roman"/>
        </w:rPr>
        <w:t xml:space="preserve"> </w:t>
      </w:r>
      <w:r w:rsidRPr="00E423CF">
        <w:rPr>
          <w:rFonts w:cs="Times New Roman"/>
        </w:rPr>
        <w:t>more engaged, motivated and productive.</w:t>
      </w:r>
      <w:r w:rsidRPr="00E423CF">
        <w:rPr>
          <w:rFonts w:cs="Times New Roman"/>
          <w:strike/>
        </w:rPr>
        <w:t xml:space="preserve"> </w:t>
      </w:r>
    </w:p>
    <w:p w14:paraId="4B712BC5" w14:textId="77777777" w:rsidR="00665CFA" w:rsidRDefault="00665CFA" w:rsidP="00A22B9A">
      <w:pPr>
        <w:keepNext/>
        <w:keepLines/>
        <w:outlineLvl w:val="0"/>
        <w:rPr>
          <w:rFonts w:eastAsiaTheme="majorEastAsia" w:cs="Times New Roman"/>
          <w:b/>
          <w:color w:val="000000" w:themeColor="text1"/>
          <w:szCs w:val="32"/>
        </w:rPr>
      </w:pPr>
    </w:p>
    <w:p w14:paraId="4FA8FA35" w14:textId="77777777" w:rsidR="00665CFA" w:rsidRDefault="00665CFA" w:rsidP="00A22B9A">
      <w:pPr>
        <w:keepNext/>
        <w:keepLines/>
        <w:outlineLvl w:val="0"/>
        <w:rPr>
          <w:rFonts w:eastAsiaTheme="majorEastAsia" w:cs="Times New Roman"/>
          <w:b/>
          <w:color w:val="000000" w:themeColor="text1"/>
          <w:szCs w:val="32"/>
        </w:rPr>
      </w:pPr>
      <w:r>
        <w:rPr>
          <w:rFonts w:eastAsiaTheme="majorEastAsia" w:cs="Times New Roman"/>
          <w:b/>
          <w:color w:val="000000" w:themeColor="text1"/>
          <w:szCs w:val="32"/>
        </w:rPr>
        <w:t>Theoretical Framework</w:t>
      </w:r>
    </w:p>
    <w:p w14:paraId="35ED9A2F" w14:textId="2A88F48C" w:rsidR="004758C9" w:rsidRPr="00E423CF" w:rsidRDefault="004758C9" w:rsidP="004758C9">
      <w:r w:rsidRPr="00E423CF">
        <w:rPr>
          <w:rFonts w:cs="Times New Roman"/>
        </w:rPr>
        <w:t xml:space="preserve">Boltanski and Thévenot’s pragmatic sociology </w:t>
      </w:r>
      <w:r w:rsidRPr="00E735C3">
        <w:t xml:space="preserve">is selected </w:t>
      </w:r>
      <w:r>
        <w:t xml:space="preserve">for our analysis </w:t>
      </w:r>
      <w:r w:rsidRPr="00E735C3">
        <w:t xml:space="preserve">because it offers </w:t>
      </w:r>
      <w:r w:rsidRPr="004A6AFF">
        <w:t xml:space="preserve">a </w:t>
      </w:r>
      <w:r w:rsidR="00CA2588">
        <w:t xml:space="preserve">useful </w:t>
      </w:r>
      <w:r w:rsidRPr="004A6AFF">
        <w:t xml:space="preserve">“tool box” to analyse the different ways in which critiques and justifications are made (the ways in which legitimacy is disrupted or secured) in contested contexts </w:t>
      </w:r>
      <w:r w:rsidRPr="00DF2DC0">
        <w:t>marked by multiple, competing sets of values (Patriotta, Gond, &amp; Schultz, 2011</w:t>
      </w:r>
      <w:r>
        <w:t xml:space="preserve">; </w:t>
      </w:r>
      <w:r w:rsidRPr="004A6AFF">
        <w:t>van Bommel, 2014; Cloutier &amp; Langley, 2013; Jagd, 20</w:t>
      </w:r>
      <w:r>
        <w:t>11).  I</w:t>
      </w:r>
      <w:r w:rsidRPr="004A6AFF">
        <w:t xml:space="preserve">ts insistence that </w:t>
      </w:r>
      <w:r>
        <w:t xml:space="preserve">critiques and </w:t>
      </w:r>
      <w:r w:rsidRPr="004A6AFF">
        <w:t xml:space="preserve">justifications are </w:t>
      </w:r>
      <w:r>
        <w:t>expressed</w:t>
      </w:r>
      <w:r w:rsidRPr="004A6AFF">
        <w:t xml:space="preserve"> not just </w:t>
      </w:r>
      <w:r>
        <w:t>in</w:t>
      </w:r>
      <w:r w:rsidRPr="004A6AFF">
        <w:t xml:space="preserve"> words and ideas, but also through the status accorded to material objects and practices</w:t>
      </w:r>
      <w:r>
        <w:t>, is particularly useful to our analysis.</w:t>
      </w:r>
    </w:p>
    <w:p w14:paraId="2FF71BAD" w14:textId="77777777" w:rsidR="004758C9" w:rsidRDefault="004758C9" w:rsidP="00A22B9A"/>
    <w:p w14:paraId="2093B4B3" w14:textId="5A09B965" w:rsidR="00665CFA" w:rsidRDefault="002D54D4" w:rsidP="00A22B9A">
      <w:r>
        <w:t xml:space="preserve">Pragmatic sociology is typically applied in a situation of dispute. It asks how agreement and harmony is possible, given that </w:t>
      </w:r>
      <w:r w:rsidR="00665CFA">
        <w:t>a good deal of social life takes place in “fragmented and contested” settings where “the harmonious arrangement of things and persons” cannot be “taken-for-granted”, but is “always ‘up for grabs’”</w:t>
      </w:r>
      <w:r>
        <w:t xml:space="preserve"> (Patriotta et al., 2011, p. 1808)</w:t>
      </w:r>
      <w:r w:rsidR="00665CFA">
        <w:t>.</w:t>
      </w:r>
      <w:r w:rsidR="00FF2188">
        <w:t xml:space="preserve"> </w:t>
      </w:r>
      <w:r w:rsidR="00665CFA">
        <w:t xml:space="preserve"> According to Boltanski and Thévenot (1999; 2006), social life is regulated by multiple (but not infinite) “orders of worth”</w:t>
      </w:r>
      <w:r w:rsidR="008D2451">
        <w:t xml:space="preserve">.  </w:t>
      </w:r>
      <w:r>
        <w:t>Pragmatic sociology offers a framework to analyse the different claims that are made, and “the struggles over legitimacy that are a natural side-effect of [this] pluralism”</w:t>
      </w:r>
      <w:r w:rsidR="00C66F16">
        <w:t xml:space="preserve"> </w:t>
      </w:r>
      <w:r>
        <w:t xml:space="preserve">(Cloutier &amp; Langley, 2013, p. 360). </w:t>
      </w:r>
      <w:r w:rsidR="00C66F16">
        <w:t xml:space="preserve">As </w:t>
      </w:r>
      <w:r w:rsidR="00C66F16">
        <w:rPr>
          <w:lang w:val="en-AU"/>
        </w:rPr>
        <w:t>Jagd (2011, p. 347) notes, “</w:t>
      </w:r>
      <w:r w:rsidR="00C66F16" w:rsidRPr="001B27EB">
        <w:t xml:space="preserve">Boltanski and Thévenot (2006) </w:t>
      </w:r>
      <w:r w:rsidR="00C66F16">
        <w:t>assert that agreement may be reached in the face of this plurality in three ways: with reference to “</w:t>
      </w:r>
      <w:r w:rsidR="00C66F16" w:rsidRPr="001B27EB">
        <w:t>one – dominating – world only at the expense of the other competing</w:t>
      </w:r>
      <w:r w:rsidR="00C66F16">
        <w:t xml:space="preserve">” orders of worth, through an </w:t>
      </w:r>
      <w:r w:rsidR="00C66F16" w:rsidRPr="003F55E1">
        <w:rPr>
          <w:i/>
        </w:rPr>
        <w:t>ad hoc</w:t>
      </w:r>
      <w:r w:rsidR="00C66F16">
        <w:t xml:space="preserve"> “</w:t>
      </w:r>
      <w:r w:rsidR="00C66F16" w:rsidRPr="001B27EB">
        <w:t>local arrangement aimed at a temporary and local agreement around specific decisions</w:t>
      </w:r>
      <w:r w:rsidR="00C66F16">
        <w:t xml:space="preserve">” or on the basis </w:t>
      </w:r>
      <w:r w:rsidR="00C66F16" w:rsidRPr="00A762B3">
        <w:t xml:space="preserve">of a </w:t>
      </w:r>
      <w:r w:rsidR="00C66F16">
        <w:t>“</w:t>
      </w:r>
      <w:r w:rsidR="00C66F16" w:rsidRPr="00A762B3">
        <w:t xml:space="preserve">compromise aimed at </w:t>
      </w:r>
      <w:r w:rsidR="00C66F16" w:rsidRPr="00D32B66">
        <w:t>a more durable agreement const</w:t>
      </w:r>
      <w:r w:rsidR="00C66F16" w:rsidRPr="00A762B3">
        <w:t>ructed on the basis of different</w:t>
      </w:r>
      <w:r w:rsidR="00C66F16">
        <w:t>” orders of worth</w:t>
      </w:r>
      <w:r w:rsidR="00C66F16" w:rsidRPr="00A762B3">
        <w:t>.</w:t>
      </w:r>
      <w:r w:rsidR="00C66F16" w:rsidRPr="00FF2188" w:rsidDel="00C66F16">
        <w:rPr>
          <w:highlight w:val="yellow"/>
        </w:rPr>
        <w:t xml:space="preserve"> </w:t>
      </w:r>
    </w:p>
    <w:p w14:paraId="5D87EAA7" w14:textId="77777777" w:rsidR="00665CFA" w:rsidRDefault="00665CFA" w:rsidP="00A22B9A"/>
    <w:p w14:paraId="4241E847" w14:textId="549ED048" w:rsidR="00665CFA" w:rsidRDefault="00665CFA" w:rsidP="00A22B9A">
      <w:r>
        <w:t xml:space="preserve">In their foundational 2006 text </w:t>
      </w:r>
      <w:r w:rsidRPr="00417CA1">
        <w:rPr>
          <w:i/>
        </w:rPr>
        <w:t>On Justification</w:t>
      </w:r>
      <w:r>
        <w:t xml:space="preserve">, Boltanski and Thévenot identified and outlined six orders of worth: the </w:t>
      </w:r>
      <w:r w:rsidRPr="00FA2A72">
        <w:rPr>
          <w:i/>
        </w:rPr>
        <w:t>market, industrial, civic, domestic, opinion</w:t>
      </w:r>
      <w:r>
        <w:t xml:space="preserve">, and </w:t>
      </w:r>
      <w:r w:rsidR="00C66F16">
        <w:t xml:space="preserve">the </w:t>
      </w:r>
      <w:r w:rsidRPr="00FA2A72">
        <w:rPr>
          <w:i/>
        </w:rPr>
        <w:t>inspired</w:t>
      </w:r>
      <w:r>
        <w:t>.</w:t>
      </w:r>
      <w:r w:rsidR="002C1F17">
        <w:rPr>
          <w:rStyle w:val="EndnoteReference"/>
        </w:rPr>
        <w:endnoteReference w:id="3"/>
      </w:r>
      <w:r>
        <w:t xml:space="preserve"> </w:t>
      </w:r>
      <w:r w:rsidR="002D54D4">
        <w:t xml:space="preserve">Each order of worth has its own standards for assessing the worthiness of arrangements, objects and actors.  These orders are explicitly moral: each grounds its claims by appealing to a conception of the common good that is widely understood and </w:t>
      </w:r>
      <w:r w:rsidR="002D54D4">
        <w:lastRenderedPageBreak/>
        <w:t>acknowledged.</w:t>
      </w:r>
      <w:r w:rsidR="00FA2A72">
        <w:t xml:space="preserve"> </w:t>
      </w:r>
      <w:r w:rsidR="002D54D4">
        <w:t xml:space="preserve"> Boltanski and Thévenot </w:t>
      </w:r>
      <w:r>
        <w:t xml:space="preserve">(2006, p. 66) describe these orders of worth as “systematic expressions of the forms of the common good … commonly invoked in today’s society”. </w:t>
      </w:r>
      <w:r w:rsidR="00FA2A72">
        <w:t xml:space="preserve"> </w:t>
      </w:r>
      <w:r w:rsidR="008D2451">
        <w:t xml:space="preserve">van </w:t>
      </w:r>
      <w:r>
        <w:t>Bommel (2014, p. 1162) adds that each is “comprised of a set of material, cognitive and symbolic elements that make up unique ‘worlds’”</w:t>
      </w:r>
      <w:r w:rsidR="006031C4">
        <w:t>.</w:t>
      </w:r>
      <w:r>
        <w:t xml:space="preserve">  The summary in Table 1 shows that within each of these six worlds, worthiness is conferred by distinctive qualified people, with reference to distinctive qualified objects, calling forth distinctive modes of evaluation, tests and forms of proof.</w:t>
      </w:r>
    </w:p>
    <w:p w14:paraId="7578BCF0" w14:textId="77777777" w:rsidR="00665CFA" w:rsidRDefault="00665CFA" w:rsidP="00A22B9A"/>
    <w:p w14:paraId="33F53887" w14:textId="5D8B0D32" w:rsidR="00665CFA" w:rsidRPr="00226F61" w:rsidRDefault="00665CFA" w:rsidP="00A22B9A">
      <w:pPr>
        <w:rPr>
          <w:b/>
        </w:rPr>
      </w:pPr>
      <w:r w:rsidRPr="00226F61">
        <w:rPr>
          <w:b/>
        </w:rPr>
        <w:t xml:space="preserve">[Table 1 </w:t>
      </w:r>
      <w:r w:rsidR="00226F61" w:rsidRPr="00226F61">
        <w:rPr>
          <w:b/>
        </w:rPr>
        <w:t xml:space="preserve">about </w:t>
      </w:r>
      <w:r w:rsidRPr="00226F61">
        <w:rPr>
          <w:b/>
        </w:rPr>
        <w:t>here]</w:t>
      </w:r>
    </w:p>
    <w:p w14:paraId="6FD4B52F" w14:textId="77777777" w:rsidR="00665CFA" w:rsidRDefault="00665CFA" w:rsidP="00A22B9A"/>
    <w:p w14:paraId="4E37C2AF" w14:textId="2E56127B" w:rsidR="00665CFA" w:rsidRDefault="00665CFA" w:rsidP="00A22B9A">
      <w:r>
        <w:t xml:space="preserve">Worthiness within the </w:t>
      </w:r>
      <w:r w:rsidRPr="00DD259D">
        <w:rPr>
          <w:i/>
        </w:rPr>
        <w:t>market</w:t>
      </w:r>
      <w:r>
        <w:t xml:space="preserve"> order, for example, is established by the market competitiveness of a freely circulating good or service, with market participants (the buyers and sellers of those goods and services) designated as the qualified evaluators of worth. </w:t>
      </w:r>
      <w:r w:rsidR="008D2451">
        <w:t xml:space="preserve"> </w:t>
      </w:r>
      <w:r>
        <w:t xml:space="preserve">This can be seen as the expression of a moral vision since the market’s </w:t>
      </w:r>
      <w:r w:rsidR="006031C4">
        <w:t>“</w:t>
      </w:r>
      <w:r>
        <w:t>invisible hand</w:t>
      </w:r>
      <w:r w:rsidR="006031C4">
        <w:t>”</w:t>
      </w:r>
      <w:r>
        <w:t xml:space="preserve"> is held to align the individual interests of market participants with the collective good by promoting economic efficiency and innovation. </w:t>
      </w:r>
      <w:r w:rsidR="008D2451">
        <w:t xml:space="preserve"> </w:t>
      </w:r>
      <w:r w:rsidR="006031C4">
        <w:t>Meanwhile, w</w:t>
      </w:r>
      <w:r>
        <w:t xml:space="preserve">orthiness is determined in the </w:t>
      </w:r>
      <w:r w:rsidRPr="00DD259D">
        <w:rPr>
          <w:i/>
        </w:rPr>
        <w:t>civic</w:t>
      </w:r>
      <w:r>
        <w:t xml:space="preserve"> world not by the buyers and sellers of the market order, but by the collective will of equal citizens.  The common good is assured, not through the pursuit of individual interests, but precisely by each individual renouncing a “deficient, selfish state” and by consciously making themselves “the embodiment </w:t>
      </w:r>
      <w:r w:rsidRPr="00816F13">
        <w:t xml:space="preserve">of a </w:t>
      </w:r>
      <w:r w:rsidRPr="006031C4">
        <w:rPr>
          <w:i/>
        </w:rPr>
        <w:t>general interest</w:t>
      </w:r>
      <w:r>
        <w:t xml:space="preserve">” (Boltanski &amp; Thévenot, 2006, p. 187, </w:t>
      </w:r>
      <w:r w:rsidRPr="006031C4">
        <w:t>emphasis in the original</w:t>
      </w:r>
      <w:r>
        <w:t>).</w:t>
      </w:r>
    </w:p>
    <w:p w14:paraId="4C34A218" w14:textId="77777777" w:rsidR="00665CFA" w:rsidRDefault="00665CFA" w:rsidP="00A22B9A"/>
    <w:p w14:paraId="24EC4C6F" w14:textId="04C285D1" w:rsidR="002D54D4" w:rsidRDefault="00665CFA" w:rsidP="00A22B9A">
      <w:r>
        <w:t xml:space="preserve">Within this framework, successful attempts at critique or justification do not represent simply the triumph of certain words or ideas. </w:t>
      </w:r>
      <w:r w:rsidR="00C04EFA">
        <w:t xml:space="preserve"> </w:t>
      </w:r>
      <w:r>
        <w:t xml:space="preserve">Justifications </w:t>
      </w:r>
      <w:r w:rsidR="002D54D4">
        <w:t xml:space="preserve">also </w:t>
      </w:r>
      <w:r>
        <w:t xml:space="preserve">incorporate, crucially, a material dimension (Patriotta et al., 2011, </w:t>
      </w:r>
      <w:r w:rsidR="00C32725">
        <w:t xml:space="preserve">p. </w:t>
      </w:r>
      <w:r>
        <w:t>1809).</w:t>
      </w:r>
      <w:r w:rsidR="00C04EFA">
        <w:t xml:space="preserve"> </w:t>
      </w:r>
      <w:r>
        <w:t xml:space="preserve"> As Annisette and Richardson (2011, </w:t>
      </w:r>
      <w:r w:rsidR="00C32725">
        <w:t xml:space="preserve">p. </w:t>
      </w:r>
      <w:r>
        <w:t xml:space="preserve">235) note, “the engagement of qualified objects in tests of worth” is a crucial feature of pragmatic sociology. “Qualified objects”, they continue (objects like uniforms and badges, or in the realm of accounting practice, </w:t>
      </w:r>
      <w:r w:rsidR="002D54D4">
        <w:t>spreadsheets, annual reports, and accreditations</w:t>
      </w:r>
      <w:r>
        <w:t xml:space="preserve">) are used “as </w:t>
      </w:r>
      <w:r w:rsidRPr="00422CD6">
        <w:rPr>
          <w:i/>
        </w:rPr>
        <w:t xml:space="preserve">proofs of worth </w:t>
      </w:r>
      <w:r>
        <w:t xml:space="preserve">and as </w:t>
      </w:r>
      <w:r w:rsidRPr="00422CD6">
        <w:rPr>
          <w:i/>
        </w:rPr>
        <w:t>signals of the order of worth that is appropriate in a given circumstance</w:t>
      </w:r>
      <w:r>
        <w:t>” (Annisette &amp; Richardson, 2011, p. 235, emphasis added).</w:t>
      </w:r>
      <w:r w:rsidR="00C04EFA">
        <w:t xml:space="preserve"> </w:t>
      </w:r>
      <w:r>
        <w:t xml:space="preserve"> </w:t>
      </w:r>
    </w:p>
    <w:p w14:paraId="7759BD05" w14:textId="77777777" w:rsidR="002D54D4" w:rsidRDefault="002D54D4" w:rsidP="00A22B9A"/>
    <w:p w14:paraId="1A3B497D" w14:textId="6EDA12C3" w:rsidR="00665CFA" w:rsidRDefault="00665CFA" w:rsidP="00A22B9A">
      <w:r>
        <w:t>Annisette</w:t>
      </w:r>
      <w:r w:rsidR="00C04EFA">
        <w:t xml:space="preserve"> and</w:t>
      </w:r>
      <w:r>
        <w:t xml:space="preserve"> Richardson (2011, p. 235) </w:t>
      </w:r>
      <w:r w:rsidR="00583F03">
        <w:t>argue that</w:t>
      </w:r>
      <w:r>
        <w:t xml:space="preserve"> Boltanski and Thévenot offer “a nuanced framework for understanding the multiplicity of ways accounting can participate in social </w:t>
      </w:r>
      <w:r>
        <w:lastRenderedPageBreak/>
        <w:t>relations.”</w:t>
      </w:r>
      <w:r w:rsidR="00BD0E33">
        <w:t xml:space="preserve"> </w:t>
      </w:r>
      <w:r w:rsidR="00583F03">
        <w:t xml:space="preserve"> </w:t>
      </w:r>
      <w:r w:rsidR="00D96882">
        <w:t>W</w:t>
      </w:r>
      <w:r w:rsidR="00583F03">
        <w:t xml:space="preserve">e use Boltanski and Thévenot’s framework to examine how justifications of the status quo are stabilised not just by logical argumentation, but also by the material objects of contemporary accounting discourse and practice. </w:t>
      </w:r>
      <w:r w:rsidR="0090559C">
        <w:t xml:space="preserve"> </w:t>
      </w:r>
      <w:r w:rsidR="00583F03">
        <w:t>Conversely, calls for change</w:t>
      </w:r>
      <w:r w:rsidR="00C66F16">
        <w:t>s</w:t>
      </w:r>
      <w:r w:rsidR="00583F03">
        <w:t xml:space="preserve"> in business practice (</w:t>
      </w:r>
      <w:r w:rsidR="00D96882">
        <w:t>i.e.</w:t>
      </w:r>
      <w:r w:rsidR="00583F03">
        <w:t xml:space="preserve">, changes to existing practices of low pay) necessitate not just the cognitive acceptance of new ideas, but also changes in these material factors: an acceptance of different regimes of measurement; different types of reporting, and a different (and wider) set of people accepted as </w:t>
      </w:r>
      <w:r w:rsidR="00316562">
        <w:t>“</w:t>
      </w:r>
      <w:r w:rsidR="00583F03">
        <w:t>qualified</w:t>
      </w:r>
      <w:r w:rsidR="00316562">
        <w:t>”</w:t>
      </w:r>
      <w:r w:rsidR="00583F03">
        <w:t xml:space="preserve"> and </w:t>
      </w:r>
      <w:r w:rsidR="00316562">
        <w:t>“</w:t>
      </w:r>
      <w:r w:rsidR="00583F03">
        <w:t>authoritative</w:t>
      </w:r>
      <w:r w:rsidR="00316562">
        <w:t>”</w:t>
      </w:r>
      <w:r w:rsidR="00583F03">
        <w:t>.</w:t>
      </w:r>
    </w:p>
    <w:p w14:paraId="6F7F00EC" w14:textId="77777777" w:rsidR="00665CFA" w:rsidRDefault="00665CFA" w:rsidP="00A22B9A"/>
    <w:p w14:paraId="765346A2" w14:textId="3F0EC092" w:rsidR="00665CFA" w:rsidRDefault="00665CFA" w:rsidP="00A22B9A">
      <w:r>
        <w:t>While t</w:t>
      </w:r>
      <w:r w:rsidRPr="00422CD6">
        <w:t xml:space="preserve">here is no established hierarchy amongst </w:t>
      </w:r>
      <w:r>
        <w:t>pragmatic sociology’s various</w:t>
      </w:r>
      <w:r w:rsidRPr="00422CD6">
        <w:t xml:space="preserve"> </w:t>
      </w:r>
      <w:r>
        <w:t>“</w:t>
      </w:r>
      <w:r w:rsidRPr="00422CD6">
        <w:t>orders of worth</w:t>
      </w:r>
      <w:r>
        <w:t xml:space="preserve">” </w:t>
      </w:r>
      <w:r w:rsidR="00BD0E33">
        <w:t>(</w:t>
      </w:r>
      <w:r w:rsidRPr="00422CD6">
        <w:t>Patriotta et al</w:t>
      </w:r>
      <w:r w:rsidR="00C04EFA">
        <w:t>.,</w:t>
      </w:r>
      <w:r w:rsidR="00577F3D">
        <w:t xml:space="preserve"> </w:t>
      </w:r>
      <w:r w:rsidR="0076286C">
        <w:t>(</w:t>
      </w:r>
      <w:r w:rsidRPr="00422CD6">
        <w:t xml:space="preserve">2011, </w:t>
      </w:r>
      <w:r w:rsidR="00C04EFA">
        <w:t xml:space="preserve">p. </w:t>
      </w:r>
      <w:r w:rsidRPr="00422CD6">
        <w:t>1809) argue</w:t>
      </w:r>
      <w:r>
        <w:t xml:space="preserve"> that they </w:t>
      </w:r>
      <w:r w:rsidRPr="00422CD6">
        <w:t xml:space="preserve">are </w:t>
      </w:r>
      <w:r>
        <w:t>“</w:t>
      </w:r>
      <w:r w:rsidRPr="00422CD6">
        <w:t>symmetrical</w:t>
      </w:r>
      <w:r>
        <w:t>” and “carry equal weight”)</w:t>
      </w:r>
      <w:r w:rsidR="0076286C">
        <w:t>,</w:t>
      </w:r>
      <w:r>
        <w:t xml:space="preserve"> this is </w:t>
      </w:r>
      <w:r w:rsidRPr="00422CD6">
        <w:t xml:space="preserve">a purely formal symmetry. </w:t>
      </w:r>
      <w:r w:rsidR="00C04EFA">
        <w:t xml:space="preserve"> </w:t>
      </w:r>
      <w:r>
        <w:t xml:space="preserve">Critiques and justifications are never presented in a cultural vacuum, but in specific contexts where certain orders of worth are more or less available and resonant (Lamont </w:t>
      </w:r>
      <w:r w:rsidR="00132187">
        <w:t>&amp;</w:t>
      </w:r>
      <w:r>
        <w:t xml:space="preserve"> Thévenot, 2000). </w:t>
      </w:r>
      <w:r w:rsidR="00C04EFA">
        <w:t xml:space="preserve"> </w:t>
      </w:r>
      <w:r>
        <w:t>Further, the status of “</w:t>
      </w:r>
      <w:r w:rsidRPr="00FF0F17">
        <w:t>a particular order is linked to issues of power and legitimacy within a field</w:t>
      </w:r>
      <w:r>
        <w:t>”, such that “</w:t>
      </w:r>
      <w:r w:rsidRPr="00FF0F17">
        <w:t xml:space="preserve">in certain fields, some actors are more powerful than others and will </w:t>
      </w:r>
      <w:r w:rsidR="007C2CE0">
        <w:t xml:space="preserve">therefore </w:t>
      </w:r>
      <w:r w:rsidRPr="00FF0F17">
        <w:t>have voic</w:t>
      </w:r>
      <w:r>
        <w:t xml:space="preserve">es that are </w:t>
      </w:r>
      <w:r w:rsidR="00C04EFA">
        <w:t>“</w:t>
      </w:r>
      <w:r>
        <w:t>louder</w:t>
      </w:r>
      <w:r w:rsidR="00C04EFA">
        <w:t>”</w:t>
      </w:r>
      <w:r>
        <w:t xml:space="preserve"> than others” (</w:t>
      </w:r>
      <w:r w:rsidRPr="00FF0F17">
        <w:t>Patriotta et al.</w:t>
      </w:r>
      <w:r>
        <w:t>,</w:t>
      </w:r>
      <w:r w:rsidRPr="00FF0F17">
        <w:t xml:space="preserve"> 2011, </w:t>
      </w:r>
      <w:r>
        <w:t xml:space="preserve">p. </w:t>
      </w:r>
      <w:r w:rsidRPr="00FF0F17">
        <w:t>1811)</w:t>
      </w:r>
      <w:r>
        <w:t xml:space="preserve">. </w:t>
      </w:r>
      <w:r w:rsidR="00C04EFA">
        <w:t xml:space="preserve"> </w:t>
      </w:r>
      <w:r>
        <w:t xml:space="preserve">Thus, while </w:t>
      </w:r>
      <w:r w:rsidRPr="0063475D">
        <w:t>Boltanski and Thévenot (1999, p. 360) assert that perso</w:t>
      </w:r>
      <w:r>
        <w:t xml:space="preserve">ns involved in public disputes </w:t>
      </w:r>
      <w:r w:rsidRPr="0063475D">
        <w:t xml:space="preserve">are </w:t>
      </w:r>
      <w:r>
        <w:t>all equally constrained by “</w:t>
      </w:r>
      <w:r w:rsidRPr="0063475D">
        <w:t>an imperative of justification</w:t>
      </w:r>
      <w:r>
        <w:t>”, Benatouil (1999, p. 390) argues that “dominant positions exist within social spaces” that “authorize their occupants to more easily impose their definitions of reality in a large number of people, or … to escape the requirements of justifying their actions”.</w:t>
      </w:r>
    </w:p>
    <w:p w14:paraId="73C99A14" w14:textId="77777777" w:rsidR="00665CFA" w:rsidRDefault="00665CFA" w:rsidP="00A22B9A"/>
    <w:p w14:paraId="1828DA65" w14:textId="18299520" w:rsidR="00665CFA" w:rsidRDefault="00665CFA" w:rsidP="00A22B9A">
      <w:r>
        <w:t xml:space="preserve">This is essentially a question of power: of the differential capacity of actors to make their partial interests appear natural and inevitable. </w:t>
      </w:r>
      <w:r w:rsidR="00E90E9F">
        <w:t xml:space="preserve"> </w:t>
      </w:r>
      <w:r>
        <w:t>Pragmatic sociology, however, has been criticised for its weak analysis of power relations (Wagner, 1999, p. 349; Gond et al., 2015), and</w:t>
      </w:r>
      <w:r w:rsidR="00C04EFA">
        <w:t xml:space="preserve"> for not regarding</w:t>
      </w:r>
      <w:r w:rsidRPr="0063475D">
        <w:t xml:space="preserve"> </w:t>
      </w:r>
      <w:r w:rsidR="00C04EFA">
        <w:t>“</w:t>
      </w:r>
      <w:r w:rsidRPr="0063475D">
        <w:t>actors’ universalistic claims as hiding particular interests</w:t>
      </w:r>
      <w:r>
        <w:t>”</w:t>
      </w:r>
      <w:r w:rsidRPr="0063475D">
        <w:t xml:space="preserve"> (Lamont &amp; Thévenot, 2000, p. 5</w:t>
      </w:r>
      <w:r>
        <w:t xml:space="preserve">, Annisette &amp; Trivedi, 2013). </w:t>
      </w:r>
      <w:r w:rsidR="00C04EFA">
        <w:t xml:space="preserve"> </w:t>
      </w:r>
      <w:r>
        <w:t>Indeed, pragmatic sociology is founded on an explicit rejection of critical sociology’s tendency to explain disputes in terms of “force … deception and delusion” (Boltanski &amp; Thévenot, 1999, p. 364).</w:t>
      </w:r>
      <w:r w:rsidR="001C57A6">
        <w:t xml:space="preserve"> </w:t>
      </w:r>
      <w:r>
        <w:t xml:space="preserve"> It contends that disputes “can be reduced neither to a direct expression of selfish interest” (Boltanski &amp; Thévenot, 1999, p. 366) nor to an “anarchic … dialogue of the deaf” (Boltanski &amp; Thévenot, 2006, p. 13).</w:t>
      </w:r>
      <w:r w:rsidR="002D741F">
        <w:t xml:space="preserve">  </w:t>
      </w:r>
      <w:r>
        <w:t xml:space="preserve">Pragmatic sociology appears to posit an ideal-type speech situation where actors are truthful and sincere; where they are driven not by a desire to </w:t>
      </w:r>
      <w:r w:rsidR="00C04EFA">
        <w:t>“</w:t>
      </w:r>
      <w:r>
        <w:t>win</w:t>
      </w:r>
      <w:r w:rsidR="00C04EFA">
        <w:t>”</w:t>
      </w:r>
      <w:r>
        <w:t xml:space="preserve"> the dispute but by “an authentic </w:t>
      </w:r>
      <w:r>
        <w:lastRenderedPageBreak/>
        <w:t xml:space="preserve">desire for justice” (Annisette &amp; Richardson, 2011, p. 231), and for “convergence at the very heart of a disagreement” (Boltanski &amp; Thévenot, 2006, p. 13). </w:t>
      </w:r>
    </w:p>
    <w:p w14:paraId="724F022C" w14:textId="77777777" w:rsidR="00665CFA" w:rsidRDefault="00665CFA" w:rsidP="00A22B9A"/>
    <w:p w14:paraId="5C1335A3" w14:textId="6B84E509" w:rsidR="00665CFA" w:rsidRDefault="00583F03" w:rsidP="00A22B9A">
      <w:r>
        <w:t>While it</w:t>
      </w:r>
      <w:r w:rsidR="00665CFA">
        <w:t xml:space="preserve"> is not within the scope of this paper to resolve </w:t>
      </w:r>
      <w:r w:rsidR="00C04EFA">
        <w:t>these</w:t>
      </w:r>
      <w:r w:rsidR="00665CFA">
        <w:t xml:space="preserve"> tensions</w:t>
      </w:r>
      <w:r>
        <w:t>, we do leave open the question</w:t>
      </w:r>
      <w:r w:rsidRPr="004C2C49">
        <w:t xml:space="preserve"> of power</w:t>
      </w:r>
      <w:r>
        <w:t>, asking</w:t>
      </w:r>
      <w:r w:rsidRPr="004C2C49">
        <w:t xml:space="preserve"> how certain orders of worth come to be accepted and natural and appro</w:t>
      </w:r>
      <w:r>
        <w:t>priate in this disputed setting.</w:t>
      </w:r>
      <w:r w:rsidR="001C57A6">
        <w:t xml:space="preserve"> </w:t>
      </w:r>
      <w:r>
        <w:t xml:space="preserve"> F</w:t>
      </w:r>
      <w:r w:rsidR="00665CFA">
        <w:t xml:space="preserve">ollowing Gond et al. (2015), </w:t>
      </w:r>
      <w:r w:rsidR="00665CFA" w:rsidRPr="004C2C49">
        <w:t xml:space="preserve">we propose a division of labour in which we adopt </w:t>
      </w:r>
      <w:r w:rsidR="00665CFA">
        <w:t xml:space="preserve">Boltanski and Thévenot’s </w:t>
      </w:r>
      <w:r w:rsidR="00665CFA" w:rsidRPr="004C2C49">
        <w:t xml:space="preserve">typology as a descriptive heuristic that allows us to specify the orders of worth that different actors appeal to in </w:t>
      </w:r>
      <w:r w:rsidR="00665CFA">
        <w:t>the living wage dispute</w:t>
      </w:r>
      <w:r w:rsidR="00C04EFA">
        <w:t xml:space="preserve"> we examine</w:t>
      </w:r>
      <w:r>
        <w:t xml:space="preserve">, while remaining attentive to the cultural and historical forces that privilege certain orders of worth (in the present case, the </w:t>
      </w:r>
      <w:r w:rsidRPr="001453AE">
        <w:rPr>
          <w:i/>
        </w:rPr>
        <w:t xml:space="preserve">market </w:t>
      </w:r>
      <w:r>
        <w:t>order) and the actors that rely on them</w:t>
      </w:r>
      <w:r w:rsidR="00665CFA" w:rsidRPr="004C2C49">
        <w:t>.</w:t>
      </w:r>
      <w:r w:rsidR="00665CFA">
        <w:t xml:space="preserve"> </w:t>
      </w:r>
      <w:r w:rsidR="00E90E9F">
        <w:t xml:space="preserve"> </w:t>
      </w:r>
      <w:r w:rsidR="00665CFA">
        <w:t xml:space="preserve">More specifically, we focus on the role of accounting </w:t>
      </w:r>
      <w:r w:rsidR="00C04EFA">
        <w:t xml:space="preserve">discourse and </w:t>
      </w:r>
      <w:r w:rsidR="00665CFA">
        <w:t xml:space="preserve">practice, asking how </w:t>
      </w:r>
      <w:r w:rsidR="00132187">
        <w:t>accounting</w:t>
      </w:r>
      <w:r w:rsidR="00665CFA">
        <w:t xml:space="preserve"> discourses, processes</w:t>
      </w:r>
      <w:r w:rsidR="00132187">
        <w:t xml:space="preserve">, </w:t>
      </w:r>
      <w:r w:rsidR="00665CFA">
        <w:t xml:space="preserve">objects </w:t>
      </w:r>
      <w:r w:rsidR="00132187">
        <w:t xml:space="preserve">and </w:t>
      </w:r>
      <w:r w:rsidR="009F301E">
        <w:t xml:space="preserve">qualified </w:t>
      </w:r>
      <w:r w:rsidR="00132187">
        <w:t>people</w:t>
      </w:r>
      <w:r w:rsidR="00665CFA">
        <w:t xml:space="preserve"> work to naturalise </w:t>
      </w:r>
      <w:r w:rsidR="00665CFA" w:rsidRPr="004C2C49">
        <w:t xml:space="preserve">certain orders of worth and </w:t>
      </w:r>
      <w:r w:rsidR="00665CFA">
        <w:t>(therefore) certain business practices.</w:t>
      </w:r>
    </w:p>
    <w:p w14:paraId="2C4CCD11" w14:textId="77777777" w:rsidR="00665CFA" w:rsidRDefault="00665CFA" w:rsidP="00A22B9A"/>
    <w:p w14:paraId="22BF1B66" w14:textId="768C8C24" w:rsidR="008D67F3" w:rsidRDefault="00212338" w:rsidP="00A22B9A">
      <w:r>
        <w:t>Our analysis</w:t>
      </w:r>
      <w:r w:rsidR="009746F4">
        <w:t xml:space="preserve"> show</w:t>
      </w:r>
      <w:r>
        <w:t>s</w:t>
      </w:r>
      <w:r w:rsidR="009746F4">
        <w:t xml:space="preserve"> </w:t>
      </w:r>
      <w:r w:rsidR="00665CFA">
        <w:t xml:space="preserve">how current dominant accounting </w:t>
      </w:r>
      <w:r w:rsidR="00C04EFA">
        <w:t xml:space="preserve">discourses and </w:t>
      </w:r>
      <w:r w:rsidR="00665CFA">
        <w:t xml:space="preserve">practice embodies and in turn stabilises a particular conception of the common good. </w:t>
      </w:r>
      <w:r w:rsidR="001C57A6">
        <w:t xml:space="preserve"> </w:t>
      </w:r>
      <w:r w:rsidR="00665CFA">
        <w:t xml:space="preserve">In this way, </w:t>
      </w:r>
      <w:r w:rsidR="009746F4">
        <w:t>we argue that</w:t>
      </w:r>
      <w:r w:rsidR="00665CFA">
        <w:t xml:space="preserve"> accounting is implicated in naturalising and stabilising existing business practices of low pay and economic inequality more broadly.</w:t>
      </w:r>
      <w:r w:rsidR="00C04EFA">
        <w:t xml:space="preserve"> </w:t>
      </w:r>
      <w:r w:rsidR="00665CFA">
        <w:t xml:space="preserve"> Beyond this, </w:t>
      </w:r>
      <w:r w:rsidR="009746F4">
        <w:t>we offer</w:t>
      </w:r>
      <w:r w:rsidR="00665CFA">
        <w:t xml:space="preserve"> a more practical contribution, by setting out how accounting can be an integral part of a progressive agenda for change.</w:t>
      </w:r>
      <w:r w:rsidR="00C04EFA">
        <w:t xml:space="preserve"> </w:t>
      </w:r>
      <w:r w:rsidR="00665CFA">
        <w:t xml:space="preserve"> </w:t>
      </w:r>
      <w:r w:rsidR="00051FF4">
        <w:t xml:space="preserve">These suggestions for accounting are based on our analysis </w:t>
      </w:r>
      <w:r w:rsidR="00BD0E33">
        <w:t>(</w:t>
      </w:r>
      <w:r w:rsidR="00051FF4">
        <w:t>and, as such, on real-world arguments made by a social movement</w:t>
      </w:r>
      <w:r w:rsidR="00BD0E33">
        <w:t>)</w:t>
      </w:r>
      <w:r w:rsidR="001F6E7A">
        <w:t xml:space="preserve">, as well as </w:t>
      </w:r>
      <w:r w:rsidR="00BD0E33">
        <w:t xml:space="preserve">a consideration of </w:t>
      </w:r>
      <w:r w:rsidR="001453AE">
        <w:t xml:space="preserve">current </w:t>
      </w:r>
      <w:r w:rsidR="00BD0E33">
        <w:t>accounting</w:t>
      </w:r>
      <w:r w:rsidR="001F6E7A">
        <w:t xml:space="preserve"> </w:t>
      </w:r>
      <w:r w:rsidR="001453AE">
        <w:t xml:space="preserve">discourses and </w:t>
      </w:r>
      <w:r w:rsidR="001F6E7A">
        <w:t>practice</w:t>
      </w:r>
      <w:r w:rsidR="00BD0E33">
        <w:t xml:space="preserve">s </w:t>
      </w:r>
      <w:r w:rsidR="001F6E7A">
        <w:t>and prior literature</w:t>
      </w:r>
      <w:r w:rsidR="00051FF4">
        <w:t xml:space="preserve">.  </w:t>
      </w:r>
      <w:r w:rsidR="00665CFA">
        <w:t>B</w:t>
      </w:r>
      <w:r w:rsidR="00665CFA" w:rsidRPr="00A96C71">
        <w:t xml:space="preserve">y specifying the alternative orders of worth that are </w:t>
      </w:r>
      <w:r w:rsidR="00665CFA">
        <w:t>deployed</w:t>
      </w:r>
      <w:r w:rsidR="00665CFA" w:rsidRPr="00A96C71">
        <w:t xml:space="preserve"> in public critiques of the status quo, we </w:t>
      </w:r>
      <w:r w:rsidR="00A762B3">
        <w:t>suggest ways in which</w:t>
      </w:r>
      <w:r w:rsidR="00665CFA" w:rsidRPr="00A96C71">
        <w:t xml:space="preserve"> accounting could be </w:t>
      </w:r>
      <w:r w:rsidR="00C04EFA">
        <w:t>(</w:t>
      </w:r>
      <w:r w:rsidR="00665CFA" w:rsidRPr="00A96C71">
        <w:t>re</w:t>
      </w:r>
      <w:r w:rsidR="00C04EFA">
        <w:t>)</w:t>
      </w:r>
      <w:r w:rsidR="00665CFA" w:rsidRPr="00A96C71">
        <w:t xml:space="preserve">imagined and </w:t>
      </w:r>
      <w:r w:rsidR="00C04EFA">
        <w:t>(</w:t>
      </w:r>
      <w:r w:rsidR="00665CFA" w:rsidRPr="00A96C71">
        <w:t>re</w:t>
      </w:r>
      <w:r w:rsidR="00C04EFA">
        <w:t>)</w:t>
      </w:r>
      <w:r w:rsidR="00665CFA" w:rsidRPr="00A96C71">
        <w:t>structured so as to embody and ex</w:t>
      </w:r>
      <w:r w:rsidR="00665CFA">
        <w:t>press these alternative orders.</w:t>
      </w:r>
      <w:r w:rsidR="00C04EFA">
        <w:t xml:space="preserve"> </w:t>
      </w:r>
      <w:r w:rsidR="00665CFA">
        <w:t xml:space="preserve"> </w:t>
      </w:r>
      <w:r w:rsidR="00A762B3">
        <w:t>We ask w</w:t>
      </w:r>
      <w:r w:rsidR="00665CFA">
        <w:t xml:space="preserve">hat specific things accounting </w:t>
      </w:r>
      <w:r w:rsidR="00624BBB">
        <w:t xml:space="preserve">would </w:t>
      </w:r>
      <w:r w:rsidR="00665CFA">
        <w:t>need to measure, value and produce</w:t>
      </w:r>
      <w:r w:rsidR="009746F4">
        <w:t xml:space="preserve"> (and what sorts of people accounting </w:t>
      </w:r>
      <w:r w:rsidR="00624BBB">
        <w:t xml:space="preserve">would </w:t>
      </w:r>
      <w:r w:rsidR="009746F4">
        <w:t>need to recognise as authoritative and qualified)</w:t>
      </w:r>
      <w:r w:rsidR="00665CFA">
        <w:t xml:space="preserve"> if it was to embody and express the competing conceptions of the common good found in calls for a living wage</w:t>
      </w:r>
      <w:r w:rsidR="00A762B3">
        <w:t>.</w:t>
      </w:r>
    </w:p>
    <w:p w14:paraId="57E596DC" w14:textId="77777777" w:rsidR="00E6675A" w:rsidRDefault="00E6675A" w:rsidP="00A22B9A"/>
    <w:p w14:paraId="325799E6" w14:textId="52000C6B" w:rsidR="00665CFA" w:rsidRPr="00D7629B" w:rsidRDefault="00665CFA" w:rsidP="0048094C">
      <w:pPr>
        <w:spacing w:after="160" w:line="259" w:lineRule="auto"/>
        <w:rPr>
          <w:b/>
        </w:rPr>
      </w:pPr>
      <w:r w:rsidRPr="001453AE">
        <w:rPr>
          <w:b/>
        </w:rPr>
        <w:t>Research Context and Approach</w:t>
      </w:r>
    </w:p>
    <w:p w14:paraId="6E4525B7" w14:textId="632FEC6B" w:rsidR="00E90E9F" w:rsidRPr="009F301E" w:rsidRDefault="00E90E9F" w:rsidP="00A22B9A">
      <w:pPr>
        <w:rPr>
          <w:b/>
          <w:i/>
        </w:rPr>
      </w:pPr>
      <w:r w:rsidRPr="009F301E">
        <w:rPr>
          <w:b/>
          <w:i/>
        </w:rPr>
        <w:t xml:space="preserve">Inequality and Living Wage Debates in </w:t>
      </w:r>
      <w:r w:rsidR="00CA66A2" w:rsidRPr="009F301E">
        <w:rPr>
          <w:b/>
          <w:i/>
        </w:rPr>
        <w:t xml:space="preserve">Aotearoa </w:t>
      </w:r>
      <w:r w:rsidRPr="009F301E">
        <w:rPr>
          <w:b/>
          <w:i/>
        </w:rPr>
        <w:t>New Zealand</w:t>
      </w:r>
    </w:p>
    <w:p w14:paraId="64C175BD" w14:textId="622BC8DC" w:rsidR="00065EA2" w:rsidRDefault="00AB403D" w:rsidP="00A22B9A">
      <w:r>
        <w:t>New Zealand is an illuminating site in which to explore the interplay between arguments for and against raising the incomes of low-paid workers.</w:t>
      </w:r>
      <w:r w:rsidR="001F6E7A">
        <w:t xml:space="preserve"> </w:t>
      </w:r>
      <w:r>
        <w:t xml:space="preserve"> </w:t>
      </w:r>
      <w:r w:rsidR="00665CFA">
        <w:t xml:space="preserve">Inequality increased rapidly in the </w:t>
      </w:r>
      <w:r w:rsidR="00665CFA">
        <w:lastRenderedPageBreak/>
        <w:t xml:space="preserve">decade after the </w:t>
      </w:r>
      <w:r>
        <w:t xml:space="preserve">country implemented a rapid and rigorous programme of economic </w:t>
      </w:r>
      <w:r w:rsidRPr="009C09D6">
        <w:t>liberalisation</w:t>
      </w:r>
      <w:r>
        <w:t xml:space="preserve"> in the mid-1980s, with incomes at the top of the distribution rising as those at the bottom stagnated </w:t>
      </w:r>
      <w:r>
        <w:rPr>
          <w:noProof/>
        </w:rPr>
        <w:t>(OECD, 2011; Perry, 201</w:t>
      </w:r>
      <w:r w:rsidR="007E3B83">
        <w:rPr>
          <w:noProof/>
        </w:rPr>
        <w:t>5</w:t>
      </w:r>
      <w:r>
        <w:rPr>
          <w:noProof/>
        </w:rPr>
        <w:t>)</w:t>
      </w:r>
      <w:r w:rsidRPr="009C09D6">
        <w:t>.</w:t>
      </w:r>
      <w:r w:rsidR="00665CFA">
        <w:t xml:space="preserve"> While New Zealand does not experience the extreme concentration of wealth witnessed in, for example, the United States (</w:t>
      </w:r>
      <w:r w:rsidR="00D16A21">
        <w:t>Piketty &amp; Saez, 2006</w:t>
      </w:r>
      <w:r w:rsidR="00665CFA">
        <w:t>), the years since 1990 have seen the emergence</w:t>
      </w:r>
      <w:r w:rsidR="00665CFA" w:rsidRPr="00FC6DC6">
        <w:t xml:space="preserve"> of the category of the </w:t>
      </w:r>
      <w:r w:rsidR="00542479">
        <w:t>“</w:t>
      </w:r>
      <w:r w:rsidR="00665CFA" w:rsidRPr="00FC6DC6">
        <w:t>working poor</w:t>
      </w:r>
      <w:r w:rsidR="00542479">
        <w:t>”</w:t>
      </w:r>
      <w:r w:rsidR="00E90E9F">
        <w:t>.  O</w:t>
      </w:r>
      <w:r w:rsidR="00665CFA">
        <w:t>fficial reports show that 40% of children</w:t>
      </w:r>
      <w:r w:rsidR="00665CFA" w:rsidRPr="00FC6DC6">
        <w:t xml:space="preserve"> in poverty</w:t>
      </w:r>
      <w:r w:rsidR="00665CFA">
        <w:t xml:space="preserve"> live in </w:t>
      </w:r>
      <w:r w:rsidR="00665CFA" w:rsidRPr="00FC6DC6">
        <w:t>a household</w:t>
      </w:r>
      <w:r w:rsidR="00665CFA">
        <w:t xml:space="preserve"> where </w:t>
      </w:r>
      <w:r w:rsidR="00665CFA" w:rsidRPr="00FC6DC6">
        <w:t xml:space="preserve">at least one adult </w:t>
      </w:r>
      <w:r w:rsidR="00665CFA">
        <w:t>is working full-time (</w:t>
      </w:r>
      <w:r w:rsidR="00665CFA" w:rsidRPr="00FC6DC6">
        <w:t>Perry, 201</w:t>
      </w:r>
      <w:r w:rsidR="00665CFA">
        <w:t>5</w:t>
      </w:r>
      <w:r w:rsidR="00665CFA" w:rsidRPr="00FC6DC6">
        <w:t>).</w:t>
      </w:r>
      <w:r w:rsidR="00CA304A">
        <w:t xml:space="preserve"> </w:t>
      </w:r>
      <w:r w:rsidR="00665CFA">
        <w:t xml:space="preserve"> </w:t>
      </w:r>
    </w:p>
    <w:p w14:paraId="57102952" w14:textId="77777777" w:rsidR="00065EA2" w:rsidRDefault="00065EA2" w:rsidP="00A22B9A"/>
    <w:p w14:paraId="72545625" w14:textId="7D3D9FA8" w:rsidR="00AB403D" w:rsidRDefault="00AB403D" w:rsidP="00A22B9A">
      <w:r>
        <w:t xml:space="preserve">The central regulatory institutions of the New Zealand labour market have undergone significant change since the 1980s. </w:t>
      </w:r>
      <w:r w:rsidR="001453AE">
        <w:t xml:space="preserve"> </w:t>
      </w:r>
      <w:r>
        <w:t xml:space="preserve">The Employment Contracts Act (1990) radically reduced the rights and powers of unions, and enshrined an </w:t>
      </w:r>
      <w:r w:rsidRPr="00AF5C0A">
        <w:t xml:space="preserve">individualistic vision of </w:t>
      </w:r>
      <w:r>
        <w:t xml:space="preserve">formally equal, </w:t>
      </w:r>
      <w:r w:rsidRPr="00AF5C0A">
        <w:t>rational actors contracting with one another in the pursuit of their respective interests</w:t>
      </w:r>
      <w:r>
        <w:t xml:space="preserve">. </w:t>
      </w:r>
      <w:r w:rsidR="001453AE">
        <w:t xml:space="preserve"> </w:t>
      </w:r>
      <w:r>
        <w:t xml:space="preserve">While this Act was replaced in 2000 by the Employment Relations Act and its explicit acknowledgment of </w:t>
      </w:r>
      <w:r w:rsidRPr="00AA1D7A">
        <w:t xml:space="preserve">the </w:t>
      </w:r>
      <w:r w:rsidR="001F6E7A">
        <w:t>“</w:t>
      </w:r>
      <w:r w:rsidRPr="007E58C4">
        <w:t>the inherent inequality of power in employment relationships</w:t>
      </w:r>
      <w:r w:rsidR="001F6E7A">
        <w:t>”</w:t>
      </w:r>
      <w:r w:rsidRPr="00AA1D7A">
        <w:t xml:space="preserve"> </w:t>
      </w:r>
      <w:r>
        <w:rPr>
          <w:noProof/>
        </w:rPr>
        <w:t>(New Zealand Legislation, 2015, S.3)</w:t>
      </w:r>
      <w:r>
        <w:t xml:space="preserve"> </w:t>
      </w:r>
      <w:r w:rsidRPr="00AA1D7A">
        <w:t xml:space="preserve">successive amendments </w:t>
      </w:r>
      <w:r>
        <w:t xml:space="preserve">to that Act since </w:t>
      </w:r>
      <w:r w:rsidRPr="00AA1D7A">
        <w:t xml:space="preserve">2008 (and the arguments that have supported them) </w:t>
      </w:r>
      <w:r>
        <w:t xml:space="preserve">have tended </w:t>
      </w:r>
      <w:r w:rsidRPr="00AA1D7A">
        <w:t>towards greater flexibility for employers, and fewer statutory rights for workers</w:t>
      </w:r>
      <w:r>
        <w:t xml:space="preserve"> </w:t>
      </w:r>
      <w:r>
        <w:rPr>
          <w:noProof/>
        </w:rPr>
        <w:t>(Rasmussen, Fletcher, &amp; Hannam, 2014)</w:t>
      </w:r>
      <w:r w:rsidRPr="00AA1D7A">
        <w:t>.</w:t>
      </w:r>
    </w:p>
    <w:p w14:paraId="54FA8F56" w14:textId="77777777" w:rsidR="00AB403D" w:rsidRDefault="00AB403D" w:rsidP="00A22B9A"/>
    <w:p w14:paraId="4B047094" w14:textId="2697D4E9" w:rsidR="00665CFA" w:rsidRDefault="00065EA2" w:rsidP="00A22B9A">
      <w:r>
        <w:t xml:space="preserve">Given </w:t>
      </w:r>
      <w:r w:rsidRPr="00FC6DC6">
        <w:t xml:space="preserve">that </w:t>
      </w:r>
      <w:r>
        <w:t xml:space="preserve">the </w:t>
      </w:r>
      <w:r w:rsidRPr="00FC6DC6">
        <w:t>working poor appear to escape the stigma att</w:t>
      </w:r>
      <w:r>
        <w:t>ached to “something-for-nothing”</w:t>
      </w:r>
      <w:r w:rsidRPr="00FC6DC6">
        <w:t xml:space="preserve"> beneficiaries</w:t>
      </w:r>
      <w:r>
        <w:t xml:space="preserve">, strong </w:t>
      </w:r>
      <w:r w:rsidRPr="00FC6DC6">
        <w:t xml:space="preserve">public support </w:t>
      </w:r>
      <w:r>
        <w:t xml:space="preserve">for increasing the wages of the low-paid </w:t>
      </w:r>
      <w:r>
        <w:rPr>
          <w:rFonts w:cs="Times New Roman"/>
        </w:rPr>
        <w:t>(Neal, Govan, Norton &amp; Ariely, 2011; Skilling, 2014)</w:t>
      </w:r>
      <w:r>
        <w:t xml:space="preserve">, and that living wage campaigns have enjoyed some success overseas, living wage advocates in New Zealand have some useful discursive resources on which to draw. </w:t>
      </w:r>
      <w:r w:rsidR="001453AE">
        <w:t xml:space="preserve"> </w:t>
      </w:r>
      <w:r>
        <w:t>When living wage advocates launched their campaign in New Zealand, however, they faced an unpromising political environment.  Existing institutional settings were supported by – indeed, had been constructed by – a stable centre-right government.</w:t>
      </w:r>
      <w:r>
        <w:rPr>
          <w:rStyle w:val="EndnoteReference"/>
        </w:rPr>
        <w:endnoteReference w:id="4"/>
      </w:r>
      <w:r>
        <w:t xml:space="preserve">  </w:t>
      </w:r>
      <w:r w:rsidR="00AB0248">
        <w:t xml:space="preserve">Responding to a situation in which </w:t>
      </w:r>
      <w:r w:rsidR="00542479">
        <w:t>“</w:t>
      </w:r>
      <w:r w:rsidR="00AB0248" w:rsidRPr="001E0822">
        <w:t xml:space="preserve">their old methods of </w:t>
      </w:r>
      <w:r w:rsidR="00AB0248" w:rsidRPr="00555B1D">
        <w:t>negotiating wages no longer work</w:t>
      </w:r>
      <w:r w:rsidR="00542479">
        <w:t>”</w:t>
      </w:r>
      <w:r w:rsidR="00AB0248" w:rsidRPr="00555B1D">
        <w:t xml:space="preserve"> (Shuttleworth, Tan &amp; Collins, 2013</w:t>
      </w:r>
      <w:r w:rsidR="00542479">
        <w:t>;</w:t>
      </w:r>
      <w:r w:rsidR="00AB0248" w:rsidRPr="00555B1D">
        <w:t xml:space="preserve"> Newman, 2014) unions and other groups established a new movement – Living Wage Aotearoa </w:t>
      </w:r>
      <w:r w:rsidR="00542479">
        <w:t xml:space="preserve">(LWA) </w:t>
      </w:r>
      <w:r w:rsidR="00AB0248" w:rsidRPr="00555B1D">
        <w:t xml:space="preserve">– in 2012 as a coalition of </w:t>
      </w:r>
      <w:r w:rsidR="00AB0248" w:rsidRPr="00D83A96">
        <w:t xml:space="preserve">organisations committed to the principle that </w:t>
      </w:r>
      <w:r w:rsidR="00542479">
        <w:t>“</w:t>
      </w:r>
      <w:r w:rsidR="00AB0248" w:rsidRPr="00D83A96">
        <w:t>work should lift you out of poverty, not keep you there</w:t>
      </w:r>
      <w:r w:rsidR="00542479">
        <w:t>”</w:t>
      </w:r>
      <w:r w:rsidR="00AB0248" w:rsidRPr="00D83A96">
        <w:t xml:space="preserve"> (LWA, 201</w:t>
      </w:r>
      <w:r w:rsidR="00E46098">
        <w:t>2</w:t>
      </w:r>
      <w:r w:rsidR="00577F3D">
        <w:t>b</w:t>
      </w:r>
      <w:r w:rsidR="00AB0248" w:rsidRPr="00D83A96">
        <w:t xml:space="preserve">). </w:t>
      </w:r>
      <w:r w:rsidR="00542479">
        <w:t xml:space="preserve"> </w:t>
      </w:r>
      <w:r w:rsidR="0076286C">
        <w:t>LWA strategically by-passes</w:t>
      </w:r>
      <w:r w:rsidR="00AB0248" w:rsidRPr="00D83A96">
        <w:t xml:space="preserve"> traditional political and regulatory channels. </w:t>
      </w:r>
      <w:r w:rsidR="00542479">
        <w:t xml:space="preserve"> </w:t>
      </w:r>
      <w:r w:rsidR="00AB0248" w:rsidRPr="00D83A96">
        <w:t>Instead</w:t>
      </w:r>
      <w:r w:rsidR="0076286C">
        <w:t>, it appeals</w:t>
      </w:r>
      <w:r w:rsidR="00AB0248">
        <w:t xml:space="preserve"> directly to wage-paying organisations, asking them to commit to paying a living wage, and also to the public, asking them to support living wage employers.</w:t>
      </w:r>
      <w:r w:rsidR="00542479">
        <w:t xml:space="preserve"> </w:t>
      </w:r>
      <w:r w:rsidR="00AB0248">
        <w:t xml:space="preserve"> </w:t>
      </w:r>
      <w:r w:rsidR="00665CFA">
        <w:t>T</w:t>
      </w:r>
      <w:r w:rsidR="00665CFA" w:rsidRPr="00FC6DC6">
        <w:t xml:space="preserve">he </w:t>
      </w:r>
      <w:r w:rsidR="0076286C">
        <w:t>living wage i</w:t>
      </w:r>
      <w:r w:rsidR="00665CFA">
        <w:t>s</w:t>
      </w:r>
      <w:r w:rsidR="00665CFA" w:rsidRPr="00FC6DC6">
        <w:t xml:space="preserve"> proposed </w:t>
      </w:r>
      <w:r w:rsidR="00665CFA">
        <w:t xml:space="preserve">not as </w:t>
      </w:r>
      <w:r w:rsidR="00665CFA" w:rsidRPr="00FC6DC6">
        <w:t>a</w:t>
      </w:r>
      <w:r w:rsidR="007C2CE0">
        <w:t xml:space="preserve">n </w:t>
      </w:r>
      <w:r w:rsidR="00665CFA" w:rsidRPr="00FC6DC6">
        <w:t xml:space="preserve">increase </w:t>
      </w:r>
      <w:r w:rsidR="007C2CE0">
        <w:t>to</w:t>
      </w:r>
      <w:r w:rsidR="007C2CE0" w:rsidRPr="00FC6DC6">
        <w:t xml:space="preserve"> </w:t>
      </w:r>
      <w:r w:rsidR="00665CFA" w:rsidRPr="00FC6DC6">
        <w:t>the statutory minimum wage</w:t>
      </w:r>
      <w:r w:rsidR="00665CFA">
        <w:t xml:space="preserve">, but </w:t>
      </w:r>
      <w:r w:rsidR="00665CFA" w:rsidRPr="00FC6DC6">
        <w:t xml:space="preserve">as a </w:t>
      </w:r>
      <w:r w:rsidR="00665CFA" w:rsidRPr="00FC6DC6">
        <w:lastRenderedPageBreak/>
        <w:t xml:space="preserve">voluntary response by those </w:t>
      </w:r>
      <w:r w:rsidR="00665CFA">
        <w:t>wage-paying organisations “</w:t>
      </w:r>
      <w:r w:rsidR="00665CFA" w:rsidRPr="00FC6DC6">
        <w:t xml:space="preserve">who can afford to </w:t>
      </w:r>
      <w:r w:rsidR="00345510">
        <w:t>pay</w:t>
      </w:r>
      <w:r w:rsidR="00665CFA">
        <w:t>” (LWA, 201</w:t>
      </w:r>
      <w:r w:rsidR="00345510">
        <w:t>2</w:t>
      </w:r>
      <w:r w:rsidR="00577F3D">
        <w:t>c</w:t>
      </w:r>
      <w:r w:rsidR="00665CFA">
        <w:t>).</w:t>
      </w:r>
    </w:p>
    <w:p w14:paraId="1DD9CEE5" w14:textId="77777777" w:rsidR="0094623F" w:rsidRDefault="0094623F" w:rsidP="00A22B9A"/>
    <w:p w14:paraId="6641B06B" w14:textId="03517C7E" w:rsidR="00665CFA" w:rsidRPr="00345B1A" w:rsidRDefault="00665CFA" w:rsidP="00A22B9A">
      <w:pPr>
        <w:rPr>
          <w:b/>
          <w:i/>
        </w:rPr>
      </w:pPr>
      <w:r w:rsidRPr="00345B1A">
        <w:rPr>
          <w:b/>
          <w:i/>
        </w:rPr>
        <w:t>Methods and Data</w:t>
      </w:r>
    </w:p>
    <w:p w14:paraId="2EADE752" w14:textId="20DD70DD" w:rsidR="00665CFA" w:rsidRDefault="00542479" w:rsidP="00515F88">
      <w:r>
        <w:t>We approach t</w:t>
      </w:r>
      <w:r w:rsidR="00665CFA" w:rsidRPr="00FC6DC6">
        <w:t xml:space="preserve">he </w:t>
      </w:r>
      <w:r w:rsidR="00665CFA">
        <w:t>debate over a living wage</w:t>
      </w:r>
      <w:r w:rsidR="00665CFA" w:rsidRPr="00FC6DC6">
        <w:t xml:space="preserve"> in New Zealand (constituted in the public statements of groups supportive of</w:t>
      </w:r>
      <w:r w:rsidR="00211258">
        <w:t>,</w:t>
      </w:r>
      <w:r w:rsidR="00665CFA" w:rsidRPr="00FC6DC6">
        <w:t xml:space="preserve"> and opposed to</w:t>
      </w:r>
      <w:r w:rsidR="00211258">
        <w:t>,</w:t>
      </w:r>
      <w:r w:rsidR="00665CFA" w:rsidRPr="00FC6DC6">
        <w:t xml:space="preserve"> </w:t>
      </w:r>
      <w:r w:rsidR="00665CFA">
        <w:t>calls for a living wage</w:t>
      </w:r>
      <w:r w:rsidR="00665CFA" w:rsidRPr="00FC6DC6">
        <w:t>)</w:t>
      </w:r>
      <w:r>
        <w:t xml:space="preserve"> </w:t>
      </w:r>
      <w:r w:rsidR="00665CFA" w:rsidRPr="00FC6DC6">
        <w:t>as a single case study</w:t>
      </w:r>
      <w:r w:rsidR="00665CFA">
        <w:t xml:space="preserve">. </w:t>
      </w:r>
      <w:r>
        <w:t xml:space="preserve"> </w:t>
      </w:r>
      <w:r w:rsidR="00665CFA">
        <w:t>On the one side,</w:t>
      </w:r>
      <w:r w:rsidR="00665CFA" w:rsidRPr="00FC6DC6">
        <w:t xml:space="preserve"> LWA</w:t>
      </w:r>
      <w:r w:rsidR="00665CFA">
        <w:t xml:space="preserve">, its member organisations </w:t>
      </w:r>
      <w:r w:rsidR="00665CFA" w:rsidRPr="00FC6DC6">
        <w:t xml:space="preserve">and its supporters </w:t>
      </w:r>
      <w:r w:rsidR="00665CFA">
        <w:t xml:space="preserve">offer </w:t>
      </w:r>
      <w:r w:rsidR="00665CFA" w:rsidRPr="00FC6DC6">
        <w:t xml:space="preserve">a critique of </w:t>
      </w:r>
      <w:r w:rsidR="00665CFA">
        <w:t xml:space="preserve">the consequences of existing low-wage </w:t>
      </w:r>
      <w:r w:rsidR="00736C84">
        <w:t>practices</w:t>
      </w:r>
      <w:r w:rsidR="00665CFA">
        <w:t>, and</w:t>
      </w:r>
      <w:r w:rsidR="00665CFA" w:rsidRPr="00FC6DC6">
        <w:t xml:space="preserve"> propose the</w:t>
      </w:r>
      <w:r w:rsidR="00665CFA">
        <w:t xml:space="preserve"> living wage </w:t>
      </w:r>
      <w:r w:rsidR="00665CFA" w:rsidRPr="00FC6DC6">
        <w:t xml:space="preserve">as </w:t>
      </w:r>
      <w:r w:rsidR="00665CFA">
        <w:t>a response</w:t>
      </w:r>
      <w:r w:rsidR="00665CFA" w:rsidRPr="00FC6DC6">
        <w:t xml:space="preserve">. </w:t>
      </w:r>
      <w:r>
        <w:t xml:space="preserve"> </w:t>
      </w:r>
      <w:r w:rsidR="00665CFA">
        <w:t xml:space="preserve">On the other side, business lobby groups and their supporters </w:t>
      </w:r>
      <w:r w:rsidR="00665CFA" w:rsidRPr="00FC6DC6">
        <w:t xml:space="preserve">offer a </w:t>
      </w:r>
      <w:r w:rsidR="00665CFA">
        <w:t xml:space="preserve">critique of the living wage proposal, and a </w:t>
      </w:r>
      <w:r w:rsidR="00665CFA" w:rsidRPr="00FC6DC6">
        <w:t>justification of the status quo</w:t>
      </w:r>
      <w:r w:rsidR="00665CFA">
        <w:t>.</w:t>
      </w:r>
      <w:r w:rsidR="00665CFA" w:rsidRPr="00FC6DC6">
        <w:t xml:space="preserve"> </w:t>
      </w:r>
      <w:r>
        <w:t xml:space="preserve"> </w:t>
      </w:r>
      <w:r w:rsidR="00665CFA">
        <w:t xml:space="preserve">In looking at business lobby groups, we focus on the two largest and most nationally representative organisations: Business New Zealand (BNZ) and the Employers and Manufacturers Association (EMA).  In addition to the organisations directly involved in the dispute, a range of voices allied with these two </w:t>
      </w:r>
      <w:r>
        <w:t>“</w:t>
      </w:r>
      <w:r w:rsidR="00665CFA">
        <w:t>sides</w:t>
      </w:r>
      <w:r>
        <w:t>”</w:t>
      </w:r>
      <w:r w:rsidR="00665CFA">
        <w:t xml:space="preserve"> of the debate - including politicians, academics and media personalities - are included in our analysis.</w:t>
      </w:r>
      <w:r w:rsidR="008D4CD1">
        <w:t xml:space="preserve"> We</w:t>
      </w:r>
      <w:r w:rsidR="00665CFA">
        <w:t xml:space="preserve"> restrict our attention to the </w:t>
      </w:r>
      <w:r w:rsidR="000541C8">
        <w:t>two</w:t>
      </w:r>
      <w:r w:rsidR="00665CFA">
        <w:t xml:space="preserve">-year time period from May 2012 to May 2014. </w:t>
      </w:r>
      <w:r>
        <w:t xml:space="preserve"> </w:t>
      </w:r>
      <w:r w:rsidR="00665CFA">
        <w:t xml:space="preserve">Figure 1 provides </w:t>
      </w:r>
      <w:r>
        <w:t>the</w:t>
      </w:r>
      <w:r w:rsidR="00665CFA">
        <w:t xml:space="preserve"> rationale for this </w:t>
      </w:r>
      <w:r w:rsidR="008D4CD1">
        <w:t xml:space="preserve">temporal </w:t>
      </w:r>
      <w:r w:rsidR="00665CFA">
        <w:t xml:space="preserve">focus </w:t>
      </w:r>
      <w:r w:rsidR="008D4CD1">
        <w:t xml:space="preserve">by </w:t>
      </w:r>
      <w:r w:rsidR="00665CFA">
        <w:t>showing the sudden spike in public attention to the living wage concept after the official launch of Living Wage Aotearoa (LWA) in May 2012.</w:t>
      </w:r>
      <w:r w:rsidR="00F35A8C">
        <w:rPr>
          <w:rStyle w:val="EndnoteReference"/>
        </w:rPr>
        <w:endnoteReference w:id="5"/>
      </w:r>
    </w:p>
    <w:p w14:paraId="60900C01" w14:textId="77777777" w:rsidR="00665CFA" w:rsidRDefault="00665CFA" w:rsidP="00A22B9A"/>
    <w:p w14:paraId="09C996AF" w14:textId="15A6801C" w:rsidR="00226F61" w:rsidRPr="00226F61" w:rsidRDefault="00226F61" w:rsidP="00A22B9A">
      <w:pPr>
        <w:rPr>
          <w:b/>
        </w:rPr>
      </w:pPr>
      <w:r>
        <w:rPr>
          <w:b/>
        </w:rPr>
        <w:t>[Figure 1 about here]</w:t>
      </w:r>
    </w:p>
    <w:p w14:paraId="6BAF55A5" w14:textId="77777777" w:rsidR="00665CFA" w:rsidRDefault="00665CFA" w:rsidP="00A22B9A">
      <w:pPr>
        <w:spacing w:after="160" w:line="259" w:lineRule="auto"/>
        <w:rPr>
          <w:rFonts w:ascii="Calibri" w:eastAsia="Times New Roman" w:hAnsi="Calibri"/>
          <w:color w:val="000000"/>
          <w:sz w:val="20"/>
          <w:szCs w:val="20"/>
        </w:rPr>
      </w:pPr>
    </w:p>
    <w:p w14:paraId="4075954D" w14:textId="6A3F88F4" w:rsidR="00665CFA" w:rsidRDefault="00665CFA" w:rsidP="00A22B9A">
      <w:r>
        <w:t xml:space="preserve">Within this timeframe, we collected a comprehensive range of data from multiple sources to capture multiple aspects of the debate. </w:t>
      </w:r>
      <w:r w:rsidR="001C57A6">
        <w:t xml:space="preserve"> </w:t>
      </w:r>
      <w:r>
        <w:t>Our data for analysis</w:t>
      </w:r>
      <w:r w:rsidR="00542479">
        <w:t>, however,</w:t>
      </w:r>
      <w:r>
        <w:t xml:space="preserve"> draw</w:t>
      </w:r>
      <w:r w:rsidR="00542479">
        <w:t>s</w:t>
      </w:r>
      <w:r>
        <w:t xml:space="preserve"> from three main sources. </w:t>
      </w:r>
      <w:r w:rsidR="00542479">
        <w:t xml:space="preserve"> </w:t>
      </w:r>
      <w:r>
        <w:t xml:space="preserve">Our first source </w:t>
      </w:r>
      <w:r w:rsidR="00542479">
        <w:t>i</w:t>
      </w:r>
      <w:r>
        <w:t>s the public statements</w:t>
      </w:r>
      <w:r w:rsidRPr="00FC6DC6">
        <w:t xml:space="preserve"> (web-pages, press releases, speeches, reports and submissions) of </w:t>
      </w:r>
      <w:r>
        <w:t>parties to the</w:t>
      </w:r>
      <w:r w:rsidRPr="00FC6DC6">
        <w:t xml:space="preserve"> disput</w:t>
      </w:r>
      <w:r>
        <w:t>e: 63</w:t>
      </w:r>
      <w:r w:rsidRPr="00FC6DC6">
        <w:t xml:space="preserve"> pieces</w:t>
      </w:r>
      <w:r>
        <w:t xml:space="preserve"> of data in total. </w:t>
      </w:r>
      <w:r w:rsidR="00542479">
        <w:t xml:space="preserve"> </w:t>
      </w:r>
      <w:r>
        <w:t xml:space="preserve">Our second </w:t>
      </w:r>
      <w:r w:rsidR="00D74DC7">
        <w:t xml:space="preserve">data </w:t>
      </w:r>
      <w:r>
        <w:t xml:space="preserve">source </w:t>
      </w:r>
      <w:r w:rsidR="00542479">
        <w:t>i</w:t>
      </w:r>
      <w:r>
        <w:t xml:space="preserve">s parliamentary </w:t>
      </w:r>
      <w:r w:rsidRPr="00FC6DC6">
        <w:t>debates.</w:t>
      </w:r>
      <w:r w:rsidR="001C57A6">
        <w:t xml:space="preserve"> </w:t>
      </w:r>
      <w:r w:rsidRPr="00FC6DC6">
        <w:t xml:space="preserve"> </w:t>
      </w:r>
      <w:r>
        <w:t>We s</w:t>
      </w:r>
      <w:r w:rsidRPr="00FC6DC6">
        <w:t>earched the online record of New Zealand Parliament</w:t>
      </w:r>
      <w:r>
        <w:t>ary Debates (Hansard</w:t>
      </w:r>
      <w:r w:rsidRPr="00FC6DC6">
        <w:t xml:space="preserve">) for references to the phrase </w:t>
      </w:r>
      <w:r>
        <w:t>“</w:t>
      </w:r>
      <w:r w:rsidRPr="00FC6DC6">
        <w:t>living wage</w:t>
      </w:r>
      <w:r>
        <w:t>”</w:t>
      </w:r>
      <w:r w:rsidRPr="00FC6DC6">
        <w:t xml:space="preserve"> </w:t>
      </w:r>
      <w:r>
        <w:t>in our chosen time period (</w:t>
      </w:r>
      <w:r w:rsidR="00542479">
        <w:t xml:space="preserve">identifying </w:t>
      </w:r>
      <w:r>
        <w:t xml:space="preserve">62 speeches) and include those that contained an explicit argument </w:t>
      </w:r>
      <w:r w:rsidR="00542479">
        <w:t>(</w:t>
      </w:r>
      <w:r>
        <w:t>28 speeches</w:t>
      </w:r>
      <w:r w:rsidR="00542479">
        <w:t>)</w:t>
      </w:r>
      <w:r w:rsidRPr="00FC6DC6">
        <w:t>.</w:t>
      </w:r>
      <w:r>
        <w:t xml:space="preserve"> </w:t>
      </w:r>
      <w:r w:rsidR="00542479">
        <w:t xml:space="preserve"> </w:t>
      </w:r>
      <w:r>
        <w:t xml:space="preserve">Our third data source </w:t>
      </w:r>
      <w:r w:rsidR="00542479">
        <w:t>i</w:t>
      </w:r>
      <w:r>
        <w:t>s m</w:t>
      </w:r>
      <w:r w:rsidRPr="00FC6DC6">
        <w:t>edia commentary</w:t>
      </w:r>
      <w:r>
        <w:t xml:space="preserve"> on the living wage debates. </w:t>
      </w:r>
      <w:r w:rsidR="00542479">
        <w:t xml:space="preserve"> </w:t>
      </w:r>
      <w:r>
        <w:t>Based on a comprehensive search of media coverage of the dispute, we identified and analyse</w:t>
      </w:r>
      <w:r w:rsidR="00A762B3">
        <w:t>d</w:t>
      </w:r>
      <w:r>
        <w:t xml:space="preserve"> the articles and editorials that contained an explicit argument for and/or against the living wage: 19 articles and editorials in total.</w:t>
      </w:r>
      <w:r w:rsidR="001C57A6">
        <w:t xml:space="preserve"> </w:t>
      </w:r>
      <w:r>
        <w:t xml:space="preserve"> Clearly there were many more news articles about the living wage. </w:t>
      </w:r>
      <w:r w:rsidR="00542479">
        <w:t xml:space="preserve"> </w:t>
      </w:r>
      <w:r>
        <w:t xml:space="preserve">In the </w:t>
      </w:r>
      <w:r w:rsidRPr="00A41F71">
        <w:rPr>
          <w:i/>
        </w:rPr>
        <w:t>New Zealand Herald</w:t>
      </w:r>
      <w:r>
        <w:t xml:space="preserve"> (</w:t>
      </w:r>
      <w:r w:rsidRPr="00FC6DC6">
        <w:t xml:space="preserve">New Zealand’s </w:t>
      </w:r>
      <w:r w:rsidRPr="00A41F71">
        <w:rPr>
          <w:i/>
        </w:rPr>
        <w:t xml:space="preserve">de facto </w:t>
      </w:r>
      <w:r w:rsidRPr="00FC6DC6">
        <w:t xml:space="preserve">paper of record) </w:t>
      </w:r>
      <w:r>
        <w:lastRenderedPageBreak/>
        <w:t xml:space="preserve">alone, there were 232 articles in our selected time period that included the phrase “living wage”. </w:t>
      </w:r>
      <w:r w:rsidR="00892C84">
        <w:t xml:space="preserve"> However, t</w:t>
      </w:r>
      <w:r>
        <w:t xml:space="preserve">he vast bulk of these reported only on whether certain actors opposed or supported the proposal, and a surprisingly small number of texts contained a </w:t>
      </w:r>
      <w:r w:rsidR="00624BBB">
        <w:t xml:space="preserve">clear </w:t>
      </w:r>
      <w:r>
        <w:t>argument either way</w:t>
      </w:r>
      <w:r w:rsidRPr="00FC6DC6">
        <w:t>.</w:t>
      </w:r>
    </w:p>
    <w:p w14:paraId="79ED7646" w14:textId="77777777" w:rsidR="00665CFA" w:rsidRDefault="00665CFA" w:rsidP="00A22B9A"/>
    <w:p w14:paraId="25DF4A53" w14:textId="5B222FDF" w:rsidR="00665CFA" w:rsidRDefault="00665CFA" w:rsidP="00A22B9A">
      <w:r>
        <w:t>While we read a wide range of additional data sources (</w:t>
      </w:r>
      <w:r w:rsidR="00D74DC7">
        <w:t>e.g.</w:t>
      </w:r>
      <w:r>
        <w:t xml:space="preserve"> submissions or reports on minimum wage rates, youth rates</w:t>
      </w:r>
      <w:r w:rsidR="00542479">
        <w:t>,</w:t>
      </w:r>
      <w:r>
        <w:t xml:space="preserve"> perspectives on taxation, child poverty and welfare) for essential context, our systematic content analysis was restricted to these 110 pieces of data. </w:t>
      </w:r>
      <w:r w:rsidRPr="000C5BD8">
        <w:t xml:space="preserve">The </w:t>
      </w:r>
      <w:r w:rsidR="00D74DC7">
        <w:t xml:space="preserve">data </w:t>
      </w:r>
      <w:r w:rsidRPr="000C5BD8">
        <w:t xml:space="preserve">sources </w:t>
      </w:r>
      <w:r>
        <w:t>are summarised in Table 2</w:t>
      </w:r>
      <w:r w:rsidRPr="000C5BD8">
        <w:t>.</w:t>
      </w:r>
      <w:r>
        <w:t xml:space="preserve"> </w:t>
      </w:r>
      <w:r w:rsidR="00542479">
        <w:t xml:space="preserve"> </w:t>
      </w:r>
      <w:r>
        <w:t xml:space="preserve">Since we are interested </w:t>
      </w:r>
      <w:r w:rsidRPr="00FC6DC6">
        <w:t xml:space="preserve">in the living wage </w:t>
      </w:r>
      <w:r w:rsidRPr="00A41F71">
        <w:t>debate as a public dispute</w:t>
      </w:r>
      <w:r>
        <w:t xml:space="preserve">, our data selection criteria focuses on how actors on both sides of the dispute </w:t>
      </w:r>
      <w:r w:rsidR="00624BBB">
        <w:t xml:space="preserve">made </w:t>
      </w:r>
      <w:r>
        <w:t>their arguments</w:t>
      </w:r>
      <w:r w:rsidRPr="00A41F71">
        <w:t xml:space="preserve"> </w:t>
      </w:r>
      <w:r>
        <w:t>t</w:t>
      </w:r>
      <w:r w:rsidRPr="00FC6DC6">
        <w:t xml:space="preserve">o </w:t>
      </w:r>
      <w:r>
        <w:t xml:space="preserve">a </w:t>
      </w:r>
      <w:r w:rsidRPr="00FC6DC6">
        <w:t>public audience.</w:t>
      </w:r>
      <w:r w:rsidR="00542479">
        <w:t xml:space="preserve"> </w:t>
      </w:r>
      <w:r>
        <w:t xml:space="preserve"> Given this focus, w</w:t>
      </w:r>
      <w:r w:rsidRPr="00FC6DC6">
        <w:t>e do not report here on internal documents or communication</w:t>
      </w:r>
      <w:r>
        <w:t>s</w:t>
      </w:r>
      <w:r w:rsidRPr="00FC6DC6">
        <w:t>.</w:t>
      </w:r>
    </w:p>
    <w:p w14:paraId="02332567" w14:textId="77777777" w:rsidR="00665CFA" w:rsidRDefault="00665CFA" w:rsidP="00A22B9A"/>
    <w:p w14:paraId="7F2E8C53" w14:textId="27200CC0" w:rsidR="00665CFA" w:rsidRPr="00226F61" w:rsidRDefault="00226F61" w:rsidP="00A22B9A">
      <w:pPr>
        <w:rPr>
          <w:b/>
        </w:rPr>
      </w:pPr>
      <w:r w:rsidRPr="00226F61">
        <w:rPr>
          <w:b/>
        </w:rPr>
        <w:t>[Table 2 about here]</w:t>
      </w:r>
    </w:p>
    <w:p w14:paraId="0DB6DAE5" w14:textId="77777777" w:rsidR="00665CFA" w:rsidRDefault="00665CFA" w:rsidP="00A22B9A"/>
    <w:p w14:paraId="3AF833D2" w14:textId="3B4B7239" w:rsidR="00665CFA" w:rsidRDefault="00665CFA" w:rsidP="00A22B9A">
      <w:r w:rsidRPr="00FC6DC6">
        <w:t xml:space="preserve">The data selected for analysis, as can be seen </w:t>
      </w:r>
      <w:r w:rsidR="0078457F">
        <w:t>in Table 2</w:t>
      </w:r>
      <w:r w:rsidRPr="00FC6DC6">
        <w:t>, is asymmetrical in nature</w:t>
      </w:r>
      <w:r>
        <w:t>, with arguments for the living wage heavily outnumbering arguments against it</w:t>
      </w:r>
      <w:r w:rsidRPr="00FC6DC6">
        <w:t>.</w:t>
      </w:r>
      <w:r>
        <w:t xml:space="preserve"> </w:t>
      </w:r>
      <w:r w:rsidR="00542479">
        <w:t xml:space="preserve"> </w:t>
      </w:r>
      <w:r>
        <w:t>This asymmetry is</w:t>
      </w:r>
      <w:r w:rsidRPr="00FC6DC6">
        <w:t xml:space="preserve"> inherent in the nature of the issue and the structure of the dispute.</w:t>
      </w:r>
      <w:r>
        <w:t xml:space="preserve"> </w:t>
      </w:r>
      <w:r w:rsidR="00542479">
        <w:t xml:space="preserve"> </w:t>
      </w:r>
      <w:r>
        <w:t xml:space="preserve">LWA </w:t>
      </w:r>
      <w:r w:rsidRPr="00FC6DC6">
        <w:t>was the main protagonist</w:t>
      </w:r>
      <w:r>
        <w:t xml:space="preserve"> in this case, seeking </w:t>
      </w:r>
      <w:r w:rsidRPr="00FC6DC6">
        <w:t>to disrupt a well-established status quo</w:t>
      </w:r>
      <w:r>
        <w:t xml:space="preserve">. </w:t>
      </w:r>
      <w:r w:rsidR="00542479">
        <w:t xml:space="preserve"> </w:t>
      </w:r>
      <w:r w:rsidRPr="00FC6DC6">
        <w:t xml:space="preserve">On the other side, </w:t>
      </w:r>
      <w:r>
        <w:t>making an explicit public defence of in-work poverty is potentially unpopular, and some living wage-sceptics</w:t>
      </w:r>
      <w:r w:rsidRPr="00FC6DC6">
        <w:t xml:space="preserve"> appeared to take a wait-and-see appr</w:t>
      </w:r>
      <w:r>
        <w:t xml:space="preserve">oach before entering the debate. </w:t>
      </w:r>
      <w:r w:rsidR="00542479">
        <w:t xml:space="preserve"> </w:t>
      </w:r>
      <w:r>
        <w:t>Figure 2 illustrates the temporal asymmetry across our selected time period</w:t>
      </w:r>
      <w:r w:rsidR="00542479">
        <w:t>.  A</w:t>
      </w:r>
      <w:r>
        <w:t xml:space="preserve">dvocates of the living wage offered a large number of public arguments from May 2012 – </w:t>
      </w:r>
      <w:r w:rsidR="0078457F">
        <w:t xml:space="preserve">March </w:t>
      </w:r>
      <w:r>
        <w:t xml:space="preserve">2013 (with discernible spikes around the official launch of LWA in May 2012, the release of </w:t>
      </w:r>
      <w:r w:rsidR="00211258">
        <w:t>a</w:t>
      </w:r>
      <w:r>
        <w:t xml:space="preserve"> report establishing the official living wage rate of $18.40/hour in August 2012, and the leadership contest within the Labour Party in March 2013)</w:t>
      </w:r>
      <w:r w:rsidR="00542479">
        <w:t xml:space="preserve">.  </w:t>
      </w:r>
      <w:r w:rsidR="009A4F48">
        <w:t>P</w:t>
      </w:r>
      <w:r>
        <w:t>ublic arguments against the living wage</w:t>
      </w:r>
      <w:r w:rsidR="009A4F48">
        <w:t>, however,</w:t>
      </w:r>
      <w:r>
        <w:t xml:space="preserve"> were </w:t>
      </w:r>
      <w:r w:rsidR="0078457F">
        <w:t xml:space="preserve">relatively </w:t>
      </w:r>
      <w:r>
        <w:t>few in number until the second half of 2013.</w:t>
      </w:r>
    </w:p>
    <w:p w14:paraId="5EE8D4B5" w14:textId="77777777" w:rsidR="00665CFA" w:rsidRDefault="00665CFA" w:rsidP="00A22B9A"/>
    <w:p w14:paraId="17973CF9" w14:textId="200AD541" w:rsidR="00226F61" w:rsidRPr="00226F61" w:rsidRDefault="00226F61" w:rsidP="00A22B9A">
      <w:pPr>
        <w:rPr>
          <w:b/>
        </w:rPr>
      </w:pPr>
      <w:r w:rsidRPr="00226F61">
        <w:rPr>
          <w:b/>
        </w:rPr>
        <w:t>[Figure 2 about here]</w:t>
      </w:r>
    </w:p>
    <w:p w14:paraId="59F7C548" w14:textId="77777777" w:rsidR="00665CFA" w:rsidRDefault="00665CFA" w:rsidP="00A22B9A"/>
    <w:p w14:paraId="370FC329" w14:textId="2C84EAB5" w:rsidR="00A828BB" w:rsidRDefault="00665CFA" w:rsidP="00A22B9A">
      <w:r>
        <w:t>In line with Patriotta et al (2011) and Gond et al (2015)</w:t>
      </w:r>
      <w:r w:rsidR="00632A7D">
        <w:t>,</w:t>
      </w:r>
      <w:r>
        <w:t xml:space="preserve"> we subjected the data to a systematic content analysis, where the initial codes were based on Boltanski and Thévenot’s typology of orders of worth. </w:t>
      </w:r>
      <w:r w:rsidR="00F86157">
        <w:t xml:space="preserve"> </w:t>
      </w:r>
      <w:r>
        <w:t>Our analysis of the data</w:t>
      </w:r>
      <w:r w:rsidRPr="00FC6DC6">
        <w:t xml:space="preserve"> was conducted manually to retain maximum </w:t>
      </w:r>
      <w:r w:rsidRPr="00FC6DC6">
        <w:lastRenderedPageBreak/>
        <w:t>sensitivity to actors’ use of language</w:t>
      </w:r>
      <w:r>
        <w:t xml:space="preserve"> and</w:t>
      </w:r>
      <w:r w:rsidRPr="00FC6DC6">
        <w:t xml:space="preserve"> their argumentative strategies.</w:t>
      </w:r>
      <w:r>
        <w:t xml:space="preserve"> </w:t>
      </w:r>
      <w:r w:rsidR="00F86157">
        <w:t xml:space="preserve"> </w:t>
      </w:r>
      <w:r>
        <w:t xml:space="preserve">We approached the task of articulating actors’ statements with specific orders of worth </w:t>
      </w:r>
      <w:r w:rsidRPr="00FC6DC6">
        <w:t>holistically, looking at arguments for or against the</w:t>
      </w:r>
      <w:r>
        <w:t xml:space="preserve"> living wage </w:t>
      </w:r>
      <w:r w:rsidRPr="00FC6DC6">
        <w:t>in terms of their overall logic</w:t>
      </w:r>
      <w:r>
        <w:t xml:space="preserve">. </w:t>
      </w:r>
      <w:r w:rsidR="00F86157">
        <w:t xml:space="preserve"> </w:t>
      </w:r>
      <w:r>
        <w:t xml:space="preserve">Keywords </w:t>
      </w:r>
      <w:r w:rsidRPr="00FC6DC6">
        <w:t xml:space="preserve">derived from Patriotta et al. </w:t>
      </w:r>
      <w:r>
        <w:t xml:space="preserve">(2011) were </w:t>
      </w:r>
      <w:r w:rsidRPr="00FC6DC6">
        <w:t>used a</w:t>
      </w:r>
      <w:r>
        <w:t>s a</w:t>
      </w:r>
      <w:r w:rsidRPr="00FC6DC6">
        <w:t xml:space="preserve"> secondary check on coding</w:t>
      </w:r>
      <w:r>
        <w:t xml:space="preserve"> but, in line with Gond et al (2015, p. 337), a keywords</w:t>
      </w:r>
      <w:r w:rsidRPr="00FC6DC6">
        <w:t>-based approach</w:t>
      </w:r>
      <w:r>
        <w:t xml:space="preserve"> “did not replace the researchers’ interpretation” of the data</w:t>
      </w:r>
      <w:r w:rsidRPr="00FC6DC6">
        <w:t>.</w:t>
      </w:r>
      <w:r>
        <w:t xml:space="preserve"> </w:t>
      </w:r>
      <w:r w:rsidR="00F86157">
        <w:t xml:space="preserve"> </w:t>
      </w:r>
      <w:r>
        <w:t xml:space="preserve">In terms of process, </w:t>
      </w:r>
      <w:r w:rsidR="00F86157">
        <w:t xml:space="preserve">the </w:t>
      </w:r>
      <w:r w:rsidR="00D74DC7">
        <w:t>first</w:t>
      </w:r>
      <w:r>
        <w:t xml:space="preserve"> </w:t>
      </w:r>
      <w:r w:rsidRPr="00FC6DC6">
        <w:t xml:space="preserve">author </w:t>
      </w:r>
      <w:r w:rsidR="00D74DC7">
        <w:t>led</w:t>
      </w:r>
      <w:r>
        <w:t xml:space="preserve"> the analysis and provided </w:t>
      </w:r>
      <w:r w:rsidRPr="00FC6DC6">
        <w:t xml:space="preserve">randomly-selected </w:t>
      </w:r>
      <w:r>
        <w:t>s</w:t>
      </w:r>
      <w:r w:rsidRPr="00FC6DC6">
        <w:t xml:space="preserve">amples </w:t>
      </w:r>
      <w:r>
        <w:t>associated with</w:t>
      </w:r>
      <w:r w:rsidRPr="00FC6DC6">
        <w:t xml:space="preserve"> different actors and representing different orders of worth</w:t>
      </w:r>
      <w:r>
        <w:t xml:space="preserve"> for independent verification by the other author. </w:t>
      </w:r>
      <w:r w:rsidR="001C57A6">
        <w:t xml:space="preserve"> </w:t>
      </w:r>
      <w:r>
        <w:t>We worked in an iterative fashion</w:t>
      </w:r>
      <w:r w:rsidR="008B1EE2">
        <w:t>, discussing the data and its analysis at various stages,</w:t>
      </w:r>
      <w:r>
        <w:t xml:space="preserve"> to ensure</w:t>
      </w:r>
      <w:r w:rsidRPr="0051016F">
        <w:t xml:space="preserve"> </w:t>
      </w:r>
      <w:r w:rsidRPr="00FC6DC6">
        <w:t>that the interpretation of texts was</w:t>
      </w:r>
      <w:r w:rsidR="00F35A8C">
        <w:t xml:space="preserve"> rigorous</w:t>
      </w:r>
      <w:r w:rsidRPr="00FC6DC6">
        <w:t>.</w:t>
      </w:r>
      <w:r w:rsidR="00A828BB">
        <w:t xml:space="preserve"> </w:t>
      </w:r>
      <w:r>
        <w:t xml:space="preserve"> Where an order of worth is drawn on within a given piece of data</w:t>
      </w:r>
      <w:r w:rsidR="00892C84">
        <w:t xml:space="preserve">, </w:t>
      </w:r>
      <w:r>
        <w:t>within a speech, for example</w:t>
      </w:r>
      <w:r w:rsidR="00892C84">
        <w:t>,</w:t>
      </w:r>
      <w:r>
        <w:t xml:space="preserve"> it </w:t>
      </w:r>
      <w:r w:rsidR="008D4CD1">
        <w:t xml:space="preserve">was </w:t>
      </w:r>
      <w:r>
        <w:t>not counted twice if it is drawn on a second time in the same piece, since this would tilt the analysis towards longer pieces of data, such as reports.</w:t>
      </w:r>
    </w:p>
    <w:p w14:paraId="4AF43C08" w14:textId="77777777" w:rsidR="00A828BB" w:rsidRPr="00FC6DC6" w:rsidRDefault="00A828BB" w:rsidP="00A22B9A"/>
    <w:p w14:paraId="4B9E2D3F" w14:textId="0DD9E8FD" w:rsidR="00665CFA" w:rsidRDefault="00665CFA" w:rsidP="00A828BB">
      <w:pPr>
        <w:spacing w:after="160" w:line="259" w:lineRule="auto"/>
        <w:rPr>
          <w:rFonts w:eastAsiaTheme="majorEastAsia" w:cs="Times New Roman"/>
          <w:b/>
          <w:color w:val="000000" w:themeColor="text1"/>
          <w:szCs w:val="32"/>
        </w:rPr>
      </w:pPr>
      <w:r>
        <w:rPr>
          <w:rFonts w:eastAsiaTheme="majorEastAsia" w:cs="Times New Roman"/>
          <w:b/>
          <w:color w:val="000000" w:themeColor="text1"/>
          <w:szCs w:val="32"/>
        </w:rPr>
        <w:t>Findings and Analysis</w:t>
      </w:r>
    </w:p>
    <w:p w14:paraId="0E3AA1DB" w14:textId="1B0E27B4" w:rsidR="00665CFA" w:rsidRDefault="00665CFA" w:rsidP="00A22B9A">
      <w:pPr>
        <w:rPr>
          <w:rFonts w:cs="Times New Roman"/>
          <w:szCs w:val="24"/>
        </w:rPr>
      </w:pPr>
      <w:r>
        <w:rPr>
          <w:rFonts w:cs="Times New Roman"/>
          <w:szCs w:val="24"/>
        </w:rPr>
        <w:t>While</w:t>
      </w:r>
      <w:r w:rsidR="00A828BB">
        <w:rPr>
          <w:rFonts w:cs="Times New Roman"/>
          <w:szCs w:val="24"/>
        </w:rPr>
        <w:t xml:space="preserve"> recognising that</w:t>
      </w:r>
      <w:r>
        <w:rPr>
          <w:rFonts w:cs="Times New Roman"/>
          <w:szCs w:val="24"/>
        </w:rPr>
        <w:t xml:space="preserve"> the arguments on either side of the living wage debate </w:t>
      </w:r>
      <w:r w:rsidR="00A828BB">
        <w:rPr>
          <w:rFonts w:cs="Times New Roman"/>
          <w:szCs w:val="24"/>
        </w:rPr>
        <w:t>need to</w:t>
      </w:r>
      <w:r>
        <w:rPr>
          <w:rFonts w:cs="Times New Roman"/>
          <w:szCs w:val="24"/>
        </w:rPr>
        <w:t xml:space="preserve"> be understood in relation to each other, for the sake of clarity we analyse them here separately. </w:t>
      </w:r>
      <w:r w:rsidR="00D72A86">
        <w:rPr>
          <w:rFonts w:cs="Times New Roman"/>
          <w:szCs w:val="24"/>
        </w:rPr>
        <w:t xml:space="preserve"> </w:t>
      </w:r>
    </w:p>
    <w:p w14:paraId="7A6019DC" w14:textId="77777777" w:rsidR="00665CFA" w:rsidRDefault="00665CFA" w:rsidP="00A22B9A">
      <w:pPr>
        <w:keepNext/>
        <w:rPr>
          <w:rFonts w:cs="Times New Roman"/>
          <w:b/>
          <w:i/>
          <w:szCs w:val="24"/>
        </w:rPr>
      </w:pPr>
    </w:p>
    <w:p w14:paraId="53CCFBD1" w14:textId="30169F50" w:rsidR="00665CFA" w:rsidRPr="00DC7217" w:rsidRDefault="00665CFA" w:rsidP="00A22B9A">
      <w:pPr>
        <w:keepNext/>
        <w:rPr>
          <w:rFonts w:cs="Times New Roman"/>
          <w:b/>
          <w:i/>
          <w:szCs w:val="24"/>
        </w:rPr>
      </w:pPr>
      <w:r w:rsidRPr="00DC7217">
        <w:rPr>
          <w:rFonts w:cs="Times New Roman"/>
          <w:b/>
          <w:i/>
          <w:szCs w:val="24"/>
        </w:rPr>
        <w:t>L</w:t>
      </w:r>
      <w:r w:rsidR="00F86157">
        <w:rPr>
          <w:rFonts w:cs="Times New Roman"/>
          <w:b/>
          <w:i/>
          <w:szCs w:val="24"/>
        </w:rPr>
        <w:t>iving Wage Aotearoa:</w:t>
      </w:r>
      <w:r w:rsidRPr="00DC7217">
        <w:rPr>
          <w:rFonts w:cs="Times New Roman"/>
          <w:b/>
          <w:i/>
          <w:szCs w:val="24"/>
        </w:rPr>
        <w:t xml:space="preserve"> </w:t>
      </w:r>
      <w:r w:rsidR="00F86157">
        <w:rPr>
          <w:rFonts w:cs="Times New Roman"/>
          <w:b/>
          <w:i/>
          <w:szCs w:val="24"/>
        </w:rPr>
        <w:t>A</w:t>
      </w:r>
      <w:r>
        <w:rPr>
          <w:rFonts w:cs="Times New Roman"/>
          <w:b/>
          <w:i/>
          <w:szCs w:val="24"/>
        </w:rPr>
        <w:t xml:space="preserve"> critique of the status quo and a proposed solution</w:t>
      </w:r>
    </w:p>
    <w:p w14:paraId="534F135B" w14:textId="5D683D3C" w:rsidR="00D94F0D" w:rsidRDefault="00B570A9" w:rsidP="00A828BB">
      <w:pPr>
        <w:rPr>
          <w:rFonts w:cs="Times New Roman"/>
          <w:szCs w:val="24"/>
        </w:rPr>
      </w:pPr>
      <w:r>
        <w:rPr>
          <w:rFonts w:cs="Times New Roman"/>
          <w:szCs w:val="24"/>
        </w:rPr>
        <w:t xml:space="preserve">The </w:t>
      </w:r>
      <w:r w:rsidR="00665CFA">
        <w:rPr>
          <w:rFonts w:cs="Times New Roman"/>
          <w:szCs w:val="24"/>
        </w:rPr>
        <w:t>argu</w:t>
      </w:r>
      <w:r w:rsidR="0076286C">
        <w:rPr>
          <w:rFonts w:cs="Times New Roman"/>
          <w:szCs w:val="24"/>
        </w:rPr>
        <w:t xml:space="preserve">ment for a living wage </w:t>
      </w:r>
      <w:r>
        <w:rPr>
          <w:rFonts w:cs="Times New Roman"/>
          <w:szCs w:val="24"/>
        </w:rPr>
        <w:t xml:space="preserve">is based on a critique of existing </w:t>
      </w:r>
      <w:r w:rsidR="008D4CD1">
        <w:rPr>
          <w:rFonts w:cs="Times New Roman"/>
          <w:szCs w:val="24"/>
        </w:rPr>
        <w:t>practices of</w:t>
      </w:r>
      <w:r>
        <w:rPr>
          <w:rFonts w:cs="Times New Roman"/>
          <w:szCs w:val="24"/>
        </w:rPr>
        <w:t xml:space="preserve"> low-paid work.</w:t>
      </w:r>
      <w:r w:rsidR="00240A11">
        <w:rPr>
          <w:rFonts w:cs="Times New Roman"/>
          <w:szCs w:val="24"/>
        </w:rPr>
        <w:t xml:space="preserve"> </w:t>
      </w:r>
      <w:r>
        <w:rPr>
          <w:rFonts w:cs="Times New Roman"/>
          <w:szCs w:val="24"/>
        </w:rPr>
        <w:t xml:space="preserve"> </w:t>
      </w:r>
      <w:r w:rsidR="001A1B54">
        <w:rPr>
          <w:rFonts w:cs="Times New Roman"/>
          <w:szCs w:val="24"/>
        </w:rPr>
        <w:t xml:space="preserve">Arrangements between low-paid workers and their employers have traditionally been based on a compromise between the </w:t>
      </w:r>
      <w:r w:rsidR="001A1B54" w:rsidRPr="00A828BB">
        <w:rPr>
          <w:rFonts w:cs="Times New Roman"/>
          <w:i/>
          <w:szCs w:val="24"/>
        </w:rPr>
        <w:t>market</w:t>
      </w:r>
      <w:r w:rsidR="001A1B54">
        <w:rPr>
          <w:rFonts w:cs="Times New Roman"/>
          <w:szCs w:val="24"/>
        </w:rPr>
        <w:t xml:space="preserve"> order of worth (with wages </w:t>
      </w:r>
      <w:r w:rsidR="00BA6A38">
        <w:rPr>
          <w:rFonts w:cs="Times New Roman"/>
          <w:szCs w:val="24"/>
        </w:rPr>
        <w:t>partly determined</w:t>
      </w:r>
      <w:r w:rsidR="001A1B54">
        <w:rPr>
          <w:rFonts w:cs="Times New Roman"/>
          <w:szCs w:val="24"/>
        </w:rPr>
        <w:t xml:space="preserve"> by forces of supply and demand within the labour market); the </w:t>
      </w:r>
      <w:r w:rsidR="001A1B54" w:rsidRPr="00A828BB">
        <w:rPr>
          <w:rFonts w:cs="Times New Roman"/>
          <w:i/>
          <w:szCs w:val="24"/>
        </w:rPr>
        <w:t>civic</w:t>
      </w:r>
      <w:r w:rsidR="001A1B54">
        <w:rPr>
          <w:rFonts w:cs="Times New Roman"/>
          <w:szCs w:val="24"/>
        </w:rPr>
        <w:t xml:space="preserve"> order (where wages are also regulated by labour standards including the statutory minimum wage, with regard to values of social equality and stability) and the </w:t>
      </w:r>
      <w:r w:rsidR="001A1B54" w:rsidRPr="00A828BB">
        <w:rPr>
          <w:rFonts w:cs="Times New Roman"/>
          <w:i/>
          <w:szCs w:val="24"/>
        </w:rPr>
        <w:t>industrial</w:t>
      </w:r>
      <w:r w:rsidR="001A1B54">
        <w:rPr>
          <w:rFonts w:cs="Times New Roman"/>
          <w:szCs w:val="24"/>
        </w:rPr>
        <w:t xml:space="preserve"> order (where wages also reflect an interest in the long-term productivity and performance of workers and organisations</w:t>
      </w:r>
      <w:bookmarkStart w:id="4" w:name="_Hlk499048111"/>
      <w:r w:rsidR="001A1B54">
        <w:rPr>
          <w:rFonts w:cs="Times New Roman"/>
          <w:szCs w:val="24"/>
        </w:rPr>
        <w:t xml:space="preserve">). </w:t>
      </w:r>
      <w:r w:rsidR="001C57A6">
        <w:rPr>
          <w:rFonts w:cs="Times New Roman"/>
          <w:szCs w:val="24"/>
        </w:rPr>
        <w:t xml:space="preserve"> </w:t>
      </w:r>
      <w:r w:rsidR="001A1B54">
        <w:rPr>
          <w:rFonts w:cs="Times New Roman"/>
          <w:szCs w:val="24"/>
        </w:rPr>
        <w:t>LWA’s position</w:t>
      </w:r>
      <w:r w:rsidR="0063298D">
        <w:rPr>
          <w:rFonts w:cs="Times New Roman"/>
          <w:szCs w:val="24"/>
        </w:rPr>
        <w:t xml:space="preserve">, when read </w:t>
      </w:r>
      <w:r w:rsidR="00C07E5A">
        <w:rPr>
          <w:rFonts w:cs="Times New Roman"/>
          <w:szCs w:val="24"/>
        </w:rPr>
        <w:t>utilising</w:t>
      </w:r>
      <w:r w:rsidR="0063298D">
        <w:rPr>
          <w:rFonts w:cs="Times New Roman"/>
          <w:szCs w:val="24"/>
        </w:rPr>
        <w:t xml:space="preserve"> a Boltanski and</w:t>
      </w:r>
      <w:r w:rsidR="0063298D" w:rsidRPr="0063298D">
        <w:t xml:space="preserve"> </w:t>
      </w:r>
      <w:r w:rsidR="0063298D">
        <w:t>Thévenot lens,</w:t>
      </w:r>
      <w:r w:rsidR="001A1B54">
        <w:rPr>
          <w:rFonts w:cs="Times New Roman"/>
          <w:szCs w:val="24"/>
        </w:rPr>
        <w:t xml:space="preserve"> is that the </w:t>
      </w:r>
      <w:r w:rsidR="001A1B54" w:rsidRPr="00A828BB">
        <w:rPr>
          <w:rFonts w:cs="Times New Roman"/>
          <w:i/>
          <w:szCs w:val="24"/>
        </w:rPr>
        <w:t>market</w:t>
      </w:r>
      <w:r w:rsidR="001A1B54">
        <w:rPr>
          <w:rFonts w:cs="Times New Roman"/>
          <w:szCs w:val="24"/>
        </w:rPr>
        <w:t xml:space="preserve"> test of demand within the labour market has assumed undue weight within this compromise</w:t>
      </w:r>
      <w:r w:rsidR="00065EA2">
        <w:rPr>
          <w:rFonts w:cs="Times New Roman"/>
          <w:szCs w:val="24"/>
        </w:rPr>
        <w:t>, and its</w:t>
      </w:r>
      <w:r>
        <w:rPr>
          <w:rFonts w:cs="Times New Roman"/>
          <w:szCs w:val="24"/>
        </w:rPr>
        <w:t xml:space="preserve"> critique expresses the </w:t>
      </w:r>
      <w:r w:rsidRPr="00B570A9">
        <w:rPr>
          <w:rFonts w:cs="Times New Roman"/>
          <w:szCs w:val="24"/>
        </w:rPr>
        <w:t>sense of injustice provoked “</w:t>
      </w:r>
      <w:r w:rsidRPr="00A828BB">
        <w:rPr>
          <w:rFonts w:cs="Times New Roman"/>
          <w:szCs w:val="24"/>
        </w:rPr>
        <w:t>when justifications of a market order are extended beyond their legitimate boundaries</w:t>
      </w:r>
      <w:r w:rsidRPr="00B570A9">
        <w:rPr>
          <w:rFonts w:cs="Times New Roman"/>
          <w:szCs w:val="24"/>
        </w:rPr>
        <w:t>” (Boltanski &amp; Thévenot, 2006</w:t>
      </w:r>
      <w:r w:rsidRPr="001E563A">
        <w:rPr>
          <w:rFonts w:cs="Times New Roman"/>
          <w:szCs w:val="24"/>
        </w:rPr>
        <w:t>, p. 15).</w:t>
      </w:r>
      <w:bookmarkEnd w:id="4"/>
      <w:r w:rsidR="008D67F3">
        <w:rPr>
          <w:rFonts w:cs="Times New Roman"/>
          <w:szCs w:val="24"/>
        </w:rPr>
        <w:t xml:space="preserve">  </w:t>
      </w:r>
      <w:r w:rsidR="008D67F3">
        <w:rPr>
          <w:rFonts w:eastAsiaTheme="majorEastAsia" w:cs="Times New Roman"/>
          <w:color w:val="000000" w:themeColor="text1"/>
          <w:szCs w:val="24"/>
        </w:rPr>
        <w:t>Table 3 summarises our findings, which we discuss further below.</w:t>
      </w:r>
    </w:p>
    <w:p w14:paraId="56AEF6C7" w14:textId="77777777" w:rsidR="008D67F3" w:rsidRDefault="008D67F3" w:rsidP="008D67F3">
      <w:pPr>
        <w:keepNext/>
        <w:rPr>
          <w:rFonts w:cs="Times New Roman"/>
          <w:i/>
          <w:szCs w:val="24"/>
        </w:rPr>
      </w:pPr>
    </w:p>
    <w:p w14:paraId="5A1F570B" w14:textId="3EE715CB" w:rsidR="00D94F0D" w:rsidRDefault="008D67F3" w:rsidP="00A828BB">
      <w:pPr>
        <w:rPr>
          <w:rFonts w:cs="Times New Roman"/>
          <w:b/>
          <w:color w:val="000000" w:themeColor="text1"/>
        </w:rPr>
      </w:pPr>
      <w:r>
        <w:rPr>
          <w:rFonts w:cs="Times New Roman"/>
          <w:b/>
          <w:color w:val="000000" w:themeColor="text1"/>
        </w:rPr>
        <w:t>[Table 3 about here]</w:t>
      </w:r>
    </w:p>
    <w:p w14:paraId="423BDC52" w14:textId="77777777" w:rsidR="008D67F3" w:rsidRDefault="008D67F3" w:rsidP="00A828BB">
      <w:pPr>
        <w:rPr>
          <w:rFonts w:cs="Times New Roman"/>
          <w:szCs w:val="24"/>
        </w:rPr>
      </w:pPr>
    </w:p>
    <w:p w14:paraId="15C101EE" w14:textId="7C2706D6" w:rsidR="001A1B54" w:rsidRDefault="00D94F0D" w:rsidP="00A828BB">
      <w:pPr>
        <w:rPr>
          <w:rFonts w:cs="Times New Roman"/>
          <w:szCs w:val="24"/>
        </w:rPr>
      </w:pPr>
      <w:r>
        <w:rPr>
          <w:rFonts w:cs="Times New Roman"/>
          <w:szCs w:val="24"/>
        </w:rPr>
        <w:lastRenderedPageBreak/>
        <w:t>T</w:t>
      </w:r>
      <w:r w:rsidRPr="001E563A">
        <w:rPr>
          <w:rFonts w:cs="Times New Roman"/>
          <w:szCs w:val="24"/>
        </w:rPr>
        <w:t>he market’s distributive justice principle of “earned desert” (Lane, 1986)</w:t>
      </w:r>
      <w:r>
        <w:rPr>
          <w:rFonts w:cs="Times New Roman"/>
          <w:szCs w:val="24"/>
        </w:rPr>
        <w:t xml:space="preserve"> is critiqued both </w:t>
      </w:r>
      <w:r w:rsidRPr="00A828BB">
        <w:rPr>
          <w:rFonts w:cs="Times New Roman"/>
          <w:i/>
          <w:szCs w:val="24"/>
        </w:rPr>
        <w:t>empirically</w:t>
      </w:r>
      <w:r>
        <w:rPr>
          <w:rFonts w:cs="Times New Roman"/>
          <w:szCs w:val="24"/>
        </w:rPr>
        <w:t xml:space="preserve"> (in the argument that the market does not, in fact, distribute</w:t>
      </w:r>
      <w:r w:rsidRPr="001E563A">
        <w:rPr>
          <w:rFonts w:cs="Times New Roman"/>
          <w:szCs w:val="24"/>
        </w:rPr>
        <w:t xml:space="preserve"> its rewards according to </w:t>
      </w:r>
      <w:r w:rsidR="00693937">
        <w:rPr>
          <w:rFonts w:cs="Times New Roman"/>
          <w:szCs w:val="24"/>
        </w:rPr>
        <w:t xml:space="preserve">its self-proclaimed criterion of </w:t>
      </w:r>
      <w:r w:rsidRPr="001E563A">
        <w:rPr>
          <w:rFonts w:cs="Times New Roman"/>
          <w:szCs w:val="24"/>
        </w:rPr>
        <w:t xml:space="preserve">deservingness (see </w:t>
      </w:r>
      <w:r>
        <w:rPr>
          <w:rFonts w:cs="Times New Roman"/>
          <w:szCs w:val="24"/>
        </w:rPr>
        <w:t>Little, in NZPD, 30 July 2014))</w:t>
      </w:r>
      <w:r w:rsidRPr="001E563A">
        <w:rPr>
          <w:rFonts w:cs="Times New Roman"/>
          <w:szCs w:val="24"/>
        </w:rPr>
        <w:t xml:space="preserve"> and </w:t>
      </w:r>
      <w:r w:rsidRPr="00A828BB">
        <w:rPr>
          <w:rFonts w:cs="Times New Roman"/>
          <w:i/>
          <w:szCs w:val="24"/>
        </w:rPr>
        <w:t>normatively</w:t>
      </w:r>
      <w:r>
        <w:rPr>
          <w:rFonts w:cs="Times New Roman"/>
          <w:szCs w:val="24"/>
        </w:rPr>
        <w:t>: existing low wages are held to be “morally and ethically unacceptable” when they generate incomes “that workers can[not] survive on let alone have decent lives” (Matheson, 2012; SFWU, 2012).</w:t>
      </w:r>
      <w:r w:rsidRPr="00D60E81">
        <w:rPr>
          <w:rFonts w:cs="Times New Roman"/>
          <w:szCs w:val="24"/>
        </w:rPr>
        <w:t xml:space="preserve"> </w:t>
      </w:r>
      <w:r>
        <w:rPr>
          <w:rFonts w:cs="Times New Roman"/>
          <w:szCs w:val="24"/>
        </w:rPr>
        <w:t xml:space="preserve"> </w:t>
      </w:r>
      <w:r w:rsidRPr="001E563A">
        <w:rPr>
          <w:rFonts w:cs="Times New Roman"/>
          <w:szCs w:val="24"/>
        </w:rPr>
        <w:t xml:space="preserve">LWA </w:t>
      </w:r>
      <w:r>
        <w:rPr>
          <w:rFonts w:cs="Times New Roman"/>
          <w:szCs w:val="24"/>
        </w:rPr>
        <w:t xml:space="preserve">thus </w:t>
      </w:r>
      <w:r w:rsidRPr="001E563A">
        <w:rPr>
          <w:rFonts w:cs="Times New Roman"/>
          <w:szCs w:val="24"/>
        </w:rPr>
        <w:t>argue “that earnings should be based … not on the market alone”</w:t>
      </w:r>
      <w:r>
        <w:rPr>
          <w:rFonts w:cs="Times New Roman"/>
          <w:szCs w:val="24"/>
        </w:rPr>
        <w:t xml:space="preserve"> (see also Mayman, 2012)</w:t>
      </w:r>
      <w:r w:rsidRPr="001E563A">
        <w:rPr>
          <w:rFonts w:cs="Times New Roman"/>
          <w:szCs w:val="24"/>
        </w:rPr>
        <w:t xml:space="preserve"> but rather </w:t>
      </w:r>
      <w:r>
        <w:rPr>
          <w:rFonts w:cs="Times New Roman"/>
          <w:szCs w:val="24"/>
        </w:rPr>
        <w:t xml:space="preserve">on political principles of </w:t>
      </w:r>
      <w:r w:rsidRPr="00E735C3">
        <w:rPr>
          <w:rFonts w:cs="Times New Roman"/>
          <w:szCs w:val="24"/>
        </w:rPr>
        <w:t>justice</w:t>
      </w:r>
      <w:r w:rsidR="008D4CD1">
        <w:rPr>
          <w:rFonts w:cs="Times New Roman"/>
          <w:szCs w:val="24"/>
        </w:rPr>
        <w:t>: need and equality</w:t>
      </w:r>
      <w:r w:rsidR="00EB6E6B" w:rsidRPr="00E735C3">
        <w:rPr>
          <w:rFonts w:cs="Times New Roman"/>
          <w:szCs w:val="24"/>
        </w:rPr>
        <w:t xml:space="preserve"> (</w:t>
      </w:r>
      <w:r w:rsidRPr="00E735C3">
        <w:rPr>
          <w:rFonts w:cs="Times New Roman"/>
          <w:szCs w:val="24"/>
        </w:rPr>
        <w:t>Lane</w:t>
      </w:r>
      <w:r>
        <w:rPr>
          <w:rFonts w:cs="Times New Roman"/>
          <w:szCs w:val="24"/>
        </w:rPr>
        <w:t>, 1986).</w:t>
      </w:r>
      <w:r w:rsidR="001C57A6">
        <w:rPr>
          <w:rFonts w:cs="Times New Roman"/>
          <w:szCs w:val="24"/>
        </w:rPr>
        <w:t xml:space="preserve"> </w:t>
      </w:r>
      <w:r>
        <w:rPr>
          <w:rFonts w:cs="Times New Roman"/>
          <w:szCs w:val="24"/>
        </w:rPr>
        <w:t xml:space="preserve"> </w:t>
      </w:r>
      <w:r w:rsidR="00EB6E6B" w:rsidRPr="00903440">
        <w:rPr>
          <w:rFonts w:cs="Times New Roman"/>
          <w:szCs w:val="24"/>
        </w:rPr>
        <w:t>Wages, LWA (</w:t>
      </w:r>
      <w:r w:rsidR="00E735C3">
        <w:rPr>
          <w:rFonts w:cs="Times New Roman"/>
          <w:szCs w:val="24"/>
        </w:rPr>
        <w:t>2012e</w:t>
      </w:r>
      <w:r w:rsidR="00EB6E6B" w:rsidRPr="00903440">
        <w:rPr>
          <w:rFonts w:cs="Times New Roman"/>
          <w:szCs w:val="24"/>
        </w:rPr>
        <w:t>)</w:t>
      </w:r>
      <w:r w:rsidR="00EB6E6B">
        <w:rPr>
          <w:rFonts w:cs="Times New Roman"/>
          <w:szCs w:val="24"/>
        </w:rPr>
        <w:t xml:space="preserve"> </w:t>
      </w:r>
      <w:r w:rsidR="00EB6E6B" w:rsidRPr="00903440">
        <w:rPr>
          <w:rFonts w:cs="Times New Roman"/>
          <w:szCs w:val="24"/>
        </w:rPr>
        <w:t xml:space="preserve">claim, should be based on </w:t>
      </w:r>
      <w:r w:rsidR="00E735C3">
        <w:rPr>
          <w:rFonts w:cs="Times New Roman"/>
          <w:szCs w:val="24"/>
        </w:rPr>
        <w:t xml:space="preserve">“what workers need to survive and participate in society”: they “should be based on </w:t>
      </w:r>
      <w:r w:rsidR="00EB6E6B" w:rsidRPr="00903440">
        <w:rPr>
          <w:rFonts w:cs="Times New Roman"/>
          <w:szCs w:val="24"/>
        </w:rPr>
        <w:t>need and not left to the market”</w:t>
      </w:r>
      <w:r w:rsidR="00E735C3">
        <w:rPr>
          <w:rFonts w:cs="Times New Roman"/>
          <w:szCs w:val="24"/>
        </w:rPr>
        <w:t xml:space="preserve"> (LWA, 2012a). </w:t>
      </w:r>
      <w:r w:rsidR="00EB6E6B">
        <w:rPr>
          <w:rFonts w:cs="Times New Roman"/>
          <w:szCs w:val="24"/>
        </w:rPr>
        <w:t xml:space="preserve"> </w:t>
      </w:r>
      <w:r w:rsidR="00365F6E">
        <w:rPr>
          <w:rFonts w:cs="Times New Roman"/>
          <w:szCs w:val="24"/>
        </w:rPr>
        <w:t>This argument posits that a</w:t>
      </w:r>
      <w:r w:rsidR="001A1B54">
        <w:rPr>
          <w:rFonts w:cs="Times New Roman"/>
          <w:szCs w:val="24"/>
        </w:rPr>
        <w:t xml:space="preserve">n over-reliance on </w:t>
      </w:r>
      <w:r w:rsidR="001A1B54" w:rsidRPr="00846E1C">
        <w:rPr>
          <w:rFonts w:cs="Times New Roman"/>
          <w:i/>
          <w:szCs w:val="24"/>
        </w:rPr>
        <w:t>market</w:t>
      </w:r>
      <w:r w:rsidR="001A1B54">
        <w:rPr>
          <w:rFonts w:cs="Times New Roman"/>
          <w:szCs w:val="24"/>
        </w:rPr>
        <w:t xml:space="preserve"> tests in establishing wage rates at the bottom of the scale undervalue</w:t>
      </w:r>
      <w:r w:rsidR="00365F6E">
        <w:rPr>
          <w:rFonts w:cs="Times New Roman"/>
          <w:szCs w:val="24"/>
        </w:rPr>
        <w:t>s</w:t>
      </w:r>
      <w:r w:rsidR="001A1B54">
        <w:rPr>
          <w:rFonts w:cs="Times New Roman"/>
          <w:szCs w:val="24"/>
        </w:rPr>
        <w:t xml:space="preserve"> </w:t>
      </w:r>
      <w:r w:rsidR="00065EA2">
        <w:rPr>
          <w:rFonts w:cs="Times New Roman"/>
          <w:szCs w:val="24"/>
        </w:rPr>
        <w:t xml:space="preserve">(1) </w:t>
      </w:r>
      <w:r w:rsidR="001A1B54">
        <w:rPr>
          <w:rFonts w:cs="Times New Roman"/>
          <w:szCs w:val="24"/>
        </w:rPr>
        <w:t xml:space="preserve">the importance of the inherent dignity of the human worker; </w:t>
      </w:r>
      <w:r w:rsidR="00065EA2">
        <w:rPr>
          <w:rFonts w:cs="Times New Roman"/>
          <w:szCs w:val="24"/>
        </w:rPr>
        <w:t xml:space="preserve">(2) </w:t>
      </w:r>
      <w:r w:rsidR="001A1B54">
        <w:rPr>
          <w:rFonts w:cs="Times New Roman"/>
          <w:szCs w:val="24"/>
        </w:rPr>
        <w:t xml:space="preserve">the negative social impacts of low-paid work and inequality, and </w:t>
      </w:r>
      <w:r w:rsidR="00065EA2">
        <w:rPr>
          <w:rFonts w:cs="Times New Roman"/>
          <w:szCs w:val="24"/>
        </w:rPr>
        <w:t xml:space="preserve">(3) </w:t>
      </w:r>
      <w:r w:rsidR="001A1B54">
        <w:rPr>
          <w:rFonts w:cs="Times New Roman"/>
          <w:szCs w:val="24"/>
        </w:rPr>
        <w:t>the long-term performance of the wage-paying organisation</w:t>
      </w:r>
      <w:r w:rsidR="00105ADD">
        <w:rPr>
          <w:rFonts w:cs="Times New Roman"/>
          <w:szCs w:val="24"/>
        </w:rPr>
        <w:t>.</w:t>
      </w:r>
    </w:p>
    <w:p w14:paraId="7BA9316A" w14:textId="77777777" w:rsidR="001A1B54" w:rsidRDefault="001A1B54" w:rsidP="00A828BB">
      <w:pPr>
        <w:rPr>
          <w:rFonts w:cs="Times New Roman"/>
          <w:szCs w:val="24"/>
        </w:rPr>
      </w:pPr>
    </w:p>
    <w:p w14:paraId="204EAC91" w14:textId="32D4A7C9" w:rsidR="004417FD" w:rsidRDefault="00903440" w:rsidP="00846E1C">
      <w:pPr>
        <w:rPr>
          <w:rFonts w:cs="Times New Roman"/>
          <w:szCs w:val="24"/>
        </w:rPr>
      </w:pPr>
      <w:r>
        <w:rPr>
          <w:rFonts w:cs="Times New Roman"/>
          <w:szCs w:val="24"/>
        </w:rPr>
        <w:t>U</w:t>
      </w:r>
      <w:r w:rsidR="00105ADD">
        <w:rPr>
          <w:rFonts w:cs="Times New Roman"/>
          <w:szCs w:val="24"/>
        </w:rPr>
        <w:t xml:space="preserve">nderstanding human workers as labour (and thus as freely circulating goods in a market) </w:t>
      </w:r>
      <w:r>
        <w:rPr>
          <w:rFonts w:cs="Times New Roman"/>
          <w:szCs w:val="24"/>
        </w:rPr>
        <w:t>is held to elide</w:t>
      </w:r>
      <w:r w:rsidR="00105ADD">
        <w:rPr>
          <w:rFonts w:cs="Times New Roman"/>
          <w:szCs w:val="24"/>
        </w:rPr>
        <w:t xml:space="preserve"> the</w:t>
      </w:r>
      <w:r w:rsidR="00FF035B">
        <w:rPr>
          <w:rFonts w:cs="Times New Roman"/>
          <w:szCs w:val="24"/>
        </w:rPr>
        <w:t>ir</w:t>
      </w:r>
      <w:r w:rsidR="00105ADD">
        <w:rPr>
          <w:rFonts w:cs="Times New Roman"/>
          <w:szCs w:val="24"/>
        </w:rPr>
        <w:t xml:space="preserve"> inherent dignity</w:t>
      </w:r>
      <w:r w:rsidR="00D94F0D">
        <w:rPr>
          <w:rFonts w:cs="Times New Roman"/>
          <w:szCs w:val="24"/>
        </w:rPr>
        <w:t>.</w:t>
      </w:r>
      <w:r w:rsidR="006526FE">
        <w:rPr>
          <w:rFonts w:cs="Times New Roman"/>
          <w:szCs w:val="24"/>
        </w:rPr>
        <w:t xml:space="preserve">  </w:t>
      </w:r>
      <w:r w:rsidR="00E735C3">
        <w:rPr>
          <w:rFonts w:cs="Times New Roman"/>
          <w:szCs w:val="24"/>
        </w:rPr>
        <w:t xml:space="preserve">Each worker is positioned within </w:t>
      </w:r>
      <w:r w:rsidR="00FF035B">
        <w:rPr>
          <w:rFonts w:cs="Times New Roman"/>
          <w:szCs w:val="24"/>
        </w:rPr>
        <w:t xml:space="preserve">the </w:t>
      </w:r>
      <w:r w:rsidR="00FF035B" w:rsidRPr="00846E1C">
        <w:rPr>
          <w:rFonts w:cs="Times New Roman"/>
          <w:i/>
          <w:szCs w:val="24"/>
        </w:rPr>
        <w:t>market</w:t>
      </w:r>
      <w:r w:rsidR="00E735C3">
        <w:rPr>
          <w:rFonts w:cs="Times New Roman"/>
          <w:szCs w:val="24"/>
        </w:rPr>
        <w:t xml:space="preserve"> order as a “freely circulating market good”, with employers (the buyers of labour) authorised as the actors qualified to assess the worth(iness) of that market good (see Table 1). </w:t>
      </w:r>
      <w:r w:rsidR="0067435A">
        <w:rPr>
          <w:rFonts w:cs="Times New Roman"/>
          <w:szCs w:val="24"/>
        </w:rPr>
        <w:t>LWA</w:t>
      </w:r>
      <w:r w:rsidR="008D4CD1">
        <w:rPr>
          <w:rFonts w:cs="Times New Roman"/>
          <w:szCs w:val="24"/>
        </w:rPr>
        <w:t>’s</w:t>
      </w:r>
      <w:r w:rsidR="0067435A">
        <w:rPr>
          <w:rFonts w:cs="Times New Roman"/>
          <w:szCs w:val="24"/>
        </w:rPr>
        <w:t xml:space="preserve"> </w:t>
      </w:r>
      <w:r w:rsidR="001021F3">
        <w:rPr>
          <w:rFonts w:cs="Times New Roman"/>
          <w:szCs w:val="24"/>
        </w:rPr>
        <w:t>argument can be read as asserting</w:t>
      </w:r>
      <w:r w:rsidR="0067435A">
        <w:rPr>
          <w:rFonts w:cs="Times New Roman"/>
          <w:szCs w:val="24"/>
        </w:rPr>
        <w:t xml:space="preserve"> that</w:t>
      </w:r>
      <w:r w:rsidR="001021F3">
        <w:rPr>
          <w:rFonts w:cs="Times New Roman"/>
          <w:szCs w:val="24"/>
        </w:rPr>
        <w:t xml:space="preserve"> the</w:t>
      </w:r>
      <w:r w:rsidR="00065EA2">
        <w:rPr>
          <w:rFonts w:cs="Times New Roman"/>
          <w:szCs w:val="24"/>
        </w:rPr>
        <w:t xml:space="preserve"> </w:t>
      </w:r>
      <w:r w:rsidR="00E735C3">
        <w:rPr>
          <w:rFonts w:cs="Times New Roman"/>
          <w:szCs w:val="24"/>
        </w:rPr>
        <w:t>undue emphasis on</w:t>
      </w:r>
      <w:r w:rsidR="0067435A">
        <w:rPr>
          <w:rFonts w:cs="Times New Roman"/>
          <w:szCs w:val="24"/>
        </w:rPr>
        <w:t xml:space="preserve"> the test of market competitiveness</w:t>
      </w:r>
      <w:r w:rsidR="00E735C3">
        <w:rPr>
          <w:rFonts w:cs="Times New Roman"/>
          <w:szCs w:val="24"/>
        </w:rPr>
        <w:t xml:space="preserve"> dehumanises the worker, treating them</w:t>
      </w:r>
      <w:r w:rsidR="0067435A">
        <w:rPr>
          <w:rFonts w:cs="Times New Roman"/>
          <w:szCs w:val="24"/>
        </w:rPr>
        <w:t xml:space="preserve"> instrumentally. </w:t>
      </w:r>
      <w:r w:rsidR="001C57A6">
        <w:rPr>
          <w:rFonts w:cs="Times New Roman"/>
          <w:szCs w:val="24"/>
        </w:rPr>
        <w:t xml:space="preserve"> </w:t>
      </w:r>
      <w:r w:rsidR="001F5C12">
        <w:rPr>
          <w:rFonts w:cs="Times New Roman"/>
          <w:szCs w:val="24"/>
        </w:rPr>
        <w:t xml:space="preserve">It </w:t>
      </w:r>
      <w:r w:rsidR="0067435A">
        <w:rPr>
          <w:rFonts w:cs="Times New Roman"/>
          <w:szCs w:val="24"/>
        </w:rPr>
        <w:t xml:space="preserve">insists that workers </w:t>
      </w:r>
      <w:r w:rsidR="00105ADD">
        <w:rPr>
          <w:rFonts w:cs="Times New Roman"/>
          <w:szCs w:val="24"/>
        </w:rPr>
        <w:t>are not mere commodities, but human agents</w:t>
      </w:r>
      <w:r w:rsidR="00240A11">
        <w:rPr>
          <w:rFonts w:cs="Times New Roman"/>
          <w:szCs w:val="24"/>
        </w:rPr>
        <w:t>.</w:t>
      </w:r>
      <w:r w:rsidR="001C57A6">
        <w:rPr>
          <w:rFonts w:cs="Times New Roman"/>
          <w:szCs w:val="24"/>
        </w:rPr>
        <w:t xml:space="preserve"> </w:t>
      </w:r>
      <w:r w:rsidR="00240A11">
        <w:rPr>
          <w:rFonts w:cs="Times New Roman"/>
          <w:szCs w:val="24"/>
        </w:rPr>
        <w:t xml:space="preserve"> Such sentiment is seen </w:t>
      </w:r>
      <w:r w:rsidR="00FF035B">
        <w:rPr>
          <w:rFonts w:cs="Times New Roman"/>
          <w:szCs w:val="24"/>
        </w:rPr>
        <w:t>throughout</w:t>
      </w:r>
      <w:r w:rsidR="00240A11">
        <w:rPr>
          <w:rFonts w:cs="Times New Roman"/>
          <w:szCs w:val="24"/>
        </w:rPr>
        <w:t xml:space="preserve"> </w:t>
      </w:r>
      <w:r w:rsidR="00105ADD">
        <w:rPr>
          <w:rFonts w:cs="Times New Roman"/>
          <w:szCs w:val="24"/>
        </w:rPr>
        <w:t>Table 3</w:t>
      </w:r>
      <w:r w:rsidR="00FF035B">
        <w:rPr>
          <w:rFonts w:cs="Times New Roman"/>
          <w:szCs w:val="24"/>
        </w:rPr>
        <w:t xml:space="preserve"> (see</w:t>
      </w:r>
      <w:r w:rsidR="00105ADD">
        <w:rPr>
          <w:rFonts w:cs="Times New Roman"/>
          <w:szCs w:val="24"/>
        </w:rPr>
        <w:t xml:space="preserve"> quotes </w:t>
      </w:r>
      <w:r w:rsidR="00FF035B">
        <w:rPr>
          <w:rFonts w:cs="Times New Roman"/>
          <w:szCs w:val="24"/>
        </w:rPr>
        <w:t xml:space="preserve">1 - 11). </w:t>
      </w:r>
      <w:r w:rsidR="0059778E">
        <w:rPr>
          <w:rFonts w:cs="Times New Roman"/>
          <w:szCs w:val="24"/>
        </w:rPr>
        <w:t xml:space="preserve"> </w:t>
      </w:r>
      <w:r w:rsidR="00FF035B">
        <w:rPr>
          <w:rFonts w:cs="Times New Roman"/>
          <w:szCs w:val="24"/>
        </w:rPr>
        <w:t>It is expressed most clearly when</w:t>
      </w:r>
      <w:r w:rsidR="006526FE">
        <w:rPr>
          <w:rFonts w:cs="Times New Roman"/>
          <w:szCs w:val="24"/>
        </w:rPr>
        <w:t xml:space="preserve"> Mayman (2012)</w:t>
      </w:r>
      <w:r w:rsidR="00FF035B">
        <w:rPr>
          <w:rFonts w:cs="Times New Roman"/>
          <w:szCs w:val="24"/>
        </w:rPr>
        <w:t>, echoing</w:t>
      </w:r>
      <w:r w:rsidR="006526FE">
        <w:rPr>
          <w:rFonts w:cs="Times New Roman"/>
          <w:szCs w:val="24"/>
        </w:rPr>
        <w:t xml:space="preserve"> Karl Polanyi</w:t>
      </w:r>
      <w:r w:rsidR="00E735C3">
        <w:rPr>
          <w:rFonts w:cs="Times New Roman"/>
          <w:szCs w:val="24"/>
        </w:rPr>
        <w:t xml:space="preserve"> </w:t>
      </w:r>
      <w:r w:rsidR="00E735C3">
        <w:rPr>
          <w:lang w:val="en-AU"/>
        </w:rPr>
        <w:t>(2001 [1944])</w:t>
      </w:r>
      <w:r w:rsidR="001F5C12">
        <w:rPr>
          <w:lang w:val="en-AU"/>
        </w:rPr>
        <w:t>,</w:t>
      </w:r>
      <w:r w:rsidR="00E735C3">
        <w:rPr>
          <w:lang w:val="en-AU"/>
        </w:rPr>
        <w:t xml:space="preserve"> </w:t>
      </w:r>
      <w:r w:rsidR="00FF035B">
        <w:rPr>
          <w:lang w:val="en-AU"/>
        </w:rPr>
        <w:t>argues</w:t>
      </w:r>
      <w:r w:rsidR="00E735C3">
        <w:rPr>
          <w:lang w:val="en-AU"/>
        </w:rPr>
        <w:t xml:space="preserve"> that “p</w:t>
      </w:r>
      <w:r w:rsidR="00105ADD" w:rsidRPr="00846E1C" w:rsidDel="00D94F0D">
        <w:rPr>
          <w:rFonts w:cs="Times New Roman"/>
          <w:szCs w:val="24"/>
        </w:rPr>
        <w:t>eople and their work have a dignity that makes the labour market substantially different from the purchase of other goods.</w:t>
      </w:r>
      <w:r w:rsidR="001C57A6">
        <w:rPr>
          <w:rFonts w:cs="Times New Roman"/>
          <w:szCs w:val="24"/>
        </w:rPr>
        <w:t xml:space="preserve"> </w:t>
      </w:r>
      <w:r w:rsidR="00105ADD" w:rsidRPr="00846E1C" w:rsidDel="00D94F0D">
        <w:rPr>
          <w:rFonts w:cs="Times New Roman"/>
          <w:szCs w:val="24"/>
        </w:rPr>
        <w:t xml:space="preserve"> The price of a person’s labour should not be determined solely by the market”.</w:t>
      </w:r>
      <w:r w:rsidR="00F11DA2" w:rsidRPr="00846E1C" w:rsidDel="00D94F0D">
        <w:rPr>
          <w:rFonts w:cs="Times New Roman"/>
          <w:szCs w:val="24"/>
        </w:rPr>
        <w:t xml:space="preserve"> </w:t>
      </w:r>
    </w:p>
    <w:p w14:paraId="1E0B66B7" w14:textId="77777777" w:rsidR="00986D87" w:rsidRDefault="00986D87" w:rsidP="00846E1C">
      <w:pPr>
        <w:rPr>
          <w:rFonts w:cs="Times New Roman"/>
          <w:szCs w:val="24"/>
        </w:rPr>
      </w:pPr>
    </w:p>
    <w:p w14:paraId="7126243D" w14:textId="0A6D7BE4" w:rsidR="0067435A" w:rsidRDefault="0067435A" w:rsidP="00846E1C">
      <w:pPr>
        <w:rPr>
          <w:rFonts w:cs="Times New Roman"/>
          <w:szCs w:val="24"/>
        </w:rPr>
      </w:pPr>
      <w:r w:rsidRPr="001E563A">
        <w:rPr>
          <w:rFonts w:cs="Times New Roman"/>
          <w:szCs w:val="24"/>
        </w:rPr>
        <w:t xml:space="preserve">The market is </w:t>
      </w:r>
      <w:r>
        <w:rPr>
          <w:rFonts w:cs="Times New Roman"/>
          <w:szCs w:val="24"/>
        </w:rPr>
        <w:t>presented</w:t>
      </w:r>
      <w:r w:rsidRPr="001E563A">
        <w:rPr>
          <w:rFonts w:cs="Times New Roman"/>
          <w:szCs w:val="24"/>
        </w:rPr>
        <w:t xml:space="preserve"> </w:t>
      </w:r>
      <w:r>
        <w:rPr>
          <w:rFonts w:cs="Times New Roman"/>
          <w:szCs w:val="24"/>
        </w:rPr>
        <w:t xml:space="preserve">here </w:t>
      </w:r>
      <w:r w:rsidRPr="001E563A">
        <w:rPr>
          <w:rFonts w:cs="Times New Roman"/>
          <w:szCs w:val="24"/>
        </w:rPr>
        <w:t xml:space="preserve">not as a </w:t>
      </w:r>
      <w:r>
        <w:rPr>
          <w:rFonts w:cs="Times New Roman"/>
          <w:szCs w:val="24"/>
        </w:rPr>
        <w:t xml:space="preserve">mutually-beneficial </w:t>
      </w:r>
      <w:r w:rsidRPr="001E563A">
        <w:rPr>
          <w:rFonts w:cs="Times New Roman"/>
          <w:szCs w:val="24"/>
        </w:rPr>
        <w:t>regime of justice, but rather as a regime of violence</w:t>
      </w:r>
      <w:r>
        <w:rPr>
          <w:rFonts w:cs="Times New Roman"/>
          <w:szCs w:val="24"/>
        </w:rPr>
        <w:t xml:space="preserve"> and</w:t>
      </w:r>
      <w:r w:rsidRPr="001E563A">
        <w:rPr>
          <w:rFonts w:cs="Times New Roman"/>
          <w:szCs w:val="24"/>
        </w:rPr>
        <w:t xml:space="preserve"> domination </w:t>
      </w:r>
      <w:r>
        <w:rPr>
          <w:rFonts w:cs="Times New Roman"/>
          <w:szCs w:val="24"/>
        </w:rPr>
        <w:t>(White, 2012</w:t>
      </w:r>
      <w:r w:rsidR="00AA2E92">
        <w:rPr>
          <w:rFonts w:cs="Times New Roman"/>
          <w:szCs w:val="24"/>
        </w:rPr>
        <w:t>;</w:t>
      </w:r>
      <w:r w:rsidR="00065EA2">
        <w:rPr>
          <w:rFonts w:cs="Times New Roman"/>
          <w:szCs w:val="24"/>
        </w:rPr>
        <w:t xml:space="preserve"> </w:t>
      </w:r>
      <w:r w:rsidR="00AA2E92">
        <w:rPr>
          <w:rFonts w:cs="Times New Roman"/>
          <w:szCs w:val="24"/>
        </w:rPr>
        <w:t>s</w:t>
      </w:r>
      <w:r w:rsidR="00065EA2">
        <w:rPr>
          <w:rFonts w:cs="Times New Roman"/>
          <w:szCs w:val="24"/>
        </w:rPr>
        <w:t>ee also Boltanski &amp; Thévenot, 2006; Wagner, 1999, p. 349</w:t>
      </w:r>
      <w:r>
        <w:rPr>
          <w:rFonts w:cs="Times New Roman"/>
          <w:szCs w:val="24"/>
        </w:rPr>
        <w:t>)</w:t>
      </w:r>
      <w:r w:rsidRPr="001E563A">
        <w:rPr>
          <w:rFonts w:cs="Times New Roman"/>
          <w:szCs w:val="24"/>
        </w:rPr>
        <w:t xml:space="preserve">, </w:t>
      </w:r>
      <w:r>
        <w:rPr>
          <w:rFonts w:cs="Times New Roman"/>
          <w:szCs w:val="24"/>
        </w:rPr>
        <w:t>where</w:t>
      </w:r>
      <w:r w:rsidRPr="001E563A">
        <w:rPr>
          <w:rFonts w:cs="Times New Roman"/>
          <w:szCs w:val="24"/>
        </w:rPr>
        <w:t xml:space="preserve"> low wages reflect the limited bargaining power of </w:t>
      </w:r>
      <w:r>
        <w:rPr>
          <w:rFonts w:cs="Times New Roman"/>
          <w:szCs w:val="24"/>
        </w:rPr>
        <w:t>some</w:t>
      </w:r>
      <w:r w:rsidRPr="001E563A">
        <w:rPr>
          <w:rFonts w:cs="Times New Roman"/>
          <w:szCs w:val="24"/>
        </w:rPr>
        <w:t xml:space="preserve"> workers (</w:t>
      </w:r>
      <w:r w:rsidR="00FF035B">
        <w:rPr>
          <w:rFonts w:cs="Times New Roman"/>
          <w:szCs w:val="24"/>
        </w:rPr>
        <w:t>Table 3, quotes 3 - 5</w:t>
      </w:r>
      <w:r w:rsidRPr="001E563A">
        <w:rPr>
          <w:rFonts w:cs="Times New Roman"/>
          <w:szCs w:val="24"/>
        </w:rPr>
        <w:t xml:space="preserve">).  </w:t>
      </w:r>
      <w:r>
        <w:rPr>
          <w:rFonts w:cs="Times New Roman"/>
          <w:szCs w:val="24"/>
        </w:rPr>
        <w:t>LWA’s argument is that</w:t>
      </w:r>
      <w:r w:rsidRPr="00CE373F">
        <w:rPr>
          <w:rFonts w:cs="Times New Roman"/>
          <w:szCs w:val="24"/>
        </w:rPr>
        <w:t xml:space="preserve"> the free operation of the labour market </w:t>
      </w:r>
      <w:r>
        <w:rPr>
          <w:rFonts w:cs="Times New Roman"/>
          <w:szCs w:val="24"/>
        </w:rPr>
        <w:t>has led to a stark reality of exploitation, hardship and meaningless work: precisely a “lack of freedom” for many (White, 2012).</w:t>
      </w:r>
      <w:r w:rsidR="001C57A6">
        <w:rPr>
          <w:rFonts w:cs="Times New Roman"/>
          <w:szCs w:val="24"/>
        </w:rPr>
        <w:t xml:space="preserve"> </w:t>
      </w:r>
      <w:r>
        <w:rPr>
          <w:rFonts w:cs="Times New Roman"/>
          <w:szCs w:val="24"/>
        </w:rPr>
        <w:t xml:space="preserve"> </w:t>
      </w:r>
      <w:r w:rsidR="00ED445C">
        <w:rPr>
          <w:rFonts w:cs="Times New Roman"/>
          <w:szCs w:val="24"/>
        </w:rPr>
        <w:t xml:space="preserve">The claim that </w:t>
      </w:r>
      <w:r w:rsidR="00065EA2">
        <w:rPr>
          <w:rFonts w:cs="Times New Roman"/>
          <w:szCs w:val="24"/>
        </w:rPr>
        <w:t xml:space="preserve">it is </w:t>
      </w:r>
      <w:r w:rsidR="00ED445C">
        <w:rPr>
          <w:rFonts w:cs="Times New Roman"/>
          <w:szCs w:val="24"/>
        </w:rPr>
        <w:t xml:space="preserve">wage-paying organisations </w:t>
      </w:r>
      <w:r w:rsidR="00065EA2">
        <w:rPr>
          <w:rFonts w:cs="Times New Roman"/>
          <w:szCs w:val="24"/>
        </w:rPr>
        <w:t>(</w:t>
      </w:r>
      <w:r w:rsidR="00ED445C">
        <w:rPr>
          <w:rFonts w:cs="Times New Roman"/>
          <w:szCs w:val="24"/>
        </w:rPr>
        <w:t>rather than the state</w:t>
      </w:r>
      <w:r w:rsidR="001F6E7A">
        <w:rPr>
          <w:rFonts w:cs="Times New Roman"/>
          <w:szCs w:val="24"/>
        </w:rPr>
        <w:t>)</w:t>
      </w:r>
      <w:r w:rsidR="00ED445C">
        <w:rPr>
          <w:rFonts w:cs="Times New Roman"/>
          <w:szCs w:val="24"/>
        </w:rPr>
        <w:t xml:space="preserve"> that is responsible for ensuring </w:t>
      </w:r>
      <w:r w:rsidR="00ED445C" w:rsidRPr="001E563A">
        <w:rPr>
          <w:rFonts w:cs="Times New Roman"/>
          <w:szCs w:val="24"/>
        </w:rPr>
        <w:t>sufficient income and resources to</w:t>
      </w:r>
      <w:r w:rsidR="00ED445C">
        <w:rPr>
          <w:rFonts w:cs="Times New Roman"/>
          <w:szCs w:val="24"/>
        </w:rPr>
        <w:t xml:space="preserve"> </w:t>
      </w:r>
      <w:r w:rsidR="00ED445C" w:rsidRPr="001E563A">
        <w:rPr>
          <w:rFonts w:cs="Times New Roman"/>
          <w:szCs w:val="24"/>
        </w:rPr>
        <w:lastRenderedPageBreak/>
        <w:t>“enable workers to live with dignity” (</w:t>
      </w:r>
      <w:r w:rsidR="00ED445C">
        <w:rPr>
          <w:rFonts w:cs="Times New Roman"/>
          <w:szCs w:val="24"/>
        </w:rPr>
        <w:t xml:space="preserve">see, for example, </w:t>
      </w:r>
      <w:r w:rsidR="00ED445C" w:rsidRPr="001E563A">
        <w:rPr>
          <w:rFonts w:cs="Times New Roman"/>
          <w:szCs w:val="24"/>
        </w:rPr>
        <w:t>LWA, 201</w:t>
      </w:r>
      <w:r w:rsidR="00ED445C">
        <w:rPr>
          <w:rFonts w:cs="Times New Roman"/>
          <w:szCs w:val="24"/>
        </w:rPr>
        <w:t>2e</w:t>
      </w:r>
      <w:r w:rsidR="00ED445C" w:rsidRPr="001E563A">
        <w:rPr>
          <w:rFonts w:cs="Times New Roman"/>
          <w:szCs w:val="24"/>
        </w:rPr>
        <w:t>)</w:t>
      </w:r>
      <w:r w:rsidR="00ED445C">
        <w:rPr>
          <w:rFonts w:cs="Times New Roman"/>
          <w:szCs w:val="24"/>
        </w:rPr>
        <w:t xml:space="preserve"> rests on the idea</w:t>
      </w:r>
      <w:r w:rsidR="00E735C3">
        <w:rPr>
          <w:rFonts w:cs="Times New Roman"/>
          <w:szCs w:val="24"/>
        </w:rPr>
        <w:t xml:space="preserve">, grounded in the </w:t>
      </w:r>
      <w:r w:rsidR="00E735C3" w:rsidRPr="00B42DDC">
        <w:rPr>
          <w:rFonts w:cs="Times New Roman"/>
          <w:i/>
          <w:szCs w:val="24"/>
        </w:rPr>
        <w:t>domestic</w:t>
      </w:r>
      <w:r w:rsidR="00E735C3">
        <w:rPr>
          <w:rFonts w:cs="Times New Roman"/>
          <w:szCs w:val="24"/>
        </w:rPr>
        <w:t xml:space="preserve"> order of worth,</w:t>
      </w:r>
      <w:r w:rsidR="00ED445C">
        <w:rPr>
          <w:rFonts w:cs="Times New Roman"/>
          <w:szCs w:val="24"/>
        </w:rPr>
        <w:t xml:space="preserve"> of workers as embedded in meaningful and reciprocal relationships with their organisations</w:t>
      </w:r>
      <w:r w:rsidR="00ED445C" w:rsidRPr="001E563A">
        <w:rPr>
          <w:rFonts w:cs="Times New Roman"/>
          <w:szCs w:val="24"/>
        </w:rPr>
        <w:t>.</w:t>
      </w:r>
      <w:r w:rsidR="00ED445C">
        <w:rPr>
          <w:rFonts w:cs="Times New Roman"/>
          <w:szCs w:val="24"/>
        </w:rPr>
        <w:t xml:space="preserve"> </w:t>
      </w:r>
      <w:r w:rsidR="00E735C3">
        <w:rPr>
          <w:rFonts w:cs="Times New Roman"/>
          <w:szCs w:val="24"/>
        </w:rPr>
        <w:t xml:space="preserve"> </w:t>
      </w:r>
      <w:r w:rsidR="00190CD5">
        <w:rPr>
          <w:rFonts w:cs="Times New Roman"/>
          <w:szCs w:val="24"/>
        </w:rPr>
        <w:t xml:space="preserve">Members of LWA representing religious organisations, meanwhile, </w:t>
      </w:r>
      <w:r w:rsidR="001021F3">
        <w:rPr>
          <w:rFonts w:cs="Times New Roman"/>
          <w:szCs w:val="24"/>
        </w:rPr>
        <w:t xml:space="preserve">can be seen to </w:t>
      </w:r>
      <w:r w:rsidR="00190CD5">
        <w:rPr>
          <w:rFonts w:cs="Times New Roman"/>
          <w:szCs w:val="24"/>
        </w:rPr>
        <w:t xml:space="preserve">also invoke the </w:t>
      </w:r>
      <w:r w:rsidR="00190CD5" w:rsidRPr="00796B66">
        <w:rPr>
          <w:rFonts w:cs="Times New Roman"/>
          <w:i/>
          <w:szCs w:val="24"/>
        </w:rPr>
        <w:t>inspired</w:t>
      </w:r>
      <w:r w:rsidR="00190CD5">
        <w:rPr>
          <w:rFonts w:cs="Times New Roman"/>
          <w:szCs w:val="24"/>
        </w:rPr>
        <w:t xml:space="preserve"> order of worth to insist on the sacred dignity of each human being, and to assert that the living wage is morally required by the “</w:t>
      </w:r>
      <w:r w:rsidR="00190CD5" w:rsidRPr="00796B66">
        <w:rPr>
          <w:rFonts w:cs="Times New Roman"/>
          <w:szCs w:val="24"/>
        </w:rPr>
        <w:t>inviolable dignity</w:t>
      </w:r>
      <w:r w:rsidR="00190CD5">
        <w:rPr>
          <w:rFonts w:cs="Times New Roman"/>
          <w:szCs w:val="24"/>
        </w:rPr>
        <w:t xml:space="preserve">” (White, 2012) of each human person.  </w:t>
      </w:r>
    </w:p>
    <w:p w14:paraId="5FCEE5DF" w14:textId="77777777" w:rsidR="003142FA" w:rsidRDefault="003142FA" w:rsidP="003142FA">
      <w:pPr>
        <w:rPr>
          <w:rFonts w:cs="Times New Roman"/>
          <w:szCs w:val="24"/>
        </w:rPr>
      </w:pPr>
    </w:p>
    <w:p w14:paraId="0F2B1F37" w14:textId="5D2CD3CB" w:rsidR="00105ADD" w:rsidRDefault="00065EA2" w:rsidP="00B42DDC">
      <w:pPr>
        <w:rPr>
          <w:rFonts w:cs="Times New Roman"/>
          <w:sz w:val="22"/>
        </w:rPr>
      </w:pPr>
      <w:r>
        <w:rPr>
          <w:rFonts w:cs="Times New Roman"/>
          <w:szCs w:val="24"/>
        </w:rPr>
        <w:t xml:space="preserve">Brown (2015, p. 64) argues that the extension of </w:t>
      </w:r>
      <w:r w:rsidR="001F6E7A">
        <w:rPr>
          <w:rFonts w:cs="Times New Roman"/>
          <w:szCs w:val="24"/>
        </w:rPr>
        <w:t>“</w:t>
      </w:r>
      <w:r>
        <w:rPr>
          <w:rFonts w:cs="Times New Roman"/>
          <w:szCs w:val="24"/>
        </w:rPr>
        <w:t>market principles … to every sphere of social interaction</w:t>
      </w:r>
      <w:r w:rsidR="001F6E7A">
        <w:rPr>
          <w:rFonts w:cs="Times New Roman"/>
          <w:szCs w:val="24"/>
        </w:rPr>
        <w:t>”</w:t>
      </w:r>
      <w:r>
        <w:rPr>
          <w:rFonts w:cs="Times New Roman"/>
          <w:szCs w:val="24"/>
        </w:rPr>
        <w:t xml:space="preserve"> means that the civic order’s </w:t>
      </w:r>
      <w:r w:rsidR="001F6E7A">
        <w:rPr>
          <w:rFonts w:cs="Times New Roman"/>
          <w:szCs w:val="24"/>
        </w:rPr>
        <w:t>“</w:t>
      </w:r>
      <w:r w:rsidRPr="00065EA2">
        <w:rPr>
          <w:rFonts w:cs="Times New Roman"/>
          <w:szCs w:val="24"/>
        </w:rPr>
        <w:t>guarantee of equality through the rule of law and participation in popular sovereignty is replaced with a market formulation of winners and losers</w:t>
      </w:r>
      <w:r w:rsidR="001F6E7A">
        <w:rPr>
          <w:rFonts w:cs="Times New Roman"/>
          <w:szCs w:val="24"/>
        </w:rPr>
        <w:t>”</w:t>
      </w:r>
      <w:r>
        <w:rPr>
          <w:rFonts w:cs="Times New Roman"/>
          <w:szCs w:val="24"/>
        </w:rPr>
        <w:t xml:space="preserve"> (ibid., p. 41). </w:t>
      </w:r>
      <w:r w:rsidR="001F6E7A">
        <w:rPr>
          <w:rFonts w:cs="Times New Roman"/>
          <w:szCs w:val="24"/>
        </w:rPr>
        <w:t xml:space="preserve"> </w:t>
      </w:r>
      <w:r>
        <w:rPr>
          <w:rFonts w:cs="Times New Roman"/>
          <w:szCs w:val="24"/>
        </w:rPr>
        <w:t xml:space="preserve">In this context, she adds, </w:t>
      </w:r>
      <w:r w:rsidR="001F6E7A">
        <w:rPr>
          <w:rFonts w:cs="Times New Roman"/>
          <w:szCs w:val="24"/>
        </w:rPr>
        <w:t>“</w:t>
      </w:r>
      <w:r w:rsidRPr="00065EA2">
        <w:rPr>
          <w:rFonts w:cs="Times New Roman"/>
          <w:szCs w:val="24"/>
        </w:rPr>
        <w:t>inequality becomes legitimate, even normative, in every sphere</w:t>
      </w:r>
      <w:r w:rsidR="001F6E7A">
        <w:rPr>
          <w:rFonts w:cs="Times New Roman"/>
          <w:szCs w:val="24"/>
        </w:rPr>
        <w:t xml:space="preserve"> (Brown, 2015, p. 64)”.</w:t>
      </w:r>
      <w:r w:rsidRPr="00065EA2">
        <w:rPr>
          <w:rFonts w:cs="Times New Roman"/>
          <w:szCs w:val="24"/>
        </w:rPr>
        <w:t xml:space="preserve"> </w:t>
      </w:r>
      <w:r w:rsidR="001F6E7A">
        <w:rPr>
          <w:rFonts w:cs="Times New Roman"/>
          <w:szCs w:val="24"/>
        </w:rPr>
        <w:t xml:space="preserve"> </w:t>
      </w:r>
      <w:r w:rsidR="001021F3">
        <w:rPr>
          <w:rFonts w:cs="Times New Roman"/>
          <w:szCs w:val="24"/>
        </w:rPr>
        <w:t xml:space="preserve">Likewise, </w:t>
      </w:r>
      <w:r w:rsidR="003142FA">
        <w:rPr>
          <w:rFonts w:cs="Times New Roman"/>
          <w:szCs w:val="24"/>
        </w:rPr>
        <w:t>LWA</w:t>
      </w:r>
      <w:r w:rsidR="001021F3">
        <w:rPr>
          <w:rFonts w:cs="Times New Roman"/>
          <w:szCs w:val="24"/>
        </w:rPr>
        <w:t>’s critique</w:t>
      </w:r>
      <w:r w:rsidR="003142FA">
        <w:rPr>
          <w:rFonts w:cs="Times New Roman"/>
          <w:szCs w:val="24"/>
        </w:rPr>
        <w:t xml:space="preserve"> assert</w:t>
      </w:r>
      <w:r w:rsidR="001021F3">
        <w:rPr>
          <w:rFonts w:cs="Times New Roman"/>
          <w:szCs w:val="24"/>
        </w:rPr>
        <w:t>s</w:t>
      </w:r>
      <w:r w:rsidR="003142FA">
        <w:rPr>
          <w:rFonts w:cs="Times New Roman"/>
          <w:szCs w:val="24"/>
        </w:rPr>
        <w:t xml:space="preserve"> that human workers are marked by their fundamental equality (</w:t>
      </w:r>
      <w:r w:rsidR="003142FA" w:rsidRPr="00F65A3A">
        <w:rPr>
          <w:rFonts w:cs="Times New Roman"/>
          <w:i/>
          <w:szCs w:val="24"/>
        </w:rPr>
        <w:t>qua</w:t>
      </w:r>
      <w:r w:rsidR="003142FA">
        <w:rPr>
          <w:rFonts w:cs="Times New Roman"/>
          <w:szCs w:val="24"/>
        </w:rPr>
        <w:t xml:space="preserve"> citizens of the civic world) and their fundamental dignity (</w:t>
      </w:r>
      <w:r w:rsidR="003142FA" w:rsidRPr="00E918DF">
        <w:rPr>
          <w:rFonts w:cs="Times New Roman"/>
          <w:i/>
          <w:szCs w:val="24"/>
        </w:rPr>
        <w:t>qua</w:t>
      </w:r>
      <w:r w:rsidR="003142FA">
        <w:rPr>
          <w:rFonts w:cs="Times New Roman"/>
          <w:szCs w:val="24"/>
        </w:rPr>
        <w:t xml:space="preserve"> inherently valuable beings of the domestic and inspired worlds) rather than by their fundamental inequality (</w:t>
      </w:r>
      <w:r w:rsidR="003142FA" w:rsidRPr="00F65A3A">
        <w:rPr>
          <w:rFonts w:cs="Times New Roman"/>
          <w:i/>
          <w:szCs w:val="24"/>
        </w:rPr>
        <w:t>qua</w:t>
      </w:r>
      <w:r w:rsidR="003142FA">
        <w:rPr>
          <w:rFonts w:cs="Times New Roman"/>
          <w:szCs w:val="24"/>
        </w:rPr>
        <w:t xml:space="preserve"> competitive actors in the market world).  </w:t>
      </w:r>
      <w:r>
        <w:rPr>
          <w:rFonts w:cs="Times New Roman"/>
          <w:szCs w:val="24"/>
        </w:rPr>
        <w:t>T</w:t>
      </w:r>
      <w:r w:rsidR="003142FA">
        <w:rPr>
          <w:rFonts w:cs="Times New Roman"/>
          <w:szCs w:val="24"/>
        </w:rPr>
        <w:t xml:space="preserve">his fundamental equality and dignity </w:t>
      </w:r>
      <w:r w:rsidR="001021F3">
        <w:rPr>
          <w:rFonts w:cs="Times New Roman"/>
          <w:szCs w:val="24"/>
        </w:rPr>
        <w:t>is presented as holding</w:t>
      </w:r>
      <w:r w:rsidR="003142FA">
        <w:rPr>
          <w:rFonts w:cs="Times New Roman"/>
          <w:szCs w:val="24"/>
        </w:rPr>
        <w:t xml:space="preserve"> not just within the political realm, but also within the labour market.  </w:t>
      </w:r>
    </w:p>
    <w:p w14:paraId="171459B0" w14:textId="77777777" w:rsidR="00105ADD" w:rsidRDefault="00105ADD" w:rsidP="00A22B9A">
      <w:pPr>
        <w:keepNext/>
        <w:rPr>
          <w:rFonts w:cs="Times New Roman"/>
          <w:sz w:val="22"/>
        </w:rPr>
      </w:pPr>
    </w:p>
    <w:p w14:paraId="53231FAC" w14:textId="3E1A55FE" w:rsidR="00CA5F57" w:rsidRDefault="00FF035B" w:rsidP="00105ADD">
      <w:pPr>
        <w:keepNext/>
        <w:rPr>
          <w:rFonts w:cs="Times New Roman"/>
          <w:szCs w:val="24"/>
        </w:rPr>
      </w:pPr>
      <w:r>
        <w:rPr>
          <w:rFonts w:cs="Times New Roman"/>
          <w:szCs w:val="24"/>
        </w:rPr>
        <w:t>LWA’s</w:t>
      </w:r>
      <w:r w:rsidR="00105ADD" w:rsidRPr="00B42DDC">
        <w:rPr>
          <w:rFonts w:cs="Times New Roman"/>
          <w:szCs w:val="24"/>
        </w:rPr>
        <w:t xml:space="preserve"> second critique of </w:t>
      </w:r>
      <w:r w:rsidR="00F11DA2" w:rsidRPr="00B42DDC">
        <w:rPr>
          <w:rFonts w:cs="Times New Roman"/>
          <w:szCs w:val="24"/>
        </w:rPr>
        <w:t xml:space="preserve">the </w:t>
      </w:r>
      <w:r w:rsidR="00105ADD" w:rsidRPr="00B42DDC">
        <w:rPr>
          <w:rFonts w:cs="Times New Roman"/>
          <w:szCs w:val="24"/>
        </w:rPr>
        <w:t xml:space="preserve">“expansive nature of market relations” (Walzer, </w:t>
      </w:r>
      <w:r>
        <w:rPr>
          <w:rFonts w:cs="Times New Roman"/>
          <w:szCs w:val="24"/>
        </w:rPr>
        <w:t>1983, p. 119</w:t>
      </w:r>
      <w:r w:rsidR="00105ADD" w:rsidRPr="00B42DDC">
        <w:rPr>
          <w:rFonts w:cs="Times New Roman"/>
          <w:szCs w:val="24"/>
        </w:rPr>
        <w:t xml:space="preserve">) holds that when the worth of low-paid workers is based </w:t>
      </w:r>
      <w:r w:rsidR="00ED445C">
        <w:rPr>
          <w:rFonts w:cs="Times New Roman"/>
          <w:szCs w:val="24"/>
        </w:rPr>
        <w:t>to a too-large extent</w:t>
      </w:r>
      <w:r w:rsidR="00105ADD" w:rsidRPr="00B42DDC">
        <w:rPr>
          <w:rFonts w:cs="Times New Roman"/>
          <w:szCs w:val="24"/>
        </w:rPr>
        <w:t xml:space="preserve"> on a </w:t>
      </w:r>
      <w:r w:rsidR="00105ADD" w:rsidRPr="00B42DDC">
        <w:rPr>
          <w:rFonts w:cs="Times New Roman"/>
          <w:i/>
          <w:szCs w:val="24"/>
        </w:rPr>
        <w:t>market</w:t>
      </w:r>
      <w:r w:rsidR="00105ADD" w:rsidRPr="00B42DDC">
        <w:rPr>
          <w:rFonts w:cs="Times New Roman"/>
          <w:szCs w:val="24"/>
        </w:rPr>
        <w:t xml:space="preserve"> valuation, these low wages have effects that go beyond the individual worker. </w:t>
      </w:r>
      <w:r w:rsidR="00105ADD" w:rsidRPr="00903440">
        <w:rPr>
          <w:rFonts w:cs="Times New Roman"/>
          <w:szCs w:val="24"/>
        </w:rPr>
        <w:t xml:space="preserve">Income </w:t>
      </w:r>
      <w:r w:rsidR="00665CFA" w:rsidRPr="00903440">
        <w:rPr>
          <w:rFonts w:cs="Times New Roman"/>
          <w:szCs w:val="24"/>
        </w:rPr>
        <w:t>inequality and – more specifically –</w:t>
      </w:r>
      <w:r w:rsidR="00F86157" w:rsidRPr="00903440">
        <w:rPr>
          <w:rFonts w:cs="Times New Roman"/>
          <w:szCs w:val="24"/>
        </w:rPr>
        <w:t xml:space="preserve"> </w:t>
      </w:r>
      <w:r w:rsidR="00665CFA" w:rsidRPr="00903440">
        <w:rPr>
          <w:rFonts w:cs="Times New Roman"/>
          <w:szCs w:val="24"/>
        </w:rPr>
        <w:t>in-work poverty</w:t>
      </w:r>
      <w:r w:rsidR="00986D87">
        <w:rPr>
          <w:rFonts w:cs="Times New Roman"/>
          <w:szCs w:val="24"/>
        </w:rPr>
        <w:t>, they argue,</w:t>
      </w:r>
      <w:r w:rsidR="00665CFA" w:rsidRPr="00903440">
        <w:rPr>
          <w:rFonts w:cs="Times New Roman"/>
          <w:szCs w:val="24"/>
        </w:rPr>
        <w:t xml:space="preserve"> </w:t>
      </w:r>
      <w:r w:rsidR="00F11DA2" w:rsidRPr="00903440">
        <w:rPr>
          <w:rFonts w:cs="Times New Roman"/>
          <w:szCs w:val="24"/>
        </w:rPr>
        <w:t>has negative consequences not just for low-paid workers but also</w:t>
      </w:r>
      <w:r w:rsidR="00665CFA" w:rsidRPr="00903440">
        <w:rPr>
          <w:rFonts w:cs="Times New Roman"/>
          <w:szCs w:val="24"/>
        </w:rPr>
        <w:t xml:space="preserve"> for society </w:t>
      </w:r>
      <w:r w:rsidR="00F11DA2" w:rsidRPr="00903440">
        <w:rPr>
          <w:rFonts w:cs="Times New Roman"/>
          <w:szCs w:val="24"/>
        </w:rPr>
        <w:t xml:space="preserve">more broadly </w:t>
      </w:r>
      <w:r w:rsidR="00665CFA" w:rsidRPr="00903440">
        <w:rPr>
          <w:rFonts w:cs="Times New Roman"/>
          <w:szCs w:val="24"/>
        </w:rPr>
        <w:t>(</w:t>
      </w:r>
      <w:r>
        <w:rPr>
          <w:rFonts w:cs="Times New Roman"/>
          <w:szCs w:val="24"/>
        </w:rPr>
        <w:t xml:space="preserve">Table 3, </w:t>
      </w:r>
      <w:r w:rsidR="00665CFA" w:rsidRPr="00903440">
        <w:rPr>
          <w:rFonts w:cs="Times New Roman"/>
          <w:szCs w:val="24"/>
        </w:rPr>
        <w:t xml:space="preserve">quotes </w:t>
      </w:r>
      <w:r>
        <w:rPr>
          <w:rFonts w:cs="Times New Roman"/>
          <w:szCs w:val="24"/>
        </w:rPr>
        <w:t>12, 13, 17 - 19</w:t>
      </w:r>
      <w:r w:rsidR="00986D87">
        <w:rPr>
          <w:rFonts w:cs="Times New Roman"/>
          <w:szCs w:val="24"/>
        </w:rPr>
        <w:t>)</w:t>
      </w:r>
      <w:r w:rsidR="00665CFA">
        <w:rPr>
          <w:rFonts w:cs="Times New Roman"/>
          <w:szCs w:val="24"/>
        </w:rPr>
        <w:t xml:space="preserve">. </w:t>
      </w:r>
      <w:r w:rsidR="00F86157">
        <w:rPr>
          <w:rFonts w:cs="Times New Roman"/>
          <w:szCs w:val="24"/>
        </w:rPr>
        <w:t xml:space="preserve"> </w:t>
      </w:r>
      <w:r w:rsidR="00F11DA2">
        <w:rPr>
          <w:rFonts w:cs="Times New Roman"/>
          <w:szCs w:val="24"/>
        </w:rPr>
        <w:t xml:space="preserve">Since the wage decisions of firms contribute to income inequality and its impact on wider society, LWA holds that firms carry a responsibility for paying more: </w:t>
      </w:r>
      <w:r w:rsidR="00665CFA" w:rsidRPr="001E563A">
        <w:rPr>
          <w:rFonts w:cs="Times New Roman"/>
          <w:szCs w:val="24"/>
        </w:rPr>
        <w:t xml:space="preserve">inequality and hardship ought to be addressed not just through political </w:t>
      </w:r>
      <w:r w:rsidR="00665CFA" w:rsidRPr="001E563A">
        <w:rPr>
          <w:rFonts w:cs="Times New Roman"/>
          <w:i/>
          <w:szCs w:val="24"/>
        </w:rPr>
        <w:t>re</w:t>
      </w:r>
      <w:r w:rsidR="00665CFA" w:rsidRPr="001E563A">
        <w:rPr>
          <w:rFonts w:cs="Times New Roman"/>
          <w:szCs w:val="24"/>
        </w:rPr>
        <w:t xml:space="preserve">-distribution, but </w:t>
      </w:r>
      <w:r w:rsidR="00F11DA2">
        <w:rPr>
          <w:rFonts w:cs="Times New Roman"/>
          <w:szCs w:val="24"/>
        </w:rPr>
        <w:t xml:space="preserve">also (and </w:t>
      </w:r>
      <w:r w:rsidR="00665CFA" w:rsidRPr="001E563A">
        <w:rPr>
          <w:rFonts w:cs="Times New Roman"/>
          <w:szCs w:val="24"/>
        </w:rPr>
        <w:t>primarily</w:t>
      </w:r>
      <w:r w:rsidR="00F11DA2">
        <w:rPr>
          <w:rFonts w:cs="Times New Roman"/>
          <w:szCs w:val="24"/>
        </w:rPr>
        <w:t>)</w:t>
      </w:r>
      <w:r w:rsidR="00665CFA" w:rsidRPr="001E563A">
        <w:rPr>
          <w:rFonts w:cs="Times New Roman"/>
          <w:szCs w:val="24"/>
        </w:rPr>
        <w:t xml:space="preserve"> through the equalisation of market incomes: </w:t>
      </w:r>
      <w:r w:rsidR="00665CFA" w:rsidRPr="001E563A">
        <w:rPr>
          <w:rFonts w:cs="Times New Roman"/>
          <w:i/>
          <w:szCs w:val="24"/>
        </w:rPr>
        <w:t>pre</w:t>
      </w:r>
      <w:r w:rsidR="00665CFA" w:rsidRPr="001E563A">
        <w:rPr>
          <w:rFonts w:cs="Times New Roman"/>
          <w:szCs w:val="24"/>
        </w:rPr>
        <w:t>-</w:t>
      </w:r>
      <w:r w:rsidR="00665CFA">
        <w:rPr>
          <w:rFonts w:cs="Times New Roman"/>
          <w:szCs w:val="24"/>
        </w:rPr>
        <w:t xml:space="preserve">distribution. </w:t>
      </w:r>
    </w:p>
    <w:p w14:paraId="0A23CFA5" w14:textId="77777777" w:rsidR="00CA5F57" w:rsidRDefault="00CA5F57" w:rsidP="00105ADD">
      <w:pPr>
        <w:keepNext/>
        <w:rPr>
          <w:rFonts w:cs="Times New Roman"/>
          <w:szCs w:val="24"/>
        </w:rPr>
      </w:pPr>
    </w:p>
    <w:p w14:paraId="27B54C1C" w14:textId="6B3A346E" w:rsidR="00CE210F" w:rsidRDefault="00CA5F57" w:rsidP="00105ADD">
      <w:pPr>
        <w:keepNext/>
        <w:rPr>
          <w:rFonts w:cs="Times New Roman"/>
          <w:szCs w:val="24"/>
        </w:rPr>
      </w:pPr>
      <w:r>
        <w:rPr>
          <w:rFonts w:cs="Times New Roman"/>
          <w:szCs w:val="24"/>
        </w:rPr>
        <w:t xml:space="preserve">This critique (that existing low-wage practices erode collective welfare) draws primarily on the </w:t>
      </w:r>
      <w:r w:rsidRPr="00796B66">
        <w:rPr>
          <w:rFonts w:cs="Times New Roman"/>
          <w:i/>
          <w:szCs w:val="24"/>
        </w:rPr>
        <w:t>civic</w:t>
      </w:r>
      <w:r>
        <w:rPr>
          <w:rFonts w:cs="Times New Roman"/>
          <w:szCs w:val="24"/>
        </w:rPr>
        <w:t xml:space="preserve"> order of worth, which holds </w:t>
      </w:r>
      <w:r>
        <w:rPr>
          <w:lang w:val="en-AU"/>
        </w:rPr>
        <w:t>self-interest as unworthy, compared to the worth inherent in promoting the collective interest.</w:t>
      </w:r>
      <w:r w:rsidR="001C57A6">
        <w:rPr>
          <w:lang w:val="en-AU"/>
        </w:rPr>
        <w:t xml:space="preserve"> </w:t>
      </w:r>
      <w:r>
        <w:rPr>
          <w:lang w:val="en-AU"/>
        </w:rPr>
        <w:t xml:space="preserve"> </w:t>
      </w:r>
      <w:r w:rsidR="00B42DDC" w:rsidDel="00CE2B7B">
        <w:rPr>
          <w:lang w:val="en-AU"/>
        </w:rPr>
        <w:t>“</w:t>
      </w:r>
      <w:r w:rsidDel="00CE2B7B">
        <w:rPr>
          <w:lang w:val="en-AU"/>
        </w:rPr>
        <w:t>In the civic world</w:t>
      </w:r>
      <w:r w:rsidR="00B42DDC" w:rsidDel="00CE2B7B">
        <w:rPr>
          <w:lang w:val="en-AU"/>
        </w:rPr>
        <w:t>”</w:t>
      </w:r>
      <w:r w:rsidDel="00CE2B7B">
        <w:rPr>
          <w:lang w:val="en-AU"/>
        </w:rPr>
        <w:t xml:space="preserve">, Boltanski and Thévenot (2006, p. 190) note, </w:t>
      </w:r>
      <w:r w:rsidR="00B42DDC" w:rsidDel="00CE2B7B">
        <w:rPr>
          <w:lang w:val="en-AU"/>
        </w:rPr>
        <w:t>“</w:t>
      </w:r>
      <w:r w:rsidDel="00CE2B7B">
        <w:rPr>
          <w:lang w:val="en-AU"/>
        </w:rPr>
        <w:t>one attains worth by … refusing to place “</w:t>
      </w:r>
      <w:r w:rsidRPr="00A5646D" w:rsidDel="00CE2B7B">
        <w:rPr>
          <w:i/>
          <w:lang w:val="en-AU"/>
        </w:rPr>
        <w:t>individual interests</w:t>
      </w:r>
      <w:r w:rsidDel="00CE2B7B">
        <w:rPr>
          <w:lang w:val="en-AU"/>
        </w:rPr>
        <w:t xml:space="preserve"> ahead of </w:t>
      </w:r>
      <w:r w:rsidRPr="00A5646D" w:rsidDel="00CE2B7B">
        <w:rPr>
          <w:i/>
          <w:lang w:val="en-AU"/>
        </w:rPr>
        <w:t>collective interests</w:t>
      </w:r>
      <w:r w:rsidDel="00CE2B7B">
        <w:rPr>
          <w:lang w:val="en-AU"/>
        </w:rPr>
        <w:t xml:space="preserve">.” </w:t>
      </w:r>
      <w:r w:rsidR="001C57A6" w:rsidDel="00CE2B7B">
        <w:rPr>
          <w:lang w:val="en-AU"/>
        </w:rPr>
        <w:t xml:space="preserve"> </w:t>
      </w:r>
      <w:r>
        <w:rPr>
          <w:lang w:val="en-AU"/>
        </w:rPr>
        <w:t xml:space="preserve">The </w:t>
      </w:r>
      <w:r w:rsidRPr="00796B66">
        <w:rPr>
          <w:rFonts w:cs="Times New Roman"/>
          <w:i/>
          <w:szCs w:val="24"/>
        </w:rPr>
        <w:t>civic</w:t>
      </w:r>
      <w:r>
        <w:rPr>
          <w:rFonts w:cs="Times New Roman"/>
          <w:szCs w:val="24"/>
        </w:rPr>
        <w:t xml:space="preserve"> order in isolation, </w:t>
      </w:r>
      <w:r w:rsidR="001F5C12">
        <w:rPr>
          <w:rFonts w:cs="Times New Roman"/>
          <w:szCs w:val="24"/>
        </w:rPr>
        <w:t xml:space="preserve">however, </w:t>
      </w:r>
      <w:r>
        <w:rPr>
          <w:rFonts w:cs="Times New Roman"/>
          <w:szCs w:val="24"/>
        </w:rPr>
        <w:t xml:space="preserve">is not sufficient, since its </w:t>
      </w:r>
      <w:r>
        <w:rPr>
          <w:rFonts w:cs="Times New Roman"/>
          <w:szCs w:val="24"/>
        </w:rPr>
        <w:lastRenderedPageBreak/>
        <w:t>qualified legal forms and objects (rules and regulations, official and universal policies) suggest the sort of formal, institutional response that LWA avoid</w:t>
      </w:r>
      <w:r w:rsidR="008D4CD1">
        <w:rPr>
          <w:rFonts w:cs="Times New Roman"/>
          <w:szCs w:val="24"/>
        </w:rPr>
        <w:t>s</w:t>
      </w:r>
      <w:r>
        <w:rPr>
          <w:rFonts w:cs="Times New Roman"/>
          <w:szCs w:val="24"/>
        </w:rPr>
        <w:t xml:space="preserve">.  </w:t>
      </w:r>
      <w:r w:rsidR="00E03FBA">
        <w:rPr>
          <w:rFonts w:cs="Times New Roman"/>
          <w:szCs w:val="24"/>
        </w:rPr>
        <w:t xml:space="preserve">The living wage call is predicated not on the sort of state regulation characteristic of the </w:t>
      </w:r>
      <w:r w:rsidR="00E03FBA" w:rsidRPr="00796B66">
        <w:rPr>
          <w:rFonts w:cs="Times New Roman"/>
          <w:i/>
          <w:szCs w:val="24"/>
        </w:rPr>
        <w:t>civic</w:t>
      </w:r>
      <w:r w:rsidR="00E03FBA">
        <w:rPr>
          <w:rFonts w:cs="Times New Roman"/>
          <w:szCs w:val="24"/>
        </w:rPr>
        <w:t xml:space="preserve"> world, but on a voluntary, </w:t>
      </w:r>
      <w:bookmarkStart w:id="5" w:name="_Hlk499048551"/>
      <w:r w:rsidR="00E03FBA">
        <w:rPr>
          <w:rFonts w:cs="Times New Roman"/>
          <w:szCs w:val="24"/>
        </w:rPr>
        <w:t xml:space="preserve">active partnership between organisations, workers and society. </w:t>
      </w:r>
      <w:bookmarkEnd w:id="5"/>
    </w:p>
    <w:p w14:paraId="3141FADC" w14:textId="77777777" w:rsidR="00CE210F" w:rsidRDefault="00CE210F" w:rsidP="00A22B9A">
      <w:pPr>
        <w:keepNext/>
        <w:rPr>
          <w:rFonts w:cs="Times New Roman"/>
          <w:szCs w:val="24"/>
        </w:rPr>
      </w:pPr>
    </w:p>
    <w:p w14:paraId="1FF76A06" w14:textId="61F8C0C8" w:rsidR="0072449B" w:rsidRDefault="001F5C12" w:rsidP="00903440">
      <w:pPr>
        <w:keepNext/>
        <w:rPr>
          <w:rFonts w:cs="Times New Roman"/>
          <w:szCs w:val="24"/>
        </w:rPr>
      </w:pPr>
      <w:r>
        <w:rPr>
          <w:rFonts w:cs="Times New Roman"/>
          <w:szCs w:val="24"/>
        </w:rPr>
        <w:t>LWA’s</w:t>
      </w:r>
      <w:r w:rsidR="00123C97">
        <w:rPr>
          <w:rFonts w:cs="Times New Roman"/>
          <w:szCs w:val="24"/>
        </w:rPr>
        <w:t xml:space="preserve"> argument</w:t>
      </w:r>
      <w:r>
        <w:rPr>
          <w:rFonts w:cs="Times New Roman"/>
          <w:szCs w:val="24"/>
        </w:rPr>
        <w:t>s, then,</w:t>
      </w:r>
      <w:r w:rsidR="00123C97">
        <w:rPr>
          <w:rFonts w:cs="Times New Roman"/>
          <w:szCs w:val="24"/>
        </w:rPr>
        <w:t xml:space="preserve"> contain a combination of multiple orders.  </w:t>
      </w:r>
      <w:r>
        <w:rPr>
          <w:rFonts w:cs="Times New Roman"/>
          <w:szCs w:val="24"/>
        </w:rPr>
        <w:t>Specifically, they contain a</w:t>
      </w:r>
      <w:r w:rsidR="0072449B">
        <w:rPr>
          <w:rFonts w:cs="Times New Roman"/>
          <w:szCs w:val="24"/>
        </w:rPr>
        <w:t xml:space="preserve"> </w:t>
      </w:r>
      <w:r w:rsidR="0072449B" w:rsidRPr="00796B66">
        <w:rPr>
          <w:rFonts w:cs="Times New Roman"/>
          <w:i/>
          <w:szCs w:val="24"/>
        </w:rPr>
        <w:t>civic</w:t>
      </w:r>
      <w:r w:rsidR="0072449B">
        <w:rPr>
          <w:rFonts w:cs="Times New Roman"/>
          <w:szCs w:val="24"/>
        </w:rPr>
        <w:t>-</w:t>
      </w:r>
      <w:r w:rsidR="0072449B" w:rsidRPr="00796B66">
        <w:rPr>
          <w:rFonts w:cs="Times New Roman"/>
          <w:i/>
          <w:szCs w:val="24"/>
        </w:rPr>
        <w:t>domestic</w:t>
      </w:r>
      <w:r w:rsidR="0072449B">
        <w:rPr>
          <w:rFonts w:cs="Times New Roman"/>
          <w:szCs w:val="24"/>
        </w:rPr>
        <w:t xml:space="preserve"> combination </w:t>
      </w:r>
      <w:r>
        <w:rPr>
          <w:rFonts w:cs="Times New Roman"/>
          <w:szCs w:val="24"/>
        </w:rPr>
        <w:t xml:space="preserve">that </w:t>
      </w:r>
      <w:r w:rsidR="0072449B">
        <w:rPr>
          <w:rFonts w:cs="Times New Roman"/>
          <w:szCs w:val="24"/>
        </w:rPr>
        <w:t>constructs a</w:t>
      </w:r>
      <w:r w:rsidR="0072449B" w:rsidRPr="001E563A">
        <w:rPr>
          <w:rFonts w:cs="Times New Roman"/>
          <w:szCs w:val="24"/>
        </w:rPr>
        <w:t xml:space="preserve"> particularly</w:t>
      </w:r>
      <w:r w:rsidR="0072449B">
        <w:rPr>
          <w:rFonts w:cs="Times New Roman"/>
          <w:szCs w:val="24"/>
        </w:rPr>
        <w:t xml:space="preserve"> thick, rich conception of </w:t>
      </w:r>
      <w:r w:rsidR="0072449B" w:rsidRPr="001E563A">
        <w:rPr>
          <w:rFonts w:cs="Times New Roman"/>
          <w:szCs w:val="24"/>
        </w:rPr>
        <w:t xml:space="preserve">equality.  For LWA, the equality that really matters to people </w:t>
      </w:r>
      <w:r w:rsidR="0072449B">
        <w:rPr>
          <w:rFonts w:cs="Times New Roman"/>
          <w:szCs w:val="24"/>
        </w:rPr>
        <w:t xml:space="preserve">appears to be </w:t>
      </w:r>
      <w:r w:rsidR="0072449B" w:rsidRPr="001E563A">
        <w:rPr>
          <w:rFonts w:cs="Times New Roman"/>
          <w:szCs w:val="24"/>
        </w:rPr>
        <w:t>a concrete, substantive equality of resources</w:t>
      </w:r>
      <w:r w:rsidR="0072449B">
        <w:rPr>
          <w:rFonts w:cs="Times New Roman"/>
          <w:szCs w:val="24"/>
        </w:rPr>
        <w:t>.  In an oft-repeated phrase that becomes something of a mantra, LWA argues that people need not just equal legal rights and abstract opportunities but something more concrete</w:t>
      </w:r>
      <w:r w:rsidR="0072449B" w:rsidRPr="001E563A">
        <w:rPr>
          <w:rFonts w:cs="Times New Roman"/>
          <w:szCs w:val="24"/>
        </w:rPr>
        <w:t>: sufficient income and resources to</w:t>
      </w:r>
      <w:r w:rsidR="0072449B">
        <w:rPr>
          <w:rFonts w:cs="Times New Roman"/>
          <w:szCs w:val="24"/>
        </w:rPr>
        <w:t xml:space="preserve"> </w:t>
      </w:r>
      <w:r w:rsidR="0072449B" w:rsidRPr="001E563A">
        <w:rPr>
          <w:rFonts w:cs="Times New Roman"/>
          <w:szCs w:val="24"/>
        </w:rPr>
        <w:t>“enable workers to live with dignity and to participate as active citizens in society” (</w:t>
      </w:r>
      <w:r w:rsidR="0072449B">
        <w:rPr>
          <w:rFonts w:cs="Times New Roman"/>
          <w:szCs w:val="24"/>
        </w:rPr>
        <w:t xml:space="preserve">see, for example, </w:t>
      </w:r>
      <w:r w:rsidR="0072449B" w:rsidRPr="001E563A">
        <w:rPr>
          <w:rFonts w:cs="Times New Roman"/>
          <w:szCs w:val="24"/>
        </w:rPr>
        <w:t>LWA, 201</w:t>
      </w:r>
      <w:r w:rsidR="0072449B">
        <w:rPr>
          <w:rFonts w:cs="Times New Roman"/>
          <w:szCs w:val="24"/>
        </w:rPr>
        <w:t>2e</w:t>
      </w:r>
      <w:r w:rsidR="0072449B" w:rsidRPr="001E563A">
        <w:rPr>
          <w:rFonts w:cs="Times New Roman"/>
          <w:szCs w:val="24"/>
        </w:rPr>
        <w:t>).</w:t>
      </w:r>
      <w:r w:rsidR="0072449B">
        <w:rPr>
          <w:rFonts w:cs="Times New Roman"/>
          <w:szCs w:val="24"/>
        </w:rPr>
        <w:t xml:space="preserve"> </w:t>
      </w:r>
      <w:r w:rsidR="001C57A6">
        <w:rPr>
          <w:rFonts w:cs="Times New Roman"/>
          <w:szCs w:val="24"/>
        </w:rPr>
        <w:t xml:space="preserve"> </w:t>
      </w:r>
      <w:r>
        <w:rPr>
          <w:rFonts w:cs="Times New Roman"/>
          <w:szCs w:val="24"/>
        </w:rPr>
        <w:t xml:space="preserve">This </w:t>
      </w:r>
      <w:r w:rsidR="0072449B" w:rsidRPr="00796B66">
        <w:rPr>
          <w:rFonts w:cs="Times New Roman"/>
          <w:i/>
          <w:szCs w:val="24"/>
        </w:rPr>
        <w:t>civic</w:t>
      </w:r>
      <w:r w:rsidR="0072449B">
        <w:rPr>
          <w:rFonts w:cs="Times New Roman"/>
          <w:szCs w:val="24"/>
        </w:rPr>
        <w:t>-</w:t>
      </w:r>
      <w:r w:rsidR="0072449B" w:rsidRPr="00796B66">
        <w:rPr>
          <w:rFonts w:cs="Times New Roman"/>
          <w:i/>
          <w:szCs w:val="24"/>
        </w:rPr>
        <w:t>domestic</w:t>
      </w:r>
      <w:r w:rsidR="0072449B">
        <w:rPr>
          <w:rFonts w:cs="Times New Roman"/>
          <w:szCs w:val="24"/>
        </w:rPr>
        <w:t xml:space="preserve"> combination insists that the values of equality, solidarity and reciprocal relationship</w:t>
      </w:r>
      <w:r w:rsidR="00B42DDC">
        <w:rPr>
          <w:rFonts w:cs="Times New Roman"/>
          <w:szCs w:val="24"/>
        </w:rPr>
        <w:t>s</w:t>
      </w:r>
      <w:r w:rsidR="0072449B">
        <w:rPr>
          <w:rFonts w:cs="Times New Roman"/>
          <w:szCs w:val="24"/>
        </w:rPr>
        <w:t xml:space="preserve"> are salient and should be accounted for within the labour market.</w:t>
      </w:r>
    </w:p>
    <w:p w14:paraId="4BEF121A" w14:textId="77777777" w:rsidR="0072449B" w:rsidRDefault="0072449B" w:rsidP="00903440">
      <w:pPr>
        <w:keepNext/>
        <w:rPr>
          <w:rFonts w:cs="Times New Roman"/>
          <w:szCs w:val="24"/>
        </w:rPr>
      </w:pPr>
    </w:p>
    <w:p w14:paraId="1BF9EE5F" w14:textId="7DF2F383" w:rsidR="00665CFA" w:rsidRDefault="00F11DA2" w:rsidP="00A22B9A">
      <w:pPr>
        <w:rPr>
          <w:rFonts w:cs="Times New Roman"/>
          <w:szCs w:val="24"/>
        </w:rPr>
      </w:pPr>
      <w:r>
        <w:rPr>
          <w:rFonts w:cs="Times New Roman"/>
          <w:szCs w:val="24"/>
        </w:rPr>
        <w:t>If</w:t>
      </w:r>
      <w:r w:rsidR="0025227D">
        <w:rPr>
          <w:rFonts w:cs="Times New Roman"/>
          <w:szCs w:val="24"/>
        </w:rPr>
        <w:t xml:space="preserve">, as Boltanski and </w:t>
      </w:r>
      <w:r w:rsidR="00E03FBA">
        <w:rPr>
          <w:rFonts w:cs="Times New Roman"/>
          <w:szCs w:val="24"/>
        </w:rPr>
        <w:t>Thévenot</w:t>
      </w:r>
      <w:r w:rsidR="0025227D">
        <w:rPr>
          <w:rFonts w:cs="Times New Roman"/>
          <w:szCs w:val="24"/>
        </w:rPr>
        <w:t xml:space="preserve"> (2006, p. 332)</w:t>
      </w:r>
      <w:r>
        <w:rPr>
          <w:rFonts w:cs="Times New Roman"/>
          <w:szCs w:val="24"/>
        </w:rPr>
        <w:t xml:space="preserve"> </w:t>
      </w:r>
      <w:r w:rsidR="002F02F8">
        <w:rPr>
          <w:rFonts w:cs="Times New Roman"/>
          <w:szCs w:val="24"/>
        </w:rPr>
        <w:t xml:space="preserve">argue, </w:t>
      </w:r>
      <w:r>
        <w:rPr>
          <w:rFonts w:cs="Times New Roman"/>
          <w:szCs w:val="24"/>
        </w:rPr>
        <w:t>business enterprise</w:t>
      </w:r>
      <w:r w:rsidR="002F02F8">
        <w:rPr>
          <w:rFonts w:cs="Times New Roman"/>
          <w:szCs w:val="24"/>
        </w:rPr>
        <w:t>s are</w:t>
      </w:r>
      <w:r>
        <w:rPr>
          <w:rFonts w:cs="Times New Roman"/>
          <w:szCs w:val="24"/>
        </w:rPr>
        <w:t xml:space="preserve"> fundamentally founded on a compromise between the </w:t>
      </w:r>
      <w:r w:rsidRPr="00B42DDC">
        <w:rPr>
          <w:rFonts w:cs="Times New Roman"/>
          <w:i/>
          <w:szCs w:val="24"/>
        </w:rPr>
        <w:t>market</w:t>
      </w:r>
      <w:r>
        <w:rPr>
          <w:rFonts w:cs="Times New Roman"/>
          <w:szCs w:val="24"/>
        </w:rPr>
        <w:t xml:space="preserve"> and the </w:t>
      </w:r>
      <w:r w:rsidRPr="00B42DDC">
        <w:rPr>
          <w:rFonts w:cs="Times New Roman"/>
          <w:i/>
          <w:szCs w:val="24"/>
        </w:rPr>
        <w:t>industrial</w:t>
      </w:r>
      <w:r>
        <w:rPr>
          <w:rFonts w:cs="Times New Roman"/>
          <w:szCs w:val="24"/>
        </w:rPr>
        <w:t xml:space="preserve"> orders, then it follows that an undue emphasis on </w:t>
      </w:r>
      <w:r w:rsidRPr="00B42DDC">
        <w:rPr>
          <w:rFonts w:cs="Times New Roman"/>
          <w:i/>
          <w:szCs w:val="24"/>
        </w:rPr>
        <w:t>market</w:t>
      </w:r>
      <w:r>
        <w:rPr>
          <w:rFonts w:cs="Times New Roman"/>
          <w:szCs w:val="24"/>
        </w:rPr>
        <w:t xml:space="preserve"> considerations will also undervalue the </w:t>
      </w:r>
      <w:r w:rsidR="001F5C12">
        <w:rPr>
          <w:rFonts w:cs="Times New Roman"/>
          <w:szCs w:val="24"/>
        </w:rPr>
        <w:t xml:space="preserve">contribution </w:t>
      </w:r>
      <w:r>
        <w:rPr>
          <w:rFonts w:cs="Times New Roman"/>
          <w:szCs w:val="24"/>
        </w:rPr>
        <w:t xml:space="preserve">of the </w:t>
      </w:r>
      <w:r w:rsidRPr="00B42DDC">
        <w:rPr>
          <w:rFonts w:cs="Times New Roman"/>
          <w:i/>
          <w:szCs w:val="24"/>
        </w:rPr>
        <w:t>industrial</w:t>
      </w:r>
      <w:r>
        <w:rPr>
          <w:rFonts w:cs="Times New Roman"/>
          <w:szCs w:val="24"/>
        </w:rPr>
        <w:t xml:space="preserve"> worth’s emphasis on long-term efficiency and productivity.</w:t>
      </w:r>
      <w:r w:rsidR="00B42DDC">
        <w:rPr>
          <w:rFonts w:cs="Times New Roman"/>
          <w:szCs w:val="24"/>
        </w:rPr>
        <w:t xml:space="preserve"> </w:t>
      </w:r>
      <w:r>
        <w:rPr>
          <w:rFonts w:cs="Times New Roman"/>
          <w:szCs w:val="24"/>
        </w:rPr>
        <w:t xml:space="preserve"> LWA</w:t>
      </w:r>
      <w:r w:rsidR="0025227D">
        <w:rPr>
          <w:rFonts w:cs="Times New Roman"/>
          <w:szCs w:val="24"/>
        </w:rPr>
        <w:t xml:space="preserve">’s third critique of the status quo </w:t>
      </w:r>
      <w:r w:rsidR="004D56F2">
        <w:rPr>
          <w:rFonts w:cs="Times New Roman"/>
          <w:szCs w:val="24"/>
        </w:rPr>
        <w:t>charges</w:t>
      </w:r>
      <w:r w:rsidR="0025227D">
        <w:rPr>
          <w:rFonts w:cs="Times New Roman"/>
          <w:szCs w:val="24"/>
        </w:rPr>
        <w:t xml:space="preserve"> that its</w:t>
      </w:r>
      <w:r>
        <w:rPr>
          <w:rFonts w:cs="Times New Roman"/>
          <w:szCs w:val="24"/>
        </w:rPr>
        <w:t xml:space="preserve"> over-emphasis on the </w:t>
      </w:r>
      <w:r w:rsidRPr="00B42DDC">
        <w:rPr>
          <w:rFonts w:cs="Times New Roman"/>
          <w:i/>
          <w:szCs w:val="24"/>
        </w:rPr>
        <w:t>market</w:t>
      </w:r>
      <w:r>
        <w:rPr>
          <w:rFonts w:cs="Times New Roman"/>
          <w:szCs w:val="24"/>
        </w:rPr>
        <w:t xml:space="preserve"> world is self-defeating in the long-term. </w:t>
      </w:r>
      <w:r w:rsidR="001021F3">
        <w:rPr>
          <w:rFonts w:cs="Times New Roman"/>
          <w:szCs w:val="24"/>
        </w:rPr>
        <w:t xml:space="preserve"> </w:t>
      </w:r>
      <w:r w:rsidR="003142FA">
        <w:rPr>
          <w:rFonts w:cs="Times New Roman"/>
          <w:szCs w:val="24"/>
        </w:rPr>
        <w:t>LWA argues that</w:t>
      </w:r>
      <w:r w:rsidR="00EE24EA">
        <w:rPr>
          <w:rFonts w:cs="Times New Roman"/>
          <w:szCs w:val="24"/>
        </w:rPr>
        <w:t xml:space="preserve"> increasing </w:t>
      </w:r>
      <w:r w:rsidR="00665CFA">
        <w:rPr>
          <w:rFonts w:cs="Times New Roman"/>
          <w:szCs w:val="24"/>
        </w:rPr>
        <w:t>the market incomes of low-paid workers</w:t>
      </w:r>
      <w:r w:rsidR="000554EA">
        <w:rPr>
          <w:rFonts w:cs="Times New Roman"/>
          <w:szCs w:val="24"/>
        </w:rPr>
        <w:t xml:space="preserve">, far from undermining </w:t>
      </w:r>
      <w:r w:rsidR="004D56F2">
        <w:rPr>
          <w:rFonts w:cs="Times New Roman"/>
          <w:szCs w:val="24"/>
        </w:rPr>
        <w:t xml:space="preserve">firm </w:t>
      </w:r>
      <w:r w:rsidR="000554EA">
        <w:rPr>
          <w:rFonts w:cs="Times New Roman"/>
          <w:szCs w:val="24"/>
        </w:rPr>
        <w:t>competitiveness,</w:t>
      </w:r>
      <w:r w:rsidR="00665CFA">
        <w:rPr>
          <w:rFonts w:cs="Times New Roman"/>
          <w:szCs w:val="24"/>
        </w:rPr>
        <w:t xml:space="preserve"> would actually </w:t>
      </w:r>
      <w:r w:rsidR="00665CFA" w:rsidRPr="007B1C01">
        <w:rPr>
          <w:rFonts w:cs="Times New Roman"/>
          <w:i/>
          <w:szCs w:val="24"/>
        </w:rPr>
        <w:t>enhance</w:t>
      </w:r>
      <w:r w:rsidR="00665CFA">
        <w:rPr>
          <w:rFonts w:cs="Times New Roman"/>
          <w:szCs w:val="24"/>
        </w:rPr>
        <w:t xml:space="preserve"> </w:t>
      </w:r>
      <w:r w:rsidR="004D56F2">
        <w:rPr>
          <w:rFonts w:cs="Times New Roman"/>
          <w:szCs w:val="24"/>
        </w:rPr>
        <w:t>it</w:t>
      </w:r>
      <w:r w:rsidR="00665CFA">
        <w:rPr>
          <w:rFonts w:cs="Times New Roman"/>
          <w:szCs w:val="24"/>
        </w:rPr>
        <w:t xml:space="preserve">. </w:t>
      </w:r>
      <w:r w:rsidR="00F86157">
        <w:rPr>
          <w:rFonts w:cs="Times New Roman"/>
          <w:szCs w:val="24"/>
        </w:rPr>
        <w:t xml:space="preserve"> </w:t>
      </w:r>
      <w:r w:rsidR="00324AAA">
        <w:rPr>
          <w:lang w:val="en-AU"/>
        </w:rPr>
        <w:t>A living wage would generate benefits for firms</w:t>
      </w:r>
      <w:r w:rsidR="00324AAA">
        <w:rPr>
          <w:rFonts w:cs="Times New Roman"/>
          <w:szCs w:val="24"/>
        </w:rPr>
        <w:t xml:space="preserve"> </w:t>
      </w:r>
      <w:r w:rsidR="00665CFA">
        <w:rPr>
          <w:rFonts w:cs="Times New Roman"/>
          <w:szCs w:val="24"/>
        </w:rPr>
        <w:t>both directly (</w:t>
      </w:r>
      <w:r w:rsidR="00324AAA">
        <w:rPr>
          <w:rFonts w:cs="Times New Roman"/>
          <w:szCs w:val="24"/>
        </w:rPr>
        <w:t>LWA (2012d) argues that it boosts</w:t>
      </w:r>
      <w:r w:rsidR="00CE210F">
        <w:rPr>
          <w:rFonts w:cs="Times New Roman"/>
          <w:szCs w:val="24"/>
        </w:rPr>
        <w:t xml:space="preserve"> “</w:t>
      </w:r>
      <w:r w:rsidR="00E03FBA" w:rsidRPr="003F352E">
        <w:rPr>
          <w:rFonts w:cs="Times New Roman"/>
          <w:szCs w:val="24"/>
        </w:rPr>
        <w:t>morale and motivation of workers; support</w:t>
      </w:r>
      <w:r w:rsidR="00324AAA">
        <w:rPr>
          <w:rFonts w:cs="Times New Roman"/>
          <w:szCs w:val="24"/>
        </w:rPr>
        <w:t>s</w:t>
      </w:r>
      <w:r w:rsidR="00E03FBA" w:rsidRPr="003F352E">
        <w:rPr>
          <w:rFonts w:cs="Times New Roman"/>
          <w:szCs w:val="24"/>
        </w:rPr>
        <w:t xml:space="preserve"> recruitment and retention of staff, </w:t>
      </w:r>
      <w:r w:rsidR="00E03FBA">
        <w:rPr>
          <w:rFonts w:cs="Times New Roman"/>
          <w:szCs w:val="24"/>
        </w:rPr>
        <w:t>…</w:t>
      </w:r>
      <w:r w:rsidR="00E03FBA" w:rsidRPr="003F352E">
        <w:rPr>
          <w:rFonts w:cs="Times New Roman"/>
          <w:szCs w:val="24"/>
        </w:rPr>
        <w:t xml:space="preserve"> lowers the rates of absenteeism and </w:t>
      </w:r>
      <w:r w:rsidR="00E03FBA">
        <w:rPr>
          <w:rFonts w:cs="Times New Roman"/>
          <w:szCs w:val="24"/>
        </w:rPr>
        <w:t>…</w:t>
      </w:r>
      <w:r w:rsidR="00E03FBA" w:rsidRPr="003F352E">
        <w:rPr>
          <w:rFonts w:cs="Times New Roman"/>
          <w:szCs w:val="24"/>
        </w:rPr>
        <w:t xml:space="preserve"> may enhance productivity</w:t>
      </w:r>
      <w:r w:rsidR="00CE210F">
        <w:rPr>
          <w:rFonts w:cs="Times New Roman"/>
          <w:szCs w:val="24"/>
        </w:rPr>
        <w:t>”</w:t>
      </w:r>
      <w:r w:rsidR="00665CFA">
        <w:rPr>
          <w:rFonts w:cs="Times New Roman"/>
          <w:szCs w:val="24"/>
        </w:rPr>
        <w:t xml:space="preserve">) and indirectly (due to the stimulative effects of better wages </w:t>
      </w:r>
      <w:r w:rsidR="001B73B5">
        <w:rPr>
          <w:rFonts w:cs="Times New Roman"/>
          <w:szCs w:val="24"/>
        </w:rPr>
        <w:t>for the lowest-paid</w:t>
      </w:r>
      <w:r w:rsidR="00E03FBA">
        <w:rPr>
          <w:rFonts w:cs="Times New Roman"/>
          <w:szCs w:val="24"/>
        </w:rPr>
        <w:t>: “l</w:t>
      </w:r>
      <w:r w:rsidR="00E03FBA" w:rsidRPr="003F352E">
        <w:rPr>
          <w:rFonts w:cs="Times New Roman"/>
          <w:szCs w:val="24"/>
        </w:rPr>
        <w:t>ow income households spend a larger share of their income on a weekly basis than high income earners</w:t>
      </w:r>
      <w:r w:rsidR="00E03FBA">
        <w:rPr>
          <w:rFonts w:cs="Times New Roman"/>
          <w:szCs w:val="24"/>
        </w:rPr>
        <w:t xml:space="preserve">” (LWA, 2012d; see </w:t>
      </w:r>
      <w:r w:rsidR="0006732B">
        <w:rPr>
          <w:rFonts w:cs="Times New Roman"/>
          <w:szCs w:val="24"/>
        </w:rPr>
        <w:t xml:space="preserve">also </w:t>
      </w:r>
      <w:r w:rsidR="00C45957">
        <w:rPr>
          <w:rFonts w:cs="Times New Roman"/>
          <w:szCs w:val="24"/>
        </w:rPr>
        <w:t>Table 3</w:t>
      </w:r>
      <w:r w:rsidR="002F02F8">
        <w:rPr>
          <w:rFonts w:cs="Times New Roman"/>
          <w:szCs w:val="24"/>
        </w:rPr>
        <w:t>, quotes 17 – 19</w:t>
      </w:r>
      <w:r w:rsidR="00E03FBA">
        <w:rPr>
          <w:rFonts w:cs="Times New Roman"/>
          <w:szCs w:val="24"/>
        </w:rPr>
        <w:t>)</w:t>
      </w:r>
      <w:r w:rsidR="00A03677">
        <w:rPr>
          <w:rFonts w:cs="Times New Roman"/>
          <w:szCs w:val="24"/>
        </w:rPr>
        <w:t>)</w:t>
      </w:r>
      <w:r w:rsidR="0006732B">
        <w:rPr>
          <w:rFonts w:cs="Times New Roman"/>
          <w:szCs w:val="24"/>
        </w:rPr>
        <w:t>.</w:t>
      </w:r>
    </w:p>
    <w:p w14:paraId="78F80F3D" w14:textId="56170B6C" w:rsidR="003142FA" w:rsidRDefault="003142FA" w:rsidP="00042C32">
      <w:pPr>
        <w:rPr>
          <w:rFonts w:cs="Times New Roman"/>
          <w:szCs w:val="24"/>
        </w:rPr>
      </w:pPr>
    </w:p>
    <w:p w14:paraId="70592406" w14:textId="7401D7F9" w:rsidR="003142FA" w:rsidRDefault="009A7270" w:rsidP="003142FA">
      <w:pPr>
        <w:rPr>
          <w:rFonts w:cs="Times New Roman"/>
          <w:szCs w:val="24"/>
        </w:rPr>
      </w:pPr>
      <w:r>
        <w:rPr>
          <w:rFonts w:cs="Times New Roman"/>
          <w:szCs w:val="24"/>
        </w:rPr>
        <w:t>In sum, LWA’s</w:t>
      </w:r>
      <w:r w:rsidRPr="001E563A">
        <w:rPr>
          <w:rFonts w:cs="Times New Roman"/>
          <w:szCs w:val="24"/>
        </w:rPr>
        <w:t xml:space="preserve"> </w:t>
      </w:r>
      <w:r>
        <w:rPr>
          <w:rFonts w:cs="Times New Roman"/>
          <w:szCs w:val="24"/>
        </w:rPr>
        <w:t>critique of the status quo</w:t>
      </w:r>
      <w:r w:rsidR="00C51FF5">
        <w:rPr>
          <w:rFonts w:cs="Times New Roman"/>
          <w:szCs w:val="24"/>
        </w:rPr>
        <w:t xml:space="preserve"> argues that its</w:t>
      </w:r>
      <w:r>
        <w:rPr>
          <w:rFonts w:cs="Times New Roman"/>
          <w:szCs w:val="24"/>
        </w:rPr>
        <w:t xml:space="preserve"> undue emphasis on the </w:t>
      </w:r>
      <w:r w:rsidRPr="003F55E1">
        <w:rPr>
          <w:rFonts w:cs="Times New Roman"/>
          <w:i/>
          <w:szCs w:val="24"/>
        </w:rPr>
        <w:t>market’s</w:t>
      </w:r>
      <w:r>
        <w:rPr>
          <w:rFonts w:cs="Times New Roman"/>
          <w:szCs w:val="24"/>
        </w:rPr>
        <w:t xml:space="preserve"> valuation of worth lead</w:t>
      </w:r>
      <w:r w:rsidR="009D23BC">
        <w:rPr>
          <w:rFonts w:cs="Times New Roman"/>
          <w:szCs w:val="24"/>
        </w:rPr>
        <w:t>s</w:t>
      </w:r>
      <w:r>
        <w:rPr>
          <w:rFonts w:cs="Times New Roman"/>
          <w:szCs w:val="24"/>
        </w:rPr>
        <w:t xml:space="preserve"> to sub-optimal outcomes for low-paid workers, for workers’ </w:t>
      </w:r>
      <w:r w:rsidRPr="001E563A">
        <w:rPr>
          <w:rFonts w:cs="Times New Roman"/>
          <w:szCs w:val="24"/>
        </w:rPr>
        <w:t>families, their communities</w:t>
      </w:r>
      <w:r>
        <w:rPr>
          <w:rFonts w:cs="Times New Roman"/>
          <w:szCs w:val="24"/>
        </w:rPr>
        <w:t xml:space="preserve"> and wider society, and for the wage-paying organisation itself.  </w:t>
      </w:r>
      <w:r w:rsidR="003142FA">
        <w:rPr>
          <w:rFonts w:cs="Times New Roman"/>
          <w:szCs w:val="24"/>
        </w:rPr>
        <w:t xml:space="preserve">This is in keeping with Boltanski and Thévenot’s dictum that justifications are constrained to show widely-shared benefits, not just the pursuit of sectoral interests. The living wage is </w:t>
      </w:r>
      <w:r w:rsidR="003142FA">
        <w:rPr>
          <w:rFonts w:cs="Times New Roman"/>
          <w:szCs w:val="24"/>
        </w:rPr>
        <w:lastRenderedPageBreak/>
        <w:t xml:space="preserve">presented not as a zero-sum game, where gains for </w:t>
      </w:r>
      <w:r w:rsidR="004D56F2">
        <w:rPr>
          <w:rFonts w:cs="Times New Roman"/>
          <w:szCs w:val="24"/>
        </w:rPr>
        <w:t>workers</w:t>
      </w:r>
      <w:r w:rsidR="003142FA">
        <w:rPr>
          <w:rFonts w:cs="Times New Roman"/>
          <w:szCs w:val="24"/>
        </w:rPr>
        <w:t xml:space="preserve"> come at the expense of </w:t>
      </w:r>
      <w:r w:rsidR="004D56F2">
        <w:rPr>
          <w:rFonts w:cs="Times New Roman"/>
          <w:szCs w:val="24"/>
        </w:rPr>
        <w:t>employers</w:t>
      </w:r>
      <w:r w:rsidR="003142FA">
        <w:rPr>
          <w:rFonts w:cs="Times New Roman"/>
          <w:szCs w:val="24"/>
        </w:rPr>
        <w:t>, but as a win-win-win: “a</w:t>
      </w:r>
      <w:r w:rsidR="003142FA" w:rsidRPr="003F352E">
        <w:rPr>
          <w:rFonts w:cs="Times New Roman"/>
          <w:szCs w:val="24"/>
        </w:rPr>
        <w:t xml:space="preserve"> living wage is good for workers, good for business and good for the community</w:t>
      </w:r>
      <w:r w:rsidR="003142FA">
        <w:rPr>
          <w:rFonts w:cs="Times New Roman"/>
          <w:szCs w:val="24"/>
        </w:rPr>
        <w:t xml:space="preserve">” (LWA, 2012d; see also </w:t>
      </w:r>
      <w:r w:rsidR="002F02F8">
        <w:rPr>
          <w:rFonts w:cs="Times New Roman"/>
          <w:szCs w:val="24"/>
        </w:rPr>
        <w:t xml:space="preserve">Table 3, </w:t>
      </w:r>
      <w:r w:rsidR="003142FA">
        <w:rPr>
          <w:rFonts w:cs="Times New Roman"/>
          <w:szCs w:val="24"/>
        </w:rPr>
        <w:t xml:space="preserve">quotes </w:t>
      </w:r>
      <w:r w:rsidR="002F02F8">
        <w:rPr>
          <w:rFonts w:cs="Times New Roman"/>
          <w:szCs w:val="24"/>
        </w:rPr>
        <w:t>12 - 19</w:t>
      </w:r>
      <w:r w:rsidR="003142FA">
        <w:rPr>
          <w:rFonts w:cs="Times New Roman"/>
          <w:szCs w:val="24"/>
        </w:rPr>
        <w:t>): “a</w:t>
      </w:r>
      <w:r w:rsidR="003142FA" w:rsidRPr="003F352E">
        <w:rPr>
          <w:rFonts w:cs="Times New Roman"/>
          <w:szCs w:val="24"/>
        </w:rPr>
        <w:t>ll the community benefits when workers are paid enough</w:t>
      </w:r>
      <w:r w:rsidR="003142FA">
        <w:rPr>
          <w:rFonts w:cs="Times New Roman"/>
          <w:szCs w:val="24"/>
        </w:rPr>
        <w:t xml:space="preserve">” (LWA, 2013). </w:t>
      </w:r>
    </w:p>
    <w:p w14:paraId="3A61D178" w14:textId="77777777" w:rsidR="003142FA" w:rsidRDefault="003142FA" w:rsidP="0006732B">
      <w:pPr>
        <w:rPr>
          <w:rFonts w:cs="Times New Roman"/>
          <w:szCs w:val="24"/>
        </w:rPr>
      </w:pPr>
    </w:p>
    <w:p w14:paraId="566E9861" w14:textId="314DCD36" w:rsidR="0072449B" w:rsidRDefault="00A03677" w:rsidP="0006732B">
      <w:pPr>
        <w:rPr>
          <w:rFonts w:cs="Times New Roman"/>
          <w:szCs w:val="24"/>
        </w:rPr>
      </w:pPr>
      <w:r>
        <w:rPr>
          <w:rFonts w:cs="Times New Roman"/>
          <w:szCs w:val="24"/>
        </w:rPr>
        <w:t>Importantly, t</w:t>
      </w:r>
      <w:r w:rsidR="0072449B">
        <w:rPr>
          <w:rFonts w:cs="Times New Roman"/>
          <w:szCs w:val="24"/>
        </w:rPr>
        <w:t>he LWA discours</w:t>
      </w:r>
      <w:r w:rsidR="003142FA">
        <w:rPr>
          <w:rFonts w:cs="Times New Roman"/>
          <w:szCs w:val="24"/>
        </w:rPr>
        <w:t>e</w:t>
      </w:r>
      <w:r w:rsidR="0072449B" w:rsidRPr="001E563A">
        <w:rPr>
          <w:rFonts w:cs="Times New Roman"/>
          <w:szCs w:val="24"/>
        </w:rPr>
        <w:t xml:space="preserve"> is not a totalising discourse.</w:t>
      </w:r>
      <w:r w:rsidR="0072449B">
        <w:rPr>
          <w:rFonts w:cs="Times New Roman"/>
          <w:szCs w:val="24"/>
        </w:rPr>
        <w:t xml:space="preserve"> </w:t>
      </w:r>
      <w:r w:rsidR="0072449B" w:rsidRPr="001E563A">
        <w:rPr>
          <w:rFonts w:cs="Times New Roman"/>
          <w:szCs w:val="24"/>
        </w:rPr>
        <w:t xml:space="preserve"> It does not argue for the annihilation of the</w:t>
      </w:r>
      <w:r w:rsidR="0072449B" w:rsidRPr="001E563A">
        <w:rPr>
          <w:rFonts w:cs="Times New Roman"/>
          <w:i/>
          <w:szCs w:val="24"/>
        </w:rPr>
        <w:t xml:space="preserve"> market</w:t>
      </w:r>
      <w:r w:rsidR="0072449B" w:rsidRPr="001E563A">
        <w:rPr>
          <w:rFonts w:cs="Times New Roman"/>
          <w:szCs w:val="24"/>
        </w:rPr>
        <w:t xml:space="preserve"> order of worth</w:t>
      </w:r>
      <w:r w:rsidR="009A7270">
        <w:rPr>
          <w:rFonts w:cs="Times New Roman"/>
          <w:szCs w:val="24"/>
        </w:rPr>
        <w:t xml:space="preserve">.  </w:t>
      </w:r>
      <w:r w:rsidR="0072449B" w:rsidRPr="001E563A">
        <w:rPr>
          <w:rFonts w:cs="Times New Roman"/>
          <w:szCs w:val="24"/>
        </w:rPr>
        <w:t>LWA</w:t>
      </w:r>
      <w:r w:rsidR="0072449B">
        <w:rPr>
          <w:rFonts w:cs="Times New Roman"/>
          <w:szCs w:val="24"/>
        </w:rPr>
        <w:t xml:space="preserve"> </w:t>
      </w:r>
      <w:r>
        <w:rPr>
          <w:rFonts w:cs="Times New Roman"/>
          <w:szCs w:val="24"/>
        </w:rPr>
        <w:t xml:space="preserve">appears to </w:t>
      </w:r>
      <w:r w:rsidR="0072449B">
        <w:rPr>
          <w:rFonts w:cs="Times New Roman"/>
          <w:szCs w:val="24"/>
        </w:rPr>
        <w:t>accept</w:t>
      </w:r>
      <w:r w:rsidR="0072449B" w:rsidRPr="001E563A">
        <w:rPr>
          <w:rFonts w:cs="Times New Roman"/>
          <w:szCs w:val="24"/>
        </w:rPr>
        <w:t xml:space="preserve"> that business should aim to operate efficiently and profitably (indeed, the living wage concept is promoted as </w:t>
      </w:r>
      <w:r w:rsidR="0072449B">
        <w:rPr>
          <w:rFonts w:cs="Times New Roman"/>
          <w:szCs w:val="24"/>
        </w:rPr>
        <w:t>a more certain long-term means to those ends</w:t>
      </w:r>
      <w:r w:rsidR="0072449B" w:rsidRPr="001E563A">
        <w:rPr>
          <w:rFonts w:cs="Times New Roman"/>
          <w:szCs w:val="24"/>
        </w:rPr>
        <w:t>)</w:t>
      </w:r>
      <w:r w:rsidR="0072449B">
        <w:rPr>
          <w:rFonts w:cs="Times New Roman"/>
          <w:szCs w:val="24"/>
        </w:rPr>
        <w:t xml:space="preserve">.  </w:t>
      </w:r>
      <w:r>
        <w:rPr>
          <w:rFonts w:cs="Times New Roman"/>
          <w:szCs w:val="24"/>
        </w:rPr>
        <w:t>The LWA position</w:t>
      </w:r>
      <w:r w:rsidR="0072449B">
        <w:rPr>
          <w:rFonts w:cs="Times New Roman"/>
          <w:szCs w:val="24"/>
        </w:rPr>
        <w:t xml:space="preserve">, however, </w:t>
      </w:r>
      <w:r w:rsidR="00091AF8">
        <w:rPr>
          <w:rFonts w:cs="Times New Roman"/>
          <w:szCs w:val="24"/>
        </w:rPr>
        <w:t>posits</w:t>
      </w:r>
      <w:r>
        <w:rPr>
          <w:rFonts w:cs="Times New Roman"/>
          <w:szCs w:val="24"/>
        </w:rPr>
        <w:t xml:space="preserve"> that </w:t>
      </w:r>
      <w:r w:rsidR="0072449B">
        <w:rPr>
          <w:rFonts w:cs="Times New Roman"/>
          <w:szCs w:val="24"/>
        </w:rPr>
        <w:t xml:space="preserve">the </w:t>
      </w:r>
      <w:r w:rsidR="0072449B" w:rsidRPr="003F55E1">
        <w:rPr>
          <w:rFonts w:cs="Times New Roman"/>
          <w:i/>
          <w:szCs w:val="24"/>
        </w:rPr>
        <w:t>market’s</w:t>
      </w:r>
      <w:r w:rsidR="0072449B">
        <w:rPr>
          <w:rFonts w:cs="Times New Roman"/>
          <w:szCs w:val="24"/>
        </w:rPr>
        <w:t xml:space="preserve"> test of worth </w:t>
      </w:r>
      <w:r w:rsidR="000554EA">
        <w:rPr>
          <w:rFonts w:cs="Times New Roman"/>
          <w:szCs w:val="24"/>
        </w:rPr>
        <w:t xml:space="preserve">(its reductive address of workers as atomised units of labour; its understanding of wages only as short-term costs to be managed) </w:t>
      </w:r>
      <w:r w:rsidR="0072449B">
        <w:rPr>
          <w:rFonts w:cs="Times New Roman"/>
          <w:szCs w:val="24"/>
        </w:rPr>
        <w:t xml:space="preserve">has become too influential in determining the wages of low-paid workers. </w:t>
      </w:r>
      <w:r>
        <w:rPr>
          <w:rFonts w:cs="Times New Roman"/>
          <w:szCs w:val="24"/>
        </w:rPr>
        <w:t xml:space="preserve"> </w:t>
      </w:r>
      <w:r w:rsidR="0072449B">
        <w:rPr>
          <w:rFonts w:cs="Times New Roman"/>
          <w:szCs w:val="24"/>
        </w:rPr>
        <w:t xml:space="preserve">LWA’s intent, therefore, is to </w:t>
      </w:r>
      <w:r w:rsidR="009A7270">
        <w:rPr>
          <w:rFonts w:cs="Times New Roman"/>
          <w:szCs w:val="24"/>
        </w:rPr>
        <w:t>shift the balance of th</w:t>
      </w:r>
      <w:r w:rsidR="0072449B">
        <w:rPr>
          <w:rFonts w:cs="Times New Roman"/>
          <w:szCs w:val="24"/>
        </w:rPr>
        <w:t>e compromise that exists in arrangements between low-paid workers and their employers.</w:t>
      </w:r>
    </w:p>
    <w:p w14:paraId="73D14139" w14:textId="77777777" w:rsidR="0072449B" w:rsidRDefault="0072449B" w:rsidP="009A7270">
      <w:pPr>
        <w:keepNext/>
        <w:rPr>
          <w:rFonts w:cs="Times New Roman"/>
          <w:szCs w:val="24"/>
        </w:rPr>
      </w:pPr>
    </w:p>
    <w:p w14:paraId="5E8E22A7" w14:textId="35A0C142" w:rsidR="009A7270" w:rsidRDefault="001F5C12" w:rsidP="0006732B">
      <w:pPr>
        <w:keepNext/>
        <w:rPr>
          <w:rFonts w:cs="Times New Roman"/>
          <w:szCs w:val="24"/>
        </w:rPr>
      </w:pPr>
      <w:r>
        <w:rPr>
          <w:rFonts w:cs="Times New Roman"/>
          <w:szCs w:val="24"/>
        </w:rPr>
        <w:t>LWA</w:t>
      </w:r>
      <w:r w:rsidR="00A03677">
        <w:rPr>
          <w:rFonts w:cs="Times New Roman"/>
          <w:szCs w:val="24"/>
        </w:rPr>
        <w:t>’s position</w:t>
      </w:r>
      <w:r>
        <w:rPr>
          <w:rFonts w:cs="Times New Roman"/>
          <w:szCs w:val="24"/>
        </w:rPr>
        <w:t xml:space="preserve"> thus</w:t>
      </w:r>
      <w:r w:rsidR="009A7270">
        <w:rPr>
          <w:rFonts w:cs="Times New Roman"/>
          <w:szCs w:val="24"/>
        </w:rPr>
        <w:t xml:space="preserve"> assert</w:t>
      </w:r>
      <w:r w:rsidR="0072449B">
        <w:rPr>
          <w:rFonts w:cs="Times New Roman"/>
          <w:szCs w:val="24"/>
        </w:rPr>
        <w:t>s</w:t>
      </w:r>
      <w:r w:rsidR="009A7270">
        <w:rPr>
          <w:rFonts w:cs="Times New Roman"/>
          <w:szCs w:val="24"/>
        </w:rPr>
        <w:t xml:space="preserve"> that in setting wage levels, firms should balance </w:t>
      </w:r>
      <w:r w:rsidR="009A7270" w:rsidRPr="0006732B">
        <w:rPr>
          <w:rFonts w:cs="Times New Roman"/>
          <w:i/>
          <w:szCs w:val="24"/>
        </w:rPr>
        <w:t>market</w:t>
      </w:r>
      <w:r w:rsidR="009A7270">
        <w:rPr>
          <w:rFonts w:cs="Times New Roman"/>
          <w:szCs w:val="24"/>
        </w:rPr>
        <w:t xml:space="preserve"> valuations with more emphasis on (1) the </w:t>
      </w:r>
      <w:r w:rsidR="009A7270">
        <w:rPr>
          <w:rFonts w:cs="Times New Roman"/>
          <w:i/>
          <w:szCs w:val="24"/>
        </w:rPr>
        <w:t>domestic</w:t>
      </w:r>
      <w:r w:rsidR="009A7270">
        <w:rPr>
          <w:rFonts w:cs="Times New Roman"/>
          <w:szCs w:val="24"/>
        </w:rPr>
        <w:t xml:space="preserve"> order in accounting for the impact of low wages on the individual worker; on (2) the </w:t>
      </w:r>
      <w:r w:rsidR="009A7270" w:rsidRPr="00912447">
        <w:rPr>
          <w:rFonts w:cs="Times New Roman"/>
          <w:i/>
          <w:szCs w:val="24"/>
        </w:rPr>
        <w:t>civic</w:t>
      </w:r>
      <w:r w:rsidR="009A7270">
        <w:rPr>
          <w:rFonts w:cs="Times New Roman"/>
          <w:szCs w:val="24"/>
        </w:rPr>
        <w:t xml:space="preserve"> order in accounting for the impact of low wages on wider society; and on (3) the </w:t>
      </w:r>
      <w:r w:rsidR="009A7270" w:rsidRPr="00912447">
        <w:rPr>
          <w:rFonts w:cs="Times New Roman"/>
          <w:i/>
          <w:szCs w:val="24"/>
        </w:rPr>
        <w:t>industrial</w:t>
      </w:r>
      <w:r w:rsidR="009A7270">
        <w:rPr>
          <w:rFonts w:cs="Times New Roman"/>
          <w:szCs w:val="24"/>
        </w:rPr>
        <w:t xml:space="preserve"> order in accounting for the impact of low-wages on long-term organisational performance.</w:t>
      </w:r>
      <w:r w:rsidR="001C57A6">
        <w:rPr>
          <w:rFonts w:cs="Times New Roman"/>
          <w:szCs w:val="24"/>
        </w:rPr>
        <w:t xml:space="preserve"> </w:t>
      </w:r>
      <w:r w:rsidR="0072449B">
        <w:rPr>
          <w:rFonts w:cs="Times New Roman"/>
          <w:szCs w:val="24"/>
        </w:rPr>
        <w:t xml:space="preserve"> </w:t>
      </w:r>
      <w:r>
        <w:rPr>
          <w:rFonts w:cs="Times New Roman"/>
          <w:szCs w:val="24"/>
        </w:rPr>
        <w:t>It</w:t>
      </w:r>
      <w:r w:rsidRPr="001E563A">
        <w:rPr>
          <w:rFonts w:cs="Times New Roman"/>
          <w:szCs w:val="24"/>
        </w:rPr>
        <w:t xml:space="preserve"> </w:t>
      </w:r>
      <w:r w:rsidR="0072449B" w:rsidRPr="001E563A">
        <w:rPr>
          <w:rFonts w:cs="Times New Roman"/>
          <w:szCs w:val="24"/>
        </w:rPr>
        <w:t xml:space="preserve">rejects what it sees as an arbitrary distinction that is often drawn between the </w:t>
      </w:r>
      <w:r w:rsidR="0072449B" w:rsidRPr="001E563A">
        <w:rPr>
          <w:rFonts w:cs="Times New Roman"/>
          <w:i/>
          <w:szCs w:val="24"/>
        </w:rPr>
        <w:t>market</w:t>
      </w:r>
      <w:r w:rsidR="0072449B" w:rsidRPr="001E563A">
        <w:rPr>
          <w:rFonts w:cs="Times New Roman"/>
          <w:szCs w:val="24"/>
        </w:rPr>
        <w:t xml:space="preserve"> world of business activity and competition, and the </w:t>
      </w:r>
      <w:r w:rsidR="0072449B" w:rsidRPr="001E563A">
        <w:rPr>
          <w:rFonts w:cs="Times New Roman"/>
          <w:i/>
          <w:szCs w:val="24"/>
        </w:rPr>
        <w:t xml:space="preserve">civic </w:t>
      </w:r>
      <w:r w:rsidR="0072449B" w:rsidRPr="001E563A">
        <w:rPr>
          <w:rFonts w:cs="Times New Roman"/>
          <w:szCs w:val="24"/>
        </w:rPr>
        <w:t>world of social relations.</w:t>
      </w:r>
      <w:r w:rsidR="0072449B">
        <w:rPr>
          <w:rFonts w:cs="Times New Roman"/>
          <w:szCs w:val="24"/>
        </w:rPr>
        <w:t xml:space="preserve"> </w:t>
      </w:r>
      <w:r w:rsidR="0072449B" w:rsidRPr="001E563A">
        <w:rPr>
          <w:rFonts w:cs="Times New Roman"/>
          <w:szCs w:val="24"/>
        </w:rPr>
        <w:t xml:space="preserve"> </w:t>
      </w:r>
      <w:r w:rsidR="00A03677">
        <w:rPr>
          <w:rFonts w:cs="Times New Roman"/>
          <w:szCs w:val="24"/>
        </w:rPr>
        <w:t>The LWA essentially</w:t>
      </w:r>
      <w:r w:rsidR="0072449B" w:rsidRPr="001E563A">
        <w:rPr>
          <w:rFonts w:cs="Times New Roman"/>
          <w:szCs w:val="24"/>
        </w:rPr>
        <w:t xml:space="preserve"> argues that business, as a major social institution</w:t>
      </w:r>
      <w:r w:rsidR="0072449B">
        <w:rPr>
          <w:rFonts w:cs="Times New Roman"/>
          <w:szCs w:val="24"/>
        </w:rPr>
        <w:t xml:space="preserve"> that has a </w:t>
      </w:r>
      <w:r w:rsidR="0072449B" w:rsidRPr="001E563A">
        <w:rPr>
          <w:rFonts w:cs="Times New Roman"/>
          <w:szCs w:val="24"/>
        </w:rPr>
        <w:t xml:space="preserve">major impact on society, </w:t>
      </w:r>
      <w:r w:rsidR="0072449B">
        <w:rPr>
          <w:rFonts w:cs="Times New Roman"/>
          <w:szCs w:val="24"/>
        </w:rPr>
        <w:t>ought to account for the social consequences of its actions</w:t>
      </w:r>
      <w:r w:rsidR="0072449B" w:rsidRPr="001E563A">
        <w:rPr>
          <w:rFonts w:cs="Times New Roman"/>
          <w:szCs w:val="24"/>
        </w:rPr>
        <w:t>.</w:t>
      </w:r>
    </w:p>
    <w:p w14:paraId="3ECDF7C8" w14:textId="77777777" w:rsidR="00665CFA" w:rsidRDefault="00665CFA" w:rsidP="00A22B9A">
      <w:pPr>
        <w:spacing w:after="160" w:line="259" w:lineRule="auto"/>
        <w:rPr>
          <w:rFonts w:cs="Times New Roman"/>
          <w:b/>
          <w:i/>
          <w:szCs w:val="24"/>
        </w:rPr>
      </w:pPr>
    </w:p>
    <w:p w14:paraId="7EA776F1" w14:textId="4076DD89" w:rsidR="00665CFA" w:rsidRDefault="00665CFA" w:rsidP="00A22B9A">
      <w:pPr>
        <w:spacing w:after="160" w:line="259" w:lineRule="auto"/>
        <w:rPr>
          <w:rFonts w:cs="Times New Roman"/>
          <w:b/>
          <w:i/>
          <w:szCs w:val="24"/>
        </w:rPr>
      </w:pPr>
      <w:r>
        <w:rPr>
          <w:rFonts w:cs="Times New Roman"/>
          <w:b/>
          <w:i/>
          <w:szCs w:val="24"/>
        </w:rPr>
        <w:t>The Business Response: “</w:t>
      </w:r>
      <w:r w:rsidR="00427F45">
        <w:rPr>
          <w:rFonts w:cs="Times New Roman"/>
          <w:b/>
          <w:i/>
          <w:szCs w:val="24"/>
        </w:rPr>
        <w:t>T</w:t>
      </w:r>
      <w:r>
        <w:rPr>
          <w:rFonts w:cs="Times New Roman"/>
          <w:b/>
          <w:i/>
          <w:szCs w:val="24"/>
        </w:rPr>
        <w:t>he real cost” of the living wage</w:t>
      </w:r>
    </w:p>
    <w:p w14:paraId="798AF0BC" w14:textId="7F3FF6F8" w:rsidR="00665CFA" w:rsidRDefault="00665CFA" w:rsidP="00A22B9A">
      <w:pPr>
        <w:rPr>
          <w:rFonts w:eastAsiaTheme="majorEastAsia" w:cs="Times New Roman"/>
          <w:color w:val="000000" w:themeColor="text1"/>
          <w:szCs w:val="24"/>
        </w:rPr>
      </w:pPr>
      <w:r>
        <w:rPr>
          <w:rFonts w:eastAsiaTheme="majorEastAsia" w:cs="Times New Roman"/>
          <w:color w:val="000000" w:themeColor="text1"/>
          <w:szCs w:val="24"/>
        </w:rPr>
        <w:t xml:space="preserve">As noted, the dispute analysed </w:t>
      </w:r>
      <w:r w:rsidR="00427F45">
        <w:rPr>
          <w:rFonts w:eastAsiaTheme="majorEastAsia" w:cs="Times New Roman"/>
          <w:color w:val="000000" w:themeColor="text1"/>
          <w:szCs w:val="24"/>
        </w:rPr>
        <w:t>i</w:t>
      </w:r>
      <w:r>
        <w:rPr>
          <w:rFonts w:eastAsiaTheme="majorEastAsia" w:cs="Times New Roman"/>
          <w:color w:val="000000" w:themeColor="text1"/>
          <w:szCs w:val="24"/>
        </w:rPr>
        <w:t>s asymmetrical.</w:t>
      </w:r>
      <w:r w:rsidR="00427F45">
        <w:rPr>
          <w:rFonts w:eastAsiaTheme="majorEastAsia" w:cs="Times New Roman"/>
          <w:color w:val="000000" w:themeColor="text1"/>
          <w:szCs w:val="24"/>
        </w:rPr>
        <w:t xml:space="preserve"> </w:t>
      </w:r>
      <w:r>
        <w:rPr>
          <w:rFonts w:eastAsiaTheme="majorEastAsia" w:cs="Times New Roman"/>
          <w:color w:val="000000" w:themeColor="text1"/>
          <w:szCs w:val="24"/>
        </w:rPr>
        <w:t xml:space="preserve"> </w:t>
      </w:r>
      <w:r w:rsidR="00681917">
        <w:rPr>
          <w:rFonts w:eastAsiaTheme="majorEastAsia" w:cs="Times New Roman"/>
          <w:color w:val="000000" w:themeColor="text1"/>
          <w:szCs w:val="24"/>
        </w:rPr>
        <w:t xml:space="preserve">Indeed, </w:t>
      </w:r>
      <w:r>
        <w:rPr>
          <w:rFonts w:eastAsiaTheme="majorEastAsia" w:cs="Times New Roman"/>
          <w:color w:val="000000" w:themeColor="text1"/>
          <w:szCs w:val="24"/>
        </w:rPr>
        <w:t xml:space="preserve">texts arguing against the living wage </w:t>
      </w:r>
      <w:r w:rsidR="00681917">
        <w:rPr>
          <w:rFonts w:eastAsiaTheme="majorEastAsia" w:cs="Times New Roman"/>
          <w:color w:val="000000" w:themeColor="text1"/>
          <w:szCs w:val="24"/>
        </w:rPr>
        <w:t>are</w:t>
      </w:r>
      <w:r>
        <w:rPr>
          <w:rFonts w:eastAsiaTheme="majorEastAsia" w:cs="Times New Roman"/>
          <w:color w:val="000000" w:themeColor="text1"/>
          <w:szCs w:val="24"/>
        </w:rPr>
        <w:t xml:space="preserve"> reducible to a handful of key texts. </w:t>
      </w:r>
      <w:r w:rsidR="00427F45">
        <w:rPr>
          <w:rFonts w:eastAsiaTheme="majorEastAsia" w:cs="Times New Roman"/>
          <w:color w:val="000000" w:themeColor="text1"/>
          <w:szCs w:val="24"/>
        </w:rPr>
        <w:t xml:space="preserve"> </w:t>
      </w:r>
      <w:r>
        <w:rPr>
          <w:rFonts w:eastAsiaTheme="majorEastAsia" w:cs="Times New Roman"/>
          <w:color w:val="000000" w:themeColor="text1"/>
          <w:szCs w:val="24"/>
        </w:rPr>
        <w:t xml:space="preserve">The most important </w:t>
      </w:r>
      <w:r w:rsidR="00427F45">
        <w:rPr>
          <w:rFonts w:eastAsiaTheme="majorEastAsia" w:cs="Times New Roman"/>
          <w:color w:val="000000" w:themeColor="text1"/>
          <w:szCs w:val="24"/>
        </w:rPr>
        <w:t xml:space="preserve">are </w:t>
      </w:r>
      <w:r w:rsidR="00E97748">
        <w:rPr>
          <w:rFonts w:eastAsiaTheme="majorEastAsia" w:cs="Times New Roman"/>
          <w:color w:val="000000" w:themeColor="text1"/>
          <w:szCs w:val="24"/>
        </w:rPr>
        <w:t xml:space="preserve">Galt and Palmer (2013, hereafter the </w:t>
      </w:r>
      <w:r w:rsidR="00577F3D">
        <w:rPr>
          <w:rFonts w:eastAsiaTheme="majorEastAsia" w:cs="Times New Roman"/>
          <w:color w:val="000000" w:themeColor="text1"/>
          <w:szCs w:val="24"/>
        </w:rPr>
        <w:t>“</w:t>
      </w:r>
      <w:r>
        <w:rPr>
          <w:rFonts w:eastAsiaTheme="majorEastAsia" w:cs="Times New Roman"/>
          <w:color w:val="000000" w:themeColor="text1"/>
          <w:szCs w:val="24"/>
        </w:rPr>
        <w:t xml:space="preserve">Treasury </w:t>
      </w:r>
      <w:r w:rsidR="00E97748">
        <w:rPr>
          <w:rFonts w:eastAsiaTheme="majorEastAsia" w:cs="Times New Roman"/>
          <w:color w:val="000000" w:themeColor="text1"/>
          <w:szCs w:val="24"/>
        </w:rPr>
        <w:t>R</w:t>
      </w:r>
      <w:r>
        <w:rPr>
          <w:rFonts w:eastAsiaTheme="majorEastAsia" w:cs="Times New Roman"/>
          <w:color w:val="000000" w:themeColor="text1"/>
          <w:szCs w:val="24"/>
        </w:rPr>
        <w:t>eport</w:t>
      </w:r>
      <w:r w:rsidR="00577F3D">
        <w:rPr>
          <w:rFonts w:eastAsiaTheme="majorEastAsia" w:cs="Times New Roman"/>
          <w:color w:val="000000" w:themeColor="text1"/>
          <w:szCs w:val="24"/>
        </w:rPr>
        <w:t>”)</w:t>
      </w:r>
      <w:r>
        <w:rPr>
          <w:rFonts w:eastAsiaTheme="majorEastAsia" w:cs="Times New Roman"/>
          <w:color w:val="000000" w:themeColor="text1"/>
          <w:szCs w:val="24"/>
        </w:rPr>
        <w:t xml:space="preserve"> on the likely impacts of living wage (which was subsequently translated and amplified by politicians and editorial writers) and two opinion pieces by prominent business lobby groups (</w:t>
      </w:r>
      <w:r w:rsidR="00345510">
        <w:rPr>
          <w:rFonts w:eastAsiaTheme="majorEastAsia" w:cs="Times New Roman"/>
          <w:color w:val="000000" w:themeColor="text1"/>
          <w:szCs w:val="24"/>
        </w:rPr>
        <w:t>O’Reilly</w:t>
      </w:r>
      <w:r>
        <w:rPr>
          <w:rFonts w:eastAsiaTheme="majorEastAsia" w:cs="Times New Roman"/>
          <w:color w:val="000000" w:themeColor="text1"/>
          <w:szCs w:val="24"/>
        </w:rPr>
        <w:t xml:space="preserve">, 2013; </w:t>
      </w:r>
      <w:r w:rsidR="00E46098">
        <w:rPr>
          <w:rFonts w:eastAsiaTheme="majorEastAsia" w:cs="Times New Roman"/>
          <w:color w:val="000000" w:themeColor="text1"/>
          <w:szCs w:val="24"/>
        </w:rPr>
        <w:t>Campbell</w:t>
      </w:r>
      <w:r>
        <w:rPr>
          <w:rFonts w:eastAsiaTheme="majorEastAsia" w:cs="Times New Roman"/>
          <w:color w:val="000000" w:themeColor="text1"/>
          <w:szCs w:val="24"/>
        </w:rPr>
        <w:t xml:space="preserve">, 2013). </w:t>
      </w:r>
      <w:r w:rsidR="00427F45">
        <w:rPr>
          <w:rFonts w:eastAsiaTheme="majorEastAsia" w:cs="Times New Roman"/>
          <w:color w:val="000000" w:themeColor="text1"/>
          <w:szCs w:val="24"/>
        </w:rPr>
        <w:t xml:space="preserve"> </w:t>
      </w:r>
      <w:r>
        <w:rPr>
          <w:rFonts w:eastAsiaTheme="majorEastAsia" w:cs="Times New Roman"/>
          <w:color w:val="000000" w:themeColor="text1"/>
          <w:szCs w:val="24"/>
        </w:rPr>
        <w:t>These</w:t>
      </w:r>
      <w:r w:rsidR="009203CC">
        <w:rPr>
          <w:rFonts w:eastAsiaTheme="majorEastAsia" w:cs="Times New Roman"/>
          <w:color w:val="000000" w:themeColor="text1"/>
          <w:szCs w:val="24"/>
        </w:rPr>
        <w:t xml:space="preserve"> latter</w:t>
      </w:r>
      <w:r>
        <w:rPr>
          <w:rFonts w:eastAsiaTheme="majorEastAsia" w:cs="Times New Roman"/>
          <w:color w:val="000000" w:themeColor="text1"/>
          <w:szCs w:val="24"/>
        </w:rPr>
        <w:t xml:space="preserve"> two pieces were published 10 weeks apart but </w:t>
      </w:r>
      <w:r w:rsidR="00427F45">
        <w:rPr>
          <w:rFonts w:eastAsiaTheme="majorEastAsia" w:cs="Times New Roman"/>
          <w:color w:val="000000" w:themeColor="text1"/>
          <w:szCs w:val="24"/>
        </w:rPr>
        <w:t>a</w:t>
      </w:r>
      <w:r>
        <w:rPr>
          <w:rFonts w:eastAsiaTheme="majorEastAsia" w:cs="Times New Roman"/>
          <w:color w:val="000000" w:themeColor="text1"/>
          <w:szCs w:val="24"/>
        </w:rPr>
        <w:t>re strikingly similar in their core arguments</w:t>
      </w:r>
      <w:r w:rsidR="00466A47">
        <w:rPr>
          <w:rFonts w:eastAsiaTheme="majorEastAsia" w:cs="Times New Roman"/>
          <w:color w:val="000000" w:themeColor="text1"/>
          <w:szCs w:val="24"/>
        </w:rPr>
        <w:t>, structure</w:t>
      </w:r>
      <w:r>
        <w:rPr>
          <w:rFonts w:eastAsiaTheme="majorEastAsia" w:cs="Times New Roman"/>
          <w:color w:val="000000" w:themeColor="text1"/>
          <w:szCs w:val="24"/>
        </w:rPr>
        <w:t xml:space="preserve"> and key phrases.</w:t>
      </w:r>
    </w:p>
    <w:p w14:paraId="62425FCB" w14:textId="77777777" w:rsidR="00665CFA" w:rsidRDefault="00665CFA" w:rsidP="00A22B9A">
      <w:pPr>
        <w:rPr>
          <w:rFonts w:eastAsiaTheme="majorEastAsia" w:cs="Times New Roman"/>
          <w:color w:val="000000" w:themeColor="text1"/>
          <w:szCs w:val="24"/>
        </w:rPr>
      </w:pPr>
    </w:p>
    <w:p w14:paraId="2761E68F" w14:textId="715BF83D" w:rsidR="00665CFA" w:rsidRPr="00427F45" w:rsidRDefault="002A15D5" w:rsidP="00A22B9A">
      <w:pPr>
        <w:rPr>
          <w:rFonts w:cs="Times New Roman"/>
        </w:rPr>
      </w:pPr>
      <w:r>
        <w:rPr>
          <w:rFonts w:eastAsiaTheme="majorEastAsia" w:cs="Times New Roman"/>
          <w:color w:val="000000" w:themeColor="text1"/>
          <w:szCs w:val="24"/>
        </w:rPr>
        <w:lastRenderedPageBreak/>
        <w:t xml:space="preserve">As we </w:t>
      </w:r>
      <w:r w:rsidR="00D91BE8">
        <w:rPr>
          <w:rFonts w:eastAsiaTheme="majorEastAsia" w:cs="Times New Roman"/>
          <w:color w:val="000000" w:themeColor="text1"/>
          <w:szCs w:val="24"/>
        </w:rPr>
        <w:t xml:space="preserve">have seen, the status quo arrangements regulating the wages of low-paid workers </w:t>
      </w:r>
      <w:r>
        <w:rPr>
          <w:rFonts w:eastAsiaTheme="majorEastAsia" w:cs="Times New Roman"/>
          <w:color w:val="000000" w:themeColor="text1"/>
          <w:szCs w:val="24"/>
        </w:rPr>
        <w:t xml:space="preserve">are built on a compromise between multiple orders. </w:t>
      </w:r>
      <w:r w:rsidR="001C57A6">
        <w:rPr>
          <w:rFonts w:eastAsiaTheme="majorEastAsia" w:cs="Times New Roman"/>
          <w:color w:val="000000" w:themeColor="text1"/>
          <w:szCs w:val="24"/>
        </w:rPr>
        <w:t xml:space="preserve"> </w:t>
      </w:r>
      <w:r w:rsidR="00681917">
        <w:rPr>
          <w:rFonts w:eastAsiaTheme="majorEastAsia" w:cs="Times New Roman"/>
          <w:color w:val="000000" w:themeColor="text1"/>
          <w:szCs w:val="24"/>
        </w:rPr>
        <w:t>W</w:t>
      </w:r>
      <w:r w:rsidR="00A03677">
        <w:rPr>
          <w:rFonts w:eastAsiaTheme="majorEastAsia" w:cs="Times New Roman"/>
          <w:color w:val="000000" w:themeColor="text1"/>
          <w:szCs w:val="24"/>
        </w:rPr>
        <w:t xml:space="preserve">e have shown </w:t>
      </w:r>
      <w:r w:rsidR="00681917">
        <w:rPr>
          <w:rFonts w:eastAsiaTheme="majorEastAsia" w:cs="Times New Roman"/>
          <w:color w:val="000000" w:themeColor="text1"/>
          <w:szCs w:val="24"/>
        </w:rPr>
        <w:t xml:space="preserve">above </w:t>
      </w:r>
      <w:r w:rsidR="00A03677">
        <w:rPr>
          <w:rFonts w:eastAsiaTheme="majorEastAsia" w:cs="Times New Roman"/>
          <w:color w:val="000000" w:themeColor="text1"/>
          <w:szCs w:val="24"/>
        </w:rPr>
        <w:t>how t</w:t>
      </w:r>
      <w:r>
        <w:rPr>
          <w:rFonts w:eastAsiaTheme="majorEastAsia" w:cs="Times New Roman"/>
          <w:color w:val="000000" w:themeColor="text1"/>
          <w:szCs w:val="24"/>
        </w:rPr>
        <w:t>he call for a living wage claim</w:t>
      </w:r>
      <w:r w:rsidR="00A03677">
        <w:rPr>
          <w:rFonts w:eastAsiaTheme="majorEastAsia" w:cs="Times New Roman"/>
          <w:color w:val="000000" w:themeColor="text1"/>
          <w:szCs w:val="24"/>
        </w:rPr>
        <w:t>s</w:t>
      </w:r>
      <w:r>
        <w:rPr>
          <w:rFonts w:eastAsiaTheme="majorEastAsia" w:cs="Times New Roman"/>
          <w:color w:val="000000" w:themeColor="text1"/>
          <w:szCs w:val="24"/>
        </w:rPr>
        <w:t xml:space="preserve"> that this compromise has, over time, given </w:t>
      </w:r>
      <w:r w:rsidR="00681917">
        <w:rPr>
          <w:rFonts w:eastAsiaTheme="majorEastAsia" w:cs="Times New Roman"/>
          <w:color w:val="000000" w:themeColor="text1"/>
          <w:szCs w:val="24"/>
        </w:rPr>
        <w:t>increasing weight</w:t>
      </w:r>
      <w:r>
        <w:rPr>
          <w:rFonts w:eastAsiaTheme="majorEastAsia" w:cs="Times New Roman"/>
          <w:color w:val="000000" w:themeColor="text1"/>
          <w:szCs w:val="24"/>
        </w:rPr>
        <w:t xml:space="preserve"> to the tests and norms of the </w:t>
      </w:r>
      <w:r w:rsidRPr="003F55E1">
        <w:rPr>
          <w:rFonts w:eastAsiaTheme="majorEastAsia" w:cs="Times New Roman"/>
          <w:i/>
          <w:color w:val="000000" w:themeColor="text1"/>
          <w:szCs w:val="24"/>
        </w:rPr>
        <w:t>market</w:t>
      </w:r>
      <w:r w:rsidR="004744F9">
        <w:rPr>
          <w:rFonts w:eastAsiaTheme="majorEastAsia" w:cs="Times New Roman"/>
          <w:color w:val="000000" w:themeColor="text1"/>
          <w:szCs w:val="24"/>
        </w:rPr>
        <w:t xml:space="preserve"> order</w:t>
      </w:r>
      <w:r w:rsidR="00681917">
        <w:rPr>
          <w:rFonts w:eastAsiaTheme="majorEastAsia" w:cs="Times New Roman"/>
          <w:color w:val="000000" w:themeColor="text1"/>
          <w:szCs w:val="24"/>
        </w:rPr>
        <w:t xml:space="preserve"> and</w:t>
      </w:r>
      <w:r w:rsidR="007F2F9D">
        <w:rPr>
          <w:rFonts w:eastAsiaTheme="majorEastAsia" w:cs="Times New Roman"/>
          <w:color w:val="000000" w:themeColor="text1"/>
          <w:szCs w:val="24"/>
        </w:rPr>
        <w:t xml:space="preserve"> that</w:t>
      </w:r>
      <w:r w:rsidR="004D355E">
        <w:rPr>
          <w:rFonts w:eastAsiaTheme="majorEastAsia" w:cs="Times New Roman"/>
          <w:color w:val="000000" w:themeColor="text1"/>
          <w:szCs w:val="24"/>
        </w:rPr>
        <w:t xml:space="preserve"> the </w:t>
      </w:r>
      <w:r w:rsidR="004D355E" w:rsidRPr="0006732B">
        <w:rPr>
          <w:rFonts w:eastAsiaTheme="majorEastAsia" w:cs="Times New Roman"/>
          <w:i/>
          <w:color w:val="000000" w:themeColor="text1"/>
          <w:szCs w:val="24"/>
        </w:rPr>
        <w:t>market’s</w:t>
      </w:r>
      <w:r w:rsidR="004D355E">
        <w:rPr>
          <w:rFonts w:eastAsiaTheme="majorEastAsia" w:cs="Times New Roman"/>
          <w:color w:val="000000" w:themeColor="text1"/>
          <w:szCs w:val="24"/>
        </w:rPr>
        <w:t xml:space="preserve"> evaluation of worthiness need</w:t>
      </w:r>
      <w:r w:rsidR="00986D87">
        <w:rPr>
          <w:rFonts w:eastAsiaTheme="majorEastAsia" w:cs="Times New Roman"/>
          <w:color w:val="000000" w:themeColor="text1"/>
          <w:szCs w:val="24"/>
        </w:rPr>
        <w:t>s</w:t>
      </w:r>
      <w:r w:rsidR="004D355E">
        <w:rPr>
          <w:rFonts w:eastAsiaTheme="majorEastAsia" w:cs="Times New Roman"/>
          <w:color w:val="000000" w:themeColor="text1"/>
          <w:szCs w:val="24"/>
        </w:rPr>
        <w:t xml:space="preserve"> to be supplemented with evaluations from the </w:t>
      </w:r>
      <w:r w:rsidR="004D355E" w:rsidRPr="0006732B">
        <w:rPr>
          <w:rFonts w:eastAsiaTheme="majorEastAsia" w:cs="Times New Roman"/>
          <w:i/>
          <w:color w:val="000000" w:themeColor="text1"/>
          <w:szCs w:val="24"/>
        </w:rPr>
        <w:t>domestic</w:t>
      </w:r>
      <w:r w:rsidR="004D355E">
        <w:rPr>
          <w:rFonts w:eastAsiaTheme="majorEastAsia" w:cs="Times New Roman"/>
          <w:color w:val="000000" w:themeColor="text1"/>
          <w:szCs w:val="24"/>
        </w:rPr>
        <w:t xml:space="preserve">, </w:t>
      </w:r>
      <w:r w:rsidR="004D355E" w:rsidRPr="0006732B">
        <w:rPr>
          <w:rFonts w:eastAsiaTheme="majorEastAsia" w:cs="Times New Roman"/>
          <w:i/>
          <w:color w:val="000000" w:themeColor="text1"/>
          <w:szCs w:val="24"/>
        </w:rPr>
        <w:t>civic</w:t>
      </w:r>
      <w:r w:rsidR="004D355E">
        <w:rPr>
          <w:rFonts w:eastAsiaTheme="majorEastAsia" w:cs="Times New Roman"/>
          <w:color w:val="000000" w:themeColor="text1"/>
          <w:szCs w:val="24"/>
        </w:rPr>
        <w:t xml:space="preserve"> and </w:t>
      </w:r>
      <w:r w:rsidR="004D355E" w:rsidRPr="0006732B">
        <w:rPr>
          <w:rFonts w:eastAsiaTheme="majorEastAsia" w:cs="Times New Roman"/>
          <w:i/>
          <w:color w:val="000000" w:themeColor="text1"/>
          <w:szCs w:val="24"/>
        </w:rPr>
        <w:t>industrial</w:t>
      </w:r>
      <w:r w:rsidR="004D355E">
        <w:rPr>
          <w:rFonts w:eastAsiaTheme="majorEastAsia" w:cs="Times New Roman"/>
          <w:color w:val="000000" w:themeColor="text1"/>
          <w:szCs w:val="24"/>
        </w:rPr>
        <w:t xml:space="preserve"> orders</w:t>
      </w:r>
      <w:r w:rsidR="00665CFA">
        <w:rPr>
          <w:rFonts w:eastAsiaTheme="majorEastAsia" w:cs="Times New Roman"/>
          <w:color w:val="000000" w:themeColor="text1"/>
          <w:szCs w:val="24"/>
        </w:rPr>
        <w:t xml:space="preserve">. </w:t>
      </w:r>
      <w:r w:rsidR="00427F45">
        <w:rPr>
          <w:rFonts w:eastAsiaTheme="majorEastAsia" w:cs="Times New Roman"/>
          <w:color w:val="000000" w:themeColor="text1"/>
          <w:szCs w:val="24"/>
        </w:rPr>
        <w:t xml:space="preserve"> </w:t>
      </w:r>
      <w:r w:rsidR="00665CFA">
        <w:rPr>
          <w:rFonts w:eastAsiaTheme="majorEastAsia" w:cs="Times New Roman"/>
          <w:color w:val="000000" w:themeColor="text1"/>
          <w:szCs w:val="24"/>
        </w:rPr>
        <w:t xml:space="preserve">In contrast, business groups’ arguments against the living wage (or, put otherwise, their justification of the status quo) </w:t>
      </w:r>
      <w:r w:rsidR="00091AF8">
        <w:rPr>
          <w:rFonts w:eastAsiaTheme="majorEastAsia" w:cs="Times New Roman"/>
          <w:color w:val="000000" w:themeColor="text1"/>
          <w:szCs w:val="24"/>
        </w:rPr>
        <w:t>hold</w:t>
      </w:r>
      <w:r w:rsidR="005B15D9">
        <w:rPr>
          <w:rFonts w:eastAsiaTheme="majorEastAsia" w:cs="Times New Roman"/>
          <w:color w:val="000000" w:themeColor="text1"/>
          <w:szCs w:val="24"/>
        </w:rPr>
        <w:t xml:space="preserve"> that the </w:t>
      </w:r>
      <w:r w:rsidR="007F2F9D">
        <w:rPr>
          <w:rFonts w:eastAsiaTheme="majorEastAsia" w:cs="Times New Roman"/>
          <w:color w:val="000000" w:themeColor="text1"/>
          <w:szCs w:val="24"/>
        </w:rPr>
        <w:t xml:space="preserve">balance of the </w:t>
      </w:r>
      <w:r w:rsidR="005B15D9" w:rsidRPr="003F55E1">
        <w:rPr>
          <w:rFonts w:eastAsiaTheme="majorEastAsia" w:cs="Times New Roman"/>
          <w:i/>
          <w:color w:val="000000" w:themeColor="text1"/>
          <w:szCs w:val="24"/>
        </w:rPr>
        <w:t>market</w:t>
      </w:r>
      <w:r w:rsidR="005B15D9">
        <w:rPr>
          <w:rFonts w:eastAsiaTheme="majorEastAsia" w:cs="Times New Roman"/>
          <w:color w:val="000000" w:themeColor="text1"/>
          <w:szCs w:val="24"/>
        </w:rPr>
        <w:t>-</w:t>
      </w:r>
      <w:r w:rsidR="005B15D9" w:rsidRPr="003F55E1">
        <w:rPr>
          <w:rFonts w:eastAsiaTheme="majorEastAsia" w:cs="Times New Roman"/>
          <w:i/>
          <w:color w:val="000000" w:themeColor="text1"/>
          <w:szCs w:val="24"/>
        </w:rPr>
        <w:t>civic</w:t>
      </w:r>
      <w:r w:rsidR="005B15D9">
        <w:rPr>
          <w:rFonts w:eastAsiaTheme="majorEastAsia" w:cs="Times New Roman"/>
          <w:color w:val="000000" w:themeColor="text1"/>
          <w:szCs w:val="24"/>
        </w:rPr>
        <w:t>-</w:t>
      </w:r>
      <w:r w:rsidR="005B15D9" w:rsidRPr="003F55E1">
        <w:rPr>
          <w:rFonts w:eastAsiaTheme="majorEastAsia" w:cs="Times New Roman"/>
          <w:i/>
          <w:color w:val="000000" w:themeColor="text1"/>
          <w:szCs w:val="24"/>
        </w:rPr>
        <w:t>industrial</w:t>
      </w:r>
      <w:r w:rsidR="005B15D9">
        <w:rPr>
          <w:rFonts w:eastAsiaTheme="majorEastAsia" w:cs="Times New Roman"/>
          <w:color w:val="000000" w:themeColor="text1"/>
          <w:szCs w:val="24"/>
        </w:rPr>
        <w:t xml:space="preserve"> compromise embodie</w:t>
      </w:r>
      <w:r w:rsidR="007F2F9D">
        <w:rPr>
          <w:rFonts w:eastAsiaTheme="majorEastAsia" w:cs="Times New Roman"/>
          <w:color w:val="000000" w:themeColor="text1"/>
          <w:szCs w:val="24"/>
        </w:rPr>
        <w:t>d</w:t>
      </w:r>
      <w:r w:rsidR="005B15D9">
        <w:rPr>
          <w:rFonts w:eastAsiaTheme="majorEastAsia" w:cs="Times New Roman"/>
          <w:color w:val="000000" w:themeColor="text1"/>
          <w:szCs w:val="24"/>
        </w:rPr>
        <w:t xml:space="preserve"> in </w:t>
      </w:r>
      <w:r w:rsidR="007F2F9D">
        <w:rPr>
          <w:rFonts w:eastAsiaTheme="majorEastAsia" w:cs="Times New Roman"/>
          <w:color w:val="000000" w:themeColor="text1"/>
          <w:szCs w:val="24"/>
        </w:rPr>
        <w:t>existing arrangements</w:t>
      </w:r>
      <w:r w:rsidR="005B15D9">
        <w:rPr>
          <w:rFonts w:eastAsiaTheme="majorEastAsia" w:cs="Times New Roman"/>
          <w:color w:val="000000" w:themeColor="text1"/>
          <w:szCs w:val="24"/>
        </w:rPr>
        <w:t xml:space="preserve"> is appropriate and </w:t>
      </w:r>
      <w:r w:rsidR="007F2F9D">
        <w:rPr>
          <w:rFonts w:eastAsiaTheme="majorEastAsia" w:cs="Times New Roman"/>
          <w:color w:val="000000" w:themeColor="text1"/>
          <w:szCs w:val="24"/>
        </w:rPr>
        <w:t>optimal</w:t>
      </w:r>
      <w:r w:rsidR="005B15D9">
        <w:rPr>
          <w:rFonts w:eastAsiaTheme="majorEastAsia" w:cs="Times New Roman"/>
          <w:color w:val="000000" w:themeColor="text1"/>
          <w:szCs w:val="24"/>
        </w:rPr>
        <w:t>.</w:t>
      </w:r>
      <w:r w:rsidR="001C57A6">
        <w:rPr>
          <w:rFonts w:eastAsiaTheme="majorEastAsia" w:cs="Times New Roman"/>
          <w:color w:val="000000" w:themeColor="text1"/>
          <w:szCs w:val="24"/>
        </w:rPr>
        <w:t xml:space="preserve"> </w:t>
      </w:r>
      <w:r w:rsidR="005B15D9">
        <w:rPr>
          <w:rFonts w:eastAsiaTheme="majorEastAsia" w:cs="Times New Roman"/>
          <w:color w:val="000000" w:themeColor="text1"/>
          <w:szCs w:val="24"/>
        </w:rPr>
        <w:t xml:space="preserve"> </w:t>
      </w:r>
      <w:r w:rsidR="007F2F9D">
        <w:rPr>
          <w:rFonts w:eastAsiaTheme="majorEastAsia" w:cs="Times New Roman"/>
          <w:color w:val="000000" w:themeColor="text1"/>
          <w:szCs w:val="24"/>
        </w:rPr>
        <w:t>In their</w:t>
      </w:r>
      <w:r w:rsidR="005B15D9">
        <w:rPr>
          <w:rFonts w:eastAsiaTheme="majorEastAsia" w:cs="Times New Roman"/>
          <w:color w:val="000000" w:themeColor="text1"/>
          <w:szCs w:val="24"/>
        </w:rPr>
        <w:t xml:space="preserve"> justification of the status quo, critics of the living wage call </w:t>
      </w:r>
      <w:r w:rsidR="00A03677">
        <w:rPr>
          <w:rFonts w:eastAsiaTheme="majorEastAsia" w:cs="Times New Roman"/>
          <w:color w:val="000000" w:themeColor="text1"/>
          <w:szCs w:val="24"/>
        </w:rPr>
        <w:t xml:space="preserve">can be seen to </w:t>
      </w:r>
      <w:r w:rsidR="00665CFA">
        <w:rPr>
          <w:rFonts w:eastAsiaTheme="majorEastAsia" w:cs="Times New Roman"/>
          <w:color w:val="000000" w:themeColor="text1"/>
          <w:szCs w:val="24"/>
        </w:rPr>
        <w:t xml:space="preserve">appeal almost exclusively to the </w:t>
      </w:r>
      <w:r w:rsidR="00665CFA" w:rsidRPr="009A1B57">
        <w:rPr>
          <w:rFonts w:eastAsiaTheme="majorEastAsia" w:cs="Times New Roman"/>
          <w:i/>
          <w:color w:val="000000" w:themeColor="text1"/>
          <w:szCs w:val="24"/>
        </w:rPr>
        <w:t>market</w:t>
      </w:r>
      <w:r w:rsidR="00665CFA">
        <w:rPr>
          <w:rFonts w:eastAsiaTheme="majorEastAsia" w:cs="Times New Roman"/>
          <w:color w:val="000000" w:themeColor="text1"/>
          <w:szCs w:val="24"/>
        </w:rPr>
        <w:t xml:space="preserve"> order of worth</w:t>
      </w:r>
      <w:r w:rsidR="005B15D9">
        <w:rPr>
          <w:rFonts w:eastAsiaTheme="majorEastAsia" w:cs="Times New Roman"/>
          <w:color w:val="000000" w:themeColor="text1"/>
          <w:szCs w:val="24"/>
        </w:rPr>
        <w:t>,</w:t>
      </w:r>
      <w:r w:rsidR="00A03677">
        <w:rPr>
          <w:rFonts w:eastAsiaTheme="majorEastAsia" w:cs="Times New Roman"/>
          <w:color w:val="000000" w:themeColor="text1"/>
          <w:szCs w:val="24"/>
        </w:rPr>
        <w:t xml:space="preserve"> apparently</w:t>
      </w:r>
      <w:r w:rsidR="005B15D9">
        <w:rPr>
          <w:rFonts w:eastAsiaTheme="majorEastAsia" w:cs="Times New Roman"/>
          <w:color w:val="000000" w:themeColor="text1"/>
          <w:szCs w:val="24"/>
        </w:rPr>
        <w:t xml:space="preserve"> seeking to deflect the criticism that </w:t>
      </w:r>
      <w:r w:rsidR="00ED20B9">
        <w:rPr>
          <w:rFonts w:eastAsiaTheme="majorEastAsia" w:cs="Times New Roman"/>
          <w:color w:val="000000" w:themeColor="text1"/>
          <w:szCs w:val="24"/>
        </w:rPr>
        <w:t>existing arrangement</w:t>
      </w:r>
      <w:r w:rsidR="00A03677">
        <w:rPr>
          <w:rFonts w:eastAsiaTheme="majorEastAsia" w:cs="Times New Roman"/>
          <w:color w:val="000000" w:themeColor="text1"/>
          <w:szCs w:val="24"/>
        </w:rPr>
        <w:t>s</w:t>
      </w:r>
      <w:r w:rsidR="00ED20B9">
        <w:rPr>
          <w:rFonts w:eastAsiaTheme="majorEastAsia" w:cs="Times New Roman"/>
          <w:color w:val="000000" w:themeColor="text1"/>
          <w:szCs w:val="24"/>
        </w:rPr>
        <w:t xml:space="preserve"> over-emphasise the tests of the market</w:t>
      </w:r>
      <w:r w:rsidR="005B15D9">
        <w:rPr>
          <w:rFonts w:eastAsiaTheme="majorEastAsia" w:cs="Times New Roman"/>
          <w:color w:val="000000" w:themeColor="text1"/>
          <w:szCs w:val="24"/>
        </w:rPr>
        <w:t xml:space="preserve"> in damaging ways</w:t>
      </w:r>
      <w:r w:rsidR="00665CFA">
        <w:rPr>
          <w:rFonts w:eastAsiaTheme="majorEastAsia" w:cs="Times New Roman"/>
          <w:color w:val="000000" w:themeColor="text1"/>
          <w:szCs w:val="24"/>
        </w:rPr>
        <w:t xml:space="preserve">. </w:t>
      </w:r>
      <w:r w:rsidR="00427F45">
        <w:rPr>
          <w:rFonts w:eastAsiaTheme="majorEastAsia" w:cs="Times New Roman"/>
          <w:color w:val="000000" w:themeColor="text1"/>
          <w:szCs w:val="24"/>
        </w:rPr>
        <w:t xml:space="preserve"> </w:t>
      </w:r>
      <w:r w:rsidR="00A03677">
        <w:rPr>
          <w:rFonts w:eastAsiaTheme="majorEastAsia" w:cs="Times New Roman"/>
          <w:color w:val="000000" w:themeColor="text1"/>
          <w:szCs w:val="24"/>
        </w:rPr>
        <w:t>Further</w:t>
      </w:r>
      <w:r w:rsidR="00365F6E">
        <w:rPr>
          <w:rFonts w:eastAsiaTheme="majorEastAsia" w:cs="Times New Roman"/>
          <w:color w:val="000000" w:themeColor="text1"/>
          <w:szCs w:val="24"/>
        </w:rPr>
        <w:t>,</w:t>
      </w:r>
      <w:r w:rsidR="00A03677">
        <w:rPr>
          <w:rFonts w:eastAsiaTheme="majorEastAsia" w:cs="Times New Roman"/>
          <w:color w:val="000000" w:themeColor="text1"/>
          <w:szCs w:val="24"/>
        </w:rPr>
        <w:t xml:space="preserve"> t</w:t>
      </w:r>
      <w:r w:rsidR="00ED20B9">
        <w:rPr>
          <w:rFonts w:eastAsiaTheme="majorEastAsia" w:cs="Times New Roman"/>
          <w:color w:val="000000" w:themeColor="text1"/>
          <w:szCs w:val="24"/>
        </w:rPr>
        <w:t>hey argue</w:t>
      </w:r>
      <w:r w:rsidR="00665CFA">
        <w:rPr>
          <w:rFonts w:eastAsiaTheme="majorEastAsia" w:cs="Times New Roman"/>
          <w:color w:val="000000" w:themeColor="text1"/>
          <w:szCs w:val="24"/>
        </w:rPr>
        <w:t xml:space="preserve"> that </w:t>
      </w:r>
      <w:r w:rsidR="005B15D9">
        <w:rPr>
          <w:rFonts w:eastAsiaTheme="majorEastAsia" w:cs="Times New Roman"/>
          <w:color w:val="000000" w:themeColor="text1"/>
          <w:szCs w:val="24"/>
        </w:rPr>
        <w:t>the status quo (guided strongly</w:t>
      </w:r>
      <w:r w:rsidR="0006732B">
        <w:rPr>
          <w:rFonts w:eastAsiaTheme="majorEastAsia" w:cs="Times New Roman"/>
          <w:color w:val="000000" w:themeColor="text1"/>
          <w:szCs w:val="24"/>
        </w:rPr>
        <w:t>,</w:t>
      </w:r>
      <w:r w:rsidR="005B15D9">
        <w:rPr>
          <w:rFonts w:eastAsiaTheme="majorEastAsia" w:cs="Times New Roman"/>
          <w:color w:val="000000" w:themeColor="text1"/>
          <w:szCs w:val="24"/>
        </w:rPr>
        <w:t xml:space="preserve"> but not entirely</w:t>
      </w:r>
      <w:r w:rsidR="0006732B">
        <w:rPr>
          <w:rFonts w:eastAsiaTheme="majorEastAsia" w:cs="Times New Roman"/>
          <w:color w:val="000000" w:themeColor="text1"/>
          <w:szCs w:val="24"/>
        </w:rPr>
        <w:t>,</w:t>
      </w:r>
      <w:r w:rsidR="005B15D9">
        <w:rPr>
          <w:rFonts w:eastAsiaTheme="majorEastAsia" w:cs="Times New Roman"/>
          <w:color w:val="000000" w:themeColor="text1"/>
          <w:szCs w:val="24"/>
        </w:rPr>
        <w:t xml:space="preserve"> by the</w:t>
      </w:r>
      <w:r w:rsidR="00665CFA">
        <w:rPr>
          <w:rFonts w:eastAsiaTheme="majorEastAsia" w:cs="Times New Roman"/>
          <w:color w:val="000000" w:themeColor="text1"/>
          <w:szCs w:val="24"/>
        </w:rPr>
        <w:t xml:space="preserve"> </w:t>
      </w:r>
      <w:r w:rsidR="00665CFA" w:rsidRPr="009A1B57">
        <w:rPr>
          <w:rFonts w:eastAsiaTheme="majorEastAsia" w:cs="Times New Roman"/>
          <w:i/>
          <w:color w:val="000000" w:themeColor="text1"/>
          <w:szCs w:val="24"/>
        </w:rPr>
        <w:t>market</w:t>
      </w:r>
      <w:r w:rsidR="00665CFA">
        <w:rPr>
          <w:rFonts w:eastAsiaTheme="majorEastAsia" w:cs="Times New Roman"/>
          <w:color w:val="000000" w:themeColor="text1"/>
          <w:szCs w:val="24"/>
        </w:rPr>
        <w:t xml:space="preserve"> order of worth</w:t>
      </w:r>
      <w:r w:rsidR="005B15D9">
        <w:rPr>
          <w:rFonts w:eastAsiaTheme="majorEastAsia" w:cs="Times New Roman"/>
          <w:color w:val="000000" w:themeColor="text1"/>
          <w:szCs w:val="24"/>
        </w:rPr>
        <w:t>)</w:t>
      </w:r>
      <w:r w:rsidR="00665CFA">
        <w:rPr>
          <w:rFonts w:eastAsiaTheme="majorEastAsia" w:cs="Times New Roman"/>
          <w:color w:val="000000" w:themeColor="text1"/>
          <w:szCs w:val="24"/>
        </w:rPr>
        <w:t xml:space="preserve"> generate</w:t>
      </w:r>
      <w:r w:rsidR="005B15D9">
        <w:rPr>
          <w:rFonts w:eastAsiaTheme="majorEastAsia" w:cs="Times New Roman"/>
          <w:color w:val="000000" w:themeColor="text1"/>
          <w:szCs w:val="24"/>
        </w:rPr>
        <w:t>s</w:t>
      </w:r>
      <w:r w:rsidR="00665CFA">
        <w:rPr>
          <w:rFonts w:eastAsiaTheme="majorEastAsia" w:cs="Times New Roman"/>
          <w:color w:val="000000" w:themeColor="text1"/>
          <w:szCs w:val="24"/>
        </w:rPr>
        <w:t xml:space="preserve"> </w:t>
      </w:r>
      <w:r w:rsidR="00ED20B9">
        <w:rPr>
          <w:rFonts w:eastAsiaTheme="majorEastAsia" w:cs="Times New Roman"/>
          <w:color w:val="000000" w:themeColor="text1"/>
          <w:szCs w:val="24"/>
        </w:rPr>
        <w:t>widely-</w:t>
      </w:r>
      <w:r w:rsidR="007F2F9D">
        <w:rPr>
          <w:rFonts w:eastAsiaTheme="majorEastAsia" w:cs="Times New Roman"/>
          <w:color w:val="000000" w:themeColor="text1"/>
          <w:szCs w:val="24"/>
        </w:rPr>
        <w:t xml:space="preserve">shared </w:t>
      </w:r>
      <w:r w:rsidR="00ED20B9">
        <w:rPr>
          <w:rFonts w:eastAsiaTheme="majorEastAsia" w:cs="Times New Roman"/>
          <w:color w:val="000000" w:themeColor="text1"/>
          <w:szCs w:val="24"/>
        </w:rPr>
        <w:t xml:space="preserve">beneficial </w:t>
      </w:r>
      <w:r w:rsidR="00665CFA">
        <w:rPr>
          <w:rFonts w:eastAsiaTheme="majorEastAsia" w:cs="Times New Roman"/>
          <w:color w:val="000000" w:themeColor="text1"/>
          <w:szCs w:val="24"/>
        </w:rPr>
        <w:t>outcomes that satisf</w:t>
      </w:r>
      <w:r w:rsidR="00427F45">
        <w:rPr>
          <w:rFonts w:eastAsiaTheme="majorEastAsia" w:cs="Times New Roman"/>
          <w:color w:val="000000" w:themeColor="text1"/>
          <w:szCs w:val="24"/>
        </w:rPr>
        <w:t>y</w:t>
      </w:r>
      <w:r w:rsidR="00665CFA">
        <w:rPr>
          <w:rFonts w:eastAsiaTheme="majorEastAsia" w:cs="Times New Roman"/>
          <w:color w:val="000000" w:themeColor="text1"/>
          <w:szCs w:val="24"/>
        </w:rPr>
        <w:t xml:space="preserve"> the requirements of the </w:t>
      </w:r>
      <w:r w:rsidR="00665CFA" w:rsidRPr="009A1B57">
        <w:rPr>
          <w:rFonts w:eastAsiaTheme="majorEastAsia" w:cs="Times New Roman"/>
          <w:i/>
          <w:color w:val="000000" w:themeColor="text1"/>
          <w:szCs w:val="24"/>
        </w:rPr>
        <w:t>industrial</w:t>
      </w:r>
      <w:r w:rsidR="00665CFA">
        <w:rPr>
          <w:rFonts w:eastAsiaTheme="majorEastAsia" w:cs="Times New Roman"/>
          <w:color w:val="000000" w:themeColor="text1"/>
          <w:szCs w:val="24"/>
        </w:rPr>
        <w:t xml:space="preserve"> and </w:t>
      </w:r>
      <w:r w:rsidR="00665CFA" w:rsidRPr="009A1B57">
        <w:rPr>
          <w:rFonts w:eastAsiaTheme="majorEastAsia" w:cs="Times New Roman"/>
          <w:i/>
          <w:color w:val="000000" w:themeColor="text1"/>
          <w:szCs w:val="24"/>
        </w:rPr>
        <w:t>civic</w:t>
      </w:r>
      <w:r w:rsidR="00665CFA">
        <w:rPr>
          <w:rFonts w:eastAsiaTheme="majorEastAsia" w:cs="Times New Roman"/>
          <w:color w:val="000000" w:themeColor="text1"/>
          <w:szCs w:val="24"/>
        </w:rPr>
        <w:t xml:space="preserve"> orders. </w:t>
      </w:r>
      <w:r w:rsidR="002C1F17">
        <w:rPr>
          <w:rFonts w:eastAsiaTheme="majorEastAsia" w:cs="Times New Roman"/>
          <w:color w:val="000000" w:themeColor="text1"/>
          <w:szCs w:val="24"/>
        </w:rPr>
        <w:t>Table</w:t>
      </w:r>
      <w:r w:rsidR="00427F45">
        <w:rPr>
          <w:rFonts w:eastAsiaTheme="majorEastAsia" w:cs="Times New Roman"/>
          <w:color w:val="000000" w:themeColor="text1"/>
          <w:szCs w:val="24"/>
        </w:rPr>
        <w:t xml:space="preserve"> 4</w:t>
      </w:r>
      <w:r w:rsidR="002C1F17">
        <w:rPr>
          <w:rFonts w:eastAsiaTheme="majorEastAsia" w:cs="Times New Roman"/>
          <w:color w:val="000000" w:themeColor="text1"/>
          <w:szCs w:val="24"/>
        </w:rPr>
        <w:t xml:space="preserve"> </w:t>
      </w:r>
      <w:r w:rsidR="00665CFA">
        <w:rPr>
          <w:rFonts w:eastAsiaTheme="majorEastAsia" w:cs="Times New Roman"/>
          <w:color w:val="000000" w:themeColor="text1"/>
          <w:szCs w:val="24"/>
        </w:rPr>
        <w:t>summar</w:t>
      </w:r>
      <w:r w:rsidR="002C1F17">
        <w:rPr>
          <w:rFonts w:eastAsiaTheme="majorEastAsia" w:cs="Times New Roman"/>
          <w:color w:val="000000" w:themeColor="text1"/>
          <w:szCs w:val="24"/>
        </w:rPr>
        <w:t>ises</w:t>
      </w:r>
      <w:r w:rsidR="00665CFA">
        <w:rPr>
          <w:rFonts w:eastAsiaTheme="majorEastAsia" w:cs="Times New Roman"/>
          <w:color w:val="000000" w:themeColor="text1"/>
          <w:szCs w:val="24"/>
        </w:rPr>
        <w:t xml:space="preserve"> our findings</w:t>
      </w:r>
      <w:r w:rsidR="002C1F17">
        <w:rPr>
          <w:rFonts w:eastAsiaTheme="majorEastAsia" w:cs="Times New Roman"/>
          <w:color w:val="000000" w:themeColor="text1"/>
          <w:szCs w:val="24"/>
        </w:rPr>
        <w:t>,</w:t>
      </w:r>
      <w:r w:rsidR="00665CFA">
        <w:rPr>
          <w:rFonts w:eastAsiaTheme="majorEastAsia" w:cs="Times New Roman"/>
          <w:color w:val="000000" w:themeColor="text1"/>
          <w:szCs w:val="24"/>
        </w:rPr>
        <w:t xml:space="preserve"> </w:t>
      </w:r>
      <w:r w:rsidR="002C1F17">
        <w:rPr>
          <w:rFonts w:eastAsiaTheme="majorEastAsia" w:cs="Times New Roman"/>
          <w:color w:val="000000" w:themeColor="text1"/>
          <w:szCs w:val="24"/>
        </w:rPr>
        <w:t xml:space="preserve">which </w:t>
      </w:r>
      <w:r w:rsidR="007F2F9D">
        <w:rPr>
          <w:rFonts w:eastAsiaTheme="majorEastAsia" w:cs="Times New Roman"/>
          <w:color w:val="000000" w:themeColor="text1"/>
          <w:szCs w:val="24"/>
        </w:rPr>
        <w:t xml:space="preserve">we </w:t>
      </w:r>
      <w:r w:rsidR="002C1F17">
        <w:rPr>
          <w:rFonts w:eastAsiaTheme="majorEastAsia" w:cs="Times New Roman"/>
          <w:color w:val="000000" w:themeColor="text1"/>
          <w:szCs w:val="24"/>
        </w:rPr>
        <w:t>discuss</w:t>
      </w:r>
      <w:r w:rsidR="00ED20B9">
        <w:rPr>
          <w:rFonts w:eastAsiaTheme="majorEastAsia" w:cs="Times New Roman"/>
          <w:color w:val="000000" w:themeColor="text1"/>
          <w:szCs w:val="24"/>
        </w:rPr>
        <w:t xml:space="preserve"> </w:t>
      </w:r>
      <w:r w:rsidR="007F2F9D">
        <w:rPr>
          <w:rFonts w:eastAsiaTheme="majorEastAsia" w:cs="Times New Roman"/>
          <w:color w:val="000000" w:themeColor="text1"/>
          <w:szCs w:val="24"/>
        </w:rPr>
        <w:t>further</w:t>
      </w:r>
      <w:r w:rsidR="00665CFA">
        <w:rPr>
          <w:rFonts w:eastAsiaTheme="majorEastAsia" w:cs="Times New Roman"/>
          <w:color w:val="000000" w:themeColor="text1"/>
          <w:szCs w:val="24"/>
        </w:rPr>
        <w:t xml:space="preserve"> below.</w:t>
      </w:r>
    </w:p>
    <w:p w14:paraId="71D6C06E" w14:textId="28366F98" w:rsidR="00665CFA" w:rsidRDefault="00665CFA" w:rsidP="00A22B9A">
      <w:pPr>
        <w:rPr>
          <w:rFonts w:eastAsiaTheme="majorEastAsia" w:cs="Times New Roman"/>
          <w:color w:val="000000" w:themeColor="text1"/>
          <w:szCs w:val="24"/>
        </w:rPr>
      </w:pPr>
    </w:p>
    <w:p w14:paraId="43F3EFEB" w14:textId="46354B35" w:rsidR="00665CFA" w:rsidRDefault="00226F61" w:rsidP="00A22B9A">
      <w:pPr>
        <w:rPr>
          <w:rFonts w:eastAsiaTheme="majorEastAsia" w:cs="Times New Roman"/>
          <w:b/>
          <w:color w:val="000000" w:themeColor="text1"/>
          <w:szCs w:val="24"/>
        </w:rPr>
      </w:pPr>
      <w:r w:rsidRPr="00226F61">
        <w:rPr>
          <w:rFonts w:eastAsiaTheme="majorEastAsia" w:cs="Times New Roman"/>
          <w:b/>
          <w:color w:val="000000" w:themeColor="text1"/>
          <w:szCs w:val="24"/>
        </w:rPr>
        <w:t>[Table 4 about here]</w:t>
      </w:r>
    </w:p>
    <w:p w14:paraId="05931483" w14:textId="77777777" w:rsidR="0045393A" w:rsidRDefault="0045393A" w:rsidP="00A22B9A">
      <w:pPr>
        <w:rPr>
          <w:rFonts w:cs="Times New Roman"/>
        </w:rPr>
      </w:pPr>
    </w:p>
    <w:p w14:paraId="0047DB00" w14:textId="277EDC43" w:rsidR="00665CFA" w:rsidRDefault="008037C4" w:rsidP="00A22B9A">
      <w:pPr>
        <w:rPr>
          <w:rFonts w:cs="Times New Roman"/>
          <w:szCs w:val="24"/>
        </w:rPr>
      </w:pPr>
      <w:r>
        <w:rPr>
          <w:rFonts w:cs="Times New Roman"/>
        </w:rPr>
        <w:t>From our analysis we find that t</w:t>
      </w:r>
      <w:r w:rsidR="00665CFA" w:rsidRPr="00625C9C">
        <w:rPr>
          <w:rFonts w:cs="Times New Roman"/>
        </w:rPr>
        <w:t>he simplest form of the appeal to the</w:t>
      </w:r>
      <w:r w:rsidR="00665CFA" w:rsidRPr="00A047CA">
        <w:rPr>
          <w:rFonts w:cs="Times New Roman"/>
          <w:i/>
        </w:rPr>
        <w:t xml:space="preserve"> market</w:t>
      </w:r>
      <w:r w:rsidR="00665CFA" w:rsidRPr="00625C9C">
        <w:rPr>
          <w:rFonts w:cs="Times New Roman"/>
        </w:rPr>
        <w:t xml:space="preserve"> grammar of justification </w:t>
      </w:r>
      <w:r w:rsidR="007F2F9D">
        <w:rPr>
          <w:rFonts w:cs="Times New Roman"/>
        </w:rPr>
        <w:t xml:space="preserve">in arguments </w:t>
      </w:r>
      <w:r w:rsidR="007F2F9D" w:rsidRPr="0006732B">
        <w:rPr>
          <w:rFonts w:cs="Times New Roman"/>
          <w:i/>
        </w:rPr>
        <w:t>against</w:t>
      </w:r>
      <w:r w:rsidR="007F2F9D">
        <w:rPr>
          <w:rFonts w:cs="Times New Roman"/>
        </w:rPr>
        <w:t xml:space="preserve"> the living wage</w:t>
      </w:r>
      <w:r w:rsidR="00665CFA">
        <w:rPr>
          <w:rFonts w:cs="Times New Roman"/>
        </w:rPr>
        <w:t xml:space="preserve"> </w:t>
      </w:r>
      <w:r w:rsidR="00665CFA" w:rsidRPr="00625C9C">
        <w:rPr>
          <w:rFonts w:cs="Times New Roman"/>
        </w:rPr>
        <w:t xml:space="preserve">is the claim that the </w:t>
      </w:r>
      <w:r w:rsidR="00665CFA">
        <w:rPr>
          <w:rFonts w:cs="Times New Roman"/>
        </w:rPr>
        <w:t>market is natural and immutable.</w:t>
      </w:r>
      <w:r w:rsidR="00665CFA" w:rsidRPr="00625C9C">
        <w:rPr>
          <w:rFonts w:cs="Times New Roman"/>
          <w:vertAlign w:val="superscript"/>
        </w:rPr>
        <w:endnoteReference w:id="6"/>
      </w:r>
      <w:r w:rsidR="00665CFA" w:rsidRPr="00625C9C">
        <w:rPr>
          <w:rFonts w:cs="Times New Roman"/>
        </w:rPr>
        <w:t xml:space="preserve"> </w:t>
      </w:r>
      <w:r w:rsidR="00665CFA">
        <w:rPr>
          <w:rFonts w:cs="Times New Roman"/>
        </w:rPr>
        <w:t xml:space="preserve"> </w:t>
      </w:r>
      <w:r w:rsidR="007F2F9D">
        <w:rPr>
          <w:rFonts w:cs="Times New Roman"/>
        </w:rPr>
        <w:t>The</w:t>
      </w:r>
      <w:r w:rsidR="00665CFA" w:rsidRPr="00625C9C">
        <w:rPr>
          <w:rFonts w:cs="Times New Roman"/>
        </w:rPr>
        <w:t xml:space="preserve"> living wage </w:t>
      </w:r>
      <w:r w:rsidR="007F2F9D">
        <w:rPr>
          <w:rFonts w:cs="Times New Roman"/>
        </w:rPr>
        <w:t>is</w:t>
      </w:r>
      <w:r w:rsidR="007F2F9D" w:rsidRPr="00625C9C">
        <w:rPr>
          <w:rFonts w:cs="Times New Roman"/>
        </w:rPr>
        <w:t xml:space="preserve"> </w:t>
      </w:r>
      <w:r w:rsidR="00665CFA" w:rsidRPr="00625C9C">
        <w:rPr>
          <w:rFonts w:cs="Times New Roman"/>
        </w:rPr>
        <w:t>described</w:t>
      </w:r>
      <w:r w:rsidR="00665CFA">
        <w:rPr>
          <w:rFonts w:cs="Times New Roman"/>
        </w:rPr>
        <w:t xml:space="preserve"> as </w:t>
      </w:r>
      <w:r w:rsidR="007F2F9D">
        <w:rPr>
          <w:rFonts w:cs="Times New Roman"/>
        </w:rPr>
        <w:t xml:space="preserve">a </w:t>
      </w:r>
      <w:r w:rsidR="00665CFA">
        <w:rPr>
          <w:rFonts w:cs="Times New Roman"/>
        </w:rPr>
        <w:t>“feel good but wrong”</w:t>
      </w:r>
      <w:r w:rsidR="007F2F9D">
        <w:rPr>
          <w:rFonts w:cs="Times New Roman"/>
        </w:rPr>
        <w:t xml:space="preserve"> idea</w:t>
      </w:r>
      <w:r w:rsidR="00665CFA" w:rsidRPr="00625C9C">
        <w:rPr>
          <w:rFonts w:cs="Times New Roman"/>
        </w:rPr>
        <w:t xml:space="preserve"> </w:t>
      </w:r>
      <w:r w:rsidR="00665CFA">
        <w:rPr>
          <w:rFonts w:cs="Times New Roman"/>
          <w:noProof/>
        </w:rPr>
        <w:t>(</w:t>
      </w:r>
      <w:r w:rsidR="00345510">
        <w:rPr>
          <w:rFonts w:cs="Times New Roman"/>
          <w:noProof/>
        </w:rPr>
        <w:t>EMA</w:t>
      </w:r>
      <w:r w:rsidR="00665CFA">
        <w:rPr>
          <w:rFonts w:cs="Times New Roman"/>
          <w:noProof/>
        </w:rPr>
        <w:t>, 2013)</w:t>
      </w:r>
      <w:r w:rsidR="00665CFA" w:rsidRPr="00625C9C">
        <w:rPr>
          <w:rFonts w:cs="Times New Roman"/>
        </w:rPr>
        <w:t xml:space="preserve"> since </w:t>
      </w:r>
      <w:r w:rsidR="007F2F9D">
        <w:rPr>
          <w:rFonts w:cs="Times New Roman"/>
        </w:rPr>
        <w:t>– it is claimed - it</w:t>
      </w:r>
      <w:r w:rsidR="00665CFA">
        <w:rPr>
          <w:rFonts w:cs="Times New Roman"/>
        </w:rPr>
        <w:t xml:space="preserve"> </w:t>
      </w:r>
      <w:r w:rsidR="00665CFA" w:rsidRPr="00625C9C">
        <w:rPr>
          <w:rFonts w:cs="Times New Roman"/>
        </w:rPr>
        <w:t>ignore</w:t>
      </w:r>
      <w:r w:rsidR="007F2F9D">
        <w:rPr>
          <w:rFonts w:cs="Times New Roman"/>
        </w:rPr>
        <w:t>s</w:t>
      </w:r>
      <w:r w:rsidR="00665CFA" w:rsidRPr="00625C9C">
        <w:rPr>
          <w:rFonts w:cs="Times New Roman"/>
        </w:rPr>
        <w:t xml:space="preserve"> </w:t>
      </w:r>
      <w:r w:rsidR="00665CFA">
        <w:rPr>
          <w:rFonts w:cs="Times New Roman"/>
        </w:rPr>
        <w:t>“</w:t>
      </w:r>
      <w:r w:rsidR="00665CFA" w:rsidRPr="00625C9C">
        <w:rPr>
          <w:rFonts w:cs="Times New Roman"/>
        </w:rPr>
        <w:t>the realities of the marketplace</w:t>
      </w:r>
      <w:r w:rsidR="00665CFA" w:rsidRPr="009A1B57">
        <w:rPr>
          <w:rFonts w:cs="Times New Roman"/>
        </w:rPr>
        <w:t>” (</w:t>
      </w:r>
      <w:r w:rsidR="0045393A">
        <w:rPr>
          <w:rFonts w:cs="Times New Roman"/>
        </w:rPr>
        <w:t>O’Reilly, 2013</w:t>
      </w:r>
      <w:r w:rsidR="00665CFA" w:rsidRPr="00625C9C">
        <w:rPr>
          <w:rFonts w:cs="Times New Roman"/>
        </w:rPr>
        <w:t xml:space="preserve">). </w:t>
      </w:r>
      <w:r w:rsidR="00665CFA">
        <w:rPr>
          <w:rFonts w:cs="Times New Roman"/>
        </w:rPr>
        <w:t xml:space="preserve"> Better wages, it is said, </w:t>
      </w:r>
      <w:r w:rsidR="00665CFA" w:rsidRPr="009A1B57">
        <w:rPr>
          <w:rFonts w:cs="Times New Roman"/>
        </w:rPr>
        <w:t xml:space="preserve">will not come through attempts by </w:t>
      </w:r>
      <w:r w:rsidR="00665CFA" w:rsidRPr="009A1B57">
        <w:rPr>
          <w:rFonts w:cs="Times New Roman"/>
          <w:szCs w:val="24"/>
        </w:rPr>
        <w:t>“activists [to] impose an artificial wage rate on businesses” (</w:t>
      </w:r>
      <w:r w:rsidR="002C1F17">
        <w:rPr>
          <w:rFonts w:cs="Times New Roman"/>
          <w:szCs w:val="24"/>
        </w:rPr>
        <w:t>English, 2013</w:t>
      </w:r>
      <w:r w:rsidR="00665CFA" w:rsidRPr="009A1B57">
        <w:rPr>
          <w:rFonts w:cs="Times New Roman"/>
          <w:szCs w:val="24"/>
        </w:rPr>
        <w:t xml:space="preserve">). </w:t>
      </w:r>
      <w:r w:rsidR="00427F45">
        <w:rPr>
          <w:rFonts w:cs="Times New Roman"/>
          <w:szCs w:val="24"/>
        </w:rPr>
        <w:t xml:space="preserve"> </w:t>
      </w:r>
      <w:r w:rsidR="00665CFA" w:rsidRPr="009A1B57">
        <w:rPr>
          <w:rFonts w:cs="Times New Roman"/>
          <w:szCs w:val="24"/>
        </w:rPr>
        <w:t xml:space="preserve">Rather, </w:t>
      </w:r>
      <w:r w:rsidR="000554EA">
        <w:rPr>
          <w:rFonts w:cs="Times New Roman"/>
          <w:szCs w:val="24"/>
        </w:rPr>
        <w:t>within a supposedly natural labour market, it can be assumed that higher wages will be secured “through higher skills and productivity” (</w:t>
      </w:r>
      <w:r w:rsidR="000554EA" w:rsidRPr="007E3B83">
        <w:rPr>
          <w:rFonts w:cs="Times New Roman"/>
          <w:szCs w:val="24"/>
        </w:rPr>
        <w:t>Business New Zealand, 2005</w:t>
      </w:r>
      <w:r w:rsidR="000554EA">
        <w:rPr>
          <w:rFonts w:cs="Times New Roman"/>
          <w:szCs w:val="24"/>
        </w:rPr>
        <w:t xml:space="preserve">). </w:t>
      </w:r>
      <w:r w:rsidR="001F6E7A">
        <w:rPr>
          <w:rFonts w:cs="Times New Roman"/>
          <w:szCs w:val="24"/>
        </w:rPr>
        <w:t xml:space="preserve"> </w:t>
      </w:r>
      <w:r w:rsidR="000554EA">
        <w:rPr>
          <w:rFonts w:cs="Times New Roman"/>
          <w:szCs w:val="24"/>
        </w:rPr>
        <w:t>B</w:t>
      </w:r>
      <w:r w:rsidR="00665CFA" w:rsidRPr="009A1B57">
        <w:rPr>
          <w:rFonts w:cs="Times New Roman"/>
          <w:szCs w:val="24"/>
        </w:rPr>
        <w:t xml:space="preserve">etter wages for workers are </w:t>
      </w:r>
      <w:r w:rsidR="000554EA">
        <w:rPr>
          <w:rFonts w:cs="Times New Roman"/>
          <w:szCs w:val="24"/>
        </w:rPr>
        <w:t xml:space="preserve">thus </w:t>
      </w:r>
      <w:r w:rsidR="00665CFA" w:rsidRPr="009A1B57">
        <w:rPr>
          <w:rFonts w:cs="Times New Roman"/>
          <w:szCs w:val="24"/>
        </w:rPr>
        <w:t>presented as naturally related to market</w:t>
      </w:r>
      <w:r w:rsidR="00665CFA">
        <w:rPr>
          <w:rFonts w:cs="Times New Roman"/>
          <w:szCs w:val="24"/>
        </w:rPr>
        <w:t xml:space="preserve"> performance</w:t>
      </w:r>
      <w:r w:rsidR="007F2F9D">
        <w:rPr>
          <w:rFonts w:cs="Times New Roman"/>
          <w:szCs w:val="24"/>
        </w:rPr>
        <w:t xml:space="preserve"> (</w:t>
      </w:r>
      <w:r w:rsidR="002F02F8">
        <w:rPr>
          <w:rFonts w:cs="Times New Roman"/>
          <w:szCs w:val="24"/>
        </w:rPr>
        <w:t>Table 4, quotes 6 and 7</w:t>
      </w:r>
      <w:r w:rsidR="007F2F9D">
        <w:rPr>
          <w:rFonts w:cs="Times New Roman"/>
          <w:szCs w:val="24"/>
        </w:rPr>
        <w:t>)</w:t>
      </w:r>
      <w:r w:rsidR="001C57A6">
        <w:rPr>
          <w:rFonts w:cs="Times New Roman"/>
          <w:szCs w:val="24"/>
        </w:rPr>
        <w:t>.</w:t>
      </w:r>
      <w:r w:rsidR="00665CFA">
        <w:rPr>
          <w:rFonts w:cs="Times New Roman"/>
          <w:szCs w:val="24"/>
        </w:rPr>
        <w:t xml:space="preserve"> </w:t>
      </w:r>
      <w:r w:rsidR="00427F45">
        <w:rPr>
          <w:rFonts w:cs="Times New Roman"/>
          <w:szCs w:val="24"/>
        </w:rPr>
        <w:t xml:space="preserve"> </w:t>
      </w:r>
      <w:r w:rsidR="00665CFA">
        <w:rPr>
          <w:rFonts w:cs="Times New Roman"/>
          <w:szCs w:val="24"/>
        </w:rPr>
        <w:t xml:space="preserve">Within this framing, </w:t>
      </w:r>
      <w:r w:rsidR="00665CFA" w:rsidRPr="00760F7F">
        <w:rPr>
          <w:rFonts w:cs="Times New Roman"/>
          <w:szCs w:val="24"/>
        </w:rPr>
        <w:t xml:space="preserve">attempts to intervene </w:t>
      </w:r>
      <w:r w:rsidR="001B73B5">
        <w:rPr>
          <w:rFonts w:cs="Times New Roman"/>
          <w:szCs w:val="24"/>
        </w:rPr>
        <w:t xml:space="preserve">in </w:t>
      </w:r>
      <w:r w:rsidR="00665CFA" w:rsidRPr="00760F7F">
        <w:rPr>
          <w:rFonts w:cs="Times New Roman"/>
          <w:szCs w:val="24"/>
        </w:rPr>
        <w:t xml:space="preserve">or regulate </w:t>
      </w:r>
      <w:r w:rsidR="00665CFA">
        <w:rPr>
          <w:rFonts w:cs="Times New Roman"/>
          <w:szCs w:val="24"/>
        </w:rPr>
        <w:t xml:space="preserve">the labour market </w:t>
      </w:r>
      <w:r w:rsidR="00665CFA" w:rsidRPr="00760F7F">
        <w:rPr>
          <w:rFonts w:cs="Times New Roman"/>
          <w:szCs w:val="24"/>
        </w:rPr>
        <w:t xml:space="preserve">are represented as </w:t>
      </w:r>
      <w:r w:rsidR="00665CFA">
        <w:rPr>
          <w:rFonts w:cs="Times New Roman"/>
          <w:szCs w:val="24"/>
        </w:rPr>
        <w:t xml:space="preserve">misguided and </w:t>
      </w:r>
      <w:r w:rsidR="00665CFA" w:rsidRPr="00760F7F">
        <w:rPr>
          <w:rFonts w:cs="Times New Roman"/>
          <w:szCs w:val="24"/>
        </w:rPr>
        <w:t>artificial distortions</w:t>
      </w:r>
      <w:r w:rsidR="00665CFA">
        <w:rPr>
          <w:rFonts w:cs="Times New Roman"/>
          <w:szCs w:val="24"/>
        </w:rPr>
        <w:t xml:space="preserve"> of a natural system, as in the claim </w:t>
      </w:r>
      <w:r w:rsidR="00665CFA" w:rsidRPr="009A1B57">
        <w:rPr>
          <w:rFonts w:cs="Times New Roman"/>
          <w:szCs w:val="24"/>
        </w:rPr>
        <w:t>that “[y]ou can't just invent higher wages”; rather, workers have “actually got to earn them” (</w:t>
      </w:r>
      <w:r w:rsidR="002C1F17">
        <w:rPr>
          <w:rFonts w:cs="Times New Roman"/>
          <w:szCs w:val="24"/>
        </w:rPr>
        <w:t>English, cited in Young, 2012</w:t>
      </w:r>
      <w:r w:rsidR="00665CFA" w:rsidRPr="009A1B57">
        <w:rPr>
          <w:rFonts w:cs="Times New Roman"/>
          <w:szCs w:val="24"/>
        </w:rPr>
        <w:t>).</w:t>
      </w:r>
      <w:r w:rsidR="00427F45">
        <w:rPr>
          <w:rFonts w:cs="Times New Roman"/>
          <w:szCs w:val="24"/>
        </w:rPr>
        <w:t xml:space="preserve"> </w:t>
      </w:r>
      <w:r w:rsidR="00665CFA">
        <w:rPr>
          <w:rFonts w:cs="Times New Roman"/>
          <w:szCs w:val="24"/>
        </w:rPr>
        <w:t xml:space="preserve"> The living wage is semantically marked as artificial by the repeated practice of referring to the living wage in inverted commas and, occasionally, as the </w:t>
      </w:r>
      <w:r w:rsidR="008932F0">
        <w:rPr>
          <w:rFonts w:cs="Times New Roman"/>
          <w:szCs w:val="24"/>
        </w:rPr>
        <w:t>“</w:t>
      </w:r>
      <w:r w:rsidR="00665CFA">
        <w:rPr>
          <w:rFonts w:cs="Times New Roman"/>
          <w:szCs w:val="24"/>
        </w:rPr>
        <w:t>so-called</w:t>
      </w:r>
      <w:r w:rsidR="008932F0">
        <w:rPr>
          <w:rFonts w:cs="Times New Roman"/>
          <w:szCs w:val="24"/>
        </w:rPr>
        <w:t xml:space="preserve">” </w:t>
      </w:r>
      <w:r w:rsidR="00665CFA">
        <w:rPr>
          <w:rFonts w:cs="Times New Roman"/>
          <w:szCs w:val="24"/>
        </w:rPr>
        <w:t>living wage (</w:t>
      </w:r>
      <w:r w:rsidR="008932F0">
        <w:rPr>
          <w:rFonts w:cs="Times New Roman"/>
          <w:szCs w:val="24"/>
        </w:rPr>
        <w:t>Coleman in NZPD, 14 November 2012; English in NZPD, 5 November 2013; Baines, cited in MANZ, 2013</w:t>
      </w:r>
      <w:r w:rsidR="00665CFA">
        <w:rPr>
          <w:rFonts w:cs="Times New Roman"/>
          <w:szCs w:val="24"/>
        </w:rPr>
        <w:t>)</w:t>
      </w:r>
      <w:r w:rsidR="008932F0">
        <w:rPr>
          <w:rFonts w:cs="Times New Roman"/>
          <w:szCs w:val="24"/>
        </w:rPr>
        <w:t>.</w:t>
      </w:r>
    </w:p>
    <w:p w14:paraId="26D495D6" w14:textId="77777777" w:rsidR="00250F2E" w:rsidRDefault="00250F2E" w:rsidP="00250F2E">
      <w:pPr>
        <w:rPr>
          <w:rFonts w:cs="Times New Roman"/>
          <w:szCs w:val="24"/>
        </w:rPr>
      </w:pPr>
    </w:p>
    <w:p w14:paraId="4484F86D" w14:textId="38D0677D" w:rsidR="00250F2E" w:rsidRDefault="00250F2E" w:rsidP="00250F2E">
      <w:pPr>
        <w:rPr>
          <w:rFonts w:cs="Times New Roman"/>
          <w:szCs w:val="24"/>
        </w:rPr>
      </w:pPr>
      <w:r w:rsidRPr="00DE19AF">
        <w:rPr>
          <w:rFonts w:cs="Times New Roman"/>
          <w:szCs w:val="24"/>
        </w:rPr>
        <w:t>Arguments against the living wage</w:t>
      </w:r>
      <w:r>
        <w:rPr>
          <w:rFonts w:cs="Times New Roman"/>
          <w:szCs w:val="24"/>
        </w:rPr>
        <w:t xml:space="preserve"> </w:t>
      </w:r>
      <w:r w:rsidR="008037C4">
        <w:rPr>
          <w:rFonts w:cs="Times New Roman"/>
          <w:szCs w:val="24"/>
        </w:rPr>
        <w:t xml:space="preserve">are also seen to </w:t>
      </w:r>
      <w:r>
        <w:rPr>
          <w:rFonts w:cs="Times New Roman"/>
          <w:szCs w:val="24"/>
        </w:rPr>
        <w:t>hold</w:t>
      </w:r>
      <w:r w:rsidRPr="00DE19AF">
        <w:rPr>
          <w:rFonts w:cs="Times New Roman"/>
          <w:szCs w:val="24"/>
        </w:rPr>
        <w:t xml:space="preserve"> that the </w:t>
      </w:r>
      <w:r w:rsidRPr="00A047CA">
        <w:rPr>
          <w:rFonts w:cs="Times New Roman"/>
          <w:i/>
          <w:szCs w:val="24"/>
        </w:rPr>
        <w:t>market</w:t>
      </w:r>
      <w:r w:rsidRPr="00DE19AF">
        <w:rPr>
          <w:rFonts w:cs="Times New Roman"/>
          <w:szCs w:val="24"/>
        </w:rPr>
        <w:t xml:space="preserve"> order of worth </w:t>
      </w:r>
      <w:r>
        <w:rPr>
          <w:rFonts w:cs="Times New Roman"/>
          <w:szCs w:val="24"/>
        </w:rPr>
        <w:t xml:space="preserve">is </w:t>
      </w:r>
      <w:r w:rsidRPr="00DE19AF">
        <w:rPr>
          <w:rFonts w:cs="Times New Roman"/>
          <w:szCs w:val="24"/>
        </w:rPr>
        <w:t xml:space="preserve">consistent with widely-shared convictions about fairness. </w:t>
      </w:r>
      <w:r>
        <w:rPr>
          <w:rFonts w:cs="Times New Roman"/>
          <w:szCs w:val="24"/>
        </w:rPr>
        <w:t xml:space="preserve"> A</w:t>
      </w:r>
      <w:r w:rsidRPr="00DE19AF">
        <w:rPr>
          <w:rFonts w:cs="Times New Roman"/>
          <w:szCs w:val="24"/>
        </w:rPr>
        <w:t xml:space="preserve">llowing employers to determine wage rates for their workers </w:t>
      </w:r>
      <w:r>
        <w:rPr>
          <w:rFonts w:cs="Times New Roman"/>
          <w:szCs w:val="24"/>
        </w:rPr>
        <w:t>is presented</w:t>
      </w:r>
      <w:r w:rsidRPr="00DE19AF">
        <w:rPr>
          <w:rFonts w:cs="Times New Roman"/>
          <w:szCs w:val="24"/>
        </w:rPr>
        <w:t xml:space="preserve"> as res</w:t>
      </w:r>
      <w:r>
        <w:rPr>
          <w:rFonts w:cs="Times New Roman"/>
          <w:szCs w:val="24"/>
        </w:rPr>
        <w:t>pecting their property rights: “</w:t>
      </w:r>
      <w:r w:rsidRPr="00DE19AF">
        <w:rPr>
          <w:rFonts w:cs="Times New Roman"/>
          <w:szCs w:val="24"/>
        </w:rPr>
        <w:t xml:space="preserve">as the risk takers and entrepreneurs it is </w:t>
      </w:r>
      <w:r w:rsidR="007F2F9D">
        <w:rPr>
          <w:rFonts w:cs="Times New Roman"/>
          <w:szCs w:val="24"/>
        </w:rPr>
        <w:t>[employers’]</w:t>
      </w:r>
      <w:r w:rsidRPr="00DE19AF">
        <w:rPr>
          <w:rFonts w:cs="Times New Roman"/>
          <w:szCs w:val="24"/>
        </w:rPr>
        <w:t xml:space="preserve"> prerogative to determine wage rates based on the job in question and productivity levels</w:t>
      </w:r>
      <w:r>
        <w:rPr>
          <w:rFonts w:cs="Times New Roman"/>
          <w:szCs w:val="24"/>
        </w:rPr>
        <w:t>”</w:t>
      </w:r>
      <w:r w:rsidRPr="00DE19AF">
        <w:rPr>
          <w:rFonts w:cs="Times New Roman"/>
          <w:szCs w:val="24"/>
        </w:rPr>
        <w:t xml:space="preserve"> (</w:t>
      </w:r>
      <w:r>
        <w:rPr>
          <w:rFonts w:cs="Times New Roman"/>
          <w:szCs w:val="24"/>
        </w:rPr>
        <w:t>Barnett, 2013</w:t>
      </w:r>
      <w:r w:rsidRPr="00DE19AF">
        <w:rPr>
          <w:rFonts w:cs="Times New Roman"/>
          <w:szCs w:val="24"/>
        </w:rPr>
        <w:t xml:space="preserve">). </w:t>
      </w:r>
      <w:r>
        <w:rPr>
          <w:rFonts w:cs="Times New Roman"/>
          <w:szCs w:val="24"/>
        </w:rPr>
        <w:t xml:space="preserve"> A reliance </w:t>
      </w:r>
      <w:r w:rsidRPr="00DE19AF">
        <w:rPr>
          <w:rFonts w:cs="Times New Roman"/>
          <w:szCs w:val="24"/>
        </w:rPr>
        <w:t xml:space="preserve">on market signals </w:t>
      </w:r>
      <w:r>
        <w:rPr>
          <w:rFonts w:cs="Times New Roman"/>
          <w:szCs w:val="24"/>
        </w:rPr>
        <w:t xml:space="preserve">in making </w:t>
      </w:r>
      <w:r w:rsidRPr="00DE19AF">
        <w:rPr>
          <w:rFonts w:cs="Times New Roman"/>
          <w:szCs w:val="24"/>
        </w:rPr>
        <w:t xml:space="preserve">wage decisions </w:t>
      </w:r>
      <w:r>
        <w:rPr>
          <w:rFonts w:cs="Times New Roman"/>
          <w:szCs w:val="24"/>
        </w:rPr>
        <w:t>is</w:t>
      </w:r>
      <w:r w:rsidRPr="00DE19AF">
        <w:rPr>
          <w:rFonts w:cs="Times New Roman"/>
          <w:szCs w:val="24"/>
        </w:rPr>
        <w:t xml:space="preserve"> also seen as fair to workers in that it respects the principle of equity, on which </w:t>
      </w:r>
      <w:r w:rsidR="004744F9">
        <w:rPr>
          <w:rFonts w:cs="Times New Roman"/>
          <w:szCs w:val="24"/>
        </w:rPr>
        <w:t>rewards</w:t>
      </w:r>
      <w:r w:rsidR="004744F9" w:rsidRPr="00DE19AF">
        <w:rPr>
          <w:rFonts w:cs="Times New Roman"/>
          <w:szCs w:val="24"/>
        </w:rPr>
        <w:t xml:space="preserve"> </w:t>
      </w:r>
      <w:r>
        <w:rPr>
          <w:rFonts w:cs="Times New Roman"/>
          <w:szCs w:val="24"/>
        </w:rPr>
        <w:t>ought to</w:t>
      </w:r>
      <w:r w:rsidRPr="00DE19AF">
        <w:rPr>
          <w:rFonts w:cs="Times New Roman"/>
          <w:szCs w:val="24"/>
        </w:rPr>
        <w:t xml:space="preserve"> be proportionate to contribution. </w:t>
      </w:r>
      <w:r>
        <w:rPr>
          <w:rFonts w:cs="Times New Roman"/>
          <w:szCs w:val="24"/>
        </w:rPr>
        <w:t xml:space="preserve"> </w:t>
      </w:r>
      <w:r w:rsidRPr="00DE19AF">
        <w:rPr>
          <w:rFonts w:cs="Times New Roman"/>
          <w:szCs w:val="24"/>
        </w:rPr>
        <w:t>The free opera</w:t>
      </w:r>
      <w:r>
        <w:rPr>
          <w:rFonts w:cs="Times New Roman"/>
          <w:szCs w:val="24"/>
        </w:rPr>
        <w:t>tion of the labour market, it i</w:t>
      </w:r>
      <w:r w:rsidRPr="00DE19AF">
        <w:rPr>
          <w:rFonts w:cs="Times New Roman"/>
          <w:szCs w:val="24"/>
        </w:rPr>
        <w:t xml:space="preserve">s said, ensures </w:t>
      </w:r>
      <w:r>
        <w:rPr>
          <w:rFonts w:cs="Times New Roman"/>
          <w:szCs w:val="24"/>
        </w:rPr>
        <w:t>that</w:t>
      </w:r>
      <w:r w:rsidRPr="00DE19AF">
        <w:rPr>
          <w:rFonts w:cs="Times New Roman"/>
          <w:szCs w:val="24"/>
        </w:rPr>
        <w:t xml:space="preserve"> outcomes reflect inputs: </w:t>
      </w:r>
      <w:r>
        <w:rPr>
          <w:rFonts w:cs="Times New Roman"/>
          <w:szCs w:val="24"/>
        </w:rPr>
        <w:t>“</w:t>
      </w:r>
      <w:r w:rsidRPr="00DE19AF">
        <w:rPr>
          <w:rFonts w:cs="Times New Roman"/>
          <w:szCs w:val="24"/>
        </w:rPr>
        <w:t>the more skills and education you have th</w:t>
      </w:r>
      <w:r>
        <w:rPr>
          <w:rFonts w:cs="Times New Roman"/>
          <w:szCs w:val="24"/>
        </w:rPr>
        <w:t>e more you will earn”</w:t>
      </w:r>
      <w:r w:rsidRPr="00DE19AF">
        <w:rPr>
          <w:rFonts w:cs="Times New Roman"/>
          <w:szCs w:val="24"/>
        </w:rPr>
        <w:t xml:space="preserve"> (Mason</w:t>
      </w:r>
      <w:r>
        <w:rPr>
          <w:rFonts w:cs="Times New Roman"/>
          <w:szCs w:val="24"/>
        </w:rPr>
        <w:t>, in Hunter, 2013</w:t>
      </w:r>
      <w:r w:rsidRPr="00DE19AF">
        <w:rPr>
          <w:rFonts w:cs="Times New Roman"/>
          <w:szCs w:val="24"/>
        </w:rPr>
        <w:t>).</w:t>
      </w:r>
      <w:r>
        <w:rPr>
          <w:rFonts w:cs="Times New Roman"/>
          <w:szCs w:val="24"/>
        </w:rPr>
        <w:t xml:space="preserve">  </w:t>
      </w:r>
      <w:r w:rsidR="008037C4">
        <w:rPr>
          <w:rFonts w:cs="Times New Roman"/>
          <w:szCs w:val="24"/>
        </w:rPr>
        <w:t>Such justifications are supported w</w:t>
      </w:r>
      <w:r>
        <w:rPr>
          <w:rFonts w:cs="Times New Roman"/>
          <w:szCs w:val="24"/>
        </w:rPr>
        <w:t>ithin the</w:t>
      </w:r>
      <w:r w:rsidRPr="0029758C">
        <w:rPr>
          <w:rFonts w:cs="Times New Roman"/>
          <w:i/>
          <w:szCs w:val="24"/>
        </w:rPr>
        <w:t xml:space="preserve"> market </w:t>
      </w:r>
      <w:r>
        <w:rPr>
          <w:rFonts w:cs="Times New Roman"/>
          <w:szCs w:val="24"/>
        </w:rPr>
        <w:t>world</w:t>
      </w:r>
      <w:r w:rsidR="008037C4">
        <w:rPr>
          <w:rFonts w:cs="Times New Roman"/>
          <w:szCs w:val="24"/>
        </w:rPr>
        <w:t xml:space="preserve"> where</w:t>
      </w:r>
      <w:r w:rsidR="00362E24">
        <w:rPr>
          <w:rFonts w:cs="Times New Roman"/>
          <w:szCs w:val="24"/>
        </w:rPr>
        <w:t xml:space="preserve"> </w:t>
      </w:r>
      <w:r>
        <w:rPr>
          <w:rFonts w:cs="Times New Roman"/>
          <w:szCs w:val="24"/>
        </w:rPr>
        <w:t>i</w:t>
      </w:r>
      <w:r w:rsidRPr="00DE19AF">
        <w:rPr>
          <w:rFonts w:cs="Times New Roman"/>
          <w:szCs w:val="24"/>
        </w:rPr>
        <w:t>t would be unfair to those who ha</w:t>
      </w:r>
      <w:r>
        <w:rPr>
          <w:rFonts w:cs="Times New Roman"/>
          <w:szCs w:val="24"/>
        </w:rPr>
        <w:t>ve</w:t>
      </w:r>
      <w:r w:rsidRPr="00DE19AF">
        <w:rPr>
          <w:rFonts w:cs="Times New Roman"/>
          <w:szCs w:val="24"/>
        </w:rPr>
        <w:t xml:space="preserve"> </w:t>
      </w:r>
      <w:r>
        <w:rPr>
          <w:rFonts w:cs="Times New Roman"/>
          <w:szCs w:val="24"/>
        </w:rPr>
        <w:t>invested in their own human capital</w:t>
      </w:r>
      <w:r w:rsidRPr="00DE19AF">
        <w:rPr>
          <w:rFonts w:cs="Times New Roman"/>
          <w:szCs w:val="24"/>
        </w:rPr>
        <w:t xml:space="preserve"> if those who had not made that investment were unduly rewarded</w:t>
      </w:r>
      <w:r>
        <w:rPr>
          <w:rFonts w:cs="Times New Roman"/>
          <w:szCs w:val="24"/>
        </w:rPr>
        <w:t xml:space="preserve"> (O’Reilly, 2013)</w:t>
      </w:r>
      <w:r w:rsidRPr="00DE19AF">
        <w:rPr>
          <w:rFonts w:cs="Times New Roman"/>
          <w:szCs w:val="24"/>
        </w:rPr>
        <w:t>.</w:t>
      </w:r>
      <w:r>
        <w:rPr>
          <w:rFonts w:cs="Times New Roman"/>
          <w:szCs w:val="24"/>
        </w:rPr>
        <w:t xml:space="preserve">  To reward unequal contributions equally would be to disrespect the sacrifices and investments made by higher-income workers.</w:t>
      </w:r>
    </w:p>
    <w:p w14:paraId="5FA92D32" w14:textId="77777777" w:rsidR="00665CFA" w:rsidRDefault="00665CFA" w:rsidP="00A22B9A">
      <w:pPr>
        <w:rPr>
          <w:rFonts w:cs="Times New Roman"/>
        </w:rPr>
      </w:pPr>
    </w:p>
    <w:p w14:paraId="3844C31E" w14:textId="76A6C97C" w:rsidR="00046EF6" w:rsidRDefault="00665CFA" w:rsidP="00A22B9A">
      <w:pPr>
        <w:rPr>
          <w:rFonts w:cs="Times New Roman"/>
        </w:rPr>
      </w:pPr>
      <w:r>
        <w:rPr>
          <w:rFonts w:cs="Times New Roman"/>
        </w:rPr>
        <w:t>The “realities of the marketplace”</w:t>
      </w:r>
      <w:r w:rsidRPr="00625C9C">
        <w:rPr>
          <w:rFonts w:cs="Times New Roman"/>
        </w:rPr>
        <w:t xml:space="preserve"> </w:t>
      </w:r>
      <w:r w:rsidR="001B73B5">
        <w:rPr>
          <w:rFonts w:cs="Times New Roman"/>
        </w:rPr>
        <w:t xml:space="preserve">(O’Reilly, 2013) </w:t>
      </w:r>
      <w:r w:rsidRPr="00625C9C">
        <w:rPr>
          <w:rFonts w:cs="Times New Roman"/>
        </w:rPr>
        <w:t xml:space="preserve">are </w:t>
      </w:r>
      <w:r w:rsidR="007F2F9D">
        <w:rPr>
          <w:rFonts w:cs="Times New Roman"/>
        </w:rPr>
        <w:t>held</w:t>
      </w:r>
      <w:r w:rsidR="007F2F9D" w:rsidRPr="00625C9C">
        <w:rPr>
          <w:rFonts w:cs="Times New Roman"/>
        </w:rPr>
        <w:t xml:space="preserve"> </w:t>
      </w:r>
      <w:r>
        <w:rPr>
          <w:rFonts w:cs="Times New Roman"/>
        </w:rPr>
        <w:t>to impose strong limits on firms’</w:t>
      </w:r>
      <w:r w:rsidRPr="00625C9C">
        <w:rPr>
          <w:rFonts w:cs="Times New Roman"/>
        </w:rPr>
        <w:t xml:space="preserve"> ability to increase th</w:t>
      </w:r>
      <w:r>
        <w:rPr>
          <w:rFonts w:cs="Times New Roman"/>
        </w:rPr>
        <w:t>e wages of the low-paid, since firms</w:t>
      </w:r>
      <w:r w:rsidRPr="00625C9C">
        <w:rPr>
          <w:rFonts w:cs="Times New Roman"/>
        </w:rPr>
        <w:t xml:space="preserve"> have to survive in a competitive market. </w:t>
      </w:r>
      <w:r>
        <w:rPr>
          <w:rFonts w:cs="Times New Roman"/>
        </w:rPr>
        <w:t xml:space="preserve"> The twin key opinion pieces (O’Reilly, 2013; Campbell, 2013) note bluntly that “instituting the ‘</w:t>
      </w:r>
      <w:r w:rsidRPr="00625C9C">
        <w:rPr>
          <w:rFonts w:cs="Times New Roman"/>
        </w:rPr>
        <w:t>living wage</w:t>
      </w:r>
      <w:r>
        <w:rPr>
          <w:rFonts w:cs="Times New Roman"/>
        </w:rPr>
        <w:t>’</w:t>
      </w:r>
      <w:r w:rsidRPr="00625C9C">
        <w:rPr>
          <w:rFonts w:cs="Times New Roman"/>
        </w:rPr>
        <w:t xml:space="preserve"> proposal would reduce the co</w:t>
      </w:r>
      <w:r>
        <w:rPr>
          <w:rFonts w:cs="Times New Roman"/>
        </w:rPr>
        <w:t>mpetitiveness of many employers” (O’Reilly, 2013) and insist</w:t>
      </w:r>
      <w:r w:rsidRPr="00625C9C">
        <w:rPr>
          <w:rFonts w:cs="Times New Roman"/>
        </w:rPr>
        <w:t xml:space="preserve"> that </w:t>
      </w:r>
      <w:r w:rsidRPr="009A1B57">
        <w:rPr>
          <w:rFonts w:cs="Times New Roman"/>
        </w:rPr>
        <w:t xml:space="preserve">firms should abide by the historical expectation that they focus solely on remaining competitive.  </w:t>
      </w:r>
      <w:r w:rsidR="000554EA">
        <w:rPr>
          <w:rFonts w:cs="Times New Roman"/>
        </w:rPr>
        <w:t xml:space="preserve">Firms are held to be </w:t>
      </w:r>
      <w:r w:rsidR="000554EA" w:rsidRPr="000554EA">
        <w:rPr>
          <w:rFonts w:cs="Times New Roman"/>
        </w:rPr>
        <w:t xml:space="preserve">responsible simply for </w:t>
      </w:r>
      <w:r w:rsidR="00644740">
        <w:rPr>
          <w:rFonts w:cs="Times New Roman"/>
        </w:rPr>
        <w:t>“</w:t>
      </w:r>
      <w:r w:rsidR="000554EA" w:rsidRPr="000554EA">
        <w:rPr>
          <w:rFonts w:cs="Times New Roman"/>
        </w:rPr>
        <w:t>being competitive and paying market rates</w:t>
      </w:r>
      <w:r w:rsidR="00644740">
        <w:rPr>
          <w:rFonts w:cs="Times New Roman"/>
        </w:rPr>
        <w:t>”</w:t>
      </w:r>
      <w:r w:rsidR="000554EA" w:rsidRPr="000554EA">
        <w:rPr>
          <w:rFonts w:cs="Times New Roman"/>
        </w:rPr>
        <w:t xml:space="preserve"> (O'Reilly, 2013)</w:t>
      </w:r>
      <w:r w:rsidR="000554EA">
        <w:rPr>
          <w:rFonts w:cs="Times New Roman"/>
        </w:rPr>
        <w:t>, although the idea here th</w:t>
      </w:r>
      <w:r w:rsidR="00644740">
        <w:rPr>
          <w:rFonts w:cs="Times New Roman"/>
        </w:rPr>
        <w:t>at</w:t>
      </w:r>
      <w:r w:rsidR="000554EA">
        <w:rPr>
          <w:rFonts w:cs="Times New Roman"/>
        </w:rPr>
        <w:t xml:space="preserve"> firms actually do pay “market rates” seems like a serious misrepresentation of labour history, in its elision of the historical role of unions and industry awards and the (ongoing) role of minimu</w:t>
      </w:r>
      <w:r w:rsidR="002C4473">
        <w:rPr>
          <w:rFonts w:cs="Times New Roman"/>
        </w:rPr>
        <w:t>m</w:t>
      </w:r>
      <w:r w:rsidR="000554EA">
        <w:rPr>
          <w:rFonts w:cs="Times New Roman"/>
        </w:rPr>
        <w:t xml:space="preserve"> wage legislation in determining pay rates</w:t>
      </w:r>
      <w:r w:rsidR="000554EA" w:rsidRPr="000554EA">
        <w:rPr>
          <w:rFonts w:cs="Times New Roman"/>
        </w:rPr>
        <w:t xml:space="preserve">.  </w:t>
      </w:r>
      <w:r w:rsidR="002C4473">
        <w:rPr>
          <w:rFonts w:cs="Times New Roman"/>
        </w:rPr>
        <w:t>Still, the claim that firms</w:t>
      </w:r>
      <w:r w:rsidR="00644740">
        <w:rPr>
          <w:rFonts w:cs="Times New Roman"/>
        </w:rPr>
        <w:t>’</w:t>
      </w:r>
      <w:r w:rsidR="002C4473">
        <w:rPr>
          <w:rFonts w:cs="Times New Roman"/>
        </w:rPr>
        <w:t xml:space="preserve"> primary duty is to their own competitiveness implies that it is</w:t>
      </w:r>
      <w:r w:rsidR="000554EA" w:rsidRPr="000554EA">
        <w:rPr>
          <w:rFonts w:cs="Times New Roman"/>
        </w:rPr>
        <w:t xml:space="preserve"> not the responsibility of business to address any negative social consequences associated with low pay, </w:t>
      </w:r>
      <w:r w:rsidR="002C4473">
        <w:rPr>
          <w:rFonts w:cs="Times New Roman"/>
        </w:rPr>
        <w:t>nor</w:t>
      </w:r>
      <w:r w:rsidR="000554EA" w:rsidRPr="000554EA">
        <w:rPr>
          <w:rFonts w:cs="Times New Roman"/>
        </w:rPr>
        <w:t xml:space="preserve"> to pay workers a living wage if workers did not – by the tests of the market - deserve it.</w:t>
      </w:r>
      <w:r w:rsidR="00046EF6">
        <w:rPr>
          <w:rFonts w:cs="Times New Roman"/>
        </w:rPr>
        <w:t xml:space="preserve"> </w:t>
      </w:r>
      <w:r w:rsidR="002C4473">
        <w:rPr>
          <w:rFonts w:cs="Times New Roman"/>
        </w:rPr>
        <w:t xml:space="preserve">Within a </w:t>
      </w:r>
      <w:r w:rsidR="002C4473" w:rsidRPr="00644740">
        <w:rPr>
          <w:rFonts w:cs="Times New Roman"/>
          <w:i/>
        </w:rPr>
        <w:t>market</w:t>
      </w:r>
      <w:r w:rsidR="002C4473">
        <w:rPr>
          <w:rFonts w:cs="Times New Roman"/>
        </w:rPr>
        <w:t xml:space="preserve"> order, i</w:t>
      </w:r>
      <w:r w:rsidR="000554EA" w:rsidRPr="000554EA">
        <w:rPr>
          <w:rFonts w:cs="Times New Roman"/>
        </w:rPr>
        <w:t xml:space="preserve">f workers want better wages, it </w:t>
      </w:r>
      <w:r w:rsidR="002C4473">
        <w:rPr>
          <w:rFonts w:cs="Times New Roman"/>
        </w:rPr>
        <w:t>remains</w:t>
      </w:r>
      <w:r w:rsidR="000554EA" w:rsidRPr="000554EA">
        <w:rPr>
          <w:rFonts w:cs="Times New Roman"/>
        </w:rPr>
        <w:t xml:space="preserve"> their responsibility to make themselves </w:t>
      </w:r>
      <w:r w:rsidR="002C4473">
        <w:rPr>
          <w:rFonts w:cs="Times New Roman"/>
        </w:rPr>
        <w:t xml:space="preserve">more </w:t>
      </w:r>
      <w:r w:rsidR="000554EA" w:rsidRPr="000554EA">
        <w:rPr>
          <w:rFonts w:cs="Times New Roman"/>
        </w:rPr>
        <w:t>competitive and attractive.</w:t>
      </w:r>
      <w:r w:rsidR="00046EF6">
        <w:rPr>
          <w:rFonts w:cs="Times New Roman"/>
        </w:rPr>
        <w:t xml:space="preserve"> </w:t>
      </w:r>
    </w:p>
    <w:p w14:paraId="70580FE7" w14:textId="77777777" w:rsidR="00046EF6" w:rsidRDefault="00046EF6" w:rsidP="00A22B9A">
      <w:pPr>
        <w:rPr>
          <w:rFonts w:cs="Times New Roman"/>
        </w:rPr>
      </w:pPr>
    </w:p>
    <w:p w14:paraId="743662C1" w14:textId="2EDBF0B5" w:rsidR="00311D7A" w:rsidRPr="000D5056" w:rsidRDefault="00046EF6" w:rsidP="00A22B9A">
      <w:pPr>
        <w:rPr>
          <w:lang w:val="en-AU"/>
        </w:rPr>
      </w:pPr>
      <w:r>
        <w:rPr>
          <w:rFonts w:cs="Times New Roman"/>
          <w:szCs w:val="24"/>
        </w:rPr>
        <w:t xml:space="preserve">The </w:t>
      </w:r>
      <w:r w:rsidRPr="0095485D">
        <w:rPr>
          <w:rFonts w:cs="Times New Roman"/>
          <w:i/>
          <w:szCs w:val="24"/>
        </w:rPr>
        <w:t>market</w:t>
      </w:r>
      <w:r w:rsidRPr="00FF6F12">
        <w:rPr>
          <w:rFonts w:cs="Times New Roman"/>
          <w:szCs w:val="24"/>
        </w:rPr>
        <w:t xml:space="preserve"> or</w:t>
      </w:r>
      <w:r>
        <w:rPr>
          <w:rFonts w:cs="Times New Roman"/>
          <w:szCs w:val="24"/>
        </w:rPr>
        <w:t xml:space="preserve">der of worth positions workers as saleable labour in the marketplace. The valid test of worthiness is the demand for that worker’s labour, as judged by the qualified person: </w:t>
      </w:r>
      <w:r>
        <w:rPr>
          <w:rFonts w:cs="Times New Roman"/>
          <w:szCs w:val="24"/>
        </w:rPr>
        <w:lastRenderedPageBreak/>
        <w:t>the potential buyer of the labour.  Within this order, a thing or a person is judged unworthy when it fails and loses out in a market test (Boltanski &amp; Thévenot, 2006, pp. 197-9).  If your labour is not desired (and competed for) then your labour, and you, are judged unworthy</w:t>
      </w:r>
      <w:r w:rsidRPr="008D67F3">
        <w:rPr>
          <w:rFonts w:cs="Times New Roman"/>
          <w:szCs w:val="24"/>
        </w:rPr>
        <w:t xml:space="preserve">. </w:t>
      </w:r>
      <w:r w:rsidR="00250F2E">
        <w:rPr>
          <w:rFonts w:cs="Times New Roman"/>
        </w:rPr>
        <w:t>Just as the</w:t>
      </w:r>
      <w:r w:rsidR="006C4DB3">
        <w:rPr>
          <w:rFonts w:cs="Times New Roman"/>
        </w:rPr>
        <w:t xml:space="preserve"> worthiness of a worker </w:t>
      </w:r>
      <w:r w:rsidR="00250F2E">
        <w:rPr>
          <w:rFonts w:cs="Times New Roman"/>
        </w:rPr>
        <w:t xml:space="preserve">is properly </w:t>
      </w:r>
      <w:r w:rsidR="006C4DB3">
        <w:rPr>
          <w:rFonts w:cs="Times New Roman"/>
        </w:rPr>
        <w:t xml:space="preserve">determined by </w:t>
      </w:r>
      <w:r w:rsidR="007F2F9D">
        <w:rPr>
          <w:rFonts w:cs="Times New Roman"/>
        </w:rPr>
        <w:t>an employer’</w:t>
      </w:r>
      <w:r w:rsidR="006C4DB3">
        <w:rPr>
          <w:rFonts w:cs="Times New Roman"/>
        </w:rPr>
        <w:t>s demand for their labour</w:t>
      </w:r>
      <w:r w:rsidR="00250F2E">
        <w:rPr>
          <w:rFonts w:cs="Times New Roman"/>
        </w:rPr>
        <w:t>,</w:t>
      </w:r>
      <w:r w:rsidR="006C4DB3">
        <w:rPr>
          <w:rFonts w:cs="Times New Roman"/>
        </w:rPr>
        <w:t xml:space="preserve"> </w:t>
      </w:r>
      <w:r w:rsidR="00324AAA">
        <w:rPr>
          <w:rFonts w:cs="Times New Roman"/>
        </w:rPr>
        <w:t>t</w:t>
      </w:r>
      <w:r w:rsidR="00250F2E">
        <w:rPr>
          <w:rFonts w:cs="Times New Roman"/>
        </w:rPr>
        <w:t>he v</w:t>
      </w:r>
      <w:r w:rsidR="006C4DB3">
        <w:rPr>
          <w:rFonts w:cs="Times New Roman"/>
        </w:rPr>
        <w:t xml:space="preserve">alid test </w:t>
      </w:r>
      <w:r w:rsidR="00250F2E">
        <w:rPr>
          <w:rFonts w:cs="Times New Roman"/>
        </w:rPr>
        <w:t xml:space="preserve">of </w:t>
      </w:r>
      <w:r w:rsidR="00324AAA">
        <w:rPr>
          <w:rFonts w:cs="Times New Roman"/>
        </w:rPr>
        <w:t>a firm’s</w:t>
      </w:r>
      <w:r w:rsidR="00250F2E">
        <w:rPr>
          <w:rFonts w:cs="Times New Roman"/>
        </w:rPr>
        <w:t xml:space="preserve"> </w:t>
      </w:r>
      <w:r w:rsidR="00324AAA">
        <w:rPr>
          <w:rFonts w:cs="Times New Roman"/>
        </w:rPr>
        <w:t>worthiness</w:t>
      </w:r>
      <w:r w:rsidR="00250F2E">
        <w:rPr>
          <w:rFonts w:cs="Times New Roman"/>
        </w:rPr>
        <w:t xml:space="preserve"> is market</w:t>
      </w:r>
      <w:r w:rsidR="006C4DB3">
        <w:rPr>
          <w:rFonts w:cs="Times New Roman"/>
        </w:rPr>
        <w:t xml:space="preserve"> demand for what </w:t>
      </w:r>
      <w:r w:rsidR="00324AAA">
        <w:rPr>
          <w:rFonts w:cs="Times New Roman"/>
        </w:rPr>
        <w:t xml:space="preserve">it </w:t>
      </w:r>
      <w:r w:rsidR="006C4DB3">
        <w:rPr>
          <w:rFonts w:cs="Times New Roman"/>
        </w:rPr>
        <w:t>produces</w:t>
      </w:r>
      <w:r w:rsidR="00250F2E">
        <w:rPr>
          <w:rFonts w:cs="Times New Roman"/>
        </w:rPr>
        <w:t>. Since demand is</w:t>
      </w:r>
      <w:r w:rsidR="00324AAA">
        <w:rPr>
          <w:rFonts w:cs="Times New Roman"/>
        </w:rPr>
        <w:t xml:space="preserve"> influenced</w:t>
      </w:r>
      <w:r w:rsidR="00250F2E">
        <w:rPr>
          <w:rFonts w:cs="Times New Roman"/>
        </w:rPr>
        <w:t xml:space="preserve"> by cost</w:t>
      </w:r>
      <w:r w:rsidR="006C4DB3">
        <w:rPr>
          <w:rFonts w:cs="Times New Roman"/>
        </w:rPr>
        <w:t xml:space="preserve">, </w:t>
      </w:r>
      <w:r w:rsidR="00311D7A">
        <w:rPr>
          <w:rFonts w:cs="Times New Roman"/>
        </w:rPr>
        <w:t>th</w:t>
      </w:r>
      <w:r w:rsidR="00324AAA">
        <w:rPr>
          <w:rFonts w:cs="Times New Roman"/>
        </w:rPr>
        <w:t>is</w:t>
      </w:r>
      <w:r w:rsidR="00311D7A">
        <w:rPr>
          <w:rFonts w:cs="Times New Roman"/>
        </w:rPr>
        <w:t xml:space="preserve"> </w:t>
      </w:r>
      <w:r w:rsidR="00311D7A" w:rsidRPr="000D5056">
        <w:rPr>
          <w:rFonts w:cs="Times New Roman"/>
          <w:i/>
        </w:rPr>
        <w:t>market</w:t>
      </w:r>
      <w:r w:rsidR="00311D7A">
        <w:rPr>
          <w:rFonts w:cs="Times New Roman"/>
        </w:rPr>
        <w:t xml:space="preserve"> test provides an incentive for firms to reduce their costs, including labour costs.</w:t>
      </w:r>
      <w:r w:rsidR="001C57A6">
        <w:rPr>
          <w:rFonts w:cs="Times New Roman"/>
        </w:rPr>
        <w:t xml:space="preserve"> </w:t>
      </w:r>
      <w:r w:rsidR="00311D7A">
        <w:rPr>
          <w:rFonts w:cs="Times New Roman"/>
        </w:rPr>
        <w:t xml:space="preserve"> Business groups, by linking low wages with firm performance, </w:t>
      </w:r>
      <w:r w:rsidR="008037C4">
        <w:rPr>
          <w:rFonts w:cs="Times New Roman"/>
        </w:rPr>
        <w:t xml:space="preserve">attempt to </w:t>
      </w:r>
      <w:r w:rsidR="00311D7A">
        <w:rPr>
          <w:rFonts w:cs="Times New Roman"/>
        </w:rPr>
        <w:t>reject LWA’s claim that better wages for the low-paid actually enhance</w:t>
      </w:r>
      <w:r w:rsidR="00324AAA">
        <w:rPr>
          <w:rFonts w:cs="Times New Roman"/>
        </w:rPr>
        <w:t>s</w:t>
      </w:r>
      <w:r w:rsidR="00311D7A">
        <w:rPr>
          <w:rFonts w:cs="Times New Roman"/>
        </w:rPr>
        <w:t xml:space="preserve"> organisational productivity and performance</w:t>
      </w:r>
      <w:r w:rsidR="001F7FA0">
        <w:rPr>
          <w:lang w:val="en-AU"/>
        </w:rPr>
        <w:t>.  Arguments against the living wage</w:t>
      </w:r>
      <w:r w:rsidR="001F7FA0">
        <w:rPr>
          <w:rFonts w:cs="Times New Roman"/>
        </w:rPr>
        <w:t xml:space="preserve"> </w:t>
      </w:r>
      <w:r w:rsidR="00311D7A">
        <w:rPr>
          <w:rFonts w:cs="Times New Roman"/>
        </w:rPr>
        <w:t xml:space="preserve">adopt here a short-term </w:t>
      </w:r>
      <w:r w:rsidR="006C4DB3">
        <w:rPr>
          <w:rFonts w:cs="Times New Roman"/>
        </w:rPr>
        <w:t>timeframe</w:t>
      </w:r>
      <w:r w:rsidR="00311D7A">
        <w:rPr>
          <w:rFonts w:cs="Times New Roman"/>
        </w:rPr>
        <w:t xml:space="preserve"> that moves </w:t>
      </w:r>
      <w:r w:rsidR="006C4DB3">
        <w:rPr>
          <w:rFonts w:cs="Times New Roman"/>
        </w:rPr>
        <w:t xml:space="preserve">away from the </w:t>
      </w:r>
      <w:r w:rsidR="00324AAA" w:rsidRPr="000D5056">
        <w:rPr>
          <w:rFonts w:cs="Times New Roman"/>
          <w:i/>
        </w:rPr>
        <w:t>industrial</w:t>
      </w:r>
      <w:r w:rsidR="00324AAA">
        <w:rPr>
          <w:rFonts w:cs="Times New Roman"/>
        </w:rPr>
        <w:t xml:space="preserve"> pole of the </w:t>
      </w:r>
      <w:r w:rsidR="006C4DB3" w:rsidRPr="000D5056">
        <w:rPr>
          <w:rFonts w:cs="Times New Roman"/>
          <w:i/>
        </w:rPr>
        <w:t>market</w:t>
      </w:r>
      <w:r w:rsidR="006C4DB3">
        <w:rPr>
          <w:rFonts w:cs="Times New Roman"/>
        </w:rPr>
        <w:t>-</w:t>
      </w:r>
      <w:r w:rsidR="006C4DB3" w:rsidRPr="000D5056">
        <w:rPr>
          <w:rFonts w:cs="Times New Roman"/>
          <w:i/>
        </w:rPr>
        <w:t>industrial</w:t>
      </w:r>
      <w:r w:rsidR="006C4DB3">
        <w:rPr>
          <w:rFonts w:cs="Times New Roman"/>
        </w:rPr>
        <w:t xml:space="preserve"> compromise</w:t>
      </w:r>
      <w:r w:rsidR="00324AAA">
        <w:rPr>
          <w:rFonts w:cs="Times New Roman"/>
        </w:rPr>
        <w:t xml:space="preserve"> that “lies at the very heart of a business enterprise” (Boltanski </w:t>
      </w:r>
      <w:r w:rsidR="00C32725">
        <w:rPr>
          <w:rFonts w:cs="Times New Roman"/>
        </w:rPr>
        <w:t>&amp;</w:t>
      </w:r>
      <w:r w:rsidR="00324AAA">
        <w:rPr>
          <w:rFonts w:cs="Times New Roman"/>
        </w:rPr>
        <w:t xml:space="preserve"> Thévenot, 2006, p. 332)</w:t>
      </w:r>
      <w:r w:rsidR="00311D7A">
        <w:rPr>
          <w:rFonts w:cs="Times New Roman"/>
        </w:rPr>
        <w:t>.</w:t>
      </w:r>
      <w:r w:rsidR="006C4DB3">
        <w:rPr>
          <w:rFonts w:cs="Times New Roman"/>
        </w:rPr>
        <w:t xml:space="preserve"> </w:t>
      </w:r>
    </w:p>
    <w:p w14:paraId="326645D5" w14:textId="77777777" w:rsidR="00311D7A" w:rsidRDefault="00311D7A" w:rsidP="00A22B9A">
      <w:pPr>
        <w:rPr>
          <w:rFonts w:cs="Times New Roman"/>
        </w:rPr>
      </w:pPr>
    </w:p>
    <w:p w14:paraId="2D3FD06A" w14:textId="1C7BAEDA" w:rsidR="002C4473" w:rsidRDefault="00665CFA" w:rsidP="00A22B9A">
      <w:pPr>
        <w:rPr>
          <w:rFonts w:eastAsia="Times New Roman" w:cs="Times New Roman"/>
          <w:color w:val="000000"/>
          <w:lang w:eastAsia="en-NZ"/>
        </w:rPr>
      </w:pPr>
      <w:r w:rsidRPr="009A1B57">
        <w:rPr>
          <w:rFonts w:cs="Times New Roman"/>
          <w:szCs w:val="24"/>
        </w:rPr>
        <w:t>This</w:t>
      </w:r>
      <w:r>
        <w:rPr>
          <w:rFonts w:cs="Times New Roman"/>
          <w:szCs w:val="24"/>
        </w:rPr>
        <w:t xml:space="preserve"> is</w:t>
      </w:r>
      <w:r w:rsidR="00932D4A">
        <w:rPr>
          <w:rFonts w:cs="Times New Roman"/>
          <w:szCs w:val="24"/>
        </w:rPr>
        <w:t>, however,</w:t>
      </w:r>
      <w:r>
        <w:rPr>
          <w:rFonts w:cs="Times New Roman"/>
          <w:szCs w:val="24"/>
        </w:rPr>
        <w:t xml:space="preserve"> no dogmatic</w:t>
      </w:r>
      <w:r w:rsidRPr="00760F7F">
        <w:rPr>
          <w:rFonts w:eastAsia="Times New Roman" w:cs="Times New Roman"/>
          <w:color w:val="000000"/>
          <w:lang w:eastAsia="en-NZ"/>
        </w:rPr>
        <w:t xml:space="preserve"> </w:t>
      </w:r>
      <w:r w:rsidRPr="009A1B57">
        <w:rPr>
          <w:rFonts w:eastAsia="Times New Roman" w:cs="Times New Roman"/>
          <w:i/>
          <w:color w:val="000000"/>
          <w:lang w:eastAsia="en-NZ"/>
        </w:rPr>
        <w:t>laissez-fair</w:t>
      </w:r>
      <w:r>
        <w:rPr>
          <w:rFonts w:eastAsia="Times New Roman" w:cs="Times New Roman"/>
          <w:i/>
          <w:color w:val="000000"/>
          <w:lang w:eastAsia="en-NZ"/>
        </w:rPr>
        <w:t>ism</w:t>
      </w:r>
      <w:r w:rsidR="00324AAA">
        <w:rPr>
          <w:rFonts w:eastAsia="Times New Roman" w:cs="Times New Roman"/>
          <w:color w:val="000000"/>
          <w:lang w:eastAsia="en-NZ"/>
        </w:rPr>
        <w:t xml:space="preserve">. </w:t>
      </w:r>
      <w:r>
        <w:rPr>
          <w:rFonts w:eastAsia="Times New Roman" w:cs="Times New Roman"/>
          <w:i/>
          <w:color w:val="000000"/>
          <w:lang w:eastAsia="en-NZ"/>
        </w:rPr>
        <w:t xml:space="preserve"> </w:t>
      </w:r>
      <w:r w:rsidR="00324AAA">
        <w:rPr>
          <w:rFonts w:eastAsia="Times New Roman" w:cs="Times New Roman"/>
          <w:color w:val="000000"/>
          <w:lang w:eastAsia="en-NZ"/>
        </w:rPr>
        <w:t xml:space="preserve">The business groups involved in the living wage dispute do not hold that </w:t>
      </w:r>
      <w:r w:rsidRPr="00760F7F">
        <w:rPr>
          <w:rFonts w:eastAsia="Times New Roman" w:cs="Times New Roman"/>
          <w:color w:val="000000"/>
          <w:lang w:eastAsia="en-NZ"/>
        </w:rPr>
        <w:t xml:space="preserve">individual outcomes </w:t>
      </w:r>
      <w:r w:rsidR="001F7FA0">
        <w:rPr>
          <w:rFonts w:eastAsia="Times New Roman" w:cs="Times New Roman"/>
          <w:color w:val="000000"/>
          <w:lang w:eastAsia="en-NZ"/>
        </w:rPr>
        <w:t>should be</w:t>
      </w:r>
      <w:r w:rsidR="001F7FA0" w:rsidRPr="00760F7F">
        <w:rPr>
          <w:rFonts w:eastAsia="Times New Roman" w:cs="Times New Roman"/>
          <w:color w:val="000000"/>
          <w:lang w:eastAsia="en-NZ"/>
        </w:rPr>
        <w:t xml:space="preserve"> </w:t>
      </w:r>
      <w:r>
        <w:rPr>
          <w:rFonts w:eastAsia="Times New Roman" w:cs="Times New Roman"/>
          <w:color w:val="000000"/>
          <w:lang w:eastAsia="en-NZ"/>
        </w:rPr>
        <w:t xml:space="preserve">based </w:t>
      </w:r>
      <w:r w:rsidRPr="00760F7F">
        <w:rPr>
          <w:rFonts w:eastAsia="Times New Roman" w:cs="Times New Roman"/>
          <w:color w:val="000000"/>
          <w:lang w:eastAsia="en-NZ"/>
        </w:rPr>
        <w:t xml:space="preserve">entirely </w:t>
      </w:r>
      <w:r>
        <w:rPr>
          <w:rFonts w:eastAsia="Times New Roman" w:cs="Times New Roman"/>
          <w:color w:val="000000"/>
          <w:lang w:eastAsia="en-NZ"/>
        </w:rPr>
        <w:t>on</w:t>
      </w:r>
      <w:r w:rsidRPr="00760F7F">
        <w:rPr>
          <w:rFonts w:eastAsia="Times New Roman" w:cs="Times New Roman"/>
          <w:color w:val="000000"/>
          <w:lang w:eastAsia="en-NZ"/>
        </w:rPr>
        <w:t xml:space="preserve"> </w:t>
      </w:r>
      <w:r>
        <w:rPr>
          <w:rFonts w:eastAsia="Times New Roman" w:cs="Times New Roman"/>
          <w:color w:val="000000"/>
          <w:lang w:eastAsia="en-NZ"/>
        </w:rPr>
        <w:t>one’s labour market performance.</w:t>
      </w:r>
      <w:r w:rsidR="00427F45">
        <w:rPr>
          <w:rFonts w:eastAsia="Times New Roman" w:cs="Times New Roman"/>
          <w:color w:val="000000"/>
          <w:lang w:eastAsia="en-NZ"/>
        </w:rPr>
        <w:t xml:space="preserve"> </w:t>
      </w:r>
      <w:r>
        <w:rPr>
          <w:rFonts w:eastAsia="Times New Roman" w:cs="Times New Roman"/>
          <w:color w:val="000000"/>
          <w:lang w:eastAsia="en-NZ"/>
        </w:rPr>
        <w:t xml:space="preserve"> </w:t>
      </w:r>
      <w:r w:rsidR="00324AAA">
        <w:rPr>
          <w:rFonts w:eastAsia="Times New Roman" w:cs="Times New Roman"/>
          <w:color w:val="000000"/>
          <w:lang w:eastAsia="en-NZ"/>
        </w:rPr>
        <w:t xml:space="preserve">Rather, they </w:t>
      </w:r>
      <w:r w:rsidR="008037C4">
        <w:rPr>
          <w:rFonts w:eastAsia="Times New Roman" w:cs="Times New Roman"/>
          <w:color w:val="000000"/>
          <w:lang w:eastAsia="en-NZ"/>
        </w:rPr>
        <w:t xml:space="preserve">appear to </w:t>
      </w:r>
      <w:r w:rsidR="00324AAA">
        <w:rPr>
          <w:rFonts w:eastAsia="Times New Roman" w:cs="Times New Roman"/>
          <w:color w:val="000000"/>
          <w:lang w:eastAsia="en-NZ"/>
        </w:rPr>
        <w:t>accept and</w:t>
      </w:r>
      <w:r w:rsidR="001F7FA0">
        <w:rPr>
          <w:rFonts w:eastAsia="Times New Roman" w:cs="Times New Roman"/>
          <w:color w:val="000000"/>
          <w:lang w:eastAsia="en-NZ"/>
        </w:rPr>
        <w:t xml:space="preserve"> defend</w:t>
      </w:r>
      <w:r>
        <w:rPr>
          <w:rFonts w:eastAsia="Times New Roman" w:cs="Times New Roman"/>
          <w:color w:val="000000"/>
          <w:lang w:eastAsia="en-NZ"/>
        </w:rPr>
        <w:t xml:space="preserve"> a clear and important role for the state, with O’Reilly</w:t>
      </w:r>
      <w:r w:rsidR="0045393A">
        <w:rPr>
          <w:rFonts w:eastAsia="Times New Roman" w:cs="Times New Roman"/>
          <w:color w:val="000000"/>
          <w:lang w:eastAsia="en-NZ"/>
        </w:rPr>
        <w:t xml:space="preserve"> (2013) </w:t>
      </w:r>
      <w:r>
        <w:rPr>
          <w:rFonts w:eastAsia="Times New Roman" w:cs="Times New Roman"/>
          <w:color w:val="000000"/>
          <w:lang w:eastAsia="en-NZ"/>
        </w:rPr>
        <w:t>arguing that firms have</w:t>
      </w:r>
      <w:r w:rsidRPr="006D7E70">
        <w:rPr>
          <w:rFonts w:eastAsia="Times New Roman" w:cs="Times New Roman"/>
          <w:color w:val="000000"/>
          <w:lang w:eastAsia="en-NZ"/>
        </w:rPr>
        <w:t xml:space="preserve"> </w:t>
      </w:r>
      <w:r>
        <w:rPr>
          <w:rFonts w:eastAsia="Times New Roman" w:cs="Times New Roman"/>
          <w:color w:val="000000"/>
          <w:lang w:eastAsia="en-NZ"/>
        </w:rPr>
        <w:t>“</w:t>
      </w:r>
      <w:r w:rsidRPr="006D7E70">
        <w:rPr>
          <w:rFonts w:eastAsia="Times New Roman" w:cs="Times New Roman"/>
          <w:color w:val="000000"/>
          <w:lang w:eastAsia="en-NZ"/>
        </w:rPr>
        <w:t xml:space="preserve">understood since the 1930s that employers should pay market rates </w:t>
      </w:r>
      <w:r w:rsidRPr="009A1B57">
        <w:rPr>
          <w:rFonts w:eastAsia="Times New Roman" w:cs="Times New Roman"/>
          <w:i/>
          <w:color w:val="000000"/>
          <w:lang w:eastAsia="en-NZ"/>
        </w:rPr>
        <w:t>and the state will assist the unemployed</w:t>
      </w:r>
      <w:r>
        <w:rPr>
          <w:rFonts w:eastAsia="Times New Roman" w:cs="Times New Roman"/>
          <w:i/>
          <w:color w:val="000000"/>
          <w:lang w:eastAsia="en-NZ"/>
        </w:rPr>
        <w:t>”</w:t>
      </w:r>
      <w:r>
        <w:rPr>
          <w:rFonts w:eastAsia="Times New Roman" w:cs="Times New Roman"/>
          <w:color w:val="000000"/>
          <w:lang w:eastAsia="en-NZ"/>
        </w:rPr>
        <w:t xml:space="preserve"> (emphasis added</w:t>
      </w:r>
      <w:r w:rsidR="001F7FA0">
        <w:rPr>
          <w:rFonts w:eastAsia="Times New Roman" w:cs="Times New Roman"/>
          <w:color w:val="000000"/>
          <w:lang w:eastAsia="en-NZ"/>
        </w:rPr>
        <w:t>; see also Campbell, 2013</w:t>
      </w:r>
      <w:r>
        <w:rPr>
          <w:rFonts w:eastAsia="Times New Roman" w:cs="Times New Roman"/>
          <w:color w:val="000000"/>
          <w:lang w:eastAsia="en-NZ"/>
        </w:rPr>
        <w:t xml:space="preserve">). </w:t>
      </w:r>
      <w:r w:rsidR="00427F45">
        <w:rPr>
          <w:rFonts w:eastAsia="Times New Roman" w:cs="Times New Roman"/>
          <w:color w:val="000000"/>
          <w:lang w:eastAsia="en-NZ"/>
        </w:rPr>
        <w:t xml:space="preserve"> </w:t>
      </w:r>
      <w:r w:rsidR="002C4473">
        <w:rPr>
          <w:rFonts w:eastAsia="Times New Roman" w:cs="Times New Roman"/>
          <w:color w:val="000000"/>
          <w:lang w:eastAsia="en-NZ"/>
        </w:rPr>
        <w:t xml:space="preserve">Beyond this, </w:t>
      </w:r>
      <w:r w:rsidR="008037C4">
        <w:rPr>
          <w:rFonts w:eastAsia="Times New Roman" w:cs="Times New Roman"/>
          <w:color w:val="000000"/>
          <w:lang w:eastAsia="en-NZ"/>
        </w:rPr>
        <w:t xml:space="preserve">we can see that </w:t>
      </w:r>
      <w:r w:rsidR="002C4473">
        <w:rPr>
          <w:rFonts w:eastAsia="Times New Roman" w:cs="Times New Roman"/>
          <w:color w:val="000000"/>
          <w:lang w:eastAsia="en-NZ"/>
        </w:rPr>
        <w:t>t</w:t>
      </w:r>
      <w:r w:rsidR="002C4473" w:rsidRPr="002C4473">
        <w:rPr>
          <w:rFonts w:eastAsia="Times New Roman" w:cs="Times New Roman"/>
          <w:color w:val="000000"/>
          <w:lang w:eastAsia="en-NZ"/>
        </w:rPr>
        <w:t xml:space="preserve">he minimum wage is accepted as a necessary protection against potential </w:t>
      </w:r>
      <w:r w:rsidR="00644740">
        <w:rPr>
          <w:rFonts w:eastAsia="Times New Roman" w:cs="Times New Roman"/>
          <w:color w:val="000000"/>
          <w:lang w:eastAsia="en-NZ"/>
        </w:rPr>
        <w:t>“</w:t>
      </w:r>
      <w:r w:rsidR="002C4473" w:rsidRPr="002C4473">
        <w:rPr>
          <w:rFonts w:eastAsia="Times New Roman" w:cs="Times New Roman"/>
          <w:color w:val="000000"/>
          <w:lang w:eastAsia="en-NZ"/>
        </w:rPr>
        <w:t>exploitation of the unskilled</w:t>
      </w:r>
      <w:r w:rsidR="00644740">
        <w:rPr>
          <w:rFonts w:eastAsia="Times New Roman" w:cs="Times New Roman"/>
          <w:color w:val="000000"/>
          <w:lang w:eastAsia="en-NZ"/>
        </w:rPr>
        <w:t xml:space="preserve">” </w:t>
      </w:r>
      <w:r w:rsidR="002C4473" w:rsidRPr="002C4473">
        <w:rPr>
          <w:rFonts w:eastAsia="Times New Roman" w:cs="Times New Roman"/>
          <w:color w:val="000000"/>
          <w:lang w:eastAsia="en-NZ"/>
        </w:rPr>
        <w:t>(O'Reilly, 2013, see also Campbell, 2013); greater public investment is urged in training and skills</w:t>
      </w:r>
      <w:r w:rsidR="002C4473">
        <w:rPr>
          <w:rFonts w:eastAsia="Times New Roman" w:cs="Times New Roman"/>
          <w:color w:val="000000"/>
          <w:lang w:eastAsia="en-NZ"/>
        </w:rPr>
        <w:t xml:space="preserve">, and </w:t>
      </w:r>
      <w:r w:rsidR="002C4473" w:rsidRPr="002C4473">
        <w:rPr>
          <w:rFonts w:eastAsia="Times New Roman" w:cs="Times New Roman"/>
          <w:color w:val="000000"/>
          <w:lang w:eastAsia="en-NZ"/>
        </w:rPr>
        <w:t>Finance Minister Bill English (in NZPD, 2013) expresse</w:t>
      </w:r>
      <w:r w:rsidR="002C4473">
        <w:rPr>
          <w:rFonts w:eastAsia="Times New Roman" w:cs="Times New Roman"/>
          <w:color w:val="000000"/>
          <w:lang w:eastAsia="en-NZ"/>
        </w:rPr>
        <w:t>d</w:t>
      </w:r>
      <w:r w:rsidR="002C4473" w:rsidRPr="002C4473">
        <w:rPr>
          <w:rFonts w:eastAsia="Times New Roman" w:cs="Times New Roman"/>
          <w:color w:val="000000"/>
          <w:lang w:eastAsia="en-NZ"/>
        </w:rPr>
        <w:t xml:space="preserve"> pride in his record of </w:t>
      </w:r>
      <w:r w:rsidR="002C4473">
        <w:rPr>
          <w:rFonts w:eastAsia="Times New Roman" w:cs="Times New Roman"/>
          <w:color w:val="000000"/>
          <w:lang w:eastAsia="en-NZ"/>
        </w:rPr>
        <w:t xml:space="preserve">regularly </w:t>
      </w:r>
      <w:r w:rsidR="002C4473" w:rsidRPr="002C4473">
        <w:rPr>
          <w:rFonts w:eastAsia="Times New Roman" w:cs="Times New Roman"/>
          <w:color w:val="000000"/>
          <w:lang w:eastAsia="en-NZ"/>
        </w:rPr>
        <w:t>increasing the minimum wage</w:t>
      </w:r>
      <w:r w:rsidR="002C4473">
        <w:rPr>
          <w:rFonts w:eastAsia="Times New Roman" w:cs="Times New Roman"/>
          <w:color w:val="000000"/>
          <w:lang w:eastAsia="en-NZ"/>
        </w:rPr>
        <w:t xml:space="preserve">.  </w:t>
      </w:r>
      <w:r>
        <w:rPr>
          <w:rFonts w:eastAsia="Times New Roman" w:cs="Times New Roman"/>
          <w:color w:val="000000"/>
          <w:lang w:eastAsia="en-NZ"/>
        </w:rPr>
        <w:t>The argument</w:t>
      </w:r>
      <w:r w:rsidR="002C4473">
        <w:rPr>
          <w:rFonts w:eastAsia="Times New Roman" w:cs="Times New Roman"/>
          <w:color w:val="000000"/>
          <w:lang w:eastAsia="en-NZ"/>
        </w:rPr>
        <w:t>, then,</w:t>
      </w:r>
      <w:r>
        <w:rPr>
          <w:rFonts w:eastAsia="Times New Roman" w:cs="Times New Roman"/>
          <w:color w:val="000000"/>
          <w:lang w:eastAsia="en-NZ"/>
        </w:rPr>
        <w:t xml:space="preserve"> is not for a minimal state but, rather, for a clear </w:t>
      </w:r>
      <w:r w:rsidR="001B73B5">
        <w:rPr>
          <w:rFonts w:eastAsia="Times New Roman" w:cs="Times New Roman"/>
          <w:color w:val="000000"/>
          <w:lang w:eastAsia="en-NZ"/>
        </w:rPr>
        <w:t>demarcation</w:t>
      </w:r>
      <w:r>
        <w:rPr>
          <w:rFonts w:eastAsia="Times New Roman" w:cs="Times New Roman"/>
          <w:color w:val="000000"/>
          <w:lang w:eastAsia="en-NZ"/>
        </w:rPr>
        <w:t xml:space="preserve"> between the responsibilities of </w:t>
      </w:r>
      <w:r w:rsidR="008932F0">
        <w:rPr>
          <w:rFonts w:eastAsia="Times New Roman" w:cs="Times New Roman"/>
          <w:color w:val="000000"/>
          <w:lang w:eastAsia="en-NZ"/>
        </w:rPr>
        <w:t xml:space="preserve">the firm </w:t>
      </w:r>
      <w:r>
        <w:rPr>
          <w:rFonts w:eastAsia="Times New Roman" w:cs="Times New Roman"/>
          <w:color w:val="000000"/>
          <w:lang w:eastAsia="en-NZ"/>
        </w:rPr>
        <w:t xml:space="preserve">and </w:t>
      </w:r>
      <w:r w:rsidR="008932F0">
        <w:rPr>
          <w:rFonts w:eastAsia="Times New Roman" w:cs="Times New Roman"/>
          <w:color w:val="000000"/>
          <w:lang w:eastAsia="en-NZ"/>
        </w:rPr>
        <w:t>those</w:t>
      </w:r>
      <w:r>
        <w:rPr>
          <w:rFonts w:eastAsia="Times New Roman" w:cs="Times New Roman"/>
          <w:color w:val="000000"/>
          <w:lang w:eastAsia="en-NZ"/>
        </w:rPr>
        <w:t xml:space="preserve"> of the state</w:t>
      </w:r>
      <w:r w:rsidR="00374AF9">
        <w:rPr>
          <w:rFonts w:eastAsia="Times New Roman" w:cs="Times New Roman"/>
          <w:color w:val="000000"/>
          <w:lang w:eastAsia="en-NZ"/>
        </w:rPr>
        <w:t>. T</w:t>
      </w:r>
      <w:r>
        <w:rPr>
          <w:rFonts w:eastAsia="Times New Roman" w:cs="Times New Roman"/>
          <w:color w:val="000000"/>
          <w:lang w:eastAsia="en-NZ"/>
        </w:rPr>
        <w:t xml:space="preserve">he ability for business practices </w:t>
      </w:r>
      <w:r w:rsidR="00374AF9">
        <w:rPr>
          <w:rFonts w:eastAsia="Times New Roman" w:cs="Times New Roman"/>
          <w:color w:val="000000"/>
          <w:lang w:eastAsia="en-NZ"/>
        </w:rPr>
        <w:t xml:space="preserve">(including practices of low-pay) </w:t>
      </w:r>
      <w:r>
        <w:rPr>
          <w:rFonts w:eastAsia="Times New Roman" w:cs="Times New Roman"/>
          <w:color w:val="000000"/>
          <w:lang w:eastAsia="en-NZ"/>
        </w:rPr>
        <w:t xml:space="preserve">to be </w:t>
      </w:r>
      <w:r w:rsidR="001F7FA0">
        <w:rPr>
          <w:rFonts w:eastAsia="Times New Roman" w:cs="Times New Roman"/>
          <w:color w:val="000000"/>
          <w:lang w:eastAsia="en-NZ"/>
        </w:rPr>
        <w:t xml:space="preserve">increasingly </w:t>
      </w:r>
      <w:r>
        <w:rPr>
          <w:rFonts w:eastAsia="Times New Roman" w:cs="Times New Roman"/>
          <w:color w:val="000000"/>
          <w:lang w:eastAsia="en-NZ"/>
        </w:rPr>
        <w:t xml:space="preserve">guided by the </w:t>
      </w:r>
      <w:r w:rsidRPr="00A047CA">
        <w:rPr>
          <w:rFonts w:eastAsia="Times New Roman" w:cs="Times New Roman"/>
          <w:i/>
          <w:color w:val="000000"/>
          <w:lang w:eastAsia="en-NZ"/>
        </w:rPr>
        <w:t xml:space="preserve">market </w:t>
      </w:r>
      <w:r>
        <w:rPr>
          <w:rFonts w:eastAsia="Times New Roman" w:cs="Times New Roman"/>
          <w:color w:val="000000"/>
          <w:lang w:eastAsia="en-NZ"/>
        </w:rPr>
        <w:t xml:space="preserve">order of worth </w:t>
      </w:r>
      <w:r w:rsidR="00153A94">
        <w:rPr>
          <w:rFonts w:eastAsia="Times New Roman" w:cs="Times New Roman"/>
          <w:color w:val="000000"/>
          <w:lang w:eastAsia="en-NZ"/>
        </w:rPr>
        <w:t>is</w:t>
      </w:r>
      <w:r w:rsidR="00374AF9">
        <w:rPr>
          <w:rFonts w:eastAsia="Times New Roman" w:cs="Times New Roman"/>
          <w:color w:val="000000"/>
          <w:lang w:eastAsia="en-NZ"/>
        </w:rPr>
        <w:t xml:space="preserve"> </w:t>
      </w:r>
      <w:r w:rsidR="001F7FA0">
        <w:rPr>
          <w:rFonts w:eastAsia="Times New Roman" w:cs="Times New Roman"/>
          <w:color w:val="000000"/>
          <w:lang w:eastAsia="en-NZ"/>
        </w:rPr>
        <w:t xml:space="preserve">made </w:t>
      </w:r>
      <w:r>
        <w:rPr>
          <w:rFonts w:eastAsia="Times New Roman" w:cs="Times New Roman"/>
          <w:color w:val="000000"/>
          <w:lang w:eastAsia="en-NZ"/>
        </w:rPr>
        <w:t xml:space="preserve">possible </w:t>
      </w:r>
      <w:r w:rsidR="001F7FA0">
        <w:rPr>
          <w:rFonts w:eastAsia="Times New Roman" w:cs="Times New Roman"/>
          <w:color w:val="000000"/>
          <w:lang w:eastAsia="en-NZ"/>
        </w:rPr>
        <w:t>by</w:t>
      </w:r>
      <w:r>
        <w:rPr>
          <w:rFonts w:eastAsia="Times New Roman" w:cs="Times New Roman"/>
          <w:color w:val="000000"/>
          <w:lang w:eastAsia="en-NZ"/>
        </w:rPr>
        <w:t xml:space="preserve"> the state </w:t>
      </w:r>
      <w:r w:rsidR="001F7FA0">
        <w:rPr>
          <w:rFonts w:eastAsia="Times New Roman" w:cs="Times New Roman"/>
          <w:color w:val="000000"/>
          <w:lang w:eastAsia="en-NZ"/>
        </w:rPr>
        <w:t xml:space="preserve">taking </w:t>
      </w:r>
      <w:r w:rsidR="00374AF9">
        <w:rPr>
          <w:rFonts w:eastAsia="Times New Roman" w:cs="Times New Roman"/>
          <w:color w:val="000000"/>
          <w:lang w:eastAsia="en-NZ"/>
        </w:rPr>
        <w:t xml:space="preserve">increasing </w:t>
      </w:r>
      <w:r w:rsidR="001F7FA0">
        <w:rPr>
          <w:rFonts w:eastAsia="Times New Roman" w:cs="Times New Roman"/>
          <w:color w:val="000000"/>
          <w:lang w:eastAsia="en-NZ"/>
        </w:rPr>
        <w:t xml:space="preserve">responsibility for </w:t>
      </w:r>
      <w:r>
        <w:rPr>
          <w:rFonts w:eastAsia="Times New Roman" w:cs="Times New Roman"/>
          <w:color w:val="000000"/>
          <w:lang w:eastAsia="en-NZ"/>
        </w:rPr>
        <w:t xml:space="preserve">the </w:t>
      </w:r>
      <w:r w:rsidRPr="009A1B57">
        <w:rPr>
          <w:rFonts w:eastAsia="Times New Roman" w:cs="Times New Roman"/>
          <w:i/>
          <w:color w:val="000000"/>
          <w:lang w:eastAsia="en-NZ"/>
        </w:rPr>
        <w:t>civic</w:t>
      </w:r>
      <w:r>
        <w:rPr>
          <w:rFonts w:eastAsia="Times New Roman" w:cs="Times New Roman"/>
          <w:color w:val="000000"/>
          <w:lang w:eastAsia="en-NZ"/>
        </w:rPr>
        <w:t xml:space="preserve"> objectives of equality and collective welfare: a compromise where state action </w:t>
      </w:r>
      <w:r w:rsidR="00FA56CA">
        <w:rPr>
          <w:rFonts w:eastAsia="Times New Roman" w:cs="Times New Roman"/>
          <w:color w:val="000000"/>
          <w:lang w:eastAsia="en-NZ"/>
        </w:rPr>
        <w:t xml:space="preserve">secures the </w:t>
      </w:r>
      <w:r>
        <w:rPr>
          <w:rFonts w:eastAsia="Times New Roman" w:cs="Times New Roman"/>
          <w:color w:val="000000"/>
          <w:lang w:eastAsia="en-NZ"/>
        </w:rPr>
        <w:t>ongoing legitimation of the market system.</w:t>
      </w:r>
    </w:p>
    <w:p w14:paraId="03391C33" w14:textId="77777777" w:rsidR="002C4473" w:rsidRDefault="002C4473" w:rsidP="00A22B9A">
      <w:pPr>
        <w:rPr>
          <w:rFonts w:eastAsia="Times New Roman" w:cs="Times New Roman"/>
          <w:color w:val="000000"/>
          <w:lang w:eastAsia="en-NZ"/>
        </w:rPr>
      </w:pPr>
    </w:p>
    <w:p w14:paraId="7837B8B8" w14:textId="704F3A90" w:rsidR="00665CFA" w:rsidRDefault="002C4473" w:rsidP="00A22B9A">
      <w:pPr>
        <w:rPr>
          <w:rFonts w:cs="Times New Roman"/>
        </w:rPr>
      </w:pPr>
      <w:r>
        <w:rPr>
          <w:rFonts w:eastAsia="Times New Roman" w:cs="Times New Roman"/>
          <w:color w:val="000000"/>
          <w:lang w:eastAsia="en-NZ"/>
        </w:rPr>
        <w:t xml:space="preserve">While business groups draw primarily on the </w:t>
      </w:r>
      <w:r w:rsidRPr="008037C4">
        <w:rPr>
          <w:rFonts w:eastAsia="Times New Roman" w:cs="Times New Roman"/>
          <w:i/>
          <w:color w:val="000000"/>
          <w:lang w:eastAsia="en-NZ"/>
        </w:rPr>
        <w:t>market</w:t>
      </w:r>
      <w:r w:rsidRPr="008037C4">
        <w:rPr>
          <w:rFonts w:eastAsia="Times New Roman" w:cs="Times New Roman"/>
          <w:color w:val="000000"/>
          <w:lang w:eastAsia="en-NZ"/>
        </w:rPr>
        <w:t xml:space="preserve"> </w:t>
      </w:r>
      <w:r>
        <w:rPr>
          <w:rFonts w:eastAsia="Times New Roman" w:cs="Times New Roman"/>
          <w:color w:val="000000"/>
          <w:lang w:eastAsia="en-NZ"/>
        </w:rPr>
        <w:t xml:space="preserve">order of worth here (in order to justify this order against the living wage critique) they are, in actuality, seeking to justify a compromise arrangement: the status quo is built on a compromise between (at least) the </w:t>
      </w:r>
      <w:r w:rsidRPr="008037C4">
        <w:rPr>
          <w:rFonts w:eastAsia="Times New Roman" w:cs="Times New Roman"/>
          <w:i/>
          <w:color w:val="000000"/>
          <w:lang w:eastAsia="en-NZ"/>
        </w:rPr>
        <w:t>market</w:t>
      </w:r>
      <w:r>
        <w:rPr>
          <w:rFonts w:eastAsia="Times New Roman" w:cs="Times New Roman"/>
          <w:color w:val="000000"/>
          <w:lang w:eastAsia="en-NZ"/>
        </w:rPr>
        <w:t xml:space="preserve">, </w:t>
      </w:r>
      <w:r w:rsidRPr="008037C4">
        <w:rPr>
          <w:rFonts w:eastAsia="Times New Roman" w:cs="Times New Roman"/>
          <w:i/>
          <w:color w:val="000000"/>
          <w:lang w:eastAsia="en-NZ"/>
        </w:rPr>
        <w:t>civic</w:t>
      </w:r>
      <w:r>
        <w:rPr>
          <w:rFonts w:eastAsia="Times New Roman" w:cs="Times New Roman"/>
          <w:color w:val="000000"/>
          <w:lang w:eastAsia="en-NZ"/>
        </w:rPr>
        <w:t xml:space="preserve"> and </w:t>
      </w:r>
      <w:r w:rsidRPr="008037C4">
        <w:rPr>
          <w:rFonts w:eastAsia="Times New Roman" w:cs="Times New Roman"/>
          <w:i/>
          <w:color w:val="000000"/>
          <w:lang w:eastAsia="en-NZ"/>
        </w:rPr>
        <w:t xml:space="preserve">industrial </w:t>
      </w:r>
      <w:r>
        <w:rPr>
          <w:rFonts w:eastAsia="Times New Roman" w:cs="Times New Roman"/>
          <w:color w:val="000000"/>
          <w:lang w:eastAsia="en-NZ"/>
        </w:rPr>
        <w:t xml:space="preserve">orders.  </w:t>
      </w:r>
      <w:r w:rsidR="008037C4">
        <w:rPr>
          <w:rFonts w:eastAsia="Times New Roman" w:cs="Times New Roman"/>
          <w:color w:val="000000"/>
          <w:lang w:eastAsia="en-NZ"/>
        </w:rPr>
        <w:t>It could be argued that the</w:t>
      </w:r>
      <w:r>
        <w:rPr>
          <w:rFonts w:eastAsia="Times New Roman" w:cs="Times New Roman"/>
          <w:color w:val="000000"/>
          <w:lang w:eastAsia="en-NZ"/>
        </w:rPr>
        <w:t xml:space="preserve"> intent is to deny firm </w:t>
      </w:r>
      <w:r>
        <w:rPr>
          <w:rFonts w:eastAsia="Times New Roman" w:cs="Times New Roman"/>
          <w:color w:val="000000"/>
          <w:lang w:eastAsia="en-NZ"/>
        </w:rPr>
        <w:lastRenderedPageBreak/>
        <w:t>responsibility for any problems arising from low wages and income inequality.  Business groups represent l</w:t>
      </w:r>
      <w:r w:rsidRPr="002C4473">
        <w:rPr>
          <w:rFonts w:eastAsia="Times New Roman" w:cs="Times New Roman"/>
          <w:color w:val="000000"/>
          <w:lang w:eastAsia="en-NZ"/>
        </w:rPr>
        <w:t xml:space="preserve">ow-pay as the fault neither of exploitative employers, nor of an unfair and exploitative system. </w:t>
      </w:r>
      <w:r w:rsidR="008037C4">
        <w:rPr>
          <w:rFonts w:eastAsia="Times New Roman" w:cs="Times New Roman"/>
          <w:color w:val="000000"/>
          <w:lang w:eastAsia="en-NZ"/>
        </w:rPr>
        <w:t xml:space="preserve"> </w:t>
      </w:r>
      <w:r w:rsidRPr="002C4473">
        <w:rPr>
          <w:rFonts w:eastAsia="Times New Roman" w:cs="Times New Roman"/>
          <w:color w:val="000000"/>
          <w:lang w:eastAsia="en-NZ"/>
        </w:rPr>
        <w:t xml:space="preserve">Rather, blame is individualised, and low-pay is represented </w:t>
      </w:r>
      <w:r w:rsidR="008037C4">
        <w:rPr>
          <w:rFonts w:eastAsia="Times New Roman" w:cs="Times New Roman"/>
          <w:color w:val="000000"/>
          <w:lang w:eastAsia="en-NZ"/>
        </w:rPr>
        <w:t xml:space="preserve">in the texts </w:t>
      </w:r>
      <w:r w:rsidRPr="002C4473">
        <w:rPr>
          <w:rFonts w:eastAsia="Times New Roman" w:cs="Times New Roman"/>
          <w:color w:val="000000"/>
          <w:lang w:eastAsia="en-NZ"/>
        </w:rPr>
        <w:t xml:space="preserve">as the result of individual workers failing to invest sufficiently in their own human capital, such that they remain of limited value within a competitive labour market. </w:t>
      </w:r>
      <w:r w:rsidR="00644740">
        <w:rPr>
          <w:rFonts w:eastAsia="Times New Roman" w:cs="Times New Roman"/>
          <w:color w:val="000000"/>
          <w:lang w:eastAsia="en-NZ"/>
        </w:rPr>
        <w:t xml:space="preserve"> </w:t>
      </w:r>
      <w:r w:rsidRPr="002C4473">
        <w:rPr>
          <w:rFonts w:eastAsia="Times New Roman" w:cs="Times New Roman"/>
          <w:color w:val="000000"/>
          <w:lang w:eastAsia="en-NZ"/>
        </w:rPr>
        <w:t>Far from being the victims of exploitation, low-paid workers are represented as the beneficiaries of work</w:t>
      </w:r>
      <w:r>
        <w:rPr>
          <w:rFonts w:eastAsia="Times New Roman" w:cs="Times New Roman"/>
          <w:color w:val="000000"/>
          <w:lang w:eastAsia="en-NZ"/>
        </w:rPr>
        <w:t>;</w:t>
      </w:r>
      <w:r w:rsidRPr="002C4473">
        <w:rPr>
          <w:rFonts w:eastAsia="Times New Roman" w:cs="Times New Roman"/>
          <w:color w:val="000000"/>
          <w:lang w:eastAsia="en-NZ"/>
        </w:rPr>
        <w:t xml:space="preserve"> as fortunate and privileged to have a job.</w:t>
      </w:r>
      <w:r>
        <w:rPr>
          <w:rFonts w:eastAsia="Times New Roman" w:cs="Times New Roman"/>
          <w:color w:val="000000"/>
          <w:lang w:eastAsia="en-NZ"/>
        </w:rPr>
        <w:t xml:space="preserve"> </w:t>
      </w:r>
    </w:p>
    <w:p w14:paraId="0CB6661B" w14:textId="77777777" w:rsidR="00665CFA" w:rsidRPr="005C7F19" w:rsidRDefault="00665CFA" w:rsidP="00A22B9A">
      <w:pPr>
        <w:rPr>
          <w:rFonts w:cs="Times New Roman"/>
          <w:sz w:val="16"/>
          <w:szCs w:val="16"/>
        </w:rPr>
      </w:pPr>
    </w:p>
    <w:p w14:paraId="4C77C5A4" w14:textId="5BD73D6A" w:rsidR="00665CFA" w:rsidRDefault="00665CFA" w:rsidP="00A22B9A">
      <w:pPr>
        <w:rPr>
          <w:rFonts w:eastAsia="Times New Roman" w:cs="Times New Roman"/>
          <w:color w:val="000000"/>
          <w:lang w:eastAsia="en-NZ"/>
        </w:rPr>
      </w:pPr>
      <w:r>
        <w:rPr>
          <w:rFonts w:cs="Times New Roman"/>
          <w:szCs w:val="24"/>
        </w:rPr>
        <w:t xml:space="preserve">The key Treasury </w:t>
      </w:r>
      <w:r w:rsidR="00E97748">
        <w:rPr>
          <w:rFonts w:cs="Times New Roman"/>
          <w:szCs w:val="24"/>
        </w:rPr>
        <w:t xml:space="preserve">Report </w:t>
      </w:r>
      <w:r>
        <w:rPr>
          <w:rFonts w:cs="Times New Roman"/>
          <w:szCs w:val="24"/>
        </w:rPr>
        <w:t xml:space="preserve">(2013) describes the living wage as an inefficient way to address the </w:t>
      </w:r>
      <w:r w:rsidR="002D2166">
        <w:rPr>
          <w:rFonts w:cs="Times New Roman"/>
          <w:szCs w:val="24"/>
        </w:rPr>
        <w:t>“</w:t>
      </w:r>
      <w:r>
        <w:rPr>
          <w:rFonts w:cs="Times New Roman"/>
          <w:szCs w:val="24"/>
        </w:rPr>
        <w:t>real</w:t>
      </w:r>
      <w:r w:rsidR="002D2166">
        <w:rPr>
          <w:rFonts w:cs="Times New Roman"/>
          <w:szCs w:val="24"/>
        </w:rPr>
        <w:t>”</w:t>
      </w:r>
      <w:r>
        <w:rPr>
          <w:rFonts w:cs="Times New Roman"/>
          <w:szCs w:val="24"/>
        </w:rPr>
        <w:t xml:space="preserve"> problem, which </w:t>
      </w:r>
      <w:r w:rsidR="00427F45">
        <w:rPr>
          <w:rFonts w:cs="Times New Roman"/>
          <w:szCs w:val="24"/>
        </w:rPr>
        <w:t>is</w:t>
      </w:r>
      <w:r>
        <w:rPr>
          <w:rFonts w:cs="Times New Roman"/>
          <w:szCs w:val="24"/>
        </w:rPr>
        <w:t xml:space="preserve"> </w:t>
      </w:r>
      <w:r w:rsidR="00153A94">
        <w:rPr>
          <w:rFonts w:cs="Times New Roman"/>
          <w:szCs w:val="24"/>
        </w:rPr>
        <w:t>represented</w:t>
      </w:r>
      <w:r>
        <w:rPr>
          <w:rFonts w:cs="Times New Roman"/>
          <w:szCs w:val="24"/>
        </w:rPr>
        <w:t xml:space="preserve"> not </w:t>
      </w:r>
      <w:r w:rsidR="00153A94">
        <w:rPr>
          <w:rFonts w:cs="Times New Roman"/>
          <w:szCs w:val="24"/>
        </w:rPr>
        <w:t xml:space="preserve">as </w:t>
      </w:r>
      <w:r>
        <w:rPr>
          <w:rFonts w:cs="Times New Roman"/>
          <w:szCs w:val="24"/>
        </w:rPr>
        <w:t>low wages</w:t>
      </w:r>
      <w:r w:rsidR="008932F0">
        <w:rPr>
          <w:rFonts w:cs="Times New Roman"/>
          <w:szCs w:val="24"/>
        </w:rPr>
        <w:t xml:space="preserve"> or inequality</w:t>
      </w:r>
      <w:r>
        <w:rPr>
          <w:rFonts w:cs="Times New Roman"/>
          <w:szCs w:val="24"/>
        </w:rPr>
        <w:t xml:space="preserve"> </w:t>
      </w:r>
      <w:r w:rsidRPr="000A64C6">
        <w:rPr>
          <w:rFonts w:cs="Times New Roman"/>
          <w:i/>
          <w:szCs w:val="24"/>
        </w:rPr>
        <w:t>per se</w:t>
      </w:r>
      <w:r>
        <w:rPr>
          <w:rFonts w:cs="Times New Roman"/>
          <w:szCs w:val="24"/>
        </w:rPr>
        <w:t xml:space="preserve">, but rather </w:t>
      </w:r>
      <w:r w:rsidR="00153A94">
        <w:rPr>
          <w:rFonts w:cs="Times New Roman"/>
          <w:szCs w:val="24"/>
        </w:rPr>
        <w:t xml:space="preserve">as </w:t>
      </w:r>
      <w:r>
        <w:rPr>
          <w:rFonts w:cs="Times New Roman"/>
          <w:szCs w:val="24"/>
        </w:rPr>
        <w:t xml:space="preserve">individual-and family-level hardship. </w:t>
      </w:r>
      <w:r w:rsidR="00427F45">
        <w:rPr>
          <w:rFonts w:cs="Times New Roman"/>
          <w:szCs w:val="24"/>
        </w:rPr>
        <w:t xml:space="preserve"> </w:t>
      </w:r>
      <w:r>
        <w:rPr>
          <w:rFonts w:cs="Times New Roman"/>
          <w:szCs w:val="24"/>
        </w:rPr>
        <w:t>Treasury’s preferred response returns those experiencing such hardship to the market, encouraging all workers to continually invest in their human capital through education and skills training</w:t>
      </w:r>
      <w:r w:rsidR="008932F0">
        <w:rPr>
          <w:rFonts w:cs="Times New Roman"/>
          <w:szCs w:val="24"/>
        </w:rPr>
        <w:t xml:space="preserve"> (see also English, 2013)</w:t>
      </w:r>
      <w:r>
        <w:rPr>
          <w:rFonts w:cs="Times New Roman"/>
          <w:szCs w:val="24"/>
        </w:rPr>
        <w:t xml:space="preserve">. </w:t>
      </w:r>
      <w:r w:rsidR="00427F45">
        <w:rPr>
          <w:rFonts w:cs="Times New Roman"/>
          <w:szCs w:val="24"/>
        </w:rPr>
        <w:t xml:space="preserve"> </w:t>
      </w:r>
      <w:r>
        <w:rPr>
          <w:rFonts w:cs="Times New Roman"/>
          <w:szCs w:val="24"/>
        </w:rPr>
        <w:t xml:space="preserve">This response </w:t>
      </w:r>
      <w:r w:rsidR="00427F45">
        <w:rPr>
          <w:rFonts w:cs="Times New Roman"/>
          <w:szCs w:val="24"/>
        </w:rPr>
        <w:t>i</w:t>
      </w:r>
      <w:r>
        <w:rPr>
          <w:rFonts w:cs="Times New Roman"/>
          <w:szCs w:val="24"/>
        </w:rPr>
        <w:t xml:space="preserve">s presented as generating widely shared benefits, since more competitive workers </w:t>
      </w:r>
      <w:r w:rsidR="00427F45">
        <w:rPr>
          <w:rFonts w:cs="Times New Roman"/>
          <w:szCs w:val="24"/>
        </w:rPr>
        <w:t>a</w:t>
      </w:r>
      <w:r>
        <w:rPr>
          <w:rFonts w:cs="Times New Roman"/>
          <w:szCs w:val="24"/>
        </w:rPr>
        <w:t xml:space="preserve">re assumed to lead to more competitive firms and thus a more competitive national economy. </w:t>
      </w:r>
      <w:r w:rsidR="00427F45">
        <w:rPr>
          <w:rFonts w:cs="Times New Roman"/>
          <w:szCs w:val="24"/>
        </w:rPr>
        <w:t xml:space="preserve"> </w:t>
      </w:r>
      <w:r>
        <w:rPr>
          <w:rFonts w:cs="Times New Roman"/>
          <w:szCs w:val="24"/>
        </w:rPr>
        <w:t xml:space="preserve">If self-investment </w:t>
      </w:r>
      <w:r w:rsidR="00427F45">
        <w:rPr>
          <w:rFonts w:cs="Times New Roman"/>
          <w:szCs w:val="24"/>
        </w:rPr>
        <w:t>i</w:t>
      </w:r>
      <w:r>
        <w:rPr>
          <w:rFonts w:cs="Times New Roman"/>
          <w:szCs w:val="24"/>
        </w:rPr>
        <w:t xml:space="preserve">s insufficient in some cases, targeted state assistance </w:t>
      </w:r>
      <w:r w:rsidR="00427F45">
        <w:rPr>
          <w:rFonts w:cs="Times New Roman"/>
          <w:szCs w:val="24"/>
        </w:rPr>
        <w:t>i</w:t>
      </w:r>
      <w:r>
        <w:rPr>
          <w:rFonts w:cs="Times New Roman"/>
          <w:szCs w:val="24"/>
        </w:rPr>
        <w:t xml:space="preserve">s </w:t>
      </w:r>
      <w:r w:rsidR="000B19F3">
        <w:rPr>
          <w:rFonts w:cs="Times New Roman"/>
          <w:szCs w:val="24"/>
        </w:rPr>
        <w:t>presented</w:t>
      </w:r>
      <w:r>
        <w:rPr>
          <w:rFonts w:cs="Times New Roman"/>
          <w:szCs w:val="24"/>
        </w:rPr>
        <w:t xml:space="preserve"> as a more efficient way of alleviating hardship th</w:t>
      </w:r>
      <w:r w:rsidR="00427F45">
        <w:rPr>
          <w:rFonts w:cs="Times New Roman"/>
          <w:szCs w:val="24"/>
        </w:rPr>
        <w:t>a</w:t>
      </w:r>
      <w:r>
        <w:rPr>
          <w:rFonts w:cs="Times New Roman"/>
          <w:szCs w:val="24"/>
        </w:rPr>
        <w:t xml:space="preserve">n market distorting moves such as the living wage. </w:t>
      </w:r>
      <w:r w:rsidR="00427F45">
        <w:rPr>
          <w:rFonts w:cs="Times New Roman"/>
          <w:szCs w:val="24"/>
        </w:rPr>
        <w:t xml:space="preserve"> </w:t>
      </w:r>
      <w:r w:rsidRPr="000A64C6">
        <w:rPr>
          <w:rFonts w:eastAsia="Times New Roman" w:cs="Times New Roman"/>
          <w:color w:val="000000"/>
          <w:lang w:eastAsia="en-NZ"/>
        </w:rPr>
        <w:t xml:space="preserve">We see here the strange irony of both business groups and political parties of the centre-right expressing a preference for </w:t>
      </w:r>
      <w:r>
        <w:rPr>
          <w:rFonts w:eastAsia="Times New Roman" w:cs="Times New Roman"/>
          <w:color w:val="000000"/>
          <w:lang w:eastAsia="en-NZ"/>
        </w:rPr>
        <w:t xml:space="preserve">addressing need through </w:t>
      </w:r>
      <w:r w:rsidR="00FA56CA">
        <w:rPr>
          <w:rFonts w:eastAsia="Times New Roman" w:cs="Times New Roman"/>
          <w:color w:val="000000"/>
          <w:lang w:eastAsia="en-NZ"/>
        </w:rPr>
        <w:t xml:space="preserve">state </w:t>
      </w:r>
      <w:r>
        <w:rPr>
          <w:rFonts w:eastAsia="Times New Roman" w:cs="Times New Roman"/>
          <w:color w:val="000000"/>
          <w:lang w:eastAsia="en-NZ"/>
        </w:rPr>
        <w:t>welfare rather than through</w:t>
      </w:r>
      <w:r w:rsidRPr="000A64C6">
        <w:rPr>
          <w:rFonts w:eastAsia="Times New Roman" w:cs="Times New Roman"/>
          <w:color w:val="000000"/>
          <w:lang w:eastAsia="en-NZ"/>
        </w:rPr>
        <w:t xml:space="preserve"> increased market incomes </w:t>
      </w:r>
      <w:r w:rsidRPr="000A64C6">
        <w:rPr>
          <w:rFonts w:eastAsia="Times New Roman" w:cs="Times New Roman"/>
          <w:noProof/>
          <w:color w:val="000000"/>
          <w:lang w:eastAsia="en-NZ"/>
        </w:rPr>
        <w:t>(English, 2013)</w:t>
      </w:r>
      <w:r w:rsidRPr="000A64C6">
        <w:rPr>
          <w:rFonts w:eastAsia="Times New Roman" w:cs="Times New Roman"/>
          <w:i/>
          <w:color w:val="000000"/>
          <w:lang w:eastAsia="en-NZ"/>
        </w:rPr>
        <w:t>.</w:t>
      </w:r>
      <w:r>
        <w:rPr>
          <w:rFonts w:eastAsia="Times New Roman" w:cs="Times New Roman"/>
          <w:color w:val="000000"/>
          <w:lang w:eastAsia="en-NZ"/>
        </w:rPr>
        <w:t xml:space="preserve"> </w:t>
      </w:r>
      <w:r w:rsidR="00427F45">
        <w:rPr>
          <w:rFonts w:eastAsia="Times New Roman" w:cs="Times New Roman"/>
          <w:color w:val="000000"/>
          <w:lang w:eastAsia="en-NZ"/>
        </w:rPr>
        <w:t xml:space="preserve"> </w:t>
      </w:r>
    </w:p>
    <w:p w14:paraId="3BA85158" w14:textId="77777777" w:rsidR="00665CFA" w:rsidRDefault="00665CFA" w:rsidP="00A22B9A">
      <w:pPr>
        <w:rPr>
          <w:rFonts w:cs="Times New Roman"/>
          <w:szCs w:val="24"/>
        </w:rPr>
      </w:pPr>
    </w:p>
    <w:p w14:paraId="434576CF" w14:textId="25B3517F" w:rsidR="00665CFA" w:rsidRDefault="00665CFA" w:rsidP="00A22B9A">
      <w:pPr>
        <w:rPr>
          <w:rFonts w:cs="Times New Roman"/>
          <w:szCs w:val="24"/>
        </w:rPr>
      </w:pPr>
      <w:r>
        <w:rPr>
          <w:rFonts w:cs="Times New Roman"/>
          <w:szCs w:val="24"/>
        </w:rPr>
        <w:t xml:space="preserve">The business response, in summary, </w:t>
      </w:r>
      <w:r w:rsidR="002C4473">
        <w:rPr>
          <w:rFonts w:cs="Times New Roman"/>
          <w:szCs w:val="24"/>
        </w:rPr>
        <w:t>stands against</w:t>
      </w:r>
      <w:r>
        <w:rPr>
          <w:rFonts w:cs="Times New Roman"/>
          <w:szCs w:val="24"/>
        </w:rPr>
        <w:t xml:space="preserve"> LWA’s attempt to </w:t>
      </w:r>
      <w:r w:rsidR="00153A94">
        <w:rPr>
          <w:rFonts w:cs="Times New Roman"/>
          <w:szCs w:val="24"/>
        </w:rPr>
        <w:t xml:space="preserve">give additional weight to </w:t>
      </w:r>
      <w:r>
        <w:rPr>
          <w:rFonts w:cs="Times New Roman"/>
          <w:szCs w:val="24"/>
        </w:rPr>
        <w:t xml:space="preserve">a variety of orders (principally the </w:t>
      </w:r>
      <w:r w:rsidR="00153A94">
        <w:rPr>
          <w:rFonts w:cs="Times New Roman"/>
          <w:i/>
          <w:szCs w:val="24"/>
        </w:rPr>
        <w:t xml:space="preserve">civic, industrial and domestic-inspired </w:t>
      </w:r>
      <w:r w:rsidR="00153A94">
        <w:rPr>
          <w:rFonts w:cs="Times New Roman"/>
          <w:szCs w:val="24"/>
        </w:rPr>
        <w:t>orders</w:t>
      </w:r>
      <w:r>
        <w:rPr>
          <w:rFonts w:cs="Times New Roman"/>
          <w:szCs w:val="24"/>
        </w:rPr>
        <w:t xml:space="preserve">) </w:t>
      </w:r>
      <w:r w:rsidR="00153A94">
        <w:rPr>
          <w:rFonts w:cs="Times New Roman"/>
          <w:szCs w:val="24"/>
        </w:rPr>
        <w:t>within</w:t>
      </w:r>
      <w:r>
        <w:rPr>
          <w:rFonts w:cs="Times New Roman"/>
          <w:szCs w:val="24"/>
        </w:rPr>
        <w:t xml:space="preserve"> a realm (the labour market)</w:t>
      </w:r>
      <w:r w:rsidR="005C7983">
        <w:rPr>
          <w:rFonts w:cs="Times New Roman"/>
          <w:szCs w:val="24"/>
        </w:rPr>
        <w:t xml:space="preserve">.  </w:t>
      </w:r>
      <w:r w:rsidR="00AA041C">
        <w:rPr>
          <w:rFonts w:cs="Times New Roman"/>
          <w:szCs w:val="24"/>
        </w:rPr>
        <w:t xml:space="preserve">We </w:t>
      </w:r>
      <w:r w:rsidR="000B19F3">
        <w:rPr>
          <w:rFonts w:cs="Times New Roman"/>
          <w:szCs w:val="24"/>
        </w:rPr>
        <w:t xml:space="preserve">show that the business response </w:t>
      </w:r>
      <w:r>
        <w:rPr>
          <w:rFonts w:cs="Times New Roman"/>
          <w:szCs w:val="24"/>
        </w:rPr>
        <w:t>argue</w:t>
      </w:r>
      <w:r w:rsidR="000B19F3">
        <w:rPr>
          <w:rFonts w:cs="Times New Roman"/>
          <w:szCs w:val="24"/>
        </w:rPr>
        <w:t>s</w:t>
      </w:r>
      <w:r>
        <w:rPr>
          <w:rFonts w:cs="Times New Roman"/>
          <w:szCs w:val="24"/>
        </w:rPr>
        <w:t xml:space="preserve"> </w:t>
      </w:r>
      <w:r w:rsidR="005C7983">
        <w:rPr>
          <w:rFonts w:cs="Times New Roman"/>
          <w:szCs w:val="24"/>
        </w:rPr>
        <w:t xml:space="preserve">that </w:t>
      </w:r>
      <w:r w:rsidR="00153A94">
        <w:rPr>
          <w:rFonts w:cs="Times New Roman"/>
          <w:szCs w:val="24"/>
        </w:rPr>
        <w:t>the balance of the existing compromise</w:t>
      </w:r>
      <w:r w:rsidR="005C7983">
        <w:rPr>
          <w:rFonts w:cs="Times New Roman"/>
          <w:szCs w:val="24"/>
        </w:rPr>
        <w:t xml:space="preserve"> regulating low-pay arrangements</w:t>
      </w:r>
      <w:r w:rsidR="00153A94">
        <w:rPr>
          <w:rFonts w:cs="Times New Roman"/>
          <w:szCs w:val="24"/>
        </w:rPr>
        <w:t xml:space="preserve"> (and the precedence it gives to the </w:t>
      </w:r>
      <w:r w:rsidR="00153A94" w:rsidRPr="003F55E1">
        <w:rPr>
          <w:rFonts w:cs="Times New Roman"/>
          <w:i/>
          <w:szCs w:val="24"/>
        </w:rPr>
        <w:t>market</w:t>
      </w:r>
      <w:r w:rsidR="00153A94">
        <w:rPr>
          <w:rFonts w:cs="Times New Roman"/>
          <w:szCs w:val="24"/>
        </w:rPr>
        <w:t xml:space="preserve"> order) is </w:t>
      </w:r>
      <w:r w:rsidR="00463648">
        <w:rPr>
          <w:rFonts w:cs="Times New Roman"/>
          <w:szCs w:val="24"/>
        </w:rPr>
        <w:t xml:space="preserve">appropriate </w:t>
      </w:r>
      <w:r w:rsidR="00153A94">
        <w:rPr>
          <w:rFonts w:cs="Times New Roman"/>
          <w:szCs w:val="24"/>
        </w:rPr>
        <w:t>and optimal</w:t>
      </w:r>
      <w:r>
        <w:rPr>
          <w:rFonts w:cs="Times New Roman"/>
          <w:szCs w:val="24"/>
        </w:rPr>
        <w:t xml:space="preserve">. </w:t>
      </w:r>
      <w:r w:rsidR="00003D2D">
        <w:rPr>
          <w:rFonts w:cs="Times New Roman"/>
          <w:szCs w:val="24"/>
        </w:rPr>
        <w:t xml:space="preserve"> </w:t>
      </w:r>
      <w:r>
        <w:rPr>
          <w:rFonts w:cs="Times New Roman"/>
          <w:szCs w:val="24"/>
        </w:rPr>
        <w:t>Again, business groups d</w:t>
      </w:r>
      <w:r w:rsidR="00003D2D">
        <w:rPr>
          <w:rFonts w:cs="Times New Roman"/>
          <w:szCs w:val="24"/>
        </w:rPr>
        <w:t>o</w:t>
      </w:r>
      <w:r>
        <w:rPr>
          <w:rFonts w:cs="Times New Roman"/>
          <w:szCs w:val="24"/>
        </w:rPr>
        <w:t xml:space="preserve"> not deny the validity of </w:t>
      </w:r>
      <w:r w:rsidR="00153A94">
        <w:rPr>
          <w:rFonts w:cs="Times New Roman"/>
          <w:szCs w:val="24"/>
        </w:rPr>
        <w:t>these additional</w:t>
      </w:r>
      <w:r>
        <w:rPr>
          <w:rFonts w:cs="Times New Roman"/>
          <w:szCs w:val="24"/>
        </w:rPr>
        <w:t xml:space="preserve"> orders: </w:t>
      </w:r>
      <w:r w:rsidR="00153A94">
        <w:rPr>
          <w:rFonts w:cs="Times New Roman"/>
          <w:szCs w:val="24"/>
        </w:rPr>
        <w:t>their presence within</w:t>
      </w:r>
      <w:r w:rsidR="005F5EF2">
        <w:rPr>
          <w:rFonts w:cs="Times New Roman"/>
          <w:szCs w:val="24"/>
        </w:rPr>
        <w:t xml:space="preserve"> status quo arrangements </w:t>
      </w:r>
      <w:r w:rsidR="000B19F3">
        <w:rPr>
          <w:rFonts w:cs="Times New Roman"/>
          <w:szCs w:val="24"/>
        </w:rPr>
        <w:t>appears</w:t>
      </w:r>
      <w:r w:rsidR="00153A94">
        <w:rPr>
          <w:rFonts w:cs="Times New Roman"/>
          <w:szCs w:val="24"/>
        </w:rPr>
        <w:t xml:space="preserve"> broadly accepted </w:t>
      </w:r>
      <w:r w:rsidR="00644740">
        <w:rPr>
          <w:rFonts w:cs="Times New Roman"/>
          <w:szCs w:val="24"/>
        </w:rPr>
        <w:t>(a</w:t>
      </w:r>
      <w:r w:rsidR="005C7983">
        <w:rPr>
          <w:rFonts w:cs="Times New Roman"/>
          <w:szCs w:val="24"/>
        </w:rPr>
        <w:t xml:space="preserve">gain, there is no principled opposition to </w:t>
      </w:r>
      <w:r w:rsidR="00153A94">
        <w:rPr>
          <w:rFonts w:cs="Times New Roman"/>
          <w:szCs w:val="24"/>
        </w:rPr>
        <w:t>the concept of the statutory minimum wage</w:t>
      </w:r>
      <w:r w:rsidR="00644740">
        <w:rPr>
          <w:rFonts w:cs="Times New Roman"/>
          <w:szCs w:val="24"/>
        </w:rPr>
        <w:t>)</w:t>
      </w:r>
      <w:r w:rsidR="005F5EF2">
        <w:rPr>
          <w:rFonts w:cs="Times New Roman"/>
          <w:szCs w:val="24"/>
        </w:rPr>
        <w:t xml:space="preserve">. </w:t>
      </w:r>
      <w:r w:rsidR="00153A94">
        <w:rPr>
          <w:rFonts w:cs="Times New Roman"/>
          <w:szCs w:val="24"/>
        </w:rPr>
        <w:t xml:space="preserve"> They</w:t>
      </w:r>
      <w:r w:rsidR="005F5EF2">
        <w:rPr>
          <w:rFonts w:cs="Times New Roman"/>
          <w:szCs w:val="24"/>
        </w:rPr>
        <w:t xml:space="preserve"> are arguing, more minimally, that these orders should not be given more weight</w:t>
      </w:r>
      <w:r w:rsidR="00153A94">
        <w:rPr>
          <w:rFonts w:cs="Times New Roman"/>
          <w:szCs w:val="24"/>
        </w:rPr>
        <w:t>,</w:t>
      </w:r>
      <w:r w:rsidR="005F5EF2">
        <w:rPr>
          <w:rFonts w:cs="Times New Roman"/>
          <w:szCs w:val="24"/>
        </w:rPr>
        <w:t xml:space="preserve"> and that </w:t>
      </w:r>
      <w:r w:rsidR="005C7983">
        <w:rPr>
          <w:rFonts w:cs="Times New Roman"/>
          <w:szCs w:val="24"/>
        </w:rPr>
        <w:t xml:space="preserve">their objectives are not the responsibility of business. </w:t>
      </w:r>
      <w:r w:rsidR="00644740">
        <w:rPr>
          <w:rFonts w:cs="Times New Roman"/>
          <w:szCs w:val="24"/>
        </w:rPr>
        <w:t xml:space="preserve"> </w:t>
      </w:r>
      <w:r w:rsidR="005C7983">
        <w:rPr>
          <w:rFonts w:cs="Times New Roman"/>
          <w:szCs w:val="24"/>
        </w:rPr>
        <w:t>I</w:t>
      </w:r>
      <w:r w:rsidR="005F5EF2">
        <w:rPr>
          <w:rFonts w:cs="Times New Roman"/>
          <w:szCs w:val="24"/>
        </w:rPr>
        <w:t>f</w:t>
      </w:r>
      <w:r w:rsidR="00644740">
        <w:rPr>
          <w:rFonts w:cs="Times New Roman"/>
          <w:szCs w:val="24"/>
        </w:rPr>
        <w:t xml:space="preserve">, </w:t>
      </w:r>
      <w:r w:rsidR="00153A94">
        <w:rPr>
          <w:rFonts w:cs="Times New Roman"/>
          <w:szCs w:val="24"/>
        </w:rPr>
        <w:t>for example</w:t>
      </w:r>
      <w:r w:rsidR="00644740">
        <w:rPr>
          <w:rFonts w:cs="Times New Roman"/>
          <w:szCs w:val="24"/>
        </w:rPr>
        <w:t>,</w:t>
      </w:r>
      <w:r w:rsidR="00153A94">
        <w:rPr>
          <w:rFonts w:cs="Times New Roman"/>
          <w:szCs w:val="24"/>
        </w:rPr>
        <w:t xml:space="preserve"> </w:t>
      </w:r>
      <w:r w:rsidR="005F5EF2" w:rsidRPr="003F55E1">
        <w:rPr>
          <w:rFonts w:cs="Times New Roman"/>
          <w:i/>
          <w:szCs w:val="24"/>
        </w:rPr>
        <w:t>civic</w:t>
      </w:r>
      <w:r w:rsidR="005F5EF2">
        <w:rPr>
          <w:rFonts w:cs="Times New Roman"/>
          <w:szCs w:val="24"/>
        </w:rPr>
        <w:t xml:space="preserve"> outcomes are desired by society, then society should provide for them through collective means. </w:t>
      </w:r>
      <w:r w:rsidR="000B19F3">
        <w:rPr>
          <w:rFonts w:cs="Times New Roman"/>
          <w:szCs w:val="24"/>
        </w:rPr>
        <w:t xml:space="preserve"> </w:t>
      </w:r>
      <w:r w:rsidR="005C7983">
        <w:rPr>
          <w:rFonts w:cs="Times New Roman"/>
          <w:szCs w:val="24"/>
        </w:rPr>
        <w:t>Firms</w:t>
      </w:r>
      <w:r w:rsidR="000B19F3">
        <w:rPr>
          <w:rFonts w:cs="Times New Roman"/>
          <w:szCs w:val="24"/>
        </w:rPr>
        <w:t>, it is argued,</w:t>
      </w:r>
      <w:r w:rsidR="005C7983">
        <w:rPr>
          <w:rFonts w:cs="Times New Roman"/>
          <w:szCs w:val="24"/>
        </w:rPr>
        <w:t xml:space="preserve"> should operate – and make their wage decisions -</w:t>
      </w:r>
      <w:r>
        <w:rPr>
          <w:rFonts w:cs="Times New Roman"/>
          <w:szCs w:val="24"/>
        </w:rPr>
        <w:t xml:space="preserve"> </w:t>
      </w:r>
      <w:r w:rsidR="005F5EF2">
        <w:rPr>
          <w:rFonts w:cs="Times New Roman"/>
          <w:szCs w:val="24"/>
        </w:rPr>
        <w:t>with the existing degree of reference to</w:t>
      </w:r>
      <w:r>
        <w:rPr>
          <w:rFonts w:cs="Times New Roman"/>
          <w:szCs w:val="24"/>
        </w:rPr>
        <w:t xml:space="preserve"> the test of </w:t>
      </w:r>
      <w:r w:rsidRPr="001F4C20">
        <w:rPr>
          <w:rFonts w:cs="Times New Roman"/>
          <w:i/>
          <w:szCs w:val="24"/>
        </w:rPr>
        <w:t>market</w:t>
      </w:r>
      <w:r>
        <w:rPr>
          <w:rFonts w:cs="Times New Roman"/>
          <w:szCs w:val="24"/>
        </w:rPr>
        <w:t xml:space="preserve"> competitiveness.</w:t>
      </w:r>
    </w:p>
    <w:p w14:paraId="5AEBB4DF" w14:textId="77777777" w:rsidR="00665CFA" w:rsidRPr="005C7F19" w:rsidRDefault="00665CFA" w:rsidP="00A22B9A">
      <w:pPr>
        <w:rPr>
          <w:rFonts w:cs="Times New Roman"/>
          <w:sz w:val="16"/>
          <w:szCs w:val="16"/>
        </w:rPr>
      </w:pPr>
    </w:p>
    <w:p w14:paraId="283796B2" w14:textId="46AE2DB7" w:rsidR="00665CFA" w:rsidRDefault="00665CFA" w:rsidP="00A22B9A">
      <w:pPr>
        <w:rPr>
          <w:rFonts w:cs="Times New Roman"/>
          <w:szCs w:val="24"/>
        </w:rPr>
      </w:pPr>
      <w:bookmarkStart w:id="6" w:name="_Hlk502237629"/>
      <w:r w:rsidRPr="00003D2D">
        <w:rPr>
          <w:rFonts w:cs="Times New Roman"/>
          <w:szCs w:val="24"/>
        </w:rPr>
        <w:lastRenderedPageBreak/>
        <w:t xml:space="preserve">Boltanski and Thévenot </w:t>
      </w:r>
      <w:bookmarkEnd w:id="6"/>
      <w:r w:rsidR="002F02F8">
        <w:rPr>
          <w:noProof/>
        </w:rPr>
        <w:t>(1999, p. 360)</w:t>
      </w:r>
      <w:r w:rsidR="00153A94">
        <w:rPr>
          <w:rFonts w:cs="Times New Roman"/>
          <w:szCs w:val="24"/>
        </w:rPr>
        <w:t xml:space="preserve"> </w:t>
      </w:r>
      <w:r w:rsidRPr="00003D2D">
        <w:rPr>
          <w:rFonts w:cs="Times New Roman"/>
          <w:szCs w:val="24"/>
        </w:rPr>
        <w:t>assume that a successful justification of the status quo is constrained to show how it is consistent with widely shared conceptions of the common good</w:t>
      </w:r>
      <w:r>
        <w:rPr>
          <w:rFonts w:cs="Times New Roman"/>
          <w:szCs w:val="24"/>
        </w:rPr>
        <w:t xml:space="preserve">. </w:t>
      </w:r>
      <w:r w:rsidR="00003D2D">
        <w:rPr>
          <w:rFonts w:cs="Times New Roman"/>
          <w:szCs w:val="24"/>
        </w:rPr>
        <w:t xml:space="preserve"> </w:t>
      </w:r>
      <w:r>
        <w:rPr>
          <w:rFonts w:cs="Times New Roman"/>
          <w:szCs w:val="24"/>
        </w:rPr>
        <w:t xml:space="preserve">Business groups cannot </w:t>
      </w:r>
      <w:r w:rsidR="00F63719">
        <w:rPr>
          <w:rFonts w:cs="Times New Roman"/>
          <w:szCs w:val="24"/>
        </w:rPr>
        <w:t xml:space="preserve">successfully </w:t>
      </w:r>
      <w:r>
        <w:rPr>
          <w:rFonts w:cs="Times New Roman"/>
          <w:szCs w:val="24"/>
        </w:rPr>
        <w:t xml:space="preserve">oppose the living wage </w:t>
      </w:r>
      <w:r w:rsidR="00F63719">
        <w:rPr>
          <w:rFonts w:cs="Times New Roman"/>
          <w:szCs w:val="24"/>
        </w:rPr>
        <w:t xml:space="preserve">call </w:t>
      </w:r>
      <w:r w:rsidR="0068764E">
        <w:rPr>
          <w:rFonts w:cs="Times New Roman"/>
          <w:szCs w:val="24"/>
        </w:rPr>
        <w:t xml:space="preserve">simply </w:t>
      </w:r>
      <w:r>
        <w:rPr>
          <w:rFonts w:cs="Times New Roman"/>
          <w:szCs w:val="24"/>
        </w:rPr>
        <w:t xml:space="preserve">on the grounds that </w:t>
      </w:r>
      <w:r w:rsidR="00044500">
        <w:rPr>
          <w:rFonts w:cs="Times New Roman"/>
          <w:szCs w:val="24"/>
        </w:rPr>
        <w:t>firms would prefer</w:t>
      </w:r>
      <w:r>
        <w:rPr>
          <w:rFonts w:cs="Times New Roman"/>
          <w:szCs w:val="24"/>
        </w:rPr>
        <w:t xml:space="preserve"> to pay workers as little as possible</w:t>
      </w:r>
      <w:r w:rsidR="0068764E">
        <w:rPr>
          <w:rFonts w:cs="Times New Roman"/>
          <w:szCs w:val="24"/>
        </w:rPr>
        <w:t>. R</w:t>
      </w:r>
      <w:r>
        <w:rPr>
          <w:rFonts w:cs="Times New Roman"/>
          <w:szCs w:val="24"/>
        </w:rPr>
        <w:t xml:space="preserve">ather, </w:t>
      </w:r>
      <w:r w:rsidR="00F63719">
        <w:rPr>
          <w:rFonts w:cs="Times New Roman"/>
          <w:szCs w:val="24"/>
        </w:rPr>
        <w:t xml:space="preserve">they contend that </w:t>
      </w:r>
      <w:r>
        <w:rPr>
          <w:rFonts w:cs="Times New Roman"/>
          <w:szCs w:val="24"/>
        </w:rPr>
        <w:t xml:space="preserve">the living wage would prove destructive to the interests of all, including (and especially) the interests of those that it promised most to help. </w:t>
      </w:r>
      <w:r w:rsidR="00003D2D">
        <w:rPr>
          <w:rFonts w:cs="Times New Roman"/>
          <w:szCs w:val="24"/>
        </w:rPr>
        <w:t xml:space="preserve"> </w:t>
      </w:r>
      <w:r w:rsidR="00463648">
        <w:rPr>
          <w:rFonts w:eastAsia="Times New Roman" w:cs="Times New Roman"/>
          <w:color w:val="000000"/>
          <w:szCs w:val="24"/>
          <w:lang w:eastAsia="en-NZ"/>
        </w:rPr>
        <w:t xml:space="preserve">Opponents of the living wage thus </w:t>
      </w:r>
      <w:r w:rsidR="00003D2D">
        <w:rPr>
          <w:rFonts w:eastAsia="Times New Roman" w:cs="Times New Roman"/>
          <w:color w:val="000000"/>
          <w:szCs w:val="24"/>
          <w:lang w:eastAsia="en-NZ"/>
        </w:rPr>
        <w:t>argue</w:t>
      </w:r>
      <w:r w:rsidR="00044500">
        <w:rPr>
          <w:rFonts w:eastAsia="Times New Roman" w:cs="Times New Roman"/>
          <w:color w:val="000000"/>
          <w:szCs w:val="24"/>
          <w:lang w:eastAsia="en-NZ"/>
        </w:rPr>
        <w:t xml:space="preserve"> that increased</w:t>
      </w:r>
      <w:r w:rsidR="00044500" w:rsidRPr="00DE19AF">
        <w:rPr>
          <w:rFonts w:eastAsia="Times New Roman" w:cs="Times New Roman"/>
          <w:color w:val="000000"/>
          <w:szCs w:val="24"/>
          <w:lang w:eastAsia="en-NZ"/>
        </w:rPr>
        <w:t xml:space="preserve"> wages at the bottom</w:t>
      </w:r>
      <w:r w:rsidR="00044500">
        <w:rPr>
          <w:rFonts w:eastAsia="Times New Roman" w:cs="Times New Roman"/>
          <w:color w:val="000000"/>
          <w:szCs w:val="24"/>
          <w:lang w:eastAsia="en-NZ"/>
        </w:rPr>
        <w:t xml:space="preserve"> would put “</w:t>
      </w:r>
      <w:r w:rsidR="00044500" w:rsidRPr="00DE19AF">
        <w:rPr>
          <w:rFonts w:eastAsia="Times New Roman" w:cs="Times New Roman"/>
          <w:color w:val="000000"/>
          <w:szCs w:val="24"/>
          <w:lang w:eastAsia="en-NZ"/>
        </w:rPr>
        <w:t>a lot of people out of jobs</w:t>
      </w:r>
      <w:r w:rsidR="00044500">
        <w:rPr>
          <w:rFonts w:eastAsia="Times New Roman" w:cs="Times New Roman"/>
          <w:color w:val="000000"/>
          <w:szCs w:val="24"/>
          <w:lang w:eastAsia="en-NZ"/>
        </w:rPr>
        <w:t>”</w:t>
      </w:r>
      <w:r w:rsidR="005513DC" w:rsidRPr="005513DC">
        <w:rPr>
          <w:rFonts w:eastAsia="Times New Roman" w:cs="Times New Roman"/>
          <w:color w:val="000000"/>
          <w:szCs w:val="24"/>
          <w:lang w:eastAsia="en-NZ"/>
        </w:rPr>
        <w:t xml:space="preserve"> </w:t>
      </w:r>
      <w:r w:rsidR="005513DC">
        <w:rPr>
          <w:rFonts w:eastAsia="Times New Roman" w:cs="Times New Roman"/>
          <w:color w:val="000000"/>
          <w:szCs w:val="24"/>
          <w:lang w:eastAsia="en-NZ"/>
        </w:rPr>
        <w:t>b</w:t>
      </w:r>
      <w:r w:rsidR="005513DC" w:rsidRPr="00DE19AF">
        <w:rPr>
          <w:rFonts w:eastAsia="Times New Roman" w:cs="Times New Roman"/>
          <w:color w:val="000000"/>
          <w:szCs w:val="24"/>
          <w:lang w:eastAsia="en-NZ"/>
        </w:rPr>
        <w:t>y reducing firm competitiveness</w:t>
      </w:r>
      <w:r w:rsidR="00044500">
        <w:rPr>
          <w:rFonts w:eastAsia="Times New Roman" w:cs="Times New Roman"/>
          <w:color w:val="000000"/>
          <w:szCs w:val="24"/>
          <w:lang w:eastAsia="en-NZ"/>
        </w:rPr>
        <w:t>, and this, in turn, “</w:t>
      </w:r>
      <w:r w:rsidR="00044500" w:rsidRPr="00DE19AF">
        <w:rPr>
          <w:rFonts w:eastAsia="Times New Roman" w:cs="Times New Roman"/>
          <w:color w:val="000000"/>
          <w:szCs w:val="24"/>
          <w:lang w:eastAsia="en-NZ"/>
        </w:rPr>
        <w:t>would increase</w:t>
      </w:r>
      <w:r w:rsidR="00044500">
        <w:rPr>
          <w:rFonts w:eastAsia="Times New Roman" w:cs="Times New Roman"/>
          <w:color w:val="000000"/>
          <w:szCs w:val="24"/>
          <w:lang w:eastAsia="en-NZ"/>
        </w:rPr>
        <w:t xml:space="preserve"> inequality, not the other way” </w:t>
      </w:r>
      <w:r w:rsidR="00044500" w:rsidRPr="00DE19AF">
        <w:rPr>
          <w:rFonts w:eastAsia="Times New Roman" w:cs="Times New Roman"/>
          <w:color w:val="000000"/>
          <w:szCs w:val="24"/>
          <w:lang w:eastAsia="en-NZ"/>
        </w:rPr>
        <w:t>(</w:t>
      </w:r>
      <w:r w:rsidR="00044500">
        <w:rPr>
          <w:rFonts w:eastAsia="Times New Roman" w:cs="Times New Roman"/>
          <w:color w:val="000000"/>
          <w:szCs w:val="24"/>
          <w:lang w:eastAsia="en-NZ"/>
        </w:rPr>
        <w:t>Bridges, in NZPD, 27 February 2013</w:t>
      </w:r>
      <w:r w:rsidR="00044500" w:rsidRPr="00DE19AF">
        <w:rPr>
          <w:rFonts w:eastAsia="Times New Roman" w:cs="Times New Roman"/>
          <w:color w:val="000000"/>
          <w:szCs w:val="24"/>
          <w:lang w:eastAsia="en-NZ"/>
        </w:rPr>
        <w:t xml:space="preserve">). </w:t>
      </w:r>
      <w:r w:rsidR="00044500">
        <w:rPr>
          <w:rFonts w:eastAsia="Times New Roman" w:cs="Times New Roman"/>
          <w:color w:val="000000"/>
          <w:szCs w:val="24"/>
          <w:lang w:eastAsia="en-NZ"/>
        </w:rPr>
        <w:t xml:space="preserve"> </w:t>
      </w:r>
      <w:r w:rsidR="00044500" w:rsidRPr="00DE19AF">
        <w:rPr>
          <w:rFonts w:eastAsia="Times New Roman" w:cs="Times New Roman"/>
          <w:color w:val="000000"/>
          <w:szCs w:val="24"/>
          <w:lang w:eastAsia="en-NZ"/>
        </w:rPr>
        <w:t xml:space="preserve">Further, </w:t>
      </w:r>
      <w:r w:rsidR="00F63719">
        <w:rPr>
          <w:rFonts w:eastAsia="Times New Roman" w:cs="Times New Roman"/>
          <w:color w:val="000000"/>
          <w:szCs w:val="24"/>
          <w:lang w:eastAsia="en-NZ"/>
        </w:rPr>
        <w:t>they argue</w:t>
      </w:r>
      <w:r w:rsidR="00044500">
        <w:rPr>
          <w:rFonts w:eastAsia="Times New Roman" w:cs="Times New Roman"/>
          <w:color w:val="000000"/>
          <w:szCs w:val="24"/>
          <w:lang w:eastAsia="en-NZ"/>
        </w:rPr>
        <w:t xml:space="preserve"> that </w:t>
      </w:r>
      <w:r w:rsidR="00044500" w:rsidRPr="00DE19AF">
        <w:rPr>
          <w:rFonts w:eastAsia="Times New Roman" w:cs="Times New Roman"/>
          <w:color w:val="000000"/>
          <w:szCs w:val="24"/>
          <w:lang w:eastAsia="en-NZ"/>
        </w:rPr>
        <w:t xml:space="preserve">the impact of fewer job opportunities would be felt disproportionately by </w:t>
      </w:r>
      <w:r w:rsidR="00044500">
        <w:rPr>
          <w:rFonts w:eastAsia="Times New Roman" w:cs="Times New Roman"/>
          <w:color w:val="000000"/>
          <w:szCs w:val="24"/>
          <w:lang w:eastAsia="en-NZ"/>
        </w:rPr>
        <w:t>groups already</w:t>
      </w:r>
      <w:r w:rsidR="00044500" w:rsidRPr="00DE19AF">
        <w:rPr>
          <w:rFonts w:eastAsia="Times New Roman" w:cs="Times New Roman"/>
          <w:color w:val="000000"/>
          <w:szCs w:val="24"/>
          <w:lang w:eastAsia="en-NZ"/>
        </w:rPr>
        <w:t xml:space="preserve"> disadvantaged </w:t>
      </w:r>
      <w:r w:rsidR="00044500">
        <w:rPr>
          <w:rFonts w:eastAsia="Times New Roman" w:cs="Times New Roman"/>
          <w:color w:val="000000"/>
          <w:szCs w:val="24"/>
          <w:lang w:eastAsia="en-NZ"/>
        </w:rPr>
        <w:t>in the labour market, including young workers, women and ethnic minorities (</w:t>
      </w:r>
      <w:r w:rsidR="005513DC">
        <w:rPr>
          <w:rFonts w:eastAsia="Times New Roman" w:cs="Times New Roman"/>
          <w:color w:val="000000"/>
          <w:szCs w:val="24"/>
          <w:lang w:eastAsia="en-NZ"/>
        </w:rPr>
        <w:t>NZTU, 2013</w:t>
      </w:r>
      <w:r w:rsidR="00044500">
        <w:rPr>
          <w:rFonts w:eastAsia="Times New Roman" w:cs="Times New Roman"/>
          <w:color w:val="000000"/>
          <w:szCs w:val="24"/>
          <w:lang w:eastAsia="en-NZ"/>
        </w:rPr>
        <w:t>).</w:t>
      </w:r>
      <w:r w:rsidR="00153A94">
        <w:rPr>
          <w:rFonts w:eastAsia="Times New Roman" w:cs="Times New Roman"/>
          <w:color w:val="000000"/>
          <w:szCs w:val="24"/>
          <w:lang w:eastAsia="en-NZ"/>
        </w:rPr>
        <w:t xml:space="preserve"> </w:t>
      </w:r>
      <w:r w:rsidR="00044500">
        <w:rPr>
          <w:rFonts w:eastAsia="Times New Roman" w:cs="Times New Roman"/>
          <w:color w:val="000000"/>
          <w:szCs w:val="24"/>
          <w:lang w:eastAsia="en-NZ"/>
        </w:rPr>
        <w:t xml:space="preserve"> </w:t>
      </w:r>
      <w:r w:rsidR="00F63719">
        <w:rPr>
          <w:rFonts w:eastAsia="Times New Roman" w:cs="Times New Roman"/>
          <w:color w:val="000000"/>
          <w:szCs w:val="24"/>
          <w:lang w:eastAsia="en-NZ"/>
        </w:rPr>
        <w:t xml:space="preserve">A free </w:t>
      </w:r>
      <w:r w:rsidRPr="00DE19AF">
        <w:rPr>
          <w:rFonts w:cs="Times New Roman"/>
          <w:szCs w:val="24"/>
        </w:rPr>
        <w:t xml:space="preserve">labour market is said to work to the benefit of </w:t>
      </w:r>
      <w:r w:rsidR="00044500">
        <w:rPr>
          <w:rFonts w:cs="Times New Roman"/>
          <w:szCs w:val="24"/>
        </w:rPr>
        <w:t>all</w:t>
      </w:r>
      <w:r>
        <w:rPr>
          <w:rFonts w:cs="Times New Roman"/>
          <w:szCs w:val="24"/>
        </w:rPr>
        <w:t>, as the wage premium “</w:t>
      </w:r>
      <w:r w:rsidRPr="00DE19AF">
        <w:rPr>
          <w:rFonts w:cs="Times New Roman"/>
          <w:szCs w:val="24"/>
        </w:rPr>
        <w:t>for higher, more relevant skills</w:t>
      </w:r>
      <w:r>
        <w:rPr>
          <w:rFonts w:cs="Times New Roman"/>
          <w:szCs w:val="24"/>
        </w:rPr>
        <w:t>”</w:t>
      </w:r>
      <w:r w:rsidRPr="00DE19AF">
        <w:rPr>
          <w:rFonts w:cs="Times New Roman"/>
          <w:szCs w:val="24"/>
        </w:rPr>
        <w:t xml:space="preserve"> provides beneficial incentives towards upskilling and thus to innovation and productivity gains</w:t>
      </w:r>
      <w:r w:rsidR="00044500">
        <w:rPr>
          <w:rFonts w:cs="Times New Roman"/>
          <w:szCs w:val="24"/>
        </w:rPr>
        <w:t xml:space="preserve"> across the economy</w:t>
      </w:r>
      <w:r w:rsidRPr="00DE19AF">
        <w:rPr>
          <w:rFonts w:cs="Times New Roman"/>
          <w:szCs w:val="24"/>
        </w:rPr>
        <w:t xml:space="preserve"> (O’Reilly</w:t>
      </w:r>
      <w:r w:rsidR="00345510">
        <w:rPr>
          <w:rFonts w:cs="Times New Roman"/>
          <w:szCs w:val="24"/>
        </w:rPr>
        <w:t>, 2013</w:t>
      </w:r>
      <w:r w:rsidRPr="00DE19AF">
        <w:rPr>
          <w:rFonts w:cs="Times New Roman"/>
          <w:szCs w:val="24"/>
        </w:rPr>
        <w:t>).</w:t>
      </w:r>
      <w:r>
        <w:rPr>
          <w:rFonts w:eastAsia="Times New Roman" w:cs="Times New Roman"/>
          <w:color w:val="000000"/>
          <w:szCs w:val="24"/>
          <w:lang w:eastAsia="en-NZ"/>
        </w:rPr>
        <w:t xml:space="preserve"> </w:t>
      </w:r>
    </w:p>
    <w:p w14:paraId="779CF6A3" w14:textId="77777777" w:rsidR="00665CFA" w:rsidRPr="005C7F19" w:rsidRDefault="00665CFA" w:rsidP="00A22B9A">
      <w:pPr>
        <w:rPr>
          <w:rFonts w:eastAsia="Times New Roman" w:cs="Times New Roman"/>
          <w:color w:val="000000"/>
          <w:sz w:val="16"/>
          <w:szCs w:val="16"/>
          <w:lang w:eastAsia="en-NZ"/>
        </w:rPr>
      </w:pPr>
    </w:p>
    <w:p w14:paraId="28DA1D30" w14:textId="2794F4B7" w:rsidR="0009464B" w:rsidRDefault="00665CFA" w:rsidP="00515F88">
      <w:pPr>
        <w:rPr>
          <w:rFonts w:cs="Times New Roman"/>
        </w:rPr>
      </w:pPr>
      <w:r>
        <w:rPr>
          <w:rFonts w:eastAsia="Times New Roman" w:cs="Times New Roman"/>
          <w:color w:val="000000"/>
          <w:szCs w:val="24"/>
          <w:lang w:eastAsia="en-NZ"/>
        </w:rPr>
        <w:t>Business groups thus invert the causal chain posited by LWA</w:t>
      </w:r>
      <w:r w:rsidR="00044500">
        <w:rPr>
          <w:rFonts w:eastAsia="Times New Roman" w:cs="Times New Roman"/>
          <w:color w:val="000000"/>
          <w:szCs w:val="24"/>
          <w:lang w:eastAsia="en-NZ"/>
        </w:rPr>
        <w:t xml:space="preserve">. </w:t>
      </w:r>
      <w:r w:rsidR="00003D2D">
        <w:rPr>
          <w:rFonts w:eastAsia="Times New Roman" w:cs="Times New Roman"/>
          <w:color w:val="000000"/>
          <w:szCs w:val="24"/>
          <w:lang w:eastAsia="en-NZ"/>
        </w:rPr>
        <w:t xml:space="preserve"> </w:t>
      </w:r>
      <w:r w:rsidR="00044500">
        <w:rPr>
          <w:rFonts w:eastAsia="Times New Roman" w:cs="Times New Roman"/>
          <w:color w:val="000000"/>
          <w:szCs w:val="24"/>
          <w:lang w:eastAsia="en-NZ"/>
        </w:rPr>
        <w:t xml:space="preserve">They </w:t>
      </w:r>
      <w:r w:rsidR="00044500">
        <w:rPr>
          <w:rFonts w:cs="Times New Roman"/>
          <w:szCs w:val="24"/>
        </w:rPr>
        <w:t xml:space="preserve">claim that wage rates based on the constraints of </w:t>
      </w:r>
      <w:r w:rsidR="00044500" w:rsidRPr="0029758C">
        <w:rPr>
          <w:rFonts w:cs="Times New Roman"/>
          <w:i/>
          <w:szCs w:val="24"/>
        </w:rPr>
        <w:t>market</w:t>
      </w:r>
      <w:r w:rsidR="00044500">
        <w:rPr>
          <w:rFonts w:cs="Times New Roman"/>
          <w:szCs w:val="24"/>
        </w:rPr>
        <w:t xml:space="preserve"> competitiveness contribute to the</w:t>
      </w:r>
      <w:r w:rsidR="00044500" w:rsidRPr="0029758C">
        <w:rPr>
          <w:rFonts w:cs="Times New Roman"/>
          <w:i/>
          <w:szCs w:val="24"/>
        </w:rPr>
        <w:t xml:space="preserve"> civic</w:t>
      </w:r>
      <w:r w:rsidR="00044500">
        <w:rPr>
          <w:rFonts w:cs="Times New Roman"/>
          <w:szCs w:val="24"/>
        </w:rPr>
        <w:t xml:space="preserve"> goal of equality, and to the </w:t>
      </w:r>
      <w:r w:rsidR="00044500" w:rsidRPr="0029758C">
        <w:rPr>
          <w:rFonts w:cs="Times New Roman"/>
          <w:i/>
          <w:szCs w:val="24"/>
        </w:rPr>
        <w:t>industrial</w:t>
      </w:r>
      <w:r w:rsidR="00044500">
        <w:rPr>
          <w:rFonts w:cs="Times New Roman"/>
          <w:szCs w:val="24"/>
        </w:rPr>
        <w:t xml:space="preserve"> goal of long-term productive efficiency</w:t>
      </w:r>
      <w:r>
        <w:rPr>
          <w:rFonts w:eastAsia="Times New Roman" w:cs="Times New Roman"/>
          <w:color w:val="000000"/>
          <w:szCs w:val="24"/>
          <w:lang w:eastAsia="en-NZ"/>
        </w:rPr>
        <w:t xml:space="preserve">. </w:t>
      </w:r>
      <w:r w:rsidR="00003D2D">
        <w:rPr>
          <w:rFonts w:eastAsia="Times New Roman" w:cs="Times New Roman"/>
          <w:color w:val="000000"/>
          <w:szCs w:val="24"/>
          <w:lang w:eastAsia="en-NZ"/>
        </w:rPr>
        <w:t xml:space="preserve"> </w:t>
      </w:r>
      <w:r w:rsidR="00401908">
        <w:rPr>
          <w:rFonts w:eastAsia="Times New Roman" w:cs="Times New Roman"/>
          <w:color w:val="000000"/>
          <w:szCs w:val="24"/>
          <w:lang w:eastAsia="en-NZ"/>
        </w:rPr>
        <w:t>A short-</w:t>
      </w:r>
      <w:r>
        <w:rPr>
          <w:rFonts w:eastAsia="Times New Roman" w:cs="Times New Roman"/>
          <w:color w:val="000000"/>
          <w:szCs w:val="24"/>
          <w:lang w:eastAsia="en-NZ"/>
        </w:rPr>
        <w:t>term (</w:t>
      </w:r>
      <w:r w:rsidRPr="00CF4E2C">
        <w:rPr>
          <w:rFonts w:eastAsia="Times New Roman" w:cs="Times New Roman"/>
          <w:i/>
          <w:color w:val="000000"/>
          <w:szCs w:val="24"/>
          <w:lang w:eastAsia="en-NZ"/>
        </w:rPr>
        <w:t>market</w:t>
      </w:r>
      <w:r>
        <w:rPr>
          <w:rFonts w:eastAsia="Times New Roman" w:cs="Times New Roman"/>
          <w:color w:val="000000"/>
          <w:szCs w:val="24"/>
          <w:lang w:eastAsia="en-NZ"/>
        </w:rPr>
        <w:t xml:space="preserve">) focus on profit and competitiveness is </w:t>
      </w:r>
      <w:r w:rsidR="00044500">
        <w:rPr>
          <w:rFonts w:eastAsia="Times New Roman" w:cs="Times New Roman"/>
          <w:color w:val="000000"/>
          <w:szCs w:val="24"/>
          <w:lang w:eastAsia="en-NZ"/>
        </w:rPr>
        <w:t xml:space="preserve">thus </w:t>
      </w:r>
      <w:r w:rsidR="00401908">
        <w:rPr>
          <w:rFonts w:eastAsia="Times New Roman" w:cs="Times New Roman"/>
          <w:color w:val="000000"/>
          <w:szCs w:val="24"/>
          <w:lang w:eastAsia="en-NZ"/>
        </w:rPr>
        <w:t>presented as the best long-</w:t>
      </w:r>
      <w:r>
        <w:rPr>
          <w:rFonts w:eastAsia="Times New Roman" w:cs="Times New Roman"/>
          <w:color w:val="000000"/>
          <w:szCs w:val="24"/>
          <w:lang w:eastAsia="en-NZ"/>
        </w:rPr>
        <w:t>term (</w:t>
      </w:r>
      <w:r w:rsidRPr="00CF4E2C">
        <w:rPr>
          <w:rFonts w:eastAsia="Times New Roman" w:cs="Times New Roman"/>
          <w:i/>
          <w:color w:val="000000"/>
          <w:szCs w:val="24"/>
          <w:lang w:eastAsia="en-NZ"/>
        </w:rPr>
        <w:t>industrial</w:t>
      </w:r>
      <w:r>
        <w:rPr>
          <w:rFonts w:eastAsia="Times New Roman" w:cs="Times New Roman"/>
          <w:color w:val="000000"/>
          <w:szCs w:val="24"/>
          <w:lang w:eastAsia="en-NZ"/>
        </w:rPr>
        <w:t>) business strategy and, beyond that, as generating the best (</w:t>
      </w:r>
      <w:r w:rsidRPr="00CF4E2C">
        <w:rPr>
          <w:rFonts w:eastAsia="Times New Roman" w:cs="Times New Roman"/>
          <w:i/>
          <w:color w:val="000000"/>
          <w:szCs w:val="24"/>
          <w:lang w:eastAsia="en-NZ"/>
        </w:rPr>
        <w:t>civic</w:t>
      </w:r>
      <w:r>
        <w:rPr>
          <w:rFonts w:eastAsia="Times New Roman" w:cs="Times New Roman"/>
          <w:color w:val="000000"/>
          <w:szCs w:val="24"/>
          <w:lang w:eastAsia="en-NZ"/>
        </w:rPr>
        <w:t>) outcomes in terms of equal opportunities and outcomes</w:t>
      </w:r>
      <w:r w:rsidR="000A31A6">
        <w:rPr>
          <w:rFonts w:eastAsia="Times New Roman" w:cs="Times New Roman"/>
          <w:color w:val="000000"/>
          <w:szCs w:val="24"/>
          <w:lang w:eastAsia="en-NZ"/>
        </w:rPr>
        <w:t xml:space="preserve"> and</w:t>
      </w:r>
      <w:r w:rsidR="00153A94">
        <w:rPr>
          <w:rFonts w:eastAsia="Times New Roman" w:cs="Times New Roman"/>
          <w:color w:val="000000"/>
          <w:szCs w:val="24"/>
          <w:lang w:eastAsia="en-NZ"/>
        </w:rPr>
        <w:t xml:space="preserve"> also</w:t>
      </w:r>
      <w:r w:rsidR="000A31A6">
        <w:rPr>
          <w:rFonts w:eastAsia="Times New Roman" w:cs="Times New Roman"/>
          <w:color w:val="000000"/>
          <w:szCs w:val="24"/>
          <w:lang w:eastAsia="en-NZ"/>
        </w:rPr>
        <w:t xml:space="preserve">, by respecting workers’ </w:t>
      </w:r>
      <w:r w:rsidR="00153A94">
        <w:rPr>
          <w:rFonts w:eastAsia="Times New Roman" w:cs="Times New Roman"/>
          <w:color w:val="000000"/>
          <w:szCs w:val="24"/>
          <w:lang w:eastAsia="en-NZ"/>
        </w:rPr>
        <w:t xml:space="preserve">own efforts in </w:t>
      </w:r>
      <w:r w:rsidR="000A31A6">
        <w:rPr>
          <w:rFonts w:eastAsia="Times New Roman" w:cs="Times New Roman"/>
          <w:color w:val="000000"/>
          <w:szCs w:val="24"/>
          <w:lang w:eastAsia="en-NZ"/>
        </w:rPr>
        <w:t>self-investment, as respecting their (</w:t>
      </w:r>
      <w:r w:rsidR="000A31A6" w:rsidRPr="0009464B">
        <w:rPr>
          <w:rFonts w:eastAsia="Times New Roman" w:cs="Times New Roman"/>
          <w:i/>
          <w:color w:val="000000"/>
          <w:szCs w:val="24"/>
          <w:lang w:eastAsia="en-NZ"/>
        </w:rPr>
        <w:t>domestic</w:t>
      </w:r>
      <w:r w:rsidR="000A31A6">
        <w:rPr>
          <w:rFonts w:eastAsia="Times New Roman" w:cs="Times New Roman"/>
          <w:color w:val="000000"/>
          <w:szCs w:val="24"/>
          <w:lang w:eastAsia="en-NZ"/>
        </w:rPr>
        <w:t xml:space="preserve"> and </w:t>
      </w:r>
      <w:r w:rsidR="000A31A6" w:rsidRPr="0009464B">
        <w:rPr>
          <w:rFonts w:eastAsia="Times New Roman" w:cs="Times New Roman"/>
          <w:i/>
          <w:color w:val="000000"/>
          <w:szCs w:val="24"/>
          <w:lang w:eastAsia="en-NZ"/>
        </w:rPr>
        <w:t>inspired</w:t>
      </w:r>
      <w:r w:rsidR="000A31A6">
        <w:rPr>
          <w:rFonts w:eastAsia="Times New Roman" w:cs="Times New Roman"/>
          <w:color w:val="000000"/>
          <w:szCs w:val="24"/>
          <w:lang w:eastAsia="en-NZ"/>
        </w:rPr>
        <w:t>) human dignity</w:t>
      </w:r>
      <w:r w:rsidR="00515F88">
        <w:rPr>
          <w:rFonts w:eastAsia="Times New Roman" w:cs="Times New Roman"/>
          <w:color w:val="000000"/>
          <w:szCs w:val="24"/>
          <w:lang w:eastAsia="en-NZ"/>
        </w:rPr>
        <w:t xml:space="preserve">.  There is, in sum, </w:t>
      </w:r>
      <w:r w:rsidR="00AE02A0">
        <w:rPr>
          <w:rFonts w:eastAsia="Times New Roman" w:cs="Times New Roman"/>
          <w:color w:val="000000"/>
          <w:szCs w:val="24"/>
          <w:lang w:eastAsia="en-NZ"/>
        </w:rPr>
        <w:t xml:space="preserve">no reason for </w:t>
      </w:r>
      <w:r w:rsidR="00AE02A0">
        <w:rPr>
          <w:rFonts w:eastAsia="Times New Roman" w:cs="Times New Roman"/>
          <w:color w:val="000000"/>
          <w:lang w:eastAsia="en-NZ"/>
        </w:rPr>
        <w:t>firms</w:t>
      </w:r>
      <w:r w:rsidR="00AE02A0">
        <w:rPr>
          <w:rFonts w:cs="Times New Roman"/>
          <w:szCs w:val="24"/>
        </w:rPr>
        <w:t xml:space="preserve"> to account </w:t>
      </w:r>
      <w:r w:rsidR="00EA5667">
        <w:rPr>
          <w:rFonts w:cs="Times New Roman"/>
          <w:szCs w:val="24"/>
        </w:rPr>
        <w:t xml:space="preserve">specifically </w:t>
      </w:r>
      <w:r w:rsidR="00AE02A0">
        <w:rPr>
          <w:rFonts w:cs="Times New Roman"/>
          <w:szCs w:val="24"/>
        </w:rPr>
        <w:t>for</w:t>
      </w:r>
      <w:r w:rsidR="00AE02A0" w:rsidRPr="00DE19AF">
        <w:rPr>
          <w:rFonts w:cs="Times New Roman"/>
          <w:szCs w:val="24"/>
        </w:rPr>
        <w:t xml:space="preserve"> </w:t>
      </w:r>
      <w:r w:rsidR="00AE02A0">
        <w:rPr>
          <w:rFonts w:cs="Times New Roman"/>
        </w:rPr>
        <w:t>low wages</w:t>
      </w:r>
      <w:r w:rsidR="005139D0">
        <w:rPr>
          <w:rFonts w:cs="Times New Roman"/>
        </w:rPr>
        <w:t xml:space="preserve">, since </w:t>
      </w:r>
      <w:r w:rsidR="00AE02A0">
        <w:rPr>
          <w:rFonts w:cs="Times New Roman"/>
          <w:szCs w:val="24"/>
        </w:rPr>
        <w:t xml:space="preserve">(1) </w:t>
      </w:r>
      <w:r w:rsidR="00AE02A0">
        <w:rPr>
          <w:rFonts w:cs="Times New Roman"/>
        </w:rPr>
        <w:t>wage decisions</w:t>
      </w:r>
      <w:r w:rsidR="00AE02A0" w:rsidRPr="00DE19AF">
        <w:rPr>
          <w:rFonts w:cs="Times New Roman"/>
          <w:szCs w:val="24"/>
        </w:rPr>
        <w:t xml:space="preserve"> are </w:t>
      </w:r>
      <w:r w:rsidR="00AE02A0">
        <w:rPr>
          <w:rFonts w:cs="Times New Roman"/>
          <w:szCs w:val="24"/>
        </w:rPr>
        <w:t xml:space="preserve">more-or-less imposed on </w:t>
      </w:r>
      <w:r w:rsidR="005139D0">
        <w:rPr>
          <w:rFonts w:cs="Times New Roman"/>
          <w:szCs w:val="24"/>
        </w:rPr>
        <w:t>firms</w:t>
      </w:r>
      <w:r w:rsidR="005139D0" w:rsidRPr="00DE19AF">
        <w:rPr>
          <w:rFonts w:cs="Times New Roman"/>
          <w:szCs w:val="24"/>
        </w:rPr>
        <w:t xml:space="preserve"> </w:t>
      </w:r>
      <w:r w:rsidR="00AE02A0" w:rsidRPr="00DE19AF">
        <w:rPr>
          <w:rFonts w:cs="Times New Roman"/>
          <w:szCs w:val="24"/>
        </w:rPr>
        <w:t xml:space="preserve">by </w:t>
      </w:r>
      <w:r w:rsidR="00AE02A0">
        <w:rPr>
          <w:rFonts w:cs="Times New Roman"/>
        </w:rPr>
        <w:t xml:space="preserve">market constraints, and (2) paying low-wages in the pursuit of firm competitiveness is actually in the best interests of </w:t>
      </w:r>
      <w:r w:rsidR="005139D0">
        <w:rPr>
          <w:rFonts w:cs="Times New Roman"/>
        </w:rPr>
        <w:t>workers (even and especially low-paid workers) and society overall</w:t>
      </w:r>
      <w:r w:rsidR="00AE02A0">
        <w:rPr>
          <w:rFonts w:cs="Times New Roman"/>
        </w:rPr>
        <w:t>.</w:t>
      </w:r>
      <w:r w:rsidR="00FA56CA">
        <w:rPr>
          <w:rFonts w:cs="Times New Roman"/>
        </w:rPr>
        <w:t xml:space="preserve"> </w:t>
      </w:r>
      <w:r w:rsidR="006634A0">
        <w:rPr>
          <w:rFonts w:cs="Times New Roman"/>
        </w:rPr>
        <w:t xml:space="preserve"> </w:t>
      </w:r>
    </w:p>
    <w:p w14:paraId="29E21E0B" w14:textId="6EBDEA28" w:rsidR="00C2237F" w:rsidRDefault="00C2237F">
      <w:pPr>
        <w:spacing w:after="160" w:line="259" w:lineRule="auto"/>
        <w:rPr>
          <w:rFonts w:eastAsiaTheme="majorEastAsia" w:cs="Times New Roman"/>
          <w:b/>
          <w:color w:val="000000" w:themeColor="text1"/>
          <w:szCs w:val="32"/>
        </w:rPr>
      </w:pPr>
    </w:p>
    <w:p w14:paraId="419C25B0" w14:textId="18F92A8D" w:rsidR="00665CFA" w:rsidRPr="00AC5445" w:rsidRDefault="00665CFA" w:rsidP="0009464B">
      <w:pPr>
        <w:spacing w:after="160" w:line="259" w:lineRule="auto"/>
        <w:rPr>
          <w:rFonts w:eastAsiaTheme="majorEastAsia" w:cs="Times New Roman"/>
          <w:b/>
          <w:color w:val="000000" w:themeColor="text1"/>
          <w:szCs w:val="32"/>
        </w:rPr>
      </w:pPr>
      <w:r w:rsidRPr="00AC5445">
        <w:rPr>
          <w:rFonts w:eastAsiaTheme="majorEastAsia" w:cs="Times New Roman"/>
          <w:b/>
          <w:color w:val="000000" w:themeColor="text1"/>
          <w:szCs w:val="32"/>
        </w:rPr>
        <w:t>Discussion</w:t>
      </w:r>
    </w:p>
    <w:p w14:paraId="24521F94" w14:textId="3B944C90" w:rsidR="00826C10" w:rsidRDefault="003A2E33" w:rsidP="008F53CF">
      <w:pPr>
        <w:rPr>
          <w:rFonts w:cs="Times New Roman"/>
        </w:rPr>
      </w:pPr>
      <w:r>
        <w:rPr>
          <w:lang w:val="en-AU"/>
        </w:rPr>
        <w:t>Our analysis ha</w:t>
      </w:r>
      <w:r w:rsidR="003A03CD">
        <w:rPr>
          <w:lang w:val="en-AU"/>
        </w:rPr>
        <w:t>s</w:t>
      </w:r>
      <w:r>
        <w:rPr>
          <w:lang w:val="en-AU"/>
        </w:rPr>
        <w:t xml:space="preserve"> shown how actors on either side of the living wage dispute have constructed their critiques and justifications of existing low wage practices</w:t>
      </w:r>
      <w:r w:rsidRPr="00226A63">
        <w:rPr>
          <w:lang w:val="en-AU"/>
        </w:rPr>
        <w:t xml:space="preserve">. </w:t>
      </w:r>
      <w:r w:rsidR="00051FF4">
        <w:rPr>
          <w:lang w:val="en-AU"/>
        </w:rPr>
        <w:t xml:space="preserve"> </w:t>
      </w:r>
      <w:r w:rsidR="00AA5253">
        <w:rPr>
          <w:lang w:val="en-AU"/>
        </w:rPr>
        <w:t>Here</w:t>
      </w:r>
      <w:r w:rsidR="00046EF6">
        <w:rPr>
          <w:lang w:val="en-AU"/>
        </w:rPr>
        <w:t>,</w:t>
      </w:r>
      <w:r w:rsidRPr="0009464B">
        <w:rPr>
          <w:lang w:val="en-AU"/>
        </w:rPr>
        <w:t xml:space="preserve"> we draw on pragmatic sociology’s conceptual too</w:t>
      </w:r>
      <w:r w:rsidR="00AA5253">
        <w:rPr>
          <w:lang w:val="en-AU"/>
        </w:rPr>
        <w:t>l</w:t>
      </w:r>
      <w:r w:rsidRPr="0009464B">
        <w:rPr>
          <w:lang w:val="en-AU"/>
        </w:rPr>
        <w:t xml:space="preserve">-kit </w:t>
      </w:r>
      <w:r w:rsidR="00A71F20">
        <w:rPr>
          <w:lang w:val="en-AU"/>
        </w:rPr>
        <w:t xml:space="preserve">once again </w:t>
      </w:r>
      <w:r w:rsidRPr="0009464B">
        <w:rPr>
          <w:lang w:val="en-AU"/>
        </w:rPr>
        <w:t>to show how these critiques and justifications are made not just through words and ideas, but how they also incorporate the objects, beings and forms of proofs deemed qualified by the different orders.</w:t>
      </w:r>
      <w:r w:rsidR="00A71F20">
        <w:rPr>
          <w:lang w:val="en-AU"/>
        </w:rPr>
        <w:t xml:space="preserve"> </w:t>
      </w:r>
      <w:r>
        <w:rPr>
          <w:lang w:val="en-AU"/>
        </w:rPr>
        <w:t xml:space="preserve"> </w:t>
      </w:r>
      <w:r w:rsidR="00AA5253">
        <w:rPr>
          <w:lang w:val="en-AU"/>
        </w:rPr>
        <w:t>W</w:t>
      </w:r>
      <w:r w:rsidR="00F7372F">
        <w:rPr>
          <w:lang w:val="en-AU"/>
        </w:rPr>
        <w:t xml:space="preserve">e bring together Boltanski and </w:t>
      </w:r>
      <w:r w:rsidR="00F7372F">
        <w:rPr>
          <w:lang w:val="en-AU"/>
        </w:rPr>
        <w:lastRenderedPageBreak/>
        <w:t>Thévenot’s theoretical framework</w:t>
      </w:r>
      <w:r w:rsidR="004846C9">
        <w:rPr>
          <w:lang w:val="en-AU"/>
        </w:rPr>
        <w:t xml:space="preserve">, </w:t>
      </w:r>
      <w:r w:rsidR="00F7372F">
        <w:rPr>
          <w:lang w:val="en-AU"/>
        </w:rPr>
        <w:t>our findings</w:t>
      </w:r>
      <w:r w:rsidR="00EA67B1">
        <w:rPr>
          <w:lang w:val="en-AU"/>
        </w:rPr>
        <w:t xml:space="preserve"> above</w:t>
      </w:r>
      <w:r w:rsidR="00A72CA1">
        <w:rPr>
          <w:lang w:val="en-AU"/>
        </w:rPr>
        <w:t>,</w:t>
      </w:r>
      <w:r w:rsidR="004846C9">
        <w:rPr>
          <w:lang w:val="en-AU"/>
        </w:rPr>
        <w:t xml:space="preserve"> and a consideration of current accounting discourses and practices </w:t>
      </w:r>
      <w:r w:rsidR="00F7372F">
        <w:rPr>
          <w:lang w:val="en-AU"/>
        </w:rPr>
        <w:t xml:space="preserve">to address our </w:t>
      </w:r>
      <w:r w:rsidR="00A71F20">
        <w:rPr>
          <w:lang w:val="en-AU"/>
        </w:rPr>
        <w:t>R</w:t>
      </w:r>
      <w:r w:rsidR="00F7372F">
        <w:rPr>
          <w:lang w:val="en-AU"/>
        </w:rPr>
        <w:t xml:space="preserve">esearch </w:t>
      </w:r>
      <w:r w:rsidR="00A71F20">
        <w:rPr>
          <w:lang w:val="en-AU"/>
        </w:rPr>
        <w:t>Q</w:t>
      </w:r>
      <w:r w:rsidR="00F7372F">
        <w:rPr>
          <w:lang w:val="en-AU"/>
        </w:rPr>
        <w:t xml:space="preserve">uestions 2 and 3. </w:t>
      </w:r>
      <w:r w:rsidR="00A71F20">
        <w:rPr>
          <w:lang w:val="en-AU"/>
        </w:rPr>
        <w:t xml:space="preserve"> </w:t>
      </w:r>
      <w:r w:rsidR="00F7372F">
        <w:rPr>
          <w:lang w:val="en-AU"/>
        </w:rPr>
        <w:t>We explore (RQ2)</w:t>
      </w:r>
      <w:r w:rsidR="00F7372F" w:rsidRPr="0009464B">
        <w:rPr>
          <w:rFonts w:cs="Times New Roman"/>
          <w:i/>
        </w:rPr>
        <w:t xml:space="preserve"> how (currently dominant) accounting norms, practices and artefacts are implicated in normalising and supporting justifications of existing levels of income inequality</w:t>
      </w:r>
      <w:r w:rsidR="00F7372F">
        <w:rPr>
          <w:lang w:val="en-AU"/>
        </w:rPr>
        <w:t>, and (RQ</w:t>
      </w:r>
      <w:r w:rsidR="005C1C2C">
        <w:rPr>
          <w:lang w:val="en-AU"/>
        </w:rPr>
        <w:t>3</w:t>
      </w:r>
      <w:r w:rsidR="00F7372F">
        <w:rPr>
          <w:lang w:val="en-AU"/>
        </w:rPr>
        <w:t xml:space="preserve">) </w:t>
      </w:r>
      <w:r w:rsidR="00F7372F" w:rsidRPr="0009464B">
        <w:rPr>
          <w:rFonts w:cs="Times New Roman"/>
          <w:i/>
        </w:rPr>
        <w:t>how understanding the critiques of low-wage practices can help us to imagine and construct new forms of accounting that could support the more equitable distribution of income and wealth</w:t>
      </w:r>
      <w:r w:rsidR="00826C10">
        <w:rPr>
          <w:rFonts w:cs="Times New Roman"/>
          <w:szCs w:val="24"/>
        </w:rPr>
        <w:t>.</w:t>
      </w:r>
      <w:r w:rsidR="002F333F">
        <w:rPr>
          <w:rStyle w:val="EndnoteReference"/>
          <w:rFonts w:cs="Times New Roman"/>
          <w:szCs w:val="24"/>
        </w:rPr>
        <w:endnoteReference w:id="7"/>
      </w:r>
      <w:r w:rsidR="00826C10">
        <w:rPr>
          <w:rFonts w:cs="Times New Roman"/>
          <w:szCs w:val="24"/>
        </w:rPr>
        <w:t xml:space="preserve">  </w:t>
      </w:r>
    </w:p>
    <w:p w14:paraId="7B467A83" w14:textId="77777777" w:rsidR="00826C10" w:rsidRDefault="00826C10" w:rsidP="008F53CF">
      <w:pPr>
        <w:rPr>
          <w:lang w:val="en-AU"/>
        </w:rPr>
      </w:pPr>
    </w:p>
    <w:p w14:paraId="4D279A11" w14:textId="434A104C" w:rsidR="003A2E33" w:rsidRDefault="003A2E33" w:rsidP="000370FA">
      <w:r w:rsidRPr="000C0511">
        <w:rPr>
          <w:lang w:val="en-AU"/>
        </w:rPr>
        <w:t>Before turning to this task, however, we briefly consider the crucial role of power</w:t>
      </w:r>
      <w:r w:rsidRPr="00B87950">
        <w:rPr>
          <w:lang w:val="en-AU"/>
        </w:rPr>
        <w:t xml:space="preserve"> in this dispute, to better understand the context in which the </w:t>
      </w:r>
      <w:r w:rsidRPr="00512B56">
        <w:rPr>
          <w:lang w:val="en-AU"/>
        </w:rPr>
        <w:t>competing parties are operating.</w:t>
      </w:r>
      <w:r w:rsidR="00826C10">
        <w:rPr>
          <w:lang w:val="en-AU"/>
        </w:rPr>
        <w:t xml:space="preserve">  </w:t>
      </w:r>
      <w:r w:rsidR="00A71F20">
        <w:rPr>
          <w:lang w:val="en-AU"/>
        </w:rPr>
        <w:t>As noted above, p</w:t>
      </w:r>
      <w:r w:rsidRPr="00512B56">
        <w:rPr>
          <w:lang w:val="en-AU"/>
        </w:rPr>
        <w:t xml:space="preserve">ragmatic sociology has been criticised for its weak theorisation of power (Wagner, 1999). </w:t>
      </w:r>
      <w:r w:rsidR="00613691">
        <w:rPr>
          <w:lang w:val="en-AU"/>
        </w:rPr>
        <w:t xml:space="preserve"> </w:t>
      </w:r>
      <w:r w:rsidRPr="00512B56">
        <w:rPr>
          <w:lang w:val="en-AU"/>
        </w:rPr>
        <w:t xml:space="preserve">By design, </w:t>
      </w:r>
      <w:r w:rsidR="00F7372F">
        <w:rPr>
          <w:lang w:val="en-AU"/>
        </w:rPr>
        <w:t>it refuses to</w:t>
      </w:r>
      <w:r w:rsidRPr="00512B56">
        <w:rPr>
          <w:lang w:val="en-AU"/>
        </w:rPr>
        <w:t xml:space="preserve"> explain disputes in terms of “force … dece</w:t>
      </w:r>
      <w:r w:rsidRPr="00EE13F1">
        <w:rPr>
          <w:lang w:val="en-AU"/>
        </w:rPr>
        <w:t xml:space="preserve">ption and delusion” (Boltanski </w:t>
      </w:r>
      <w:r w:rsidR="00C32725">
        <w:rPr>
          <w:lang w:val="en-AU"/>
        </w:rPr>
        <w:t>&amp;</w:t>
      </w:r>
      <w:r w:rsidRPr="00EE13F1">
        <w:rPr>
          <w:lang w:val="en-AU"/>
        </w:rPr>
        <w:t xml:space="preserve"> </w:t>
      </w:r>
      <w:r w:rsidR="0098103E" w:rsidRPr="00EE13F1">
        <w:rPr>
          <w:lang w:val="en-AU"/>
        </w:rPr>
        <w:t>Thévenot</w:t>
      </w:r>
      <w:r w:rsidRPr="00EE13F1">
        <w:rPr>
          <w:lang w:val="en-AU"/>
        </w:rPr>
        <w:t>, 1999, p. 364)</w:t>
      </w:r>
      <w:r w:rsidR="003F1CE5">
        <w:rPr>
          <w:lang w:val="en-AU"/>
        </w:rPr>
        <w:t>.</w:t>
      </w:r>
      <w:r w:rsidR="00512B56">
        <w:rPr>
          <w:rStyle w:val="EndnoteReference"/>
          <w:lang w:val="en-AU"/>
        </w:rPr>
        <w:endnoteReference w:id="8"/>
      </w:r>
      <w:r w:rsidR="003F1CE5">
        <w:rPr>
          <w:lang w:val="en-AU"/>
        </w:rPr>
        <w:t xml:space="preserve">  </w:t>
      </w:r>
      <w:r w:rsidR="00FF6F12">
        <w:rPr>
          <w:lang w:val="en-AU"/>
        </w:rPr>
        <w:t xml:space="preserve">However, </w:t>
      </w:r>
      <w:r w:rsidR="00A71F20">
        <w:rPr>
          <w:lang w:val="en-AU"/>
        </w:rPr>
        <w:t xml:space="preserve">we recognise that </w:t>
      </w:r>
      <w:r w:rsidR="0098103E">
        <w:rPr>
          <w:lang w:val="en-AU"/>
        </w:rPr>
        <w:t>t</w:t>
      </w:r>
      <w:r>
        <w:rPr>
          <w:lang w:val="en-AU"/>
        </w:rPr>
        <w:t>he</w:t>
      </w:r>
      <w:r w:rsidRPr="00BD1E5E">
        <w:rPr>
          <w:lang w:val="en-AU"/>
        </w:rPr>
        <w:t xml:space="preserve"> </w:t>
      </w:r>
      <w:r w:rsidR="0098103E">
        <w:rPr>
          <w:lang w:val="en-AU"/>
        </w:rPr>
        <w:t xml:space="preserve">living wage </w:t>
      </w:r>
      <w:r>
        <w:rPr>
          <w:lang w:val="en-AU"/>
        </w:rPr>
        <w:t xml:space="preserve">dispute </w:t>
      </w:r>
      <w:r w:rsidRPr="00BD1E5E">
        <w:rPr>
          <w:lang w:val="en-AU"/>
        </w:rPr>
        <w:t>d</w:t>
      </w:r>
      <w:r>
        <w:rPr>
          <w:lang w:val="en-AU"/>
        </w:rPr>
        <w:t>oes</w:t>
      </w:r>
      <w:r w:rsidRPr="00BD1E5E">
        <w:rPr>
          <w:lang w:val="en-AU"/>
        </w:rPr>
        <w:t xml:space="preserve"> not take place on a level discursive playing field. </w:t>
      </w:r>
      <w:r w:rsidR="00D10B2E">
        <w:rPr>
          <w:lang w:val="en-AU"/>
        </w:rPr>
        <w:t xml:space="preserve"> </w:t>
      </w:r>
      <w:r w:rsidR="00F7372F">
        <w:rPr>
          <w:lang w:val="en-AU"/>
        </w:rPr>
        <w:t>B</w:t>
      </w:r>
      <w:r w:rsidRPr="00BD1E5E">
        <w:rPr>
          <w:lang w:val="en-AU"/>
        </w:rPr>
        <w:t>usiness</w:t>
      </w:r>
      <w:r>
        <w:rPr>
          <w:lang w:val="en-AU"/>
        </w:rPr>
        <w:t xml:space="preserve"> </w:t>
      </w:r>
      <w:r w:rsidR="00646F6B">
        <w:rPr>
          <w:lang w:val="en-AU"/>
        </w:rPr>
        <w:t>organisations’</w:t>
      </w:r>
      <w:r>
        <w:rPr>
          <w:lang w:val="en-AU"/>
        </w:rPr>
        <w:t xml:space="preserve"> defence of</w:t>
      </w:r>
      <w:r w:rsidRPr="00BD1E5E">
        <w:rPr>
          <w:lang w:val="en-AU"/>
        </w:rPr>
        <w:t xml:space="preserve"> the </w:t>
      </w:r>
      <w:r w:rsidRPr="00B87950">
        <w:rPr>
          <w:i/>
          <w:lang w:val="en-AU"/>
        </w:rPr>
        <w:t>market</w:t>
      </w:r>
      <w:r w:rsidRPr="00BD1E5E">
        <w:rPr>
          <w:lang w:val="en-AU"/>
        </w:rPr>
        <w:t xml:space="preserve"> order of worth </w:t>
      </w:r>
      <w:r>
        <w:rPr>
          <w:lang w:val="en-AU"/>
        </w:rPr>
        <w:t>is supported by</w:t>
      </w:r>
      <w:r w:rsidRPr="00BD1E5E">
        <w:rPr>
          <w:lang w:val="en-AU"/>
        </w:rPr>
        <w:t xml:space="preserve"> a much broader cultural consensus on key neoliberal norms, including individual responsibility and competitiveness (Dardot</w:t>
      </w:r>
      <w:r w:rsidR="00613691">
        <w:rPr>
          <w:lang w:val="en-AU"/>
        </w:rPr>
        <w:t xml:space="preserve"> &amp;</w:t>
      </w:r>
      <w:r w:rsidR="00646F6B">
        <w:rPr>
          <w:lang w:val="en-AU"/>
        </w:rPr>
        <w:t xml:space="preserve"> Laval, 2014; Brown, 2015). </w:t>
      </w:r>
      <w:r w:rsidR="00EA67B1">
        <w:rPr>
          <w:lang w:val="en-AU"/>
        </w:rPr>
        <w:t>R</w:t>
      </w:r>
      <w:r w:rsidR="0098103E">
        <w:rPr>
          <w:lang w:val="en-AU"/>
        </w:rPr>
        <w:t xml:space="preserve">esearch has demonstrated that while the public is uncomfortable with existing levels of inequality, they remain unconvinced that anything can be done, given </w:t>
      </w:r>
      <w:r w:rsidR="00646F6B">
        <w:rPr>
          <w:lang w:val="en-AU"/>
        </w:rPr>
        <w:t>an acceptance of</w:t>
      </w:r>
      <w:r w:rsidR="0098103E">
        <w:rPr>
          <w:lang w:val="en-AU"/>
        </w:rPr>
        <w:t xml:space="preserve"> </w:t>
      </w:r>
      <w:r w:rsidR="003F55E1">
        <w:rPr>
          <w:lang w:val="en-AU"/>
        </w:rPr>
        <w:t>“</w:t>
      </w:r>
      <w:r w:rsidR="0098103E">
        <w:rPr>
          <w:lang w:val="en-AU"/>
        </w:rPr>
        <w:t>the market</w:t>
      </w:r>
      <w:r w:rsidR="003F55E1">
        <w:rPr>
          <w:lang w:val="en-AU"/>
        </w:rPr>
        <w:t>”</w:t>
      </w:r>
      <w:r w:rsidR="00646F6B">
        <w:rPr>
          <w:lang w:val="en-AU"/>
        </w:rPr>
        <w:t xml:space="preserve"> as natural and immutable (</w:t>
      </w:r>
      <w:r w:rsidR="00646F6B" w:rsidRPr="007E3B83">
        <w:rPr>
          <w:lang w:val="en-AU"/>
        </w:rPr>
        <w:t>Humpa</w:t>
      </w:r>
      <w:r w:rsidR="0098103E" w:rsidRPr="007E3B83">
        <w:rPr>
          <w:lang w:val="en-AU"/>
        </w:rPr>
        <w:t xml:space="preserve">ge, </w:t>
      </w:r>
      <w:r w:rsidR="0098103E" w:rsidRPr="00644740">
        <w:rPr>
          <w:lang w:val="en-AU"/>
        </w:rPr>
        <w:t>201</w:t>
      </w:r>
      <w:r w:rsidR="007E3B83" w:rsidRPr="00644740">
        <w:rPr>
          <w:lang w:val="en-AU"/>
        </w:rPr>
        <w:t>4</w:t>
      </w:r>
      <w:r w:rsidR="00644740">
        <w:rPr>
          <w:lang w:val="en-AU"/>
        </w:rPr>
        <w:t xml:space="preserve">; </w:t>
      </w:r>
      <w:r w:rsidR="0098103E">
        <w:rPr>
          <w:lang w:val="en-AU"/>
        </w:rPr>
        <w:t>Skilling, 201</w:t>
      </w:r>
      <w:r w:rsidR="007E3B83">
        <w:rPr>
          <w:lang w:val="en-AU"/>
        </w:rPr>
        <w:t>4</w:t>
      </w:r>
      <w:r w:rsidR="0098103E" w:rsidRPr="007E3B83">
        <w:rPr>
          <w:lang w:val="en-AU"/>
        </w:rPr>
        <w:t xml:space="preserve">; </w:t>
      </w:r>
      <w:r w:rsidR="0098103E" w:rsidRPr="00644740">
        <w:rPr>
          <w:lang w:val="en-AU"/>
        </w:rPr>
        <w:t>Bamfield &amp; Horton, 2009</w:t>
      </w:r>
      <w:r w:rsidR="00D10B2E">
        <w:rPr>
          <w:lang w:val="en-AU"/>
        </w:rPr>
        <w:t>)</w:t>
      </w:r>
      <w:r w:rsidR="0098103E">
        <w:rPr>
          <w:lang w:val="en-AU"/>
        </w:rPr>
        <w:t xml:space="preserve">. </w:t>
      </w:r>
      <w:r w:rsidR="003F1CE5">
        <w:rPr>
          <w:lang w:val="en-AU"/>
        </w:rPr>
        <w:t xml:space="preserve"> </w:t>
      </w:r>
      <w:r w:rsidRPr="00BD1E5E">
        <w:rPr>
          <w:lang w:val="en-AU"/>
        </w:rPr>
        <w:t>A</w:t>
      </w:r>
      <w:r w:rsidRPr="00BD1E5E">
        <w:rPr>
          <w:rFonts w:eastAsiaTheme="majorEastAsia" w:cs="Times New Roman"/>
          <w:color w:val="000000" w:themeColor="text1"/>
          <w:szCs w:val="32"/>
        </w:rPr>
        <w:t xml:space="preserve"> context where a certain order of worth has been </w:t>
      </w:r>
      <w:r w:rsidRPr="00BD1E5E">
        <w:rPr>
          <w:rFonts w:cs="Times New Roman"/>
        </w:rPr>
        <w:t xml:space="preserve">comprehensively naturalised </w:t>
      </w:r>
      <w:r w:rsidRPr="00BD1E5E">
        <w:rPr>
          <w:rFonts w:eastAsiaTheme="majorEastAsia" w:cs="Times New Roman"/>
          <w:color w:val="000000" w:themeColor="text1"/>
          <w:szCs w:val="32"/>
        </w:rPr>
        <w:t>and institutionali</w:t>
      </w:r>
      <w:r w:rsidR="00646F6B">
        <w:rPr>
          <w:rFonts w:eastAsiaTheme="majorEastAsia" w:cs="Times New Roman"/>
          <w:color w:val="000000" w:themeColor="text1"/>
          <w:szCs w:val="32"/>
        </w:rPr>
        <w:t>s</w:t>
      </w:r>
      <w:r w:rsidRPr="00BD1E5E">
        <w:rPr>
          <w:rFonts w:eastAsiaTheme="majorEastAsia" w:cs="Times New Roman"/>
          <w:color w:val="000000" w:themeColor="text1"/>
          <w:szCs w:val="32"/>
        </w:rPr>
        <w:t>ed allows arguments aligned with that dominant order “to escape the requirements of justifying their actions” (Bénatouïl, 1999, p. 390)</w:t>
      </w:r>
      <w:r w:rsidR="005C1C2C">
        <w:rPr>
          <w:rFonts w:eastAsiaTheme="majorEastAsia" w:cs="Times New Roman"/>
          <w:color w:val="000000" w:themeColor="text1"/>
          <w:szCs w:val="32"/>
        </w:rPr>
        <w:t xml:space="preserve"> and gives them </w:t>
      </w:r>
      <w:r>
        <w:t xml:space="preserve">certain advantages over </w:t>
      </w:r>
      <w:r w:rsidR="005C1C2C">
        <w:t>critiques of the status quo</w:t>
      </w:r>
      <w:r>
        <w:t>.</w:t>
      </w:r>
    </w:p>
    <w:p w14:paraId="034E50AD" w14:textId="77777777" w:rsidR="003A2E33" w:rsidRDefault="003A2E33" w:rsidP="003A2E33"/>
    <w:p w14:paraId="03DB80DC" w14:textId="22166DF6" w:rsidR="00FE5CCC" w:rsidRDefault="00A32051" w:rsidP="008F53CF">
      <w:pPr>
        <w:rPr>
          <w:rFonts w:cs="Times New Roman"/>
          <w:szCs w:val="24"/>
        </w:rPr>
      </w:pPr>
      <w:r>
        <w:rPr>
          <w:lang w:val="en-AU"/>
        </w:rPr>
        <w:t>Within this unequal context,</w:t>
      </w:r>
      <w:r w:rsidR="003A2E33">
        <w:rPr>
          <w:lang w:val="en-AU"/>
        </w:rPr>
        <w:t xml:space="preserve"> </w:t>
      </w:r>
      <w:r w:rsidR="005C1C2C">
        <w:rPr>
          <w:rFonts w:eastAsiaTheme="majorEastAsia" w:cs="Times New Roman"/>
          <w:color w:val="000000" w:themeColor="text1"/>
          <w:szCs w:val="32"/>
        </w:rPr>
        <w:t xml:space="preserve">business </w:t>
      </w:r>
      <w:r w:rsidR="003A2E33">
        <w:rPr>
          <w:rFonts w:eastAsiaTheme="majorEastAsia" w:cs="Times New Roman"/>
          <w:color w:val="000000" w:themeColor="text1"/>
          <w:szCs w:val="32"/>
        </w:rPr>
        <w:t xml:space="preserve">groups’ </w:t>
      </w:r>
      <w:r w:rsidR="00F7372F">
        <w:rPr>
          <w:rFonts w:eastAsiaTheme="majorEastAsia" w:cs="Times New Roman"/>
          <w:color w:val="000000" w:themeColor="text1"/>
          <w:szCs w:val="32"/>
        </w:rPr>
        <w:t>justification of existing arrangements</w:t>
      </w:r>
      <w:r w:rsidR="003A2E33">
        <w:rPr>
          <w:rFonts w:eastAsiaTheme="majorEastAsia" w:cs="Times New Roman"/>
          <w:color w:val="000000" w:themeColor="text1"/>
          <w:szCs w:val="32"/>
        </w:rPr>
        <w:t xml:space="preserve"> for judging the worthiness of workers</w:t>
      </w:r>
      <w:r w:rsidR="00F7372F">
        <w:rPr>
          <w:rFonts w:eastAsiaTheme="majorEastAsia" w:cs="Times New Roman"/>
          <w:color w:val="000000" w:themeColor="text1"/>
          <w:szCs w:val="32"/>
        </w:rPr>
        <w:t xml:space="preserve"> rest</w:t>
      </w:r>
      <w:r w:rsidR="005C1C2C">
        <w:rPr>
          <w:rFonts w:eastAsiaTheme="majorEastAsia" w:cs="Times New Roman"/>
          <w:color w:val="000000" w:themeColor="text1"/>
          <w:szCs w:val="32"/>
        </w:rPr>
        <w:t>s</w:t>
      </w:r>
      <w:r w:rsidR="00F7372F">
        <w:rPr>
          <w:rFonts w:eastAsiaTheme="majorEastAsia" w:cs="Times New Roman"/>
          <w:color w:val="000000" w:themeColor="text1"/>
          <w:szCs w:val="32"/>
        </w:rPr>
        <w:t xml:space="preserve"> not just on words and ideas, but also on the </w:t>
      </w:r>
      <w:r w:rsidR="00F7372F">
        <w:rPr>
          <w:lang w:val="en-AU"/>
        </w:rPr>
        <w:t xml:space="preserve">“material dimension of justification” (Patriotta et al., 2011, p. 1809): on the </w:t>
      </w:r>
      <w:r w:rsidR="00F7372F">
        <w:rPr>
          <w:rFonts w:eastAsiaTheme="majorEastAsia" w:cs="Times New Roman"/>
          <w:color w:val="000000" w:themeColor="text1"/>
          <w:szCs w:val="32"/>
        </w:rPr>
        <w:t xml:space="preserve">practices, </w:t>
      </w:r>
      <w:r w:rsidR="00FE5CCC">
        <w:rPr>
          <w:rFonts w:eastAsiaTheme="majorEastAsia" w:cs="Times New Roman"/>
          <w:color w:val="000000" w:themeColor="text1"/>
          <w:szCs w:val="32"/>
        </w:rPr>
        <w:t>artefacts</w:t>
      </w:r>
      <w:r w:rsidR="00F7372F">
        <w:rPr>
          <w:rFonts w:eastAsiaTheme="majorEastAsia" w:cs="Times New Roman"/>
          <w:color w:val="000000" w:themeColor="text1"/>
          <w:szCs w:val="32"/>
        </w:rPr>
        <w:t>, beings and forms of proof asserted as qualified and natural</w:t>
      </w:r>
      <w:r w:rsidR="003A2E33">
        <w:rPr>
          <w:rFonts w:eastAsiaTheme="majorEastAsia" w:cs="Times New Roman"/>
          <w:color w:val="000000" w:themeColor="text1"/>
          <w:szCs w:val="32"/>
        </w:rPr>
        <w:t xml:space="preserve">. </w:t>
      </w:r>
      <w:r w:rsidR="00FE5CCC">
        <w:rPr>
          <w:rFonts w:cs="Times New Roman"/>
          <w:szCs w:val="24"/>
        </w:rPr>
        <w:t xml:space="preserve">We begin our discussion </w:t>
      </w:r>
      <w:r w:rsidR="00514579">
        <w:rPr>
          <w:rFonts w:cs="Times New Roman"/>
          <w:szCs w:val="24"/>
        </w:rPr>
        <w:t>by exploring</w:t>
      </w:r>
      <w:r w:rsidR="00FE5CCC">
        <w:rPr>
          <w:rFonts w:cs="Times New Roman"/>
          <w:szCs w:val="24"/>
        </w:rPr>
        <w:t xml:space="preserve"> how current accounting </w:t>
      </w:r>
      <w:r w:rsidR="00A71F20">
        <w:rPr>
          <w:rFonts w:cs="Times New Roman"/>
          <w:szCs w:val="24"/>
        </w:rPr>
        <w:t>discourse</w:t>
      </w:r>
      <w:r w:rsidR="0071291A">
        <w:rPr>
          <w:rFonts w:cs="Times New Roman"/>
          <w:szCs w:val="24"/>
        </w:rPr>
        <w:t>s</w:t>
      </w:r>
      <w:r w:rsidR="00A71F20">
        <w:rPr>
          <w:rFonts w:cs="Times New Roman"/>
          <w:szCs w:val="24"/>
        </w:rPr>
        <w:t xml:space="preserve"> and </w:t>
      </w:r>
      <w:r w:rsidR="00FE5CCC">
        <w:rPr>
          <w:rFonts w:cs="Times New Roman"/>
          <w:szCs w:val="24"/>
        </w:rPr>
        <w:t>practice</w:t>
      </w:r>
      <w:r w:rsidR="0071291A">
        <w:rPr>
          <w:rFonts w:cs="Times New Roman"/>
          <w:szCs w:val="24"/>
        </w:rPr>
        <w:t>s</w:t>
      </w:r>
      <w:r w:rsidR="00FE5CCC">
        <w:rPr>
          <w:rFonts w:cs="Times New Roman"/>
          <w:szCs w:val="24"/>
        </w:rPr>
        <w:t xml:space="preserve"> privileges the </w:t>
      </w:r>
      <w:r w:rsidR="00FE5CCC" w:rsidRPr="0095485D">
        <w:rPr>
          <w:rFonts w:cs="Times New Roman"/>
          <w:i/>
          <w:szCs w:val="24"/>
        </w:rPr>
        <w:t>market</w:t>
      </w:r>
      <w:r w:rsidR="00FE5CCC">
        <w:rPr>
          <w:rFonts w:cs="Times New Roman"/>
          <w:szCs w:val="24"/>
        </w:rPr>
        <w:t xml:space="preserve"> order</w:t>
      </w:r>
      <w:r w:rsidR="00514579">
        <w:rPr>
          <w:rFonts w:cs="Times New Roman"/>
          <w:szCs w:val="24"/>
        </w:rPr>
        <w:t>’</w:t>
      </w:r>
      <w:r w:rsidR="00FE5CCC">
        <w:rPr>
          <w:rFonts w:cs="Times New Roman"/>
          <w:szCs w:val="24"/>
        </w:rPr>
        <w:t xml:space="preserve">s valuation of workers as competing units of labour power (RQ2) over and against the valuation of the human worker implied by the </w:t>
      </w:r>
      <w:r w:rsidR="00FE5CCC" w:rsidRPr="0095485D">
        <w:rPr>
          <w:rFonts w:cs="Times New Roman"/>
          <w:i/>
          <w:szCs w:val="24"/>
        </w:rPr>
        <w:t>domestic</w:t>
      </w:r>
      <w:r w:rsidR="00FE5CCC">
        <w:rPr>
          <w:rFonts w:cs="Times New Roman"/>
          <w:szCs w:val="24"/>
        </w:rPr>
        <w:t>-</w:t>
      </w:r>
      <w:r w:rsidR="00FE5CCC" w:rsidRPr="0095485D">
        <w:rPr>
          <w:rFonts w:cs="Times New Roman"/>
          <w:i/>
          <w:szCs w:val="24"/>
        </w:rPr>
        <w:t>inspired</w:t>
      </w:r>
      <w:r w:rsidR="00FE5CCC">
        <w:rPr>
          <w:rFonts w:cs="Times New Roman"/>
          <w:szCs w:val="24"/>
        </w:rPr>
        <w:t xml:space="preserve"> combination</w:t>
      </w:r>
      <w:r w:rsidR="00514579">
        <w:rPr>
          <w:rFonts w:cs="Times New Roman"/>
          <w:szCs w:val="24"/>
        </w:rPr>
        <w:t>, and by assessing</w:t>
      </w:r>
      <w:r w:rsidR="00FE5CCC">
        <w:rPr>
          <w:rFonts w:cs="Times New Roman"/>
          <w:szCs w:val="24"/>
        </w:rPr>
        <w:t xml:space="preserve"> the implications of accounting </w:t>
      </w:r>
      <w:r w:rsidR="00E940AC">
        <w:rPr>
          <w:rFonts w:cs="Times New Roman"/>
          <w:szCs w:val="24"/>
        </w:rPr>
        <w:t xml:space="preserve">of </w:t>
      </w:r>
      <w:r w:rsidR="00FE5CCC">
        <w:rPr>
          <w:rFonts w:cs="Times New Roman"/>
          <w:szCs w:val="24"/>
        </w:rPr>
        <w:t>this la</w:t>
      </w:r>
      <w:r w:rsidR="00E940AC">
        <w:rPr>
          <w:rFonts w:cs="Times New Roman"/>
          <w:szCs w:val="24"/>
        </w:rPr>
        <w:t>t</w:t>
      </w:r>
      <w:r w:rsidR="00FE5CCC">
        <w:rPr>
          <w:rFonts w:cs="Times New Roman"/>
          <w:szCs w:val="24"/>
        </w:rPr>
        <w:t xml:space="preserve">ter combination (RQ3).  </w:t>
      </w:r>
    </w:p>
    <w:p w14:paraId="55268E29" w14:textId="518546D7" w:rsidR="00FE5CCC" w:rsidRDefault="00FE5CCC" w:rsidP="008F53CF">
      <w:pPr>
        <w:rPr>
          <w:rFonts w:cs="Times New Roman"/>
          <w:szCs w:val="24"/>
        </w:rPr>
      </w:pPr>
    </w:p>
    <w:p w14:paraId="733D862E" w14:textId="749E3C77" w:rsidR="001D5B96" w:rsidRDefault="005C7983" w:rsidP="008F53CF">
      <w:pPr>
        <w:rPr>
          <w:rFonts w:cs="Times New Roman"/>
          <w:szCs w:val="24"/>
        </w:rPr>
      </w:pPr>
      <w:r>
        <w:rPr>
          <w:rFonts w:cs="Times New Roman"/>
        </w:rPr>
        <w:lastRenderedPageBreak/>
        <w:t xml:space="preserve">In the </w:t>
      </w:r>
      <w:r w:rsidR="00EA67B1">
        <w:rPr>
          <w:rFonts w:cs="Times New Roman"/>
        </w:rPr>
        <w:t>f</w:t>
      </w:r>
      <w:r>
        <w:rPr>
          <w:rFonts w:cs="Times New Roman"/>
        </w:rPr>
        <w:t xml:space="preserve">indings above, business groups </w:t>
      </w:r>
      <w:r w:rsidR="00A71F20">
        <w:rPr>
          <w:rFonts w:cs="Times New Roman"/>
        </w:rPr>
        <w:t xml:space="preserve">were seen to </w:t>
      </w:r>
      <w:r>
        <w:rPr>
          <w:rFonts w:cs="Times New Roman"/>
        </w:rPr>
        <w:t>h</w:t>
      </w:r>
      <w:r w:rsidR="00A71F20">
        <w:rPr>
          <w:rFonts w:cs="Times New Roman"/>
        </w:rPr>
        <w:t>o</w:t>
      </w:r>
      <w:r>
        <w:rPr>
          <w:rFonts w:cs="Times New Roman"/>
        </w:rPr>
        <w:t xml:space="preserve">ld that the value of a worker is determined by the relevant “market rate” (O’Reilly, 2013). </w:t>
      </w:r>
      <w:r w:rsidR="00602163">
        <w:rPr>
          <w:rFonts w:cs="Times New Roman"/>
        </w:rPr>
        <w:t xml:space="preserve"> </w:t>
      </w:r>
      <w:r>
        <w:rPr>
          <w:rFonts w:cs="Times New Roman"/>
        </w:rPr>
        <w:t>Wages, meanwhile, are positioned as a cost to be reduced in the pursuit of competitiveness</w:t>
      </w:r>
      <w:r w:rsidR="00C56488">
        <w:rPr>
          <w:rFonts w:cs="Times New Roman"/>
        </w:rPr>
        <w:t xml:space="preserve"> (see Sikka, 2015)</w:t>
      </w:r>
      <w:r>
        <w:rPr>
          <w:rFonts w:cs="Times New Roman"/>
        </w:rPr>
        <w:t>.</w:t>
      </w:r>
      <w:r w:rsidR="00E940AC">
        <w:rPr>
          <w:rFonts w:cs="Times New Roman"/>
        </w:rPr>
        <w:t xml:space="preserve"> </w:t>
      </w:r>
      <w:r w:rsidR="00A71F20">
        <w:rPr>
          <w:rFonts w:cs="Times New Roman"/>
        </w:rPr>
        <w:t xml:space="preserve"> </w:t>
      </w:r>
      <w:r w:rsidR="00E940AC">
        <w:rPr>
          <w:rFonts w:cs="Times New Roman"/>
        </w:rPr>
        <w:t>Our findings show that</w:t>
      </w:r>
      <w:r w:rsidR="008D67F3" w:rsidRPr="00512B56">
        <w:rPr>
          <w:rFonts w:cs="Times New Roman"/>
        </w:rPr>
        <w:t xml:space="preserve"> the underlying ideology of “labour exploitation as a condition of the survival of capitalist enterprises” (Cooper, 2005, see also Cooper et al., 2005)</w:t>
      </w:r>
      <w:r w:rsidR="00E940AC">
        <w:rPr>
          <w:rFonts w:cs="Times New Roman"/>
        </w:rPr>
        <w:t xml:space="preserve"> applies with particular force to</w:t>
      </w:r>
      <w:r w:rsidR="00E940AC" w:rsidRPr="00E940AC">
        <w:rPr>
          <w:rFonts w:cs="Times New Roman"/>
        </w:rPr>
        <w:t xml:space="preserve"> the poor and low-paid</w:t>
      </w:r>
      <w:r w:rsidR="008D67F3" w:rsidRPr="00512B56">
        <w:rPr>
          <w:rFonts w:cs="Times New Roman"/>
        </w:rPr>
        <w:t>.</w:t>
      </w:r>
      <w:r w:rsidR="00FE5CCC">
        <w:rPr>
          <w:rStyle w:val="EndnoteReference"/>
          <w:rFonts w:cs="Times New Roman"/>
        </w:rPr>
        <w:endnoteReference w:id="9"/>
      </w:r>
      <w:r w:rsidR="008D67F3">
        <w:rPr>
          <w:rFonts w:cs="Times New Roman"/>
        </w:rPr>
        <w:t xml:space="preserve"> </w:t>
      </w:r>
      <w:r w:rsidR="00FE5CCC">
        <w:rPr>
          <w:rFonts w:cs="Times New Roman"/>
        </w:rPr>
        <w:t xml:space="preserve"> </w:t>
      </w:r>
      <w:r w:rsidR="005E355D">
        <w:rPr>
          <w:rFonts w:cs="Times New Roman"/>
        </w:rPr>
        <w:t>The</w:t>
      </w:r>
      <w:r w:rsidR="00FE5CCC">
        <w:rPr>
          <w:rFonts w:cs="Times New Roman"/>
        </w:rPr>
        <w:t xml:space="preserve"> </w:t>
      </w:r>
      <w:r w:rsidR="005E355D" w:rsidRPr="0095485D">
        <w:rPr>
          <w:rFonts w:cs="Times New Roman"/>
          <w:i/>
        </w:rPr>
        <w:t>market</w:t>
      </w:r>
      <w:r w:rsidR="005E355D">
        <w:rPr>
          <w:rFonts w:cs="Times New Roman"/>
        </w:rPr>
        <w:t xml:space="preserve"> order’s forms of proof (monetary) and qualified beings</w:t>
      </w:r>
      <w:r w:rsidR="00FE5CCC">
        <w:rPr>
          <w:rFonts w:cs="Times New Roman"/>
        </w:rPr>
        <w:t xml:space="preserve"> </w:t>
      </w:r>
      <w:r w:rsidR="005E355D">
        <w:rPr>
          <w:rFonts w:cs="Times New Roman"/>
        </w:rPr>
        <w:t>(consumers and sellers) support status quo arrangements</w:t>
      </w:r>
      <w:r w:rsidR="00A64016">
        <w:rPr>
          <w:rFonts w:cs="Times New Roman"/>
          <w:szCs w:val="24"/>
        </w:rPr>
        <w:t xml:space="preserve"> </w:t>
      </w:r>
      <w:r w:rsidR="00DB43CB">
        <w:rPr>
          <w:rFonts w:cs="Times New Roman"/>
          <w:szCs w:val="24"/>
        </w:rPr>
        <w:t>in relation to wage decisions</w:t>
      </w:r>
      <w:r w:rsidR="00FE5CCC">
        <w:rPr>
          <w:rFonts w:cs="Times New Roman"/>
          <w:szCs w:val="24"/>
        </w:rPr>
        <w:t xml:space="preserve">.  </w:t>
      </w:r>
      <w:r w:rsidR="00613691">
        <w:rPr>
          <w:rFonts w:cs="Times New Roman"/>
          <w:szCs w:val="24"/>
        </w:rPr>
        <w:t xml:space="preserve">The </w:t>
      </w:r>
      <w:r w:rsidR="00A64016">
        <w:rPr>
          <w:rFonts w:cs="Times New Roman"/>
        </w:rPr>
        <w:t xml:space="preserve">accounting practice of quantifying labour costs in monetary terms is a technique </w:t>
      </w:r>
      <w:r w:rsidR="005E355D">
        <w:rPr>
          <w:rFonts w:cs="Times New Roman"/>
        </w:rPr>
        <w:t xml:space="preserve">that </w:t>
      </w:r>
      <w:r w:rsidR="00A64016">
        <w:rPr>
          <w:rFonts w:cs="Times New Roman"/>
        </w:rPr>
        <w:t>abstracts the human worker</w:t>
      </w:r>
      <w:r w:rsidR="00613691">
        <w:rPr>
          <w:rFonts w:cs="Times New Roman"/>
        </w:rPr>
        <w:t xml:space="preserve"> through reducing work and workers to a single measurement</w:t>
      </w:r>
      <w:r w:rsidR="00A64016">
        <w:rPr>
          <w:rFonts w:cs="Times New Roman"/>
        </w:rPr>
        <w:t xml:space="preserve">.  This </w:t>
      </w:r>
      <w:r w:rsidR="005E355D">
        <w:rPr>
          <w:rFonts w:cs="Times New Roman"/>
        </w:rPr>
        <w:t>leads to</w:t>
      </w:r>
      <w:r w:rsidR="00A64016">
        <w:rPr>
          <w:rFonts w:cs="Times New Roman"/>
        </w:rPr>
        <w:t xml:space="preserve"> a </w:t>
      </w:r>
      <w:r w:rsidR="005E355D">
        <w:rPr>
          <w:rFonts w:cs="Times New Roman"/>
        </w:rPr>
        <w:t xml:space="preserve">severely </w:t>
      </w:r>
      <w:r w:rsidR="00A64016">
        <w:rPr>
          <w:rFonts w:cs="Times New Roman"/>
        </w:rPr>
        <w:t>limited account of wage decisions and distribution</w:t>
      </w:r>
      <w:r w:rsidR="005E355D">
        <w:rPr>
          <w:rFonts w:cs="Times New Roman"/>
        </w:rPr>
        <w:t>al outcomes</w:t>
      </w:r>
      <w:r w:rsidR="00A64016">
        <w:rPr>
          <w:rFonts w:cs="Times New Roman"/>
        </w:rPr>
        <w:t xml:space="preserve">.  </w:t>
      </w:r>
      <w:r w:rsidR="000C6DF3">
        <w:rPr>
          <w:rFonts w:cs="Times New Roman"/>
        </w:rPr>
        <w:t>B</w:t>
      </w:r>
      <w:r w:rsidR="00DB43CB">
        <w:rPr>
          <w:rFonts w:cs="Times New Roman"/>
        </w:rPr>
        <w:t>y</w:t>
      </w:r>
      <w:r w:rsidR="00A64016">
        <w:rPr>
          <w:rFonts w:cs="Times New Roman"/>
        </w:rPr>
        <w:t xml:space="preserve"> maintaining that the </w:t>
      </w:r>
      <w:r w:rsidR="00E940AC">
        <w:rPr>
          <w:rFonts w:cs="Times New Roman"/>
        </w:rPr>
        <w:t xml:space="preserve">firm </w:t>
      </w:r>
      <w:r w:rsidR="005E355D">
        <w:rPr>
          <w:rFonts w:cs="Times New Roman"/>
        </w:rPr>
        <w:t>(as the buyer o</w:t>
      </w:r>
      <w:r w:rsidR="0095485D">
        <w:rPr>
          <w:rFonts w:cs="Times New Roman"/>
        </w:rPr>
        <w:t>f</w:t>
      </w:r>
      <w:r w:rsidR="005E355D">
        <w:rPr>
          <w:rFonts w:cs="Times New Roman"/>
        </w:rPr>
        <w:t xml:space="preserve"> labour) </w:t>
      </w:r>
      <w:r w:rsidR="00E940AC">
        <w:rPr>
          <w:rFonts w:cs="Times New Roman"/>
        </w:rPr>
        <w:t xml:space="preserve">is the </w:t>
      </w:r>
      <w:r w:rsidR="005E355D">
        <w:rPr>
          <w:rFonts w:cs="Times New Roman"/>
        </w:rPr>
        <w:t xml:space="preserve">being qualified to </w:t>
      </w:r>
      <w:r w:rsidR="000C6DF3">
        <w:rPr>
          <w:rFonts w:cs="Times New Roman"/>
        </w:rPr>
        <w:t xml:space="preserve">assess the value of that </w:t>
      </w:r>
      <w:r w:rsidR="00613691">
        <w:rPr>
          <w:rFonts w:cs="Times New Roman"/>
        </w:rPr>
        <w:t>labour</w:t>
      </w:r>
      <w:r w:rsidR="00A64016">
        <w:rPr>
          <w:rFonts w:cs="Times New Roman"/>
        </w:rPr>
        <w:t xml:space="preserve"> </w:t>
      </w:r>
      <w:r w:rsidR="005E355D">
        <w:rPr>
          <w:rFonts w:cs="Times New Roman"/>
        </w:rPr>
        <w:t>(</w:t>
      </w:r>
      <w:r w:rsidR="000C6DF3">
        <w:rPr>
          <w:rFonts w:cs="Times New Roman"/>
        </w:rPr>
        <w:t xml:space="preserve">and to provide an account of labour costs in </w:t>
      </w:r>
      <w:r w:rsidR="005E355D">
        <w:rPr>
          <w:rFonts w:cs="Times New Roman"/>
        </w:rPr>
        <w:t xml:space="preserve">the privileged artefact of </w:t>
      </w:r>
      <w:r w:rsidR="0095485D">
        <w:rPr>
          <w:rFonts w:cs="Times New Roman"/>
        </w:rPr>
        <w:t xml:space="preserve">financial statements included in, for example, </w:t>
      </w:r>
      <w:r w:rsidR="005E355D">
        <w:rPr>
          <w:rFonts w:cs="Times New Roman"/>
        </w:rPr>
        <w:t>the</w:t>
      </w:r>
      <w:r w:rsidR="0049364C">
        <w:rPr>
          <w:rFonts w:cs="Times New Roman"/>
        </w:rPr>
        <w:t xml:space="preserve"> annual report</w:t>
      </w:r>
      <w:r w:rsidR="005E355D">
        <w:rPr>
          <w:rFonts w:cs="Times New Roman"/>
        </w:rPr>
        <w:t>)</w:t>
      </w:r>
      <w:r w:rsidR="0049364C">
        <w:rPr>
          <w:rFonts w:cs="Times New Roman"/>
        </w:rPr>
        <w:t xml:space="preserve">, </w:t>
      </w:r>
      <w:r w:rsidR="00DB43CB">
        <w:rPr>
          <w:rFonts w:cs="Times New Roman"/>
        </w:rPr>
        <w:t xml:space="preserve">current accounting </w:t>
      </w:r>
      <w:r w:rsidR="00A71F20">
        <w:rPr>
          <w:rFonts w:cs="Times New Roman"/>
        </w:rPr>
        <w:t xml:space="preserve">discourses and </w:t>
      </w:r>
      <w:r w:rsidR="00DB43CB">
        <w:rPr>
          <w:rFonts w:cs="Times New Roman"/>
        </w:rPr>
        <w:t xml:space="preserve">practices </w:t>
      </w:r>
      <w:r w:rsidR="00E940AC">
        <w:rPr>
          <w:rFonts w:cs="Times New Roman"/>
        </w:rPr>
        <w:t>stabilise and naturalise the market order’s evaluation of a worker’s worthiness</w:t>
      </w:r>
      <w:r w:rsidR="00DB43CB">
        <w:rPr>
          <w:rFonts w:cs="Times New Roman"/>
        </w:rPr>
        <w:t xml:space="preserve">.  </w:t>
      </w:r>
      <w:r w:rsidR="000C6DF3">
        <w:rPr>
          <w:rFonts w:cs="Times New Roman"/>
        </w:rPr>
        <w:t>In this way,</w:t>
      </w:r>
      <w:r w:rsidR="000C6DF3" w:rsidRPr="000C6DF3">
        <w:rPr>
          <w:rFonts w:cs="Times New Roman"/>
        </w:rPr>
        <w:t xml:space="preserve"> accounting marginalise</w:t>
      </w:r>
      <w:r w:rsidR="00A71F20">
        <w:rPr>
          <w:rFonts w:cs="Times New Roman"/>
        </w:rPr>
        <w:t>s</w:t>
      </w:r>
      <w:r w:rsidR="000C6DF3" w:rsidRPr="000C6DF3">
        <w:rPr>
          <w:rFonts w:cs="Times New Roman"/>
        </w:rPr>
        <w:t xml:space="preserve"> </w:t>
      </w:r>
      <w:r w:rsidR="000C6DF3">
        <w:rPr>
          <w:rFonts w:cs="Times New Roman"/>
        </w:rPr>
        <w:t>and disqualif</w:t>
      </w:r>
      <w:r w:rsidR="00A71F20">
        <w:rPr>
          <w:rFonts w:cs="Times New Roman"/>
        </w:rPr>
        <w:t>ies</w:t>
      </w:r>
      <w:r w:rsidR="000C6DF3">
        <w:rPr>
          <w:rFonts w:cs="Times New Roman"/>
        </w:rPr>
        <w:t xml:space="preserve"> </w:t>
      </w:r>
      <w:r w:rsidR="000C6DF3" w:rsidRPr="000C6DF3">
        <w:rPr>
          <w:rFonts w:cs="Times New Roman"/>
        </w:rPr>
        <w:t>the experience</w:t>
      </w:r>
      <w:r w:rsidR="000C6DF3">
        <w:rPr>
          <w:rFonts w:cs="Times New Roman"/>
        </w:rPr>
        <w:t>s</w:t>
      </w:r>
      <w:r w:rsidR="000C6DF3" w:rsidRPr="000C6DF3">
        <w:rPr>
          <w:rFonts w:cs="Times New Roman"/>
        </w:rPr>
        <w:t xml:space="preserve"> </w:t>
      </w:r>
      <w:r w:rsidR="000C6DF3">
        <w:rPr>
          <w:rFonts w:cs="Times New Roman"/>
        </w:rPr>
        <w:t>and</w:t>
      </w:r>
      <w:r w:rsidR="000C6DF3" w:rsidRPr="000C6DF3">
        <w:rPr>
          <w:rFonts w:cs="Times New Roman"/>
        </w:rPr>
        <w:t xml:space="preserve"> accounts of other </w:t>
      </w:r>
      <w:r w:rsidR="000C6DF3">
        <w:rPr>
          <w:rFonts w:cs="Times New Roman"/>
        </w:rPr>
        <w:t>actors</w:t>
      </w:r>
      <w:r w:rsidR="000C6DF3" w:rsidRPr="000C6DF3">
        <w:rPr>
          <w:rFonts w:cs="Times New Roman"/>
        </w:rPr>
        <w:t xml:space="preserve">, including </w:t>
      </w:r>
      <w:r w:rsidR="000C6DF3">
        <w:rPr>
          <w:rFonts w:cs="Times New Roman"/>
        </w:rPr>
        <w:t xml:space="preserve">those </w:t>
      </w:r>
      <w:r w:rsidR="000C6DF3" w:rsidRPr="000C6DF3">
        <w:rPr>
          <w:rFonts w:cs="Times New Roman"/>
        </w:rPr>
        <w:t>of workers themselves</w:t>
      </w:r>
      <w:r w:rsidR="000C6DF3">
        <w:rPr>
          <w:rFonts w:cs="Times New Roman"/>
        </w:rPr>
        <w:t>.</w:t>
      </w:r>
    </w:p>
    <w:p w14:paraId="7689CCD8" w14:textId="77777777" w:rsidR="00A64016" w:rsidRDefault="00A64016" w:rsidP="008F53CF">
      <w:pPr>
        <w:rPr>
          <w:rFonts w:cs="Times New Roman"/>
          <w:szCs w:val="24"/>
        </w:rPr>
      </w:pPr>
    </w:p>
    <w:p w14:paraId="4FFC228B" w14:textId="2D663633" w:rsidR="000370FA" w:rsidRDefault="000618A3" w:rsidP="008F53CF">
      <w:pPr>
        <w:rPr>
          <w:rFonts w:cs="Times New Roman"/>
          <w:szCs w:val="24"/>
        </w:rPr>
      </w:pPr>
      <w:r>
        <w:rPr>
          <w:rFonts w:cs="Times New Roman"/>
          <w:szCs w:val="24"/>
        </w:rPr>
        <w:t>What, then,</w:t>
      </w:r>
      <w:r w:rsidR="0049364C">
        <w:rPr>
          <w:rFonts w:cs="Times New Roman"/>
          <w:szCs w:val="24"/>
        </w:rPr>
        <w:t xml:space="preserve"> could be learnt from the </w:t>
      </w:r>
      <w:r w:rsidR="0049364C" w:rsidRPr="0009081D">
        <w:rPr>
          <w:rFonts w:cs="Times New Roman"/>
          <w:i/>
          <w:szCs w:val="24"/>
        </w:rPr>
        <w:t>domestic-inspired</w:t>
      </w:r>
      <w:r w:rsidR="0009081D">
        <w:rPr>
          <w:rFonts w:cs="Times New Roman"/>
          <w:szCs w:val="24"/>
        </w:rPr>
        <w:t xml:space="preserve"> combination</w:t>
      </w:r>
      <w:r w:rsidR="0049364C">
        <w:rPr>
          <w:rFonts w:cs="Times New Roman"/>
          <w:szCs w:val="24"/>
        </w:rPr>
        <w:t xml:space="preserve">?  </w:t>
      </w:r>
      <w:r w:rsidR="00DB43CB">
        <w:rPr>
          <w:rFonts w:cs="Times New Roman"/>
          <w:szCs w:val="24"/>
        </w:rPr>
        <w:t>Central to LWA</w:t>
      </w:r>
      <w:r w:rsidR="00A32051">
        <w:rPr>
          <w:rFonts w:cs="Times New Roman"/>
          <w:szCs w:val="24"/>
        </w:rPr>
        <w:t>’</w:t>
      </w:r>
      <w:r w:rsidR="00DB43CB">
        <w:rPr>
          <w:rFonts w:cs="Times New Roman"/>
          <w:szCs w:val="24"/>
        </w:rPr>
        <w:t>s</w:t>
      </w:r>
      <w:r>
        <w:rPr>
          <w:rFonts w:cs="Times New Roman"/>
          <w:szCs w:val="24"/>
        </w:rPr>
        <w:t xml:space="preserve"> claims that draw on this combination</w:t>
      </w:r>
      <w:r w:rsidR="00DB43CB">
        <w:rPr>
          <w:rFonts w:cs="Times New Roman"/>
          <w:szCs w:val="24"/>
        </w:rPr>
        <w:t xml:space="preserve"> is </w:t>
      </w:r>
      <w:r>
        <w:rPr>
          <w:rFonts w:cs="Times New Roman"/>
          <w:szCs w:val="24"/>
        </w:rPr>
        <w:t xml:space="preserve">an </w:t>
      </w:r>
      <w:r w:rsidR="00DB43CB">
        <w:rPr>
          <w:rFonts w:cs="Times New Roman"/>
          <w:szCs w:val="24"/>
        </w:rPr>
        <w:t xml:space="preserve">insistence on the need to consider the inherent and inviolable dignity of the human worker. </w:t>
      </w:r>
      <w:r w:rsidR="00C16EA6">
        <w:rPr>
          <w:rFonts w:cs="Times New Roman"/>
          <w:szCs w:val="24"/>
        </w:rPr>
        <w:t xml:space="preserve"> </w:t>
      </w:r>
      <w:r>
        <w:rPr>
          <w:rFonts w:cs="Times New Roman"/>
          <w:szCs w:val="24"/>
        </w:rPr>
        <w:t xml:space="preserve">Bringing these considerations within the ambit of accounting </w:t>
      </w:r>
      <w:r w:rsidR="00C16EA6">
        <w:rPr>
          <w:rFonts w:cs="Times New Roman"/>
          <w:szCs w:val="24"/>
        </w:rPr>
        <w:t xml:space="preserve">would require </w:t>
      </w:r>
      <w:r>
        <w:rPr>
          <w:rFonts w:cs="Times New Roman"/>
          <w:szCs w:val="24"/>
        </w:rPr>
        <w:t xml:space="preserve">challenging the </w:t>
      </w:r>
      <w:r w:rsidRPr="00A71F20">
        <w:rPr>
          <w:rFonts w:cs="Times New Roman"/>
          <w:i/>
          <w:szCs w:val="24"/>
        </w:rPr>
        <w:t>market</w:t>
      </w:r>
      <w:r>
        <w:rPr>
          <w:rFonts w:cs="Times New Roman"/>
          <w:szCs w:val="24"/>
        </w:rPr>
        <w:t xml:space="preserve"> order’s inclination to test a worker’s worthiness solely </w:t>
      </w:r>
      <w:r w:rsidR="00DA4D9C">
        <w:rPr>
          <w:rFonts w:cs="Times New Roman"/>
          <w:szCs w:val="24"/>
        </w:rPr>
        <w:t>on</w:t>
      </w:r>
      <w:r>
        <w:rPr>
          <w:rFonts w:cs="Times New Roman"/>
          <w:szCs w:val="24"/>
        </w:rPr>
        <w:t xml:space="preserve"> their market competitiveness, and </w:t>
      </w:r>
      <w:r w:rsidR="00DA4D9C">
        <w:rPr>
          <w:rFonts w:cs="Times New Roman"/>
          <w:szCs w:val="24"/>
        </w:rPr>
        <w:t>its inclination to posit the firm (as the buyer of labour) as the being solely qualified to provide an account of wage decisions</w:t>
      </w:r>
      <w:r w:rsidR="0049364C">
        <w:rPr>
          <w:rFonts w:cs="Times New Roman"/>
          <w:szCs w:val="24"/>
        </w:rPr>
        <w:t xml:space="preserve">.  </w:t>
      </w:r>
      <w:r w:rsidR="00C16EA6">
        <w:rPr>
          <w:rFonts w:cs="Times New Roman"/>
          <w:szCs w:val="24"/>
        </w:rPr>
        <w:t xml:space="preserve">While it </w:t>
      </w:r>
      <w:r w:rsidR="00A71F20">
        <w:rPr>
          <w:rFonts w:cs="Times New Roman"/>
          <w:szCs w:val="24"/>
        </w:rPr>
        <w:t>could</w:t>
      </w:r>
      <w:r w:rsidR="00C16EA6">
        <w:rPr>
          <w:rFonts w:cs="Times New Roman"/>
          <w:szCs w:val="24"/>
        </w:rPr>
        <w:t xml:space="preserve"> be argued that “better”, more holistic, quantifications </w:t>
      </w:r>
      <w:r w:rsidR="00DA4D9C">
        <w:rPr>
          <w:rFonts w:cs="Times New Roman"/>
          <w:szCs w:val="24"/>
        </w:rPr>
        <w:t xml:space="preserve">of a worker’s worthiness </w:t>
      </w:r>
      <w:r w:rsidR="00C16EA6">
        <w:rPr>
          <w:rFonts w:cs="Times New Roman"/>
          <w:szCs w:val="24"/>
        </w:rPr>
        <w:t>could be achieved</w:t>
      </w:r>
      <w:r w:rsidR="00A71F20">
        <w:rPr>
          <w:rFonts w:cs="Times New Roman"/>
          <w:szCs w:val="24"/>
        </w:rPr>
        <w:t xml:space="preserve"> (e.g. quantifications that measured more aspects of work </w:t>
      </w:r>
      <w:r w:rsidR="00E941B3">
        <w:rPr>
          <w:rFonts w:cs="Times New Roman"/>
          <w:szCs w:val="24"/>
        </w:rPr>
        <w:t>drawing lessons from, for example, social impact and full cost accounting)</w:t>
      </w:r>
      <w:r w:rsidR="00C16EA6">
        <w:rPr>
          <w:rFonts w:cs="Times New Roman"/>
          <w:szCs w:val="24"/>
        </w:rPr>
        <w:t xml:space="preserve">, we would suggest that </w:t>
      </w:r>
      <w:r w:rsidR="00DA4D9C">
        <w:rPr>
          <w:rFonts w:cs="Times New Roman"/>
          <w:szCs w:val="24"/>
        </w:rPr>
        <w:t>for the notion of</w:t>
      </w:r>
      <w:r w:rsidR="00C16EA6">
        <w:rPr>
          <w:rFonts w:cs="Times New Roman"/>
          <w:szCs w:val="24"/>
        </w:rPr>
        <w:t xml:space="preserve"> the dignity of the worker </w:t>
      </w:r>
      <w:r w:rsidR="00DA4D9C">
        <w:rPr>
          <w:rFonts w:cs="Times New Roman"/>
          <w:szCs w:val="24"/>
        </w:rPr>
        <w:t xml:space="preserve">cannot be fully captured by </w:t>
      </w:r>
      <w:r w:rsidR="00C16EA6">
        <w:rPr>
          <w:rFonts w:cs="Times New Roman"/>
          <w:szCs w:val="24"/>
        </w:rPr>
        <w:t xml:space="preserve">such abstractive practices.  </w:t>
      </w:r>
      <w:r w:rsidR="0095485D">
        <w:rPr>
          <w:rFonts w:cs="Times New Roman"/>
          <w:szCs w:val="24"/>
        </w:rPr>
        <w:t>Q</w:t>
      </w:r>
      <w:r w:rsidR="00BA4D8F">
        <w:rPr>
          <w:rFonts w:cs="Times New Roman"/>
          <w:szCs w:val="24"/>
        </w:rPr>
        <w:t xml:space="preserve">uantitative practices enable the capture of </w:t>
      </w:r>
      <w:r w:rsidR="00142FDA">
        <w:rPr>
          <w:rFonts w:cs="Times New Roman"/>
          <w:szCs w:val="24"/>
        </w:rPr>
        <w:t>labour</w:t>
      </w:r>
      <w:r w:rsidR="0095485D">
        <w:rPr>
          <w:rFonts w:cs="Times New Roman"/>
          <w:szCs w:val="24"/>
        </w:rPr>
        <w:t xml:space="preserve"> within the financial statements (</w:t>
      </w:r>
      <w:r w:rsidR="00E941B3">
        <w:rPr>
          <w:rFonts w:cs="Times New Roman"/>
          <w:szCs w:val="24"/>
        </w:rPr>
        <w:t xml:space="preserve">currently </w:t>
      </w:r>
      <w:r w:rsidR="00BA4D8F">
        <w:rPr>
          <w:rFonts w:cs="Times New Roman"/>
          <w:szCs w:val="24"/>
        </w:rPr>
        <w:t>as costs</w:t>
      </w:r>
      <w:r w:rsidR="009C484E">
        <w:rPr>
          <w:rFonts w:cs="Times New Roman"/>
          <w:szCs w:val="24"/>
        </w:rPr>
        <w:t>, see Sikka, 2015</w:t>
      </w:r>
      <w:r w:rsidR="0095485D">
        <w:rPr>
          <w:rFonts w:cs="Times New Roman"/>
          <w:szCs w:val="24"/>
        </w:rPr>
        <w:t>), yet</w:t>
      </w:r>
      <w:r w:rsidR="00BA4D8F">
        <w:rPr>
          <w:rFonts w:cs="Times New Roman"/>
          <w:szCs w:val="24"/>
        </w:rPr>
        <w:t xml:space="preserve"> they do not enable an account of the broader aspects of </w:t>
      </w:r>
      <w:r w:rsidR="00142FDA">
        <w:rPr>
          <w:rFonts w:cs="Times New Roman"/>
          <w:szCs w:val="24"/>
        </w:rPr>
        <w:t>employment / work / professional and personal accomplishment</w:t>
      </w:r>
      <w:r w:rsidR="0049364C">
        <w:rPr>
          <w:rFonts w:cs="Times New Roman"/>
          <w:szCs w:val="24"/>
        </w:rPr>
        <w:t xml:space="preserve"> (</w:t>
      </w:r>
      <w:r w:rsidR="0095485D">
        <w:rPr>
          <w:rFonts w:cs="Times New Roman"/>
          <w:szCs w:val="24"/>
        </w:rPr>
        <w:t>an account of</w:t>
      </w:r>
      <w:r w:rsidR="0049364C">
        <w:rPr>
          <w:rFonts w:cs="Times New Roman"/>
          <w:szCs w:val="24"/>
        </w:rPr>
        <w:t xml:space="preserve"> the human worker)</w:t>
      </w:r>
      <w:r w:rsidR="0095485D">
        <w:rPr>
          <w:rFonts w:cs="Times New Roman"/>
          <w:szCs w:val="24"/>
        </w:rPr>
        <w:t>.  M</w:t>
      </w:r>
      <w:r w:rsidR="00BA4D8F">
        <w:rPr>
          <w:rFonts w:cs="Times New Roman"/>
          <w:szCs w:val="24"/>
        </w:rPr>
        <w:t xml:space="preserve">oving away from, or at the least supplementing, such measures </w:t>
      </w:r>
      <w:r w:rsidR="0095485D">
        <w:rPr>
          <w:rFonts w:cs="Times New Roman"/>
          <w:szCs w:val="24"/>
        </w:rPr>
        <w:t>is</w:t>
      </w:r>
      <w:r w:rsidR="00E941B3">
        <w:rPr>
          <w:rFonts w:cs="Times New Roman"/>
          <w:szCs w:val="24"/>
        </w:rPr>
        <w:t>, we argue,</w:t>
      </w:r>
      <w:r w:rsidR="00BA4D8F">
        <w:rPr>
          <w:rFonts w:cs="Times New Roman"/>
          <w:szCs w:val="24"/>
        </w:rPr>
        <w:t xml:space="preserve"> need</w:t>
      </w:r>
      <w:r w:rsidR="0049364C">
        <w:rPr>
          <w:rFonts w:cs="Times New Roman"/>
          <w:szCs w:val="24"/>
        </w:rPr>
        <w:t>ed</w:t>
      </w:r>
      <w:r w:rsidR="00BA4D8F">
        <w:rPr>
          <w:rFonts w:cs="Times New Roman"/>
          <w:szCs w:val="24"/>
        </w:rPr>
        <w:t xml:space="preserve"> to </w:t>
      </w:r>
      <w:r w:rsidR="0095485D">
        <w:rPr>
          <w:rFonts w:cs="Times New Roman"/>
          <w:szCs w:val="24"/>
        </w:rPr>
        <w:t xml:space="preserve">account for the human as worker and also </w:t>
      </w:r>
      <w:r w:rsidR="00BA4D8F">
        <w:rPr>
          <w:rFonts w:cs="Times New Roman"/>
          <w:szCs w:val="24"/>
        </w:rPr>
        <w:t xml:space="preserve">the </w:t>
      </w:r>
      <w:r w:rsidR="0095485D">
        <w:rPr>
          <w:rFonts w:cs="Times New Roman"/>
          <w:szCs w:val="24"/>
        </w:rPr>
        <w:t xml:space="preserve">various other </w:t>
      </w:r>
      <w:r w:rsidR="00BA4D8F">
        <w:rPr>
          <w:rFonts w:cs="Times New Roman"/>
          <w:szCs w:val="24"/>
        </w:rPr>
        <w:t>social outcomes of work.</w:t>
      </w:r>
      <w:r w:rsidR="00A32051">
        <w:rPr>
          <w:rFonts w:cs="Times New Roman"/>
          <w:szCs w:val="24"/>
        </w:rPr>
        <w:t xml:space="preserve"> </w:t>
      </w:r>
    </w:p>
    <w:p w14:paraId="27C0FCF5" w14:textId="77777777" w:rsidR="000370FA" w:rsidRDefault="000370FA" w:rsidP="008F53CF">
      <w:pPr>
        <w:rPr>
          <w:rFonts w:cs="Times New Roman"/>
          <w:szCs w:val="24"/>
        </w:rPr>
      </w:pPr>
    </w:p>
    <w:p w14:paraId="74435DEE" w14:textId="2554E98E" w:rsidR="00DB43CB" w:rsidRDefault="00C16EA6" w:rsidP="008F53CF">
      <w:pPr>
        <w:rPr>
          <w:rFonts w:cs="Times New Roman"/>
          <w:szCs w:val="24"/>
        </w:rPr>
      </w:pPr>
      <w:r>
        <w:rPr>
          <w:rFonts w:cs="Times New Roman"/>
          <w:szCs w:val="24"/>
        </w:rPr>
        <w:lastRenderedPageBreak/>
        <w:t>Furthe</w:t>
      </w:r>
      <w:r w:rsidR="0049364C">
        <w:rPr>
          <w:rFonts w:cs="Times New Roman"/>
          <w:szCs w:val="24"/>
        </w:rPr>
        <w:t xml:space="preserve">rmore, given the </w:t>
      </w:r>
      <w:r w:rsidR="0049364C" w:rsidRPr="0095485D">
        <w:rPr>
          <w:rFonts w:cs="Times New Roman"/>
          <w:i/>
          <w:szCs w:val="24"/>
        </w:rPr>
        <w:t>domestic</w:t>
      </w:r>
      <w:r w:rsidR="0049364C">
        <w:rPr>
          <w:rFonts w:cs="Times New Roman"/>
          <w:szCs w:val="24"/>
        </w:rPr>
        <w:t xml:space="preserve"> order</w:t>
      </w:r>
      <w:r w:rsidR="00E940AC">
        <w:rPr>
          <w:rFonts w:cs="Times New Roman"/>
          <w:szCs w:val="24"/>
        </w:rPr>
        <w:t>’s</w:t>
      </w:r>
      <w:r>
        <w:rPr>
          <w:rFonts w:cs="Times New Roman"/>
          <w:szCs w:val="24"/>
        </w:rPr>
        <w:t xml:space="preserve"> </w:t>
      </w:r>
      <w:r w:rsidR="00E940AC">
        <w:rPr>
          <w:rFonts w:cs="Times New Roman"/>
          <w:szCs w:val="24"/>
        </w:rPr>
        <w:t>understanding of workers as enmeshed in meaningful relationship with their employer</w:t>
      </w:r>
      <w:r>
        <w:rPr>
          <w:rFonts w:cs="Times New Roman"/>
          <w:szCs w:val="24"/>
        </w:rPr>
        <w:t xml:space="preserve">, it would seem important to consider the </w:t>
      </w:r>
      <w:r w:rsidR="0049364C">
        <w:rPr>
          <w:rFonts w:cs="Times New Roman"/>
          <w:szCs w:val="24"/>
        </w:rPr>
        <w:t>beings</w:t>
      </w:r>
      <w:r w:rsidR="00E940AC">
        <w:rPr>
          <w:rFonts w:cs="Times New Roman"/>
          <w:szCs w:val="24"/>
        </w:rPr>
        <w:t xml:space="preserve"> counted as worthy and qualified</w:t>
      </w:r>
      <w:r>
        <w:rPr>
          <w:rFonts w:cs="Times New Roman"/>
          <w:szCs w:val="24"/>
        </w:rPr>
        <w:t xml:space="preserve">.  Rather than </w:t>
      </w:r>
      <w:r w:rsidR="00E940AC">
        <w:rPr>
          <w:rFonts w:cs="Times New Roman"/>
          <w:szCs w:val="24"/>
        </w:rPr>
        <w:t xml:space="preserve">accepting </w:t>
      </w:r>
      <w:r>
        <w:rPr>
          <w:rFonts w:cs="Times New Roman"/>
          <w:szCs w:val="24"/>
        </w:rPr>
        <w:t xml:space="preserve">the firm as the sole </w:t>
      </w:r>
      <w:r w:rsidR="00E940AC">
        <w:rPr>
          <w:rFonts w:cs="Times New Roman"/>
          <w:szCs w:val="24"/>
        </w:rPr>
        <w:t xml:space="preserve">authorised </w:t>
      </w:r>
      <w:r>
        <w:rPr>
          <w:rFonts w:cs="Times New Roman"/>
          <w:szCs w:val="24"/>
        </w:rPr>
        <w:t>account provider</w:t>
      </w:r>
      <w:r w:rsidR="0049364C">
        <w:rPr>
          <w:rFonts w:cs="Times New Roman"/>
          <w:szCs w:val="24"/>
        </w:rPr>
        <w:t>,</w:t>
      </w:r>
      <w:r>
        <w:rPr>
          <w:rFonts w:cs="Times New Roman"/>
          <w:szCs w:val="24"/>
        </w:rPr>
        <w:t xml:space="preserve"> we suggest the need to develop systems of accounting for the other, by the other (Mouck, 1995). </w:t>
      </w:r>
      <w:r w:rsidR="00E8395A">
        <w:rPr>
          <w:rFonts w:cs="Times New Roman"/>
          <w:szCs w:val="24"/>
        </w:rPr>
        <w:t xml:space="preserve"> </w:t>
      </w:r>
      <w:r>
        <w:rPr>
          <w:rFonts w:cs="Times New Roman"/>
          <w:szCs w:val="24"/>
        </w:rPr>
        <w:t xml:space="preserve">If, accounting </w:t>
      </w:r>
      <w:r w:rsidR="00DB43CB">
        <w:rPr>
          <w:rFonts w:cs="Times New Roman"/>
          <w:szCs w:val="24"/>
        </w:rPr>
        <w:t xml:space="preserve">practice was to be informed by the </w:t>
      </w:r>
      <w:r w:rsidR="00DB43CB" w:rsidRPr="0009081D">
        <w:rPr>
          <w:rFonts w:cs="Times New Roman"/>
          <w:i/>
          <w:szCs w:val="24"/>
        </w:rPr>
        <w:t>domestic-inspired</w:t>
      </w:r>
      <w:r w:rsidR="00DB43CB">
        <w:rPr>
          <w:rFonts w:cs="Times New Roman"/>
          <w:szCs w:val="24"/>
        </w:rPr>
        <w:t xml:space="preserve"> order</w:t>
      </w:r>
      <w:r w:rsidR="0074112F">
        <w:rPr>
          <w:rFonts w:cs="Times New Roman"/>
          <w:szCs w:val="24"/>
        </w:rPr>
        <w:t>,</w:t>
      </w:r>
      <w:r>
        <w:rPr>
          <w:rFonts w:cs="Times New Roman"/>
          <w:szCs w:val="24"/>
        </w:rPr>
        <w:t xml:space="preserve"> and account for the impact of the wages on the worker</w:t>
      </w:r>
      <w:r w:rsidR="0074112F">
        <w:rPr>
          <w:rFonts w:cs="Times New Roman"/>
          <w:szCs w:val="24"/>
        </w:rPr>
        <w:t>,</w:t>
      </w:r>
      <w:r>
        <w:rPr>
          <w:rFonts w:cs="Times New Roman"/>
          <w:szCs w:val="24"/>
        </w:rPr>
        <w:t xml:space="preserve"> it would need to be an account prepared </w:t>
      </w:r>
      <w:r w:rsidRPr="0049364C">
        <w:rPr>
          <w:rFonts w:cs="Times New Roman"/>
          <w:i/>
          <w:szCs w:val="24"/>
        </w:rPr>
        <w:t>by</w:t>
      </w:r>
      <w:r>
        <w:rPr>
          <w:rFonts w:cs="Times New Roman"/>
          <w:szCs w:val="24"/>
        </w:rPr>
        <w:t xml:space="preserve"> </w:t>
      </w:r>
      <w:r w:rsidR="0049364C">
        <w:rPr>
          <w:rFonts w:cs="Times New Roman"/>
          <w:szCs w:val="24"/>
        </w:rPr>
        <w:t xml:space="preserve">(or at least </w:t>
      </w:r>
      <w:r w:rsidR="0049364C">
        <w:rPr>
          <w:rFonts w:cs="Times New Roman"/>
          <w:i/>
          <w:szCs w:val="24"/>
        </w:rPr>
        <w:t xml:space="preserve">for) </w:t>
      </w:r>
      <w:r>
        <w:rPr>
          <w:rFonts w:cs="Times New Roman"/>
          <w:szCs w:val="24"/>
        </w:rPr>
        <w:t>the worke</w:t>
      </w:r>
      <w:r w:rsidR="0074112F">
        <w:rPr>
          <w:rFonts w:cs="Times New Roman"/>
          <w:szCs w:val="24"/>
        </w:rPr>
        <w:t>r</w:t>
      </w:r>
      <w:r>
        <w:rPr>
          <w:rFonts w:cs="Times New Roman"/>
          <w:szCs w:val="24"/>
        </w:rPr>
        <w:t xml:space="preserve">.  </w:t>
      </w:r>
      <w:r w:rsidR="0095485D">
        <w:rPr>
          <w:rFonts w:cs="Times New Roman"/>
          <w:szCs w:val="24"/>
        </w:rPr>
        <w:t xml:space="preserve">While these could take the form of worker accounts embedded within, or as part of, usual accounting </w:t>
      </w:r>
      <w:r w:rsidR="004846C9">
        <w:rPr>
          <w:rFonts w:cs="Times New Roman"/>
          <w:szCs w:val="24"/>
        </w:rPr>
        <w:t>artefacts</w:t>
      </w:r>
      <w:r w:rsidR="0095485D">
        <w:rPr>
          <w:rFonts w:cs="Times New Roman"/>
          <w:szCs w:val="24"/>
        </w:rPr>
        <w:t xml:space="preserve"> such as the annual report, they could also be prepared outside of the firm.  For example, external accounts where </w:t>
      </w:r>
      <w:r w:rsidR="00BB56E6">
        <w:rPr>
          <w:rFonts w:cs="Times New Roman"/>
          <w:szCs w:val="24"/>
        </w:rPr>
        <w:t>workers or others outside of the firm give voice to the employee of work and in particular accounts for (low)</w:t>
      </w:r>
      <w:r w:rsidR="004846C9">
        <w:rPr>
          <w:rFonts w:cs="Times New Roman"/>
          <w:szCs w:val="24"/>
        </w:rPr>
        <w:t xml:space="preserve"> </w:t>
      </w:r>
      <w:r w:rsidR="00BB56E6">
        <w:rPr>
          <w:rFonts w:cs="Times New Roman"/>
          <w:szCs w:val="24"/>
        </w:rPr>
        <w:t>wages</w:t>
      </w:r>
      <w:r w:rsidR="00E941B3">
        <w:rPr>
          <w:rFonts w:cs="Times New Roman"/>
          <w:szCs w:val="24"/>
        </w:rPr>
        <w:t xml:space="preserve"> (Cooper et al’s </w:t>
      </w:r>
      <w:r w:rsidR="0071291A">
        <w:rPr>
          <w:rFonts w:cs="Times New Roman"/>
          <w:szCs w:val="24"/>
        </w:rPr>
        <w:t xml:space="preserve">(2005) </w:t>
      </w:r>
      <w:r w:rsidR="00E941B3">
        <w:rPr>
          <w:rFonts w:cs="Times New Roman"/>
          <w:szCs w:val="24"/>
        </w:rPr>
        <w:t>study on student hardship discussed above provides some insights on the potential here)</w:t>
      </w:r>
      <w:r w:rsidR="00BB56E6">
        <w:rPr>
          <w:rFonts w:cs="Times New Roman"/>
          <w:szCs w:val="24"/>
        </w:rPr>
        <w:t xml:space="preserve">. </w:t>
      </w:r>
      <w:r w:rsidR="0095485D">
        <w:rPr>
          <w:rFonts w:cs="Times New Roman"/>
          <w:szCs w:val="24"/>
        </w:rPr>
        <w:t xml:space="preserve"> </w:t>
      </w:r>
      <w:r>
        <w:rPr>
          <w:rFonts w:cs="Times New Roman"/>
          <w:szCs w:val="24"/>
        </w:rPr>
        <w:t xml:space="preserve">Only then, </w:t>
      </w:r>
      <w:r w:rsidR="00BB56E6">
        <w:rPr>
          <w:rFonts w:cs="Times New Roman"/>
          <w:szCs w:val="24"/>
        </w:rPr>
        <w:t xml:space="preserve">we suggest, </w:t>
      </w:r>
      <w:r>
        <w:rPr>
          <w:rFonts w:cs="Times New Roman"/>
          <w:szCs w:val="24"/>
        </w:rPr>
        <w:t xml:space="preserve">would </w:t>
      </w:r>
      <w:r w:rsidR="003F7FDE">
        <w:rPr>
          <w:rFonts w:cs="Times New Roman"/>
          <w:szCs w:val="24"/>
        </w:rPr>
        <w:t xml:space="preserve">accounting for </w:t>
      </w:r>
      <w:r w:rsidR="0049364C">
        <w:rPr>
          <w:rFonts w:cs="Times New Roman"/>
          <w:szCs w:val="24"/>
        </w:rPr>
        <w:t>the dignity of the human worker</w:t>
      </w:r>
      <w:r w:rsidR="003F7FDE">
        <w:rPr>
          <w:rFonts w:cs="Times New Roman"/>
          <w:szCs w:val="24"/>
        </w:rPr>
        <w:t xml:space="preserve"> be possible.</w:t>
      </w:r>
      <w:r w:rsidR="00A32051">
        <w:rPr>
          <w:rFonts w:cs="Times New Roman"/>
          <w:szCs w:val="24"/>
        </w:rPr>
        <w:t xml:space="preserve"> </w:t>
      </w:r>
    </w:p>
    <w:p w14:paraId="254F7852" w14:textId="77777777" w:rsidR="00DB43CB" w:rsidRDefault="00DB43CB" w:rsidP="008F53CF">
      <w:pPr>
        <w:rPr>
          <w:rFonts w:cs="Times New Roman"/>
          <w:szCs w:val="24"/>
        </w:rPr>
      </w:pPr>
    </w:p>
    <w:p w14:paraId="5D327434" w14:textId="3F2496FD" w:rsidR="00641445" w:rsidRPr="00641445" w:rsidRDefault="0049364C" w:rsidP="006E0ACB">
      <w:pPr>
        <w:rPr>
          <w:rFonts w:eastAsia="Times New Roman" w:cs="Times New Roman"/>
          <w:color w:val="000000"/>
          <w:lang w:eastAsia="en-NZ"/>
        </w:rPr>
      </w:pPr>
      <w:r>
        <w:rPr>
          <w:rFonts w:cs="Times New Roman"/>
          <w:szCs w:val="24"/>
        </w:rPr>
        <w:t>Secondly</w:t>
      </w:r>
      <w:r w:rsidR="00BB56E6">
        <w:rPr>
          <w:rFonts w:cs="Times New Roman"/>
          <w:szCs w:val="24"/>
        </w:rPr>
        <w:t>,</w:t>
      </w:r>
      <w:r>
        <w:rPr>
          <w:rFonts w:cs="Times New Roman"/>
          <w:szCs w:val="24"/>
        </w:rPr>
        <w:t xml:space="preserve"> we ask how does </w:t>
      </w:r>
      <w:r w:rsidR="00141258">
        <w:rPr>
          <w:rFonts w:cs="Times New Roman"/>
          <w:szCs w:val="24"/>
        </w:rPr>
        <w:t xml:space="preserve">current </w:t>
      </w:r>
      <w:r>
        <w:rPr>
          <w:rFonts w:cs="Times New Roman"/>
          <w:szCs w:val="24"/>
        </w:rPr>
        <w:t xml:space="preserve">accounting </w:t>
      </w:r>
      <w:r w:rsidR="00E941B3">
        <w:rPr>
          <w:rFonts w:cs="Times New Roman"/>
          <w:szCs w:val="24"/>
        </w:rPr>
        <w:t xml:space="preserve">discourse and </w:t>
      </w:r>
      <w:r>
        <w:rPr>
          <w:rFonts w:cs="Times New Roman"/>
          <w:szCs w:val="24"/>
        </w:rPr>
        <w:t xml:space="preserve">practice privilege the </w:t>
      </w:r>
      <w:r w:rsidR="00141258">
        <w:rPr>
          <w:rFonts w:cs="Times New Roman"/>
          <w:szCs w:val="24"/>
        </w:rPr>
        <w:t>firm-centric</w:t>
      </w:r>
      <w:r>
        <w:rPr>
          <w:rFonts w:cs="Times New Roman"/>
          <w:szCs w:val="24"/>
        </w:rPr>
        <w:t xml:space="preserve"> focus of the </w:t>
      </w:r>
      <w:r w:rsidRPr="0009081D">
        <w:rPr>
          <w:rFonts w:cs="Times New Roman"/>
          <w:i/>
          <w:szCs w:val="24"/>
        </w:rPr>
        <w:t>market</w:t>
      </w:r>
      <w:r>
        <w:rPr>
          <w:rFonts w:cs="Times New Roman"/>
          <w:szCs w:val="24"/>
        </w:rPr>
        <w:t xml:space="preserve"> order (RQ</w:t>
      </w:r>
      <w:r w:rsidR="00141258">
        <w:rPr>
          <w:rFonts w:cs="Times New Roman"/>
          <w:szCs w:val="24"/>
        </w:rPr>
        <w:t xml:space="preserve">2) over and against the </w:t>
      </w:r>
      <w:r w:rsidR="000370FA">
        <w:rPr>
          <w:rFonts w:cs="Times New Roman"/>
          <w:szCs w:val="24"/>
        </w:rPr>
        <w:t xml:space="preserve">recognition of </w:t>
      </w:r>
      <w:r w:rsidR="00141258">
        <w:rPr>
          <w:rFonts w:cs="Times New Roman"/>
          <w:szCs w:val="24"/>
        </w:rPr>
        <w:t xml:space="preserve">social impacts implied by the </w:t>
      </w:r>
      <w:r w:rsidR="00141258" w:rsidRPr="0009081D">
        <w:rPr>
          <w:rFonts w:cs="Times New Roman"/>
          <w:i/>
          <w:szCs w:val="24"/>
        </w:rPr>
        <w:t>civic</w:t>
      </w:r>
      <w:r w:rsidR="00141258">
        <w:rPr>
          <w:rFonts w:cs="Times New Roman"/>
          <w:szCs w:val="24"/>
        </w:rPr>
        <w:t xml:space="preserve"> order</w:t>
      </w:r>
      <w:r w:rsidR="000370FA">
        <w:rPr>
          <w:rFonts w:cs="Times New Roman"/>
          <w:szCs w:val="24"/>
        </w:rPr>
        <w:t>,</w:t>
      </w:r>
      <w:r w:rsidR="00141258">
        <w:rPr>
          <w:rFonts w:cs="Times New Roman"/>
          <w:szCs w:val="24"/>
        </w:rPr>
        <w:t xml:space="preserve"> and what are the implications for accounting of this latter order (RQ3)? </w:t>
      </w:r>
      <w:r>
        <w:rPr>
          <w:rFonts w:cs="Times New Roman"/>
          <w:szCs w:val="24"/>
        </w:rPr>
        <w:t xml:space="preserve"> </w:t>
      </w:r>
      <w:r w:rsidR="00106E7C">
        <w:rPr>
          <w:lang w:val="en-AU"/>
        </w:rPr>
        <w:t>The</w:t>
      </w:r>
      <w:r w:rsidR="00106E7C" w:rsidRPr="0009081D">
        <w:rPr>
          <w:i/>
          <w:lang w:val="en-AU"/>
        </w:rPr>
        <w:t xml:space="preserve"> </w:t>
      </w:r>
      <w:r w:rsidR="00106E7C" w:rsidRPr="00BB56E6">
        <w:rPr>
          <w:i/>
          <w:lang w:val="en-AU"/>
        </w:rPr>
        <w:t>civic</w:t>
      </w:r>
      <w:r w:rsidR="00106E7C" w:rsidRPr="0009081D">
        <w:rPr>
          <w:lang w:val="en-AU"/>
        </w:rPr>
        <w:t xml:space="preserve"> </w:t>
      </w:r>
      <w:r w:rsidR="00106E7C">
        <w:rPr>
          <w:lang w:val="en-AU"/>
        </w:rPr>
        <w:t>polity, Boltanski and Thévenot state (2006, p. 110), calls each individual</w:t>
      </w:r>
      <w:r w:rsidR="00106E7C" w:rsidRPr="00F25D87">
        <w:rPr>
          <w:lang w:val="en-AU"/>
        </w:rPr>
        <w:t xml:space="preserve"> </w:t>
      </w:r>
      <w:r w:rsidR="00106E7C">
        <w:rPr>
          <w:lang w:val="en-AU"/>
        </w:rPr>
        <w:t>“</w:t>
      </w:r>
      <w:r w:rsidR="00106E7C" w:rsidRPr="00F25D87">
        <w:rPr>
          <w:lang w:val="en-AU"/>
        </w:rPr>
        <w:t xml:space="preserve">to escape </w:t>
      </w:r>
      <w:r w:rsidR="00106E7C">
        <w:rPr>
          <w:lang w:val="en-AU"/>
        </w:rPr>
        <w:t>[</w:t>
      </w:r>
      <w:r w:rsidR="00106E7C" w:rsidRPr="00F25D87">
        <w:rPr>
          <w:lang w:val="en-AU"/>
        </w:rPr>
        <w:t>a</w:t>
      </w:r>
      <w:r w:rsidR="00106E7C">
        <w:rPr>
          <w:lang w:val="en-AU"/>
        </w:rPr>
        <w:t xml:space="preserve">] selfish, deficient </w:t>
      </w:r>
      <w:r w:rsidR="00106E7C" w:rsidRPr="00F25D87">
        <w:rPr>
          <w:lang w:val="en-AU"/>
        </w:rPr>
        <w:t xml:space="preserve">state and to reach a second state in which they </w:t>
      </w:r>
      <w:r w:rsidR="00106E7C">
        <w:rPr>
          <w:lang w:val="en-AU"/>
        </w:rPr>
        <w:t xml:space="preserve">are </w:t>
      </w:r>
      <w:r w:rsidR="00106E7C" w:rsidRPr="00F25D87">
        <w:rPr>
          <w:lang w:val="en-AU"/>
        </w:rPr>
        <w:t>concern</w:t>
      </w:r>
      <w:r w:rsidR="00106E7C">
        <w:rPr>
          <w:lang w:val="en-AU"/>
        </w:rPr>
        <w:t>ed not with their own interest but with the interest of all”</w:t>
      </w:r>
      <w:r w:rsidR="000C6DF3">
        <w:rPr>
          <w:lang w:val="en-AU"/>
        </w:rPr>
        <w:t xml:space="preserve">. </w:t>
      </w:r>
      <w:r w:rsidR="00E941B3">
        <w:rPr>
          <w:lang w:val="en-AU"/>
        </w:rPr>
        <w:t xml:space="preserve"> </w:t>
      </w:r>
      <w:r w:rsidR="000C6DF3">
        <w:rPr>
          <w:lang w:val="en-AU"/>
        </w:rPr>
        <w:t>In this world, “</w:t>
      </w:r>
      <w:r w:rsidR="000C6DF3" w:rsidRPr="000C6DF3">
        <w:rPr>
          <w:lang w:val="en-AU"/>
        </w:rPr>
        <w:t>one attains worth by … refusing to place “individual interests ahead of collective interests”</w:t>
      </w:r>
      <w:r w:rsidR="000C6DF3">
        <w:rPr>
          <w:lang w:val="en-AU"/>
        </w:rPr>
        <w:t xml:space="preserve"> (ibid., p. 190)</w:t>
      </w:r>
      <w:r w:rsidR="00106E7C">
        <w:rPr>
          <w:lang w:val="en-AU"/>
        </w:rPr>
        <w:t xml:space="preserve">.  </w:t>
      </w:r>
      <w:r w:rsidR="0022704E">
        <w:rPr>
          <w:rFonts w:eastAsia="Times New Roman" w:cs="Times New Roman"/>
          <w:color w:val="000000"/>
          <w:lang w:eastAsia="en-NZ"/>
        </w:rPr>
        <w:t xml:space="preserve">In arguing that the social problems that arise from </w:t>
      </w:r>
      <w:r w:rsidR="00106E7C">
        <w:rPr>
          <w:rFonts w:eastAsia="Times New Roman" w:cs="Times New Roman"/>
          <w:color w:val="000000"/>
          <w:lang w:eastAsia="en-NZ"/>
        </w:rPr>
        <w:t xml:space="preserve">inequality and </w:t>
      </w:r>
      <w:r w:rsidR="0022704E">
        <w:rPr>
          <w:rFonts w:eastAsia="Times New Roman" w:cs="Times New Roman"/>
          <w:color w:val="000000"/>
          <w:lang w:eastAsia="en-NZ"/>
        </w:rPr>
        <w:t>low wage</w:t>
      </w:r>
      <w:r w:rsidR="00106E7C">
        <w:rPr>
          <w:rFonts w:eastAsia="Times New Roman" w:cs="Times New Roman"/>
          <w:color w:val="000000"/>
          <w:lang w:eastAsia="en-NZ"/>
        </w:rPr>
        <w:t>s</w:t>
      </w:r>
      <w:r w:rsidR="0022704E">
        <w:rPr>
          <w:rFonts w:eastAsia="Times New Roman" w:cs="Times New Roman"/>
          <w:color w:val="000000"/>
          <w:lang w:eastAsia="en-NZ"/>
        </w:rPr>
        <w:t xml:space="preserve"> are not the responsibility of </w:t>
      </w:r>
      <w:r w:rsidR="003E524C">
        <w:rPr>
          <w:rFonts w:eastAsia="Times New Roman" w:cs="Times New Roman"/>
          <w:color w:val="000000"/>
          <w:lang w:eastAsia="en-NZ"/>
        </w:rPr>
        <w:t>firms</w:t>
      </w:r>
      <w:r w:rsidR="0022704E">
        <w:rPr>
          <w:rFonts w:eastAsia="Times New Roman" w:cs="Times New Roman"/>
          <w:color w:val="000000"/>
          <w:lang w:eastAsia="en-NZ"/>
        </w:rPr>
        <w:t xml:space="preserve">, </w:t>
      </w:r>
      <w:r w:rsidR="00106E7C">
        <w:rPr>
          <w:rFonts w:eastAsia="Times New Roman" w:cs="Times New Roman"/>
          <w:color w:val="000000"/>
          <w:lang w:eastAsia="en-NZ"/>
        </w:rPr>
        <w:t>business organisations</w:t>
      </w:r>
      <w:r w:rsidR="0022704E">
        <w:rPr>
          <w:rFonts w:eastAsia="Times New Roman" w:cs="Times New Roman"/>
          <w:color w:val="000000"/>
          <w:lang w:eastAsia="en-NZ"/>
        </w:rPr>
        <w:t xml:space="preserve"> insist on a strong firm-society division</w:t>
      </w:r>
      <w:r w:rsidR="00A32051">
        <w:rPr>
          <w:rFonts w:eastAsia="Times New Roman" w:cs="Times New Roman"/>
          <w:color w:val="000000"/>
          <w:lang w:eastAsia="en-NZ"/>
        </w:rPr>
        <w:t xml:space="preserve"> </w:t>
      </w:r>
      <w:r w:rsidR="000C6DF3" w:rsidRPr="000C6DF3">
        <w:rPr>
          <w:rFonts w:eastAsia="Times New Roman" w:cs="Times New Roman"/>
          <w:color w:val="000000"/>
          <w:lang w:eastAsia="en-NZ"/>
        </w:rPr>
        <w:t>that</w:t>
      </w:r>
      <w:r w:rsidR="000C6DF3">
        <w:rPr>
          <w:rFonts w:eastAsia="Times New Roman" w:cs="Times New Roman"/>
          <w:color w:val="000000"/>
          <w:lang w:eastAsia="en-NZ"/>
        </w:rPr>
        <w:t xml:space="preserve"> privileges</w:t>
      </w:r>
      <w:r w:rsidR="000C6DF3" w:rsidRPr="000C6DF3">
        <w:rPr>
          <w:rFonts w:eastAsia="Times New Roman" w:cs="Times New Roman"/>
          <w:color w:val="000000"/>
          <w:lang w:eastAsia="en-NZ"/>
        </w:rPr>
        <w:t xml:space="preserve"> the (</w:t>
      </w:r>
      <w:r w:rsidR="000C6DF3" w:rsidRPr="008A5AAA">
        <w:rPr>
          <w:rFonts w:eastAsia="Times New Roman" w:cs="Times New Roman"/>
          <w:i/>
          <w:color w:val="000000"/>
          <w:lang w:eastAsia="en-NZ"/>
        </w:rPr>
        <w:t>market</w:t>
      </w:r>
      <w:r w:rsidR="000C6DF3" w:rsidRPr="000C6DF3">
        <w:rPr>
          <w:rFonts w:eastAsia="Times New Roman" w:cs="Times New Roman"/>
          <w:color w:val="000000"/>
          <w:lang w:eastAsia="en-NZ"/>
        </w:rPr>
        <w:t xml:space="preserve"> order) self-interest of profit-focussed employers over a (</w:t>
      </w:r>
      <w:r w:rsidR="000C6DF3" w:rsidRPr="008A5AAA">
        <w:rPr>
          <w:rFonts w:eastAsia="Times New Roman" w:cs="Times New Roman"/>
          <w:i/>
          <w:color w:val="000000"/>
          <w:lang w:eastAsia="en-NZ"/>
        </w:rPr>
        <w:t>civic</w:t>
      </w:r>
      <w:r w:rsidR="000C6DF3" w:rsidRPr="000C6DF3">
        <w:rPr>
          <w:rFonts w:eastAsia="Times New Roman" w:cs="Times New Roman"/>
          <w:color w:val="000000"/>
          <w:lang w:eastAsia="en-NZ"/>
        </w:rPr>
        <w:t xml:space="preserve"> order) concern for the collective good of society</w:t>
      </w:r>
      <w:r w:rsidR="0022704E">
        <w:rPr>
          <w:rFonts w:eastAsia="Times New Roman" w:cs="Times New Roman"/>
          <w:color w:val="000000"/>
          <w:lang w:eastAsia="en-NZ"/>
        </w:rPr>
        <w:t xml:space="preserve">. </w:t>
      </w:r>
      <w:r w:rsidR="00E941B3">
        <w:rPr>
          <w:rFonts w:eastAsia="Times New Roman" w:cs="Times New Roman"/>
          <w:color w:val="000000"/>
          <w:lang w:eastAsia="en-NZ"/>
        </w:rPr>
        <w:t xml:space="preserve"> </w:t>
      </w:r>
      <w:r w:rsidR="00106E7C">
        <w:rPr>
          <w:lang w:val="en-AU"/>
        </w:rPr>
        <w:t>It is central to the living wage call that firms and their wage de</w:t>
      </w:r>
      <w:r w:rsidR="00141258">
        <w:rPr>
          <w:lang w:val="en-AU"/>
        </w:rPr>
        <w:t>cisions have impacts on society</w:t>
      </w:r>
      <w:r w:rsidR="000370FA">
        <w:rPr>
          <w:lang w:val="en-AU"/>
        </w:rPr>
        <w:t>,</w:t>
      </w:r>
      <w:r w:rsidR="00141258">
        <w:rPr>
          <w:lang w:val="en-AU"/>
        </w:rPr>
        <w:t xml:space="preserve"> and </w:t>
      </w:r>
      <w:r w:rsidR="00106E7C">
        <w:rPr>
          <w:rFonts w:cs="Times New Roman"/>
          <w:szCs w:val="24"/>
        </w:rPr>
        <w:t>that firms are not separate from but, rather, nested within society</w:t>
      </w:r>
      <w:r w:rsidR="00141258">
        <w:rPr>
          <w:rFonts w:cs="Times New Roman"/>
          <w:szCs w:val="24"/>
        </w:rPr>
        <w:t xml:space="preserve">.  Firms </w:t>
      </w:r>
      <w:r w:rsidR="00826C10" w:rsidRPr="00BE5F3A">
        <w:rPr>
          <w:rFonts w:cs="Times New Roman"/>
          <w:szCs w:val="24"/>
        </w:rPr>
        <w:t>rel</w:t>
      </w:r>
      <w:r w:rsidR="00826C10">
        <w:rPr>
          <w:rFonts w:cs="Times New Roman"/>
          <w:szCs w:val="24"/>
        </w:rPr>
        <w:t>y</w:t>
      </w:r>
      <w:r w:rsidR="00106E7C" w:rsidRPr="00BE5F3A">
        <w:rPr>
          <w:rFonts w:cs="Times New Roman"/>
          <w:szCs w:val="24"/>
        </w:rPr>
        <w:t xml:space="preserve"> on social resources </w:t>
      </w:r>
      <w:r w:rsidR="00826C10">
        <w:rPr>
          <w:rFonts w:cs="Times New Roman"/>
          <w:szCs w:val="24"/>
        </w:rPr>
        <w:t xml:space="preserve">– not only </w:t>
      </w:r>
      <w:r w:rsidR="00106E7C" w:rsidRPr="00BE5F3A">
        <w:rPr>
          <w:rFonts w:cs="Times New Roman"/>
          <w:szCs w:val="24"/>
        </w:rPr>
        <w:t>physical infrastructure, but also human capital resources such as a healthy, educated workforce</w:t>
      </w:r>
      <w:r w:rsidR="000370FA">
        <w:rPr>
          <w:rFonts w:cs="Times New Roman"/>
          <w:szCs w:val="24"/>
        </w:rPr>
        <w:t xml:space="preserve"> -</w:t>
      </w:r>
      <w:r w:rsidR="00141258">
        <w:rPr>
          <w:rFonts w:cs="Times New Roman"/>
          <w:szCs w:val="24"/>
        </w:rPr>
        <w:t xml:space="preserve"> yet t</w:t>
      </w:r>
      <w:r w:rsidR="00826C10">
        <w:rPr>
          <w:rFonts w:cs="Times New Roman"/>
          <w:szCs w:val="24"/>
        </w:rPr>
        <w:t>hese are</w:t>
      </w:r>
      <w:r w:rsidR="00106E7C">
        <w:rPr>
          <w:rFonts w:cs="Times New Roman"/>
          <w:szCs w:val="24"/>
        </w:rPr>
        <w:t xml:space="preserve"> also</w:t>
      </w:r>
      <w:r w:rsidR="00106E7C" w:rsidRPr="00BE5F3A">
        <w:rPr>
          <w:rFonts w:cs="Times New Roman"/>
          <w:szCs w:val="24"/>
        </w:rPr>
        <w:t xml:space="preserve"> </w:t>
      </w:r>
      <w:r w:rsidR="00826C10">
        <w:rPr>
          <w:rFonts w:cs="Times New Roman"/>
          <w:szCs w:val="24"/>
        </w:rPr>
        <w:t xml:space="preserve">often </w:t>
      </w:r>
      <w:r w:rsidR="0009081D">
        <w:rPr>
          <w:rFonts w:cs="Times New Roman"/>
          <w:szCs w:val="24"/>
        </w:rPr>
        <w:t>taken-for-</w:t>
      </w:r>
      <w:r w:rsidR="00106E7C" w:rsidRPr="00BE5F3A">
        <w:rPr>
          <w:rFonts w:cs="Times New Roman"/>
          <w:szCs w:val="24"/>
        </w:rPr>
        <w:t>granted and not accounted for</w:t>
      </w:r>
      <w:r w:rsidR="00826C10">
        <w:rPr>
          <w:rFonts w:cs="Times New Roman"/>
          <w:szCs w:val="24"/>
        </w:rPr>
        <w:t xml:space="preserve"> in current accounting practice</w:t>
      </w:r>
      <w:r w:rsidR="0009081D">
        <w:rPr>
          <w:rFonts w:cs="Times New Roman"/>
          <w:szCs w:val="24"/>
        </w:rPr>
        <w:t>s</w:t>
      </w:r>
      <w:r w:rsidR="00106E7C">
        <w:rPr>
          <w:rFonts w:cs="Times New Roman"/>
          <w:szCs w:val="24"/>
        </w:rPr>
        <w:t xml:space="preserve">. </w:t>
      </w:r>
    </w:p>
    <w:p w14:paraId="799C3700" w14:textId="77777777" w:rsidR="00641445" w:rsidRDefault="00641445" w:rsidP="006E0ACB">
      <w:pPr>
        <w:rPr>
          <w:rFonts w:cs="Times New Roman"/>
          <w:szCs w:val="24"/>
        </w:rPr>
      </w:pPr>
    </w:p>
    <w:p w14:paraId="1AB9B9C0" w14:textId="424305B9" w:rsidR="00EE13F1" w:rsidRDefault="00141258" w:rsidP="006E0ACB">
      <w:pPr>
        <w:rPr>
          <w:rFonts w:eastAsia="Times New Roman" w:cs="Times New Roman"/>
          <w:color w:val="000000"/>
          <w:lang w:eastAsia="en-NZ"/>
        </w:rPr>
      </w:pPr>
      <w:r>
        <w:rPr>
          <w:rFonts w:cs="Times New Roman"/>
          <w:szCs w:val="24"/>
        </w:rPr>
        <w:t xml:space="preserve">Once again, current </w:t>
      </w:r>
      <w:r w:rsidR="004846C9">
        <w:rPr>
          <w:rFonts w:cs="Times New Roman"/>
          <w:szCs w:val="24"/>
        </w:rPr>
        <w:t xml:space="preserve">accounting </w:t>
      </w:r>
      <w:r w:rsidR="00E941B3">
        <w:rPr>
          <w:rFonts w:cs="Times New Roman"/>
          <w:szCs w:val="24"/>
        </w:rPr>
        <w:t>discourses</w:t>
      </w:r>
      <w:r w:rsidR="0071291A">
        <w:rPr>
          <w:rFonts w:cs="Times New Roman"/>
          <w:szCs w:val="24"/>
        </w:rPr>
        <w:t xml:space="preserve"> </w:t>
      </w:r>
      <w:r>
        <w:rPr>
          <w:rFonts w:cs="Times New Roman"/>
          <w:szCs w:val="24"/>
        </w:rPr>
        <w:t xml:space="preserve">and practices </w:t>
      </w:r>
      <w:r w:rsidR="000370FA">
        <w:rPr>
          <w:rFonts w:cs="Times New Roman"/>
          <w:szCs w:val="24"/>
        </w:rPr>
        <w:t>stabilise and naturalise</w:t>
      </w:r>
      <w:r>
        <w:rPr>
          <w:rFonts w:cs="Times New Roman"/>
          <w:szCs w:val="24"/>
        </w:rPr>
        <w:t xml:space="preserve"> the </w:t>
      </w:r>
      <w:r w:rsidRPr="0009081D">
        <w:rPr>
          <w:rFonts w:cs="Times New Roman"/>
          <w:i/>
          <w:szCs w:val="24"/>
        </w:rPr>
        <w:t>market</w:t>
      </w:r>
      <w:r>
        <w:rPr>
          <w:rFonts w:cs="Times New Roman"/>
          <w:szCs w:val="24"/>
        </w:rPr>
        <w:t xml:space="preserve"> order in this respect. </w:t>
      </w:r>
      <w:r w:rsidR="00641445">
        <w:rPr>
          <w:rFonts w:cs="Times New Roman"/>
          <w:szCs w:val="24"/>
        </w:rPr>
        <w:t xml:space="preserve"> Annual</w:t>
      </w:r>
      <w:r>
        <w:rPr>
          <w:rFonts w:cs="Times New Roman"/>
          <w:szCs w:val="24"/>
        </w:rPr>
        <w:t xml:space="preserve"> reports are by their nature</w:t>
      </w:r>
      <w:r w:rsidR="00855D4C">
        <w:rPr>
          <w:rFonts w:cs="Times New Roman"/>
          <w:szCs w:val="24"/>
        </w:rPr>
        <w:t xml:space="preserve"> narrowly</w:t>
      </w:r>
      <w:r>
        <w:rPr>
          <w:rFonts w:cs="Times New Roman"/>
          <w:szCs w:val="24"/>
        </w:rPr>
        <w:t xml:space="preserve"> firm-centric</w:t>
      </w:r>
      <w:r w:rsidR="000370FA">
        <w:rPr>
          <w:rFonts w:cs="Times New Roman"/>
          <w:szCs w:val="24"/>
        </w:rPr>
        <w:t xml:space="preserve">: </w:t>
      </w:r>
      <w:r>
        <w:rPr>
          <w:rFonts w:cs="Times New Roman"/>
          <w:szCs w:val="24"/>
        </w:rPr>
        <w:t>b</w:t>
      </w:r>
      <w:r w:rsidR="00641445">
        <w:rPr>
          <w:rFonts w:cs="Times New Roman"/>
          <w:szCs w:val="24"/>
        </w:rPr>
        <w:t xml:space="preserve">roader societal impacts are </w:t>
      </w:r>
      <w:r w:rsidR="000370FA">
        <w:rPr>
          <w:rFonts w:cs="Times New Roman"/>
          <w:szCs w:val="24"/>
        </w:rPr>
        <w:t>typically excluded and seen as</w:t>
      </w:r>
      <w:r w:rsidR="00641445">
        <w:rPr>
          <w:rFonts w:cs="Times New Roman"/>
          <w:szCs w:val="24"/>
        </w:rPr>
        <w:t xml:space="preserve"> externalities</w:t>
      </w:r>
      <w:r>
        <w:rPr>
          <w:rFonts w:cs="Times New Roman"/>
          <w:szCs w:val="24"/>
        </w:rPr>
        <w:t xml:space="preserve">. </w:t>
      </w:r>
      <w:r w:rsidR="0009081D">
        <w:rPr>
          <w:rFonts w:cs="Times New Roman"/>
          <w:szCs w:val="24"/>
        </w:rPr>
        <w:t xml:space="preserve"> </w:t>
      </w:r>
      <w:r>
        <w:rPr>
          <w:rFonts w:cs="Times New Roman"/>
          <w:szCs w:val="24"/>
        </w:rPr>
        <w:t>Even in non-fin</w:t>
      </w:r>
      <w:r w:rsidR="00DD281A">
        <w:rPr>
          <w:rFonts w:cs="Times New Roman"/>
          <w:szCs w:val="24"/>
        </w:rPr>
        <w:t xml:space="preserve">ancial </w:t>
      </w:r>
      <w:r w:rsidR="00DD281A">
        <w:rPr>
          <w:rFonts w:cs="Times New Roman"/>
          <w:szCs w:val="24"/>
        </w:rPr>
        <w:lastRenderedPageBreak/>
        <w:t xml:space="preserve">reporting practices </w:t>
      </w:r>
      <w:r w:rsidR="00641445">
        <w:rPr>
          <w:rFonts w:cs="Times New Roman"/>
          <w:szCs w:val="24"/>
        </w:rPr>
        <w:t>w</w:t>
      </w:r>
      <w:r w:rsidR="00855D4C">
        <w:rPr>
          <w:rFonts w:cs="Times New Roman"/>
          <w:szCs w:val="24"/>
        </w:rPr>
        <w:t>h</w:t>
      </w:r>
      <w:r w:rsidR="00641445">
        <w:rPr>
          <w:rFonts w:cs="Times New Roman"/>
          <w:szCs w:val="24"/>
        </w:rPr>
        <w:t>ere</w:t>
      </w:r>
      <w:r w:rsidR="000A6BDC">
        <w:rPr>
          <w:rFonts w:cs="Times New Roman"/>
          <w:szCs w:val="24"/>
        </w:rPr>
        <w:t xml:space="preserve">, arguably, </w:t>
      </w:r>
      <w:r w:rsidR="00641445">
        <w:rPr>
          <w:rFonts w:cs="Times New Roman"/>
          <w:szCs w:val="24"/>
        </w:rPr>
        <w:t>the relationship between the firm and society is broadened, d</w:t>
      </w:r>
      <w:r w:rsidR="00DD281A">
        <w:rPr>
          <w:rFonts w:cs="Times New Roman"/>
          <w:szCs w:val="24"/>
        </w:rPr>
        <w:t>isclosures outlining the social impacts of wage distribution and impacts on society through income distribution</w:t>
      </w:r>
      <w:r w:rsidR="0009081D">
        <w:rPr>
          <w:rFonts w:cs="Times New Roman"/>
          <w:szCs w:val="24"/>
        </w:rPr>
        <w:t xml:space="preserve"> are not</w:t>
      </w:r>
      <w:r w:rsidR="00641445">
        <w:rPr>
          <w:rFonts w:cs="Times New Roman"/>
          <w:szCs w:val="24"/>
        </w:rPr>
        <w:t xml:space="preserve"> common</w:t>
      </w:r>
      <w:r w:rsidR="00DD281A">
        <w:rPr>
          <w:rFonts w:cs="Times New Roman"/>
          <w:szCs w:val="24"/>
        </w:rPr>
        <w:t>.</w:t>
      </w:r>
      <w:r w:rsidR="0071291A">
        <w:rPr>
          <w:rFonts w:cs="Times New Roman"/>
          <w:szCs w:val="24"/>
        </w:rPr>
        <w:t xml:space="preserve"> </w:t>
      </w:r>
      <w:r w:rsidR="00DD281A">
        <w:rPr>
          <w:rFonts w:cs="Times New Roman"/>
          <w:szCs w:val="24"/>
        </w:rPr>
        <w:t xml:space="preserve"> </w:t>
      </w:r>
      <w:r w:rsidR="00641445">
        <w:rPr>
          <w:rFonts w:cs="Times New Roman"/>
          <w:szCs w:val="24"/>
        </w:rPr>
        <w:t>This is perhaps driven by current reporting frameworks such as the Global Reporting Initiative (GRI) which, despite having a range of social indicators listed</w:t>
      </w:r>
      <w:r w:rsidR="0009081D">
        <w:rPr>
          <w:rFonts w:cs="Times New Roman"/>
          <w:szCs w:val="24"/>
        </w:rPr>
        <w:t xml:space="preserve"> (including ratios on </w:t>
      </w:r>
      <w:r w:rsidR="00641445">
        <w:rPr>
          <w:rFonts w:cs="Times New Roman"/>
          <w:szCs w:val="24"/>
        </w:rPr>
        <w:t xml:space="preserve">equal remuneration for women and men and </w:t>
      </w:r>
      <w:r w:rsidR="0009081D">
        <w:rPr>
          <w:rFonts w:cs="Times New Roman"/>
          <w:szCs w:val="24"/>
        </w:rPr>
        <w:t xml:space="preserve">an indicator on </w:t>
      </w:r>
      <w:r w:rsidR="00641445">
        <w:rPr>
          <w:rFonts w:cs="Times New Roman"/>
          <w:szCs w:val="24"/>
        </w:rPr>
        <w:t xml:space="preserve">benefits), does not outline indicators for reporting on </w:t>
      </w:r>
      <w:r w:rsidR="00855D4C">
        <w:rPr>
          <w:rFonts w:cs="Times New Roman"/>
          <w:szCs w:val="24"/>
        </w:rPr>
        <w:t xml:space="preserve">the broader social impacts of </w:t>
      </w:r>
      <w:r w:rsidR="00641445">
        <w:rPr>
          <w:rFonts w:cs="Times New Roman"/>
          <w:szCs w:val="24"/>
        </w:rPr>
        <w:t xml:space="preserve">remuneration </w:t>
      </w:r>
      <w:r w:rsidR="00855D4C">
        <w:rPr>
          <w:rFonts w:cs="Times New Roman"/>
          <w:szCs w:val="24"/>
        </w:rPr>
        <w:t>decisions</w:t>
      </w:r>
      <w:r w:rsidR="00641445">
        <w:rPr>
          <w:rFonts w:cs="Times New Roman"/>
          <w:szCs w:val="24"/>
        </w:rPr>
        <w:t xml:space="preserve">. </w:t>
      </w:r>
      <w:r w:rsidR="00157D49">
        <w:rPr>
          <w:rFonts w:cs="Times New Roman"/>
          <w:szCs w:val="24"/>
        </w:rPr>
        <w:t xml:space="preserve"> </w:t>
      </w:r>
      <w:r w:rsidR="00773D80">
        <w:rPr>
          <w:rFonts w:cs="Times New Roman"/>
          <w:szCs w:val="24"/>
        </w:rPr>
        <w:t>A</w:t>
      </w:r>
      <w:r w:rsidR="00157D49">
        <w:rPr>
          <w:rFonts w:cs="Times New Roman"/>
          <w:szCs w:val="24"/>
        </w:rPr>
        <w:t>s Bebbington and Unerman (2018</w:t>
      </w:r>
      <w:r w:rsidR="00C87AE2">
        <w:rPr>
          <w:rFonts w:cs="Times New Roman"/>
          <w:szCs w:val="24"/>
        </w:rPr>
        <w:t>, p 13)</w:t>
      </w:r>
      <w:r w:rsidR="00157D49">
        <w:rPr>
          <w:rFonts w:cs="Times New Roman"/>
          <w:szCs w:val="24"/>
        </w:rPr>
        <w:t xml:space="preserve"> note, accounting </w:t>
      </w:r>
      <w:r w:rsidR="00C87AE2">
        <w:rPr>
          <w:rFonts w:cs="Times New Roman"/>
          <w:szCs w:val="24"/>
        </w:rPr>
        <w:t>researchers n</w:t>
      </w:r>
      <w:r w:rsidR="00157D49">
        <w:rPr>
          <w:rFonts w:cs="Times New Roman"/>
          <w:szCs w:val="24"/>
        </w:rPr>
        <w:t xml:space="preserve">eed to “expand their horizons, moving beyond more familiar forms of organization-centric annual </w:t>
      </w:r>
      <w:r w:rsidR="00B1284D">
        <w:rPr>
          <w:rFonts w:cs="Times New Roman"/>
          <w:szCs w:val="24"/>
        </w:rPr>
        <w:t xml:space="preserve">sustainability reporting (such as GRI reports) that have focused on concerns of </w:t>
      </w:r>
      <w:r w:rsidR="00C87AE2">
        <w:rPr>
          <w:rFonts w:cs="Times New Roman"/>
          <w:szCs w:val="24"/>
        </w:rPr>
        <w:t>organizational-level responsibility, performance and accountabilities” and embrace novel indicators and technologies.</w:t>
      </w:r>
    </w:p>
    <w:p w14:paraId="53BD1E59" w14:textId="0EF711EB" w:rsidR="00EE13F1" w:rsidRDefault="00EE13F1" w:rsidP="006E0ACB">
      <w:pPr>
        <w:rPr>
          <w:rFonts w:eastAsia="Times New Roman" w:cs="Times New Roman"/>
          <w:color w:val="000000"/>
          <w:lang w:eastAsia="en-NZ"/>
        </w:rPr>
      </w:pPr>
    </w:p>
    <w:p w14:paraId="54A19750" w14:textId="764AE329" w:rsidR="002D2997" w:rsidRDefault="00855D4C" w:rsidP="0022704E">
      <w:pPr>
        <w:rPr>
          <w:rFonts w:cs="Times New Roman"/>
        </w:rPr>
      </w:pPr>
      <w:r>
        <w:rPr>
          <w:rFonts w:eastAsiaTheme="majorEastAsia" w:cs="Times New Roman"/>
          <w:color w:val="000000" w:themeColor="text1"/>
          <w:szCs w:val="32"/>
        </w:rPr>
        <w:t xml:space="preserve">Expressing </w:t>
      </w:r>
      <w:r w:rsidRPr="008A5AAA">
        <w:rPr>
          <w:rFonts w:eastAsiaTheme="majorEastAsia" w:cs="Times New Roman"/>
          <w:i/>
          <w:color w:val="000000" w:themeColor="text1"/>
          <w:szCs w:val="32"/>
        </w:rPr>
        <w:t>civic</w:t>
      </w:r>
      <w:r>
        <w:rPr>
          <w:rFonts w:eastAsiaTheme="majorEastAsia" w:cs="Times New Roman"/>
          <w:color w:val="000000" w:themeColor="text1"/>
          <w:szCs w:val="32"/>
        </w:rPr>
        <w:t xml:space="preserve"> values within accounting </w:t>
      </w:r>
      <w:r w:rsidR="00E941B3">
        <w:rPr>
          <w:rFonts w:eastAsiaTheme="majorEastAsia" w:cs="Times New Roman"/>
          <w:color w:val="000000" w:themeColor="text1"/>
          <w:szCs w:val="32"/>
        </w:rPr>
        <w:t xml:space="preserve">discourses and </w:t>
      </w:r>
      <w:r>
        <w:rPr>
          <w:rFonts w:eastAsiaTheme="majorEastAsia" w:cs="Times New Roman"/>
          <w:color w:val="000000" w:themeColor="text1"/>
          <w:szCs w:val="32"/>
        </w:rPr>
        <w:t xml:space="preserve">practices </w:t>
      </w:r>
      <w:r w:rsidR="002D2997">
        <w:rPr>
          <w:rFonts w:eastAsiaTheme="majorEastAsia" w:cs="Times New Roman"/>
          <w:color w:val="000000" w:themeColor="text1"/>
          <w:szCs w:val="32"/>
        </w:rPr>
        <w:t>would require a reconsideration of what beings are taken to be worthy and important within the low-wage relationship.  Rather than assuming that individual worker</w:t>
      </w:r>
      <w:r>
        <w:rPr>
          <w:rFonts w:eastAsiaTheme="majorEastAsia" w:cs="Times New Roman"/>
          <w:color w:val="000000" w:themeColor="text1"/>
          <w:szCs w:val="32"/>
        </w:rPr>
        <w:t>s</w:t>
      </w:r>
      <w:r w:rsidR="002D2997">
        <w:rPr>
          <w:rFonts w:eastAsiaTheme="majorEastAsia" w:cs="Times New Roman"/>
          <w:color w:val="000000" w:themeColor="text1"/>
          <w:szCs w:val="32"/>
        </w:rPr>
        <w:t xml:space="preserve"> </w:t>
      </w:r>
      <w:r>
        <w:rPr>
          <w:rFonts w:eastAsiaTheme="majorEastAsia" w:cs="Times New Roman"/>
          <w:color w:val="000000" w:themeColor="text1"/>
          <w:szCs w:val="32"/>
        </w:rPr>
        <w:t>and</w:t>
      </w:r>
      <w:r w:rsidR="002D2997">
        <w:rPr>
          <w:rFonts w:eastAsiaTheme="majorEastAsia" w:cs="Times New Roman"/>
          <w:color w:val="000000" w:themeColor="text1"/>
          <w:szCs w:val="32"/>
        </w:rPr>
        <w:t xml:space="preserve"> individual firms are the appropriately qualified beings (</w:t>
      </w:r>
      <w:r w:rsidR="002D2997" w:rsidRPr="008A5AAA">
        <w:rPr>
          <w:rFonts w:eastAsiaTheme="majorEastAsia" w:cs="Times New Roman"/>
          <w:i/>
          <w:color w:val="000000" w:themeColor="text1"/>
          <w:szCs w:val="32"/>
        </w:rPr>
        <w:t>qua</w:t>
      </w:r>
      <w:r w:rsidR="002D2997">
        <w:rPr>
          <w:rFonts w:eastAsiaTheme="majorEastAsia" w:cs="Times New Roman"/>
          <w:color w:val="000000" w:themeColor="text1"/>
          <w:szCs w:val="32"/>
        </w:rPr>
        <w:t xml:space="preserve"> market participants) the </w:t>
      </w:r>
      <w:r w:rsidR="002D2997" w:rsidRPr="008A5AAA">
        <w:rPr>
          <w:rFonts w:eastAsiaTheme="majorEastAsia" w:cs="Times New Roman"/>
          <w:i/>
          <w:color w:val="000000" w:themeColor="text1"/>
          <w:szCs w:val="32"/>
        </w:rPr>
        <w:t>civic</w:t>
      </w:r>
      <w:r w:rsidR="002D2997">
        <w:rPr>
          <w:rFonts w:eastAsiaTheme="majorEastAsia" w:cs="Times New Roman"/>
          <w:color w:val="000000" w:themeColor="text1"/>
          <w:szCs w:val="32"/>
        </w:rPr>
        <w:t xml:space="preserve"> order posits the collective being of society as qualified.</w:t>
      </w:r>
      <w:r w:rsidR="00E941B3">
        <w:rPr>
          <w:rFonts w:eastAsiaTheme="majorEastAsia" w:cs="Times New Roman"/>
          <w:color w:val="000000" w:themeColor="text1"/>
          <w:szCs w:val="32"/>
        </w:rPr>
        <w:t xml:space="preserve"> </w:t>
      </w:r>
      <w:r w:rsidR="002D2997">
        <w:rPr>
          <w:rFonts w:eastAsiaTheme="majorEastAsia" w:cs="Times New Roman"/>
          <w:color w:val="000000" w:themeColor="text1"/>
          <w:szCs w:val="32"/>
        </w:rPr>
        <w:t xml:space="preserve"> As such, we should supplement firms’ accounts of their own performance with social accounts of the costs imposed on society by firm decisions.  </w:t>
      </w:r>
      <w:r w:rsidR="0022704E">
        <w:rPr>
          <w:rFonts w:eastAsia="Times New Roman" w:cs="Times New Roman"/>
          <w:color w:val="000000"/>
          <w:lang w:eastAsia="en-NZ"/>
        </w:rPr>
        <w:t>The most obvious way</w:t>
      </w:r>
      <w:r>
        <w:rPr>
          <w:rFonts w:eastAsia="Times New Roman" w:cs="Times New Roman"/>
          <w:color w:val="000000"/>
          <w:lang w:eastAsia="en-NZ"/>
        </w:rPr>
        <w:t xml:space="preserve"> in which accounting could account for the impact of low wages on wider society</w:t>
      </w:r>
      <w:r w:rsidR="0022704E">
        <w:rPr>
          <w:rFonts w:eastAsia="Times New Roman" w:cs="Times New Roman"/>
          <w:color w:val="000000"/>
          <w:lang w:eastAsia="en-NZ"/>
        </w:rPr>
        <w:t xml:space="preserve"> would be to measure and publish information about income distributions within firms, and within society. </w:t>
      </w:r>
      <w:r w:rsidR="008A5AAA">
        <w:rPr>
          <w:rFonts w:eastAsia="Times New Roman" w:cs="Times New Roman"/>
          <w:color w:val="000000"/>
          <w:lang w:eastAsia="en-NZ"/>
        </w:rPr>
        <w:t xml:space="preserve"> </w:t>
      </w:r>
      <w:r w:rsidR="00C762BE">
        <w:rPr>
          <w:rFonts w:cs="Times New Roman"/>
        </w:rPr>
        <w:t xml:space="preserve">An important aspect </w:t>
      </w:r>
      <w:r w:rsidR="00314AC1">
        <w:rPr>
          <w:rFonts w:cs="Times New Roman"/>
        </w:rPr>
        <w:t xml:space="preserve">here is the </w:t>
      </w:r>
      <w:r w:rsidR="00C762BE">
        <w:rPr>
          <w:rFonts w:cs="Times New Roman"/>
        </w:rPr>
        <w:t>call for more, and “better” disclosures (Ravenscroft &amp; Denison, 2014; Haller et al., 2016)</w:t>
      </w:r>
      <w:r w:rsidR="00314AC1">
        <w:rPr>
          <w:rFonts w:cs="Times New Roman"/>
        </w:rPr>
        <w:t xml:space="preserve">.  </w:t>
      </w:r>
      <w:r w:rsidR="008A5AAA">
        <w:rPr>
          <w:rFonts w:cs="Times New Roman"/>
        </w:rPr>
        <w:t>A</w:t>
      </w:r>
      <w:r>
        <w:rPr>
          <w:rFonts w:cs="Times New Roman"/>
        </w:rPr>
        <w:t>s we have discussed above, h</w:t>
      </w:r>
      <w:r w:rsidR="00C32725">
        <w:rPr>
          <w:rFonts w:cs="Times New Roman"/>
        </w:rPr>
        <w:t xml:space="preserve">owever, </w:t>
      </w:r>
      <w:r w:rsidRPr="00E941B3">
        <w:rPr>
          <w:rFonts w:cs="Times New Roman"/>
        </w:rPr>
        <w:t>calling for additional disclosures (</w:t>
      </w:r>
      <w:r w:rsidR="0030550D" w:rsidRPr="00E941B3">
        <w:rPr>
          <w:rFonts w:cs="Times New Roman"/>
        </w:rPr>
        <w:t>for example, on compensation, taxation and non-business expenses (Ravenscroft &amp; Denison, 2014) and value-added statement</w:t>
      </w:r>
      <w:r w:rsidR="00E941B3" w:rsidRPr="00E941B3">
        <w:rPr>
          <w:rFonts w:cs="Times New Roman"/>
        </w:rPr>
        <w:t xml:space="preserve">s which </w:t>
      </w:r>
      <w:r w:rsidR="0030550D" w:rsidRPr="00E941B3">
        <w:rPr>
          <w:rFonts w:cs="Times New Roman"/>
        </w:rPr>
        <w:t>reveal distributional fairness (Haller et al., 2016</w:t>
      </w:r>
      <w:r w:rsidRPr="00E941B3">
        <w:rPr>
          <w:rFonts w:cs="Times New Roman"/>
        </w:rPr>
        <w:t>)</w:t>
      </w:r>
      <w:r w:rsidR="002F333F">
        <w:rPr>
          <w:rFonts w:cs="Times New Roman"/>
        </w:rPr>
        <w:t>)</w:t>
      </w:r>
      <w:r>
        <w:rPr>
          <w:rFonts w:cs="Times New Roman"/>
        </w:rPr>
        <w:t xml:space="preserve"> is unlikely to be effective unless it addresses firms’ interests in disclosing such information</w:t>
      </w:r>
      <w:r w:rsidR="00385800">
        <w:rPr>
          <w:rFonts w:cs="Times New Roman"/>
        </w:rPr>
        <w:t xml:space="preserve"> and</w:t>
      </w:r>
      <w:r w:rsidR="00773D80">
        <w:rPr>
          <w:rFonts w:cs="Times New Roman"/>
        </w:rPr>
        <w:t xml:space="preserve"> </w:t>
      </w:r>
      <w:r w:rsidR="00385800">
        <w:rPr>
          <w:rFonts w:cs="Times New Roman"/>
        </w:rPr>
        <w:t xml:space="preserve">is </w:t>
      </w:r>
      <w:r w:rsidR="00385800" w:rsidRPr="00010ECF">
        <w:rPr>
          <w:rFonts w:cs="Times New Roman"/>
        </w:rPr>
        <w:t>supplemented with a real right to intervene in corporate decision-making (Piketty, 2014</w:t>
      </w:r>
      <w:r w:rsidR="00385800">
        <w:rPr>
          <w:rFonts w:cs="Times New Roman"/>
        </w:rPr>
        <w:t xml:space="preserve">).  </w:t>
      </w:r>
      <w:r w:rsidR="0009081D">
        <w:rPr>
          <w:rFonts w:cs="Times New Roman"/>
        </w:rPr>
        <w:t>A</w:t>
      </w:r>
      <w:r w:rsidR="00385800">
        <w:rPr>
          <w:rFonts w:cs="Times New Roman"/>
        </w:rPr>
        <w:t>s such</w:t>
      </w:r>
      <w:r w:rsidR="007B34B0">
        <w:rPr>
          <w:rFonts w:cs="Times New Roman"/>
        </w:rPr>
        <w:t>,</w:t>
      </w:r>
      <w:r w:rsidR="00385800">
        <w:rPr>
          <w:rFonts w:cs="Times New Roman"/>
        </w:rPr>
        <w:t xml:space="preserve"> while a </w:t>
      </w:r>
      <w:r w:rsidR="0009081D">
        <w:rPr>
          <w:rFonts w:cs="Times New Roman"/>
        </w:rPr>
        <w:t xml:space="preserve">way to facilitate </w:t>
      </w:r>
      <w:r w:rsidR="00385800">
        <w:rPr>
          <w:rFonts w:cs="Times New Roman"/>
        </w:rPr>
        <w:t>more disclosure</w:t>
      </w:r>
      <w:r w:rsidR="0009081D">
        <w:rPr>
          <w:rFonts w:cs="Times New Roman"/>
        </w:rPr>
        <w:t xml:space="preserve"> practices </w:t>
      </w:r>
      <w:r w:rsidR="00641445">
        <w:rPr>
          <w:rFonts w:cs="Times New Roman"/>
        </w:rPr>
        <w:t xml:space="preserve">would be </w:t>
      </w:r>
      <w:r w:rsidR="0009081D">
        <w:rPr>
          <w:rFonts w:cs="Times New Roman"/>
        </w:rPr>
        <w:t xml:space="preserve">to </w:t>
      </w:r>
      <w:r w:rsidR="00641445">
        <w:rPr>
          <w:rFonts w:cs="Times New Roman"/>
        </w:rPr>
        <w:t>includ</w:t>
      </w:r>
      <w:r w:rsidR="0009081D">
        <w:rPr>
          <w:rFonts w:cs="Times New Roman"/>
        </w:rPr>
        <w:t>e</w:t>
      </w:r>
      <w:r w:rsidR="00641445">
        <w:rPr>
          <w:rFonts w:cs="Times New Roman"/>
        </w:rPr>
        <w:t xml:space="preserve"> such disclosure </w:t>
      </w:r>
      <w:r w:rsidR="0009081D">
        <w:rPr>
          <w:rFonts w:cs="Times New Roman"/>
        </w:rPr>
        <w:t>items</w:t>
      </w:r>
      <w:r w:rsidR="00641445">
        <w:rPr>
          <w:rFonts w:cs="Times New Roman"/>
        </w:rPr>
        <w:t xml:space="preserve"> in current reporting guidance documents</w:t>
      </w:r>
      <w:r w:rsidR="00773D80">
        <w:rPr>
          <w:rFonts w:cs="Times New Roman"/>
        </w:rPr>
        <w:t xml:space="preserve"> (e.g.</w:t>
      </w:r>
      <w:r w:rsidR="00385800">
        <w:rPr>
          <w:rFonts w:cs="Times New Roman"/>
        </w:rPr>
        <w:t xml:space="preserve"> t</w:t>
      </w:r>
      <w:r w:rsidR="0009081D">
        <w:rPr>
          <w:rFonts w:cs="Times New Roman"/>
        </w:rPr>
        <w:t>he GRI</w:t>
      </w:r>
      <w:r w:rsidR="00773D80">
        <w:rPr>
          <w:rFonts w:cs="Times New Roman"/>
        </w:rPr>
        <w:t>)</w:t>
      </w:r>
      <w:r w:rsidR="0071291A">
        <w:rPr>
          <w:rFonts w:cs="Times New Roman"/>
        </w:rPr>
        <w:t xml:space="preserve">, </w:t>
      </w:r>
      <w:r w:rsidR="00E941B3">
        <w:rPr>
          <w:rFonts w:cs="Times New Roman"/>
        </w:rPr>
        <w:t>g</w:t>
      </w:r>
      <w:r w:rsidR="00314AC1">
        <w:rPr>
          <w:rFonts w:cs="Times New Roman"/>
        </w:rPr>
        <w:t>iven the li</w:t>
      </w:r>
      <w:r w:rsidR="00641445">
        <w:rPr>
          <w:rFonts w:cs="Times New Roman"/>
        </w:rPr>
        <w:t>mit</w:t>
      </w:r>
      <w:r>
        <w:rPr>
          <w:rFonts w:cs="Times New Roman"/>
        </w:rPr>
        <w:t>ation</w:t>
      </w:r>
      <w:r w:rsidR="00641445">
        <w:rPr>
          <w:rFonts w:cs="Times New Roman"/>
        </w:rPr>
        <w:t xml:space="preserve">s of </w:t>
      </w:r>
      <w:r w:rsidR="002F333F">
        <w:rPr>
          <w:rFonts w:cs="Times New Roman"/>
        </w:rPr>
        <w:t xml:space="preserve">corporate </w:t>
      </w:r>
      <w:r w:rsidR="00641445">
        <w:rPr>
          <w:rFonts w:cs="Times New Roman"/>
        </w:rPr>
        <w:t>disclosure</w:t>
      </w:r>
      <w:r w:rsidR="0030550D">
        <w:rPr>
          <w:rFonts w:cs="Times New Roman"/>
        </w:rPr>
        <w:t xml:space="preserve">, </w:t>
      </w:r>
      <w:r w:rsidR="00641445">
        <w:rPr>
          <w:rFonts w:cs="Times New Roman"/>
        </w:rPr>
        <w:t>t</w:t>
      </w:r>
      <w:r w:rsidR="00C762BE">
        <w:rPr>
          <w:rFonts w:cs="Times New Roman"/>
        </w:rPr>
        <w:t xml:space="preserve">here </w:t>
      </w:r>
      <w:r w:rsidR="00385800">
        <w:rPr>
          <w:rFonts w:cs="Times New Roman"/>
        </w:rPr>
        <w:t>are likely to</w:t>
      </w:r>
      <w:r>
        <w:rPr>
          <w:rFonts w:cs="Times New Roman"/>
        </w:rPr>
        <w:t xml:space="preserve"> be </w:t>
      </w:r>
      <w:r w:rsidR="00C762BE">
        <w:rPr>
          <w:rFonts w:cs="Times New Roman"/>
        </w:rPr>
        <w:t xml:space="preserve">other, more </w:t>
      </w:r>
      <w:r>
        <w:rPr>
          <w:rFonts w:cs="Times New Roman"/>
        </w:rPr>
        <w:t xml:space="preserve">effective, ways to embody civic values within accounting </w:t>
      </w:r>
      <w:r w:rsidR="00385800">
        <w:rPr>
          <w:rFonts w:cs="Times New Roman"/>
        </w:rPr>
        <w:t xml:space="preserve">discourses and </w:t>
      </w:r>
      <w:r>
        <w:rPr>
          <w:rFonts w:cs="Times New Roman"/>
        </w:rPr>
        <w:t>practices.</w:t>
      </w:r>
      <w:r w:rsidR="00360FBB">
        <w:rPr>
          <w:rFonts w:cs="Times New Roman"/>
        </w:rPr>
        <w:t xml:space="preserve">  </w:t>
      </w:r>
    </w:p>
    <w:p w14:paraId="37F7F140" w14:textId="77777777" w:rsidR="002D2997" w:rsidRDefault="002D2997" w:rsidP="0022704E">
      <w:pPr>
        <w:rPr>
          <w:rFonts w:cs="Times New Roman"/>
        </w:rPr>
      </w:pPr>
    </w:p>
    <w:p w14:paraId="6D2ABCA6" w14:textId="31F983E5" w:rsidR="00BF0FF9" w:rsidRDefault="00385800" w:rsidP="0022704E">
      <w:r>
        <w:rPr>
          <w:rFonts w:eastAsiaTheme="majorEastAsia" w:cs="Times New Roman"/>
          <w:color w:val="000000" w:themeColor="text1"/>
          <w:szCs w:val="32"/>
        </w:rPr>
        <w:lastRenderedPageBreak/>
        <w:t>S</w:t>
      </w:r>
      <w:r w:rsidR="00360FBB">
        <w:rPr>
          <w:rFonts w:eastAsiaTheme="majorEastAsia" w:cs="Times New Roman"/>
          <w:color w:val="000000" w:themeColor="text1"/>
          <w:szCs w:val="32"/>
        </w:rPr>
        <w:t>ocial groups and accountants</w:t>
      </w:r>
      <w:r>
        <w:rPr>
          <w:rFonts w:eastAsiaTheme="majorEastAsia" w:cs="Times New Roman"/>
          <w:color w:val="000000" w:themeColor="text1"/>
          <w:szCs w:val="32"/>
        </w:rPr>
        <w:t>, for example,</w:t>
      </w:r>
      <w:r w:rsidR="00360FBB">
        <w:rPr>
          <w:rFonts w:eastAsiaTheme="majorEastAsia" w:cs="Times New Roman"/>
          <w:color w:val="000000" w:themeColor="text1"/>
          <w:szCs w:val="32"/>
        </w:rPr>
        <w:t xml:space="preserve"> might</w:t>
      </w:r>
      <w:r w:rsidR="00665C7E">
        <w:rPr>
          <w:rFonts w:eastAsiaTheme="majorEastAsia" w:cs="Times New Roman"/>
          <w:color w:val="000000" w:themeColor="text1"/>
          <w:szCs w:val="32"/>
        </w:rPr>
        <w:t xml:space="preserve"> look to</w:t>
      </w:r>
      <w:r w:rsidR="00360FBB">
        <w:rPr>
          <w:rFonts w:eastAsiaTheme="majorEastAsia" w:cs="Times New Roman"/>
          <w:color w:val="000000" w:themeColor="text1"/>
          <w:szCs w:val="32"/>
        </w:rPr>
        <w:t xml:space="preserve"> measure and publish the extent to which low wages are effectively subsidised through collectively-funded welfare programmes and in-work tax credits.</w:t>
      </w:r>
      <w:r w:rsidR="008A5AAA">
        <w:rPr>
          <w:rFonts w:eastAsiaTheme="majorEastAsia" w:cs="Times New Roman"/>
          <w:color w:val="000000" w:themeColor="text1"/>
          <w:szCs w:val="32"/>
        </w:rPr>
        <w:t xml:space="preserve"> </w:t>
      </w:r>
      <w:r w:rsidR="00360FBB">
        <w:rPr>
          <w:rFonts w:eastAsiaTheme="majorEastAsia" w:cs="Times New Roman"/>
          <w:color w:val="000000" w:themeColor="text1"/>
          <w:szCs w:val="32"/>
        </w:rPr>
        <w:t xml:space="preserve"> </w:t>
      </w:r>
      <w:r w:rsidR="007B34B0">
        <w:rPr>
          <w:rFonts w:eastAsiaTheme="majorEastAsia" w:cs="Times New Roman"/>
          <w:color w:val="000000" w:themeColor="text1"/>
          <w:szCs w:val="32"/>
        </w:rPr>
        <w:t xml:space="preserve">As Laile Harre </w:t>
      </w:r>
      <w:r w:rsidR="007B34B0" w:rsidRPr="00360FBB">
        <w:rPr>
          <w:rFonts w:eastAsiaTheme="majorEastAsia" w:cs="Times New Roman"/>
          <w:color w:val="000000" w:themeColor="text1"/>
          <w:szCs w:val="32"/>
        </w:rPr>
        <w:t>(in NZPD, 13 August 1997)</w:t>
      </w:r>
      <w:r w:rsidR="007B34B0">
        <w:rPr>
          <w:rFonts w:eastAsiaTheme="majorEastAsia" w:cs="Times New Roman"/>
          <w:color w:val="000000" w:themeColor="text1"/>
          <w:szCs w:val="32"/>
        </w:rPr>
        <w:t xml:space="preserve"> argues in the New Zealand context examined here, “</w:t>
      </w:r>
      <w:r w:rsidR="007B34B0" w:rsidRPr="00360FBB">
        <w:rPr>
          <w:rFonts w:eastAsiaTheme="majorEastAsia" w:cs="Times New Roman"/>
          <w:color w:val="000000" w:themeColor="text1"/>
          <w:szCs w:val="32"/>
        </w:rPr>
        <w:t>employers who depend on the increasing burden on taxpayers to top up the wages of the low paid through a range of welfare measures are as dependent on the State for their profits as the low-paid people they employ are dependent on those top-ups</w:t>
      </w:r>
      <w:r w:rsidR="007B34B0">
        <w:rPr>
          <w:rFonts w:eastAsiaTheme="majorEastAsia" w:cs="Times New Roman"/>
          <w:color w:val="000000" w:themeColor="text1"/>
          <w:szCs w:val="32"/>
        </w:rPr>
        <w:t>”. Also in parliament, Green MP Sue Bradford (</w:t>
      </w:r>
      <w:r w:rsidR="007B34B0" w:rsidRPr="00983437">
        <w:t>in NZPD, 1 June 2005</w:t>
      </w:r>
      <w:r w:rsidR="007B34B0">
        <w:t xml:space="preserve">) </w:t>
      </w:r>
      <w:r w:rsidR="007B34B0">
        <w:rPr>
          <w:rFonts w:eastAsiaTheme="majorEastAsia" w:cs="Times New Roman"/>
          <w:color w:val="000000" w:themeColor="text1"/>
          <w:szCs w:val="32"/>
        </w:rPr>
        <w:t xml:space="preserve">described this sort of </w:t>
      </w:r>
      <w:r w:rsidR="007B34B0" w:rsidRPr="00CD0EDF">
        <w:t xml:space="preserve">government assistance to the working poor </w:t>
      </w:r>
      <w:r w:rsidR="007B34B0">
        <w:t xml:space="preserve">as </w:t>
      </w:r>
      <w:r w:rsidR="007B34B0" w:rsidRPr="00CD0EDF">
        <w:t xml:space="preserve">a </w:t>
      </w:r>
      <w:r w:rsidR="007B34B0">
        <w:t>“massive taxpayer bailout of employers”</w:t>
      </w:r>
      <w:r w:rsidR="007B34B0" w:rsidRPr="00983437">
        <w:t>.</w:t>
      </w:r>
      <w:r w:rsidR="007B34B0">
        <w:t xml:space="preserve">  </w:t>
      </w:r>
      <w:r w:rsidR="00665C7E">
        <w:rPr>
          <w:rFonts w:eastAsiaTheme="majorEastAsia" w:cs="Times New Roman"/>
          <w:color w:val="000000" w:themeColor="text1"/>
          <w:szCs w:val="32"/>
        </w:rPr>
        <w:t>Currently data produce</w:t>
      </w:r>
      <w:r w:rsidR="00DE689C">
        <w:rPr>
          <w:rFonts w:eastAsiaTheme="majorEastAsia" w:cs="Times New Roman"/>
          <w:color w:val="000000" w:themeColor="text1"/>
          <w:szCs w:val="32"/>
        </w:rPr>
        <w:t xml:space="preserve">d </w:t>
      </w:r>
      <w:r w:rsidR="00665C7E">
        <w:rPr>
          <w:rFonts w:eastAsiaTheme="majorEastAsia" w:cs="Times New Roman"/>
          <w:color w:val="000000" w:themeColor="text1"/>
          <w:szCs w:val="32"/>
        </w:rPr>
        <w:t>remain</w:t>
      </w:r>
      <w:r w:rsidR="00DE689C">
        <w:rPr>
          <w:rFonts w:eastAsiaTheme="majorEastAsia" w:cs="Times New Roman"/>
          <w:color w:val="000000" w:themeColor="text1"/>
          <w:szCs w:val="32"/>
        </w:rPr>
        <w:t>s</w:t>
      </w:r>
      <w:r w:rsidR="00665C7E">
        <w:rPr>
          <w:rFonts w:eastAsiaTheme="majorEastAsia" w:cs="Times New Roman"/>
          <w:color w:val="000000" w:themeColor="text1"/>
          <w:szCs w:val="32"/>
        </w:rPr>
        <w:t xml:space="preserve"> at the national level (e.g</w:t>
      </w:r>
      <w:r w:rsidR="00812A9D">
        <w:rPr>
          <w:rFonts w:eastAsiaTheme="majorEastAsia" w:cs="Times New Roman"/>
          <w:color w:val="000000" w:themeColor="text1"/>
          <w:szCs w:val="32"/>
        </w:rPr>
        <w:t>.</w:t>
      </w:r>
      <w:r w:rsidR="00665C7E">
        <w:rPr>
          <w:rFonts w:eastAsiaTheme="majorEastAsia" w:cs="Times New Roman"/>
          <w:color w:val="000000" w:themeColor="text1"/>
          <w:szCs w:val="32"/>
        </w:rPr>
        <w:t>, IRD</w:t>
      </w:r>
      <w:r w:rsidR="00D80511">
        <w:rPr>
          <w:rFonts w:eastAsiaTheme="majorEastAsia" w:cs="Times New Roman"/>
          <w:color w:val="000000" w:themeColor="text1"/>
          <w:szCs w:val="32"/>
        </w:rPr>
        <w:t>, 2017</w:t>
      </w:r>
      <w:r w:rsidR="00665C7E">
        <w:rPr>
          <w:rFonts w:eastAsiaTheme="majorEastAsia" w:cs="Times New Roman"/>
          <w:color w:val="000000" w:themeColor="text1"/>
          <w:szCs w:val="32"/>
        </w:rPr>
        <w:t>, Farnsworth</w:t>
      </w:r>
      <w:r w:rsidR="00D80511">
        <w:rPr>
          <w:rFonts w:eastAsiaTheme="majorEastAsia" w:cs="Times New Roman"/>
          <w:color w:val="000000" w:themeColor="text1"/>
          <w:szCs w:val="32"/>
        </w:rPr>
        <w:t>, 2015</w:t>
      </w:r>
      <w:r w:rsidR="00665C7E">
        <w:rPr>
          <w:rFonts w:eastAsiaTheme="majorEastAsia" w:cs="Times New Roman"/>
          <w:color w:val="000000" w:themeColor="text1"/>
          <w:szCs w:val="32"/>
        </w:rPr>
        <w:t>) however exploring ways to</w:t>
      </w:r>
      <w:r w:rsidR="00DE689C">
        <w:rPr>
          <w:rFonts w:eastAsiaTheme="majorEastAsia" w:cs="Times New Roman"/>
          <w:color w:val="000000" w:themeColor="text1"/>
          <w:szCs w:val="32"/>
        </w:rPr>
        <w:t xml:space="preserve"> calculate at the level of industr</w:t>
      </w:r>
      <w:r w:rsidR="00812A9D">
        <w:rPr>
          <w:rFonts w:eastAsiaTheme="majorEastAsia" w:cs="Times New Roman"/>
          <w:color w:val="000000" w:themeColor="text1"/>
          <w:szCs w:val="32"/>
        </w:rPr>
        <w:t>y sectors,</w:t>
      </w:r>
      <w:r w:rsidR="00DE689C">
        <w:rPr>
          <w:rFonts w:eastAsiaTheme="majorEastAsia" w:cs="Times New Roman"/>
          <w:color w:val="000000" w:themeColor="text1"/>
          <w:szCs w:val="32"/>
        </w:rPr>
        <w:t xml:space="preserve"> or even at the level of the firm</w:t>
      </w:r>
      <w:r w:rsidR="00812A9D">
        <w:rPr>
          <w:rFonts w:eastAsiaTheme="majorEastAsia" w:cs="Times New Roman"/>
          <w:color w:val="000000" w:themeColor="text1"/>
          <w:szCs w:val="32"/>
        </w:rPr>
        <w:t>,</w:t>
      </w:r>
      <w:r w:rsidR="00DE689C">
        <w:rPr>
          <w:rFonts w:eastAsiaTheme="majorEastAsia" w:cs="Times New Roman"/>
          <w:color w:val="000000" w:themeColor="text1"/>
          <w:szCs w:val="32"/>
        </w:rPr>
        <w:t xml:space="preserve"> would appear fruitful in order to </w:t>
      </w:r>
      <w:r w:rsidR="00360FBB">
        <w:rPr>
          <w:rFonts w:eastAsiaTheme="majorEastAsia" w:cs="Times New Roman"/>
          <w:color w:val="000000" w:themeColor="text1"/>
          <w:szCs w:val="32"/>
        </w:rPr>
        <w:t xml:space="preserve">highlight the extent to which </w:t>
      </w:r>
      <w:r w:rsidR="00DE689C">
        <w:rPr>
          <w:rFonts w:eastAsiaTheme="majorEastAsia" w:cs="Times New Roman"/>
          <w:color w:val="000000" w:themeColor="text1"/>
          <w:szCs w:val="32"/>
        </w:rPr>
        <w:t>industries/</w:t>
      </w:r>
      <w:r w:rsidR="00360FBB">
        <w:rPr>
          <w:rFonts w:eastAsiaTheme="majorEastAsia" w:cs="Times New Roman"/>
          <w:color w:val="000000" w:themeColor="text1"/>
          <w:szCs w:val="32"/>
        </w:rPr>
        <w:t>firms are dependent on society</w:t>
      </w:r>
      <w:r w:rsidR="00812A9D">
        <w:rPr>
          <w:rFonts w:eastAsiaTheme="majorEastAsia" w:cs="Times New Roman"/>
          <w:color w:val="000000" w:themeColor="text1"/>
          <w:szCs w:val="32"/>
        </w:rPr>
        <w:t xml:space="preserve"> in this way</w:t>
      </w:r>
      <w:r w:rsidR="00360FBB">
        <w:rPr>
          <w:rFonts w:eastAsiaTheme="majorEastAsia" w:cs="Times New Roman"/>
          <w:color w:val="000000" w:themeColor="text1"/>
          <w:szCs w:val="32"/>
        </w:rPr>
        <w:t xml:space="preserve">. </w:t>
      </w:r>
      <w:r>
        <w:rPr>
          <w:rFonts w:eastAsiaTheme="majorEastAsia" w:cs="Times New Roman"/>
          <w:color w:val="000000" w:themeColor="text1"/>
          <w:szCs w:val="32"/>
        </w:rPr>
        <w:t xml:space="preserve"> </w:t>
      </w:r>
    </w:p>
    <w:p w14:paraId="1C8DDF38" w14:textId="77777777" w:rsidR="00BF0FF9" w:rsidRDefault="00BF0FF9" w:rsidP="0022704E"/>
    <w:p w14:paraId="635B511F" w14:textId="3A473988" w:rsidR="003278CC" w:rsidRDefault="0022704E" w:rsidP="0022704E">
      <w:pPr>
        <w:rPr>
          <w:rFonts w:eastAsiaTheme="majorEastAsia" w:cs="Times New Roman"/>
          <w:color w:val="000000" w:themeColor="text1"/>
          <w:szCs w:val="32"/>
        </w:rPr>
      </w:pPr>
      <w:r>
        <w:rPr>
          <w:rFonts w:eastAsiaTheme="majorEastAsia" w:cs="Times New Roman"/>
          <w:color w:val="000000" w:themeColor="text1"/>
          <w:szCs w:val="32"/>
        </w:rPr>
        <w:t xml:space="preserve">The assumptions underlying such an exploration would appear from our findings to provoke an </w:t>
      </w:r>
      <w:r w:rsidR="002D2997">
        <w:rPr>
          <w:rFonts w:eastAsiaTheme="majorEastAsia" w:cs="Times New Roman"/>
          <w:color w:val="000000" w:themeColor="text1"/>
          <w:szCs w:val="32"/>
        </w:rPr>
        <w:t xml:space="preserve">immediate </w:t>
      </w:r>
      <w:r>
        <w:rPr>
          <w:rFonts w:eastAsiaTheme="majorEastAsia" w:cs="Times New Roman"/>
          <w:color w:val="000000" w:themeColor="text1"/>
          <w:szCs w:val="32"/>
        </w:rPr>
        <w:t>response by business: business groups would likely argue that firms’ provision of jobs generate significant social value, and that it is only possible to provide many jobs when firms are able to pay market rates. While this argument cannot be easily dismissed, it remains useful to construct a social account of the negative social consequences of low-paid work</w:t>
      </w:r>
      <w:r w:rsidR="00DE689C">
        <w:rPr>
          <w:rFonts w:eastAsiaTheme="majorEastAsia" w:cs="Times New Roman"/>
          <w:color w:val="000000" w:themeColor="text1"/>
          <w:szCs w:val="32"/>
        </w:rPr>
        <w:t>.</w:t>
      </w:r>
      <w:r w:rsidR="00D80511">
        <w:rPr>
          <w:rFonts w:eastAsiaTheme="majorEastAsia" w:cs="Times New Roman"/>
          <w:color w:val="000000" w:themeColor="text1"/>
          <w:szCs w:val="32"/>
        </w:rPr>
        <w:t xml:space="preserve"> </w:t>
      </w:r>
      <w:r w:rsidR="00DE689C">
        <w:rPr>
          <w:rFonts w:eastAsiaTheme="majorEastAsia" w:cs="Times New Roman"/>
          <w:color w:val="000000" w:themeColor="text1"/>
          <w:szCs w:val="32"/>
        </w:rPr>
        <w:t xml:space="preserve"> Working with government departments and willing organisations would be needed, but such work </w:t>
      </w:r>
      <w:r w:rsidR="00D80511">
        <w:rPr>
          <w:rFonts w:eastAsiaTheme="majorEastAsia" w:cs="Times New Roman"/>
          <w:color w:val="000000" w:themeColor="text1"/>
          <w:szCs w:val="32"/>
        </w:rPr>
        <w:t xml:space="preserve">would help inform the </w:t>
      </w:r>
      <w:r>
        <w:rPr>
          <w:rFonts w:eastAsiaTheme="majorEastAsia" w:cs="Times New Roman"/>
          <w:color w:val="000000" w:themeColor="text1"/>
          <w:szCs w:val="32"/>
        </w:rPr>
        <w:t>public dispute</w:t>
      </w:r>
      <w:r w:rsidR="00D80511">
        <w:rPr>
          <w:rFonts w:eastAsiaTheme="majorEastAsia" w:cs="Times New Roman"/>
          <w:color w:val="000000" w:themeColor="text1"/>
          <w:szCs w:val="32"/>
        </w:rPr>
        <w:t xml:space="preserve"> (see CitizensUK (2015</w:t>
      </w:r>
      <w:r w:rsidR="004E5F53">
        <w:rPr>
          <w:rFonts w:eastAsiaTheme="majorEastAsia" w:cs="Times New Roman"/>
          <w:color w:val="000000" w:themeColor="text1"/>
          <w:szCs w:val="32"/>
        </w:rPr>
        <w:t>) and The Living Wage Foundation (2017</w:t>
      </w:r>
      <w:r w:rsidR="00D80511">
        <w:rPr>
          <w:rFonts w:eastAsiaTheme="majorEastAsia" w:cs="Times New Roman"/>
          <w:color w:val="000000" w:themeColor="text1"/>
          <w:szCs w:val="32"/>
        </w:rPr>
        <w:t xml:space="preserve">) </w:t>
      </w:r>
      <w:r w:rsidR="004E5F53">
        <w:rPr>
          <w:rFonts w:eastAsiaTheme="majorEastAsia" w:cs="Times New Roman"/>
          <w:color w:val="000000" w:themeColor="text1"/>
          <w:szCs w:val="32"/>
        </w:rPr>
        <w:t>for examples</w:t>
      </w:r>
      <w:r w:rsidR="004E5F53">
        <w:rPr>
          <w:rStyle w:val="EndnoteReference"/>
          <w:rFonts w:eastAsiaTheme="majorEastAsia" w:cs="Times New Roman"/>
          <w:color w:val="000000" w:themeColor="text1"/>
          <w:szCs w:val="32"/>
        </w:rPr>
        <w:endnoteReference w:id="10"/>
      </w:r>
      <w:r w:rsidR="00D80511">
        <w:rPr>
          <w:rFonts w:eastAsiaTheme="majorEastAsia" w:cs="Times New Roman"/>
          <w:color w:val="000000" w:themeColor="text1"/>
          <w:szCs w:val="32"/>
        </w:rPr>
        <w:t>)</w:t>
      </w:r>
      <w:r>
        <w:rPr>
          <w:rFonts w:eastAsiaTheme="majorEastAsia" w:cs="Times New Roman"/>
          <w:color w:val="000000" w:themeColor="text1"/>
          <w:szCs w:val="32"/>
        </w:rPr>
        <w:t xml:space="preserve">. Drawing on our findings, we see potential in using the </w:t>
      </w:r>
      <w:r w:rsidRPr="00DC4EB2">
        <w:rPr>
          <w:rFonts w:eastAsiaTheme="majorEastAsia" w:cs="Times New Roman"/>
          <w:i/>
          <w:color w:val="000000" w:themeColor="text1"/>
          <w:szCs w:val="32"/>
        </w:rPr>
        <w:t>civic</w:t>
      </w:r>
      <w:r>
        <w:rPr>
          <w:rFonts w:eastAsiaTheme="majorEastAsia" w:cs="Times New Roman"/>
          <w:color w:val="000000" w:themeColor="text1"/>
          <w:szCs w:val="32"/>
        </w:rPr>
        <w:t xml:space="preserve"> order and its values of equality and c</w:t>
      </w:r>
      <w:r w:rsidR="00A86466">
        <w:rPr>
          <w:rFonts w:eastAsiaTheme="majorEastAsia" w:cs="Times New Roman"/>
          <w:color w:val="000000" w:themeColor="text1"/>
          <w:szCs w:val="32"/>
        </w:rPr>
        <w:t>ollective welfare to inform such</w:t>
      </w:r>
      <w:r>
        <w:rPr>
          <w:rFonts w:eastAsiaTheme="majorEastAsia" w:cs="Times New Roman"/>
          <w:color w:val="000000" w:themeColor="text1"/>
          <w:szCs w:val="32"/>
        </w:rPr>
        <w:t xml:space="preserve"> social account</w:t>
      </w:r>
      <w:r w:rsidR="00A86466">
        <w:rPr>
          <w:rFonts w:eastAsiaTheme="majorEastAsia" w:cs="Times New Roman"/>
          <w:color w:val="000000" w:themeColor="text1"/>
          <w:szCs w:val="32"/>
        </w:rPr>
        <w:t>ing</w:t>
      </w:r>
      <w:r>
        <w:rPr>
          <w:rFonts w:eastAsiaTheme="majorEastAsia" w:cs="Times New Roman"/>
          <w:color w:val="000000" w:themeColor="text1"/>
          <w:szCs w:val="32"/>
        </w:rPr>
        <w:t xml:space="preserve">.  </w:t>
      </w:r>
    </w:p>
    <w:p w14:paraId="57683BDB" w14:textId="77777777" w:rsidR="00A86466" w:rsidRDefault="00A86466" w:rsidP="0022704E">
      <w:pPr>
        <w:rPr>
          <w:rFonts w:eastAsiaTheme="majorEastAsia" w:cs="Times New Roman"/>
          <w:color w:val="000000" w:themeColor="text1"/>
          <w:szCs w:val="32"/>
        </w:rPr>
      </w:pPr>
    </w:p>
    <w:p w14:paraId="361028D9" w14:textId="2F2E39A5" w:rsidR="00A2435E" w:rsidRDefault="00694013" w:rsidP="00A2435E">
      <w:pPr>
        <w:rPr>
          <w:lang w:val="en-AU"/>
        </w:rPr>
      </w:pPr>
      <w:r>
        <w:rPr>
          <w:rFonts w:eastAsiaTheme="majorEastAsia" w:cs="Times New Roman"/>
          <w:color w:val="000000" w:themeColor="text1"/>
          <w:szCs w:val="32"/>
        </w:rPr>
        <w:t xml:space="preserve">Thirdly we ask, </w:t>
      </w:r>
      <w:r w:rsidR="00401908">
        <w:rPr>
          <w:rFonts w:eastAsiaTheme="majorEastAsia" w:cs="Times New Roman"/>
          <w:color w:val="000000" w:themeColor="text1"/>
          <w:szCs w:val="32"/>
        </w:rPr>
        <w:t xml:space="preserve">how does current accounting </w:t>
      </w:r>
      <w:r w:rsidR="00E5286B">
        <w:rPr>
          <w:rFonts w:eastAsiaTheme="majorEastAsia" w:cs="Times New Roman"/>
          <w:color w:val="000000" w:themeColor="text1"/>
          <w:szCs w:val="32"/>
        </w:rPr>
        <w:t xml:space="preserve">discourse and </w:t>
      </w:r>
      <w:r w:rsidR="00401908">
        <w:rPr>
          <w:rFonts w:eastAsiaTheme="majorEastAsia" w:cs="Times New Roman"/>
          <w:color w:val="000000" w:themeColor="text1"/>
          <w:szCs w:val="32"/>
        </w:rPr>
        <w:t xml:space="preserve">practice privilege the short-term focus of the </w:t>
      </w:r>
      <w:r w:rsidR="00401908" w:rsidRPr="004622C0">
        <w:rPr>
          <w:rFonts w:eastAsiaTheme="majorEastAsia" w:cs="Times New Roman"/>
          <w:i/>
          <w:color w:val="000000" w:themeColor="text1"/>
          <w:szCs w:val="32"/>
        </w:rPr>
        <w:t>marke</w:t>
      </w:r>
      <w:r w:rsidR="00401908">
        <w:rPr>
          <w:rFonts w:eastAsiaTheme="majorEastAsia" w:cs="Times New Roman"/>
          <w:color w:val="000000" w:themeColor="text1"/>
          <w:szCs w:val="32"/>
        </w:rPr>
        <w:t xml:space="preserve">t order (RQ2) over and against the valuation of long-term organisational performance implied by the </w:t>
      </w:r>
      <w:r w:rsidR="00401908" w:rsidRPr="004622C0">
        <w:rPr>
          <w:rFonts w:eastAsiaTheme="majorEastAsia" w:cs="Times New Roman"/>
          <w:i/>
          <w:color w:val="000000" w:themeColor="text1"/>
          <w:szCs w:val="32"/>
        </w:rPr>
        <w:t>industrial</w:t>
      </w:r>
      <w:r w:rsidR="00401908">
        <w:rPr>
          <w:rFonts w:eastAsiaTheme="majorEastAsia" w:cs="Times New Roman"/>
          <w:color w:val="000000" w:themeColor="text1"/>
          <w:szCs w:val="32"/>
        </w:rPr>
        <w:t xml:space="preserve"> order of worth</w:t>
      </w:r>
      <w:r w:rsidR="00BE3D58">
        <w:rPr>
          <w:rFonts w:eastAsiaTheme="majorEastAsia" w:cs="Times New Roman"/>
          <w:color w:val="000000" w:themeColor="text1"/>
          <w:szCs w:val="32"/>
        </w:rPr>
        <w:t>,</w:t>
      </w:r>
      <w:r w:rsidR="00401908">
        <w:rPr>
          <w:rFonts w:eastAsiaTheme="majorEastAsia" w:cs="Times New Roman"/>
          <w:color w:val="000000" w:themeColor="text1"/>
          <w:szCs w:val="32"/>
        </w:rPr>
        <w:t xml:space="preserve"> and what are the implications for accounting of this latter order (RQ3)?  </w:t>
      </w:r>
      <w:r w:rsidR="00F91324">
        <w:rPr>
          <w:rFonts w:cs="Times New Roman"/>
          <w:szCs w:val="24"/>
        </w:rPr>
        <w:t xml:space="preserve">Boltanski and Thévenot note that the key distinction between the </w:t>
      </w:r>
      <w:r w:rsidR="00F91324" w:rsidRPr="00626F5D">
        <w:rPr>
          <w:rFonts w:cs="Times New Roman"/>
          <w:i/>
          <w:szCs w:val="24"/>
        </w:rPr>
        <w:t>market</w:t>
      </w:r>
      <w:r w:rsidR="00F91324">
        <w:rPr>
          <w:rFonts w:cs="Times New Roman"/>
          <w:szCs w:val="24"/>
        </w:rPr>
        <w:t xml:space="preserve"> and the </w:t>
      </w:r>
      <w:r w:rsidR="00F91324" w:rsidRPr="00626F5D">
        <w:rPr>
          <w:rFonts w:cs="Times New Roman"/>
          <w:i/>
          <w:szCs w:val="24"/>
        </w:rPr>
        <w:t>industrial</w:t>
      </w:r>
      <w:r w:rsidR="00F91324">
        <w:rPr>
          <w:rFonts w:cs="Times New Roman"/>
          <w:szCs w:val="24"/>
        </w:rPr>
        <w:t xml:space="preserve"> orders is their distinct time horizons: </w:t>
      </w:r>
      <w:r w:rsidR="002D2997">
        <w:rPr>
          <w:rFonts w:cs="Times New Roman"/>
          <w:szCs w:val="24"/>
        </w:rPr>
        <w:t xml:space="preserve">the distinction </w:t>
      </w:r>
      <w:r w:rsidR="00F91324">
        <w:rPr>
          <w:rFonts w:cs="Times New Roman"/>
          <w:szCs w:val="24"/>
        </w:rPr>
        <w:t xml:space="preserve">between the “short-term, flexible” time formation of the </w:t>
      </w:r>
      <w:r w:rsidR="00F91324" w:rsidRPr="00C8196D">
        <w:rPr>
          <w:rFonts w:cs="Times New Roman"/>
          <w:i/>
          <w:szCs w:val="24"/>
        </w:rPr>
        <w:t>market</w:t>
      </w:r>
      <w:r w:rsidR="00F91324">
        <w:rPr>
          <w:rFonts w:cs="Times New Roman"/>
          <w:szCs w:val="24"/>
        </w:rPr>
        <w:t xml:space="preserve"> order and the </w:t>
      </w:r>
      <w:r w:rsidR="00F91324" w:rsidRPr="00C8196D">
        <w:rPr>
          <w:rFonts w:cs="Times New Roman"/>
          <w:i/>
          <w:szCs w:val="24"/>
        </w:rPr>
        <w:t>industrial</w:t>
      </w:r>
      <w:r w:rsidR="00F91324">
        <w:rPr>
          <w:rFonts w:cs="Times New Roman"/>
          <w:szCs w:val="24"/>
        </w:rPr>
        <w:t xml:space="preserve"> order’s focus on a “long-term, planned future” (see Table 1).  </w:t>
      </w:r>
      <w:r w:rsidR="007433B0">
        <w:rPr>
          <w:rFonts w:cs="Times New Roman"/>
        </w:rPr>
        <w:t>In their arguments against the living wage, business groups adopt a short-term</w:t>
      </w:r>
      <w:r w:rsidR="007433B0" w:rsidRPr="004622C0">
        <w:rPr>
          <w:rFonts w:cs="Times New Roman"/>
        </w:rPr>
        <w:t xml:space="preserve"> timeframe</w:t>
      </w:r>
      <w:r w:rsidR="007433B0">
        <w:rPr>
          <w:rFonts w:cs="Times New Roman"/>
        </w:rPr>
        <w:t xml:space="preserve"> that </w:t>
      </w:r>
      <w:r w:rsidR="002D2997">
        <w:rPr>
          <w:rFonts w:cs="Times New Roman"/>
        </w:rPr>
        <w:t xml:space="preserve">supports </w:t>
      </w:r>
      <w:r w:rsidR="007433B0">
        <w:rPr>
          <w:rFonts w:cs="Times New Roman"/>
        </w:rPr>
        <w:t xml:space="preserve">the </w:t>
      </w:r>
      <w:r w:rsidR="002D2997">
        <w:rPr>
          <w:rFonts w:cs="Times New Roman"/>
        </w:rPr>
        <w:t>movement</w:t>
      </w:r>
      <w:r w:rsidR="007433B0">
        <w:rPr>
          <w:rFonts w:cs="Times New Roman"/>
        </w:rPr>
        <w:t xml:space="preserve"> away from the historical balance of the </w:t>
      </w:r>
      <w:r w:rsidR="007433B0" w:rsidRPr="00452CE8">
        <w:rPr>
          <w:rFonts w:cs="Times New Roman"/>
          <w:i/>
        </w:rPr>
        <w:t>market</w:t>
      </w:r>
      <w:r w:rsidR="007433B0" w:rsidRPr="00A2435E">
        <w:rPr>
          <w:rFonts w:cs="Times New Roman"/>
          <w:i/>
        </w:rPr>
        <w:t>-industrial</w:t>
      </w:r>
      <w:r w:rsidR="007433B0">
        <w:rPr>
          <w:rFonts w:cs="Times New Roman"/>
        </w:rPr>
        <w:t xml:space="preserve"> compromise</w:t>
      </w:r>
      <w:r w:rsidR="00242909">
        <w:rPr>
          <w:rFonts w:cs="Times New Roman"/>
        </w:rPr>
        <w:t xml:space="preserve"> (Boltanski </w:t>
      </w:r>
      <w:r w:rsidR="00BB56E6">
        <w:rPr>
          <w:rFonts w:cs="Times New Roman"/>
        </w:rPr>
        <w:t>&amp;</w:t>
      </w:r>
      <w:r w:rsidR="00242909">
        <w:rPr>
          <w:rFonts w:cs="Times New Roman"/>
        </w:rPr>
        <w:t xml:space="preserve"> Thévenot, </w:t>
      </w:r>
      <w:r w:rsidR="00242909">
        <w:rPr>
          <w:rFonts w:cs="Times New Roman"/>
        </w:rPr>
        <w:lastRenderedPageBreak/>
        <w:t>2006, p. 332)</w:t>
      </w:r>
      <w:r w:rsidR="007433B0">
        <w:rPr>
          <w:rFonts w:cs="Times New Roman"/>
        </w:rPr>
        <w:t xml:space="preserve">.  </w:t>
      </w:r>
      <w:r w:rsidR="00A2435E">
        <w:rPr>
          <w:rFonts w:cs="Times New Roman"/>
          <w:szCs w:val="24"/>
        </w:rPr>
        <w:t>LWA’s presentation of the “</w:t>
      </w:r>
      <w:r w:rsidR="00A2435E" w:rsidRPr="001E563A">
        <w:rPr>
          <w:rFonts w:cs="Times New Roman"/>
          <w:szCs w:val="24"/>
        </w:rPr>
        <w:t>business case</w:t>
      </w:r>
      <w:r w:rsidR="00A2435E">
        <w:rPr>
          <w:rFonts w:cs="Times New Roman"/>
          <w:szCs w:val="24"/>
        </w:rPr>
        <w:t>”</w:t>
      </w:r>
      <w:r w:rsidR="00A2435E" w:rsidRPr="001E563A">
        <w:rPr>
          <w:rFonts w:cs="Times New Roman"/>
          <w:szCs w:val="24"/>
        </w:rPr>
        <w:t xml:space="preserve"> for the living wage relie</w:t>
      </w:r>
      <w:r w:rsidR="00A2435E">
        <w:rPr>
          <w:rFonts w:cs="Times New Roman"/>
          <w:szCs w:val="24"/>
        </w:rPr>
        <w:t>s</w:t>
      </w:r>
      <w:r w:rsidR="00A2435E" w:rsidRPr="001E563A">
        <w:rPr>
          <w:rFonts w:cs="Times New Roman"/>
          <w:szCs w:val="24"/>
        </w:rPr>
        <w:t xml:space="preserve"> on asserting its long-term benefits to wage-paying organisations</w:t>
      </w:r>
      <w:r w:rsidR="004622C0">
        <w:rPr>
          <w:rFonts w:cs="Times New Roman"/>
          <w:szCs w:val="24"/>
        </w:rPr>
        <w:t>.</w:t>
      </w:r>
      <w:r w:rsidR="00E5286B">
        <w:rPr>
          <w:rFonts w:cs="Times New Roman"/>
          <w:szCs w:val="24"/>
        </w:rPr>
        <w:t xml:space="preserve"> </w:t>
      </w:r>
      <w:r w:rsidR="00A2435E">
        <w:rPr>
          <w:lang w:val="en-AU"/>
        </w:rPr>
        <w:t xml:space="preserve"> </w:t>
      </w:r>
      <w:r w:rsidR="00A2435E">
        <w:rPr>
          <w:rFonts w:cs="Times New Roman"/>
          <w:szCs w:val="24"/>
        </w:rPr>
        <w:t>This argument is located within the logic of</w:t>
      </w:r>
      <w:r w:rsidR="00A2435E" w:rsidRPr="001E563A">
        <w:rPr>
          <w:rFonts w:cs="Times New Roman"/>
          <w:szCs w:val="24"/>
        </w:rPr>
        <w:t xml:space="preserve"> the </w:t>
      </w:r>
      <w:r w:rsidR="00A2435E" w:rsidRPr="001E563A">
        <w:rPr>
          <w:rFonts w:cs="Times New Roman"/>
          <w:i/>
          <w:szCs w:val="24"/>
        </w:rPr>
        <w:t xml:space="preserve">industrial </w:t>
      </w:r>
      <w:r w:rsidR="00A2435E">
        <w:rPr>
          <w:rFonts w:cs="Times New Roman"/>
          <w:szCs w:val="24"/>
        </w:rPr>
        <w:t xml:space="preserve">world, </w:t>
      </w:r>
      <w:r w:rsidR="00A2435E" w:rsidRPr="001E563A">
        <w:rPr>
          <w:rFonts w:cs="Times New Roman"/>
          <w:szCs w:val="24"/>
        </w:rPr>
        <w:t xml:space="preserve">with its </w:t>
      </w:r>
      <w:r w:rsidR="00A2435E">
        <w:rPr>
          <w:rFonts w:cs="Times New Roman"/>
          <w:szCs w:val="24"/>
        </w:rPr>
        <w:t xml:space="preserve">longer time horizon of a planned future, and its </w:t>
      </w:r>
      <w:r w:rsidR="00A2435E" w:rsidRPr="001E563A">
        <w:rPr>
          <w:rFonts w:cs="Times New Roman"/>
          <w:szCs w:val="24"/>
        </w:rPr>
        <w:t xml:space="preserve">core values of </w:t>
      </w:r>
      <w:r w:rsidR="00A2435E">
        <w:rPr>
          <w:rFonts w:cs="Times New Roman"/>
          <w:szCs w:val="24"/>
        </w:rPr>
        <w:t xml:space="preserve">long-term </w:t>
      </w:r>
      <w:r w:rsidR="00A2435E" w:rsidRPr="001E563A">
        <w:rPr>
          <w:rFonts w:cs="Times New Roman"/>
          <w:szCs w:val="24"/>
        </w:rPr>
        <w:t>productive efficiency</w:t>
      </w:r>
      <w:r w:rsidR="004622C0">
        <w:rPr>
          <w:rFonts w:cs="Times New Roman"/>
          <w:szCs w:val="24"/>
        </w:rPr>
        <w:t xml:space="preserve"> - </w:t>
      </w:r>
      <w:r w:rsidR="004622C0">
        <w:rPr>
          <w:lang w:val="en-AU"/>
        </w:rPr>
        <w:t xml:space="preserve">the “proper </w:t>
      </w:r>
      <w:r w:rsidR="004622C0" w:rsidRPr="004679B9">
        <w:rPr>
          <w:i/>
          <w:lang w:val="en-AU"/>
        </w:rPr>
        <w:t>functioning</w:t>
      </w:r>
      <w:r w:rsidR="004622C0">
        <w:rPr>
          <w:lang w:val="en-AU"/>
        </w:rPr>
        <w:t xml:space="preserve"> of beings extends the present into a </w:t>
      </w:r>
      <w:r w:rsidR="004622C0" w:rsidRPr="004679B9">
        <w:rPr>
          <w:i/>
          <w:lang w:val="en-AU"/>
        </w:rPr>
        <w:t>future</w:t>
      </w:r>
      <w:r w:rsidR="004622C0">
        <w:rPr>
          <w:lang w:val="en-AU"/>
        </w:rPr>
        <w:t xml:space="preserve">” (Boltanski &amp; Thévenot, 2006, p. 205). </w:t>
      </w:r>
      <w:r w:rsidR="00A2435E">
        <w:rPr>
          <w:lang w:val="en-AU"/>
        </w:rPr>
        <w:t>What is important here is for workers to be active, employed, efficient, and motivated; and for organisations to be reliable, predictable, productive and optimised (</w:t>
      </w:r>
      <w:r w:rsidR="003C1F66">
        <w:rPr>
          <w:lang w:val="en-AU"/>
        </w:rPr>
        <w:t>Boltanski &amp; Thévenot, 2006, p. 205</w:t>
      </w:r>
      <w:r w:rsidR="00A2435E">
        <w:rPr>
          <w:lang w:val="en-AU"/>
        </w:rPr>
        <w:t xml:space="preserve">). </w:t>
      </w:r>
    </w:p>
    <w:p w14:paraId="6D85613E" w14:textId="77777777" w:rsidR="00401908" w:rsidRDefault="00401908" w:rsidP="00BD1E5E">
      <w:pPr>
        <w:rPr>
          <w:rFonts w:cs="Times New Roman"/>
        </w:rPr>
      </w:pPr>
    </w:p>
    <w:p w14:paraId="1804049A" w14:textId="645CA83C" w:rsidR="00646537" w:rsidRDefault="00A2435E" w:rsidP="00BD1E5E">
      <w:pPr>
        <w:rPr>
          <w:rFonts w:cs="Times New Roman"/>
          <w:szCs w:val="24"/>
        </w:rPr>
      </w:pPr>
      <w:r>
        <w:rPr>
          <w:rFonts w:cs="Times New Roman"/>
          <w:szCs w:val="24"/>
        </w:rPr>
        <w:t xml:space="preserve">Current accounting </w:t>
      </w:r>
      <w:r w:rsidR="00E5286B">
        <w:rPr>
          <w:rFonts w:cs="Times New Roman"/>
          <w:szCs w:val="24"/>
        </w:rPr>
        <w:t xml:space="preserve">discourses and </w:t>
      </w:r>
      <w:r>
        <w:rPr>
          <w:rFonts w:cs="Times New Roman"/>
          <w:szCs w:val="24"/>
        </w:rPr>
        <w:t xml:space="preserve">practices </w:t>
      </w:r>
      <w:r w:rsidR="005C179E">
        <w:rPr>
          <w:rFonts w:cs="Times New Roman"/>
          <w:szCs w:val="24"/>
        </w:rPr>
        <w:t>are largely set up to support the short-term cycles upon which firms (and its employees) are measured</w:t>
      </w:r>
      <w:r w:rsidR="004C0F21">
        <w:rPr>
          <w:rFonts w:cs="Times New Roman"/>
          <w:szCs w:val="24"/>
        </w:rPr>
        <w:t xml:space="preserve"> (</w:t>
      </w:r>
      <w:r w:rsidR="00773D80">
        <w:rPr>
          <w:rFonts w:cs="Times New Roman"/>
          <w:szCs w:val="24"/>
        </w:rPr>
        <w:t>Jones, 2010</w:t>
      </w:r>
      <w:r w:rsidR="004C0F21">
        <w:rPr>
          <w:rFonts w:cs="Times New Roman"/>
          <w:szCs w:val="24"/>
        </w:rPr>
        <w:t>)</w:t>
      </w:r>
      <w:r w:rsidR="005C179E">
        <w:rPr>
          <w:rFonts w:cs="Times New Roman"/>
          <w:szCs w:val="24"/>
        </w:rPr>
        <w:t xml:space="preserve">.  </w:t>
      </w:r>
      <w:r w:rsidR="00855D4C">
        <w:rPr>
          <w:rFonts w:cs="Times New Roman"/>
          <w:szCs w:val="24"/>
        </w:rPr>
        <w:t xml:space="preserve">This sort of </w:t>
      </w:r>
      <w:r w:rsidR="005C179E">
        <w:rPr>
          <w:rFonts w:cs="Times New Roman"/>
          <w:szCs w:val="24"/>
        </w:rPr>
        <w:t xml:space="preserve">short-term focus </w:t>
      </w:r>
      <w:r w:rsidR="00855D4C">
        <w:rPr>
          <w:rFonts w:cs="Times New Roman"/>
          <w:szCs w:val="24"/>
        </w:rPr>
        <w:t>leads to an understanding of wages as costs to be managed</w:t>
      </w:r>
      <w:r w:rsidR="00E5286B">
        <w:rPr>
          <w:rFonts w:cs="Times New Roman"/>
          <w:szCs w:val="24"/>
        </w:rPr>
        <w:t xml:space="preserve"> and workers as expenses</w:t>
      </w:r>
      <w:r w:rsidR="00855D4C">
        <w:rPr>
          <w:rFonts w:cs="Times New Roman"/>
          <w:szCs w:val="24"/>
        </w:rPr>
        <w:t xml:space="preserve">. </w:t>
      </w:r>
      <w:r w:rsidR="0091078D">
        <w:rPr>
          <w:rFonts w:cs="Times New Roman"/>
          <w:szCs w:val="24"/>
        </w:rPr>
        <w:t xml:space="preserve"> </w:t>
      </w:r>
      <w:r w:rsidR="00855D4C">
        <w:rPr>
          <w:rFonts w:cs="Times New Roman"/>
          <w:szCs w:val="24"/>
        </w:rPr>
        <w:t xml:space="preserve">Existing privileged accounting artefacts (financial reports, annual reports) do not offer mechanisms to readily account for </w:t>
      </w:r>
      <w:r w:rsidR="005C179E">
        <w:rPr>
          <w:rFonts w:cs="Times New Roman"/>
          <w:szCs w:val="24"/>
        </w:rPr>
        <w:t>higher wages as a long-term investment in human capital</w:t>
      </w:r>
      <w:r w:rsidR="005A53A5">
        <w:rPr>
          <w:rFonts w:cs="Times New Roman"/>
          <w:szCs w:val="24"/>
        </w:rPr>
        <w:t xml:space="preserve">.  Within this </w:t>
      </w:r>
      <w:r w:rsidR="005A53A5" w:rsidRPr="0091078D">
        <w:rPr>
          <w:rFonts w:cs="Times New Roman"/>
          <w:i/>
          <w:szCs w:val="24"/>
        </w:rPr>
        <w:t>market</w:t>
      </w:r>
      <w:r w:rsidR="005A53A5">
        <w:rPr>
          <w:rFonts w:cs="Times New Roman"/>
          <w:szCs w:val="24"/>
        </w:rPr>
        <w:t xml:space="preserve"> order</w:t>
      </w:r>
      <w:r w:rsidR="005C179E">
        <w:rPr>
          <w:rFonts w:cs="Times New Roman"/>
          <w:szCs w:val="24"/>
        </w:rPr>
        <w:t xml:space="preserve">, higher wages </w:t>
      </w:r>
      <w:r w:rsidR="005A53A5">
        <w:rPr>
          <w:rFonts w:cs="Times New Roman"/>
          <w:szCs w:val="24"/>
        </w:rPr>
        <w:t xml:space="preserve">are positioned </w:t>
      </w:r>
      <w:r w:rsidR="005C179E">
        <w:rPr>
          <w:rFonts w:cs="Times New Roman"/>
          <w:szCs w:val="24"/>
        </w:rPr>
        <w:t>as</w:t>
      </w:r>
      <w:r w:rsidR="00F91324">
        <w:rPr>
          <w:rFonts w:cs="Times New Roman"/>
          <w:szCs w:val="24"/>
        </w:rPr>
        <w:t xml:space="preserve"> unaffordable luxuries</w:t>
      </w:r>
      <w:r w:rsidR="005A53A5">
        <w:rPr>
          <w:rFonts w:cs="Times New Roman"/>
          <w:szCs w:val="24"/>
        </w:rPr>
        <w:t>:</w:t>
      </w:r>
      <w:r w:rsidR="00F91324">
        <w:rPr>
          <w:rFonts w:cs="Times New Roman"/>
          <w:szCs w:val="24"/>
        </w:rPr>
        <w:t xml:space="preserve"> “feel-good but wrong ideas” </w:t>
      </w:r>
      <w:r w:rsidR="00F91324">
        <w:rPr>
          <w:rFonts w:cs="Times New Roman"/>
          <w:noProof/>
        </w:rPr>
        <w:t>(EMA, 2013)</w:t>
      </w:r>
      <w:r w:rsidR="00F91324">
        <w:rPr>
          <w:rFonts w:cs="Times New Roman"/>
          <w:szCs w:val="24"/>
        </w:rPr>
        <w:t xml:space="preserve">.  </w:t>
      </w:r>
      <w:r w:rsidR="005C179E">
        <w:rPr>
          <w:rFonts w:cs="Times New Roman"/>
          <w:szCs w:val="24"/>
        </w:rPr>
        <w:t>I</w:t>
      </w:r>
      <w:r w:rsidR="00F91324">
        <w:rPr>
          <w:rFonts w:cs="Times New Roman"/>
          <w:szCs w:val="24"/>
        </w:rPr>
        <w:t>n short, accounting</w:t>
      </w:r>
      <w:r w:rsidR="00E5286B">
        <w:rPr>
          <w:rFonts w:cs="Times New Roman"/>
          <w:szCs w:val="24"/>
        </w:rPr>
        <w:t xml:space="preserve"> discourses and</w:t>
      </w:r>
      <w:r w:rsidR="00F91324">
        <w:rPr>
          <w:rFonts w:cs="Times New Roman"/>
          <w:szCs w:val="24"/>
        </w:rPr>
        <w:t xml:space="preserve"> practices that account only for short-term performance (with a correlative focus on cost minimisation) fail to account for longer-term </w:t>
      </w:r>
      <w:r w:rsidR="00812A9D">
        <w:rPr>
          <w:rFonts w:cs="Times New Roman"/>
          <w:szCs w:val="24"/>
        </w:rPr>
        <w:t>“</w:t>
      </w:r>
      <w:r w:rsidR="00F91324">
        <w:rPr>
          <w:rFonts w:cs="Times New Roman"/>
          <w:szCs w:val="24"/>
        </w:rPr>
        <w:t>investments</w:t>
      </w:r>
      <w:r w:rsidR="00812A9D">
        <w:rPr>
          <w:rFonts w:cs="Times New Roman"/>
          <w:szCs w:val="24"/>
        </w:rPr>
        <w:t>”</w:t>
      </w:r>
      <w:r w:rsidR="005C179E">
        <w:rPr>
          <w:rFonts w:cs="Times New Roman"/>
          <w:szCs w:val="24"/>
        </w:rPr>
        <w:t xml:space="preserve">. </w:t>
      </w:r>
      <w:r w:rsidR="00F91324">
        <w:rPr>
          <w:rFonts w:cs="Times New Roman"/>
          <w:szCs w:val="24"/>
        </w:rPr>
        <w:t xml:space="preserve"> </w:t>
      </w:r>
    </w:p>
    <w:p w14:paraId="55E2FAA2" w14:textId="10E2BA87" w:rsidR="00646537" w:rsidRDefault="00646537" w:rsidP="00BD1E5E">
      <w:pPr>
        <w:rPr>
          <w:rFonts w:cs="Times New Roman"/>
          <w:szCs w:val="24"/>
        </w:rPr>
      </w:pPr>
    </w:p>
    <w:p w14:paraId="28680451" w14:textId="4D4AEEF3" w:rsidR="007A4364" w:rsidRDefault="005C179E" w:rsidP="00137542">
      <w:pPr>
        <w:rPr>
          <w:rFonts w:cs="Times New Roman"/>
        </w:rPr>
      </w:pPr>
      <w:r>
        <w:rPr>
          <w:lang w:val="en-AU"/>
        </w:rPr>
        <w:t xml:space="preserve">Accounting </w:t>
      </w:r>
      <w:r w:rsidR="005A53A5">
        <w:rPr>
          <w:lang w:val="en-AU"/>
        </w:rPr>
        <w:t xml:space="preserve">that </w:t>
      </w:r>
      <w:r>
        <w:rPr>
          <w:lang w:val="en-AU"/>
        </w:rPr>
        <w:t xml:space="preserve">supports the </w:t>
      </w:r>
      <w:r w:rsidRPr="004622C0">
        <w:rPr>
          <w:i/>
          <w:lang w:val="en-AU"/>
        </w:rPr>
        <w:t>industrial</w:t>
      </w:r>
      <w:r>
        <w:rPr>
          <w:lang w:val="en-AU"/>
        </w:rPr>
        <w:t xml:space="preserve"> order of worth </w:t>
      </w:r>
      <w:r w:rsidR="005A53A5">
        <w:rPr>
          <w:lang w:val="en-AU"/>
        </w:rPr>
        <w:t>would, most fundamentally, adopt a future-oriented focus on long-term efficiency. As Boltanski and Thévenot (2006, p. 207)</w:t>
      </w:r>
      <w:r w:rsidR="003C1F66">
        <w:rPr>
          <w:lang w:val="en-AU"/>
        </w:rPr>
        <w:t xml:space="preserve"> note,</w:t>
      </w:r>
      <w:r w:rsidR="005A53A5">
        <w:rPr>
          <w:lang w:val="en-AU"/>
        </w:rPr>
        <w:t xml:space="preserve"> </w:t>
      </w:r>
      <w:r w:rsidR="005A53A5" w:rsidRPr="005A53A5">
        <w:rPr>
          <w:lang w:val="en-AU"/>
        </w:rPr>
        <w:t>the</w:t>
      </w:r>
      <w:r w:rsidR="005A53A5" w:rsidRPr="00E5286B">
        <w:rPr>
          <w:i/>
          <w:lang w:val="en-AU"/>
        </w:rPr>
        <w:t xml:space="preserve"> industrial</w:t>
      </w:r>
      <w:r w:rsidR="005A53A5" w:rsidRPr="005A53A5">
        <w:rPr>
          <w:lang w:val="en-AU"/>
        </w:rPr>
        <w:t xml:space="preserve"> world</w:t>
      </w:r>
      <w:r w:rsidR="005A53A5">
        <w:rPr>
          <w:lang w:val="en-AU"/>
        </w:rPr>
        <w:t>’s q</w:t>
      </w:r>
      <w:r w:rsidR="005A53A5" w:rsidRPr="005A53A5">
        <w:rPr>
          <w:lang w:val="en-AU"/>
        </w:rPr>
        <w:t xml:space="preserve">ualified objects are those that denote a future focus on production and certainty: </w:t>
      </w:r>
      <w:r w:rsidR="005A53A5">
        <w:rPr>
          <w:lang w:val="en-AU"/>
        </w:rPr>
        <w:t>“</w:t>
      </w:r>
      <w:r w:rsidR="005A53A5" w:rsidRPr="005A53A5">
        <w:rPr>
          <w:lang w:val="en-AU"/>
        </w:rPr>
        <w:t>objects apprehended according to their aptitude for managing the future, such as flowcharts, plans, and budgets”.</w:t>
      </w:r>
      <w:r w:rsidR="00137542">
        <w:rPr>
          <w:lang w:val="en-AU"/>
        </w:rPr>
        <w:t xml:space="preserve">  </w:t>
      </w:r>
      <w:r w:rsidR="00137542">
        <w:rPr>
          <w:rFonts w:cs="Times New Roman"/>
          <w:szCs w:val="24"/>
        </w:rPr>
        <w:t>Firms require accounting practices that account for the long-term impacts of pay decisions: not just for the hyper short-term impacts of reduced costs.</w:t>
      </w:r>
      <w:r w:rsidR="0091078D">
        <w:rPr>
          <w:rFonts w:cs="Times New Roman"/>
          <w:szCs w:val="24"/>
        </w:rPr>
        <w:t xml:space="preserve"> </w:t>
      </w:r>
      <w:r w:rsidR="00137542" w:rsidRPr="00461387">
        <w:rPr>
          <w:rFonts w:cs="Times New Roman"/>
        </w:rPr>
        <w:t xml:space="preserve"> </w:t>
      </w:r>
      <w:r w:rsidR="00137542">
        <w:rPr>
          <w:rFonts w:cs="Times New Roman"/>
        </w:rPr>
        <w:t>Changing the accounting discourse in relation to wages and labour would be a place to start.  A reframing of wages, from short-term cost to long-term investment, is put forth as a response by LWA (Miller, 2013; see also Sikka, 2015).  This re-labelling of wages as investment rather tha</w:t>
      </w:r>
      <w:r w:rsidR="00E5286B">
        <w:rPr>
          <w:rFonts w:cs="Times New Roman"/>
        </w:rPr>
        <w:t>n</w:t>
      </w:r>
      <w:r w:rsidR="00137542">
        <w:rPr>
          <w:rFonts w:cs="Times New Roman"/>
        </w:rPr>
        <w:t xml:space="preserve"> as cost would create different drivers </w:t>
      </w:r>
      <w:r w:rsidR="00E5286B">
        <w:rPr>
          <w:rFonts w:cs="Times New Roman"/>
        </w:rPr>
        <w:t>(</w:t>
      </w:r>
      <w:r w:rsidR="00A32193">
        <w:rPr>
          <w:rFonts w:cs="Times New Roman"/>
        </w:rPr>
        <w:t xml:space="preserve">a focus on developing investments rather than reducing costs) </w:t>
      </w:r>
      <w:r w:rsidR="00137542">
        <w:rPr>
          <w:rFonts w:cs="Times New Roman"/>
        </w:rPr>
        <w:t>and measures</w:t>
      </w:r>
      <w:r w:rsidR="00A32193">
        <w:rPr>
          <w:rFonts w:cs="Times New Roman"/>
        </w:rPr>
        <w:t xml:space="preserve"> (measures that consider the well-being of the investment such as job satisfaction, engagement and the outcome of investments on firm performance)</w:t>
      </w:r>
      <w:r w:rsidR="00137542">
        <w:rPr>
          <w:rFonts w:cs="Times New Roman"/>
        </w:rPr>
        <w:t>.</w:t>
      </w:r>
      <w:r w:rsidR="00AD799D">
        <w:rPr>
          <w:rStyle w:val="EndnoteReference"/>
          <w:rFonts w:cs="Times New Roman"/>
        </w:rPr>
        <w:endnoteReference w:id="11"/>
      </w:r>
      <w:r w:rsidR="00137542">
        <w:rPr>
          <w:rFonts w:cs="Times New Roman"/>
        </w:rPr>
        <w:t xml:space="preserve">  Further, it aligns with Boltanski and Thévenot’s (2006, p. 206) explication of the </w:t>
      </w:r>
      <w:r w:rsidR="00137542" w:rsidRPr="00A32193">
        <w:rPr>
          <w:rFonts w:cs="Times New Roman"/>
          <w:i/>
        </w:rPr>
        <w:t>industrial</w:t>
      </w:r>
      <w:r w:rsidR="00137542">
        <w:rPr>
          <w:rFonts w:cs="Times New Roman"/>
        </w:rPr>
        <w:t xml:space="preserve"> order, where “</w:t>
      </w:r>
      <w:r w:rsidR="00137542">
        <w:t>to invest in human capabilities and energies is to use the best means for economic efficiency”</w:t>
      </w:r>
      <w:r w:rsidR="00137542">
        <w:rPr>
          <w:rFonts w:cs="Times New Roman"/>
        </w:rPr>
        <w:t xml:space="preserve">.  </w:t>
      </w:r>
    </w:p>
    <w:p w14:paraId="6B7B4A23" w14:textId="77777777" w:rsidR="007A4364" w:rsidRDefault="007A4364" w:rsidP="00137542">
      <w:pPr>
        <w:rPr>
          <w:rFonts w:cs="Times New Roman"/>
        </w:rPr>
      </w:pPr>
    </w:p>
    <w:p w14:paraId="703E1708" w14:textId="411EAFD6" w:rsidR="00F8521D" w:rsidRDefault="00A32193" w:rsidP="00137542">
      <w:pPr>
        <w:rPr>
          <w:lang w:val="en-AU"/>
        </w:rPr>
      </w:pPr>
      <w:r>
        <w:rPr>
          <w:rFonts w:cs="Times New Roman"/>
        </w:rPr>
        <w:t>One</w:t>
      </w:r>
      <w:r w:rsidR="00137542">
        <w:rPr>
          <w:rFonts w:cs="Times New Roman"/>
        </w:rPr>
        <w:t xml:space="preserve"> task </w:t>
      </w:r>
      <w:r>
        <w:rPr>
          <w:rFonts w:cs="Times New Roman"/>
        </w:rPr>
        <w:t>for</w:t>
      </w:r>
      <w:r w:rsidR="00137542">
        <w:rPr>
          <w:rFonts w:cs="Times New Roman"/>
        </w:rPr>
        <w:t xml:space="preserve"> accounting </w:t>
      </w:r>
      <w:r>
        <w:rPr>
          <w:rFonts w:cs="Times New Roman"/>
        </w:rPr>
        <w:t xml:space="preserve">here </w:t>
      </w:r>
      <w:r w:rsidR="00137542">
        <w:rPr>
          <w:rFonts w:cs="Times New Roman"/>
        </w:rPr>
        <w:t>would be to measure and account for the links between higher wages and enhanced long-term firm performance.</w:t>
      </w:r>
      <w:r w:rsidR="007A4364">
        <w:rPr>
          <w:rFonts w:cs="Times New Roman"/>
        </w:rPr>
        <w:t xml:space="preserve">  </w:t>
      </w:r>
      <w:r w:rsidR="00D21DBC">
        <w:rPr>
          <w:rFonts w:cs="Times New Roman"/>
        </w:rPr>
        <w:t>While benefits of paying the living wage are difficult to calculate (Thompson &amp; Chapman, 2005; Miller, 2013), research which investigates the links between the living wage and business outcomes show areas where further (accounting) research could contribute (e.g. Coulson &amp; Bonner, 2015</w:t>
      </w:r>
      <w:r w:rsidR="00C0134D">
        <w:rPr>
          <w:rFonts w:cs="Times New Roman"/>
        </w:rPr>
        <w:t>; London Economics, 2009</w:t>
      </w:r>
      <w:r w:rsidR="00D21DBC">
        <w:rPr>
          <w:rFonts w:cs="Times New Roman"/>
        </w:rPr>
        <w:t xml:space="preserve">).  </w:t>
      </w:r>
      <w:r>
        <w:rPr>
          <w:rFonts w:cs="Times New Roman"/>
        </w:rPr>
        <w:t>Here</w:t>
      </w:r>
      <w:r w:rsidR="007A4364">
        <w:rPr>
          <w:rFonts w:cs="Times New Roman"/>
        </w:rPr>
        <w:t xml:space="preserve">, </w:t>
      </w:r>
      <w:r w:rsidR="00D21DBC">
        <w:rPr>
          <w:rFonts w:cs="Times New Roman"/>
        </w:rPr>
        <w:t xml:space="preserve">and drawing on our insights from Boltanski </w:t>
      </w:r>
      <w:r w:rsidR="008F3D26">
        <w:rPr>
          <w:rFonts w:cs="Times New Roman"/>
        </w:rPr>
        <w:t>and</w:t>
      </w:r>
      <w:r w:rsidR="00D21DBC">
        <w:rPr>
          <w:rFonts w:cs="Times New Roman"/>
        </w:rPr>
        <w:t xml:space="preserve"> Thévenot, </w:t>
      </w:r>
      <w:r w:rsidR="007A4364">
        <w:rPr>
          <w:rFonts w:cs="Times New Roman"/>
        </w:rPr>
        <w:t xml:space="preserve">accounting might seek to test and measure the relationship between wages (and wage differentials) within organisations with outcomes for workers: in what way do higher wages contribute to the </w:t>
      </w:r>
      <w:r w:rsidR="007A4364" w:rsidRPr="00A32193">
        <w:rPr>
          <w:rFonts w:cs="Times New Roman"/>
          <w:i/>
        </w:rPr>
        <w:t>industrial</w:t>
      </w:r>
      <w:r w:rsidR="007A4364">
        <w:rPr>
          <w:rFonts w:cs="Times New Roman"/>
        </w:rPr>
        <w:t xml:space="preserve"> world’s stated objectives of </w:t>
      </w:r>
      <w:r w:rsidR="007A4364">
        <w:rPr>
          <w:lang w:val="en-AU"/>
        </w:rPr>
        <w:t>active, efficient and engaged workers (</w:t>
      </w:r>
      <w:r w:rsidR="007A4364">
        <w:rPr>
          <w:rFonts w:cs="Times New Roman"/>
        </w:rPr>
        <w:t xml:space="preserve">Boltanski </w:t>
      </w:r>
      <w:r w:rsidR="0091078D">
        <w:rPr>
          <w:rFonts w:cs="Times New Roman"/>
        </w:rPr>
        <w:t>&amp;</w:t>
      </w:r>
      <w:r w:rsidR="007A4364">
        <w:rPr>
          <w:rFonts w:cs="Times New Roman"/>
        </w:rPr>
        <w:t xml:space="preserve"> Thévenot</w:t>
      </w:r>
      <w:r w:rsidR="003C1F66">
        <w:rPr>
          <w:rFonts w:cs="Times New Roman"/>
        </w:rPr>
        <w:t>,</w:t>
      </w:r>
      <w:r w:rsidR="007A4364">
        <w:rPr>
          <w:rFonts w:cs="Times New Roman"/>
        </w:rPr>
        <w:t xml:space="preserve"> 2006, p. 205</w:t>
      </w:r>
      <w:r w:rsidR="007A4364">
        <w:rPr>
          <w:lang w:val="en-AU"/>
        </w:rPr>
        <w:t>)</w:t>
      </w:r>
      <w:r>
        <w:rPr>
          <w:lang w:val="en-AU"/>
        </w:rPr>
        <w:t>”</w:t>
      </w:r>
      <w:r w:rsidR="009621CE">
        <w:rPr>
          <w:lang w:val="en-AU"/>
        </w:rPr>
        <w:t>.</w:t>
      </w:r>
    </w:p>
    <w:p w14:paraId="296D1208" w14:textId="77777777" w:rsidR="00F8521D" w:rsidRDefault="00F8521D" w:rsidP="00137542">
      <w:pPr>
        <w:rPr>
          <w:lang w:val="en-AU"/>
        </w:rPr>
      </w:pPr>
    </w:p>
    <w:p w14:paraId="4DE08D9B" w14:textId="2C98179C" w:rsidR="00137542" w:rsidRDefault="007A4364" w:rsidP="00137542">
      <w:pPr>
        <w:rPr>
          <w:rFonts w:cs="Times New Roman"/>
        </w:rPr>
      </w:pPr>
      <w:r>
        <w:rPr>
          <w:lang w:val="en-AU"/>
        </w:rPr>
        <w:t>Morbid symptoms such as absenteeism, a lack of engagement in the workplace and high turnover (</w:t>
      </w:r>
      <w:r>
        <w:rPr>
          <w:rFonts w:cs="Times New Roman"/>
          <w:szCs w:val="24"/>
        </w:rPr>
        <w:t xml:space="preserve">along with the associated hiring and re-training costs) </w:t>
      </w:r>
      <w:r>
        <w:rPr>
          <w:lang w:val="en-AU"/>
        </w:rPr>
        <w:t xml:space="preserve">are obvious states of unworthiness: signs of </w:t>
      </w:r>
      <w:r w:rsidR="00A32193">
        <w:rPr>
          <w:lang w:val="en-AU"/>
        </w:rPr>
        <w:t>“</w:t>
      </w:r>
      <w:r>
        <w:rPr>
          <w:lang w:val="en-AU"/>
        </w:rPr>
        <w:t>the poor functioning of a disturbed system” (ibid.). These things might usefully be measured and reported on</w:t>
      </w:r>
      <w:r w:rsidR="003C1F66">
        <w:rPr>
          <w:lang w:val="en-AU"/>
        </w:rPr>
        <w:t>,</w:t>
      </w:r>
      <w:r w:rsidR="009C484E">
        <w:rPr>
          <w:rStyle w:val="EndnoteReference"/>
          <w:lang w:val="en-AU"/>
        </w:rPr>
        <w:endnoteReference w:id="12"/>
      </w:r>
      <w:r w:rsidR="003C1F66">
        <w:rPr>
          <w:lang w:val="en-AU"/>
        </w:rPr>
        <w:t xml:space="preserve"> and set against wage decisions</w:t>
      </w:r>
      <w:r>
        <w:rPr>
          <w:lang w:val="en-AU"/>
        </w:rPr>
        <w:t xml:space="preserve">.  </w:t>
      </w:r>
      <w:r w:rsidR="00A32193">
        <w:rPr>
          <w:rFonts w:eastAsiaTheme="majorEastAsia" w:cs="Times New Roman"/>
          <w:color w:val="000000" w:themeColor="text1"/>
          <w:szCs w:val="32"/>
        </w:rPr>
        <w:t>W</w:t>
      </w:r>
      <w:r w:rsidR="00137542">
        <w:rPr>
          <w:rFonts w:eastAsiaTheme="majorEastAsia" w:cs="Times New Roman"/>
          <w:color w:val="000000" w:themeColor="text1"/>
          <w:szCs w:val="32"/>
        </w:rPr>
        <w:t xml:space="preserve">hile this approach still accepts the firm-centric claim that wage decisions are properly assessed by their impact on a firm’s market competitiveness, their longer-term time formation has the potential to challenge the market’s construction of wages always and only as a cost to be minimised.  </w:t>
      </w:r>
      <w:r w:rsidR="00137542">
        <w:rPr>
          <w:lang w:val="en-AU"/>
        </w:rPr>
        <w:t>Following Boltanski and Thévenot (2006, p. 211), we</w:t>
      </w:r>
      <w:r w:rsidR="0073002B">
        <w:rPr>
          <w:lang w:val="en-AU"/>
        </w:rPr>
        <w:t xml:space="preserve"> also</w:t>
      </w:r>
      <w:r w:rsidR="00137542">
        <w:rPr>
          <w:lang w:val="en-AU"/>
        </w:rPr>
        <w:t xml:space="preserve"> note that assessing the living wage in these terms (based on its benefits to organisational efficiency) threatens “the distinctive dignity of humanity” by adopting the </w:t>
      </w:r>
      <w:r w:rsidR="00137542" w:rsidRPr="00BB56E6">
        <w:rPr>
          <w:i/>
          <w:lang w:val="en-AU"/>
        </w:rPr>
        <w:t>industrial</w:t>
      </w:r>
      <w:r w:rsidR="00137542">
        <w:rPr>
          <w:lang w:val="en-AU"/>
        </w:rPr>
        <w:t xml:space="preserve"> world’s “treatment of people as things”</w:t>
      </w:r>
      <w:r w:rsidR="00AD799D" w:rsidRPr="00137542">
        <w:rPr>
          <w:rFonts w:cs="Times New Roman"/>
        </w:rPr>
        <w:t>.</w:t>
      </w:r>
    </w:p>
    <w:p w14:paraId="399B795A" w14:textId="26AC9CB5" w:rsidR="005A53A5" w:rsidRPr="005A53A5" w:rsidRDefault="005A53A5" w:rsidP="005A53A5">
      <w:pPr>
        <w:rPr>
          <w:lang w:val="en-AU"/>
        </w:rPr>
      </w:pPr>
    </w:p>
    <w:p w14:paraId="6FA11944" w14:textId="01053042" w:rsidR="0019489C" w:rsidRPr="00461387" w:rsidRDefault="00115080" w:rsidP="00150DF8">
      <w:pPr>
        <w:rPr>
          <w:rFonts w:cs="Times New Roman"/>
        </w:rPr>
      </w:pPr>
      <w:r>
        <w:rPr>
          <w:rFonts w:cs="Times New Roman"/>
        </w:rPr>
        <w:t>To be effective, problematising</w:t>
      </w:r>
      <w:r w:rsidR="00461387">
        <w:rPr>
          <w:rFonts w:cs="Times New Roman"/>
        </w:rPr>
        <w:t xml:space="preserve"> the dominance of the </w:t>
      </w:r>
      <w:r w:rsidR="00461387" w:rsidRPr="00BB56E6">
        <w:rPr>
          <w:rFonts w:cs="Times New Roman"/>
          <w:i/>
        </w:rPr>
        <w:t>market</w:t>
      </w:r>
      <w:r w:rsidR="00461387">
        <w:rPr>
          <w:rFonts w:cs="Times New Roman"/>
        </w:rPr>
        <w:t xml:space="preserve"> test of </w:t>
      </w:r>
      <w:r>
        <w:rPr>
          <w:rFonts w:cs="Times New Roman"/>
        </w:rPr>
        <w:t>worth</w:t>
      </w:r>
      <w:r w:rsidR="00461387">
        <w:rPr>
          <w:rFonts w:cs="Times New Roman"/>
        </w:rPr>
        <w:t xml:space="preserve"> </w:t>
      </w:r>
      <w:r>
        <w:rPr>
          <w:rFonts w:cs="Times New Roman"/>
        </w:rPr>
        <w:t xml:space="preserve">will require not just new ideas and new accounting </w:t>
      </w:r>
      <w:r w:rsidR="00AD799D">
        <w:rPr>
          <w:rFonts w:cs="Times New Roman"/>
        </w:rPr>
        <w:t xml:space="preserve">discourses and </w:t>
      </w:r>
      <w:r>
        <w:rPr>
          <w:rFonts w:cs="Times New Roman"/>
        </w:rPr>
        <w:t xml:space="preserve">practices, but also new relationships: </w:t>
      </w:r>
      <w:r w:rsidR="0034292E">
        <w:rPr>
          <w:rFonts w:cs="Times New Roman"/>
        </w:rPr>
        <w:t xml:space="preserve">new </w:t>
      </w:r>
      <w:r>
        <w:rPr>
          <w:rFonts w:cs="Times New Roman"/>
        </w:rPr>
        <w:t xml:space="preserve">partnerships between </w:t>
      </w:r>
      <w:r w:rsidR="00461387">
        <w:rPr>
          <w:rFonts w:cs="Times New Roman"/>
        </w:rPr>
        <w:t xml:space="preserve">organisations, workers and societies. </w:t>
      </w:r>
      <w:r w:rsidR="00AD799D">
        <w:rPr>
          <w:rFonts w:cs="Times New Roman"/>
        </w:rPr>
        <w:t xml:space="preserve"> </w:t>
      </w:r>
      <w:r w:rsidR="0034292E">
        <w:rPr>
          <w:rFonts w:cs="Times New Roman"/>
        </w:rPr>
        <w:t xml:space="preserve">Indeed, LWA organiser Annie Newman (2014, p. 65) </w:t>
      </w:r>
      <w:r w:rsidR="0034292E">
        <w:t xml:space="preserve">stated that it was not the propositional content of LWA’s arguments – not the </w:t>
      </w:r>
      <w:r w:rsidR="00AD799D">
        <w:t>“</w:t>
      </w:r>
      <w:r w:rsidR="0034292E">
        <w:t>call for a living wage, or the evidence that justifies a living wage</w:t>
      </w:r>
      <w:r w:rsidR="00AD799D">
        <w:t>”</w:t>
      </w:r>
      <w:r w:rsidR="0034292E">
        <w:t xml:space="preserve"> – that would be transformative but rather their relational implications: </w:t>
      </w:r>
      <w:r w:rsidR="00AD799D">
        <w:t>“</w:t>
      </w:r>
      <w:r w:rsidR="0034292E">
        <w:t>the activation of civil society around a common purpose</w:t>
      </w:r>
      <w:r w:rsidR="00AD799D">
        <w:t>”</w:t>
      </w:r>
      <w:r w:rsidR="0034292E">
        <w:t xml:space="preserve">. </w:t>
      </w:r>
      <w:r w:rsidR="00461387">
        <w:rPr>
          <w:rFonts w:cs="Times New Roman"/>
        </w:rPr>
        <w:t xml:space="preserve"> Ther</w:t>
      </w:r>
      <w:r w:rsidR="007F7862">
        <w:rPr>
          <w:rFonts w:cs="Times New Roman"/>
        </w:rPr>
        <w:t xml:space="preserve">e is, </w:t>
      </w:r>
      <w:r>
        <w:rPr>
          <w:rFonts w:cs="Times New Roman"/>
        </w:rPr>
        <w:t>in this light</w:t>
      </w:r>
      <w:r w:rsidR="007F7862">
        <w:rPr>
          <w:rFonts w:cs="Times New Roman"/>
        </w:rPr>
        <w:t xml:space="preserve">, </w:t>
      </w:r>
      <w:r w:rsidR="00461387">
        <w:rPr>
          <w:rFonts w:cs="Times New Roman"/>
        </w:rPr>
        <w:t xml:space="preserve">a </w:t>
      </w:r>
      <w:r w:rsidR="007F7862">
        <w:rPr>
          <w:rFonts w:cs="Times New Roman"/>
        </w:rPr>
        <w:t>role</w:t>
      </w:r>
      <w:r w:rsidR="00461387">
        <w:rPr>
          <w:rFonts w:cs="Times New Roman"/>
        </w:rPr>
        <w:t xml:space="preserve"> for accounting </w:t>
      </w:r>
      <w:r w:rsidR="00321C13">
        <w:rPr>
          <w:rFonts w:cs="Times New Roman"/>
        </w:rPr>
        <w:t>researchers</w:t>
      </w:r>
      <w:r w:rsidR="00461387">
        <w:rPr>
          <w:rFonts w:cs="Times New Roman"/>
        </w:rPr>
        <w:t xml:space="preserve"> to </w:t>
      </w:r>
      <w:r w:rsidR="003C1F66">
        <w:rPr>
          <w:rFonts w:cs="Times New Roman"/>
        </w:rPr>
        <w:t xml:space="preserve">work with a wide range of social groups in the tasks of </w:t>
      </w:r>
      <w:r>
        <w:rPr>
          <w:rFonts w:cs="Times New Roman"/>
        </w:rPr>
        <w:t>problematis</w:t>
      </w:r>
      <w:r w:rsidR="003C1F66">
        <w:rPr>
          <w:rFonts w:cs="Times New Roman"/>
        </w:rPr>
        <w:t>ing</w:t>
      </w:r>
      <w:r>
        <w:rPr>
          <w:rFonts w:cs="Times New Roman"/>
        </w:rPr>
        <w:t xml:space="preserve"> existing arrangements, and develop</w:t>
      </w:r>
      <w:r w:rsidR="003C1F66">
        <w:rPr>
          <w:rFonts w:cs="Times New Roman"/>
        </w:rPr>
        <w:t>ing</w:t>
      </w:r>
      <w:r w:rsidR="00461387">
        <w:rPr>
          <w:rFonts w:cs="Times New Roman"/>
        </w:rPr>
        <w:t xml:space="preserve"> alternative accounting norms, practices and artefacts</w:t>
      </w:r>
      <w:r w:rsidR="007F7862">
        <w:rPr>
          <w:rFonts w:cs="Times New Roman"/>
        </w:rPr>
        <w:t xml:space="preserve"> (Tregidga, </w:t>
      </w:r>
      <w:r w:rsidR="00C32725">
        <w:rPr>
          <w:rFonts w:cs="Times New Roman"/>
        </w:rPr>
        <w:t xml:space="preserve">Milne &amp; Kearins, </w:t>
      </w:r>
      <w:r w:rsidR="007F7862">
        <w:rPr>
          <w:rFonts w:cs="Times New Roman"/>
        </w:rPr>
        <w:lastRenderedPageBreak/>
        <w:t>2015)</w:t>
      </w:r>
      <w:r w:rsidR="00461387">
        <w:rPr>
          <w:rFonts w:cs="Times New Roman"/>
        </w:rPr>
        <w:t xml:space="preserve">.  We conclude our discussion </w:t>
      </w:r>
      <w:r w:rsidR="007F7862">
        <w:rPr>
          <w:rFonts w:cs="Times New Roman"/>
        </w:rPr>
        <w:t xml:space="preserve">here </w:t>
      </w:r>
      <w:r w:rsidR="00461387">
        <w:rPr>
          <w:rFonts w:cs="Times New Roman"/>
        </w:rPr>
        <w:t xml:space="preserve">with </w:t>
      </w:r>
      <w:r w:rsidR="007F7862">
        <w:rPr>
          <w:rFonts w:cs="Times New Roman"/>
        </w:rPr>
        <w:t xml:space="preserve">an identification of some areas for future research, as well as some examples from the literature that would be useful to extend. </w:t>
      </w:r>
    </w:p>
    <w:p w14:paraId="5FAEC811" w14:textId="77777777" w:rsidR="00A2435E" w:rsidRDefault="00A2435E" w:rsidP="0022704E">
      <w:pPr>
        <w:rPr>
          <w:lang w:val="en-AU"/>
        </w:rPr>
      </w:pPr>
    </w:p>
    <w:p w14:paraId="29788610" w14:textId="4135B996" w:rsidR="00A86466" w:rsidRDefault="00A86466" w:rsidP="00A86466">
      <w:pPr>
        <w:rPr>
          <w:rFonts w:eastAsiaTheme="majorEastAsia" w:cs="Times New Roman"/>
          <w:color w:val="000000" w:themeColor="text1"/>
          <w:szCs w:val="32"/>
        </w:rPr>
      </w:pPr>
      <w:r>
        <w:rPr>
          <w:rFonts w:eastAsiaTheme="majorEastAsia" w:cs="Times New Roman"/>
          <w:color w:val="000000" w:themeColor="text1"/>
          <w:szCs w:val="32"/>
        </w:rPr>
        <w:t>There is</w:t>
      </w:r>
      <w:r w:rsidR="008F3D26">
        <w:rPr>
          <w:rFonts w:eastAsiaTheme="majorEastAsia" w:cs="Times New Roman"/>
          <w:color w:val="000000" w:themeColor="text1"/>
          <w:szCs w:val="32"/>
        </w:rPr>
        <w:t xml:space="preserve"> </w:t>
      </w:r>
      <w:r>
        <w:rPr>
          <w:rFonts w:eastAsiaTheme="majorEastAsia" w:cs="Times New Roman"/>
          <w:color w:val="000000" w:themeColor="text1"/>
          <w:szCs w:val="32"/>
        </w:rPr>
        <w:t xml:space="preserve">potential for accounting academics to work with or study those groups already engaging over issues of income and wealth inequality – as well as working with groups who seek to become more involved.  Raising levels of financial literacy, conducting both a technical and normative role in “exposing wealth to democratic scrutiny” (Picketty, 2014, p. </w:t>
      </w:r>
      <w:r w:rsidR="00321C13">
        <w:rPr>
          <w:rFonts w:eastAsiaTheme="majorEastAsia" w:cs="Times New Roman"/>
          <w:color w:val="000000" w:themeColor="text1"/>
          <w:szCs w:val="32"/>
        </w:rPr>
        <w:t>471) would seem relevant</w:t>
      </w:r>
      <w:r>
        <w:rPr>
          <w:rFonts w:eastAsiaTheme="majorEastAsia" w:cs="Times New Roman"/>
          <w:color w:val="000000" w:themeColor="text1"/>
          <w:szCs w:val="32"/>
        </w:rPr>
        <w:t xml:space="preserve">.  </w:t>
      </w:r>
      <w:r w:rsidRPr="000E1B5F">
        <w:rPr>
          <w:rFonts w:cs="Times New Roman"/>
        </w:rPr>
        <w:t xml:space="preserve">George (2016), </w:t>
      </w:r>
      <w:r>
        <w:rPr>
          <w:rFonts w:cs="Times New Roman"/>
        </w:rPr>
        <w:t xml:space="preserve">for example, </w:t>
      </w:r>
      <w:r w:rsidRPr="000E1B5F">
        <w:rPr>
          <w:rFonts w:cs="Times New Roman"/>
        </w:rPr>
        <w:t>in her study of social accounting and soc</w:t>
      </w:r>
      <w:r>
        <w:rPr>
          <w:rFonts w:cs="Times New Roman"/>
        </w:rPr>
        <w:t>ial movements, finds a</w:t>
      </w:r>
      <w:r w:rsidRPr="000E1B5F">
        <w:rPr>
          <w:rFonts w:cs="Times New Roman"/>
        </w:rPr>
        <w:t xml:space="preserve"> lack of acc</w:t>
      </w:r>
      <w:r w:rsidR="00321C13">
        <w:rPr>
          <w:rFonts w:cs="Times New Roman"/>
        </w:rPr>
        <w:t>ounting knowledge within</w:t>
      </w:r>
      <w:r w:rsidRPr="000E1B5F">
        <w:rPr>
          <w:rFonts w:cs="Times New Roman"/>
        </w:rPr>
        <w:t xml:space="preserve"> groups such as unions and</w:t>
      </w:r>
      <w:r>
        <w:rPr>
          <w:rFonts w:cs="Times New Roman"/>
        </w:rPr>
        <w:t>,</w:t>
      </w:r>
      <w:r w:rsidRPr="000E1B5F">
        <w:rPr>
          <w:rFonts w:cs="Times New Roman"/>
        </w:rPr>
        <w:t xml:space="preserve"> importantly</w:t>
      </w:r>
      <w:r>
        <w:rPr>
          <w:rFonts w:cs="Times New Roman"/>
        </w:rPr>
        <w:t>, a</w:t>
      </w:r>
      <w:r w:rsidRPr="000E1B5F">
        <w:rPr>
          <w:rFonts w:cs="Times New Roman"/>
        </w:rPr>
        <w:t xml:space="preserve"> demand for this knowledge in order to engage in effective resistance.  Her findings suggest a willingness for social movements to work with/alongside accounting academics.  </w:t>
      </w:r>
      <w:r>
        <w:rPr>
          <w:rFonts w:cs="Times New Roman"/>
        </w:rPr>
        <w:t>There is space here for academics to assist, or draw together various groups or individuals</w:t>
      </w:r>
      <w:r w:rsidR="00321C13">
        <w:rPr>
          <w:rFonts w:cs="Times New Roman"/>
        </w:rPr>
        <w:t>,</w:t>
      </w:r>
      <w:r>
        <w:rPr>
          <w:rFonts w:cs="Times New Roman"/>
        </w:rPr>
        <w:t xml:space="preserve"> in a way </w:t>
      </w:r>
      <w:r w:rsidRPr="000E1B5F">
        <w:rPr>
          <w:rFonts w:cs="Times New Roman"/>
        </w:rPr>
        <w:t xml:space="preserve">consistent </w:t>
      </w:r>
      <w:r>
        <w:rPr>
          <w:rFonts w:cs="Times New Roman"/>
        </w:rPr>
        <w:t xml:space="preserve">not only </w:t>
      </w:r>
      <w:r w:rsidRPr="000E1B5F">
        <w:rPr>
          <w:rFonts w:cs="Times New Roman"/>
        </w:rPr>
        <w:t>with</w:t>
      </w:r>
      <w:r>
        <w:rPr>
          <w:rFonts w:cs="Times New Roman"/>
        </w:rPr>
        <w:t xml:space="preserve"> </w:t>
      </w:r>
      <w:r w:rsidRPr="000E1B5F">
        <w:rPr>
          <w:rFonts w:cs="Times New Roman"/>
        </w:rPr>
        <w:t>Piketty’s agenda of holding capital accountable</w:t>
      </w:r>
      <w:r>
        <w:rPr>
          <w:rFonts w:cs="Times New Roman"/>
        </w:rPr>
        <w:t xml:space="preserve"> but also with an agenda of providing more voice</w:t>
      </w:r>
      <w:r w:rsidR="00321C13">
        <w:rPr>
          <w:rFonts w:cs="Times New Roman"/>
        </w:rPr>
        <w:t xml:space="preserve"> </w:t>
      </w:r>
      <w:r>
        <w:rPr>
          <w:rFonts w:cs="Times New Roman"/>
        </w:rPr>
        <w:t xml:space="preserve">– </w:t>
      </w:r>
      <w:r w:rsidR="00321C13">
        <w:rPr>
          <w:rFonts w:cs="Times New Roman"/>
        </w:rPr>
        <w:t>working to change/disrupt perceptions of</w:t>
      </w:r>
      <w:r>
        <w:rPr>
          <w:rFonts w:cs="Times New Roman"/>
        </w:rPr>
        <w:t xml:space="preserve"> the </w:t>
      </w:r>
      <w:r w:rsidR="00321C13">
        <w:rPr>
          <w:rFonts w:cs="Times New Roman"/>
        </w:rPr>
        <w:t>legitimate</w:t>
      </w:r>
      <w:r>
        <w:rPr>
          <w:rFonts w:cs="Times New Roman"/>
        </w:rPr>
        <w:t xml:space="preserve"> account provider (Tregidga, 2017).</w:t>
      </w:r>
      <w:r w:rsidR="00451B46">
        <w:rPr>
          <w:rFonts w:cs="Times New Roman"/>
        </w:rPr>
        <w:t xml:space="preserve"> </w:t>
      </w:r>
    </w:p>
    <w:p w14:paraId="0FBBE470" w14:textId="77777777" w:rsidR="00A86466" w:rsidRDefault="00A86466" w:rsidP="00A86466">
      <w:pPr>
        <w:rPr>
          <w:rFonts w:eastAsiaTheme="majorEastAsia" w:cs="Times New Roman"/>
          <w:color w:val="000000" w:themeColor="text1"/>
          <w:szCs w:val="32"/>
        </w:rPr>
      </w:pPr>
    </w:p>
    <w:p w14:paraId="3637613F" w14:textId="3739A68E" w:rsidR="00A86466" w:rsidRDefault="00115080" w:rsidP="00A86466">
      <w:pPr>
        <w:rPr>
          <w:rFonts w:eastAsiaTheme="majorEastAsia" w:cs="Times New Roman"/>
          <w:color w:val="000000" w:themeColor="text1"/>
          <w:szCs w:val="32"/>
        </w:rPr>
      </w:pPr>
      <w:r>
        <w:rPr>
          <w:rFonts w:eastAsiaTheme="majorEastAsia" w:cs="Times New Roman"/>
          <w:color w:val="000000" w:themeColor="text1"/>
          <w:szCs w:val="32"/>
        </w:rPr>
        <w:t>I</w:t>
      </w:r>
      <w:r w:rsidR="00A86466">
        <w:rPr>
          <w:rFonts w:eastAsiaTheme="majorEastAsia" w:cs="Times New Roman"/>
          <w:color w:val="000000" w:themeColor="text1"/>
          <w:szCs w:val="32"/>
        </w:rPr>
        <w:t xml:space="preserve">n </w:t>
      </w:r>
      <w:r>
        <w:rPr>
          <w:rFonts w:eastAsiaTheme="majorEastAsia" w:cs="Times New Roman"/>
          <w:color w:val="000000" w:themeColor="text1"/>
          <w:szCs w:val="32"/>
        </w:rPr>
        <w:t>considering the potential contribution of</w:t>
      </w:r>
      <w:r w:rsidR="00A86466">
        <w:rPr>
          <w:rFonts w:eastAsiaTheme="majorEastAsia" w:cs="Times New Roman"/>
          <w:color w:val="000000" w:themeColor="text1"/>
          <w:szCs w:val="32"/>
        </w:rPr>
        <w:t xml:space="preserve"> the </w:t>
      </w:r>
      <w:r w:rsidR="00A86466" w:rsidRPr="00321C13">
        <w:rPr>
          <w:rFonts w:eastAsiaTheme="majorEastAsia" w:cs="Times New Roman"/>
          <w:i/>
          <w:color w:val="000000" w:themeColor="text1"/>
          <w:szCs w:val="32"/>
        </w:rPr>
        <w:t>domestic-inspired</w:t>
      </w:r>
      <w:r w:rsidR="00A86466">
        <w:rPr>
          <w:rFonts w:eastAsiaTheme="majorEastAsia" w:cs="Times New Roman"/>
          <w:color w:val="000000" w:themeColor="text1"/>
          <w:szCs w:val="32"/>
        </w:rPr>
        <w:t xml:space="preserve"> order</w:t>
      </w:r>
      <w:r>
        <w:rPr>
          <w:rFonts w:eastAsiaTheme="majorEastAsia" w:cs="Times New Roman"/>
          <w:color w:val="000000" w:themeColor="text1"/>
          <w:szCs w:val="32"/>
        </w:rPr>
        <w:t>,</w:t>
      </w:r>
      <w:r w:rsidR="00A86466">
        <w:rPr>
          <w:rFonts w:eastAsiaTheme="majorEastAsia" w:cs="Times New Roman"/>
          <w:color w:val="000000" w:themeColor="text1"/>
          <w:szCs w:val="32"/>
        </w:rPr>
        <w:t xml:space="preserve"> we see </w:t>
      </w:r>
      <w:r w:rsidR="007F7862">
        <w:rPr>
          <w:rFonts w:eastAsiaTheme="majorEastAsia" w:cs="Times New Roman"/>
          <w:color w:val="000000" w:themeColor="text1"/>
          <w:szCs w:val="32"/>
        </w:rPr>
        <w:t>a particular role</w:t>
      </w:r>
      <w:r w:rsidR="00A86466">
        <w:rPr>
          <w:rFonts w:eastAsiaTheme="majorEastAsia" w:cs="Times New Roman"/>
          <w:color w:val="000000" w:themeColor="text1"/>
          <w:szCs w:val="32"/>
        </w:rPr>
        <w:t xml:space="preserve"> for external and counter accounting practices (</w:t>
      </w:r>
      <w:r w:rsidR="00A86466" w:rsidRPr="00D87211">
        <w:rPr>
          <w:rFonts w:eastAsiaTheme="majorEastAsia" w:cs="Times New Roman"/>
          <w:color w:val="000000" w:themeColor="text1"/>
          <w:szCs w:val="32"/>
        </w:rPr>
        <w:t xml:space="preserve">Gallhoffer, Haslam, Monk &amp; Roberts, 2006; </w:t>
      </w:r>
      <w:r w:rsidR="00486113">
        <w:rPr>
          <w:rFonts w:eastAsiaTheme="majorEastAsia" w:cs="Times New Roman"/>
          <w:color w:val="000000" w:themeColor="text1"/>
          <w:szCs w:val="32"/>
        </w:rPr>
        <w:t xml:space="preserve">Dey, 2007; </w:t>
      </w:r>
      <w:r w:rsidR="00A86466">
        <w:rPr>
          <w:rFonts w:eastAsiaTheme="majorEastAsia" w:cs="Times New Roman"/>
          <w:color w:val="000000" w:themeColor="text1"/>
          <w:szCs w:val="32"/>
        </w:rPr>
        <w:t xml:space="preserve">Rodrigue, 2014; </w:t>
      </w:r>
      <w:r w:rsidR="00A86466" w:rsidRPr="00D87211">
        <w:rPr>
          <w:rFonts w:eastAsiaTheme="majorEastAsia" w:cs="Times New Roman"/>
          <w:color w:val="000000" w:themeColor="text1"/>
          <w:szCs w:val="32"/>
        </w:rPr>
        <w:t>Thomson, Dey &amp; Russell, 2015</w:t>
      </w:r>
      <w:r w:rsidR="00A86466">
        <w:rPr>
          <w:rFonts w:eastAsiaTheme="majorEastAsia" w:cs="Times New Roman"/>
          <w:color w:val="000000" w:themeColor="text1"/>
          <w:szCs w:val="32"/>
        </w:rPr>
        <w:t xml:space="preserve">).  Counter accounts, for example, could be used to demand that firms account for the </w:t>
      </w:r>
      <w:r>
        <w:rPr>
          <w:rFonts w:eastAsiaTheme="majorEastAsia" w:cs="Times New Roman"/>
          <w:color w:val="000000" w:themeColor="text1"/>
          <w:szCs w:val="32"/>
        </w:rPr>
        <w:t xml:space="preserve">dignity of the worker considered not as a unit of labour power but as a unique human being. </w:t>
      </w:r>
      <w:r w:rsidR="007245C0">
        <w:rPr>
          <w:rFonts w:eastAsiaTheme="majorEastAsia" w:cs="Times New Roman"/>
          <w:color w:val="000000" w:themeColor="text1"/>
          <w:szCs w:val="32"/>
        </w:rPr>
        <w:t xml:space="preserve"> </w:t>
      </w:r>
      <w:r w:rsidR="007F7862">
        <w:rPr>
          <w:rFonts w:eastAsiaTheme="majorEastAsia" w:cs="Times New Roman"/>
          <w:color w:val="000000" w:themeColor="text1"/>
          <w:szCs w:val="32"/>
        </w:rPr>
        <w:t>We also see the</w:t>
      </w:r>
      <w:r w:rsidR="00A86466">
        <w:rPr>
          <w:rFonts w:eastAsiaTheme="majorEastAsia" w:cs="Times New Roman"/>
          <w:color w:val="000000" w:themeColor="text1"/>
          <w:szCs w:val="32"/>
        </w:rPr>
        <w:t xml:space="preserve"> potential for those seeking to engage with wage and income debates to form “chains of equivalence” (Laclau &amp; Mouffe, 1985) with other social movement groups working to resist business</w:t>
      </w:r>
      <w:r w:rsidR="007F7862">
        <w:rPr>
          <w:rFonts w:eastAsiaTheme="majorEastAsia" w:cs="Times New Roman"/>
          <w:color w:val="000000" w:themeColor="text1"/>
          <w:szCs w:val="32"/>
        </w:rPr>
        <w:t xml:space="preserve"> on different, but related issues</w:t>
      </w:r>
      <w:r w:rsidR="00A86466">
        <w:rPr>
          <w:rFonts w:eastAsiaTheme="majorEastAsia" w:cs="Times New Roman"/>
          <w:color w:val="000000" w:themeColor="text1"/>
          <w:szCs w:val="32"/>
        </w:rPr>
        <w:t xml:space="preserve">.  </w:t>
      </w:r>
      <w:r w:rsidR="007F7862">
        <w:rPr>
          <w:rFonts w:eastAsiaTheme="majorEastAsia" w:cs="Times New Roman"/>
          <w:color w:val="000000" w:themeColor="text1"/>
          <w:szCs w:val="32"/>
        </w:rPr>
        <w:t>T</w:t>
      </w:r>
      <w:r w:rsidR="00A86466">
        <w:rPr>
          <w:rFonts w:eastAsiaTheme="majorEastAsia" w:cs="Times New Roman"/>
          <w:color w:val="000000" w:themeColor="text1"/>
          <w:szCs w:val="32"/>
        </w:rPr>
        <w:t xml:space="preserve">he human rights agenda which also calls for rights and equality – for a different accounting </w:t>
      </w:r>
      <w:r w:rsidR="00A86466" w:rsidRPr="00321C13">
        <w:rPr>
          <w:rFonts w:eastAsiaTheme="majorEastAsia" w:cs="Times New Roman"/>
          <w:i/>
          <w:color w:val="000000" w:themeColor="text1"/>
          <w:szCs w:val="32"/>
        </w:rPr>
        <w:t>for</w:t>
      </w:r>
      <w:r w:rsidR="00A86466">
        <w:rPr>
          <w:rFonts w:eastAsiaTheme="majorEastAsia" w:cs="Times New Roman"/>
          <w:color w:val="000000" w:themeColor="text1"/>
          <w:szCs w:val="32"/>
        </w:rPr>
        <w:t xml:space="preserve"> people (Li &amp; McKernan, 2016; McPhail &amp; Adams, 2016)</w:t>
      </w:r>
      <w:r w:rsidR="007F7862">
        <w:rPr>
          <w:rFonts w:eastAsiaTheme="majorEastAsia" w:cs="Times New Roman"/>
          <w:color w:val="000000" w:themeColor="text1"/>
          <w:szCs w:val="32"/>
        </w:rPr>
        <w:t xml:space="preserve"> – would seem one such movement</w:t>
      </w:r>
      <w:r w:rsidR="00A86466">
        <w:rPr>
          <w:rFonts w:eastAsiaTheme="majorEastAsia" w:cs="Times New Roman"/>
          <w:color w:val="000000" w:themeColor="text1"/>
          <w:szCs w:val="32"/>
        </w:rPr>
        <w:t>.</w:t>
      </w:r>
      <w:r w:rsidR="00451B46">
        <w:rPr>
          <w:rFonts w:eastAsiaTheme="majorEastAsia" w:cs="Times New Roman"/>
          <w:color w:val="000000" w:themeColor="text1"/>
          <w:szCs w:val="32"/>
        </w:rPr>
        <w:t xml:space="preserve">  </w:t>
      </w:r>
    </w:p>
    <w:p w14:paraId="3953BFBC" w14:textId="12CB0B22" w:rsidR="006078FF" w:rsidRDefault="006078FF" w:rsidP="0022704E">
      <w:pPr>
        <w:rPr>
          <w:rFonts w:cs="Times New Roman"/>
          <w:szCs w:val="24"/>
        </w:rPr>
      </w:pPr>
    </w:p>
    <w:p w14:paraId="6D1F9AF2" w14:textId="4FDE6255" w:rsidR="006078FF" w:rsidRDefault="006078FF">
      <w:pPr>
        <w:rPr>
          <w:rFonts w:eastAsiaTheme="majorEastAsia" w:cs="Times New Roman"/>
          <w:color w:val="000000" w:themeColor="text1"/>
          <w:szCs w:val="32"/>
        </w:rPr>
      </w:pPr>
      <w:r>
        <w:rPr>
          <w:rFonts w:cs="Times New Roman"/>
          <w:szCs w:val="24"/>
        </w:rPr>
        <w:t xml:space="preserve">Ultimately, research which </w:t>
      </w:r>
      <w:r>
        <w:rPr>
          <w:rFonts w:cs="Times New Roman"/>
        </w:rPr>
        <w:t xml:space="preserve">gives “visibility to the human consequences of the drive to reduce wages” (Sikka, 2015, p. 58) is required, as is </w:t>
      </w:r>
      <w:r w:rsidR="001F2EF9">
        <w:rPr>
          <w:rFonts w:cs="Times New Roman"/>
        </w:rPr>
        <w:t>research that</w:t>
      </w:r>
      <w:r>
        <w:rPr>
          <w:rFonts w:cs="Times New Roman"/>
        </w:rPr>
        <w:t xml:space="preserve"> continues to question the practices of quantification and its consequences (</w:t>
      </w:r>
      <w:r w:rsidR="007245C0" w:rsidRPr="007245C0">
        <w:rPr>
          <w:rFonts w:cs="Times New Roman"/>
        </w:rPr>
        <w:t>Miller and Rose, 1990; Rose, 199</w:t>
      </w:r>
      <w:r w:rsidR="007245C0">
        <w:rPr>
          <w:rFonts w:cs="Times New Roman"/>
        </w:rPr>
        <w:t>1</w:t>
      </w:r>
      <w:r>
        <w:rPr>
          <w:rFonts w:cs="Times New Roman"/>
        </w:rPr>
        <w:t xml:space="preserve">).  Research like that of </w:t>
      </w:r>
      <w:r w:rsidR="00795D0C">
        <w:rPr>
          <w:rFonts w:cs="Times New Roman"/>
        </w:rPr>
        <w:t>Amernic (1985) which analyses accounting</w:t>
      </w:r>
      <w:r w:rsidR="00F8521D">
        <w:rPr>
          <w:rFonts w:cs="Times New Roman"/>
        </w:rPr>
        <w:t>’</w:t>
      </w:r>
      <w:r w:rsidR="00795D0C">
        <w:rPr>
          <w:rFonts w:cs="Times New Roman"/>
        </w:rPr>
        <w:t xml:space="preserve">s role in wage setting and collective bargaining and </w:t>
      </w:r>
      <w:r>
        <w:rPr>
          <w:rFonts w:cs="Times New Roman"/>
        </w:rPr>
        <w:t xml:space="preserve">Cooper (2005) who demonstrates how market ideologies make it difficult to question relations of labour exploitation and domination (which are positioned as the </w:t>
      </w:r>
      <w:r>
        <w:rPr>
          <w:rFonts w:cs="Times New Roman"/>
        </w:rPr>
        <w:lastRenderedPageBreak/>
        <w:t xml:space="preserve">“inevitable outcome of nature’s laws”) would also further </w:t>
      </w:r>
      <w:r>
        <w:t>raise awareness of social problems and their causes as a necessary first step towards affecting emancipatory change (Dillard &amp; Vinnari, 2016).  In seeking to create further visibilities and problematisations, we see particular potential in case studies and social audits (Cooper et al., 2005) which provide an avenue for those impacted by wage decisions to be heard, and importantly, enable the informing of policy and practice.</w:t>
      </w:r>
      <w:r>
        <w:rPr>
          <w:rStyle w:val="EndnoteReference"/>
        </w:rPr>
        <w:endnoteReference w:id="13"/>
      </w:r>
      <w:r w:rsidR="00AA041C">
        <w:t xml:space="preserve"> </w:t>
      </w:r>
      <w:r>
        <w:rPr>
          <w:rFonts w:eastAsiaTheme="majorEastAsia" w:cs="Times New Roman"/>
          <w:color w:val="000000" w:themeColor="text1"/>
          <w:szCs w:val="32"/>
        </w:rPr>
        <w:t>This engagement with important social issues</w:t>
      </w:r>
      <w:r w:rsidR="003C1F66">
        <w:rPr>
          <w:rFonts w:eastAsiaTheme="majorEastAsia" w:cs="Times New Roman"/>
          <w:color w:val="000000" w:themeColor="text1"/>
          <w:szCs w:val="32"/>
        </w:rPr>
        <w:t>,</w:t>
      </w:r>
      <w:r w:rsidR="00E753F6">
        <w:rPr>
          <w:rFonts w:eastAsiaTheme="majorEastAsia" w:cs="Times New Roman"/>
          <w:color w:val="000000" w:themeColor="text1"/>
          <w:szCs w:val="32"/>
        </w:rPr>
        <w:t xml:space="preserve"> </w:t>
      </w:r>
      <w:r>
        <w:rPr>
          <w:rFonts w:eastAsiaTheme="majorEastAsia" w:cs="Times New Roman"/>
          <w:color w:val="000000" w:themeColor="text1"/>
          <w:szCs w:val="32"/>
        </w:rPr>
        <w:t>the institutions that regulate them</w:t>
      </w:r>
      <w:r w:rsidR="003C1F66">
        <w:rPr>
          <w:rFonts w:eastAsiaTheme="majorEastAsia" w:cs="Times New Roman"/>
          <w:color w:val="000000" w:themeColor="text1"/>
          <w:szCs w:val="32"/>
        </w:rPr>
        <w:t>, and the groups involved in public debates</w:t>
      </w:r>
      <w:r>
        <w:rPr>
          <w:rFonts w:eastAsiaTheme="majorEastAsia" w:cs="Times New Roman"/>
          <w:color w:val="000000" w:themeColor="text1"/>
          <w:szCs w:val="32"/>
        </w:rPr>
        <w:t xml:space="preserve"> can be seen as a response to Cooper’s (2005) call for accounting academics to serve as “public intellectuals”.</w:t>
      </w:r>
      <w:r w:rsidR="00730DF0" w:rsidDel="00730DF0">
        <w:rPr>
          <w:rStyle w:val="EndnoteReference"/>
          <w:rFonts w:eastAsiaTheme="majorEastAsia" w:cs="Times New Roman"/>
          <w:color w:val="000000" w:themeColor="text1"/>
          <w:szCs w:val="32"/>
        </w:rPr>
        <w:t xml:space="preserve"> </w:t>
      </w:r>
    </w:p>
    <w:p w14:paraId="1276C1EA" w14:textId="77777777" w:rsidR="006078FF" w:rsidRDefault="006078FF" w:rsidP="0022704E">
      <w:pPr>
        <w:rPr>
          <w:rFonts w:cs="Times New Roman"/>
          <w:szCs w:val="24"/>
        </w:rPr>
      </w:pPr>
    </w:p>
    <w:p w14:paraId="2CEDE105" w14:textId="77777777" w:rsidR="00665CFA" w:rsidRPr="009A52B8" w:rsidRDefault="00665CFA" w:rsidP="00A22B9A">
      <w:pPr>
        <w:rPr>
          <w:rFonts w:cs="Times New Roman"/>
          <w:b/>
        </w:rPr>
      </w:pPr>
      <w:r>
        <w:rPr>
          <w:rFonts w:cs="Times New Roman"/>
          <w:b/>
        </w:rPr>
        <w:t>Concluding comments</w:t>
      </w:r>
    </w:p>
    <w:p w14:paraId="291F356C" w14:textId="7302B71D" w:rsidR="00F8521D" w:rsidRDefault="008F3D26" w:rsidP="00A22B9A">
      <w:pPr>
        <w:rPr>
          <w:rFonts w:cs="Times New Roman"/>
        </w:rPr>
      </w:pPr>
      <w:r>
        <w:rPr>
          <w:rFonts w:cs="Times New Roman"/>
        </w:rPr>
        <w:t>W</w:t>
      </w:r>
      <w:r w:rsidR="00665CFA">
        <w:rPr>
          <w:rFonts w:cs="Times New Roman"/>
        </w:rPr>
        <w:t xml:space="preserve">e have analysed the </w:t>
      </w:r>
      <w:r w:rsidR="00451B46">
        <w:rPr>
          <w:rFonts w:cs="Times New Roman"/>
        </w:rPr>
        <w:t>debate</w:t>
      </w:r>
      <w:r w:rsidR="00665CFA">
        <w:rPr>
          <w:rFonts w:cs="Times New Roman"/>
        </w:rPr>
        <w:t xml:space="preserve"> surrounding the living wage in Aotearoa New Zealand with the purpose of further understanding and problemati</w:t>
      </w:r>
      <w:r w:rsidR="003D40AD">
        <w:rPr>
          <w:rFonts w:cs="Times New Roman"/>
        </w:rPr>
        <w:t>s</w:t>
      </w:r>
      <w:r w:rsidR="00665CFA">
        <w:rPr>
          <w:rFonts w:cs="Times New Roman"/>
        </w:rPr>
        <w:t xml:space="preserve">ing </w:t>
      </w:r>
      <w:r w:rsidR="00DD11E6">
        <w:rPr>
          <w:rFonts w:cs="Times New Roman"/>
        </w:rPr>
        <w:t xml:space="preserve">(Dillard &amp; Vinnari, 2006) </w:t>
      </w:r>
      <w:r w:rsidR="00665CFA">
        <w:rPr>
          <w:rFonts w:cs="Times New Roman"/>
        </w:rPr>
        <w:t xml:space="preserve">the currently under-explored relationship between accounting and income (in)equality.  </w:t>
      </w:r>
      <w:r w:rsidR="00557F2F">
        <w:rPr>
          <w:rFonts w:cs="Times New Roman"/>
        </w:rPr>
        <w:t>Specifically</w:t>
      </w:r>
      <w:r w:rsidR="00C2202C">
        <w:rPr>
          <w:rFonts w:cs="Times New Roman"/>
        </w:rPr>
        <w:t>,</w:t>
      </w:r>
      <w:r w:rsidR="00557F2F">
        <w:rPr>
          <w:rFonts w:cs="Times New Roman"/>
        </w:rPr>
        <w:t xml:space="preserve"> we have analysed the claims and justifications made in the debate surrounding the (inequitable</w:t>
      </w:r>
      <w:r w:rsidR="00DD259D">
        <w:rPr>
          <w:rFonts w:cs="Times New Roman"/>
        </w:rPr>
        <w:t>)</w:t>
      </w:r>
      <w:r w:rsidR="00557F2F">
        <w:rPr>
          <w:rFonts w:cs="Times New Roman"/>
        </w:rPr>
        <w:t xml:space="preserve"> distribution of income and wealth and </w:t>
      </w:r>
      <w:r w:rsidR="00DD11E6">
        <w:rPr>
          <w:rFonts w:cs="Times New Roman"/>
        </w:rPr>
        <w:t xml:space="preserve">have empirically analysed how accounting naturalises and perpetuates the current prominence of the </w:t>
      </w:r>
      <w:r w:rsidR="00DD11E6">
        <w:rPr>
          <w:rFonts w:cs="Times New Roman"/>
          <w:i/>
        </w:rPr>
        <w:t>market</w:t>
      </w:r>
      <w:r w:rsidR="00DD11E6">
        <w:rPr>
          <w:rFonts w:cs="Times New Roman"/>
        </w:rPr>
        <w:t xml:space="preserve"> order of worth in a way that privileges certain objects, certain actors, and certain measures of performance.  </w:t>
      </w:r>
      <w:r>
        <w:rPr>
          <w:rFonts w:cs="Times New Roman"/>
        </w:rPr>
        <w:t>T</w:t>
      </w:r>
      <w:r w:rsidR="00DD11E6">
        <w:rPr>
          <w:rFonts w:cs="Times New Roman"/>
        </w:rPr>
        <w:t>hrough our use of Boltanski and</w:t>
      </w:r>
      <w:r w:rsidR="00DD11E6">
        <w:rPr>
          <w:rFonts w:eastAsiaTheme="majorEastAsia" w:cs="Times New Roman"/>
          <w:color w:val="000000" w:themeColor="text1"/>
          <w:szCs w:val="32"/>
        </w:rPr>
        <w:t xml:space="preserve"> </w:t>
      </w:r>
      <w:r w:rsidR="00DD11E6">
        <w:rPr>
          <w:lang w:val="en-AU"/>
        </w:rPr>
        <w:t>Thévenot</w:t>
      </w:r>
      <w:r>
        <w:rPr>
          <w:lang w:val="en-AU"/>
        </w:rPr>
        <w:t xml:space="preserve"> we have</w:t>
      </w:r>
      <w:r w:rsidR="00DD11E6">
        <w:rPr>
          <w:rFonts w:eastAsiaTheme="majorEastAsia" w:cs="Times New Roman"/>
          <w:color w:val="000000" w:themeColor="text1"/>
          <w:szCs w:val="32"/>
        </w:rPr>
        <w:t xml:space="preserve"> demonstrated how critiques of low wages draw on a specific combination of competing orders of worth that suggest alternatives – new visions and possibilities for accounting discourse and practice.  In short, we have shown how the arguments for a living wage can help imagine and construct new forms of accounting that would support the more equitable distribution of income and wealth.</w:t>
      </w:r>
    </w:p>
    <w:p w14:paraId="725113F8" w14:textId="77777777" w:rsidR="00A86466" w:rsidRDefault="00A86466" w:rsidP="00A22B9A">
      <w:pPr>
        <w:rPr>
          <w:rFonts w:cs="Times New Roman"/>
        </w:rPr>
      </w:pPr>
    </w:p>
    <w:p w14:paraId="19D32706" w14:textId="1AB53FBE" w:rsidR="00665CFA" w:rsidRDefault="00665CFA" w:rsidP="00A22B9A">
      <w:pPr>
        <w:rPr>
          <w:rFonts w:cs="Times New Roman"/>
        </w:rPr>
      </w:pPr>
      <w:r>
        <w:rPr>
          <w:rFonts w:cs="Times New Roman"/>
        </w:rPr>
        <w:t xml:space="preserve">We conclude with the overall recognition that accounting is implicated in this, and numerous other, important contemporary social (and environmental) issues.  As such, we note the need for accounting academics to give further consideration to these issues </w:t>
      </w:r>
      <w:r w:rsidR="00DD11E6">
        <w:rPr>
          <w:rFonts w:cs="Times New Roman"/>
        </w:rPr>
        <w:t>(Bebbington &amp; Unerman, 20</w:t>
      </w:r>
      <w:r w:rsidR="00AA041C">
        <w:rPr>
          <w:rFonts w:cs="Times New Roman"/>
        </w:rPr>
        <w:t>18</w:t>
      </w:r>
      <w:r w:rsidR="00DD11E6">
        <w:rPr>
          <w:rFonts w:cs="Times New Roman"/>
        </w:rPr>
        <w:t xml:space="preserve">) </w:t>
      </w:r>
      <w:r>
        <w:rPr>
          <w:rFonts w:cs="Times New Roman"/>
        </w:rPr>
        <w:t xml:space="preserve">and </w:t>
      </w:r>
      <w:r w:rsidR="00575998">
        <w:rPr>
          <w:rFonts w:cs="Times New Roman"/>
        </w:rPr>
        <w:t xml:space="preserve">to </w:t>
      </w:r>
      <w:r>
        <w:rPr>
          <w:rFonts w:cs="Times New Roman"/>
        </w:rPr>
        <w:t>further problematis</w:t>
      </w:r>
      <w:r w:rsidR="00575998">
        <w:rPr>
          <w:rFonts w:cs="Times New Roman"/>
        </w:rPr>
        <w:t>e</w:t>
      </w:r>
      <w:r>
        <w:rPr>
          <w:rFonts w:cs="Times New Roman"/>
        </w:rPr>
        <w:t xml:space="preserve"> the relationship between accounting</w:t>
      </w:r>
      <w:r w:rsidR="002F333F">
        <w:rPr>
          <w:rFonts w:cs="Times New Roman"/>
        </w:rPr>
        <w:t xml:space="preserve"> discourses and</w:t>
      </w:r>
      <w:r>
        <w:rPr>
          <w:rFonts w:cs="Times New Roman"/>
        </w:rPr>
        <w:t xml:space="preserve"> practices and social outcomes. As outlined above, we see opportunities for social accounting researchers to engage</w:t>
      </w:r>
      <w:r w:rsidR="0076286C">
        <w:rPr>
          <w:rFonts w:cs="Times New Roman"/>
        </w:rPr>
        <w:t xml:space="preserve"> more widely</w:t>
      </w:r>
      <w:r>
        <w:rPr>
          <w:rFonts w:cs="Times New Roman"/>
        </w:rPr>
        <w:t xml:space="preserve"> in this issue– through, for example, exposing, problemati</w:t>
      </w:r>
      <w:r w:rsidR="00812A9D">
        <w:rPr>
          <w:rFonts w:cs="Times New Roman"/>
        </w:rPr>
        <w:t>s</w:t>
      </w:r>
      <w:r>
        <w:rPr>
          <w:rFonts w:cs="Times New Roman"/>
        </w:rPr>
        <w:t xml:space="preserve">ing, working with community and social interest groups, </w:t>
      </w:r>
      <w:r w:rsidR="00812A9D">
        <w:rPr>
          <w:rFonts w:cs="Times New Roman"/>
        </w:rPr>
        <w:t xml:space="preserve">and </w:t>
      </w:r>
      <w:r>
        <w:rPr>
          <w:rFonts w:cs="Times New Roman"/>
        </w:rPr>
        <w:t>conducting social audits and counter</w:t>
      </w:r>
      <w:r w:rsidR="00A72CA1">
        <w:rPr>
          <w:rFonts w:cs="Times New Roman"/>
        </w:rPr>
        <w:t>/external</w:t>
      </w:r>
      <w:r>
        <w:rPr>
          <w:rFonts w:cs="Times New Roman"/>
        </w:rPr>
        <w:t xml:space="preserve"> accounts.</w:t>
      </w:r>
      <w:r w:rsidR="00DD11E6">
        <w:rPr>
          <w:rFonts w:cs="Times New Roman"/>
        </w:rPr>
        <w:t xml:space="preserve">  </w:t>
      </w:r>
    </w:p>
    <w:p w14:paraId="1A8CDDAD" w14:textId="77777777" w:rsidR="00BB56E6" w:rsidRDefault="00BB56E6" w:rsidP="000D5056">
      <w:pPr>
        <w:spacing w:after="160" w:line="259" w:lineRule="auto"/>
        <w:rPr>
          <w:rFonts w:eastAsiaTheme="majorEastAsia" w:cs="Times New Roman"/>
          <w:b/>
          <w:color w:val="000000" w:themeColor="text1"/>
          <w:szCs w:val="32"/>
        </w:rPr>
      </w:pPr>
    </w:p>
    <w:p w14:paraId="216F30A5" w14:textId="77777777" w:rsidR="00730DF0" w:rsidRDefault="00730DF0" w:rsidP="000D5056">
      <w:pPr>
        <w:spacing w:after="160" w:line="259" w:lineRule="auto"/>
        <w:rPr>
          <w:rFonts w:eastAsiaTheme="majorEastAsia" w:cs="Times New Roman"/>
          <w:b/>
          <w:color w:val="000000" w:themeColor="text1"/>
          <w:szCs w:val="32"/>
        </w:rPr>
      </w:pPr>
    </w:p>
    <w:p w14:paraId="37DFAD03" w14:textId="04BEA827" w:rsidR="00665CFA" w:rsidRDefault="00665CFA" w:rsidP="000D5056">
      <w:pPr>
        <w:spacing w:after="160" w:line="259" w:lineRule="auto"/>
        <w:rPr>
          <w:rFonts w:eastAsiaTheme="majorEastAsia" w:cs="Times New Roman"/>
          <w:b/>
          <w:color w:val="000000" w:themeColor="text1"/>
          <w:szCs w:val="32"/>
        </w:rPr>
      </w:pPr>
      <w:r>
        <w:rPr>
          <w:rFonts w:eastAsiaTheme="majorEastAsia" w:cs="Times New Roman"/>
          <w:b/>
          <w:color w:val="000000" w:themeColor="text1"/>
          <w:szCs w:val="32"/>
        </w:rPr>
        <w:lastRenderedPageBreak/>
        <w:t>References</w:t>
      </w:r>
    </w:p>
    <w:p w14:paraId="7DF1EADA" w14:textId="36FD1853" w:rsidR="00BD5CD3" w:rsidRPr="00795D0C" w:rsidRDefault="00BD5CD3" w:rsidP="00E46098">
      <w:pPr>
        <w:ind w:left="426" w:hanging="437"/>
        <w:rPr>
          <w:rFonts w:cs="Times New Roman"/>
          <w:noProof/>
          <w:szCs w:val="24"/>
        </w:rPr>
      </w:pPr>
      <w:r>
        <w:rPr>
          <w:rFonts w:cs="Times New Roman"/>
          <w:noProof/>
          <w:szCs w:val="24"/>
        </w:rPr>
        <w:t>Amernic, J. (</w:t>
      </w:r>
      <w:r w:rsidR="00795D0C">
        <w:rPr>
          <w:rFonts w:cs="Times New Roman"/>
          <w:noProof/>
          <w:szCs w:val="24"/>
        </w:rPr>
        <w:t xml:space="preserve">1985). “The roles of Accounting in Collective Bargaining”, </w:t>
      </w:r>
      <w:r w:rsidR="00795D0C">
        <w:rPr>
          <w:rFonts w:cs="Times New Roman"/>
          <w:i/>
          <w:noProof/>
          <w:szCs w:val="24"/>
        </w:rPr>
        <w:t xml:space="preserve">Accounting, Organizations and Society, </w:t>
      </w:r>
      <w:r w:rsidR="00795D0C">
        <w:rPr>
          <w:rFonts w:cs="Times New Roman"/>
          <w:noProof/>
          <w:szCs w:val="24"/>
        </w:rPr>
        <w:t>Vol 10 No 2, pp. 227-253.</w:t>
      </w:r>
    </w:p>
    <w:p w14:paraId="35BE38EC" w14:textId="27F505F2" w:rsidR="00E46098" w:rsidRPr="00D23684" w:rsidRDefault="00E46098" w:rsidP="00E46098">
      <w:pPr>
        <w:ind w:left="426" w:hanging="437"/>
        <w:rPr>
          <w:rFonts w:cs="Times New Roman"/>
          <w:noProof/>
          <w:szCs w:val="24"/>
        </w:rPr>
      </w:pPr>
      <w:r>
        <w:rPr>
          <w:rFonts w:cs="Times New Roman"/>
          <w:noProof/>
          <w:szCs w:val="24"/>
        </w:rPr>
        <w:t>Anglican Diocese of Auckland</w:t>
      </w:r>
      <w:r w:rsidRPr="00E227FC">
        <w:rPr>
          <w:rFonts w:cs="Times New Roman"/>
          <w:noProof/>
          <w:szCs w:val="24"/>
        </w:rPr>
        <w:t xml:space="preserve"> (2013)</w:t>
      </w:r>
      <w:r>
        <w:rPr>
          <w:rFonts w:cs="Times New Roman"/>
          <w:noProof/>
          <w:szCs w:val="24"/>
        </w:rPr>
        <w:t>,</w:t>
      </w:r>
      <w:r w:rsidRPr="00E227FC">
        <w:rPr>
          <w:rFonts w:cs="Times New Roman"/>
          <w:noProof/>
          <w:szCs w:val="24"/>
        </w:rPr>
        <w:t xml:space="preserve"> </w:t>
      </w:r>
      <w:r>
        <w:rPr>
          <w:rFonts w:cs="Times New Roman"/>
          <w:noProof/>
          <w:szCs w:val="24"/>
        </w:rPr>
        <w:t>“</w:t>
      </w:r>
      <w:r w:rsidRPr="00E227FC">
        <w:rPr>
          <w:rFonts w:cs="Times New Roman"/>
          <w:noProof/>
          <w:szCs w:val="24"/>
        </w:rPr>
        <w:t>Living wage and wellbeing of all</w:t>
      </w:r>
      <w:r>
        <w:rPr>
          <w:rFonts w:cs="Times New Roman"/>
          <w:noProof/>
          <w:szCs w:val="24"/>
        </w:rPr>
        <w:t xml:space="preserve">”, </w:t>
      </w:r>
      <w:r>
        <w:rPr>
          <w:rFonts w:eastAsiaTheme="majorEastAsia" w:cs="Times New Roman"/>
          <w:noProof/>
          <w:color w:val="000000" w:themeColor="text1"/>
          <w:szCs w:val="24"/>
        </w:rPr>
        <w:t>retrieved from</w:t>
      </w:r>
      <w:r w:rsidRPr="00D23684">
        <w:rPr>
          <w:rFonts w:eastAsiaTheme="majorEastAsia" w:cs="Times New Roman"/>
          <w:noProof/>
          <w:color w:val="000000" w:themeColor="text1"/>
          <w:szCs w:val="24"/>
        </w:rPr>
        <w:t xml:space="preserve"> </w:t>
      </w:r>
      <w:hyperlink r:id="rId9" w:history="1">
        <w:r w:rsidR="00CB5D18" w:rsidRPr="00A00E0A">
          <w:rPr>
            <w:rStyle w:val="Hyperlink"/>
            <w:rFonts w:cs="Times New Roman"/>
            <w:noProof/>
            <w:szCs w:val="24"/>
          </w:rPr>
          <w:t>http://www.auckanglican.org.nz/?sid=1160</w:t>
        </w:r>
      </w:hyperlink>
      <w:r w:rsidR="00CB5D18">
        <w:rPr>
          <w:rStyle w:val="Hyperlink"/>
          <w:rFonts w:eastAsiaTheme="majorEastAsia" w:cs="Times New Roman"/>
          <w:noProof/>
          <w:szCs w:val="24"/>
        </w:rPr>
        <w:t xml:space="preserve"> </w:t>
      </w:r>
      <w:r>
        <w:rPr>
          <w:rFonts w:eastAsiaTheme="majorEastAsia" w:cs="Times New Roman"/>
          <w:noProof/>
          <w:color w:val="000000" w:themeColor="text1"/>
          <w:szCs w:val="24"/>
        </w:rPr>
        <w:t>(accessed 8 July 2013).</w:t>
      </w:r>
    </w:p>
    <w:p w14:paraId="1AFD2FF9" w14:textId="77777777" w:rsidR="00665CFA" w:rsidRPr="00D23684" w:rsidRDefault="00665CFA" w:rsidP="00A22B9A">
      <w:pPr>
        <w:ind w:left="426" w:hanging="437"/>
        <w:rPr>
          <w:rFonts w:cs="Times New Roman"/>
          <w:noProof/>
          <w:szCs w:val="24"/>
        </w:rPr>
      </w:pPr>
      <w:r w:rsidRPr="00D23684">
        <w:rPr>
          <w:rFonts w:cs="Times New Roman"/>
          <w:noProof/>
          <w:szCs w:val="24"/>
        </w:rPr>
        <w:t>Annisette,</w:t>
      </w:r>
      <w:r>
        <w:rPr>
          <w:rFonts w:cs="Times New Roman"/>
          <w:noProof/>
          <w:szCs w:val="24"/>
        </w:rPr>
        <w:t xml:space="preserve"> M., &amp; Richardson, A. J. (2011),</w:t>
      </w:r>
      <w:r w:rsidRPr="00D23684">
        <w:rPr>
          <w:rFonts w:cs="Times New Roman"/>
          <w:noProof/>
          <w:szCs w:val="24"/>
        </w:rPr>
        <w:t xml:space="preserve"> </w:t>
      </w:r>
      <w:r>
        <w:rPr>
          <w:rFonts w:cs="Times New Roman"/>
          <w:noProof/>
          <w:szCs w:val="24"/>
        </w:rPr>
        <w:t>“</w:t>
      </w:r>
      <w:r w:rsidRPr="00D23684">
        <w:rPr>
          <w:rFonts w:cs="Times New Roman"/>
          <w:noProof/>
          <w:szCs w:val="24"/>
        </w:rPr>
        <w:t>Justification and accounting: applying sociology of worth to accounting research</w:t>
      </w:r>
      <w:r>
        <w:rPr>
          <w:rFonts w:cs="Times New Roman"/>
          <w:noProof/>
          <w:szCs w:val="24"/>
        </w:rPr>
        <w:t>”,</w:t>
      </w:r>
      <w:r w:rsidRPr="00D23684">
        <w:rPr>
          <w:rFonts w:cs="Times New Roman"/>
          <w:noProof/>
          <w:szCs w:val="24"/>
        </w:rPr>
        <w:t xml:space="preserve"> </w:t>
      </w:r>
      <w:r>
        <w:rPr>
          <w:rFonts w:cs="Times New Roman"/>
          <w:i/>
          <w:noProof/>
          <w:szCs w:val="24"/>
        </w:rPr>
        <w:t>Accounting, Auditing and</w:t>
      </w:r>
      <w:r w:rsidRPr="00D23684">
        <w:rPr>
          <w:rFonts w:cs="Times New Roman"/>
          <w:i/>
          <w:noProof/>
          <w:szCs w:val="24"/>
        </w:rPr>
        <w:t xml:space="preserve"> Accountability Journal, </w:t>
      </w:r>
      <w:r>
        <w:rPr>
          <w:rFonts w:cs="Times New Roman"/>
          <w:noProof/>
          <w:szCs w:val="24"/>
        </w:rPr>
        <w:t xml:space="preserve">Vol 24 No </w:t>
      </w:r>
      <w:r w:rsidRPr="00D23684">
        <w:rPr>
          <w:rFonts w:cs="Times New Roman"/>
          <w:noProof/>
          <w:szCs w:val="24"/>
        </w:rPr>
        <w:t xml:space="preserve">2, </w:t>
      </w:r>
      <w:r>
        <w:rPr>
          <w:rFonts w:cs="Times New Roman"/>
          <w:noProof/>
          <w:szCs w:val="24"/>
        </w:rPr>
        <w:t xml:space="preserve">pp. </w:t>
      </w:r>
      <w:r w:rsidRPr="00D23684">
        <w:rPr>
          <w:rFonts w:cs="Times New Roman"/>
          <w:noProof/>
          <w:szCs w:val="24"/>
        </w:rPr>
        <w:t>229-249.</w:t>
      </w:r>
    </w:p>
    <w:p w14:paraId="7E261BCD" w14:textId="77777777" w:rsidR="00665CFA" w:rsidRPr="00D23684" w:rsidRDefault="00665CFA" w:rsidP="00A22B9A">
      <w:pPr>
        <w:ind w:left="426" w:hanging="437"/>
        <w:rPr>
          <w:rFonts w:cs="Times New Roman"/>
          <w:noProof/>
          <w:szCs w:val="24"/>
        </w:rPr>
      </w:pPr>
      <w:r w:rsidRPr="00D23684">
        <w:rPr>
          <w:rFonts w:cs="Times New Roman"/>
          <w:noProof/>
          <w:szCs w:val="24"/>
        </w:rPr>
        <w:t>Annise</w:t>
      </w:r>
      <w:r>
        <w:rPr>
          <w:rFonts w:cs="Times New Roman"/>
          <w:noProof/>
          <w:szCs w:val="24"/>
        </w:rPr>
        <w:t>tte, M., &amp; Trivedi, V.U. (2013),</w:t>
      </w:r>
      <w:r w:rsidRPr="00D23684">
        <w:rPr>
          <w:rFonts w:cs="Times New Roman"/>
          <w:noProof/>
          <w:szCs w:val="24"/>
        </w:rPr>
        <w:t xml:space="preserve"> </w:t>
      </w:r>
      <w:r>
        <w:rPr>
          <w:rFonts w:cs="Times New Roman"/>
          <w:noProof/>
          <w:szCs w:val="24"/>
        </w:rPr>
        <w:t>“</w:t>
      </w:r>
      <w:r w:rsidRPr="00D23684">
        <w:rPr>
          <w:rFonts w:cs="Times New Roman"/>
          <w:noProof/>
          <w:szCs w:val="24"/>
        </w:rPr>
        <w:t>Globalization, paradox and the (un)making of identities: Immigrant Chartered Accountants of India in Canada</w:t>
      </w:r>
      <w:r>
        <w:rPr>
          <w:rFonts w:cs="Times New Roman"/>
          <w:noProof/>
          <w:szCs w:val="24"/>
        </w:rPr>
        <w:t>”,</w:t>
      </w:r>
      <w:r w:rsidRPr="00D23684">
        <w:rPr>
          <w:rFonts w:cs="Times New Roman"/>
          <w:noProof/>
          <w:szCs w:val="24"/>
        </w:rPr>
        <w:t xml:space="preserve"> </w:t>
      </w:r>
      <w:r>
        <w:rPr>
          <w:rFonts w:cs="Times New Roman"/>
          <w:i/>
          <w:noProof/>
          <w:szCs w:val="24"/>
        </w:rPr>
        <w:t xml:space="preserve">Accounting, Organizations and Society, </w:t>
      </w:r>
      <w:r>
        <w:rPr>
          <w:rFonts w:cs="Times New Roman"/>
          <w:noProof/>
          <w:szCs w:val="24"/>
        </w:rPr>
        <w:t xml:space="preserve">Vol </w:t>
      </w:r>
      <w:r w:rsidRPr="00D23684">
        <w:rPr>
          <w:rFonts w:cs="Times New Roman"/>
          <w:noProof/>
          <w:szCs w:val="24"/>
        </w:rPr>
        <w:t xml:space="preserve">38, </w:t>
      </w:r>
      <w:r>
        <w:rPr>
          <w:rFonts w:cs="Times New Roman"/>
          <w:noProof/>
          <w:szCs w:val="24"/>
        </w:rPr>
        <w:t xml:space="preserve">pp. </w:t>
      </w:r>
      <w:r w:rsidRPr="00D23684">
        <w:rPr>
          <w:rFonts w:cs="Times New Roman"/>
          <w:noProof/>
          <w:szCs w:val="24"/>
        </w:rPr>
        <w:t>1-29.</w:t>
      </w:r>
    </w:p>
    <w:p w14:paraId="0FCDA632" w14:textId="42742E9E" w:rsidR="007E3B83" w:rsidRDefault="007E3B83" w:rsidP="00A22B9A">
      <w:pPr>
        <w:ind w:left="426" w:hanging="437"/>
        <w:rPr>
          <w:rFonts w:cs="Times New Roman"/>
          <w:noProof/>
        </w:rPr>
      </w:pPr>
      <w:bookmarkStart w:id="7" w:name="_ENREF_2"/>
      <w:r w:rsidRPr="00BE6203">
        <w:rPr>
          <w:rFonts w:cs="Times New Roman"/>
          <w:noProof/>
        </w:rPr>
        <w:t xml:space="preserve">Bamfield, L., &amp; Horton, T. (2009). </w:t>
      </w:r>
      <w:r w:rsidRPr="00BE6203">
        <w:rPr>
          <w:rFonts w:cs="Times New Roman"/>
          <w:i/>
          <w:noProof/>
        </w:rPr>
        <w:t>Understanding attitudes to tackling economic inequality</w:t>
      </w:r>
      <w:r w:rsidRPr="00BE6203">
        <w:rPr>
          <w:rFonts w:cs="Times New Roman"/>
          <w:noProof/>
        </w:rPr>
        <w:t>. York: Joseph Rowntree Foundation.</w:t>
      </w:r>
      <w:bookmarkEnd w:id="7"/>
    </w:p>
    <w:p w14:paraId="17057818" w14:textId="3D701475" w:rsidR="00665CFA" w:rsidRPr="00D23684" w:rsidRDefault="00665CFA" w:rsidP="00A22B9A">
      <w:pPr>
        <w:ind w:left="426" w:hanging="437"/>
        <w:rPr>
          <w:rFonts w:cs="Times New Roman"/>
          <w:noProof/>
          <w:szCs w:val="24"/>
        </w:rPr>
      </w:pPr>
      <w:r>
        <w:rPr>
          <w:rFonts w:cs="Times New Roman"/>
          <w:noProof/>
          <w:szCs w:val="24"/>
        </w:rPr>
        <w:t>Bapuji, H. (2015)</w:t>
      </w:r>
      <w:r w:rsidRPr="00D23684">
        <w:rPr>
          <w:rFonts w:cs="Times New Roman"/>
          <w:noProof/>
          <w:szCs w:val="24"/>
        </w:rPr>
        <w:t xml:space="preserve"> </w:t>
      </w:r>
      <w:r>
        <w:rPr>
          <w:rFonts w:cs="Times New Roman"/>
          <w:noProof/>
          <w:szCs w:val="24"/>
        </w:rPr>
        <w:t>“</w:t>
      </w:r>
      <w:r w:rsidRPr="00D23684">
        <w:rPr>
          <w:rFonts w:cs="Times New Roman"/>
          <w:noProof/>
          <w:szCs w:val="24"/>
        </w:rPr>
        <w:t>Individuals, interactions and institutions: How economic i</w:t>
      </w:r>
      <w:r>
        <w:rPr>
          <w:rFonts w:cs="Times New Roman"/>
          <w:noProof/>
          <w:szCs w:val="24"/>
        </w:rPr>
        <w:t>nequality affects organizations”,</w:t>
      </w:r>
      <w:r w:rsidRPr="00D23684">
        <w:rPr>
          <w:rFonts w:cs="Times New Roman"/>
          <w:noProof/>
          <w:szCs w:val="24"/>
        </w:rPr>
        <w:t xml:space="preserve"> </w:t>
      </w:r>
      <w:r w:rsidRPr="00D23684">
        <w:rPr>
          <w:rFonts w:cs="Times New Roman"/>
          <w:i/>
          <w:noProof/>
          <w:szCs w:val="24"/>
        </w:rPr>
        <w:t xml:space="preserve">Human Relations, </w:t>
      </w:r>
      <w:r>
        <w:rPr>
          <w:rFonts w:cs="Times New Roman"/>
          <w:noProof/>
          <w:szCs w:val="24"/>
        </w:rPr>
        <w:t xml:space="preserve">Vol 68 No </w:t>
      </w:r>
      <w:r w:rsidRPr="00D23684">
        <w:rPr>
          <w:rFonts w:cs="Times New Roman"/>
          <w:noProof/>
          <w:szCs w:val="24"/>
        </w:rPr>
        <w:t>7,</w:t>
      </w:r>
      <w:r>
        <w:rPr>
          <w:rFonts w:cs="Times New Roman"/>
          <w:noProof/>
          <w:szCs w:val="24"/>
        </w:rPr>
        <w:t xml:space="preserve"> pp.</w:t>
      </w:r>
      <w:r w:rsidRPr="00D23684">
        <w:rPr>
          <w:rFonts w:cs="Times New Roman"/>
          <w:noProof/>
          <w:szCs w:val="24"/>
        </w:rPr>
        <w:t xml:space="preserve"> 1059-1083.</w:t>
      </w:r>
    </w:p>
    <w:p w14:paraId="47DCE47E" w14:textId="4820408B" w:rsidR="00665CFA" w:rsidRPr="00D23684" w:rsidRDefault="00665CFA" w:rsidP="00A22B9A">
      <w:pPr>
        <w:ind w:left="426" w:hanging="437"/>
        <w:rPr>
          <w:rFonts w:cs="Times New Roman"/>
          <w:noProof/>
          <w:szCs w:val="24"/>
        </w:rPr>
      </w:pPr>
      <w:r w:rsidRPr="00D23684">
        <w:rPr>
          <w:rFonts w:cs="Times New Roman"/>
          <w:noProof/>
          <w:szCs w:val="24"/>
        </w:rPr>
        <w:t>Bar</w:t>
      </w:r>
      <w:r>
        <w:rPr>
          <w:rFonts w:cs="Times New Roman"/>
          <w:noProof/>
          <w:szCs w:val="24"/>
        </w:rPr>
        <w:t>nett, M. (2013</w:t>
      </w:r>
      <w:r w:rsidRPr="00D23684">
        <w:rPr>
          <w:rFonts w:cs="Times New Roman"/>
          <w:noProof/>
          <w:szCs w:val="24"/>
        </w:rPr>
        <w:t>)</w:t>
      </w:r>
      <w:r>
        <w:rPr>
          <w:rFonts w:cs="Times New Roman"/>
          <w:noProof/>
          <w:szCs w:val="24"/>
        </w:rPr>
        <w:t>, “</w:t>
      </w:r>
      <w:r w:rsidRPr="00D23684">
        <w:rPr>
          <w:rFonts w:cs="Times New Roman"/>
          <w:noProof/>
          <w:szCs w:val="24"/>
        </w:rPr>
        <w:t>Mayor’s living wage proposal proves Council’s inefficiency – flawed concept</w:t>
      </w:r>
      <w:r>
        <w:rPr>
          <w:rFonts w:cs="Times New Roman"/>
          <w:noProof/>
          <w:szCs w:val="24"/>
        </w:rPr>
        <w:t>”, available at</w:t>
      </w:r>
      <w:r w:rsidRPr="00D23684">
        <w:rPr>
          <w:rFonts w:cs="Times New Roman"/>
          <w:noProof/>
          <w:szCs w:val="24"/>
        </w:rPr>
        <w:t xml:space="preserve"> </w:t>
      </w:r>
      <w:hyperlink r:id="rId10" w:history="1">
        <w:r w:rsidRPr="00D23684">
          <w:rPr>
            <w:rStyle w:val="Hyperlink"/>
            <w:rFonts w:cs="Times New Roman"/>
            <w:noProof/>
            <w:szCs w:val="24"/>
          </w:rPr>
          <w:t>http://www.aucklandchamber.co.nz/business-connect/news-advocacy/media-releases/mayor-s-living-wage-proposal-proves-council-s-inefficiency-flawed-concept/</w:t>
        </w:r>
      </w:hyperlink>
      <w:r w:rsidRPr="00D23684">
        <w:rPr>
          <w:rFonts w:cs="Times New Roman"/>
          <w:noProof/>
          <w:szCs w:val="24"/>
        </w:rPr>
        <w:t xml:space="preserve"> </w:t>
      </w:r>
      <w:r>
        <w:rPr>
          <w:rFonts w:cs="Times New Roman"/>
          <w:noProof/>
          <w:szCs w:val="24"/>
        </w:rPr>
        <w:t>(accessed 12 May</w:t>
      </w:r>
      <w:r w:rsidRPr="00D23684">
        <w:rPr>
          <w:rFonts w:cs="Times New Roman"/>
          <w:noProof/>
          <w:szCs w:val="24"/>
        </w:rPr>
        <w:t xml:space="preserve"> 2015</w:t>
      </w:r>
      <w:r>
        <w:rPr>
          <w:rFonts w:cs="Times New Roman"/>
          <w:noProof/>
          <w:szCs w:val="24"/>
        </w:rPr>
        <w:t>)</w:t>
      </w:r>
      <w:r w:rsidR="00CB5D18">
        <w:rPr>
          <w:rFonts w:cs="Times New Roman"/>
          <w:noProof/>
          <w:szCs w:val="24"/>
        </w:rPr>
        <w:t>.</w:t>
      </w:r>
    </w:p>
    <w:p w14:paraId="5F5CB8E6" w14:textId="46202AD2" w:rsidR="00553AB0" w:rsidRDefault="00553AB0" w:rsidP="00A22B9A">
      <w:pPr>
        <w:ind w:left="426" w:hanging="437"/>
        <w:rPr>
          <w:rFonts w:eastAsiaTheme="majorEastAsia" w:cs="Times New Roman"/>
          <w:noProof/>
          <w:color w:val="000000" w:themeColor="text1"/>
          <w:szCs w:val="24"/>
        </w:rPr>
      </w:pPr>
      <w:r w:rsidRPr="00553AB0">
        <w:rPr>
          <w:rFonts w:eastAsiaTheme="majorEastAsia" w:cs="Times New Roman"/>
          <w:noProof/>
          <w:color w:val="000000" w:themeColor="text1"/>
          <w:szCs w:val="24"/>
        </w:rPr>
        <w:t xml:space="preserve">Bartels, L. M. (2008), </w:t>
      </w:r>
      <w:r w:rsidRPr="00F64EFF">
        <w:rPr>
          <w:rFonts w:eastAsiaTheme="majorEastAsia" w:cs="Times New Roman"/>
          <w:i/>
          <w:noProof/>
          <w:color w:val="000000" w:themeColor="text1"/>
          <w:szCs w:val="24"/>
        </w:rPr>
        <w:t>Unequal democracy: The political economy of the new gilded age, Princeton</w:t>
      </w:r>
      <w:r w:rsidRPr="00553AB0">
        <w:rPr>
          <w:rFonts w:eastAsiaTheme="majorEastAsia" w:cs="Times New Roman"/>
          <w:noProof/>
          <w:color w:val="000000" w:themeColor="text1"/>
          <w:szCs w:val="24"/>
        </w:rPr>
        <w:t>, NJ: Princeton University Press.</w:t>
      </w:r>
    </w:p>
    <w:p w14:paraId="227D973E" w14:textId="76525483" w:rsidR="00D80511" w:rsidRDefault="00D80511" w:rsidP="00A22B9A">
      <w:pPr>
        <w:ind w:left="426" w:hanging="437"/>
        <w:rPr>
          <w:rFonts w:cs="Times New Roman"/>
          <w:noProof/>
          <w:szCs w:val="24"/>
        </w:rPr>
      </w:pPr>
      <w:r>
        <w:rPr>
          <w:rFonts w:cs="Times New Roman"/>
          <w:noProof/>
          <w:szCs w:val="24"/>
        </w:rPr>
        <w:t>Bebbington, J., &amp; Unerman, J. (2018). “Achieving the United Nations Sustainable Development Goals: An enabling role for accounting research</w:t>
      </w:r>
      <w:r w:rsidR="003415F4">
        <w:rPr>
          <w:rFonts w:cs="Times New Roman"/>
          <w:noProof/>
          <w:szCs w:val="24"/>
        </w:rPr>
        <w:t>”</w:t>
      </w:r>
      <w:r>
        <w:rPr>
          <w:rFonts w:cs="Times New Roman"/>
          <w:noProof/>
          <w:szCs w:val="24"/>
        </w:rPr>
        <w:t>,</w:t>
      </w:r>
      <w:r w:rsidR="003415F4">
        <w:rPr>
          <w:rFonts w:cs="Times New Roman"/>
          <w:noProof/>
          <w:szCs w:val="24"/>
        </w:rPr>
        <w:t xml:space="preserve"> </w:t>
      </w:r>
      <w:r w:rsidR="003415F4">
        <w:rPr>
          <w:rFonts w:cs="Times New Roman"/>
          <w:i/>
          <w:noProof/>
          <w:szCs w:val="24"/>
        </w:rPr>
        <w:t xml:space="preserve">Accounting, Auditing and Accountability Journal, </w:t>
      </w:r>
      <w:r w:rsidR="003415F4">
        <w:rPr>
          <w:rFonts w:cs="Times New Roman"/>
          <w:noProof/>
          <w:szCs w:val="24"/>
        </w:rPr>
        <w:t>Vol 31 No 1, pp. 2-24.</w:t>
      </w:r>
      <w:r>
        <w:rPr>
          <w:rFonts w:cs="Times New Roman"/>
          <w:noProof/>
          <w:szCs w:val="24"/>
        </w:rPr>
        <w:t xml:space="preserve"> </w:t>
      </w:r>
    </w:p>
    <w:p w14:paraId="4B2449B2" w14:textId="196A6A52" w:rsidR="00665CFA" w:rsidRPr="00D23684" w:rsidRDefault="00665CFA" w:rsidP="00A22B9A">
      <w:pPr>
        <w:ind w:left="426" w:hanging="437"/>
        <w:rPr>
          <w:rFonts w:cs="Times New Roman"/>
          <w:noProof/>
          <w:szCs w:val="24"/>
        </w:rPr>
      </w:pPr>
      <w:r w:rsidRPr="00D23684">
        <w:rPr>
          <w:rFonts w:cs="Times New Roman"/>
          <w:noProof/>
          <w:szCs w:val="24"/>
        </w:rPr>
        <w:t>Bénatouïl, T. (1999)</w:t>
      </w:r>
      <w:r>
        <w:rPr>
          <w:rFonts w:cs="Times New Roman"/>
          <w:noProof/>
          <w:szCs w:val="24"/>
        </w:rPr>
        <w:t>, “A tale of two sociologies: The critical and the p</w:t>
      </w:r>
      <w:r w:rsidRPr="00D23684">
        <w:rPr>
          <w:rFonts w:cs="Times New Roman"/>
          <w:noProof/>
          <w:szCs w:val="24"/>
        </w:rPr>
        <w:t xml:space="preserve">ragmatic </w:t>
      </w:r>
      <w:r>
        <w:rPr>
          <w:rFonts w:cs="Times New Roman"/>
          <w:noProof/>
          <w:szCs w:val="24"/>
        </w:rPr>
        <w:t>stance in contemporary French sociology”,</w:t>
      </w:r>
      <w:r w:rsidRPr="00D23684">
        <w:rPr>
          <w:rFonts w:cs="Times New Roman"/>
          <w:noProof/>
          <w:szCs w:val="24"/>
        </w:rPr>
        <w:t xml:space="preserve"> </w:t>
      </w:r>
      <w:r w:rsidRPr="00D23684">
        <w:rPr>
          <w:rFonts w:cs="Times New Roman"/>
          <w:i/>
          <w:noProof/>
          <w:szCs w:val="24"/>
        </w:rPr>
        <w:t>European Journal of Social Theory,</w:t>
      </w:r>
      <w:r>
        <w:rPr>
          <w:rFonts w:cs="Times New Roman"/>
          <w:i/>
          <w:noProof/>
          <w:szCs w:val="24"/>
        </w:rPr>
        <w:t xml:space="preserve"> </w:t>
      </w:r>
      <w:r>
        <w:rPr>
          <w:rFonts w:cs="Times New Roman"/>
          <w:noProof/>
          <w:szCs w:val="24"/>
        </w:rPr>
        <w:t xml:space="preserve">Vol 2 No </w:t>
      </w:r>
      <w:r w:rsidRPr="00D23684">
        <w:rPr>
          <w:rFonts w:cs="Times New Roman"/>
          <w:noProof/>
          <w:szCs w:val="24"/>
        </w:rPr>
        <w:t xml:space="preserve">3, </w:t>
      </w:r>
      <w:r>
        <w:rPr>
          <w:rFonts w:cs="Times New Roman"/>
          <w:noProof/>
          <w:szCs w:val="24"/>
        </w:rPr>
        <w:t xml:space="preserve">pp. </w:t>
      </w:r>
      <w:r w:rsidRPr="00D23684">
        <w:rPr>
          <w:rFonts w:cs="Times New Roman"/>
          <w:noProof/>
          <w:szCs w:val="24"/>
        </w:rPr>
        <w:t>379-396.</w:t>
      </w:r>
    </w:p>
    <w:p w14:paraId="0C2CE218" w14:textId="77777777" w:rsidR="00665CFA" w:rsidRPr="00D23684" w:rsidRDefault="00665CFA" w:rsidP="00A22B9A">
      <w:pPr>
        <w:ind w:left="426" w:hanging="437"/>
        <w:rPr>
          <w:rFonts w:cs="Times New Roman"/>
          <w:noProof/>
          <w:szCs w:val="24"/>
        </w:rPr>
      </w:pPr>
      <w:r w:rsidRPr="00D23684">
        <w:rPr>
          <w:rFonts w:cs="Times New Roman"/>
          <w:noProof/>
          <w:szCs w:val="24"/>
        </w:rPr>
        <w:t>Boltanski, L., &amp; Thévenot, L. (1999)</w:t>
      </w:r>
      <w:r>
        <w:rPr>
          <w:rFonts w:cs="Times New Roman"/>
          <w:noProof/>
          <w:szCs w:val="24"/>
        </w:rPr>
        <w:t>, “</w:t>
      </w:r>
      <w:r w:rsidRPr="00D23684">
        <w:rPr>
          <w:rFonts w:cs="Times New Roman"/>
          <w:noProof/>
          <w:szCs w:val="24"/>
        </w:rPr>
        <w:t xml:space="preserve">The </w:t>
      </w:r>
      <w:r>
        <w:rPr>
          <w:rFonts w:cs="Times New Roman"/>
          <w:noProof/>
          <w:szCs w:val="24"/>
        </w:rPr>
        <w:t>sociology of critical c</w:t>
      </w:r>
      <w:r w:rsidRPr="00D23684">
        <w:rPr>
          <w:rFonts w:cs="Times New Roman"/>
          <w:noProof/>
          <w:szCs w:val="24"/>
        </w:rPr>
        <w:t>apacity</w:t>
      </w:r>
      <w:r>
        <w:rPr>
          <w:rFonts w:cs="Times New Roman"/>
          <w:noProof/>
          <w:szCs w:val="24"/>
        </w:rPr>
        <w:t>”,</w:t>
      </w:r>
      <w:r w:rsidRPr="00D23684">
        <w:rPr>
          <w:rFonts w:cs="Times New Roman"/>
          <w:noProof/>
          <w:szCs w:val="24"/>
        </w:rPr>
        <w:t xml:space="preserve"> </w:t>
      </w:r>
      <w:r w:rsidRPr="00D23684">
        <w:rPr>
          <w:rFonts w:cs="Times New Roman"/>
          <w:i/>
          <w:noProof/>
          <w:szCs w:val="24"/>
        </w:rPr>
        <w:t xml:space="preserve">European Journal of Social Theory, </w:t>
      </w:r>
      <w:r>
        <w:rPr>
          <w:rFonts w:cs="Times New Roman"/>
          <w:noProof/>
          <w:szCs w:val="24"/>
        </w:rPr>
        <w:t xml:space="preserve">Vol 2 No </w:t>
      </w:r>
      <w:r w:rsidRPr="00D23684">
        <w:rPr>
          <w:rFonts w:cs="Times New Roman"/>
          <w:noProof/>
          <w:szCs w:val="24"/>
        </w:rPr>
        <w:t xml:space="preserve">3, </w:t>
      </w:r>
      <w:r>
        <w:rPr>
          <w:rFonts w:cs="Times New Roman"/>
          <w:noProof/>
          <w:szCs w:val="24"/>
        </w:rPr>
        <w:t xml:space="preserve">pp. </w:t>
      </w:r>
      <w:r w:rsidRPr="00D23684">
        <w:rPr>
          <w:rFonts w:cs="Times New Roman"/>
          <w:noProof/>
          <w:szCs w:val="24"/>
        </w:rPr>
        <w:t>359-377.</w:t>
      </w:r>
    </w:p>
    <w:p w14:paraId="30EA5CC1" w14:textId="77777777" w:rsidR="00665CFA" w:rsidRPr="00D23684" w:rsidRDefault="00665CFA" w:rsidP="00E753F6">
      <w:pPr>
        <w:ind w:left="426" w:hanging="437"/>
        <w:rPr>
          <w:rFonts w:cs="Times New Roman"/>
          <w:noProof/>
          <w:szCs w:val="24"/>
        </w:rPr>
      </w:pPr>
      <w:r w:rsidRPr="00D23684">
        <w:rPr>
          <w:rFonts w:cs="Times New Roman"/>
          <w:noProof/>
          <w:szCs w:val="24"/>
        </w:rPr>
        <w:t>Boltanski, L., &amp; Thévenot, L. (2006)</w:t>
      </w:r>
      <w:r>
        <w:rPr>
          <w:rFonts w:cs="Times New Roman"/>
          <w:noProof/>
          <w:szCs w:val="24"/>
        </w:rPr>
        <w:t xml:space="preserve">, </w:t>
      </w:r>
      <w:r w:rsidRPr="00D23684">
        <w:rPr>
          <w:rFonts w:cs="Times New Roman"/>
          <w:i/>
          <w:noProof/>
          <w:szCs w:val="24"/>
        </w:rPr>
        <w:t xml:space="preserve">On </w:t>
      </w:r>
      <w:r>
        <w:rPr>
          <w:rFonts w:cs="Times New Roman"/>
          <w:i/>
          <w:noProof/>
          <w:szCs w:val="24"/>
        </w:rPr>
        <w:t>J</w:t>
      </w:r>
      <w:r w:rsidRPr="00D23684">
        <w:rPr>
          <w:rFonts w:cs="Times New Roman"/>
          <w:i/>
          <w:noProof/>
          <w:szCs w:val="24"/>
        </w:rPr>
        <w:t>ustification: Economies of Worth</w:t>
      </w:r>
      <w:r w:rsidRPr="00D23684">
        <w:rPr>
          <w:rFonts w:cs="Times New Roman"/>
          <w:noProof/>
          <w:szCs w:val="24"/>
        </w:rPr>
        <w:t xml:space="preserve"> </w:t>
      </w:r>
      <w:r>
        <w:rPr>
          <w:rFonts w:cs="Times New Roman"/>
          <w:noProof/>
          <w:szCs w:val="24"/>
        </w:rPr>
        <w:t>(C. Porter, Trans.), Princeton University Press: Princeton.</w:t>
      </w:r>
    </w:p>
    <w:p w14:paraId="457F1F74" w14:textId="77777777" w:rsidR="008B29C4" w:rsidRDefault="008B29C4" w:rsidP="00E753F6">
      <w:pPr>
        <w:ind w:left="426" w:hanging="437"/>
        <w:rPr>
          <w:rFonts w:cs="Times New Roman"/>
          <w:noProof/>
          <w:szCs w:val="24"/>
        </w:rPr>
      </w:pPr>
      <w:r w:rsidRPr="008B29C4">
        <w:rPr>
          <w:rFonts w:cs="Times New Roman"/>
          <w:noProof/>
          <w:szCs w:val="24"/>
        </w:rPr>
        <w:t xml:space="preserve">Brown, W. (2015). </w:t>
      </w:r>
      <w:r w:rsidRPr="00F64EFF">
        <w:rPr>
          <w:rFonts w:cs="Times New Roman"/>
          <w:i/>
          <w:noProof/>
          <w:szCs w:val="24"/>
        </w:rPr>
        <w:t>Undoing the Demos: Neoliberalism's Stealth Revolution</w:t>
      </w:r>
      <w:r w:rsidRPr="008B29C4">
        <w:rPr>
          <w:rFonts w:cs="Times New Roman"/>
          <w:noProof/>
          <w:szCs w:val="24"/>
        </w:rPr>
        <w:t>: MIT Press.</w:t>
      </w:r>
    </w:p>
    <w:p w14:paraId="57748201" w14:textId="2F97A675" w:rsidR="007E3B83" w:rsidRPr="00BE6203" w:rsidRDefault="007E3B83" w:rsidP="00E753F6">
      <w:pPr>
        <w:ind w:left="720" w:hanging="720"/>
        <w:rPr>
          <w:rFonts w:cs="Times New Roman"/>
          <w:noProof/>
        </w:rPr>
      </w:pPr>
      <w:bookmarkStart w:id="8" w:name="_ENREF_9"/>
      <w:r>
        <w:rPr>
          <w:rFonts w:cs="Times New Roman"/>
          <w:noProof/>
        </w:rPr>
        <w:lastRenderedPageBreak/>
        <w:t>Business New Zealand. (2005</w:t>
      </w:r>
      <w:r w:rsidRPr="00BE6203">
        <w:rPr>
          <w:rFonts w:cs="Times New Roman"/>
          <w:noProof/>
        </w:rPr>
        <w:t xml:space="preserve">, 21 December 2005). </w:t>
      </w:r>
      <w:r w:rsidRPr="00BE6203">
        <w:rPr>
          <w:rFonts w:cs="Times New Roman"/>
          <w:i/>
          <w:noProof/>
        </w:rPr>
        <w:t>Minimum wage law not the way to growth</w:t>
      </w:r>
      <w:r w:rsidRPr="00BE6203">
        <w:rPr>
          <w:rFonts w:cs="Times New Roman"/>
          <w:noProof/>
        </w:rPr>
        <w:t xml:space="preserve">. Retrieved 23 March, 2015, from </w:t>
      </w:r>
      <w:r w:rsidRPr="0002630E">
        <w:rPr>
          <w:rFonts w:cs="Times New Roman"/>
          <w:noProof/>
          <w:szCs w:val="24"/>
        </w:rPr>
        <w:t>http://www.scoop.co.nz/stories/BU0512/S00313/minimum-wage-law-not-the-way-to-growth.htm</w:t>
      </w:r>
      <w:bookmarkEnd w:id="8"/>
    </w:p>
    <w:p w14:paraId="3DF795E9" w14:textId="38E689D8" w:rsidR="00665CFA" w:rsidRPr="00D23684" w:rsidRDefault="00665CFA" w:rsidP="00A22B9A">
      <w:pPr>
        <w:ind w:left="426" w:hanging="437"/>
        <w:rPr>
          <w:rFonts w:cs="Times New Roman"/>
          <w:noProof/>
          <w:szCs w:val="24"/>
        </w:rPr>
      </w:pPr>
      <w:r w:rsidRPr="00D23684">
        <w:rPr>
          <w:rFonts w:cs="Times New Roman"/>
          <w:noProof/>
          <w:szCs w:val="24"/>
        </w:rPr>
        <w:t>Campbell, K. (2013</w:t>
      </w:r>
      <w:r>
        <w:rPr>
          <w:rFonts w:cs="Times New Roman"/>
          <w:noProof/>
          <w:szCs w:val="24"/>
        </w:rPr>
        <w:t>), “</w:t>
      </w:r>
      <w:r w:rsidRPr="00D23684">
        <w:rPr>
          <w:rFonts w:cs="Times New Roman"/>
          <w:noProof/>
          <w:szCs w:val="24"/>
        </w:rPr>
        <w:t>The 'living wage' and what it really means</w:t>
      </w:r>
      <w:r>
        <w:rPr>
          <w:rFonts w:cs="Times New Roman"/>
          <w:noProof/>
          <w:szCs w:val="24"/>
        </w:rPr>
        <w:t xml:space="preserve">”, available at </w:t>
      </w:r>
      <w:r w:rsidRPr="00D23684">
        <w:rPr>
          <w:rFonts w:cs="Times New Roman"/>
          <w:noProof/>
          <w:szCs w:val="24"/>
        </w:rPr>
        <w:t xml:space="preserve"> </w:t>
      </w:r>
      <w:hyperlink r:id="rId11" w:history="1">
        <w:r w:rsidRPr="00D23684">
          <w:rPr>
            <w:rStyle w:val="Hyperlink"/>
            <w:rFonts w:cs="Times New Roman"/>
            <w:noProof/>
            <w:szCs w:val="24"/>
          </w:rPr>
          <w:t>http://www.nzherald.co.nz/nz/news/article.cfm?c_id=1&amp;objectid=11136325</w:t>
        </w:r>
      </w:hyperlink>
      <w:r w:rsidRPr="00D23684">
        <w:rPr>
          <w:rFonts w:cs="Times New Roman"/>
          <w:noProof/>
          <w:szCs w:val="24"/>
        </w:rPr>
        <w:t xml:space="preserve"> </w:t>
      </w:r>
      <w:r>
        <w:rPr>
          <w:rFonts w:cs="Times New Roman"/>
          <w:noProof/>
          <w:szCs w:val="24"/>
        </w:rPr>
        <w:t>(accessed 19</w:t>
      </w:r>
      <w:r w:rsidRPr="00D23684">
        <w:rPr>
          <w:rFonts w:cs="Times New Roman"/>
          <w:noProof/>
          <w:szCs w:val="24"/>
        </w:rPr>
        <w:t xml:space="preserve"> December </w:t>
      </w:r>
      <w:r>
        <w:rPr>
          <w:rFonts w:cs="Times New Roman"/>
          <w:noProof/>
          <w:szCs w:val="24"/>
        </w:rPr>
        <w:t>2014).</w:t>
      </w:r>
    </w:p>
    <w:p w14:paraId="5E3ED107" w14:textId="60F145CA" w:rsidR="00665CFA" w:rsidRDefault="00665CFA" w:rsidP="00A22B9A">
      <w:pPr>
        <w:ind w:left="426" w:hanging="437"/>
        <w:rPr>
          <w:rFonts w:eastAsiaTheme="majorEastAsia" w:cs="Times New Roman"/>
          <w:noProof/>
          <w:color w:val="000000" w:themeColor="text1"/>
          <w:szCs w:val="24"/>
        </w:rPr>
      </w:pPr>
      <w:r>
        <w:rPr>
          <w:rFonts w:eastAsiaTheme="majorEastAsia" w:cs="Times New Roman"/>
          <w:noProof/>
          <w:color w:val="000000" w:themeColor="text1"/>
          <w:szCs w:val="24"/>
        </w:rPr>
        <w:t xml:space="preserve">Catchpowle, L., Cooper, C. &amp; Wright, A. (2004), “Capitalism, states and ac-counting”, </w:t>
      </w:r>
      <w:r>
        <w:rPr>
          <w:rFonts w:eastAsiaTheme="majorEastAsia" w:cs="Times New Roman"/>
          <w:i/>
          <w:noProof/>
          <w:color w:val="000000" w:themeColor="text1"/>
          <w:szCs w:val="24"/>
        </w:rPr>
        <w:t xml:space="preserve">Critical Perspectives on Accounting, </w:t>
      </w:r>
      <w:r>
        <w:rPr>
          <w:rFonts w:eastAsiaTheme="majorEastAsia" w:cs="Times New Roman"/>
          <w:noProof/>
          <w:color w:val="000000" w:themeColor="text1"/>
          <w:szCs w:val="24"/>
        </w:rPr>
        <w:t>Vol 15, pp. 1037-1058.</w:t>
      </w:r>
    </w:p>
    <w:p w14:paraId="5829FC42" w14:textId="2F70216D" w:rsidR="00D64787" w:rsidRDefault="003415F4" w:rsidP="00A22B9A">
      <w:pPr>
        <w:ind w:left="426" w:hanging="437"/>
        <w:rPr>
          <w:rFonts w:eastAsiaTheme="majorEastAsia" w:cs="Times New Roman"/>
          <w:noProof/>
          <w:color w:val="000000" w:themeColor="text1"/>
          <w:szCs w:val="24"/>
        </w:rPr>
      </w:pPr>
      <w:r>
        <w:rPr>
          <w:rFonts w:eastAsiaTheme="majorEastAsia" w:cs="Times New Roman"/>
          <w:noProof/>
          <w:color w:val="000000" w:themeColor="text1"/>
          <w:szCs w:val="24"/>
        </w:rPr>
        <w:t xml:space="preserve">CitizensUK. (2015), </w:t>
      </w:r>
      <w:r>
        <w:rPr>
          <w:rFonts w:eastAsiaTheme="majorEastAsia" w:cs="Times New Roman"/>
          <w:i/>
          <w:noProof/>
          <w:color w:val="000000" w:themeColor="text1"/>
          <w:szCs w:val="24"/>
        </w:rPr>
        <w:t xml:space="preserve">The Public Subsidy to Low Wage Employers, </w:t>
      </w:r>
      <w:r>
        <w:rPr>
          <w:rFonts w:eastAsiaTheme="majorEastAsia" w:cs="Times New Roman"/>
          <w:noProof/>
          <w:color w:val="000000" w:themeColor="text1"/>
          <w:szCs w:val="24"/>
        </w:rPr>
        <w:t>CitzensUK: London.</w:t>
      </w:r>
    </w:p>
    <w:p w14:paraId="1CF932EF" w14:textId="2ECD226D" w:rsidR="001E30F2" w:rsidRDefault="001E30F2" w:rsidP="00A22B9A">
      <w:pPr>
        <w:ind w:left="426" w:hanging="437"/>
        <w:rPr>
          <w:rFonts w:eastAsiaTheme="majorEastAsia" w:cs="Times New Roman"/>
          <w:noProof/>
          <w:color w:val="000000" w:themeColor="text1"/>
          <w:szCs w:val="24"/>
        </w:rPr>
      </w:pPr>
      <w:r w:rsidRPr="001E30F2">
        <w:rPr>
          <w:rFonts w:eastAsiaTheme="majorEastAsia" w:cs="Times New Roman"/>
          <w:noProof/>
          <w:color w:val="000000" w:themeColor="text1"/>
          <w:szCs w:val="24"/>
        </w:rPr>
        <w:t>Cloutier, C., &amp; Langley, A. (2013)</w:t>
      </w:r>
      <w:r w:rsidR="00CB5D18">
        <w:rPr>
          <w:rFonts w:eastAsiaTheme="majorEastAsia" w:cs="Times New Roman"/>
          <w:noProof/>
          <w:color w:val="000000" w:themeColor="text1"/>
          <w:szCs w:val="24"/>
        </w:rPr>
        <w:t>,</w:t>
      </w:r>
      <w:r w:rsidRPr="001E30F2">
        <w:rPr>
          <w:rFonts w:eastAsiaTheme="majorEastAsia" w:cs="Times New Roman"/>
          <w:noProof/>
          <w:color w:val="000000" w:themeColor="text1"/>
          <w:szCs w:val="24"/>
        </w:rPr>
        <w:t xml:space="preserve"> </w:t>
      </w:r>
      <w:r w:rsidR="00CB5D18">
        <w:rPr>
          <w:rFonts w:eastAsiaTheme="majorEastAsia" w:cs="Times New Roman"/>
          <w:noProof/>
          <w:color w:val="000000" w:themeColor="text1"/>
          <w:szCs w:val="24"/>
        </w:rPr>
        <w:t>“</w:t>
      </w:r>
      <w:r w:rsidRPr="001E30F2">
        <w:rPr>
          <w:rFonts w:eastAsiaTheme="majorEastAsia" w:cs="Times New Roman"/>
          <w:noProof/>
          <w:color w:val="000000" w:themeColor="text1"/>
          <w:szCs w:val="24"/>
        </w:rPr>
        <w:t>The Logic of Institutional Logics Insights From French Pragmatist Sociology</w:t>
      </w:r>
      <w:r w:rsidR="00CB5D18">
        <w:rPr>
          <w:rFonts w:eastAsiaTheme="majorEastAsia" w:cs="Times New Roman"/>
          <w:noProof/>
          <w:color w:val="000000" w:themeColor="text1"/>
          <w:szCs w:val="24"/>
        </w:rPr>
        <w:t>”,</w:t>
      </w:r>
      <w:r w:rsidRPr="001E30F2">
        <w:rPr>
          <w:rFonts w:eastAsiaTheme="majorEastAsia" w:cs="Times New Roman"/>
          <w:noProof/>
          <w:color w:val="000000" w:themeColor="text1"/>
          <w:szCs w:val="24"/>
        </w:rPr>
        <w:t xml:space="preserve"> </w:t>
      </w:r>
      <w:r w:rsidRPr="00F64EFF">
        <w:rPr>
          <w:rFonts w:eastAsiaTheme="majorEastAsia" w:cs="Times New Roman"/>
          <w:i/>
          <w:noProof/>
          <w:color w:val="000000" w:themeColor="text1"/>
          <w:szCs w:val="24"/>
        </w:rPr>
        <w:t>Journal of Management Inquiry</w:t>
      </w:r>
      <w:r w:rsidRPr="001E30F2">
        <w:rPr>
          <w:rFonts w:eastAsiaTheme="majorEastAsia" w:cs="Times New Roman"/>
          <w:noProof/>
          <w:color w:val="000000" w:themeColor="text1"/>
          <w:szCs w:val="24"/>
        </w:rPr>
        <w:t xml:space="preserve">, </w:t>
      </w:r>
      <w:r>
        <w:rPr>
          <w:rFonts w:eastAsiaTheme="majorEastAsia" w:cs="Times New Roman"/>
          <w:noProof/>
          <w:color w:val="000000" w:themeColor="text1"/>
          <w:szCs w:val="24"/>
        </w:rPr>
        <w:t>Vol 2</w:t>
      </w:r>
      <w:r w:rsidRPr="001E30F2">
        <w:rPr>
          <w:rFonts w:eastAsiaTheme="majorEastAsia" w:cs="Times New Roman"/>
          <w:noProof/>
          <w:color w:val="000000" w:themeColor="text1"/>
          <w:szCs w:val="24"/>
        </w:rPr>
        <w:t>2</w:t>
      </w:r>
      <w:r>
        <w:rPr>
          <w:rFonts w:eastAsiaTheme="majorEastAsia" w:cs="Times New Roman"/>
          <w:noProof/>
          <w:color w:val="000000" w:themeColor="text1"/>
          <w:szCs w:val="24"/>
        </w:rPr>
        <w:t xml:space="preserve"> No 4, pp.</w:t>
      </w:r>
      <w:r w:rsidRPr="001E30F2">
        <w:rPr>
          <w:rFonts w:eastAsiaTheme="majorEastAsia" w:cs="Times New Roman"/>
          <w:noProof/>
          <w:color w:val="000000" w:themeColor="text1"/>
          <w:szCs w:val="24"/>
        </w:rPr>
        <w:t xml:space="preserve"> 360-380.</w:t>
      </w:r>
    </w:p>
    <w:p w14:paraId="2B3E588F" w14:textId="77777777" w:rsidR="00D64787" w:rsidRPr="00D85D0E" w:rsidRDefault="00D64787" w:rsidP="00D64787">
      <w:pPr>
        <w:ind w:left="426" w:hanging="437"/>
        <w:rPr>
          <w:rFonts w:cs="Times New Roman"/>
          <w:noProof/>
          <w:szCs w:val="24"/>
        </w:rPr>
      </w:pPr>
      <w:r>
        <w:rPr>
          <w:rFonts w:cs="Times New Roman"/>
          <w:noProof/>
          <w:szCs w:val="24"/>
        </w:rPr>
        <w:t xml:space="preserve">Collison, D., Dey., C., Hannah, G. &amp; Stevenson, L. (2010), “Anglo-American capitalism: the role and potential of social accounting”, </w:t>
      </w:r>
      <w:r>
        <w:rPr>
          <w:rFonts w:cs="Times New Roman"/>
          <w:i/>
          <w:noProof/>
          <w:szCs w:val="24"/>
        </w:rPr>
        <w:t xml:space="preserve">Accounting, Auditing and Accountability Journal, </w:t>
      </w:r>
      <w:r>
        <w:rPr>
          <w:rFonts w:cs="Times New Roman"/>
          <w:noProof/>
          <w:szCs w:val="24"/>
        </w:rPr>
        <w:t>Vol 23 No 8, pp. 956-981.</w:t>
      </w:r>
    </w:p>
    <w:p w14:paraId="41830FAB" w14:textId="77777777" w:rsidR="00665CFA" w:rsidRPr="00D23684" w:rsidRDefault="00665CFA" w:rsidP="00A22B9A">
      <w:pPr>
        <w:ind w:left="426" w:hanging="437"/>
        <w:rPr>
          <w:rFonts w:cs="Times New Roman"/>
          <w:noProof/>
          <w:szCs w:val="24"/>
        </w:rPr>
      </w:pPr>
      <w:r>
        <w:rPr>
          <w:rFonts w:cs="Times New Roman"/>
          <w:noProof/>
          <w:szCs w:val="24"/>
        </w:rPr>
        <w:t>Cooper, C. (1995), “I</w:t>
      </w:r>
      <w:r w:rsidRPr="00D23684">
        <w:rPr>
          <w:rFonts w:cs="Times New Roman"/>
          <w:noProof/>
          <w:szCs w:val="24"/>
        </w:rPr>
        <w:t>deology, hegemony and accounting discourse: A case study of the national union of journalists</w:t>
      </w:r>
      <w:r>
        <w:rPr>
          <w:rFonts w:cs="Times New Roman"/>
          <w:noProof/>
          <w:szCs w:val="24"/>
        </w:rPr>
        <w:t xml:space="preserve">”, </w:t>
      </w:r>
      <w:r w:rsidRPr="00D23684">
        <w:rPr>
          <w:rFonts w:cs="Times New Roman"/>
          <w:i/>
          <w:noProof/>
          <w:szCs w:val="24"/>
        </w:rPr>
        <w:t xml:space="preserve">Critical Perspectives on Accounting, </w:t>
      </w:r>
      <w:r>
        <w:rPr>
          <w:rFonts w:cs="Times New Roman"/>
          <w:noProof/>
          <w:szCs w:val="24"/>
        </w:rPr>
        <w:t xml:space="preserve">Vol </w:t>
      </w:r>
      <w:r w:rsidRPr="00D23684">
        <w:rPr>
          <w:rFonts w:cs="Times New Roman"/>
          <w:noProof/>
          <w:szCs w:val="24"/>
        </w:rPr>
        <w:t xml:space="preserve">6, </w:t>
      </w:r>
      <w:r>
        <w:rPr>
          <w:rFonts w:cs="Times New Roman"/>
          <w:noProof/>
          <w:szCs w:val="24"/>
        </w:rPr>
        <w:t xml:space="preserve">pp. </w:t>
      </w:r>
      <w:r w:rsidRPr="00D23684">
        <w:rPr>
          <w:rFonts w:cs="Times New Roman"/>
          <w:noProof/>
          <w:szCs w:val="24"/>
        </w:rPr>
        <w:t>175-209.</w:t>
      </w:r>
    </w:p>
    <w:p w14:paraId="5BFCE132" w14:textId="77777777" w:rsidR="00665CFA" w:rsidRDefault="00665CFA" w:rsidP="00A22B9A">
      <w:pPr>
        <w:ind w:left="426" w:hanging="437"/>
        <w:rPr>
          <w:rFonts w:cs="Times New Roman"/>
          <w:noProof/>
          <w:szCs w:val="24"/>
        </w:rPr>
      </w:pPr>
      <w:r>
        <w:rPr>
          <w:rFonts w:cs="Times New Roman"/>
          <w:noProof/>
          <w:szCs w:val="24"/>
        </w:rPr>
        <w:t>Cooper, C. (2005), “</w:t>
      </w:r>
      <w:r w:rsidRPr="00D23684">
        <w:rPr>
          <w:rFonts w:cs="Times New Roman"/>
          <w:noProof/>
          <w:szCs w:val="24"/>
        </w:rPr>
        <w:t>Accounting for the public interest: Public ineffectuals or public intellectuals?</w:t>
      </w:r>
      <w:r>
        <w:rPr>
          <w:rFonts w:cs="Times New Roman"/>
          <w:noProof/>
          <w:szCs w:val="24"/>
        </w:rPr>
        <w:t>”</w:t>
      </w:r>
      <w:r w:rsidRPr="00D23684">
        <w:rPr>
          <w:rFonts w:cs="Times New Roman"/>
          <w:noProof/>
          <w:szCs w:val="24"/>
        </w:rPr>
        <w:t xml:space="preserve"> </w:t>
      </w:r>
      <w:r>
        <w:rPr>
          <w:rFonts w:cs="Times New Roman"/>
          <w:i/>
          <w:noProof/>
          <w:szCs w:val="24"/>
        </w:rPr>
        <w:t>Accounting, Auditing &amp;</w:t>
      </w:r>
      <w:r w:rsidRPr="00D23684">
        <w:rPr>
          <w:rFonts w:cs="Times New Roman"/>
          <w:i/>
          <w:noProof/>
          <w:szCs w:val="24"/>
        </w:rPr>
        <w:t xml:space="preserve"> Accountability Journal, </w:t>
      </w:r>
      <w:r>
        <w:rPr>
          <w:rFonts w:cs="Times New Roman"/>
          <w:noProof/>
          <w:szCs w:val="24"/>
        </w:rPr>
        <w:t xml:space="preserve">Vol 18 No </w:t>
      </w:r>
      <w:r w:rsidRPr="00D23684">
        <w:rPr>
          <w:rFonts w:cs="Times New Roman"/>
          <w:noProof/>
          <w:szCs w:val="24"/>
        </w:rPr>
        <w:t xml:space="preserve">5, </w:t>
      </w:r>
      <w:r>
        <w:rPr>
          <w:rFonts w:cs="Times New Roman"/>
          <w:noProof/>
          <w:szCs w:val="24"/>
        </w:rPr>
        <w:t xml:space="preserve">pp. </w:t>
      </w:r>
      <w:r w:rsidRPr="00D23684">
        <w:rPr>
          <w:rFonts w:cs="Times New Roman"/>
          <w:noProof/>
          <w:szCs w:val="24"/>
        </w:rPr>
        <w:t>592-607.</w:t>
      </w:r>
    </w:p>
    <w:p w14:paraId="0F581F59" w14:textId="77777777" w:rsidR="00665CFA" w:rsidRDefault="00665CFA" w:rsidP="00A22B9A">
      <w:pPr>
        <w:ind w:left="426" w:hanging="437"/>
        <w:rPr>
          <w:rFonts w:cs="Times New Roman"/>
          <w:noProof/>
          <w:szCs w:val="24"/>
        </w:rPr>
      </w:pPr>
      <w:r>
        <w:rPr>
          <w:rFonts w:cs="Times New Roman"/>
          <w:noProof/>
          <w:szCs w:val="24"/>
        </w:rPr>
        <w:t xml:space="preserve">Cooper, C., Taylor, P., Smith, N. &amp; Catchpowle, L. (2005), “A discussion of the political potential of social accounting”, </w:t>
      </w:r>
      <w:r>
        <w:rPr>
          <w:rFonts w:cs="Times New Roman"/>
          <w:i/>
          <w:noProof/>
          <w:szCs w:val="24"/>
        </w:rPr>
        <w:t xml:space="preserve">Critical Perspectives on Accounting, </w:t>
      </w:r>
      <w:r>
        <w:rPr>
          <w:rFonts w:cs="Times New Roman"/>
          <w:noProof/>
          <w:szCs w:val="24"/>
        </w:rPr>
        <w:t>Vol 16, pp. 951-974.</w:t>
      </w:r>
    </w:p>
    <w:p w14:paraId="7BBF30B4" w14:textId="10093C37" w:rsidR="00D64787" w:rsidRPr="00D85D0E" w:rsidRDefault="00D64787" w:rsidP="00A22B9A">
      <w:pPr>
        <w:ind w:left="426" w:hanging="437"/>
        <w:rPr>
          <w:rFonts w:cs="Times New Roman"/>
          <w:noProof/>
          <w:szCs w:val="24"/>
        </w:rPr>
      </w:pPr>
      <w:r>
        <w:rPr>
          <w:rFonts w:cs="Times New Roman"/>
          <w:noProof/>
          <w:szCs w:val="24"/>
        </w:rPr>
        <w:t xml:space="preserve">Coulson, A., &amp; Bonner, J. (2015). “Living wage employers: Evidence of UK business cases. Available at  </w:t>
      </w:r>
      <w:hyperlink r:id="rId12" w:history="1">
        <w:r w:rsidRPr="008B7C40">
          <w:rPr>
            <w:rStyle w:val="Hyperlink"/>
            <w:rFonts w:cs="Times New Roman"/>
            <w:noProof/>
            <w:szCs w:val="24"/>
          </w:rPr>
          <w:t>https://www.livingwage.org.uk/sites/default/files/BAR_LivingWageReport%20cropped%2021%2001.pdf</w:t>
        </w:r>
      </w:hyperlink>
      <w:r>
        <w:rPr>
          <w:rFonts w:cs="Times New Roman"/>
          <w:noProof/>
          <w:szCs w:val="24"/>
        </w:rPr>
        <w:t xml:space="preserve"> (accessed 23 April 2018). </w:t>
      </w:r>
    </w:p>
    <w:p w14:paraId="0C32DC93" w14:textId="77777777" w:rsidR="00665CFA" w:rsidRPr="00D23684" w:rsidRDefault="00665CFA" w:rsidP="00A22B9A">
      <w:pPr>
        <w:ind w:left="426" w:hanging="437"/>
        <w:rPr>
          <w:rFonts w:eastAsiaTheme="majorEastAsia" w:cs="Times New Roman"/>
          <w:noProof/>
          <w:color w:val="000000" w:themeColor="text1"/>
          <w:szCs w:val="24"/>
        </w:rPr>
      </w:pPr>
      <w:r w:rsidRPr="00D23684">
        <w:rPr>
          <w:rFonts w:eastAsiaTheme="majorEastAsia" w:cs="Times New Roman"/>
          <w:noProof/>
          <w:color w:val="000000" w:themeColor="text1"/>
          <w:szCs w:val="24"/>
        </w:rPr>
        <w:t>Dardot, P., &amp; Laval, C. (2014)</w:t>
      </w:r>
      <w:r>
        <w:rPr>
          <w:rFonts w:eastAsiaTheme="majorEastAsia" w:cs="Times New Roman"/>
          <w:noProof/>
          <w:color w:val="000000" w:themeColor="text1"/>
          <w:szCs w:val="24"/>
        </w:rPr>
        <w:t xml:space="preserve">, </w:t>
      </w:r>
      <w:r w:rsidRPr="00D23684">
        <w:rPr>
          <w:rFonts w:eastAsiaTheme="majorEastAsia" w:cs="Times New Roman"/>
          <w:i/>
          <w:noProof/>
          <w:color w:val="000000" w:themeColor="text1"/>
          <w:szCs w:val="24"/>
        </w:rPr>
        <w:t>The new way of the world: On neoliberal society</w:t>
      </w:r>
      <w:r>
        <w:rPr>
          <w:rFonts w:eastAsiaTheme="majorEastAsia" w:cs="Times New Roman"/>
          <w:noProof/>
          <w:color w:val="000000" w:themeColor="text1"/>
          <w:szCs w:val="24"/>
        </w:rPr>
        <w:t>,</w:t>
      </w:r>
      <w:r w:rsidRPr="00D23684">
        <w:rPr>
          <w:rFonts w:eastAsiaTheme="majorEastAsia" w:cs="Times New Roman"/>
          <w:noProof/>
          <w:color w:val="000000" w:themeColor="text1"/>
          <w:szCs w:val="24"/>
        </w:rPr>
        <w:t xml:space="preserve"> Verso Book</w:t>
      </w:r>
      <w:r>
        <w:rPr>
          <w:rFonts w:eastAsiaTheme="majorEastAsia" w:cs="Times New Roman"/>
          <w:noProof/>
          <w:color w:val="000000" w:themeColor="text1"/>
          <w:szCs w:val="24"/>
        </w:rPr>
        <w:t>s: London.</w:t>
      </w:r>
    </w:p>
    <w:p w14:paraId="0784F6AB" w14:textId="6CB4ED5A" w:rsidR="00CD6444" w:rsidRPr="00CD6444" w:rsidRDefault="00CD6444" w:rsidP="00A22B9A">
      <w:pPr>
        <w:ind w:left="426" w:hanging="437"/>
        <w:rPr>
          <w:rFonts w:cs="Times New Roman"/>
          <w:noProof/>
          <w:szCs w:val="24"/>
        </w:rPr>
      </w:pPr>
      <w:r>
        <w:rPr>
          <w:rFonts w:cs="Times New Roman"/>
          <w:noProof/>
          <w:szCs w:val="24"/>
        </w:rPr>
        <w:t xml:space="preserve">Dey, C. (2007), “Developing silent and shadow accounts”, in Unerman, J., Bebbington, J. and O’Dwyer, B. (Eds), </w:t>
      </w:r>
      <w:r>
        <w:rPr>
          <w:rFonts w:cs="Times New Roman"/>
          <w:i/>
          <w:noProof/>
          <w:szCs w:val="24"/>
        </w:rPr>
        <w:t xml:space="preserve">Sustainability Accounting and Accountability, </w:t>
      </w:r>
      <w:r>
        <w:rPr>
          <w:rFonts w:cs="Times New Roman"/>
          <w:noProof/>
          <w:szCs w:val="24"/>
        </w:rPr>
        <w:t>Routledge, London, pp. 307-326.</w:t>
      </w:r>
    </w:p>
    <w:p w14:paraId="1644A89B" w14:textId="792BEABF" w:rsidR="00665CFA" w:rsidRPr="00D12A31" w:rsidRDefault="00665CFA" w:rsidP="00A22B9A">
      <w:pPr>
        <w:ind w:left="426" w:hanging="437"/>
        <w:rPr>
          <w:rFonts w:cs="Times New Roman"/>
          <w:i/>
          <w:noProof/>
          <w:szCs w:val="24"/>
        </w:rPr>
      </w:pPr>
      <w:r w:rsidRPr="001C5A7B">
        <w:rPr>
          <w:rFonts w:cs="Times New Roman"/>
          <w:noProof/>
          <w:szCs w:val="24"/>
        </w:rPr>
        <w:lastRenderedPageBreak/>
        <w:t>Dillard, J. &amp; Vinnari, E. (2016)</w:t>
      </w:r>
      <w:r w:rsidR="00CB5D18">
        <w:rPr>
          <w:rFonts w:cs="Times New Roman"/>
          <w:noProof/>
          <w:szCs w:val="24"/>
        </w:rPr>
        <w:t>,</w:t>
      </w:r>
      <w:r w:rsidRPr="001C5A7B">
        <w:rPr>
          <w:rFonts w:cs="Times New Roman"/>
          <w:noProof/>
          <w:szCs w:val="24"/>
        </w:rPr>
        <w:t xml:space="preserve"> </w:t>
      </w:r>
      <w:r w:rsidR="00CB5D18">
        <w:rPr>
          <w:rFonts w:cs="Times New Roman"/>
          <w:noProof/>
          <w:szCs w:val="24"/>
        </w:rPr>
        <w:t>“</w:t>
      </w:r>
      <w:r w:rsidRPr="001C5A7B">
        <w:rPr>
          <w:rFonts w:cs="Times New Roman"/>
          <w:noProof/>
          <w:szCs w:val="24"/>
        </w:rPr>
        <w:t>A case study of critique: Critical perspectives on critical accounting</w:t>
      </w:r>
      <w:r w:rsidR="00CB5D18">
        <w:rPr>
          <w:rFonts w:cs="Times New Roman"/>
          <w:noProof/>
          <w:szCs w:val="24"/>
        </w:rPr>
        <w:t>”</w:t>
      </w:r>
      <w:r w:rsidRPr="001C5A7B">
        <w:rPr>
          <w:rFonts w:cs="Times New Roman"/>
          <w:noProof/>
          <w:szCs w:val="24"/>
        </w:rPr>
        <w:t xml:space="preserve"> </w:t>
      </w:r>
      <w:r w:rsidRPr="001C5A7B">
        <w:rPr>
          <w:rFonts w:cs="Times New Roman"/>
          <w:i/>
          <w:noProof/>
          <w:szCs w:val="24"/>
        </w:rPr>
        <w:t>Critical Perspectives on Accounting</w:t>
      </w:r>
      <w:r w:rsidR="00CB5D18">
        <w:rPr>
          <w:rFonts w:cs="Times New Roman"/>
          <w:i/>
          <w:noProof/>
          <w:szCs w:val="24"/>
        </w:rPr>
        <w:t>,</w:t>
      </w:r>
      <w:r w:rsidR="00DF3E93">
        <w:rPr>
          <w:rFonts w:cs="Times New Roman"/>
          <w:i/>
          <w:noProof/>
          <w:szCs w:val="24"/>
        </w:rPr>
        <w:t xml:space="preserve"> </w:t>
      </w:r>
      <w:r w:rsidR="00CB5D18">
        <w:rPr>
          <w:rFonts w:cs="Times New Roman"/>
          <w:noProof/>
          <w:szCs w:val="24"/>
        </w:rPr>
        <w:t xml:space="preserve">DOI </w:t>
      </w:r>
      <w:r w:rsidR="00CB5D18" w:rsidRPr="00CB5D18">
        <w:rPr>
          <w:rFonts w:cs="Times New Roman"/>
          <w:noProof/>
          <w:szCs w:val="24"/>
        </w:rPr>
        <w:t>10.1016/j.cpa.2016.09.004</w:t>
      </w:r>
    </w:p>
    <w:p w14:paraId="4AE40F2B" w14:textId="7C066324" w:rsidR="00F05BBF" w:rsidRDefault="00C651A3" w:rsidP="00A22B9A">
      <w:pPr>
        <w:ind w:left="426" w:hanging="437"/>
        <w:rPr>
          <w:rFonts w:cs="Times New Roman"/>
          <w:noProof/>
          <w:szCs w:val="24"/>
        </w:rPr>
      </w:pPr>
      <w:r>
        <w:rPr>
          <w:rFonts w:cs="Times New Roman"/>
          <w:noProof/>
          <w:szCs w:val="24"/>
        </w:rPr>
        <w:t>EMA [</w:t>
      </w:r>
      <w:r w:rsidR="00F05BBF" w:rsidRPr="00F05BBF">
        <w:rPr>
          <w:rFonts w:cs="Times New Roman"/>
          <w:noProof/>
          <w:szCs w:val="24"/>
        </w:rPr>
        <w:t>Employers and Manufacturers Association</w:t>
      </w:r>
      <w:r>
        <w:rPr>
          <w:rFonts w:cs="Times New Roman"/>
          <w:noProof/>
          <w:szCs w:val="24"/>
        </w:rPr>
        <w:t>]</w:t>
      </w:r>
      <w:r w:rsidR="00F05BBF" w:rsidRPr="00F05BBF">
        <w:rPr>
          <w:rFonts w:cs="Times New Roman"/>
          <w:noProof/>
          <w:szCs w:val="24"/>
        </w:rPr>
        <w:t>. (2013)</w:t>
      </w:r>
      <w:r w:rsidR="00FA4367">
        <w:rPr>
          <w:rFonts w:cs="Times New Roman"/>
          <w:noProof/>
          <w:szCs w:val="24"/>
        </w:rPr>
        <w:t>,</w:t>
      </w:r>
      <w:r w:rsidR="00F05BBF" w:rsidRPr="00F05BBF">
        <w:rPr>
          <w:rFonts w:cs="Times New Roman"/>
          <w:noProof/>
          <w:szCs w:val="24"/>
        </w:rPr>
        <w:t xml:space="preserve"> </w:t>
      </w:r>
      <w:r w:rsidR="00FA4367">
        <w:rPr>
          <w:rFonts w:cs="Times New Roman"/>
          <w:noProof/>
          <w:szCs w:val="24"/>
        </w:rPr>
        <w:t>“</w:t>
      </w:r>
      <w:r w:rsidR="00F05BBF" w:rsidRPr="00F05BBF">
        <w:rPr>
          <w:rFonts w:cs="Times New Roman"/>
          <w:noProof/>
          <w:szCs w:val="24"/>
        </w:rPr>
        <w:t>Living wage a feel good, wrong idea</w:t>
      </w:r>
      <w:r w:rsidR="00FA4367">
        <w:rPr>
          <w:rFonts w:cs="Times New Roman"/>
          <w:noProof/>
          <w:szCs w:val="24"/>
        </w:rPr>
        <w:t xml:space="preserve">”, available at </w:t>
      </w:r>
      <w:hyperlink r:id="rId13" w:history="1">
        <w:r w:rsidR="00F05BBF" w:rsidRPr="00B23BD9">
          <w:rPr>
            <w:rStyle w:val="Hyperlink"/>
            <w:rFonts w:cs="Times New Roman"/>
            <w:noProof/>
            <w:szCs w:val="24"/>
          </w:rPr>
          <w:t>https://www.ema.co.nz/newsandmedia/news/Pages/Living-wage-a-feel-good,-wrong-idea.aspx</w:t>
        </w:r>
      </w:hyperlink>
      <w:r w:rsidR="00FA4367">
        <w:rPr>
          <w:rFonts w:cs="Times New Roman"/>
          <w:noProof/>
          <w:szCs w:val="24"/>
        </w:rPr>
        <w:t xml:space="preserve"> (accessed 19 December</w:t>
      </w:r>
      <w:r w:rsidR="00FA4367" w:rsidRPr="00F05BBF">
        <w:rPr>
          <w:rFonts w:cs="Times New Roman"/>
          <w:noProof/>
          <w:szCs w:val="24"/>
        </w:rPr>
        <w:t xml:space="preserve"> 2014</w:t>
      </w:r>
      <w:r w:rsidR="00FA4367">
        <w:rPr>
          <w:rFonts w:cs="Times New Roman"/>
          <w:noProof/>
          <w:szCs w:val="24"/>
        </w:rPr>
        <w:t>)</w:t>
      </w:r>
    </w:p>
    <w:p w14:paraId="6304F46F" w14:textId="4F812798" w:rsidR="00665CFA" w:rsidRDefault="00665CFA" w:rsidP="00A22B9A">
      <w:pPr>
        <w:ind w:left="426" w:hanging="437"/>
        <w:rPr>
          <w:rFonts w:cs="Times New Roman"/>
          <w:noProof/>
          <w:szCs w:val="24"/>
        </w:rPr>
      </w:pPr>
      <w:r>
        <w:rPr>
          <w:rFonts w:cs="Times New Roman"/>
          <w:noProof/>
          <w:szCs w:val="24"/>
        </w:rPr>
        <w:t>English, B. (2013), “</w:t>
      </w:r>
      <w:r w:rsidRPr="00D23684">
        <w:rPr>
          <w:rFonts w:cs="Times New Roman"/>
          <w:noProof/>
          <w:szCs w:val="24"/>
        </w:rPr>
        <w:t>Advice shows “living wage” would not work</w:t>
      </w:r>
      <w:r>
        <w:rPr>
          <w:rFonts w:cs="Times New Roman"/>
          <w:noProof/>
          <w:szCs w:val="24"/>
        </w:rPr>
        <w:t>”, available at</w:t>
      </w:r>
      <w:r w:rsidRPr="00D23684">
        <w:rPr>
          <w:rFonts w:cs="Times New Roman"/>
          <w:noProof/>
          <w:szCs w:val="24"/>
        </w:rPr>
        <w:t xml:space="preserve"> </w:t>
      </w:r>
      <w:hyperlink r:id="rId14" w:history="1">
        <w:r w:rsidRPr="00BD67F2">
          <w:rPr>
            <w:rStyle w:val="Hyperlink"/>
            <w:rFonts w:cs="Times New Roman"/>
            <w:noProof/>
            <w:szCs w:val="24"/>
          </w:rPr>
          <w:t>http://www.beehive.govt.nz/release/advice-shows-%E2%80%9Cliving-wage%E2%80%9D-would-not-work</w:t>
        </w:r>
      </w:hyperlink>
      <w:r>
        <w:rPr>
          <w:rFonts w:cs="Times New Roman"/>
          <w:noProof/>
          <w:szCs w:val="24"/>
        </w:rPr>
        <w:t xml:space="preserve"> (accessed </w:t>
      </w:r>
      <w:r w:rsidRPr="00D23684">
        <w:rPr>
          <w:rFonts w:cs="Times New Roman"/>
          <w:noProof/>
          <w:szCs w:val="24"/>
        </w:rPr>
        <w:t>15 May 2015</w:t>
      </w:r>
      <w:r>
        <w:rPr>
          <w:rFonts w:cs="Times New Roman"/>
          <w:noProof/>
          <w:szCs w:val="24"/>
        </w:rPr>
        <w:t>).</w:t>
      </w:r>
    </w:p>
    <w:p w14:paraId="28D8C252" w14:textId="2FB8D5DD" w:rsidR="003415F4" w:rsidRPr="00E82D34" w:rsidRDefault="003415F4" w:rsidP="00A22B9A">
      <w:pPr>
        <w:ind w:left="426" w:hanging="437"/>
        <w:rPr>
          <w:rFonts w:eastAsiaTheme="majorEastAsia" w:cs="Times New Roman"/>
          <w:i/>
          <w:noProof/>
          <w:color w:val="000000" w:themeColor="text1"/>
          <w:szCs w:val="24"/>
        </w:rPr>
      </w:pPr>
      <w:r>
        <w:rPr>
          <w:rFonts w:eastAsiaTheme="majorEastAsia" w:cs="Times New Roman"/>
          <w:noProof/>
          <w:color w:val="000000" w:themeColor="text1"/>
          <w:szCs w:val="24"/>
        </w:rPr>
        <w:t xml:space="preserve">Farnsworth, K. (2015), “The British corporate welfare state: Public provision for private businesses” </w:t>
      </w:r>
      <w:r>
        <w:rPr>
          <w:rFonts w:eastAsiaTheme="majorEastAsia" w:cs="Times New Roman"/>
          <w:i/>
          <w:noProof/>
          <w:color w:val="000000" w:themeColor="text1"/>
          <w:szCs w:val="24"/>
        </w:rPr>
        <w:t>SPERI Paper</w:t>
      </w:r>
      <w:r w:rsidRPr="00E82D34">
        <w:rPr>
          <w:rFonts w:eastAsiaTheme="majorEastAsia" w:cs="Times New Roman"/>
          <w:noProof/>
          <w:color w:val="000000" w:themeColor="text1"/>
          <w:szCs w:val="24"/>
        </w:rPr>
        <w:t>, (24)</w:t>
      </w:r>
    </w:p>
    <w:p w14:paraId="4B327AA8" w14:textId="77777777" w:rsidR="00665CFA" w:rsidRPr="00D23684" w:rsidRDefault="00665CFA" w:rsidP="00A22B9A">
      <w:pPr>
        <w:ind w:left="426" w:hanging="437"/>
        <w:rPr>
          <w:rFonts w:eastAsiaTheme="majorEastAsia" w:cs="Times New Roman"/>
          <w:noProof/>
          <w:color w:val="000000" w:themeColor="text1"/>
          <w:szCs w:val="24"/>
        </w:rPr>
      </w:pPr>
      <w:r w:rsidRPr="00D23684">
        <w:rPr>
          <w:rFonts w:eastAsiaTheme="majorEastAsia" w:cs="Times New Roman"/>
          <w:noProof/>
          <w:color w:val="000000" w:themeColor="text1"/>
          <w:szCs w:val="24"/>
        </w:rPr>
        <w:t>Förster,</w:t>
      </w:r>
      <w:r>
        <w:rPr>
          <w:rFonts w:eastAsiaTheme="majorEastAsia" w:cs="Times New Roman"/>
          <w:noProof/>
          <w:color w:val="000000" w:themeColor="text1"/>
          <w:szCs w:val="24"/>
        </w:rPr>
        <w:t xml:space="preserve"> M., &amp; Mira d'Ercole, M. (2005), “Income distribution and poverty in OECD countries in the second h</w:t>
      </w:r>
      <w:r w:rsidRPr="00D23684">
        <w:rPr>
          <w:rFonts w:eastAsiaTheme="majorEastAsia" w:cs="Times New Roman"/>
          <w:noProof/>
          <w:color w:val="000000" w:themeColor="text1"/>
          <w:szCs w:val="24"/>
        </w:rPr>
        <w:t>alf of the 1990s</w:t>
      </w:r>
      <w:r>
        <w:rPr>
          <w:rFonts w:eastAsiaTheme="majorEastAsia" w:cs="Times New Roman"/>
          <w:noProof/>
          <w:color w:val="000000" w:themeColor="text1"/>
          <w:szCs w:val="24"/>
        </w:rPr>
        <w:t>”, OECD: Paris, France</w:t>
      </w:r>
      <w:r w:rsidRPr="00D23684">
        <w:rPr>
          <w:rFonts w:eastAsiaTheme="majorEastAsia" w:cs="Times New Roman"/>
          <w:noProof/>
          <w:color w:val="000000" w:themeColor="text1"/>
          <w:szCs w:val="24"/>
        </w:rPr>
        <w:t>.</w:t>
      </w:r>
    </w:p>
    <w:p w14:paraId="6A986CE0" w14:textId="77777777" w:rsidR="00665CFA" w:rsidRPr="00C34843" w:rsidRDefault="00665CFA" w:rsidP="00A22B9A">
      <w:pPr>
        <w:ind w:left="284" w:hanging="284"/>
        <w:rPr>
          <w:rFonts w:cs="Times New Roman"/>
        </w:rPr>
      </w:pPr>
      <w:r>
        <w:rPr>
          <w:rFonts w:cs="Times New Roman"/>
        </w:rPr>
        <w:t xml:space="preserve">Gallhoffer, S., Haslam, J., Monk, E. and Roberts, C. (2006), “The emancipatory potential of online reporting: The case of counter accounting”, </w:t>
      </w:r>
      <w:r>
        <w:rPr>
          <w:rFonts w:cs="Times New Roman"/>
          <w:i/>
        </w:rPr>
        <w:t xml:space="preserve">Accounting, Auditing and Accountability Journal, </w:t>
      </w:r>
      <w:r>
        <w:rPr>
          <w:rFonts w:cs="Times New Roman"/>
        </w:rPr>
        <w:t>Vol. 19 No. 5, pp. 681-718.</w:t>
      </w:r>
    </w:p>
    <w:p w14:paraId="7495B227" w14:textId="07E593CD" w:rsidR="00665CFA" w:rsidRPr="008F4393" w:rsidRDefault="00665CFA" w:rsidP="00A22B9A">
      <w:pPr>
        <w:ind w:left="426" w:hanging="437"/>
        <w:rPr>
          <w:rFonts w:eastAsiaTheme="majorEastAsia" w:cs="Times New Roman"/>
          <w:noProof/>
          <w:color w:val="000000" w:themeColor="text1"/>
          <w:szCs w:val="24"/>
        </w:rPr>
      </w:pPr>
      <w:r>
        <w:rPr>
          <w:rFonts w:eastAsiaTheme="majorEastAsia" w:cs="Times New Roman"/>
          <w:noProof/>
          <w:color w:val="000000" w:themeColor="text1"/>
          <w:szCs w:val="24"/>
        </w:rPr>
        <w:t>Galt, M., &amp; Palmer, C. (2013), “</w:t>
      </w:r>
      <w:r w:rsidRPr="008F4393">
        <w:rPr>
          <w:rFonts w:eastAsiaTheme="majorEastAsia" w:cs="Times New Roman"/>
          <w:noProof/>
          <w:color w:val="000000" w:themeColor="text1"/>
          <w:szCs w:val="24"/>
        </w:rPr>
        <w:t>Treasury Report: Analysis of the Proposed $18.40 Living Wage</w:t>
      </w:r>
      <w:r>
        <w:rPr>
          <w:rFonts w:eastAsiaTheme="majorEastAsia" w:cs="Times New Roman"/>
          <w:noProof/>
          <w:color w:val="000000" w:themeColor="text1"/>
          <w:szCs w:val="24"/>
        </w:rPr>
        <w:t>”</w:t>
      </w:r>
      <w:r w:rsidRPr="008F4393">
        <w:rPr>
          <w:rFonts w:eastAsiaTheme="majorEastAsia" w:cs="Times New Roman"/>
          <w:noProof/>
          <w:color w:val="000000" w:themeColor="text1"/>
          <w:szCs w:val="24"/>
        </w:rPr>
        <w:t>. W</w:t>
      </w:r>
      <w:r>
        <w:rPr>
          <w:rFonts w:eastAsiaTheme="majorEastAsia" w:cs="Times New Roman"/>
          <w:noProof/>
          <w:color w:val="000000" w:themeColor="text1"/>
          <w:szCs w:val="24"/>
        </w:rPr>
        <w:t>ellington: New Zealand Treasury, available at</w:t>
      </w:r>
      <w:r w:rsidRPr="008F4393">
        <w:rPr>
          <w:rFonts w:eastAsiaTheme="majorEastAsia" w:cs="Times New Roman"/>
          <w:noProof/>
          <w:color w:val="000000" w:themeColor="text1"/>
          <w:szCs w:val="24"/>
        </w:rPr>
        <w:t xml:space="preserve"> </w:t>
      </w:r>
      <w:hyperlink r:id="rId15" w:history="1">
        <w:r w:rsidRPr="008F4393">
          <w:rPr>
            <w:rFonts w:eastAsiaTheme="majorEastAsia" w:cs="Times New Roman"/>
            <w:noProof/>
            <w:color w:val="000000" w:themeColor="text1"/>
            <w:szCs w:val="24"/>
          </w:rPr>
          <w:t>http://www.treasury.govt.nz/publications/informationreleases/livingwage/pdfs/lw-2726820.pdf</w:t>
        </w:r>
      </w:hyperlink>
      <w:r w:rsidR="00CB5D18">
        <w:rPr>
          <w:rFonts w:eastAsiaTheme="majorEastAsia" w:cs="Times New Roman"/>
          <w:noProof/>
          <w:color w:val="000000" w:themeColor="text1"/>
          <w:szCs w:val="24"/>
        </w:rPr>
        <w:t xml:space="preserve"> </w:t>
      </w:r>
      <w:r w:rsidR="00F05BBF">
        <w:rPr>
          <w:rFonts w:cs="Times New Roman"/>
          <w:noProof/>
          <w:szCs w:val="24"/>
        </w:rPr>
        <w:t>(accessed 5 June</w:t>
      </w:r>
      <w:r w:rsidR="00F05BBF" w:rsidRPr="00D23684">
        <w:rPr>
          <w:rFonts w:cs="Times New Roman"/>
          <w:noProof/>
          <w:szCs w:val="24"/>
        </w:rPr>
        <w:t xml:space="preserve"> 2015</w:t>
      </w:r>
      <w:r w:rsidR="00F05BBF">
        <w:rPr>
          <w:rFonts w:cs="Times New Roman"/>
          <w:noProof/>
          <w:szCs w:val="24"/>
        </w:rPr>
        <w:t>).</w:t>
      </w:r>
      <w:r w:rsidR="00F05BBF" w:rsidRPr="00DF3E93" w:rsidDel="00F05BBF">
        <w:rPr>
          <w:rFonts w:eastAsiaTheme="majorEastAsia" w:cs="Times New Roman"/>
          <w:noProof/>
          <w:color w:val="000000" w:themeColor="text1"/>
          <w:szCs w:val="24"/>
          <w:highlight w:val="yellow"/>
        </w:rPr>
        <w:t xml:space="preserve"> </w:t>
      </w:r>
    </w:p>
    <w:p w14:paraId="2DE067C6" w14:textId="77777777" w:rsidR="00665CFA" w:rsidRDefault="00665CFA" w:rsidP="00A22B9A">
      <w:pPr>
        <w:ind w:left="426" w:hanging="437"/>
        <w:rPr>
          <w:rFonts w:cs="Times New Roman"/>
          <w:noProof/>
          <w:szCs w:val="24"/>
        </w:rPr>
      </w:pPr>
      <w:r>
        <w:rPr>
          <w:rFonts w:cs="Times New Roman"/>
          <w:noProof/>
          <w:szCs w:val="24"/>
        </w:rPr>
        <w:t>George, S. (2016), “Democratising accounting and accountability: An exploration of social movement counter-accounting and engagement strategies:, Unpublished PhD thesis, Victoria University of Wellington: Wellington, New Zealand.</w:t>
      </w:r>
    </w:p>
    <w:p w14:paraId="61F57177" w14:textId="72C2947B" w:rsidR="00553AB0" w:rsidRDefault="00553AB0" w:rsidP="00A22B9A">
      <w:pPr>
        <w:ind w:left="426" w:hanging="437"/>
        <w:rPr>
          <w:rFonts w:cs="Times New Roman"/>
          <w:noProof/>
          <w:szCs w:val="24"/>
        </w:rPr>
      </w:pPr>
      <w:r w:rsidRPr="00553AB0">
        <w:rPr>
          <w:rFonts w:cs="Times New Roman"/>
          <w:noProof/>
          <w:szCs w:val="24"/>
        </w:rPr>
        <w:t xml:space="preserve">Gond, J. P., Barin Cruz, L., Raufflet, E., &amp; Charron, M. (2015). </w:t>
      </w:r>
      <w:r>
        <w:rPr>
          <w:rFonts w:cs="Times New Roman"/>
          <w:noProof/>
          <w:szCs w:val="24"/>
        </w:rPr>
        <w:t>“</w:t>
      </w:r>
      <w:r w:rsidRPr="00553AB0">
        <w:rPr>
          <w:rFonts w:cs="Times New Roman"/>
          <w:noProof/>
          <w:szCs w:val="24"/>
        </w:rPr>
        <w:t>To frack or not to frack? The interaction of justification and power in a sustainability controversy</w:t>
      </w:r>
      <w:r>
        <w:rPr>
          <w:rFonts w:cs="Times New Roman"/>
          <w:noProof/>
          <w:szCs w:val="24"/>
        </w:rPr>
        <w:t xml:space="preserve">”, </w:t>
      </w:r>
      <w:r w:rsidRPr="00F64EFF">
        <w:rPr>
          <w:rFonts w:cs="Times New Roman"/>
          <w:i/>
          <w:noProof/>
          <w:szCs w:val="24"/>
        </w:rPr>
        <w:t>Journal of Management Studies</w:t>
      </w:r>
      <w:r>
        <w:rPr>
          <w:rFonts w:cs="Times New Roman"/>
          <w:noProof/>
          <w:szCs w:val="24"/>
        </w:rPr>
        <w:t>, Vol. 55 No. 3, pp. 330-363.</w:t>
      </w:r>
    </w:p>
    <w:p w14:paraId="14F9D619" w14:textId="200EC2D1" w:rsidR="00665CFA" w:rsidRPr="00D23684" w:rsidRDefault="00665CFA" w:rsidP="00A22B9A">
      <w:pPr>
        <w:ind w:left="426" w:hanging="437"/>
        <w:rPr>
          <w:rFonts w:cs="Times New Roman"/>
          <w:noProof/>
          <w:szCs w:val="24"/>
        </w:rPr>
      </w:pPr>
      <w:r w:rsidRPr="00D23684">
        <w:rPr>
          <w:rFonts w:cs="Times New Roman"/>
          <w:noProof/>
          <w:szCs w:val="24"/>
        </w:rPr>
        <w:t>G</w:t>
      </w:r>
      <w:r>
        <w:rPr>
          <w:rFonts w:cs="Times New Roman"/>
          <w:noProof/>
          <w:szCs w:val="24"/>
        </w:rPr>
        <w:t>rant, D. (2013</w:t>
      </w:r>
      <w:r w:rsidRPr="00D23684">
        <w:rPr>
          <w:rFonts w:cs="Times New Roman"/>
          <w:noProof/>
          <w:szCs w:val="24"/>
        </w:rPr>
        <w:t>)</w:t>
      </w:r>
      <w:r>
        <w:rPr>
          <w:rFonts w:cs="Times New Roman"/>
          <w:noProof/>
          <w:szCs w:val="24"/>
        </w:rPr>
        <w:t>, “</w:t>
      </w:r>
      <w:r w:rsidRPr="00D23684">
        <w:rPr>
          <w:rFonts w:cs="Times New Roman"/>
          <w:noProof/>
          <w:szCs w:val="24"/>
        </w:rPr>
        <w:t>Living wage a travesty</w:t>
      </w:r>
      <w:r>
        <w:rPr>
          <w:rFonts w:cs="Times New Roman"/>
          <w:noProof/>
          <w:szCs w:val="24"/>
        </w:rPr>
        <w:t>”, available at</w:t>
      </w:r>
      <w:r w:rsidRPr="00D23684">
        <w:rPr>
          <w:rFonts w:cs="Times New Roman"/>
          <w:noProof/>
          <w:szCs w:val="24"/>
        </w:rPr>
        <w:t xml:space="preserve"> </w:t>
      </w:r>
      <w:hyperlink r:id="rId16" w:history="1">
        <w:r w:rsidRPr="00D23684">
          <w:rPr>
            <w:rStyle w:val="Hyperlink"/>
            <w:rFonts w:cs="Times New Roman"/>
            <w:noProof/>
            <w:szCs w:val="24"/>
          </w:rPr>
          <w:t>http://www.nzherald.co.nz/business/news/article.cfm?c_id=3&amp;objectid=11139280</w:t>
        </w:r>
      </w:hyperlink>
      <w:r>
        <w:rPr>
          <w:rFonts w:cs="Times New Roman"/>
          <w:noProof/>
          <w:szCs w:val="24"/>
        </w:rPr>
        <w:t xml:space="preserve"> (accessed 5 June</w:t>
      </w:r>
      <w:r w:rsidRPr="00D23684">
        <w:rPr>
          <w:rFonts w:cs="Times New Roman"/>
          <w:noProof/>
          <w:szCs w:val="24"/>
        </w:rPr>
        <w:t xml:space="preserve"> 2015</w:t>
      </w:r>
      <w:r>
        <w:rPr>
          <w:rFonts w:cs="Times New Roman"/>
          <w:noProof/>
          <w:szCs w:val="24"/>
        </w:rPr>
        <w:t>).</w:t>
      </w:r>
    </w:p>
    <w:p w14:paraId="4F973547" w14:textId="4CE2268D" w:rsidR="00665CFA" w:rsidRPr="001C5A7B" w:rsidRDefault="00665CFA" w:rsidP="00A22B9A">
      <w:pPr>
        <w:ind w:left="426" w:hanging="437"/>
        <w:rPr>
          <w:rFonts w:cs="Times New Roman"/>
          <w:noProof/>
          <w:szCs w:val="24"/>
        </w:rPr>
      </w:pPr>
      <w:r>
        <w:rPr>
          <w:rFonts w:cs="Times New Roman"/>
          <w:noProof/>
          <w:szCs w:val="24"/>
        </w:rPr>
        <w:t xml:space="preserve">Gray, R. (2002), “The social accounting project and </w:t>
      </w:r>
      <w:r>
        <w:rPr>
          <w:rFonts w:cs="Times New Roman"/>
          <w:i/>
          <w:noProof/>
          <w:szCs w:val="24"/>
        </w:rPr>
        <w:t xml:space="preserve">Accounting Organizations and Society </w:t>
      </w:r>
      <w:r>
        <w:rPr>
          <w:rFonts w:cs="Times New Roman"/>
          <w:noProof/>
          <w:szCs w:val="24"/>
        </w:rPr>
        <w:t>Privileging engagement, imaginings, new accountings and pragmatism over critique?” Vol 27 Iss 7, p</w:t>
      </w:r>
      <w:r w:rsidR="00CB5D18">
        <w:rPr>
          <w:rFonts w:cs="Times New Roman"/>
          <w:noProof/>
          <w:szCs w:val="24"/>
        </w:rPr>
        <w:t>p</w:t>
      </w:r>
      <w:r>
        <w:rPr>
          <w:rFonts w:cs="Times New Roman"/>
          <w:noProof/>
          <w:szCs w:val="24"/>
        </w:rPr>
        <w:t>. 687-708.</w:t>
      </w:r>
    </w:p>
    <w:p w14:paraId="20679FCB" w14:textId="1AEDBBA7" w:rsidR="00CF5CB8" w:rsidRDefault="00CF5CB8" w:rsidP="00A22B9A">
      <w:pPr>
        <w:ind w:left="426" w:hanging="437"/>
        <w:rPr>
          <w:rFonts w:eastAsiaTheme="majorEastAsia" w:cs="Times New Roman"/>
          <w:noProof/>
          <w:color w:val="000000" w:themeColor="text1"/>
          <w:szCs w:val="24"/>
        </w:rPr>
      </w:pPr>
      <w:r w:rsidRPr="00CF5CB8">
        <w:rPr>
          <w:rFonts w:eastAsiaTheme="majorEastAsia" w:cs="Times New Roman"/>
          <w:noProof/>
          <w:color w:val="000000" w:themeColor="text1"/>
          <w:szCs w:val="24"/>
        </w:rPr>
        <w:lastRenderedPageBreak/>
        <w:t xml:space="preserve">Haller, A., van Staden, C. J., &amp; Landis, C. (2016). Value Added as part of Sustainability Reporting: Reporting on Distributional Fairness or Obfuscation? </w:t>
      </w:r>
      <w:r w:rsidRPr="00DF3E93">
        <w:rPr>
          <w:rFonts w:eastAsiaTheme="majorEastAsia" w:cs="Times New Roman"/>
          <w:i/>
          <w:noProof/>
          <w:color w:val="000000" w:themeColor="text1"/>
          <w:szCs w:val="24"/>
        </w:rPr>
        <w:t>Journal of Business Ethics</w:t>
      </w:r>
      <w:r w:rsidRPr="00CF5CB8">
        <w:rPr>
          <w:rFonts w:eastAsiaTheme="majorEastAsia" w:cs="Times New Roman"/>
          <w:noProof/>
          <w:color w:val="000000" w:themeColor="text1"/>
          <w:szCs w:val="24"/>
        </w:rPr>
        <w:t>, 1-19.</w:t>
      </w:r>
      <w:r w:rsidR="00CB5D18" w:rsidRPr="00CB5D18">
        <w:rPr>
          <w:rFonts w:ascii="MxjbwbAdvPTimes" w:hAnsi="MxjbwbAdvPTimes" w:cs="MxjbwbAdvPTimes"/>
          <w:sz w:val="17"/>
          <w:szCs w:val="17"/>
          <w:lang w:val="en-GB"/>
        </w:rPr>
        <w:t xml:space="preserve"> </w:t>
      </w:r>
      <w:r w:rsidR="00CB5D18" w:rsidRPr="00DF3E93">
        <w:rPr>
          <w:rFonts w:eastAsiaTheme="majorEastAsia" w:cs="Times New Roman"/>
          <w:noProof/>
          <w:color w:val="000000" w:themeColor="text1"/>
          <w:szCs w:val="24"/>
        </w:rPr>
        <w:t>DOI 10.1007/s10551-016-3338-9</w:t>
      </w:r>
    </w:p>
    <w:p w14:paraId="0BB5A32C" w14:textId="77777777" w:rsidR="00665CFA" w:rsidRPr="00D23684" w:rsidRDefault="00665CFA" w:rsidP="00A22B9A">
      <w:pPr>
        <w:ind w:left="426" w:hanging="437"/>
        <w:rPr>
          <w:rFonts w:eastAsiaTheme="majorEastAsia" w:cs="Times New Roman"/>
          <w:noProof/>
          <w:color w:val="000000" w:themeColor="text1"/>
          <w:szCs w:val="24"/>
        </w:rPr>
      </w:pPr>
      <w:r>
        <w:rPr>
          <w:rFonts w:eastAsiaTheme="majorEastAsia" w:cs="Times New Roman"/>
          <w:noProof/>
          <w:color w:val="000000" w:themeColor="text1"/>
          <w:szCs w:val="24"/>
        </w:rPr>
        <w:t>Humpage, L. (2008), “Radical change or more of the same?: Public a</w:t>
      </w:r>
      <w:r w:rsidRPr="00D23684">
        <w:rPr>
          <w:rFonts w:eastAsiaTheme="majorEastAsia" w:cs="Times New Roman"/>
          <w:noProof/>
          <w:color w:val="000000" w:themeColor="text1"/>
          <w:szCs w:val="24"/>
        </w:rPr>
        <w:t xml:space="preserve">ttitudes </w:t>
      </w:r>
      <w:r>
        <w:rPr>
          <w:rFonts w:eastAsiaTheme="majorEastAsia" w:cs="Times New Roman"/>
          <w:noProof/>
          <w:color w:val="000000" w:themeColor="text1"/>
          <w:szCs w:val="24"/>
        </w:rPr>
        <w:t>t</w:t>
      </w:r>
      <w:r w:rsidRPr="00D23684">
        <w:rPr>
          <w:rFonts w:eastAsiaTheme="majorEastAsia" w:cs="Times New Roman"/>
          <w:noProof/>
          <w:color w:val="000000" w:themeColor="text1"/>
          <w:szCs w:val="24"/>
        </w:rPr>
        <w:t xml:space="preserve">owards </w:t>
      </w:r>
      <w:r>
        <w:rPr>
          <w:rFonts w:eastAsiaTheme="majorEastAsia" w:cs="Times New Roman"/>
          <w:noProof/>
          <w:color w:val="000000" w:themeColor="text1"/>
          <w:szCs w:val="24"/>
        </w:rPr>
        <w:t>social c</w:t>
      </w:r>
      <w:r w:rsidRPr="00D23684">
        <w:rPr>
          <w:rFonts w:eastAsiaTheme="majorEastAsia" w:cs="Times New Roman"/>
          <w:noProof/>
          <w:color w:val="000000" w:themeColor="text1"/>
          <w:szCs w:val="24"/>
        </w:rPr>
        <w:t>i</w:t>
      </w:r>
      <w:r>
        <w:rPr>
          <w:rFonts w:eastAsiaTheme="majorEastAsia" w:cs="Times New Roman"/>
          <w:noProof/>
          <w:color w:val="000000" w:themeColor="text1"/>
          <w:szCs w:val="24"/>
        </w:rPr>
        <w:t>tizenship in New Zealand since neoliberal r</w:t>
      </w:r>
      <w:r w:rsidRPr="00D23684">
        <w:rPr>
          <w:rFonts w:eastAsiaTheme="majorEastAsia" w:cs="Times New Roman"/>
          <w:noProof/>
          <w:color w:val="000000" w:themeColor="text1"/>
          <w:szCs w:val="24"/>
        </w:rPr>
        <w:t>eform</w:t>
      </w:r>
      <w:r>
        <w:rPr>
          <w:rFonts w:eastAsiaTheme="majorEastAsia" w:cs="Times New Roman"/>
          <w:noProof/>
          <w:color w:val="000000" w:themeColor="text1"/>
          <w:szCs w:val="24"/>
        </w:rPr>
        <w:t xml:space="preserve">”, </w:t>
      </w:r>
      <w:r>
        <w:rPr>
          <w:rFonts w:eastAsiaTheme="majorEastAsia" w:cs="Times New Roman"/>
          <w:i/>
          <w:noProof/>
          <w:color w:val="000000" w:themeColor="text1"/>
          <w:szCs w:val="24"/>
        </w:rPr>
        <w:t xml:space="preserve">The </w:t>
      </w:r>
      <w:r w:rsidRPr="00D23684">
        <w:rPr>
          <w:rFonts w:eastAsiaTheme="majorEastAsia" w:cs="Times New Roman"/>
          <w:i/>
          <w:noProof/>
          <w:color w:val="000000" w:themeColor="text1"/>
          <w:szCs w:val="24"/>
        </w:rPr>
        <w:t>Australian</w:t>
      </w:r>
      <w:r>
        <w:rPr>
          <w:rFonts w:eastAsiaTheme="majorEastAsia" w:cs="Times New Roman"/>
          <w:i/>
          <w:noProof/>
          <w:color w:val="000000" w:themeColor="text1"/>
          <w:szCs w:val="24"/>
        </w:rPr>
        <w:t xml:space="preserve"> Journal of Social Issues, </w:t>
      </w:r>
      <w:r>
        <w:rPr>
          <w:rFonts w:eastAsiaTheme="majorEastAsia" w:cs="Times New Roman"/>
          <w:noProof/>
          <w:color w:val="000000" w:themeColor="text1"/>
          <w:szCs w:val="24"/>
        </w:rPr>
        <w:t xml:space="preserve">Vol 43 No </w:t>
      </w:r>
      <w:r w:rsidRPr="00D23684">
        <w:rPr>
          <w:rFonts w:eastAsiaTheme="majorEastAsia" w:cs="Times New Roman"/>
          <w:noProof/>
          <w:color w:val="000000" w:themeColor="text1"/>
          <w:szCs w:val="24"/>
        </w:rPr>
        <w:t xml:space="preserve">2, </w:t>
      </w:r>
      <w:r>
        <w:rPr>
          <w:rFonts w:eastAsiaTheme="majorEastAsia" w:cs="Times New Roman"/>
          <w:noProof/>
          <w:color w:val="000000" w:themeColor="text1"/>
          <w:szCs w:val="24"/>
        </w:rPr>
        <w:t xml:space="preserve">pp. </w:t>
      </w:r>
      <w:r w:rsidRPr="00D23684">
        <w:rPr>
          <w:rFonts w:eastAsiaTheme="majorEastAsia" w:cs="Times New Roman"/>
          <w:noProof/>
          <w:color w:val="000000" w:themeColor="text1"/>
          <w:szCs w:val="24"/>
        </w:rPr>
        <w:t>216-230.</w:t>
      </w:r>
    </w:p>
    <w:p w14:paraId="52386DE5" w14:textId="77777777" w:rsidR="007E3B83" w:rsidRDefault="007E3B83" w:rsidP="00A22B9A">
      <w:pPr>
        <w:ind w:left="426" w:hanging="437"/>
        <w:rPr>
          <w:rFonts w:cs="Times New Roman"/>
          <w:noProof/>
          <w:szCs w:val="24"/>
        </w:rPr>
      </w:pPr>
      <w:r w:rsidRPr="00622952">
        <w:rPr>
          <w:rFonts w:cs="Times New Roman"/>
          <w:noProof/>
        </w:rPr>
        <w:t xml:space="preserve">Humpage, L. (2014). </w:t>
      </w:r>
      <w:r w:rsidRPr="00622952">
        <w:rPr>
          <w:rFonts w:cs="Times New Roman"/>
          <w:i/>
          <w:noProof/>
        </w:rPr>
        <w:t>Policy change, public attitudes and social citizenship: Does neoliberalism matter?</w:t>
      </w:r>
      <w:r w:rsidRPr="00622952">
        <w:rPr>
          <w:rFonts w:cs="Times New Roman"/>
          <w:noProof/>
        </w:rPr>
        <w:t xml:space="preserve"> : Policy Press</w:t>
      </w:r>
      <w:r w:rsidRPr="00D23684">
        <w:rPr>
          <w:rFonts w:cs="Times New Roman"/>
          <w:noProof/>
          <w:szCs w:val="24"/>
        </w:rPr>
        <w:t xml:space="preserve"> </w:t>
      </w:r>
    </w:p>
    <w:p w14:paraId="35596480" w14:textId="2501D440" w:rsidR="00665CFA" w:rsidRPr="00D23684" w:rsidRDefault="00665CFA" w:rsidP="00A22B9A">
      <w:pPr>
        <w:ind w:left="426" w:hanging="437"/>
        <w:rPr>
          <w:rFonts w:cs="Times New Roman"/>
          <w:noProof/>
          <w:color w:val="0563C1" w:themeColor="hyperlink"/>
          <w:szCs w:val="24"/>
          <w:u w:val="single"/>
        </w:rPr>
      </w:pPr>
      <w:r w:rsidRPr="00D23684">
        <w:rPr>
          <w:rFonts w:cs="Times New Roman"/>
          <w:noProof/>
          <w:szCs w:val="24"/>
        </w:rPr>
        <w:t>Hunter, Z. (2013)</w:t>
      </w:r>
      <w:r>
        <w:rPr>
          <w:rFonts w:cs="Times New Roman"/>
          <w:noProof/>
          <w:szCs w:val="24"/>
        </w:rPr>
        <w:t>, “</w:t>
      </w:r>
      <w:r w:rsidRPr="00D23684">
        <w:rPr>
          <w:rFonts w:cs="Times New Roman"/>
          <w:noProof/>
          <w:szCs w:val="24"/>
        </w:rPr>
        <w:t>Unions announce $18.40 living wage</w:t>
      </w:r>
      <w:r>
        <w:rPr>
          <w:rFonts w:cs="Times New Roman"/>
          <w:noProof/>
          <w:szCs w:val="24"/>
        </w:rPr>
        <w:t xml:space="preserve">”, available at </w:t>
      </w:r>
      <w:r w:rsidRPr="00D23684">
        <w:rPr>
          <w:rFonts w:cs="Times New Roman"/>
          <w:noProof/>
          <w:szCs w:val="24"/>
        </w:rPr>
        <w:t xml:space="preserve">from </w:t>
      </w:r>
      <w:hyperlink r:id="rId17" w:history="1">
        <w:r w:rsidRPr="00D23684">
          <w:rPr>
            <w:rStyle w:val="Hyperlink"/>
            <w:rFonts w:cs="Times New Roman"/>
            <w:noProof/>
            <w:szCs w:val="24"/>
          </w:rPr>
          <w:t>http://www.sunlive.co.nz/news/38997-unions-announce-1840-living-wage.html</w:t>
        </w:r>
      </w:hyperlink>
      <w:r>
        <w:rPr>
          <w:rStyle w:val="Hyperlink"/>
          <w:rFonts w:cs="Times New Roman"/>
          <w:noProof/>
          <w:szCs w:val="24"/>
        </w:rPr>
        <w:t xml:space="preserve"> </w:t>
      </w:r>
      <w:r>
        <w:rPr>
          <w:rFonts w:cs="Times New Roman"/>
          <w:noProof/>
          <w:szCs w:val="24"/>
        </w:rPr>
        <w:t xml:space="preserve">(accesssed </w:t>
      </w:r>
      <w:r w:rsidRPr="00D23684">
        <w:rPr>
          <w:rFonts w:cs="Times New Roman"/>
          <w:noProof/>
          <w:szCs w:val="24"/>
        </w:rPr>
        <w:t>1</w:t>
      </w:r>
      <w:r>
        <w:rPr>
          <w:rFonts w:cs="Times New Roman"/>
          <w:noProof/>
          <w:szCs w:val="24"/>
        </w:rPr>
        <w:t>4 January</w:t>
      </w:r>
      <w:r w:rsidRPr="00D23684">
        <w:rPr>
          <w:rFonts w:cs="Times New Roman"/>
          <w:noProof/>
          <w:szCs w:val="24"/>
        </w:rPr>
        <w:t xml:space="preserve"> 2015</w:t>
      </w:r>
      <w:r>
        <w:rPr>
          <w:rFonts w:cs="Times New Roman"/>
          <w:noProof/>
          <w:szCs w:val="24"/>
        </w:rPr>
        <w:t>).</w:t>
      </w:r>
    </w:p>
    <w:p w14:paraId="2D7AEFE5" w14:textId="714C4CB9" w:rsidR="00577F3D" w:rsidRDefault="00577F3D" w:rsidP="00A22B9A">
      <w:pPr>
        <w:ind w:left="426" w:hanging="437"/>
        <w:rPr>
          <w:rFonts w:cs="Times New Roman"/>
          <w:noProof/>
          <w:szCs w:val="24"/>
        </w:rPr>
      </w:pPr>
      <w:r>
        <w:rPr>
          <w:rFonts w:cs="Times New Roman"/>
          <w:noProof/>
          <w:szCs w:val="24"/>
        </w:rPr>
        <w:t>IIRC [International Inte</w:t>
      </w:r>
      <w:r w:rsidR="00743A20">
        <w:rPr>
          <w:rFonts w:cs="Times New Roman"/>
          <w:noProof/>
          <w:szCs w:val="24"/>
        </w:rPr>
        <w:t>grated Reporting Council]. (n.d</w:t>
      </w:r>
      <w:r>
        <w:rPr>
          <w:rFonts w:cs="Times New Roman"/>
          <w:noProof/>
          <w:szCs w:val="24"/>
        </w:rPr>
        <w:t xml:space="preserve">), </w:t>
      </w:r>
      <w:hyperlink r:id="rId18" w:history="1">
        <w:r w:rsidR="00743A20" w:rsidRPr="00035780">
          <w:rPr>
            <w:rStyle w:val="Hyperlink"/>
            <w:rFonts w:cs="Times New Roman"/>
            <w:noProof/>
            <w:szCs w:val="24"/>
          </w:rPr>
          <w:t>http://integratedreporting.org/the-iirc-2/</w:t>
        </w:r>
      </w:hyperlink>
      <w:r w:rsidR="00743A20">
        <w:rPr>
          <w:rFonts w:cs="Times New Roman"/>
          <w:noProof/>
          <w:szCs w:val="24"/>
        </w:rPr>
        <w:t xml:space="preserve"> </w:t>
      </w:r>
    </w:p>
    <w:p w14:paraId="17285BDB" w14:textId="2E577EEB" w:rsidR="003415F4" w:rsidRDefault="003415F4" w:rsidP="00A22B9A">
      <w:pPr>
        <w:ind w:left="426" w:hanging="437"/>
        <w:rPr>
          <w:rFonts w:cs="Times New Roman"/>
          <w:noProof/>
          <w:szCs w:val="24"/>
        </w:rPr>
      </w:pPr>
      <w:r>
        <w:rPr>
          <w:rFonts w:cs="Times New Roman"/>
          <w:noProof/>
          <w:szCs w:val="24"/>
        </w:rPr>
        <w:t xml:space="preserve">IRD (Inland Revenue Department), (2017). </w:t>
      </w:r>
      <w:hyperlink r:id="rId19" w:history="1">
        <w:r w:rsidRPr="00817A95">
          <w:rPr>
            <w:rStyle w:val="Hyperlink"/>
            <w:rFonts w:cs="Times New Roman"/>
            <w:noProof/>
            <w:szCs w:val="24"/>
          </w:rPr>
          <w:t>www.ird.govt.nz/aboutir/external-stats/social-policy/wfftc/wfftc.html</w:t>
        </w:r>
      </w:hyperlink>
      <w:r>
        <w:rPr>
          <w:rFonts w:cs="Times New Roman"/>
          <w:noProof/>
          <w:szCs w:val="24"/>
        </w:rPr>
        <w:t xml:space="preserve"> (accessed 20 April 2018). </w:t>
      </w:r>
    </w:p>
    <w:p w14:paraId="41713FF1" w14:textId="77777777" w:rsidR="00665CFA" w:rsidRDefault="00665CFA" w:rsidP="00A22B9A">
      <w:pPr>
        <w:ind w:left="426" w:hanging="437"/>
        <w:rPr>
          <w:rFonts w:cs="Times New Roman"/>
          <w:noProof/>
          <w:szCs w:val="24"/>
        </w:rPr>
      </w:pPr>
      <w:r>
        <w:rPr>
          <w:rFonts w:cs="Times New Roman"/>
          <w:noProof/>
          <w:szCs w:val="24"/>
        </w:rPr>
        <w:t>Jagd, S. (2011), “</w:t>
      </w:r>
      <w:r w:rsidRPr="00D23684">
        <w:rPr>
          <w:rFonts w:cs="Times New Roman"/>
          <w:noProof/>
          <w:szCs w:val="24"/>
        </w:rPr>
        <w:t>Pragmatic sociology and competing orders of worth in organizations</w:t>
      </w:r>
      <w:r>
        <w:rPr>
          <w:rFonts w:cs="Times New Roman"/>
          <w:noProof/>
          <w:szCs w:val="24"/>
        </w:rPr>
        <w:t xml:space="preserve">”, </w:t>
      </w:r>
      <w:r w:rsidRPr="00D23684">
        <w:rPr>
          <w:rFonts w:cs="Times New Roman"/>
          <w:i/>
          <w:noProof/>
          <w:szCs w:val="24"/>
        </w:rPr>
        <w:t xml:space="preserve">European Journal of Social Theory, </w:t>
      </w:r>
      <w:r>
        <w:rPr>
          <w:rFonts w:cs="Times New Roman"/>
          <w:noProof/>
          <w:szCs w:val="24"/>
        </w:rPr>
        <w:t xml:space="preserve">Vol 14 No </w:t>
      </w:r>
      <w:r w:rsidRPr="00D23684">
        <w:rPr>
          <w:rFonts w:cs="Times New Roman"/>
          <w:noProof/>
          <w:szCs w:val="24"/>
        </w:rPr>
        <w:t>3,</w:t>
      </w:r>
      <w:r>
        <w:rPr>
          <w:rFonts w:cs="Times New Roman"/>
          <w:noProof/>
          <w:szCs w:val="24"/>
        </w:rPr>
        <w:t xml:space="preserve"> pp.</w:t>
      </w:r>
      <w:r w:rsidRPr="00D23684">
        <w:rPr>
          <w:rFonts w:cs="Times New Roman"/>
          <w:noProof/>
          <w:szCs w:val="24"/>
        </w:rPr>
        <w:t xml:space="preserve"> 343-359.</w:t>
      </w:r>
    </w:p>
    <w:p w14:paraId="1DEEDFD0" w14:textId="16D15855" w:rsidR="00773D80" w:rsidRPr="00773D80" w:rsidRDefault="00773D80" w:rsidP="00A22B9A">
      <w:pPr>
        <w:ind w:left="426" w:hanging="437"/>
        <w:rPr>
          <w:rFonts w:cs="Times New Roman"/>
          <w:noProof/>
          <w:szCs w:val="24"/>
        </w:rPr>
      </w:pPr>
      <w:r>
        <w:rPr>
          <w:rFonts w:cs="Times New Roman"/>
          <w:noProof/>
          <w:szCs w:val="24"/>
        </w:rPr>
        <w:t xml:space="preserve">Jones, M. (2010), “Accounting for the environment: Towards a theoretical perspective for environmental accounting and reporting”, </w:t>
      </w:r>
      <w:r>
        <w:rPr>
          <w:rFonts w:cs="Times New Roman"/>
          <w:i/>
          <w:noProof/>
          <w:szCs w:val="24"/>
        </w:rPr>
        <w:t>Accounting Forum</w:t>
      </w:r>
      <w:r>
        <w:rPr>
          <w:rFonts w:cs="Times New Roman"/>
          <w:noProof/>
          <w:szCs w:val="24"/>
        </w:rPr>
        <w:t>, Vol 34 No 2, pp. 123-138.</w:t>
      </w:r>
    </w:p>
    <w:p w14:paraId="2578CDB6" w14:textId="77777777" w:rsidR="00743A20" w:rsidRPr="006512E5" w:rsidRDefault="00743A20" w:rsidP="00743A20">
      <w:pPr>
        <w:ind w:left="425" w:hanging="425"/>
      </w:pPr>
      <w:r>
        <w:rPr>
          <w:rFonts w:eastAsiaTheme="majorEastAsia" w:cs="Times New Roman"/>
          <w:noProof/>
          <w:color w:val="000000" w:themeColor="text1"/>
          <w:szCs w:val="24"/>
        </w:rPr>
        <w:t xml:space="preserve">Laclau, E. &amp; Mouffe, C. (1985). </w:t>
      </w:r>
      <w:r w:rsidRPr="006512E5">
        <w:rPr>
          <w:i/>
        </w:rPr>
        <w:t xml:space="preserve">Hegemony and socialist strategy: Towards a radical democratic politics, </w:t>
      </w:r>
      <w:r w:rsidRPr="006512E5">
        <w:t>(Moore, W. and Cammack, P, Trans). London: Verso.</w:t>
      </w:r>
    </w:p>
    <w:p w14:paraId="3EAC839F" w14:textId="77777777" w:rsidR="00665CFA" w:rsidRPr="00D23684" w:rsidRDefault="00665CFA" w:rsidP="00A22B9A">
      <w:pPr>
        <w:ind w:left="426" w:hanging="437"/>
        <w:rPr>
          <w:rFonts w:eastAsiaTheme="majorEastAsia" w:cs="Times New Roman"/>
          <w:noProof/>
          <w:color w:val="000000" w:themeColor="text1"/>
          <w:szCs w:val="24"/>
        </w:rPr>
      </w:pPr>
      <w:r w:rsidRPr="00D23684">
        <w:rPr>
          <w:rFonts w:eastAsiaTheme="majorEastAsia" w:cs="Times New Roman"/>
          <w:noProof/>
          <w:color w:val="000000" w:themeColor="text1"/>
          <w:szCs w:val="24"/>
        </w:rPr>
        <w:t>Lamont, M., &amp; Thévenot, L</w:t>
      </w:r>
      <w:r>
        <w:rPr>
          <w:rFonts w:eastAsiaTheme="majorEastAsia" w:cs="Times New Roman"/>
          <w:noProof/>
          <w:color w:val="000000" w:themeColor="text1"/>
          <w:szCs w:val="24"/>
        </w:rPr>
        <w:t xml:space="preserve">. </w:t>
      </w:r>
      <w:r w:rsidRPr="00D23684">
        <w:rPr>
          <w:rFonts w:eastAsiaTheme="majorEastAsia" w:cs="Times New Roman"/>
          <w:noProof/>
          <w:color w:val="000000" w:themeColor="text1"/>
          <w:szCs w:val="24"/>
        </w:rPr>
        <w:t>(2000)</w:t>
      </w:r>
      <w:r>
        <w:rPr>
          <w:rFonts w:eastAsiaTheme="majorEastAsia" w:cs="Times New Roman"/>
          <w:noProof/>
          <w:color w:val="000000" w:themeColor="text1"/>
          <w:szCs w:val="24"/>
        </w:rPr>
        <w:t xml:space="preserve">, </w:t>
      </w:r>
      <w:r w:rsidRPr="00D23684">
        <w:rPr>
          <w:rFonts w:eastAsiaTheme="majorEastAsia" w:cs="Times New Roman"/>
          <w:i/>
          <w:noProof/>
          <w:color w:val="000000" w:themeColor="text1"/>
          <w:szCs w:val="24"/>
        </w:rPr>
        <w:t>Rethinking Comparative Cultural Sociology: Repertoires of Evaluation in France and the United States</w:t>
      </w:r>
      <w:r w:rsidRPr="00D23684">
        <w:rPr>
          <w:rFonts w:eastAsiaTheme="majorEastAsia" w:cs="Times New Roman"/>
          <w:noProof/>
          <w:color w:val="000000" w:themeColor="text1"/>
          <w:szCs w:val="24"/>
        </w:rPr>
        <w:t>. Cambridge University Press</w:t>
      </w:r>
      <w:r>
        <w:rPr>
          <w:rFonts w:eastAsiaTheme="majorEastAsia" w:cs="Times New Roman"/>
          <w:noProof/>
          <w:color w:val="000000" w:themeColor="text1"/>
          <w:szCs w:val="24"/>
        </w:rPr>
        <w:t>: Cambridge, U.K.</w:t>
      </w:r>
    </w:p>
    <w:p w14:paraId="7B424473" w14:textId="77777777" w:rsidR="00665CFA" w:rsidRPr="00D23684" w:rsidRDefault="00665CFA" w:rsidP="00A22B9A">
      <w:pPr>
        <w:ind w:left="426" w:hanging="437"/>
        <w:rPr>
          <w:rFonts w:eastAsiaTheme="majorEastAsia" w:cs="Times New Roman"/>
          <w:noProof/>
          <w:color w:val="000000" w:themeColor="text1"/>
          <w:szCs w:val="24"/>
        </w:rPr>
      </w:pPr>
      <w:r w:rsidRPr="00D23684">
        <w:rPr>
          <w:rFonts w:eastAsiaTheme="majorEastAsia" w:cs="Times New Roman"/>
          <w:noProof/>
          <w:color w:val="000000" w:themeColor="text1"/>
          <w:szCs w:val="24"/>
        </w:rPr>
        <w:t>Lane, R. E. (1986)</w:t>
      </w:r>
      <w:r>
        <w:rPr>
          <w:rFonts w:eastAsiaTheme="majorEastAsia" w:cs="Times New Roman"/>
          <w:noProof/>
          <w:color w:val="000000" w:themeColor="text1"/>
          <w:szCs w:val="24"/>
        </w:rPr>
        <w:t>, “</w:t>
      </w:r>
      <w:r w:rsidRPr="00D23684">
        <w:rPr>
          <w:rFonts w:eastAsiaTheme="majorEastAsia" w:cs="Times New Roman"/>
          <w:noProof/>
          <w:color w:val="000000" w:themeColor="text1"/>
          <w:szCs w:val="24"/>
        </w:rPr>
        <w:t>Market justice, political justice</w:t>
      </w:r>
      <w:r>
        <w:rPr>
          <w:rFonts w:eastAsiaTheme="majorEastAsia" w:cs="Times New Roman"/>
          <w:noProof/>
          <w:color w:val="000000" w:themeColor="text1"/>
          <w:szCs w:val="24"/>
        </w:rPr>
        <w:t>”,</w:t>
      </w:r>
      <w:r w:rsidRPr="00D23684">
        <w:rPr>
          <w:rFonts w:eastAsiaTheme="majorEastAsia" w:cs="Times New Roman"/>
          <w:noProof/>
          <w:color w:val="000000" w:themeColor="text1"/>
          <w:szCs w:val="24"/>
        </w:rPr>
        <w:t xml:space="preserve"> </w:t>
      </w:r>
      <w:r>
        <w:rPr>
          <w:rFonts w:eastAsiaTheme="majorEastAsia" w:cs="Times New Roman"/>
          <w:i/>
          <w:noProof/>
          <w:color w:val="000000" w:themeColor="text1"/>
          <w:szCs w:val="24"/>
        </w:rPr>
        <w:t>The American Political Science R</w:t>
      </w:r>
      <w:r w:rsidRPr="00D23684">
        <w:rPr>
          <w:rFonts w:eastAsiaTheme="majorEastAsia" w:cs="Times New Roman"/>
          <w:i/>
          <w:noProof/>
          <w:color w:val="000000" w:themeColor="text1"/>
          <w:szCs w:val="24"/>
        </w:rPr>
        <w:t xml:space="preserve">eview, </w:t>
      </w:r>
      <w:r>
        <w:rPr>
          <w:rFonts w:eastAsiaTheme="majorEastAsia" w:cs="Times New Roman"/>
          <w:noProof/>
          <w:color w:val="000000" w:themeColor="text1"/>
          <w:szCs w:val="24"/>
        </w:rPr>
        <w:t xml:space="preserve">Vol 80 No </w:t>
      </w:r>
      <w:r w:rsidRPr="00D23684">
        <w:rPr>
          <w:rFonts w:eastAsiaTheme="majorEastAsia" w:cs="Times New Roman"/>
          <w:noProof/>
          <w:color w:val="000000" w:themeColor="text1"/>
          <w:szCs w:val="24"/>
        </w:rPr>
        <w:t xml:space="preserve">2, </w:t>
      </w:r>
      <w:r>
        <w:rPr>
          <w:rFonts w:eastAsiaTheme="majorEastAsia" w:cs="Times New Roman"/>
          <w:noProof/>
          <w:color w:val="000000" w:themeColor="text1"/>
          <w:szCs w:val="24"/>
        </w:rPr>
        <w:t xml:space="preserve">pp. </w:t>
      </w:r>
      <w:r w:rsidRPr="00D23684">
        <w:rPr>
          <w:rFonts w:eastAsiaTheme="majorEastAsia" w:cs="Times New Roman"/>
          <w:noProof/>
          <w:color w:val="000000" w:themeColor="text1"/>
          <w:szCs w:val="24"/>
        </w:rPr>
        <w:t>383-402.</w:t>
      </w:r>
    </w:p>
    <w:p w14:paraId="327E625E" w14:textId="0CFEBC85" w:rsidR="009D3D9A" w:rsidRPr="009D3D9A" w:rsidRDefault="009D3D9A" w:rsidP="00A22B9A">
      <w:pPr>
        <w:ind w:left="426" w:hanging="437"/>
        <w:rPr>
          <w:rFonts w:eastAsiaTheme="majorEastAsia" w:cs="Times New Roman"/>
          <w:noProof/>
          <w:color w:val="000000" w:themeColor="text1"/>
          <w:szCs w:val="24"/>
        </w:rPr>
      </w:pPr>
      <w:r>
        <w:rPr>
          <w:rFonts w:eastAsiaTheme="majorEastAsia" w:cs="Times New Roman"/>
          <w:noProof/>
          <w:color w:val="000000" w:themeColor="text1"/>
          <w:szCs w:val="24"/>
        </w:rPr>
        <w:t xml:space="preserve">Li, Y. &amp; McKernan, J, (2016). “Human rights, accounting, and the dialectic of equality and inequality”, </w:t>
      </w:r>
      <w:r>
        <w:rPr>
          <w:rFonts w:eastAsiaTheme="majorEastAsia" w:cs="Times New Roman"/>
          <w:i/>
          <w:noProof/>
          <w:color w:val="000000" w:themeColor="text1"/>
          <w:szCs w:val="24"/>
        </w:rPr>
        <w:t xml:space="preserve">Accounting, Auditing and Accountability Journal, </w:t>
      </w:r>
      <w:r>
        <w:rPr>
          <w:rFonts w:eastAsiaTheme="majorEastAsia" w:cs="Times New Roman"/>
          <w:noProof/>
          <w:color w:val="000000" w:themeColor="text1"/>
          <w:szCs w:val="24"/>
        </w:rPr>
        <w:t>Vol 29 No 4, pp. 568-593.</w:t>
      </w:r>
    </w:p>
    <w:p w14:paraId="4D57D31C" w14:textId="2418838F" w:rsidR="00D64787" w:rsidRDefault="00D64787" w:rsidP="00743A20">
      <w:pPr>
        <w:ind w:left="426" w:hanging="437"/>
        <w:rPr>
          <w:rFonts w:cs="Times New Roman"/>
          <w:noProof/>
          <w:szCs w:val="24"/>
        </w:rPr>
      </w:pPr>
      <w:r>
        <w:rPr>
          <w:rFonts w:cs="Times New Roman"/>
          <w:noProof/>
          <w:szCs w:val="24"/>
        </w:rPr>
        <w:t>London Economics, (2009). A</w:t>
      </w:r>
      <w:r w:rsidRPr="00D64787">
        <w:rPr>
          <w:rFonts w:cs="Times New Roman"/>
          <w:i/>
          <w:noProof/>
          <w:szCs w:val="24"/>
        </w:rPr>
        <w:t>n independent study of the business benefits of implementing a Living Wage policy in London</w:t>
      </w:r>
      <w:r>
        <w:rPr>
          <w:rFonts w:cs="Times New Roman"/>
          <w:noProof/>
          <w:szCs w:val="24"/>
        </w:rPr>
        <w:t>. London Greater Authority: London</w:t>
      </w:r>
    </w:p>
    <w:p w14:paraId="45EBF71B" w14:textId="0873B21C" w:rsidR="00743A20" w:rsidRDefault="00743A20" w:rsidP="00743A20">
      <w:pPr>
        <w:ind w:left="426" w:hanging="437"/>
        <w:rPr>
          <w:rFonts w:eastAsiaTheme="majorEastAsia" w:cs="Times New Roman"/>
          <w:noProof/>
          <w:color w:val="000000" w:themeColor="text1"/>
          <w:szCs w:val="24"/>
        </w:rPr>
      </w:pPr>
      <w:r>
        <w:rPr>
          <w:rFonts w:cs="Times New Roman"/>
          <w:noProof/>
          <w:szCs w:val="24"/>
        </w:rPr>
        <w:t>LWA [Living Wage Aotearoa]. (2012a), “</w:t>
      </w:r>
      <w:r w:rsidRPr="00E46098">
        <w:rPr>
          <w:rFonts w:cs="Times New Roman"/>
          <w:noProof/>
          <w:szCs w:val="24"/>
        </w:rPr>
        <w:t>Info Sheet #</w:t>
      </w:r>
      <w:r>
        <w:rPr>
          <w:rFonts w:cs="Times New Roman"/>
          <w:noProof/>
          <w:szCs w:val="24"/>
        </w:rPr>
        <w:t>3</w:t>
      </w:r>
      <w:r w:rsidRPr="00E46098">
        <w:rPr>
          <w:rFonts w:cs="Times New Roman"/>
          <w:noProof/>
          <w:szCs w:val="24"/>
        </w:rPr>
        <w:t xml:space="preserve">: A living wage: </w:t>
      </w:r>
      <w:r>
        <w:rPr>
          <w:rFonts w:cs="Times New Roman"/>
          <w:noProof/>
          <w:szCs w:val="24"/>
        </w:rPr>
        <w:t>where did it all begin</w:t>
      </w:r>
      <w:r w:rsidRPr="00E46098">
        <w:rPr>
          <w:rFonts w:cs="Times New Roman"/>
          <w:noProof/>
          <w:szCs w:val="24"/>
        </w:rPr>
        <w:t>?</w:t>
      </w:r>
      <w:r>
        <w:rPr>
          <w:rFonts w:cs="Times New Roman"/>
          <w:noProof/>
          <w:szCs w:val="24"/>
        </w:rPr>
        <w:t xml:space="preserve">”, </w:t>
      </w:r>
      <w:r>
        <w:rPr>
          <w:rFonts w:eastAsiaTheme="majorEastAsia" w:cs="Times New Roman"/>
          <w:noProof/>
          <w:color w:val="000000" w:themeColor="text1"/>
          <w:szCs w:val="24"/>
        </w:rPr>
        <w:t>retrieved from</w:t>
      </w:r>
      <w:r w:rsidRPr="00D23684">
        <w:rPr>
          <w:rFonts w:eastAsiaTheme="majorEastAsia" w:cs="Times New Roman"/>
          <w:noProof/>
          <w:color w:val="000000" w:themeColor="text1"/>
          <w:szCs w:val="24"/>
        </w:rPr>
        <w:t xml:space="preserve"> </w:t>
      </w:r>
      <w:r w:rsidRPr="00D83A96">
        <w:rPr>
          <w:rStyle w:val="Hyperlink"/>
          <w:rFonts w:cs="Times New Roman"/>
          <w:noProof/>
        </w:rPr>
        <w:t>http://www.livingwagenz.org.nz/resources.php</w:t>
      </w:r>
      <w:r>
        <w:rPr>
          <w:rStyle w:val="Hyperlink"/>
          <w:rFonts w:eastAsiaTheme="majorEastAsia" w:cs="Times New Roman"/>
          <w:noProof/>
          <w:szCs w:val="24"/>
        </w:rPr>
        <w:t xml:space="preserve"> </w:t>
      </w:r>
      <w:r>
        <w:rPr>
          <w:rFonts w:eastAsiaTheme="majorEastAsia" w:cs="Times New Roman"/>
          <w:noProof/>
          <w:color w:val="000000" w:themeColor="text1"/>
          <w:szCs w:val="24"/>
        </w:rPr>
        <w:t>(accessed 8 July 2013).</w:t>
      </w:r>
    </w:p>
    <w:p w14:paraId="35C57C72" w14:textId="77777777" w:rsidR="00743A20" w:rsidRDefault="00743A20" w:rsidP="00743A20">
      <w:pPr>
        <w:ind w:left="426" w:hanging="437"/>
        <w:rPr>
          <w:rFonts w:eastAsiaTheme="majorEastAsia" w:cs="Times New Roman"/>
          <w:noProof/>
          <w:color w:val="000000" w:themeColor="text1"/>
          <w:szCs w:val="24"/>
        </w:rPr>
      </w:pPr>
      <w:r>
        <w:rPr>
          <w:rFonts w:cs="Times New Roman"/>
          <w:noProof/>
          <w:szCs w:val="24"/>
        </w:rPr>
        <w:lastRenderedPageBreak/>
        <w:t xml:space="preserve">LWA (2012b), “Institutions and a living wage”, </w:t>
      </w:r>
      <w:r>
        <w:rPr>
          <w:rFonts w:eastAsiaTheme="majorEastAsia" w:cs="Times New Roman"/>
          <w:noProof/>
          <w:color w:val="000000" w:themeColor="text1"/>
          <w:szCs w:val="24"/>
        </w:rPr>
        <w:t>retrieved from</w:t>
      </w:r>
      <w:r w:rsidRPr="00D23684">
        <w:rPr>
          <w:rFonts w:eastAsiaTheme="majorEastAsia" w:cs="Times New Roman"/>
          <w:noProof/>
          <w:color w:val="000000" w:themeColor="text1"/>
          <w:szCs w:val="24"/>
        </w:rPr>
        <w:t xml:space="preserve"> </w:t>
      </w:r>
      <w:r w:rsidRPr="00D83A96">
        <w:rPr>
          <w:rStyle w:val="Hyperlink"/>
          <w:rFonts w:cs="Times New Roman"/>
          <w:noProof/>
        </w:rPr>
        <w:t>http://www.livingwagenz.org.nz/</w:t>
      </w:r>
      <w:r w:rsidRPr="00B7411F">
        <w:rPr>
          <w:rFonts w:cs="Times New Roman"/>
          <w:noProof/>
          <w:szCs w:val="24"/>
        </w:rPr>
        <w:t xml:space="preserve"> </w:t>
      </w:r>
      <w:r w:rsidRPr="00452096">
        <w:rPr>
          <w:rFonts w:cs="Times New Roman"/>
          <w:noProof/>
          <w:szCs w:val="24"/>
        </w:rPr>
        <w:t>faq.php</w:t>
      </w:r>
      <w:r>
        <w:rPr>
          <w:rStyle w:val="Hyperlink"/>
          <w:rFonts w:eastAsiaTheme="majorEastAsia" w:cs="Times New Roman"/>
          <w:noProof/>
          <w:szCs w:val="24"/>
        </w:rPr>
        <w:t xml:space="preserve"> </w:t>
      </w:r>
      <w:r>
        <w:rPr>
          <w:rFonts w:eastAsiaTheme="majorEastAsia" w:cs="Times New Roman"/>
          <w:noProof/>
          <w:color w:val="000000" w:themeColor="text1"/>
          <w:szCs w:val="24"/>
        </w:rPr>
        <w:t>(accessed 8 July 2013).</w:t>
      </w:r>
    </w:p>
    <w:p w14:paraId="4FD9C36E" w14:textId="77777777" w:rsidR="00743A20" w:rsidRDefault="00743A20" w:rsidP="00743A20">
      <w:pPr>
        <w:ind w:left="426" w:hanging="437"/>
        <w:rPr>
          <w:rFonts w:eastAsiaTheme="majorEastAsia" w:cs="Times New Roman"/>
          <w:noProof/>
          <w:color w:val="000000" w:themeColor="text1"/>
          <w:szCs w:val="24"/>
        </w:rPr>
      </w:pPr>
      <w:r>
        <w:rPr>
          <w:rFonts w:cs="Times New Roman"/>
          <w:noProof/>
          <w:szCs w:val="24"/>
        </w:rPr>
        <w:t xml:space="preserve">LWA (2012c), “Frequently asked questions”, </w:t>
      </w:r>
      <w:r>
        <w:rPr>
          <w:rFonts w:eastAsiaTheme="majorEastAsia" w:cs="Times New Roman"/>
          <w:noProof/>
          <w:color w:val="000000" w:themeColor="text1"/>
          <w:szCs w:val="24"/>
        </w:rPr>
        <w:t>retrieved from</w:t>
      </w:r>
      <w:r w:rsidRPr="00D23684">
        <w:rPr>
          <w:rFonts w:eastAsiaTheme="majorEastAsia" w:cs="Times New Roman"/>
          <w:noProof/>
          <w:color w:val="000000" w:themeColor="text1"/>
          <w:szCs w:val="24"/>
        </w:rPr>
        <w:t xml:space="preserve"> </w:t>
      </w:r>
      <w:r w:rsidRPr="00D83A96">
        <w:rPr>
          <w:rStyle w:val="Hyperlink"/>
          <w:rFonts w:cs="Times New Roman"/>
          <w:noProof/>
        </w:rPr>
        <w:t>http://www.livingwagenz.org.nz/</w:t>
      </w:r>
      <w:r w:rsidRPr="00B7411F">
        <w:rPr>
          <w:rFonts w:cs="Times New Roman"/>
          <w:noProof/>
          <w:szCs w:val="24"/>
        </w:rPr>
        <w:t xml:space="preserve"> </w:t>
      </w:r>
      <w:r w:rsidRPr="00452096">
        <w:rPr>
          <w:rFonts w:cs="Times New Roman"/>
          <w:noProof/>
          <w:szCs w:val="24"/>
        </w:rPr>
        <w:t>faq.php</w:t>
      </w:r>
      <w:r>
        <w:rPr>
          <w:rStyle w:val="Hyperlink"/>
          <w:rFonts w:eastAsiaTheme="majorEastAsia" w:cs="Times New Roman"/>
          <w:noProof/>
          <w:szCs w:val="24"/>
        </w:rPr>
        <w:t xml:space="preserve"> </w:t>
      </w:r>
      <w:r>
        <w:rPr>
          <w:rFonts w:eastAsiaTheme="majorEastAsia" w:cs="Times New Roman"/>
          <w:noProof/>
          <w:color w:val="000000" w:themeColor="text1"/>
          <w:szCs w:val="24"/>
        </w:rPr>
        <w:t>(accessed 8 July 2013).</w:t>
      </w:r>
    </w:p>
    <w:p w14:paraId="6A512807" w14:textId="77777777" w:rsidR="00743A20" w:rsidRDefault="00743A20" w:rsidP="00743A20">
      <w:pPr>
        <w:ind w:left="426" w:hanging="437"/>
        <w:rPr>
          <w:rFonts w:eastAsiaTheme="majorEastAsia" w:cs="Times New Roman"/>
          <w:noProof/>
          <w:color w:val="000000" w:themeColor="text1"/>
          <w:szCs w:val="24"/>
        </w:rPr>
      </w:pPr>
      <w:r>
        <w:rPr>
          <w:rFonts w:cs="Times New Roman"/>
          <w:noProof/>
          <w:szCs w:val="24"/>
        </w:rPr>
        <w:t>LWA (2012d), “</w:t>
      </w:r>
      <w:r w:rsidRPr="00E46098">
        <w:rPr>
          <w:rFonts w:cs="Times New Roman"/>
          <w:noProof/>
          <w:szCs w:val="24"/>
        </w:rPr>
        <w:t>Info Sheet #7: A living wage: who benefits?</w:t>
      </w:r>
      <w:r>
        <w:rPr>
          <w:rFonts w:cs="Times New Roman"/>
          <w:noProof/>
          <w:szCs w:val="24"/>
        </w:rPr>
        <w:t xml:space="preserve">”, </w:t>
      </w:r>
      <w:r>
        <w:rPr>
          <w:rFonts w:eastAsiaTheme="majorEastAsia" w:cs="Times New Roman"/>
          <w:noProof/>
          <w:color w:val="000000" w:themeColor="text1"/>
          <w:szCs w:val="24"/>
        </w:rPr>
        <w:t>retrieved from</w:t>
      </w:r>
      <w:r w:rsidRPr="00D23684">
        <w:rPr>
          <w:rFonts w:eastAsiaTheme="majorEastAsia" w:cs="Times New Roman"/>
          <w:noProof/>
          <w:color w:val="000000" w:themeColor="text1"/>
          <w:szCs w:val="24"/>
        </w:rPr>
        <w:t xml:space="preserve"> </w:t>
      </w:r>
      <w:r w:rsidRPr="00D83A96">
        <w:rPr>
          <w:rStyle w:val="Hyperlink"/>
          <w:rFonts w:cs="Times New Roman"/>
          <w:noProof/>
        </w:rPr>
        <w:t>http://www.livingwagenz.org.nz/resources.php</w:t>
      </w:r>
      <w:r>
        <w:rPr>
          <w:rStyle w:val="Hyperlink"/>
          <w:rFonts w:eastAsiaTheme="majorEastAsia" w:cs="Times New Roman"/>
          <w:noProof/>
          <w:szCs w:val="24"/>
        </w:rPr>
        <w:t xml:space="preserve"> </w:t>
      </w:r>
      <w:r>
        <w:rPr>
          <w:rFonts w:eastAsiaTheme="majorEastAsia" w:cs="Times New Roman"/>
          <w:noProof/>
          <w:color w:val="000000" w:themeColor="text1"/>
          <w:szCs w:val="24"/>
        </w:rPr>
        <w:t>(accessed 8 July 2013).</w:t>
      </w:r>
    </w:p>
    <w:p w14:paraId="68B9C6FF" w14:textId="77777777" w:rsidR="00743A20" w:rsidRDefault="00743A20" w:rsidP="00743A20">
      <w:pPr>
        <w:ind w:left="426" w:hanging="437"/>
        <w:rPr>
          <w:rFonts w:eastAsiaTheme="majorEastAsia" w:cs="Times New Roman"/>
          <w:noProof/>
          <w:color w:val="000000" w:themeColor="text1"/>
          <w:szCs w:val="24"/>
        </w:rPr>
      </w:pPr>
      <w:r>
        <w:rPr>
          <w:rFonts w:cs="Times New Roman"/>
          <w:noProof/>
          <w:szCs w:val="24"/>
        </w:rPr>
        <w:t>LWA (2012e), “</w:t>
      </w:r>
      <w:r w:rsidRPr="00B7411F">
        <w:rPr>
          <w:rFonts w:cs="Times New Roman"/>
          <w:noProof/>
          <w:szCs w:val="24"/>
        </w:rPr>
        <w:t>Info Sheet #4: A living wage: what is it?</w:t>
      </w:r>
      <w:r>
        <w:rPr>
          <w:rFonts w:cs="Times New Roman"/>
          <w:noProof/>
          <w:szCs w:val="24"/>
        </w:rPr>
        <w:t xml:space="preserve">”, </w:t>
      </w:r>
      <w:r>
        <w:rPr>
          <w:rFonts w:eastAsiaTheme="majorEastAsia" w:cs="Times New Roman"/>
          <w:noProof/>
          <w:color w:val="000000" w:themeColor="text1"/>
          <w:szCs w:val="24"/>
        </w:rPr>
        <w:t>retrieved from</w:t>
      </w:r>
      <w:r w:rsidRPr="00D23684">
        <w:rPr>
          <w:rFonts w:eastAsiaTheme="majorEastAsia" w:cs="Times New Roman"/>
          <w:noProof/>
          <w:color w:val="000000" w:themeColor="text1"/>
          <w:szCs w:val="24"/>
        </w:rPr>
        <w:t xml:space="preserve"> </w:t>
      </w:r>
      <w:r w:rsidRPr="00D83A96">
        <w:rPr>
          <w:rStyle w:val="Hyperlink"/>
          <w:rFonts w:cs="Times New Roman"/>
          <w:noProof/>
        </w:rPr>
        <w:t>http://www.livingwagenz.org.nz/resources.php</w:t>
      </w:r>
      <w:r>
        <w:rPr>
          <w:rStyle w:val="Hyperlink"/>
          <w:rFonts w:eastAsiaTheme="majorEastAsia" w:cs="Times New Roman"/>
          <w:noProof/>
          <w:szCs w:val="24"/>
        </w:rPr>
        <w:t xml:space="preserve"> </w:t>
      </w:r>
      <w:r>
        <w:rPr>
          <w:rFonts w:eastAsiaTheme="majorEastAsia" w:cs="Times New Roman"/>
          <w:noProof/>
          <w:color w:val="000000" w:themeColor="text1"/>
          <w:szCs w:val="24"/>
        </w:rPr>
        <w:t>(accessed 8 July 2013).</w:t>
      </w:r>
    </w:p>
    <w:p w14:paraId="5DDB4801" w14:textId="2F5DBA3B" w:rsidR="00665CFA" w:rsidRPr="00D23684" w:rsidRDefault="00743A20" w:rsidP="00A22B9A">
      <w:pPr>
        <w:ind w:left="426" w:hanging="437"/>
        <w:rPr>
          <w:rFonts w:eastAsiaTheme="majorEastAsia" w:cs="Times New Roman"/>
          <w:noProof/>
          <w:color w:val="0563C1" w:themeColor="hyperlink"/>
          <w:szCs w:val="24"/>
          <w:u w:val="single"/>
        </w:rPr>
      </w:pPr>
      <w:r>
        <w:rPr>
          <w:rFonts w:eastAsiaTheme="majorEastAsia" w:cs="Times New Roman"/>
          <w:noProof/>
          <w:color w:val="000000" w:themeColor="text1"/>
          <w:szCs w:val="24"/>
        </w:rPr>
        <w:t>LWA</w:t>
      </w:r>
      <w:r w:rsidR="00F64EFF">
        <w:rPr>
          <w:rFonts w:eastAsiaTheme="majorEastAsia" w:cs="Times New Roman"/>
          <w:noProof/>
          <w:color w:val="000000" w:themeColor="text1"/>
          <w:szCs w:val="24"/>
        </w:rPr>
        <w:t>.</w:t>
      </w:r>
      <w:r w:rsidR="00665CFA">
        <w:rPr>
          <w:rFonts w:eastAsiaTheme="majorEastAsia" w:cs="Times New Roman"/>
          <w:noProof/>
          <w:color w:val="000000" w:themeColor="text1"/>
          <w:szCs w:val="24"/>
        </w:rPr>
        <w:t xml:space="preserve"> (201</w:t>
      </w:r>
      <w:r w:rsidR="00B7411F">
        <w:rPr>
          <w:rFonts w:eastAsiaTheme="majorEastAsia" w:cs="Times New Roman"/>
          <w:noProof/>
          <w:color w:val="000000" w:themeColor="text1"/>
          <w:szCs w:val="24"/>
        </w:rPr>
        <w:t>2</w:t>
      </w:r>
      <w:r>
        <w:rPr>
          <w:rFonts w:eastAsiaTheme="majorEastAsia" w:cs="Times New Roman"/>
          <w:noProof/>
          <w:color w:val="000000" w:themeColor="text1"/>
          <w:szCs w:val="24"/>
        </w:rPr>
        <w:t>f</w:t>
      </w:r>
      <w:r w:rsidR="00665CFA">
        <w:rPr>
          <w:rFonts w:eastAsiaTheme="majorEastAsia" w:cs="Times New Roman"/>
          <w:noProof/>
          <w:color w:val="000000" w:themeColor="text1"/>
          <w:szCs w:val="24"/>
        </w:rPr>
        <w:t>),</w:t>
      </w:r>
      <w:r w:rsidR="00665CFA" w:rsidRPr="00D23684">
        <w:rPr>
          <w:rFonts w:eastAsiaTheme="majorEastAsia" w:cs="Times New Roman"/>
          <w:noProof/>
          <w:color w:val="000000" w:themeColor="text1"/>
          <w:szCs w:val="24"/>
        </w:rPr>
        <w:t xml:space="preserve"> </w:t>
      </w:r>
      <w:r w:rsidR="00665CFA">
        <w:rPr>
          <w:rFonts w:eastAsiaTheme="majorEastAsia" w:cs="Times New Roman"/>
          <w:noProof/>
          <w:color w:val="000000" w:themeColor="text1"/>
          <w:szCs w:val="24"/>
        </w:rPr>
        <w:t>“</w:t>
      </w:r>
      <w:r w:rsidR="00B7411F">
        <w:rPr>
          <w:rFonts w:eastAsiaTheme="majorEastAsia" w:cs="Times New Roman"/>
          <w:noProof/>
          <w:color w:val="000000" w:themeColor="text1"/>
          <w:szCs w:val="24"/>
        </w:rPr>
        <w:t>Info Sheet #1: Living Wage Aotearoa New Zealand</w:t>
      </w:r>
      <w:r w:rsidR="00665CFA">
        <w:rPr>
          <w:rFonts w:eastAsiaTheme="majorEastAsia" w:cs="Times New Roman"/>
          <w:noProof/>
          <w:color w:val="000000" w:themeColor="text1"/>
          <w:szCs w:val="24"/>
        </w:rPr>
        <w:t xml:space="preserve">”, </w:t>
      </w:r>
      <w:r w:rsidR="00B7411F">
        <w:rPr>
          <w:rFonts w:eastAsiaTheme="majorEastAsia" w:cs="Times New Roman"/>
          <w:noProof/>
          <w:color w:val="000000" w:themeColor="text1"/>
          <w:szCs w:val="24"/>
        </w:rPr>
        <w:t>retrieved from</w:t>
      </w:r>
      <w:r w:rsidR="00665CFA" w:rsidRPr="00D23684">
        <w:rPr>
          <w:rFonts w:eastAsiaTheme="majorEastAsia" w:cs="Times New Roman"/>
          <w:noProof/>
          <w:color w:val="000000" w:themeColor="text1"/>
          <w:szCs w:val="24"/>
        </w:rPr>
        <w:t xml:space="preserve"> </w:t>
      </w:r>
      <w:r w:rsidR="00B7411F" w:rsidRPr="00D83A96">
        <w:rPr>
          <w:rStyle w:val="Hyperlink"/>
          <w:rFonts w:cs="Times New Roman"/>
          <w:noProof/>
        </w:rPr>
        <w:t>http://www.livingwagenz.org.nz/resources.php</w:t>
      </w:r>
      <w:r w:rsidR="00665CFA">
        <w:rPr>
          <w:rStyle w:val="Hyperlink"/>
          <w:rFonts w:eastAsiaTheme="majorEastAsia" w:cs="Times New Roman"/>
          <w:noProof/>
          <w:szCs w:val="24"/>
        </w:rPr>
        <w:t xml:space="preserve"> </w:t>
      </w:r>
      <w:r w:rsidR="00665CFA">
        <w:rPr>
          <w:rFonts w:eastAsiaTheme="majorEastAsia" w:cs="Times New Roman"/>
          <w:noProof/>
          <w:color w:val="000000" w:themeColor="text1"/>
          <w:szCs w:val="24"/>
        </w:rPr>
        <w:t xml:space="preserve">(accessed </w:t>
      </w:r>
      <w:r w:rsidR="00B7411F">
        <w:rPr>
          <w:rFonts w:eastAsiaTheme="majorEastAsia" w:cs="Times New Roman"/>
          <w:noProof/>
          <w:color w:val="000000" w:themeColor="text1"/>
          <w:szCs w:val="24"/>
        </w:rPr>
        <w:t>8 July 2013</w:t>
      </w:r>
      <w:r w:rsidR="00665CFA">
        <w:rPr>
          <w:rFonts w:eastAsiaTheme="majorEastAsia" w:cs="Times New Roman"/>
          <w:noProof/>
          <w:color w:val="000000" w:themeColor="text1"/>
          <w:szCs w:val="24"/>
        </w:rPr>
        <w:t>).</w:t>
      </w:r>
    </w:p>
    <w:p w14:paraId="40664234" w14:textId="50F9FF31" w:rsidR="00665CFA" w:rsidRDefault="00B7411F" w:rsidP="00A22B9A">
      <w:pPr>
        <w:ind w:left="426" w:hanging="437"/>
        <w:rPr>
          <w:rFonts w:cs="Times New Roman"/>
          <w:noProof/>
          <w:szCs w:val="24"/>
        </w:rPr>
      </w:pPr>
      <w:r>
        <w:rPr>
          <w:rFonts w:cs="Times New Roman"/>
          <w:noProof/>
          <w:szCs w:val="24"/>
        </w:rPr>
        <w:t>LWA</w:t>
      </w:r>
      <w:r w:rsidR="00F64EFF">
        <w:rPr>
          <w:rFonts w:cs="Times New Roman"/>
          <w:noProof/>
          <w:szCs w:val="24"/>
        </w:rPr>
        <w:t>.</w:t>
      </w:r>
      <w:r w:rsidR="00665CFA">
        <w:rPr>
          <w:rFonts w:cs="Times New Roman"/>
          <w:noProof/>
          <w:szCs w:val="24"/>
        </w:rPr>
        <w:t xml:space="preserve"> (201</w:t>
      </w:r>
      <w:r>
        <w:rPr>
          <w:rFonts w:cs="Times New Roman"/>
          <w:noProof/>
          <w:szCs w:val="24"/>
        </w:rPr>
        <w:t>2</w:t>
      </w:r>
      <w:r w:rsidR="00743A20">
        <w:rPr>
          <w:rFonts w:cs="Times New Roman"/>
          <w:noProof/>
          <w:szCs w:val="24"/>
        </w:rPr>
        <w:t>g</w:t>
      </w:r>
      <w:r w:rsidR="00665CFA">
        <w:rPr>
          <w:rFonts w:cs="Times New Roman"/>
          <w:noProof/>
          <w:szCs w:val="24"/>
        </w:rPr>
        <w:t xml:space="preserve">), </w:t>
      </w:r>
      <w:r w:rsidR="00E46098">
        <w:rPr>
          <w:rFonts w:cs="Times New Roman"/>
          <w:noProof/>
          <w:szCs w:val="24"/>
        </w:rPr>
        <w:t>“</w:t>
      </w:r>
      <w:r w:rsidRPr="00B7411F">
        <w:rPr>
          <w:rFonts w:cs="Times New Roman"/>
          <w:noProof/>
          <w:szCs w:val="24"/>
        </w:rPr>
        <w:t>Info Sheet #2: A living wage: why do we need it?</w:t>
      </w:r>
      <w:r w:rsidR="00E46098">
        <w:rPr>
          <w:rFonts w:cs="Times New Roman"/>
          <w:noProof/>
          <w:szCs w:val="24"/>
        </w:rPr>
        <w:t>”</w:t>
      </w:r>
      <w:r w:rsidR="00665CFA">
        <w:rPr>
          <w:rFonts w:cs="Times New Roman"/>
          <w:noProof/>
          <w:szCs w:val="24"/>
        </w:rPr>
        <w:t xml:space="preserve">, </w:t>
      </w:r>
      <w:r>
        <w:rPr>
          <w:rFonts w:eastAsiaTheme="majorEastAsia" w:cs="Times New Roman"/>
          <w:noProof/>
          <w:color w:val="000000" w:themeColor="text1"/>
          <w:szCs w:val="24"/>
        </w:rPr>
        <w:t>retrieved from</w:t>
      </w:r>
      <w:r w:rsidRPr="00D23684">
        <w:rPr>
          <w:rFonts w:eastAsiaTheme="majorEastAsia" w:cs="Times New Roman"/>
          <w:noProof/>
          <w:color w:val="000000" w:themeColor="text1"/>
          <w:szCs w:val="24"/>
        </w:rPr>
        <w:t xml:space="preserve"> </w:t>
      </w:r>
      <w:r w:rsidRPr="00D83A96">
        <w:rPr>
          <w:rStyle w:val="Hyperlink"/>
          <w:rFonts w:cs="Times New Roman"/>
          <w:noProof/>
        </w:rPr>
        <w:t>http://www.livingwagenz.org.nz/resources.php</w:t>
      </w:r>
      <w:r>
        <w:rPr>
          <w:rStyle w:val="Hyperlink"/>
          <w:rFonts w:eastAsiaTheme="majorEastAsia" w:cs="Times New Roman"/>
          <w:noProof/>
          <w:szCs w:val="24"/>
        </w:rPr>
        <w:t xml:space="preserve"> </w:t>
      </w:r>
      <w:r>
        <w:rPr>
          <w:rFonts w:eastAsiaTheme="majorEastAsia" w:cs="Times New Roman"/>
          <w:noProof/>
          <w:color w:val="000000" w:themeColor="text1"/>
          <w:szCs w:val="24"/>
        </w:rPr>
        <w:t>(accessed 8 July 2013).</w:t>
      </w:r>
    </w:p>
    <w:p w14:paraId="2E0697B0" w14:textId="2F0FF28C" w:rsidR="00665CFA" w:rsidRDefault="00E46098" w:rsidP="00A22B9A">
      <w:pPr>
        <w:ind w:left="426" w:hanging="437"/>
        <w:rPr>
          <w:rFonts w:cs="Times New Roman"/>
          <w:noProof/>
          <w:szCs w:val="24"/>
        </w:rPr>
      </w:pPr>
      <w:r>
        <w:rPr>
          <w:rFonts w:cs="Times New Roman"/>
          <w:noProof/>
          <w:szCs w:val="24"/>
        </w:rPr>
        <w:t>LWA</w:t>
      </w:r>
      <w:r w:rsidR="00665CFA">
        <w:rPr>
          <w:rFonts w:cs="Times New Roman"/>
          <w:noProof/>
          <w:szCs w:val="24"/>
        </w:rPr>
        <w:t>. (2013), “</w:t>
      </w:r>
      <w:r w:rsidR="00665CFA" w:rsidRPr="00D23684">
        <w:rPr>
          <w:rFonts w:cs="Times New Roman"/>
          <w:noProof/>
          <w:szCs w:val="24"/>
        </w:rPr>
        <w:t>Movemen</w:t>
      </w:r>
      <w:r w:rsidR="00665CFA">
        <w:rPr>
          <w:rFonts w:cs="Times New Roman"/>
          <w:noProof/>
          <w:szCs w:val="24"/>
        </w:rPr>
        <w:t>t welcomes Ak's step towards a living w</w:t>
      </w:r>
      <w:r w:rsidR="00665CFA" w:rsidRPr="00D23684">
        <w:rPr>
          <w:rFonts w:cs="Times New Roman"/>
          <w:noProof/>
          <w:szCs w:val="24"/>
        </w:rPr>
        <w:t>age</w:t>
      </w:r>
      <w:r w:rsidR="00665CFA">
        <w:rPr>
          <w:rFonts w:cs="Times New Roman"/>
          <w:noProof/>
          <w:szCs w:val="24"/>
        </w:rPr>
        <w:t xml:space="preserve">”, available at </w:t>
      </w:r>
      <w:hyperlink r:id="rId20" w:history="1">
        <w:r w:rsidR="00665CFA" w:rsidRPr="00D23684">
          <w:rPr>
            <w:rStyle w:val="Hyperlink"/>
            <w:rFonts w:cs="Times New Roman"/>
            <w:noProof/>
            <w:szCs w:val="24"/>
          </w:rPr>
          <w:t>http://www.scoop.co.nz/stories/AK1311/S00189/movement-welcomes-aks-step-towards-a-living-wage.htm</w:t>
        </w:r>
      </w:hyperlink>
      <w:r w:rsidR="00665CFA">
        <w:rPr>
          <w:rFonts w:cs="Times New Roman"/>
          <w:noProof/>
          <w:szCs w:val="24"/>
        </w:rPr>
        <w:t xml:space="preserve"> </w:t>
      </w:r>
      <w:r w:rsidR="00665CFA" w:rsidRPr="00D23684">
        <w:rPr>
          <w:rFonts w:cs="Times New Roman"/>
          <w:noProof/>
          <w:szCs w:val="24"/>
        </w:rPr>
        <w:t>(</w:t>
      </w:r>
      <w:r w:rsidR="00665CFA">
        <w:rPr>
          <w:rFonts w:cs="Times New Roman"/>
          <w:noProof/>
          <w:szCs w:val="24"/>
        </w:rPr>
        <w:t>accessed 2 February</w:t>
      </w:r>
      <w:r w:rsidR="00665CFA" w:rsidRPr="00D23684">
        <w:rPr>
          <w:rFonts w:cs="Times New Roman"/>
          <w:noProof/>
          <w:szCs w:val="24"/>
        </w:rPr>
        <w:t xml:space="preserve"> 2015</w:t>
      </w:r>
      <w:r w:rsidR="00665CFA">
        <w:rPr>
          <w:rFonts w:cs="Times New Roman"/>
          <w:noProof/>
          <w:szCs w:val="24"/>
        </w:rPr>
        <w:t>).</w:t>
      </w:r>
      <w:r w:rsidR="00665CFA" w:rsidRPr="00D23684">
        <w:rPr>
          <w:rFonts w:cs="Times New Roman"/>
          <w:noProof/>
          <w:szCs w:val="24"/>
        </w:rPr>
        <w:t xml:space="preserve"> </w:t>
      </w:r>
    </w:p>
    <w:p w14:paraId="316D2E2A" w14:textId="0FD6CCDA" w:rsidR="0040303F" w:rsidRDefault="0040303F" w:rsidP="00A22B9A">
      <w:pPr>
        <w:ind w:left="426" w:hanging="437"/>
        <w:rPr>
          <w:rFonts w:cs="Times New Roman"/>
          <w:noProof/>
          <w:szCs w:val="24"/>
        </w:rPr>
      </w:pPr>
      <w:r>
        <w:rPr>
          <w:rFonts w:cs="Times New Roman"/>
          <w:noProof/>
          <w:szCs w:val="24"/>
        </w:rPr>
        <w:t xml:space="preserve">LWA (n.d.). “Accredited living wage employers in NZ”, retrieved from </w:t>
      </w:r>
      <w:hyperlink r:id="rId21" w:history="1">
        <w:r w:rsidRPr="00766E2A">
          <w:rPr>
            <w:rStyle w:val="Hyperlink"/>
            <w:rFonts w:cs="Times New Roman"/>
            <w:noProof/>
            <w:szCs w:val="24"/>
          </w:rPr>
          <w:t>http://www.livingwage.org.nz/accreditedemployers</w:t>
        </w:r>
      </w:hyperlink>
      <w:r>
        <w:rPr>
          <w:rFonts w:cs="Times New Roman"/>
          <w:noProof/>
          <w:szCs w:val="24"/>
        </w:rPr>
        <w:t xml:space="preserve"> (accessed 20 March 2017)</w:t>
      </w:r>
    </w:p>
    <w:p w14:paraId="7286A3F5" w14:textId="3E7866BE" w:rsidR="00703712" w:rsidRDefault="00703712" w:rsidP="00AB0248">
      <w:pPr>
        <w:ind w:left="426" w:hanging="437"/>
        <w:rPr>
          <w:rFonts w:cs="Times New Roman"/>
          <w:noProof/>
          <w:szCs w:val="24"/>
        </w:rPr>
      </w:pPr>
      <w:r w:rsidRPr="00C651A3">
        <w:rPr>
          <w:rFonts w:cs="Times New Roman"/>
          <w:noProof/>
          <w:szCs w:val="24"/>
        </w:rPr>
        <w:t>MANZ</w:t>
      </w:r>
      <w:r w:rsidR="00FA4367" w:rsidRPr="00C651A3">
        <w:rPr>
          <w:rFonts w:cs="Times New Roman"/>
          <w:noProof/>
          <w:szCs w:val="24"/>
        </w:rPr>
        <w:t xml:space="preserve"> [Motel Association of New Zealand]</w:t>
      </w:r>
      <w:r w:rsidRPr="00C651A3">
        <w:rPr>
          <w:rFonts w:cs="Times New Roman"/>
          <w:noProof/>
          <w:szCs w:val="24"/>
        </w:rPr>
        <w:t xml:space="preserve"> (2013)</w:t>
      </w:r>
      <w:r w:rsidR="00FA4367" w:rsidRPr="00FA4367">
        <w:rPr>
          <w:rFonts w:cs="Times New Roman"/>
          <w:noProof/>
          <w:szCs w:val="24"/>
        </w:rPr>
        <w:t>, “A ‘living wage’ will cost jobs”, retrieved</w:t>
      </w:r>
      <w:r w:rsidR="00FA4367">
        <w:rPr>
          <w:rFonts w:cs="Times New Roman"/>
          <w:noProof/>
          <w:szCs w:val="24"/>
        </w:rPr>
        <w:t xml:space="preserve"> from </w:t>
      </w:r>
      <w:hyperlink r:id="rId22" w:history="1">
        <w:r w:rsidR="00FA4367" w:rsidRPr="00B23BD9">
          <w:rPr>
            <w:rStyle w:val="Hyperlink"/>
            <w:rFonts w:cs="Times New Roman"/>
            <w:noProof/>
            <w:szCs w:val="24"/>
          </w:rPr>
          <w:t>http://www.scoop.co.nz/stories/BU1309/S00148/a-living-wage-will-cost-jobs.htm</w:t>
        </w:r>
      </w:hyperlink>
      <w:r w:rsidR="00FA4367">
        <w:rPr>
          <w:rFonts w:cs="Times New Roman"/>
          <w:noProof/>
          <w:szCs w:val="24"/>
        </w:rPr>
        <w:t xml:space="preserve"> </w:t>
      </w:r>
      <w:r w:rsidR="00FA4367" w:rsidRPr="00D23684">
        <w:rPr>
          <w:rFonts w:cs="Times New Roman"/>
          <w:noProof/>
          <w:szCs w:val="24"/>
        </w:rPr>
        <w:t>(</w:t>
      </w:r>
      <w:r w:rsidR="00FA4367">
        <w:rPr>
          <w:rFonts w:cs="Times New Roman"/>
          <w:noProof/>
          <w:szCs w:val="24"/>
        </w:rPr>
        <w:t>accessed 2 February</w:t>
      </w:r>
      <w:r w:rsidR="00FA4367" w:rsidRPr="00D23684">
        <w:rPr>
          <w:rFonts w:cs="Times New Roman"/>
          <w:noProof/>
          <w:szCs w:val="24"/>
        </w:rPr>
        <w:t xml:space="preserve"> 2015</w:t>
      </w:r>
      <w:r w:rsidR="00FA4367">
        <w:rPr>
          <w:rFonts w:cs="Times New Roman"/>
          <w:noProof/>
          <w:szCs w:val="24"/>
        </w:rPr>
        <w:t>).</w:t>
      </w:r>
    </w:p>
    <w:p w14:paraId="71D8D244" w14:textId="4BBA949E" w:rsidR="00AB0248" w:rsidRPr="00AB0248" w:rsidRDefault="00AB0248" w:rsidP="00AB0248">
      <w:pPr>
        <w:ind w:left="426" w:hanging="437"/>
        <w:rPr>
          <w:rFonts w:cs="Times New Roman"/>
          <w:noProof/>
          <w:szCs w:val="24"/>
        </w:rPr>
      </w:pPr>
      <w:r w:rsidRPr="00AB0248">
        <w:rPr>
          <w:rFonts w:cs="Times New Roman"/>
          <w:noProof/>
          <w:szCs w:val="24"/>
        </w:rPr>
        <w:t>Matheson, D. (2012)</w:t>
      </w:r>
      <w:r w:rsidR="00F64EFF">
        <w:rPr>
          <w:rFonts w:cs="Times New Roman"/>
          <w:noProof/>
          <w:szCs w:val="24"/>
        </w:rPr>
        <w:t>,</w:t>
      </w:r>
      <w:r w:rsidRPr="00AB0248">
        <w:rPr>
          <w:rFonts w:cs="Times New Roman"/>
          <w:noProof/>
          <w:szCs w:val="24"/>
        </w:rPr>
        <w:t xml:space="preserve"> </w:t>
      </w:r>
      <w:r w:rsidR="00F64EFF">
        <w:rPr>
          <w:rFonts w:cs="Times New Roman"/>
          <w:noProof/>
          <w:szCs w:val="24"/>
        </w:rPr>
        <w:t>“</w:t>
      </w:r>
      <w:r w:rsidRPr="00AB0248">
        <w:rPr>
          <w:rFonts w:cs="Times New Roman"/>
          <w:noProof/>
          <w:szCs w:val="24"/>
        </w:rPr>
        <w:t>Living wage</w:t>
      </w:r>
      <w:r w:rsidR="00F64EFF">
        <w:rPr>
          <w:rFonts w:cs="Times New Roman"/>
          <w:noProof/>
          <w:szCs w:val="24"/>
        </w:rPr>
        <w:t>”</w:t>
      </w:r>
      <w:r w:rsidRPr="00AB0248">
        <w:rPr>
          <w:rFonts w:cs="Times New Roman"/>
          <w:noProof/>
          <w:szCs w:val="24"/>
        </w:rPr>
        <w:t xml:space="preserve"> [speech to Living Wage launch]. Retrieved 8 July 2013 from http://www.livingwagenz.org.nz/resources.php</w:t>
      </w:r>
    </w:p>
    <w:p w14:paraId="72E15AF9" w14:textId="188AE9B3" w:rsidR="00665CFA" w:rsidRPr="00D23684" w:rsidRDefault="00665CFA" w:rsidP="00AB0248">
      <w:pPr>
        <w:ind w:left="426" w:hanging="437"/>
        <w:rPr>
          <w:rFonts w:cs="Times New Roman"/>
          <w:noProof/>
          <w:szCs w:val="24"/>
        </w:rPr>
      </w:pPr>
      <w:r w:rsidRPr="00D23684">
        <w:rPr>
          <w:rFonts w:cs="Times New Roman"/>
          <w:noProof/>
          <w:szCs w:val="24"/>
        </w:rPr>
        <w:t>Mayman, M. (2012)</w:t>
      </w:r>
      <w:r>
        <w:rPr>
          <w:rFonts w:cs="Times New Roman"/>
          <w:noProof/>
          <w:szCs w:val="24"/>
        </w:rPr>
        <w:t>, “</w:t>
      </w:r>
      <w:r w:rsidRPr="00D23684">
        <w:rPr>
          <w:rFonts w:cs="Times New Roman"/>
          <w:noProof/>
          <w:szCs w:val="24"/>
        </w:rPr>
        <w:t>Living wage launch speech</w:t>
      </w:r>
      <w:r>
        <w:rPr>
          <w:rFonts w:cs="Times New Roman"/>
          <w:noProof/>
          <w:szCs w:val="24"/>
        </w:rPr>
        <w:t>”, available at</w:t>
      </w:r>
      <w:r w:rsidRPr="00D23684">
        <w:rPr>
          <w:rFonts w:cs="Times New Roman"/>
          <w:noProof/>
          <w:szCs w:val="24"/>
        </w:rPr>
        <w:t xml:space="preserve"> </w:t>
      </w:r>
      <w:hyperlink r:id="rId23" w:history="1">
        <w:r w:rsidRPr="00D23684">
          <w:rPr>
            <w:rStyle w:val="Hyperlink"/>
            <w:rFonts w:cs="Times New Roman"/>
            <w:noProof/>
            <w:szCs w:val="24"/>
          </w:rPr>
          <w:t>http://standrews.org.nz/social-justice/the-living-wage/</w:t>
        </w:r>
      </w:hyperlink>
      <w:r>
        <w:rPr>
          <w:rFonts w:cs="Times New Roman"/>
          <w:noProof/>
          <w:szCs w:val="24"/>
        </w:rPr>
        <w:t xml:space="preserve"> (accessed </w:t>
      </w:r>
      <w:r w:rsidRPr="00D23684">
        <w:rPr>
          <w:rFonts w:cs="Times New Roman"/>
          <w:noProof/>
          <w:szCs w:val="24"/>
        </w:rPr>
        <w:t>7 April 2016</w:t>
      </w:r>
      <w:r>
        <w:rPr>
          <w:rFonts w:cs="Times New Roman"/>
          <w:noProof/>
          <w:szCs w:val="24"/>
        </w:rPr>
        <w:t>).</w:t>
      </w:r>
    </w:p>
    <w:p w14:paraId="3D1DB752" w14:textId="4C104FA7" w:rsidR="00743A20" w:rsidRDefault="00743A20" w:rsidP="00743A20">
      <w:pPr>
        <w:ind w:left="426" w:hanging="437"/>
        <w:rPr>
          <w:rFonts w:cs="Times New Roman"/>
          <w:noProof/>
          <w:szCs w:val="24"/>
        </w:rPr>
      </w:pPr>
      <w:r>
        <w:rPr>
          <w:rFonts w:cs="Times New Roman"/>
          <w:noProof/>
          <w:szCs w:val="24"/>
        </w:rPr>
        <w:t xml:space="preserve">McPhail, K. &amp; Adams, C. (2016). “Corporate respect for human rights: meaning, scope, and the shifting order of discourse”, </w:t>
      </w:r>
      <w:r>
        <w:rPr>
          <w:rFonts w:cs="Times New Roman"/>
          <w:i/>
          <w:noProof/>
          <w:szCs w:val="24"/>
        </w:rPr>
        <w:t xml:space="preserve">Accounting, Auditing and Accountability Journal, </w:t>
      </w:r>
      <w:r>
        <w:rPr>
          <w:rFonts w:cs="Times New Roman"/>
          <w:noProof/>
          <w:szCs w:val="24"/>
        </w:rPr>
        <w:t>Vol 29 No 4, pp. 650-678.</w:t>
      </w:r>
    </w:p>
    <w:p w14:paraId="2B6A0DD5" w14:textId="5A3D81ED" w:rsidR="00665CFA" w:rsidRPr="00D23684" w:rsidRDefault="00665CFA" w:rsidP="00A22B9A">
      <w:pPr>
        <w:ind w:left="426" w:hanging="437"/>
        <w:rPr>
          <w:rFonts w:cs="Times New Roman"/>
          <w:noProof/>
          <w:szCs w:val="24"/>
        </w:rPr>
      </w:pPr>
      <w:r>
        <w:rPr>
          <w:rFonts w:cs="Times New Roman"/>
          <w:noProof/>
          <w:szCs w:val="24"/>
        </w:rPr>
        <w:t>Miller, E. (2013), “</w:t>
      </w:r>
      <w:r w:rsidRPr="00D23684">
        <w:rPr>
          <w:rFonts w:cs="Times New Roman"/>
          <w:noProof/>
          <w:szCs w:val="24"/>
        </w:rPr>
        <w:t>The costs and benefits of a living wage for Auckland City Council</w:t>
      </w:r>
      <w:r>
        <w:rPr>
          <w:rFonts w:cs="Times New Roman"/>
          <w:noProof/>
          <w:szCs w:val="24"/>
        </w:rPr>
        <w:t>”</w:t>
      </w:r>
      <w:r w:rsidRPr="00D23684">
        <w:rPr>
          <w:rFonts w:cs="Times New Roman"/>
          <w:noProof/>
          <w:szCs w:val="24"/>
        </w:rPr>
        <w:t>. Auckland Living Wage Aotearoa</w:t>
      </w:r>
      <w:r w:rsidR="00B7411F">
        <w:rPr>
          <w:rFonts w:cs="Times New Roman"/>
          <w:noProof/>
          <w:szCs w:val="24"/>
        </w:rPr>
        <w:t xml:space="preserve">, </w:t>
      </w:r>
      <w:r w:rsidR="00B7411F">
        <w:rPr>
          <w:rFonts w:eastAsiaTheme="majorEastAsia" w:cs="Times New Roman"/>
          <w:noProof/>
          <w:color w:val="000000" w:themeColor="text1"/>
          <w:szCs w:val="24"/>
        </w:rPr>
        <w:t>retrieved from</w:t>
      </w:r>
      <w:r w:rsidR="00B7411F" w:rsidRPr="00D23684">
        <w:rPr>
          <w:rFonts w:eastAsiaTheme="majorEastAsia" w:cs="Times New Roman"/>
          <w:noProof/>
          <w:color w:val="000000" w:themeColor="text1"/>
          <w:szCs w:val="24"/>
        </w:rPr>
        <w:t xml:space="preserve"> </w:t>
      </w:r>
      <w:r w:rsidR="00B7411F" w:rsidRPr="00D83A96">
        <w:rPr>
          <w:rStyle w:val="Hyperlink"/>
          <w:rFonts w:cs="Times New Roman"/>
          <w:noProof/>
        </w:rPr>
        <w:t>http://www.livingwagenz.org.nz/resources.php</w:t>
      </w:r>
      <w:r w:rsidR="00B7411F">
        <w:rPr>
          <w:rStyle w:val="Hyperlink"/>
          <w:rFonts w:eastAsiaTheme="majorEastAsia" w:cs="Times New Roman"/>
          <w:noProof/>
          <w:szCs w:val="24"/>
        </w:rPr>
        <w:t xml:space="preserve"> </w:t>
      </w:r>
      <w:r w:rsidR="00B7411F">
        <w:rPr>
          <w:rFonts w:eastAsiaTheme="majorEastAsia" w:cs="Times New Roman"/>
          <w:noProof/>
          <w:color w:val="000000" w:themeColor="text1"/>
          <w:szCs w:val="24"/>
        </w:rPr>
        <w:t>(accessed 8 July 2013).</w:t>
      </w:r>
    </w:p>
    <w:p w14:paraId="51465CE2" w14:textId="77777777" w:rsidR="007245C0" w:rsidRPr="00BC46AE" w:rsidRDefault="007245C0" w:rsidP="007245C0">
      <w:pPr>
        <w:ind w:left="284" w:hanging="284"/>
        <w:rPr>
          <w:rFonts w:cs="Times New Roman"/>
        </w:rPr>
      </w:pPr>
      <w:r w:rsidRPr="00BC46AE">
        <w:rPr>
          <w:rFonts w:cs="Times New Roman"/>
        </w:rPr>
        <w:t>Miller, P. and Rose, N. (1990), “Governing economic life”, Economy and Society, Vol. 19 No. 1, pp. 1-31.</w:t>
      </w:r>
    </w:p>
    <w:p w14:paraId="3185BDC5" w14:textId="03E73262" w:rsidR="00665CFA" w:rsidRPr="00D23684" w:rsidRDefault="00665CFA" w:rsidP="00A22B9A">
      <w:pPr>
        <w:ind w:left="426" w:hanging="437"/>
        <w:rPr>
          <w:rFonts w:eastAsiaTheme="majorEastAsia" w:cs="Times New Roman"/>
          <w:noProof/>
          <w:color w:val="000000" w:themeColor="text1"/>
          <w:szCs w:val="24"/>
        </w:rPr>
      </w:pPr>
      <w:r w:rsidRPr="00D23684">
        <w:rPr>
          <w:rFonts w:eastAsiaTheme="majorEastAsia" w:cs="Times New Roman"/>
          <w:noProof/>
          <w:color w:val="000000" w:themeColor="text1"/>
          <w:szCs w:val="24"/>
        </w:rPr>
        <w:lastRenderedPageBreak/>
        <w:t>Mohammed, A. (2015)</w:t>
      </w:r>
      <w:r>
        <w:rPr>
          <w:rFonts w:eastAsiaTheme="majorEastAsia" w:cs="Times New Roman"/>
          <w:noProof/>
          <w:color w:val="000000" w:themeColor="text1"/>
          <w:szCs w:val="24"/>
        </w:rPr>
        <w:t>, “</w:t>
      </w:r>
      <w:r w:rsidRPr="00D23684">
        <w:rPr>
          <w:rFonts w:eastAsiaTheme="majorEastAsia" w:cs="Times New Roman"/>
          <w:noProof/>
          <w:color w:val="000000" w:themeColor="text1"/>
          <w:szCs w:val="24"/>
        </w:rPr>
        <w:t>Deepening income inequality</w:t>
      </w:r>
      <w:r>
        <w:rPr>
          <w:rFonts w:eastAsiaTheme="majorEastAsia" w:cs="Times New Roman"/>
          <w:noProof/>
          <w:color w:val="000000" w:themeColor="text1"/>
          <w:szCs w:val="24"/>
        </w:rPr>
        <w:t xml:space="preserve">”, available at </w:t>
      </w:r>
      <w:hyperlink r:id="rId24" w:history="1">
        <w:r w:rsidRPr="00D23684">
          <w:rPr>
            <w:rStyle w:val="Hyperlink"/>
            <w:rFonts w:eastAsiaTheme="majorEastAsia" w:cs="Times New Roman"/>
            <w:noProof/>
            <w:szCs w:val="24"/>
          </w:rPr>
          <w:t>http://reports.weforum.org/outlook-global-agenda-2015/top-10-trends-of-2015/1-deepening-income-inequality/</w:t>
        </w:r>
      </w:hyperlink>
      <w:r>
        <w:rPr>
          <w:rStyle w:val="Hyperlink"/>
          <w:rFonts w:eastAsiaTheme="majorEastAsia" w:cs="Times New Roman"/>
          <w:noProof/>
          <w:szCs w:val="24"/>
        </w:rPr>
        <w:t xml:space="preserve"> </w:t>
      </w:r>
      <w:r>
        <w:rPr>
          <w:rFonts w:eastAsiaTheme="majorEastAsia" w:cs="Times New Roman"/>
          <w:noProof/>
          <w:color w:val="000000" w:themeColor="text1"/>
          <w:szCs w:val="24"/>
        </w:rPr>
        <w:t xml:space="preserve">(accessed </w:t>
      </w:r>
      <w:r w:rsidRPr="00D23684">
        <w:rPr>
          <w:rFonts w:eastAsiaTheme="majorEastAsia" w:cs="Times New Roman"/>
          <w:noProof/>
          <w:color w:val="000000" w:themeColor="text1"/>
          <w:szCs w:val="24"/>
        </w:rPr>
        <w:t>2 February 2016</w:t>
      </w:r>
      <w:r>
        <w:rPr>
          <w:rFonts w:eastAsiaTheme="majorEastAsia" w:cs="Times New Roman"/>
          <w:noProof/>
          <w:color w:val="000000" w:themeColor="text1"/>
          <w:szCs w:val="24"/>
        </w:rPr>
        <w:t>).</w:t>
      </w:r>
    </w:p>
    <w:p w14:paraId="654AADC5" w14:textId="716FF45D" w:rsidR="00665CFA" w:rsidRDefault="00665CFA" w:rsidP="00A22B9A">
      <w:pPr>
        <w:ind w:left="426" w:hanging="437"/>
        <w:rPr>
          <w:rFonts w:eastAsiaTheme="majorEastAsia" w:cs="Times New Roman"/>
          <w:noProof/>
          <w:color w:val="000000" w:themeColor="text1"/>
          <w:szCs w:val="24"/>
        </w:rPr>
      </w:pPr>
      <w:r w:rsidRPr="00D23684">
        <w:rPr>
          <w:rFonts w:eastAsiaTheme="majorEastAsia" w:cs="Times New Roman"/>
          <w:noProof/>
          <w:color w:val="000000" w:themeColor="text1"/>
          <w:szCs w:val="24"/>
        </w:rPr>
        <w:t>Neal, D., Govan, C., Norton, M. I., &amp; Ariely, D. (2011</w:t>
      </w:r>
      <w:r w:rsidRPr="00D23684">
        <w:rPr>
          <w:rFonts w:eastAsiaTheme="majorEastAsia" w:cs="Times New Roman"/>
          <w:i/>
          <w:noProof/>
          <w:color w:val="000000" w:themeColor="text1"/>
          <w:szCs w:val="24"/>
        </w:rPr>
        <w:t xml:space="preserve">), </w:t>
      </w:r>
      <w:r w:rsidRPr="00D23684">
        <w:rPr>
          <w:rFonts w:eastAsiaTheme="majorEastAsia" w:cs="Times New Roman"/>
          <w:noProof/>
          <w:color w:val="000000" w:themeColor="text1"/>
          <w:szCs w:val="24"/>
        </w:rPr>
        <w:t>“Australian attitudes towards wealth inequality and the minimum wage”,</w:t>
      </w:r>
      <w:r>
        <w:rPr>
          <w:rFonts w:eastAsiaTheme="majorEastAsia" w:cs="Times New Roman"/>
          <w:i/>
          <w:noProof/>
          <w:color w:val="000000" w:themeColor="text1"/>
          <w:szCs w:val="24"/>
        </w:rPr>
        <w:t xml:space="preserve"> </w:t>
      </w:r>
      <w:r w:rsidRPr="00D23684">
        <w:rPr>
          <w:rFonts w:eastAsiaTheme="majorEastAsia" w:cs="Times New Roman"/>
          <w:noProof/>
          <w:color w:val="000000" w:themeColor="text1"/>
          <w:szCs w:val="24"/>
        </w:rPr>
        <w:t>Australian Council of Trade Unions.</w:t>
      </w:r>
    </w:p>
    <w:p w14:paraId="02ADEAA4" w14:textId="3926881A" w:rsidR="00AB0248" w:rsidRPr="00D23684" w:rsidRDefault="00AB0248" w:rsidP="00E753F6">
      <w:pPr>
        <w:ind w:left="426" w:hanging="437"/>
        <w:rPr>
          <w:rFonts w:eastAsiaTheme="majorEastAsia" w:cs="Times New Roman"/>
          <w:noProof/>
          <w:color w:val="000000" w:themeColor="text1"/>
          <w:szCs w:val="24"/>
        </w:rPr>
      </w:pPr>
      <w:r w:rsidRPr="00AB0248">
        <w:rPr>
          <w:rFonts w:eastAsiaTheme="majorEastAsia" w:cs="Times New Roman"/>
          <w:noProof/>
          <w:color w:val="000000" w:themeColor="text1"/>
          <w:szCs w:val="24"/>
        </w:rPr>
        <w:t xml:space="preserve">Newman, A. (2014). </w:t>
      </w:r>
      <w:r w:rsidR="008B29C4">
        <w:rPr>
          <w:rFonts w:eastAsiaTheme="majorEastAsia" w:cs="Times New Roman"/>
          <w:noProof/>
          <w:color w:val="000000" w:themeColor="text1"/>
          <w:szCs w:val="24"/>
        </w:rPr>
        <w:t>“</w:t>
      </w:r>
      <w:r w:rsidRPr="00AB0248">
        <w:rPr>
          <w:rFonts w:eastAsiaTheme="majorEastAsia" w:cs="Times New Roman"/>
          <w:noProof/>
          <w:color w:val="000000" w:themeColor="text1"/>
          <w:szCs w:val="24"/>
        </w:rPr>
        <w:t>Precarious work and a Living Wage in our communities</w:t>
      </w:r>
      <w:r w:rsidR="008B29C4">
        <w:rPr>
          <w:rFonts w:eastAsiaTheme="majorEastAsia" w:cs="Times New Roman"/>
          <w:noProof/>
          <w:color w:val="000000" w:themeColor="text1"/>
          <w:szCs w:val="24"/>
        </w:rPr>
        <w:t>”,</w:t>
      </w:r>
      <w:r w:rsidRPr="00AB0248">
        <w:rPr>
          <w:rFonts w:eastAsiaTheme="majorEastAsia" w:cs="Times New Roman"/>
          <w:noProof/>
          <w:color w:val="000000" w:themeColor="text1"/>
          <w:szCs w:val="24"/>
        </w:rPr>
        <w:t xml:space="preserve"> </w:t>
      </w:r>
      <w:r w:rsidRPr="00F64EFF">
        <w:rPr>
          <w:rFonts w:eastAsiaTheme="majorEastAsia" w:cs="Times New Roman"/>
          <w:i/>
          <w:noProof/>
          <w:color w:val="000000" w:themeColor="text1"/>
          <w:szCs w:val="24"/>
        </w:rPr>
        <w:t xml:space="preserve">New Zealand </w:t>
      </w:r>
      <w:r w:rsidR="002B4CA3">
        <w:rPr>
          <w:rFonts w:eastAsiaTheme="majorEastAsia" w:cs="Times New Roman"/>
          <w:i/>
          <w:noProof/>
          <w:color w:val="000000" w:themeColor="text1"/>
          <w:szCs w:val="24"/>
        </w:rPr>
        <w:t>J</w:t>
      </w:r>
      <w:r w:rsidRPr="00F64EFF">
        <w:rPr>
          <w:rFonts w:eastAsiaTheme="majorEastAsia" w:cs="Times New Roman"/>
          <w:i/>
          <w:noProof/>
          <w:color w:val="000000" w:themeColor="text1"/>
          <w:szCs w:val="24"/>
        </w:rPr>
        <w:t xml:space="preserve">ournal of </w:t>
      </w:r>
      <w:r w:rsidR="002B4CA3">
        <w:rPr>
          <w:rFonts w:eastAsiaTheme="majorEastAsia" w:cs="Times New Roman"/>
          <w:i/>
          <w:noProof/>
          <w:color w:val="000000" w:themeColor="text1"/>
          <w:szCs w:val="24"/>
        </w:rPr>
        <w:t>E</w:t>
      </w:r>
      <w:r w:rsidRPr="00F64EFF">
        <w:rPr>
          <w:rFonts w:eastAsiaTheme="majorEastAsia" w:cs="Times New Roman"/>
          <w:i/>
          <w:noProof/>
          <w:color w:val="000000" w:themeColor="text1"/>
          <w:szCs w:val="24"/>
        </w:rPr>
        <w:t xml:space="preserve">mployment </w:t>
      </w:r>
      <w:r w:rsidR="002B4CA3">
        <w:rPr>
          <w:rFonts w:eastAsiaTheme="majorEastAsia" w:cs="Times New Roman"/>
          <w:i/>
          <w:noProof/>
          <w:color w:val="000000" w:themeColor="text1"/>
          <w:szCs w:val="24"/>
        </w:rPr>
        <w:t>R</w:t>
      </w:r>
      <w:r w:rsidRPr="00F64EFF">
        <w:rPr>
          <w:rFonts w:eastAsiaTheme="majorEastAsia" w:cs="Times New Roman"/>
          <w:i/>
          <w:noProof/>
          <w:color w:val="000000" w:themeColor="text1"/>
          <w:szCs w:val="24"/>
        </w:rPr>
        <w:t>elations</w:t>
      </w:r>
      <w:r w:rsidRPr="00AB0248">
        <w:rPr>
          <w:rFonts w:eastAsiaTheme="majorEastAsia" w:cs="Times New Roman"/>
          <w:noProof/>
          <w:color w:val="000000" w:themeColor="text1"/>
          <w:szCs w:val="24"/>
        </w:rPr>
        <w:t xml:space="preserve">, </w:t>
      </w:r>
      <w:r w:rsidR="008B29C4">
        <w:rPr>
          <w:rFonts w:eastAsiaTheme="majorEastAsia" w:cs="Times New Roman"/>
          <w:noProof/>
          <w:color w:val="000000" w:themeColor="text1"/>
          <w:szCs w:val="24"/>
        </w:rPr>
        <w:t xml:space="preserve">Vol. </w:t>
      </w:r>
      <w:r w:rsidRPr="00AB0248">
        <w:rPr>
          <w:rFonts w:eastAsiaTheme="majorEastAsia" w:cs="Times New Roman"/>
          <w:noProof/>
          <w:color w:val="000000" w:themeColor="text1"/>
          <w:szCs w:val="24"/>
        </w:rPr>
        <w:t>38</w:t>
      </w:r>
      <w:r w:rsidR="008B29C4">
        <w:rPr>
          <w:rFonts w:eastAsiaTheme="majorEastAsia" w:cs="Times New Roman"/>
          <w:noProof/>
          <w:color w:val="000000" w:themeColor="text1"/>
          <w:szCs w:val="24"/>
        </w:rPr>
        <w:t xml:space="preserve"> No. </w:t>
      </w:r>
      <w:r w:rsidRPr="00AB0248">
        <w:rPr>
          <w:rFonts w:eastAsiaTheme="majorEastAsia" w:cs="Times New Roman"/>
          <w:noProof/>
          <w:color w:val="000000" w:themeColor="text1"/>
          <w:szCs w:val="24"/>
        </w:rPr>
        <w:t>2</w:t>
      </w:r>
      <w:r w:rsidR="008B29C4">
        <w:rPr>
          <w:rFonts w:eastAsiaTheme="majorEastAsia" w:cs="Times New Roman"/>
          <w:noProof/>
          <w:color w:val="000000" w:themeColor="text1"/>
          <w:szCs w:val="24"/>
        </w:rPr>
        <w:t>, pp.</w:t>
      </w:r>
      <w:r w:rsidRPr="00AB0248">
        <w:rPr>
          <w:rFonts w:eastAsiaTheme="majorEastAsia" w:cs="Times New Roman"/>
          <w:noProof/>
          <w:color w:val="000000" w:themeColor="text1"/>
          <w:szCs w:val="24"/>
        </w:rPr>
        <w:t xml:space="preserve"> 64</w:t>
      </w:r>
      <w:r w:rsidR="008B29C4">
        <w:rPr>
          <w:rFonts w:eastAsiaTheme="majorEastAsia" w:cs="Times New Roman"/>
          <w:noProof/>
          <w:color w:val="000000" w:themeColor="text1"/>
          <w:szCs w:val="24"/>
        </w:rPr>
        <w:t>-69</w:t>
      </w:r>
      <w:r w:rsidRPr="00AB0248">
        <w:rPr>
          <w:rFonts w:eastAsiaTheme="majorEastAsia" w:cs="Times New Roman"/>
          <w:noProof/>
          <w:color w:val="000000" w:themeColor="text1"/>
          <w:szCs w:val="24"/>
        </w:rPr>
        <w:t>.</w:t>
      </w:r>
    </w:p>
    <w:p w14:paraId="46D82206" w14:textId="77777777" w:rsidR="001010FA" w:rsidRPr="00BE6203" w:rsidRDefault="001010FA" w:rsidP="00E753F6">
      <w:pPr>
        <w:ind w:left="720" w:hanging="720"/>
        <w:rPr>
          <w:rFonts w:cs="Times New Roman"/>
          <w:noProof/>
        </w:rPr>
      </w:pPr>
      <w:bookmarkStart w:id="9" w:name="_ENREF_41"/>
      <w:r w:rsidRPr="00BE6203">
        <w:rPr>
          <w:rFonts w:cs="Times New Roman"/>
          <w:noProof/>
        </w:rPr>
        <w:t xml:space="preserve">New Zealand Legislation. (2015). Employment Relations Act 2000. Retrieved from </w:t>
      </w:r>
      <w:r w:rsidRPr="0002630E">
        <w:rPr>
          <w:rFonts w:cs="Times New Roman"/>
          <w:noProof/>
          <w:szCs w:val="24"/>
        </w:rPr>
        <w:t>http://www.legislation.govt.nz/act/public/2000/0024/latest/DLM58322.html</w:t>
      </w:r>
      <w:bookmarkEnd w:id="9"/>
    </w:p>
    <w:p w14:paraId="006832CC" w14:textId="0D3F74A1" w:rsidR="00AB0248" w:rsidRDefault="00AB0248" w:rsidP="00E753F6">
      <w:pPr>
        <w:ind w:left="426" w:hanging="437"/>
        <w:rPr>
          <w:rFonts w:cs="Times New Roman"/>
          <w:noProof/>
          <w:szCs w:val="24"/>
        </w:rPr>
      </w:pPr>
      <w:r w:rsidRPr="00AB0248">
        <w:rPr>
          <w:rFonts w:cs="Times New Roman"/>
          <w:noProof/>
          <w:szCs w:val="24"/>
        </w:rPr>
        <w:t xml:space="preserve">NZPD [New Zealand Parliamentary Debates] (Various). Retrieved from </w:t>
      </w:r>
      <w:hyperlink r:id="rId25" w:history="1">
        <w:r w:rsidRPr="00EF74A4">
          <w:rPr>
            <w:rStyle w:val="Hyperlink"/>
            <w:rFonts w:cs="Times New Roman"/>
            <w:noProof/>
            <w:szCs w:val="24"/>
          </w:rPr>
          <w:t>http://www.parliament.nz/en-nz/pb/debates/debates</w:t>
        </w:r>
      </w:hyperlink>
      <w:r w:rsidR="002B4CA3">
        <w:rPr>
          <w:rFonts w:cs="Times New Roman"/>
          <w:noProof/>
          <w:szCs w:val="24"/>
        </w:rPr>
        <w:t xml:space="preserve"> </w:t>
      </w:r>
    </w:p>
    <w:p w14:paraId="7CF94F2E" w14:textId="38717521" w:rsidR="00665CFA" w:rsidRDefault="00665CFA" w:rsidP="00A22B9A">
      <w:pPr>
        <w:ind w:left="426" w:hanging="437"/>
        <w:rPr>
          <w:rFonts w:cs="Times New Roman"/>
          <w:noProof/>
          <w:szCs w:val="24"/>
        </w:rPr>
      </w:pPr>
      <w:r>
        <w:rPr>
          <w:rFonts w:cs="Times New Roman"/>
          <w:noProof/>
          <w:szCs w:val="24"/>
        </w:rPr>
        <w:t>NZTU [</w:t>
      </w:r>
      <w:r w:rsidRPr="00D23684">
        <w:rPr>
          <w:rFonts w:cs="Times New Roman"/>
          <w:noProof/>
          <w:szCs w:val="24"/>
        </w:rPr>
        <w:t>New Zealand T</w:t>
      </w:r>
      <w:r>
        <w:rPr>
          <w:rFonts w:cs="Times New Roman"/>
          <w:noProof/>
          <w:szCs w:val="24"/>
        </w:rPr>
        <w:t>axpayers' Union]. (2013), “</w:t>
      </w:r>
      <w:r w:rsidRPr="00D23684">
        <w:rPr>
          <w:rFonts w:cs="Times New Roman"/>
          <w:noProof/>
          <w:szCs w:val="24"/>
        </w:rPr>
        <w:t xml:space="preserve">Living </w:t>
      </w:r>
      <w:r>
        <w:rPr>
          <w:rFonts w:cs="Times New Roman"/>
          <w:noProof/>
          <w:szCs w:val="24"/>
        </w:rPr>
        <w:t>w</w:t>
      </w:r>
      <w:r w:rsidRPr="00D23684">
        <w:rPr>
          <w:rFonts w:cs="Times New Roman"/>
          <w:noProof/>
          <w:szCs w:val="24"/>
        </w:rPr>
        <w:t>age - higher costs, less diversity, job losses?</w:t>
      </w:r>
      <w:r>
        <w:rPr>
          <w:rFonts w:cs="Times New Roman"/>
          <w:noProof/>
          <w:szCs w:val="24"/>
        </w:rPr>
        <w:t xml:space="preserve">”, available at </w:t>
      </w:r>
      <w:hyperlink r:id="rId26" w:history="1">
        <w:r w:rsidRPr="00D23684">
          <w:rPr>
            <w:rStyle w:val="Hyperlink"/>
            <w:rFonts w:cs="Times New Roman"/>
            <w:noProof/>
            <w:szCs w:val="24"/>
          </w:rPr>
          <w:t>http://www.taxpayers.org.nz/living_wage_higher_costs_less_diversity_job_losses</w:t>
        </w:r>
      </w:hyperlink>
      <w:r>
        <w:rPr>
          <w:rStyle w:val="Hyperlink"/>
          <w:rFonts w:cs="Times New Roman"/>
          <w:noProof/>
          <w:szCs w:val="24"/>
        </w:rPr>
        <w:t xml:space="preserve"> </w:t>
      </w:r>
      <w:r>
        <w:rPr>
          <w:rFonts w:cs="Times New Roman"/>
          <w:noProof/>
          <w:szCs w:val="24"/>
        </w:rPr>
        <w:t>(accessed</w:t>
      </w:r>
      <w:r w:rsidRPr="00D23684">
        <w:rPr>
          <w:rFonts w:cs="Times New Roman"/>
          <w:noProof/>
          <w:szCs w:val="24"/>
        </w:rPr>
        <w:t xml:space="preserve"> 5 March 2016</w:t>
      </w:r>
      <w:r>
        <w:rPr>
          <w:rFonts w:cs="Times New Roman"/>
          <w:noProof/>
          <w:szCs w:val="24"/>
        </w:rPr>
        <w:t>).</w:t>
      </w:r>
    </w:p>
    <w:p w14:paraId="035F9824" w14:textId="77777777" w:rsidR="00665CFA" w:rsidRPr="00D23684" w:rsidRDefault="00665CFA" w:rsidP="00A22B9A">
      <w:pPr>
        <w:ind w:left="426" w:hanging="437"/>
        <w:rPr>
          <w:rFonts w:cs="Times New Roman"/>
          <w:noProof/>
          <w:szCs w:val="24"/>
        </w:rPr>
      </w:pPr>
      <w:r w:rsidRPr="00D23684">
        <w:rPr>
          <w:rFonts w:cs="Times New Roman"/>
          <w:noProof/>
          <w:szCs w:val="24"/>
        </w:rPr>
        <w:t>O'Reilly, P. (2013)</w:t>
      </w:r>
      <w:r>
        <w:rPr>
          <w:rFonts w:cs="Times New Roman"/>
          <w:noProof/>
          <w:szCs w:val="24"/>
        </w:rPr>
        <w:t>, “W</w:t>
      </w:r>
      <w:r w:rsidRPr="00D23684">
        <w:rPr>
          <w:rFonts w:cs="Times New Roman"/>
          <w:noProof/>
          <w:szCs w:val="24"/>
        </w:rPr>
        <w:t>ages are based on work, not size of family</w:t>
      </w:r>
      <w:r>
        <w:rPr>
          <w:rFonts w:cs="Times New Roman"/>
          <w:noProof/>
          <w:szCs w:val="24"/>
        </w:rPr>
        <w:t xml:space="preserve">”, available at  </w:t>
      </w:r>
      <w:hyperlink r:id="rId27" w:history="1">
        <w:r w:rsidRPr="00D23684">
          <w:rPr>
            <w:rStyle w:val="Hyperlink"/>
            <w:rFonts w:cs="Times New Roman"/>
            <w:noProof/>
            <w:szCs w:val="24"/>
          </w:rPr>
          <w:t>http://www.stuff.co.nz/dominion-post/comment/columnists/8975226/Wages-are-based-on-work-not-size-of-family</w:t>
        </w:r>
      </w:hyperlink>
      <w:r>
        <w:rPr>
          <w:rStyle w:val="Hyperlink"/>
          <w:rFonts w:cs="Times New Roman"/>
          <w:noProof/>
          <w:szCs w:val="24"/>
        </w:rPr>
        <w:t xml:space="preserve"> </w:t>
      </w:r>
      <w:r>
        <w:rPr>
          <w:rFonts w:cs="Times New Roman"/>
          <w:noProof/>
          <w:szCs w:val="24"/>
        </w:rPr>
        <w:t xml:space="preserve">(accessed 19 </w:t>
      </w:r>
      <w:r w:rsidRPr="00D23684">
        <w:rPr>
          <w:rFonts w:cs="Times New Roman"/>
          <w:noProof/>
          <w:szCs w:val="24"/>
        </w:rPr>
        <w:t>December</w:t>
      </w:r>
      <w:r>
        <w:rPr>
          <w:rFonts w:cs="Times New Roman"/>
          <w:noProof/>
          <w:szCs w:val="24"/>
        </w:rPr>
        <w:t xml:space="preserve"> 2014).</w:t>
      </w:r>
    </w:p>
    <w:p w14:paraId="055C5D72" w14:textId="36A00826" w:rsidR="00665CFA" w:rsidRPr="00D23684" w:rsidRDefault="00665CFA" w:rsidP="00A22B9A">
      <w:pPr>
        <w:ind w:left="426" w:hanging="437"/>
        <w:rPr>
          <w:rFonts w:eastAsiaTheme="majorEastAsia" w:cs="Times New Roman"/>
          <w:noProof/>
          <w:color w:val="000000" w:themeColor="text1"/>
          <w:szCs w:val="24"/>
        </w:rPr>
      </w:pPr>
      <w:r>
        <w:rPr>
          <w:rFonts w:eastAsiaTheme="majorEastAsia" w:cs="Times New Roman"/>
          <w:noProof/>
          <w:color w:val="000000" w:themeColor="text1"/>
          <w:szCs w:val="24"/>
        </w:rPr>
        <w:t xml:space="preserve">OECD. (2008), </w:t>
      </w:r>
      <w:r w:rsidRPr="00195D69">
        <w:rPr>
          <w:rFonts w:eastAsiaTheme="majorEastAsia" w:cs="Times New Roman"/>
          <w:i/>
          <w:noProof/>
          <w:color w:val="000000" w:themeColor="text1"/>
          <w:szCs w:val="24"/>
        </w:rPr>
        <w:t>Growing Unequal: income distribution and poverty in OECD countries,</w:t>
      </w:r>
      <w:r>
        <w:rPr>
          <w:rFonts w:eastAsiaTheme="majorEastAsia" w:cs="Times New Roman"/>
          <w:noProof/>
          <w:color w:val="000000" w:themeColor="text1"/>
          <w:szCs w:val="24"/>
        </w:rPr>
        <w:t xml:space="preserve">  </w:t>
      </w:r>
      <w:r w:rsidRPr="00D23684">
        <w:rPr>
          <w:rFonts w:eastAsiaTheme="majorEastAsia" w:cs="Times New Roman"/>
          <w:noProof/>
          <w:color w:val="000000" w:themeColor="text1"/>
          <w:szCs w:val="24"/>
        </w:rPr>
        <w:t>OECD</w:t>
      </w:r>
      <w:r>
        <w:rPr>
          <w:rFonts w:eastAsiaTheme="majorEastAsia" w:cs="Times New Roman"/>
          <w:noProof/>
          <w:color w:val="000000" w:themeColor="text1"/>
          <w:szCs w:val="24"/>
        </w:rPr>
        <w:t>: Paris, France.</w:t>
      </w:r>
    </w:p>
    <w:p w14:paraId="4F75555A" w14:textId="77777777" w:rsidR="00743A20" w:rsidRDefault="00743A20" w:rsidP="00743A20">
      <w:pPr>
        <w:ind w:left="426" w:hanging="437"/>
        <w:rPr>
          <w:rFonts w:eastAsiaTheme="majorEastAsia" w:cs="Times New Roman"/>
          <w:noProof/>
          <w:color w:val="000000" w:themeColor="text1"/>
          <w:szCs w:val="24"/>
        </w:rPr>
      </w:pPr>
      <w:r>
        <w:rPr>
          <w:rFonts w:eastAsiaTheme="majorEastAsia" w:cs="Times New Roman"/>
          <w:noProof/>
          <w:color w:val="000000" w:themeColor="text1"/>
          <w:szCs w:val="24"/>
        </w:rPr>
        <w:t xml:space="preserve">OECD. (2011a), </w:t>
      </w:r>
      <w:r w:rsidRPr="00DF3E93">
        <w:rPr>
          <w:rFonts w:eastAsiaTheme="majorEastAsia" w:cs="Times New Roman"/>
          <w:i/>
          <w:noProof/>
          <w:color w:val="000000" w:themeColor="text1"/>
          <w:szCs w:val="24"/>
        </w:rPr>
        <w:t>An overview of growing income inequalities in OECD countries: main findings</w:t>
      </w:r>
      <w:r w:rsidRPr="0084330A">
        <w:rPr>
          <w:rFonts w:eastAsiaTheme="majorEastAsia" w:cs="Times New Roman"/>
          <w:noProof/>
          <w:color w:val="000000" w:themeColor="text1"/>
          <w:szCs w:val="24"/>
        </w:rPr>
        <w:t>,</w:t>
      </w:r>
      <w:r w:rsidRPr="00195D69">
        <w:rPr>
          <w:rFonts w:eastAsiaTheme="majorEastAsia" w:cs="Times New Roman"/>
          <w:i/>
          <w:noProof/>
          <w:color w:val="000000" w:themeColor="text1"/>
          <w:szCs w:val="24"/>
        </w:rPr>
        <w:t xml:space="preserve"> </w:t>
      </w:r>
      <w:r w:rsidRPr="00D23684">
        <w:rPr>
          <w:rFonts w:eastAsiaTheme="majorEastAsia" w:cs="Times New Roman"/>
          <w:noProof/>
          <w:color w:val="000000" w:themeColor="text1"/>
          <w:szCs w:val="24"/>
        </w:rPr>
        <w:t>OECD</w:t>
      </w:r>
      <w:r>
        <w:rPr>
          <w:rFonts w:eastAsiaTheme="majorEastAsia" w:cs="Times New Roman"/>
          <w:noProof/>
          <w:color w:val="000000" w:themeColor="text1"/>
          <w:szCs w:val="24"/>
        </w:rPr>
        <w:t>: Paris, France.</w:t>
      </w:r>
    </w:p>
    <w:p w14:paraId="43799304" w14:textId="23DCD8AE" w:rsidR="00665CFA" w:rsidRPr="00D23684" w:rsidRDefault="00665CFA" w:rsidP="00A22B9A">
      <w:pPr>
        <w:ind w:left="426" w:hanging="437"/>
        <w:rPr>
          <w:rFonts w:eastAsiaTheme="majorEastAsia" w:cs="Times New Roman"/>
          <w:noProof/>
          <w:color w:val="000000" w:themeColor="text1"/>
          <w:szCs w:val="24"/>
        </w:rPr>
      </w:pPr>
      <w:r>
        <w:rPr>
          <w:rFonts w:eastAsiaTheme="majorEastAsia" w:cs="Times New Roman"/>
          <w:noProof/>
          <w:color w:val="000000" w:themeColor="text1"/>
          <w:szCs w:val="24"/>
        </w:rPr>
        <w:t>OECD. (2011</w:t>
      </w:r>
      <w:r w:rsidR="00743A20">
        <w:rPr>
          <w:rFonts w:eastAsiaTheme="majorEastAsia" w:cs="Times New Roman"/>
          <w:noProof/>
          <w:color w:val="000000" w:themeColor="text1"/>
          <w:szCs w:val="24"/>
        </w:rPr>
        <w:t>b</w:t>
      </w:r>
      <w:r>
        <w:rPr>
          <w:rFonts w:eastAsiaTheme="majorEastAsia" w:cs="Times New Roman"/>
          <w:noProof/>
          <w:color w:val="000000" w:themeColor="text1"/>
          <w:szCs w:val="24"/>
        </w:rPr>
        <w:t xml:space="preserve">), </w:t>
      </w:r>
      <w:r w:rsidRPr="00DF3E93">
        <w:rPr>
          <w:rFonts w:eastAsiaTheme="majorEastAsia" w:cs="Times New Roman"/>
          <w:i/>
          <w:noProof/>
          <w:color w:val="000000" w:themeColor="text1"/>
          <w:szCs w:val="24"/>
        </w:rPr>
        <w:t>Divided we stand: why inequality keeps rising,</w:t>
      </w:r>
      <w:r>
        <w:rPr>
          <w:rFonts w:eastAsiaTheme="majorEastAsia" w:cs="Times New Roman"/>
          <w:noProof/>
          <w:color w:val="000000" w:themeColor="text1"/>
          <w:szCs w:val="24"/>
        </w:rPr>
        <w:t xml:space="preserve"> </w:t>
      </w:r>
      <w:r w:rsidRPr="00D23684">
        <w:rPr>
          <w:rFonts w:eastAsiaTheme="majorEastAsia" w:cs="Times New Roman"/>
          <w:noProof/>
          <w:color w:val="000000" w:themeColor="text1"/>
          <w:szCs w:val="24"/>
        </w:rPr>
        <w:t>OECD</w:t>
      </w:r>
      <w:r>
        <w:rPr>
          <w:rFonts w:eastAsiaTheme="majorEastAsia" w:cs="Times New Roman"/>
          <w:noProof/>
          <w:color w:val="000000" w:themeColor="text1"/>
          <w:szCs w:val="24"/>
        </w:rPr>
        <w:t>: Paris, France.</w:t>
      </w:r>
    </w:p>
    <w:p w14:paraId="41EBE818" w14:textId="77777777" w:rsidR="00665CFA" w:rsidRDefault="00665CFA" w:rsidP="00A22B9A">
      <w:pPr>
        <w:ind w:left="426" w:hanging="437"/>
        <w:rPr>
          <w:rFonts w:eastAsiaTheme="majorEastAsia" w:cs="Times New Roman"/>
          <w:noProof/>
          <w:color w:val="000000" w:themeColor="text1"/>
          <w:szCs w:val="24"/>
        </w:rPr>
      </w:pPr>
      <w:r w:rsidRPr="00D23684">
        <w:rPr>
          <w:rFonts w:eastAsiaTheme="majorEastAsia" w:cs="Times New Roman"/>
          <w:noProof/>
          <w:color w:val="000000" w:themeColor="text1"/>
          <w:szCs w:val="24"/>
        </w:rPr>
        <w:t>Ostry, J. D., &amp; Berg, A. (2011</w:t>
      </w:r>
      <w:r w:rsidRPr="00195D69">
        <w:rPr>
          <w:rFonts w:eastAsiaTheme="majorEastAsia" w:cs="Times New Roman"/>
          <w:noProof/>
          <w:color w:val="000000" w:themeColor="text1"/>
          <w:szCs w:val="24"/>
        </w:rPr>
        <w:t>), “Inequality and unsustainable growth; Two sides of the same coin?”,</w:t>
      </w:r>
      <w:r>
        <w:rPr>
          <w:rFonts w:eastAsiaTheme="majorEastAsia" w:cs="Times New Roman"/>
          <w:i/>
          <w:noProof/>
          <w:color w:val="000000" w:themeColor="text1"/>
          <w:szCs w:val="24"/>
        </w:rPr>
        <w:t xml:space="preserve"> </w:t>
      </w:r>
      <w:r>
        <w:rPr>
          <w:rFonts w:eastAsiaTheme="majorEastAsia" w:cs="Times New Roman"/>
          <w:noProof/>
          <w:color w:val="000000" w:themeColor="text1"/>
          <w:szCs w:val="24"/>
        </w:rPr>
        <w:t xml:space="preserve">available at </w:t>
      </w:r>
      <w:hyperlink r:id="rId28" w:history="1">
        <w:r w:rsidRPr="00D23684">
          <w:rPr>
            <w:rStyle w:val="Hyperlink"/>
            <w:rFonts w:eastAsiaTheme="majorEastAsia" w:cs="Times New Roman"/>
            <w:noProof/>
            <w:szCs w:val="24"/>
          </w:rPr>
          <w:t>http://www.imf.org/external/pubs/ft/sdn/2011/sdn1108.pdf</w:t>
        </w:r>
      </w:hyperlink>
      <w:r>
        <w:rPr>
          <w:rFonts w:eastAsiaTheme="majorEastAsia" w:cs="Times New Roman"/>
          <w:noProof/>
          <w:color w:val="000000" w:themeColor="text1"/>
          <w:szCs w:val="24"/>
        </w:rPr>
        <w:t xml:space="preserve"> (accessed 15 April 2016). </w:t>
      </w:r>
    </w:p>
    <w:p w14:paraId="1233C460" w14:textId="77777777" w:rsidR="00665CFA" w:rsidRPr="00D23684" w:rsidRDefault="00665CFA" w:rsidP="00A22B9A">
      <w:pPr>
        <w:ind w:left="426" w:hanging="437"/>
        <w:rPr>
          <w:rFonts w:eastAsiaTheme="majorEastAsia" w:cs="Times New Roman"/>
          <w:noProof/>
          <w:color w:val="000000" w:themeColor="text1"/>
          <w:szCs w:val="24"/>
        </w:rPr>
      </w:pPr>
      <w:r w:rsidRPr="00D23684">
        <w:rPr>
          <w:rFonts w:eastAsiaTheme="majorEastAsia" w:cs="Times New Roman"/>
          <w:noProof/>
          <w:color w:val="000000" w:themeColor="text1"/>
          <w:szCs w:val="24"/>
        </w:rPr>
        <w:t>Patriotta, G., Go</w:t>
      </w:r>
      <w:r>
        <w:rPr>
          <w:rFonts w:eastAsiaTheme="majorEastAsia" w:cs="Times New Roman"/>
          <w:noProof/>
          <w:color w:val="000000" w:themeColor="text1"/>
          <w:szCs w:val="24"/>
        </w:rPr>
        <w:t>nd, J. P., &amp; Schultz, F. (2011), “</w:t>
      </w:r>
      <w:r w:rsidRPr="00D23684">
        <w:rPr>
          <w:rFonts w:eastAsiaTheme="majorEastAsia" w:cs="Times New Roman"/>
          <w:noProof/>
          <w:color w:val="000000" w:themeColor="text1"/>
          <w:szCs w:val="24"/>
        </w:rPr>
        <w:t>Maintaining legitimacy: Controversies, orders of worth, and public justifications</w:t>
      </w:r>
      <w:r>
        <w:rPr>
          <w:rFonts w:eastAsiaTheme="majorEastAsia" w:cs="Times New Roman"/>
          <w:noProof/>
          <w:color w:val="000000" w:themeColor="text1"/>
          <w:szCs w:val="24"/>
        </w:rPr>
        <w:t xml:space="preserve">”, </w:t>
      </w:r>
      <w:r w:rsidRPr="00D23684">
        <w:rPr>
          <w:rFonts w:eastAsiaTheme="majorEastAsia" w:cs="Times New Roman"/>
          <w:i/>
          <w:noProof/>
          <w:color w:val="000000" w:themeColor="text1"/>
          <w:szCs w:val="24"/>
        </w:rPr>
        <w:t xml:space="preserve">Journal of Management Studies, </w:t>
      </w:r>
      <w:r>
        <w:rPr>
          <w:rFonts w:eastAsiaTheme="majorEastAsia" w:cs="Times New Roman"/>
          <w:noProof/>
          <w:color w:val="000000" w:themeColor="text1"/>
          <w:szCs w:val="24"/>
        </w:rPr>
        <w:t xml:space="preserve">Vol 48 No </w:t>
      </w:r>
      <w:r w:rsidRPr="00D23684">
        <w:rPr>
          <w:rFonts w:eastAsiaTheme="majorEastAsia" w:cs="Times New Roman"/>
          <w:noProof/>
          <w:color w:val="000000" w:themeColor="text1"/>
          <w:szCs w:val="24"/>
        </w:rPr>
        <w:t xml:space="preserve">8, </w:t>
      </w:r>
      <w:r>
        <w:rPr>
          <w:rFonts w:eastAsiaTheme="majorEastAsia" w:cs="Times New Roman"/>
          <w:noProof/>
          <w:color w:val="000000" w:themeColor="text1"/>
          <w:szCs w:val="24"/>
        </w:rPr>
        <w:t>pp.</w:t>
      </w:r>
      <w:r w:rsidRPr="00D23684">
        <w:rPr>
          <w:rFonts w:eastAsiaTheme="majorEastAsia" w:cs="Times New Roman"/>
          <w:noProof/>
          <w:color w:val="000000" w:themeColor="text1"/>
          <w:szCs w:val="24"/>
        </w:rPr>
        <w:t>1804-1836.</w:t>
      </w:r>
    </w:p>
    <w:p w14:paraId="670160AD" w14:textId="289AE9ED" w:rsidR="00665CFA" w:rsidRDefault="00665CFA" w:rsidP="00A22B9A">
      <w:pPr>
        <w:ind w:left="426" w:hanging="437"/>
        <w:rPr>
          <w:rFonts w:eastAsiaTheme="majorEastAsia" w:cs="Times New Roman"/>
          <w:noProof/>
          <w:color w:val="000000" w:themeColor="text1"/>
          <w:szCs w:val="24"/>
        </w:rPr>
      </w:pPr>
      <w:r>
        <w:rPr>
          <w:rFonts w:eastAsiaTheme="majorEastAsia" w:cs="Times New Roman"/>
          <w:noProof/>
          <w:color w:val="000000" w:themeColor="text1"/>
          <w:szCs w:val="24"/>
        </w:rPr>
        <w:t>Perry, B. (2015</w:t>
      </w:r>
      <w:r w:rsidRPr="00195D69">
        <w:rPr>
          <w:rFonts w:eastAsiaTheme="majorEastAsia" w:cs="Times New Roman"/>
          <w:noProof/>
          <w:color w:val="000000" w:themeColor="text1"/>
          <w:szCs w:val="24"/>
        </w:rPr>
        <w:t>), “Household incomes in New Zealand: Trends in indicators of inequality and hardship 1982 to 201</w:t>
      </w:r>
      <w:r>
        <w:rPr>
          <w:rFonts w:eastAsiaTheme="majorEastAsia" w:cs="Times New Roman"/>
          <w:noProof/>
          <w:color w:val="000000" w:themeColor="text1"/>
          <w:szCs w:val="24"/>
        </w:rPr>
        <w:t>4</w:t>
      </w:r>
      <w:r w:rsidRPr="00195D69">
        <w:rPr>
          <w:rFonts w:eastAsiaTheme="majorEastAsia" w:cs="Times New Roman"/>
          <w:noProof/>
          <w:color w:val="000000" w:themeColor="text1"/>
          <w:szCs w:val="24"/>
        </w:rPr>
        <w:t>”,</w:t>
      </w:r>
      <w:r>
        <w:rPr>
          <w:rFonts w:eastAsiaTheme="majorEastAsia" w:cs="Times New Roman"/>
          <w:i/>
          <w:noProof/>
          <w:color w:val="000000" w:themeColor="text1"/>
          <w:szCs w:val="24"/>
        </w:rPr>
        <w:t xml:space="preserve"> </w:t>
      </w:r>
      <w:r w:rsidRPr="00D23684">
        <w:rPr>
          <w:rFonts w:eastAsiaTheme="majorEastAsia" w:cs="Times New Roman"/>
          <w:noProof/>
          <w:color w:val="000000" w:themeColor="text1"/>
          <w:szCs w:val="24"/>
        </w:rPr>
        <w:t>Ministry of Social Development</w:t>
      </w:r>
      <w:r>
        <w:rPr>
          <w:rFonts w:eastAsiaTheme="majorEastAsia" w:cs="Times New Roman"/>
          <w:noProof/>
          <w:color w:val="000000" w:themeColor="text1"/>
          <w:szCs w:val="24"/>
        </w:rPr>
        <w:t>: Wellington, New Zealand</w:t>
      </w:r>
      <w:r w:rsidRPr="00D23684">
        <w:rPr>
          <w:rFonts w:eastAsiaTheme="majorEastAsia" w:cs="Times New Roman"/>
          <w:noProof/>
          <w:color w:val="000000" w:themeColor="text1"/>
          <w:szCs w:val="24"/>
        </w:rPr>
        <w:t>.</w:t>
      </w:r>
    </w:p>
    <w:p w14:paraId="3AE6C9D4" w14:textId="77777777" w:rsidR="00665CFA" w:rsidRPr="008F4393" w:rsidRDefault="00665CFA" w:rsidP="00A22B9A">
      <w:pPr>
        <w:ind w:left="720" w:hanging="720"/>
        <w:rPr>
          <w:rFonts w:eastAsiaTheme="majorEastAsia" w:cs="Times New Roman"/>
          <w:noProof/>
          <w:color w:val="000000" w:themeColor="text1"/>
          <w:szCs w:val="24"/>
        </w:rPr>
      </w:pPr>
      <w:r>
        <w:rPr>
          <w:rFonts w:eastAsiaTheme="majorEastAsia" w:cs="Times New Roman"/>
          <w:noProof/>
          <w:color w:val="000000" w:themeColor="text1"/>
          <w:szCs w:val="24"/>
        </w:rPr>
        <w:t xml:space="preserve">Piketty, T. (2014), </w:t>
      </w:r>
      <w:r w:rsidRPr="008F4393">
        <w:rPr>
          <w:rFonts w:eastAsiaTheme="majorEastAsia" w:cs="Times New Roman"/>
          <w:i/>
          <w:noProof/>
          <w:color w:val="000000" w:themeColor="text1"/>
          <w:szCs w:val="24"/>
        </w:rPr>
        <w:t>Capital in theTwenty-First Century.</w:t>
      </w:r>
      <w:r w:rsidRPr="008F4393">
        <w:rPr>
          <w:rFonts w:eastAsiaTheme="majorEastAsia" w:cs="Times New Roman"/>
          <w:noProof/>
          <w:color w:val="000000" w:themeColor="text1"/>
          <w:szCs w:val="24"/>
        </w:rPr>
        <w:t xml:space="preserve"> The Belknap Press of Harvard University Press</w:t>
      </w:r>
      <w:r>
        <w:rPr>
          <w:rFonts w:eastAsiaTheme="majorEastAsia" w:cs="Times New Roman"/>
          <w:noProof/>
          <w:color w:val="000000" w:themeColor="text1"/>
          <w:szCs w:val="24"/>
        </w:rPr>
        <w:t>: Cambridge, MA</w:t>
      </w:r>
      <w:r w:rsidRPr="008F4393">
        <w:rPr>
          <w:rFonts w:eastAsiaTheme="majorEastAsia" w:cs="Times New Roman"/>
          <w:noProof/>
          <w:color w:val="000000" w:themeColor="text1"/>
          <w:szCs w:val="24"/>
        </w:rPr>
        <w:t>.</w:t>
      </w:r>
    </w:p>
    <w:p w14:paraId="42D9A2F5" w14:textId="77777777" w:rsidR="00665CFA" w:rsidRPr="00D23684" w:rsidRDefault="00665CFA" w:rsidP="00E753F6">
      <w:pPr>
        <w:ind w:left="426" w:hanging="437"/>
        <w:rPr>
          <w:rFonts w:eastAsiaTheme="majorEastAsia" w:cs="Times New Roman"/>
          <w:noProof/>
          <w:color w:val="000000" w:themeColor="text1"/>
          <w:szCs w:val="24"/>
        </w:rPr>
      </w:pPr>
      <w:r>
        <w:rPr>
          <w:rFonts w:eastAsiaTheme="majorEastAsia" w:cs="Times New Roman"/>
          <w:noProof/>
          <w:color w:val="000000" w:themeColor="text1"/>
          <w:szCs w:val="24"/>
        </w:rPr>
        <w:lastRenderedPageBreak/>
        <w:t xml:space="preserve">Piketty, T., &amp; Saez, E. (2006), </w:t>
      </w:r>
      <w:r w:rsidRPr="00195D69">
        <w:rPr>
          <w:rFonts w:eastAsiaTheme="majorEastAsia" w:cs="Times New Roman"/>
          <w:noProof/>
          <w:color w:val="000000" w:themeColor="text1"/>
          <w:szCs w:val="24"/>
        </w:rPr>
        <w:t>“The evolution of top incomes: a historical and international perspective”</w:t>
      </w:r>
      <w:r>
        <w:rPr>
          <w:rFonts w:eastAsiaTheme="majorEastAsia" w:cs="Times New Roman"/>
          <w:noProof/>
          <w:color w:val="000000" w:themeColor="text1"/>
          <w:szCs w:val="24"/>
        </w:rPr>
        <w:t>,</w:t>
      </w:r>
      <w:r w:rsidRPr="00D23684">
        <w:rPr>
          <w:rFonts w:eastAsiaTheme="majorEastAsia" w:cs="Times New Roman"/>
          <w:noProof/>
          <w:color w:val="000000" w:themeColor="text1"/>
          <w:szCs w:val="24"/>
        </w:rPr>
        <w:t xml:space="preserve"> National Bureau of Economic Research.</w:t>
      </w:r>
    </w:p>
    <w:p w14:paraId="3AF720A8" w14:textId="77777777" w:rsidR="007E3B83" w:rsidRPr="00BE6203" w:rsidRDefault="007E3B83" w:rsidP="00E753F6">
      <w:pPr>
        <w:ind w:left="720" w:hanging="720"/>
        <w:rPr>
          <w:rFonts w:cs="Times New Roman"/>
          <w:noProof/>
        </w:rPr>
      </w:pPr>
      <w:bookmarkStart w:id="10" w:name="_ENREF_52"/>
      <w:r w:rsidRPr="00BE6203">
        <w:rPr>
          <w:rFonts w:cs="Times New Roman"/>
          <w:noProof/>
        </w:rPr>
        <w:t xml:space="preserve">Rasmussen, E., Fletcher, M., &amp; Hannam, B. (2014). The major parties: National’s and Labour’s employment relations policies. </w:t>
      </w:r>
      <w:r w:rsidRPr="00BE6203">
        <w:rPr>
          <w:rFonts w:cs="Times New Roman"/>
          <w:i/>
          <w:noProof/>
        </w:rPr>
        <w:t>New Zealand journal of employment relations, 39</w:t>
      </w:r>
      <w:r w:rsidRPr="00BE6203">
        <w:rPr>
          <w:rFonts w:cs="Times New Roman"/>
          <w:noProof/>
        </w:rPr>
        <w:t>(1), 21-32.</w:t>
      </w:r>
      <w:bookmarkEnd w:id="10"/>
    </w:p>
    <w:p w14:paraId="740279CC" w14:textId="77777777" w:rsidR="00CD6444" w:rsidRDefault="00665CFA" w:rsidP="00E753F6">
      <w:pPr>
        <w:ind w:left="284" w:hanging="284"/>
        <w:rPr>
          <w:szCs w:val="24"/>
        </w:rPr>
      </w:pPr>
      <w:r>
        <w:rPr>
          <w:szCs w:val="24"/>
        </w:rPr>
        <w:t xml:space="preserve">Ravenscroft, S. &amp; Denison, C. (2014), “Social and environmental implications of increasing income inequality: Accountability concerns”, in Mintz, S. (Ed.) </w:t>
      </w:r>
      <w:r>
        <w:rPr>
          <w:i/>
          <w:szCs w:val="24"/>
        </w:rPr>
        <w:t xml:space="preserve">Accounting for the Public Interest: Perspectives on Accountability, Professionalism and Role in Society, </w:t>
      </w:r>
      <w:r>
        <w:rPr>
          <w:szCs w:val="24"/>
        </w:rPr>
        <w:t>Advances in Business Ethics Research. DOI 10.1007/978-94-007-7082-9_5</w:t>
      </w:r>
      <w:r w:rsidR="00CD6444">
        <w:rPr>
          <w:szCs w:val="24"/>
        </w:rPr>
        <w:t>.</w:t>
      </w:r>
    </w:p>
    <w:p w14:paraId="5CC6EC22" w14:textId="3EABCFE5" w:rsidR="00665CFA" w:rsidRPr="00A55376" w:rsidRDefault="00CD6444" w:rsidP="00A22B9A">
      <w:pPr>
        <w:ind w:left="284" w:hanging="284"/>
        <w:rPr>
          <w:szCs w:val="24"/>
        </w:rPr>
      </w:pPr>
      <w:r>
        <w:rPr>
          <w:szCs w:val="24"/>
        </w:rPr>
        <w:t xml:space="preserve">Rodrigue, R. (2014), “Contrasting realities: corporate environmental disclosure and stakeholder-released information”, </w:t>
      </w:r>
      <w:r>
        <w:rPr>
          <w:i/>
          <w:szCs w:val="24"/>
        </w:rPr>
        <w:t>Accounting, Auditing and Accountability Journal,</w:t>
      </w:r>
      <w:r>
        <w:rPr>
          <w:szCs w:val="24"/>
        </w:rPr>
        <w:t xml:space="preserve"> Vol. 27 No. 1, pp. 119-149.</w:t>
      </w:r>
      <w:r w:rsidR="00665CFA">
        <w:rPr>
          <w:szCs w:val="24"/>
        </w:rPr>
        <w:t xml:space="preserve">  </w:t>
      </w:r>
    </w:p>
    <w:p w14:paraId="66461910" w14:textId="77777777" w:rsidR="00665CFA" w:rsidRPr="004E6C6B" w:rsidRDefault="00665CFA" w:rsidP="00A22B9A">
      <w:pPr>
        <w:ind w:left="284" w:hanging="284"/>
        <w:rPr>
          <w:szCs w:val="24"/>
        </w:rPr>
      </w:pPr>
      <w:r>
        <w:rPr>
          <w:szCs w:val="24"/>
        </w:rPr>
        <w:t xml:space="preserve">Rose, N. (1991). “Governing by numbers: Figuring out democracy”. </w:t>
      </w:r>
      <w:r>
        <w:rPr>
          <w:i/>
          <w:szCs w:val="24"/>
        </w:rPr>
        <w:t xml:space="preserve">Accounting, Organizations and Society, </w:t>
      </w:r>
      <w:r>
        <w:rPr>
          <w:szCs w:val="24"/>
        </w:rPr>
        <w:t>Vol. 16 No. 7 pp, 673-692.</w:t>
      </w:r>
    </w:p>
    <w:p w14:paraId="72F3D394" w14:textId="77777777" w:rsidR="00665CFA" w:rsidRDefault="00665CFA" w:rsidP="00A22B9A">
      <w:pPr>
        <w:ind w:left="720" w:hanging="720"/>
        <w:rPr>
          <w:rFonts w:eastAsiaTheme="majorEastAsia" w:cs="Times New Roman"/>
          <w:noProof/>
          <w:color w:val="000000" w:themeColor="text1"/>
          <w:szCs w:val="24"/>
        </w:rPr>
      </w:pPr>
      <w:r>
        <w:rPr>
          <w:rFonts w:eastAsiaTheme="majorEastAsia" w:cs="Times New Roman"/>
          <w:noProof/>
          <w:color w:val="000000" w:themeColor="text1"/>
          <w:szCs w:val="24"/>
        </w:rPr>
        <w:t>Scott, B. (2014), “</w:t>
      </w:r>
      <w:r w:rsidRPr="008F4393">
        <w:rPr>
          <w:rFonts w:eastAsiaTheme="majorEastAsia" w:cs="Times New Roman"/>
          <w:noProof/>
          <w:color w:val="000000" w:themeColor="text1"/>
          <w:szCs w:val="24"/>
        </w:rPr>
        <w:t>A review into the basis for a living wage rate in New Zealand</w:t>
      </w:r>
      <w:r>
        <w:rPr>
          <w:rFonts w:eastAsiaTheme="majorEastAsia" w:cs="Times New Roman"/>
          <w:noProof/>
          <w:color w:val="000000" w:themeColor="text1"/>
          <w:szCs w:val="24"/>
        </w:rPr>
        <w:t xml:space="preserve">”, available at </w:t>
      </w:r>
      <w:hyperlink r:id="rId29" w:history="1">
        <w:r w:rsidRPr="008F4393">
          <w:rPr>
            <w:rFonts w:eastAsiaTheme="majorEastAsia" w:cs="Times New Roman"/>
            <w:noProof/>
            <w:color w:val="000000" w:themeColor="text1"/>
            <w:szCs w:val="24"/>
          </w:rPr>
          <w:t>http://www.nzcpr.com/wp-content/uploads/2014/03/A-Review-into-the-Basis-for-a-Living-Wage-Rate-in-New-Zealand-by-Brian-Scott.pdf</w:t>
        </w:r>
      </w:hyperlink>
      <w:r>
        <w:rPr>
          <w:rFonts w:eastAsiaTheme="majorEastAsia" w:cs="Times New Roman"/>
          <w:noProof/>
          <w:color w:val="000000" w:themeColor="text1"/>
          <w:szCs w:val="24"/>
        </w:rPr>
        <w:t xml:space="preserve"> </w:t>
      </w:r>
    </w:p>
    <w:p w14:paraId="6488CE86" w14:textId="6C508550" w:rsidR="0055184A" w:rsidRPr="008F4393" w:rsidRDefault="0055184A" w:rsidP="00A22B9A">
      <w:pPr>
        <w:ind w:left="720" w:hanging="720"/>
        <w:rPr>
          <w:rFonts w:eastAsiaTheme="majorEastAsia" w:cs="Times New Roman"/>
          <w:noProof/>
          <w:color w:val="000000" w:themeColor="text1"/>
          <w:szCs w:val="24"/>
        </w:rPr>
      </w:pPr>
      <w:r>
        <w:rPr>
          <w:rFonts w:eastAsiaTheme="majorEastAsia" w:cs="Times New Roman"/>
          <w:noProof/>
          <w:color w:val="000000" w:themeColor="text1"/>
          <w:szCs w:val="24"/>
        </w:rPr>
        <w:t>SFWU [Serviec and Foodowrkers Union] (2012). “</w:t>
      </w:r>
      <w:r w:rsidRPr="0055184A">
        <w:rPr>
          <w:rFonts w:eastAsiaTheme="majorEastAsia" w:cs="Times New Roman"/>
          <w:noProof/>
          <w:color w:val="000000" w:themeColor="text1"/>
          <w:szCs w:val="24"/>
        </w:rPr>
        <w:t>Stats show shocking truth of growing inequality in NZ</w:t>
      </w:r>
      <w:r>
        <w:rPr>
          <w:rFonts w:eastAsiaTheme="majorEastAsia" w:cs="Times New Roman"/>
          <w:noProof/>
          <w:color w:val="000000" w:themeColor="text1"/>
          <w:szCs w:val="24"/>
        </w:rPr>
        <w:t>”. retrieved from</w:t>
      </w:r>
      <w:r w:rsidRPr="00D23684">
        <w:rPr>
          <w:rFonts w:eastAsiaTheme="majorEastAsia" w:cs="Times New Roman"/>
          <w:noProof/>
          <w:color w:val="000000" w:themeColor="text1"/>
          <w:szCs w:val="24"/>
        </w:rPr>
        <w:t xml:space="preserve"> </w:t>
      </w:r>
      <w:r w:rsidRPr="0055184A">
        <w:rPr>
          <w:rFonts w:eastAsiaTheme="majorEastAsia" w:cs="Times New Roman"/>
          <w:noProof/>
          <w:color w:val="000000" w:themeColor="text1"/>
          <w:szCs w:val="24"/>
        </w:rPr>
        <w:t>http://www.scoop.co.nz/stories/PO1208/S00303/stats-show-shocking-truth-of-growing-inequality-in-nz.htm</w:t>
      </w:r>
      <w:r>
        <w:rPr>
          <w:rFonts w:eastAsiaTheme="majorEastAsia" w:cs="Times New Roman"/>
          <w:noProof/>
          <w:color w:val="000000" w:themeColor="text1"/>
          <w:szCs w:val="24"/>
        </w:rPr>
        <w:t xml:space="preserve"> (accessed 8 July 2013).</w:t>
      </w:r>
    </w:p>
    <w:p w14:paraId="68A6622A" w14:textId="3E365C66" w:rsidR="00AB0248" w:rsidRDefault="00AB0248" w:rsidP="00A22B9A">
      <w:pPr>
        <w:ind w:left="426" w:hanging="437"/>
        <w:rPr>
          <w:rFonts w:cs="Times New Roman"/>
          <w:noProof/>
          <w:szCs w:val="24"/>
        </w:rPr>
      </w:pPr>
      <w:r w:rsidRPr="00AB0248">
        <w:rPr>
          <w:rFonts w:cs="Times New Roman"/>
          <w:noProof/>
          <w:szCs w:val="24"/>
        </w:rPr>
        <w:t>Shuttleworth, K. (2013, 27 February). ‘Govt: $18.40 minimum wage would cost 26,000 jobs’</w:t>
      </w:r>
      <w:r w:rsidR="002B4CA3">
        <w:rPr>
          <w:rFonts w:cs="Times New Roman"/>
          <w:noProof/>
          <w:szCs w:val="24"/>
        </w:rPr>
        <w:t>, r</w:t>
      </w:r>
      <w:r w:rsidRPr="00AB0248">
        <w:rPr>
          <w:rFonts w:cs="Times New Roman"/>
          <w:noProof/>
          <w:szCs w:val="24"/>
        </w:rPr>
        <w:t xml:space="preserve">etrieved from </w:t>
      </w:r>
      <w:hyperlink r:id="rId30" w:history="1">
        <w:r w:rsidRPr="00EF74A4">
          <w:rPr>
            <w:rStyle w:val="Hyperlink"/>
            <w:rFonts w:cs="Times New Roman"/>
            <w:noProof/>
            <w:szCs w:val="24"/>
          </w:rPr>
          <w:t>http://www.nzherald.co.nz/business/news/article.cfm?c_id=3&amp;objectid=10868180</w:t>
        </w:r>
      </w:hyperlink>
      <w:r w:rsidRPr="00AB0248">
        <w:rPr>
          <w:rFonts w:cs="Times New Roman"/>
          <w:noProof/>
          <w:szCs w:val="24"/>
        </w:rPr>
        <w:t xml:space="preserve"> </w:t>
      </w:r>
      <w:r w:rsidR="002B4CA3">
        <w:rPr>
          <w:rFonts w:cs="Times New Roman"/>
          <w:noProof/>
          <w:szCs w:val="24"/>
        </w:rPr>
        <w:t>(accessed 8 July 2013).</w:t>
      </w:r>
    </w:p>
    <w:p w14:paraId="08785204" w14:textId="51EC7044" w:rsidR="00AB0248" w:rsidRDefault="00AB0248" w:rsidP="00A22B9A">
      <w:pPr>
        <w:ind w:left="426" w:hanging="437"/>
        <w:rPr>
          <w:rFonts w:cs="Times New Roman"/>
          <w:noProof/>
          <w:szCs w:val="24"/>
        </w:rPr>
      </w:pPr>
      <w:r w:rsidRPr="00AB0248">
        <w:rPr>
          <w:rFonts w:cs="Times New Roman"/>
          <w:noProof/>
          <w:szCs w:val="24"/>
        </w:rPr>
        <w:t>Shuttleworth, K., Tan, L., and Collins, S. (2013, 11 February)</w:t>
      </w:r>
      <w:r w:rsidR="002B4CA3">
        <w:rPr>
          <w:rFonts w:cs="Times New Roman"/>
          <w:noProof/>
          <w:szCs w:val="24"/>
        </w:rPr>
        <w:t>,</w:t>
      </w:r>
      <w:r w:rsidRPr="00AB0248">
        <w:rPr>
          <w:rFonts w:cs="Times New Roman"/>
          <w:noProof/>
          <w:szCs w:val="24"/>
        </w:rPr>
        <w:t xml:space="preserve"> </w:t>
      </w:r>
      <w:r w:rsidR="002B4CA3">
        <w:rPr>
          <w:rFonts w:cs="Times New Roman"/>
          <w:noProof/>
          <w:szCs w:val="24"/>
        </w:rPr>
        <w:t>“</w:t>
      </w:r>
      <w:r w:rsidRPr="00AB0248">
        <w:rPr>
          <w:rFonts w:cs="Times New Roman"/>
          <w:noProof/>
          <w:szCs w:val="24"/>
        </w:rPr>
        <w:t>Battle for a living wage: A Kiwi bloke can survive on $19 an hour ... yeah right</w:t>
      </w:r>
      <w:r w:rsidR="002B4CA3">
        <w:rPr>
          <w:rFonts w:cs="Times New Roman"/>
          <w:noProof/>
          <w:szCs w:val="24"/>
        </w:rPr>
        <w:t>”, r</w:t>
      </w:r>
      <w:r w:rsidRPr="00AB0248">
        <w:rPr>
          <w:rFonts w:cs="Times New Roman"/>
          <w:noProof/>
          <w:szCs w:val="24"/>
        </w:rPr>
        <w:t xml:space="preserve">etrieved from </w:t>
      </w:r>
      <w:hyperlink r:id="rId31" w:history="1">
        <w:r w:rsidR="002B4CA3" w:rsidRPr="00A00E0A">
          <w:rPr>
            <w:rStyle w:val="Hyperlink"/>
            <w:rFonts w:cs="Times New Roman"/>
            <w:noProof/>
            <w:szCs w:val="24"/>
          </w:rPr>
          <w:t>http://www.nzherald.co.nz/nz/news/article.cfm?c_id=1&amp;objectid=10864565</w:t>
        </w:r>
      </w:hyperlink>
      <w:r w:rsidR="002B4CA3">
        <w:rPr>
          <w:rFonts w:cs="Times New Roman"/>
          <w:noProof/>
          <w:szCs w:val="24"/>
        </w:rPr>
        <w:t xml:space="preserve"> (accessed on 12 May 2015).</w:t>
      </w:r>
    </w:p>
    <w:p w14:paraId="0F08C8FC" w14:textId="5210D3C7" w:rsidR="00665CFA" w:rsidRPr="001C5A7B" w:rsidRDefault="00665CFA" w:rsidP="00A22B9A">
      <w:pPr>
        <w:ind w:left="426" w:hanging="437"/>
        <w:rPr>
          <w:rFonts w:cs="Times New Roman"/>
          <w:noProof/>
          <w:szCs w:val="24"/>
        </w:rPr>
      </w:pPr>
      <w:r>
        <w:rPr>
          <w:rFonts w:cs="Times New Roman"/>
          <w:noProof/>
          <w:szCs w:val="24"/>
        </w:rPr>
        <w:t xml:space="preserve">Sikka, P. (2008), “Corporate governance: what about the workers?”, </w:t>
      </w:r>
      <w:r>
        <w:rPr>
          <w:rFonts w:cs="Times New Roman"/>
          <w:i/>
          <w:noProof/>
          <w:szCs w:val="24"/>
        </w:rPr>
        <w:t>Accounting, Auditing and Accountability Journal,</w:t>
      </w:r>
      <w:r>
        <w:rPr>
          <w:rFonts w:cs="Times New Roman"/>
          <w:noProof/>
          <w:szCs w:val="24"/>
        </w:rPr>
        <w:t xml:space="preserve"> Vol 21 Iss 7, pp. 955-977.</w:t>
      </w:r>
    </w:p>
    <w:p w14:paraId="5F131488" w14:textId="77777777" w:rsidR="00665CFA" w:rsidRPr="00D23684" w:rsidRDefault="00665CFA" w:rsidP="00A22B9A">
      <w:pPr>
        <w:ind w:left="426" w:hanging="437"/>
        <w:rPr>
          <w:rFonts w:cs="Times New Roman"/>
          <w:noProof/>
          <w:szCs w:val="24"/>
        </w:rPr>
      </w:pPr>
      <w:r>
        <w:rPr>
          <w:rFonts w:cs="Times New Roman"/>
          <w:noProof/>
          <w:szCs w:val="24"/>
        </w:rPr>
        <w:lastRenderedPageBreak/>
        <w:t>Sikka, P. (2015), “</w:t>
      </w:r>
      <w:r w:rsidRPr="00D23684">
        <w:rPr>
          <w:rFonts w:cs="Times New Roman"/>
          <w:noProof/>
          <w:szCs w:val="24"/>
        </w:rPr>
        <w:t>The hand of accounting and accountancy firms in deepening income and wealth inequalities and the economic crisis: Some evidence</w:t>
      </w:r>
      <w:r>
        <w:rPr>
          <w:rFonts w:cs="Times New Roman"/>
          <w:noProof/>
          <w:szCs w:val="24"/>
        </w:rPr>
        <w:t xml:space="preserve">”, </w:t>
      </w:r>
      <w:r w:rsidRPr="00D23684">
        <w:rPr>
          <w:rFonts w:cs="Times New Roman"/>
          <w:i/>
          <w:noProof/>
          <w:szCs w:val="24"/>
        </w:rPr>
        <w:t>Critical Perspectives on Accounting,</w:t>
      </w:r>
      <w:r>
        <w:rPr>
          <w:rFonts w:cs="Times New Roman"/>
          <w:i/>
          <w:noProof/>
          <w:szCs w:val="24"/>
        </w:rPr>
        <w:t xml:space="preserve"> </w:t>
      </w:r>
      <w:r>
        <w:rPr>
          <w:rFonts w:cs="Times New Roman"/>
          <w:noProof/>
          <w:szCs w:val="24"/>
        </w:rPr>
        <w:t>Vol</w:t>
      </w:r>
      <w:r w:rsidRPr="00D23684">
        <w:rPr>
          <w:rFonts w:cs="Times New Roman"/>
          <w:i/>
          <w:noProof/>
          <w:szCs w:val="24"/>
        </w:rPr>
        <w:t xml:space="preserve"> </w:t>
      </w:r>
      <w:r w:rsidRPr="00D23684">
        <w:rPr>
          <w:rFonts w:cs="Times New Roman"/>
          <w:noProof/>
          <w:szCs w:val="24"/>
        </w:rPr>
        <w:t xml:space="preserve">30, </w:t>
      </w:r>
      <w:r>
        <w:rPr>
          <w:rFonts w:cs="Times New Roman"/>
          <w:noProof/>
          <w:szCs w:val="24"/>
        </w:rPr>
        <w:t xml:space="preserve">pp. </w:t>
      </w:r>
      <w:r w:rsidRPr="00D23684">
        <w:rPr>
          <w:rFonts w:cs="Times New Roman"/>
          <w:noProof/>
          <w:szCs w:val="24"/>
        </w:rPr>
        <w:t>46-62.</w:t>
      </w:r>
    </w:p>
    <w:p w14:paraId="7A078CF4" w14:textId="77777777" w:rsidR="00665CFA" w:rsidRPr="00D23684" w:rsidRDefault="00665CFA" w:rsidP="00A22B9A">
      <w:pPr>
        <w:ind w:left="426" w:hanging="437"/>
        <w:rPr>
          <w:rFonts w:eastAsiaTheme="majorEastAsia" w:cs="Times New Roman"/>
          <w:noProof/>
          <w:color w:val="000000" w:themeColor="text1"/>
          <w:szCs w:val="24"/>
        </w:rPr>
      </w:pPr>
      <w:r>
        <w:rPr>
          <w:rFonts w:eastAsiaTheme="majorEastAsia" w:cs="Times New Roman"/>
          <w:noProof/>
          <w:color w:val="000000" w:themeColor="text1"/>
          <w:szCs w:val="24"/>
        </w:rPr>
        <w:t>Skilling, P. (2014), “Attitudes to i</w:t>
      </w:r>
      <w:r w:rsidRPr="00D23684">
        <w:rPr>
          <w:rFonts w:eastAsiaTheme="majorEastAsia" w:cs="Times New Roman"/>
          <w:noProof/>
          <w:color w:val="000000" w:themeColor="text1"/>
          <w:szCs w:val="24"/>
        </w:rPr>
        <w:t>nequality in 2014: Results from a 2014 Survey</w:t>
      </w:r>
      <w:r>
        <w:rPr>
          <w:rFonts w:eastAsiaTheme="majorEastAsia" w:cs="Times New Roman"/>
          <w:noProof/>
          <w:color w:val="000000" w:themeColor="text1"/>
          <w:szCs w:val="24"/>
        </w:rPr>
        <w:t>”,</w:t>
      </w:r>
      <w:r w:rsidRPr="00D23684">
        <w:rPr>
          <w:rFonts w:eastAsiaTheme="majorEastAsia" w:cs="Times New Roman"/>
          <w:noProof/>
          <w:color w:val="000000" w:themeColor="text1"/>
          <w:szCs w:val="24"/>
        </w:rPr>
        <w:t xml:space="preserve"> </w:t>
      </w:r>
      <w:r w:rsidRPr="00D23684">
        <w:rPr>
          <w:rFonts w:eastAsiaTheme="majorEastAsia" w:cs="Times New Roman"/>
          <w:i/>
          <w:noProof/>
          <w:color w:val="000000" w:themeColor="text1"/>
          <w:szCs w:val="24"/>
        </w:rPr>
        <w:t xml:space="preserve">New Zealand Sociology, </w:t>
      </w:r>
      <w:r>
        <w:rPr>
          <w:rFonts w:eastAsiaTheme="majorEastAsia" w:cs="Times New Roman"/>
          <w:noProof/>
          <w:color w:val="000000" w:themeColor="text1"/>
          <w:szCs w:val="24"/>
        </w:rPr>
        <w:t xml:space="preserve">Vol 29 No </w:t>
      </w:r>
      <w:r w:rsidRPr="00D23684">
        <w:rPr>
          <w:rFonts w:eastAsiaTheme="majorEastAsia" w:cs="Times New Roman"/>
          <w:noProof/>
          <w:color w:val="000000" w:themeColor="text1"/>
          <w:szCs w:val="24"/>
        </w:rPr>
        <w:t xml:space="preserve">3, </w:t>
      </w:r>
      <w:r>
        <w:rPr>
          <w:rFonts w:eastAsiaTheme="majorEastAsia" w:cs="Times New Roman"/>
          <w:noProof/>
          <w:color w:val="000000" w:themeColor="text1"/>
          <w:szCs w:val="24"/>
        </w:rPr>
        <w:t xml:space="preserve">p. </w:t>
      </w:r>
      <w:r w:rsidRPr="00D23684">
        <w:rPr>
          <w:rFonts w:eastAsiaTheme="majorEastAsia" w:cs="Times New Roman"/>
          <w:noProof/>
          <w:color w:val="000000" w:themeColor="text1"/>
          <w:szCs w:val="24"/>
        </w:rPr>
        <w:t>13.</w:t>
      </w:r>
    </w:p>
    <w:p w14:paraId="15BA1C06" w14:textId="04B2CC60" w:rsidR="009A4F48" w:rsidRDefault="009A4F48" w:rsidP="00A22B9A">
      <w:pPr>
        <w:ind w:left="426" w:hanging="437"/>
        <w:rPr>
          <w:rFonts w:eastAsiaTheme="majorEastAsia" w:cs="Times New Roman"/>
          <w:noProof/>
          <w:color w:val="000000" w:themeColor="text1"/>
          <w:szCs w:val="24"/>
        </w:rPr>
      </w:pPr>
      <w:r w:rsidRPr="009A4F48">
        <w:rPr>
          <w:rFonts w:eastAsiaTheme="majorEastAsia" w:cs="Times New Roman"/>
          <w:noProof/>
          <w:color w:val="000000" w:themeColor="text1"/>
          <w:szCs w:val="24"/>
        </w:rPr>
        <w:t xml:space="preserve">Skilling, P. (2016). </w:t>
      </w:r>
      <w:r w:rsidR="00DF3E93">
        <w:rPr>
          <w:rFonts w:eastAsiaTheme="majorEastAsia" w:cs="Times New Roman"/>
          <w:noProof/>
          <w:color w:val="000000" w:themeColor="text1"/>
          <w:szCs w:val="24"/>
        </w:rPr>
        <w:t>“</w:t>
      </w:r>
      <w:r w:rsidRPr="009A4F48">
        <w:rPr>
          <w:rFonts w:eastAsiaTheme="majorEastAsia" w:cs="Times New Roman"/>
          <w:noProof/>
          <w:color w:val="000000" w:themeColor="text1"/>
          <w:szCs w:val="24"/>
        </w:rPr>
        <w:t>Neoliberalism, public policy and public opinion</w:t>
      </w:r>
      <w:r w:rsidR="00DF3E93">
        <w:rPr>
          <w:rFonts w:eastAsiaTheme="majorEastAsia" w:cs="Times New Roman"/>
          <w:noProof/>
          <w:color w:val="000000" w:themeColor="text1"/>
          <w:szCs w:val="24"/>
        </w:rPr>
        <w:t>”,</w:t>
      </w:r>
      <w:r w:rsidRPr="009A4F48">
        <w:rPr>
          <w:rFonts w:eastAsiaTheme="majorEastAsia" w:cs="Times New Roman"/>
          <w:noProof/>
          <w:color w:val="000000" w:themeColor="text1"/>
          <w:szCs w:val="24"/>
        </w:rPr>
        <w:t xml:space="preserve"> </w:t>
      </w:r>
      <w:r w:rsidRPr="00DF3E93">
        <w:rPr>
          <w:rFonts w:eastAsiaTheme="majorEastAsia" w:cs="Times New Roman"/>
          <w:i/>
          <w:noProof/>
          <w:color w:val="000000" w:themeColor="text1"/>
          <w:szCs w:val="24"/>
        </w:rPr>
        <w:t>New Zealand Sociology</w:t>
      </w:r>
      <w:r w:rsidRPr="009A4F48">
        <w:rPr>
          <w:rFonts w:eastAsiaTheme="majorEastAsia" w:cs="Times New Roman"/>
          <w:noProof/>
          <w:color w:val="000000" w:themeColor="text1"/>
          <w:szCs w:val="24"/>
        </w:rPr>
        <w:t>, 31(7), 159-182.</w:t>
      </w:r>
    </w:p>
    <w:p w14:paraId="0EB76DE5" w14:textId="1FD1BCD1" w:rsidR="00665CFA" w:rsidRPr="00D23684" w:rsidRDefault="00665CFA" w:rsidP="00A22B9A">
      <w:pPr>
        <w:ind w:left="426" w:hanging="437"/>
        <w:rPr>
          <w:rFonts w:eastAsiaTheme="majorEastAsia" w:cs="Times New Roman"/>
          <w:noProof/>
          <w:color w:val="000000" w:themeColor="text1"/>
          <w:szCs w:val="24"/>
        </w:rPr>
      </w:pPr>
      <w:r w:rsidRPr="00D23684">
        <w:rPr>
          <w:rFonts w:eastAsiaTheme="majorEastAsia" w:cs="Times New Roman"/>
          <w:noProof/>
          <w:color w:val="000000" w:themeColor="text1"/>
          <w:szCs w:val="24"/>
        </w:rPr>
        <w:t>S</w:t>
      </w:r>
      <w:r>
        <w:rPr>
          <w:rFonts w:eastAsiaTheme="majorEastAsia" w:cs="Times New Roman"/>
          <w:noProof/>
          <w:color w:val="000000" w:themeColor="text1"/>
          <w:szCs w:val="24"/>
        </w:rPr>
        <w:t>killing, P., &amp; McLay, J. (2015), “</w:t>
      </w:r>
      <w:r w:rsidRPr="00D23684">
        <w:rPr>
          <w:rFonts w:eastAsiaTheme="majorEastAsia" w:cs="Times New Roman"/>
          <w:noProof/>
          <w:color w:val="000000" w:themeColor="text1"/>
          <w:szCs w:val="24"/>
        </w:rPr>
        <w:t>Getting ahead through our own efforts: Public attitudes towards the deserving</w:t>
      </w:r>
      <w:r>
        <w:rPr>
          <w:rFonts w:eastAsiaTheme="majorEastAsia" w:cs="Times New Roman"/>
          <w:noProof/>
          <w:color w:val="000000" w:themeColor="text1"/>
          <w:szCs w:val="24"/>
        </w:rPr>
        <w:t xml:space="preserve">ness of the rich in New Zealand”, </w:t>
      </w:r>
      <w:r w:rsidRPr="00D23684">
        <w:rPr>
          <w:rFonts w:eastAsiaTheme="majorEastAsia" w:cs="Times New Roman"/>
          <w:i/>
          <w:noProof/>
          <w:color w:val="000000" w:themeColor="text1"/>
          <w:szCs w:val="24"/>
        </w:rPr>
        <w:t xml:space="preserve">Journal of Social Policy, </w:t>
      </w:r>
      <w:r>
        <w:rPr>
          <w:rFonts w:eastAsiaTheme="majorEastAsia" w:cs="Times New Roman"/>
          <w:noProof/>
          <w:color w:val="000000" w:themeColor="text1"/>
          <w:szCs w:val="24"/>
        </w:rPr>
        <w:t xml:space="preserve">Vol 44 No </w:t>
      </w:r>
      <w:r w:rsidRPr="00D23684">
        <w:rPr>
          <w:rFonts w:eastAsiaTheme="majorEastAsia" w:cs="Times New Roman"/>
          <w:noProof/>
          <w:color w:val="000000" w:themeColor="text1"/>
          <w:szCs w:val="24"/>
        </w:rPr>
        <w:t xml:space="preserve">1, </w:t>
      </w:r>
      <w:r>
        <w:rPr>
          <w:rFonts w:eastAsiaTheme="majorEastAsia" w:cs="Times New Roman"/>
          <w:noProof/>
          <w:color w:val="000000" w:themeColor="text1"/>
          <w:szCs w:val="24"/>
        </w:rPr>
        <w:t xml:space="preserve">pp. </w:t>
      </w:r>
      <w:r w:rsidRPr="00D23684">
        <w:rPr>
          <w:rFonts w:eastAsiaTheme="majorEastAsia" w:cs="Times New Roman"/>
          <w:noProof/>
          <w:color w:val="000000" w:themeColor="text1"/>
          <w:szCs w:val="24"/>
        </w:rPr>
        <w:t>147-169.</w:t>
      </w:r>
    </w:p>
    <w:p w14:paraId="0766ACFE" w14:textId="4899C87D" w:rsidR="00AB0248" w:rsidRDefault="00743A20" w:rsidP="00A22B9A">
      <w:pPr>
        <w:ind w:left="426" w:hanging="437"/>
        <w:rPr>
          <w:rFonts w:eastAsiaTheme="majorEastAsia" w:cs="Times New Roman"/>
          <w:noProof/>
          <w:color w:val="000000" w:themeColor="text1"/>
          <w:szCs w:val="24"/>
        </w:rPr>
      </w:pPr>
      <w:r>
        <w:rPr>
          <w:rFonts w:eastAsiaTheme="majorEastAsia" w:cs="Times New Roman"/>
          <w:noProof/>
          <w:color w:val="000000" w:themeColor="text1"/>
          <w:szCs w:val="24"/>
        </w:rPr>
        <w:t>SBV [</w:t>
      </w:r>
      <w:r w:rsidR="00AB0248" w:rsidRPr="00AB0248">
        <w:rPr>
          <w:rFonts w:eastAsiaTheme="majorEastAsia" w:cs="Times New Roman"/>
          <w:noProof/>
          <w:color w:val="000000" w:themeColor="text1"/>
          <w:szCs w:val="24"/>
        </w:rPr>
        <w:t>Small Business Voice</w:t>
      </w:r>
      <w:r>
        <w:rPr>
          <w:rFonts w:eastAsiaTheme="majorEastAsia" w:cs="Times New Roman"/>
          <w:noProof/>
          <w:color w:val="000000" w:themeColor="text1"/>
          <w:szCs w:val="24"/>
        </w:rPr>
        <w:t>]</w:t>
      </w:r>
      <w:r w:rsidR="00AB0248" w:rsidRPr="00AB0248">
        <w:rPr>
          <w:rFonts w:eastAsiaTheme="majorEastAsia" w:cs="Times New Roman"/>
          <w:noProof/>
          <w:color w:val="000000" w:themeColor="text1"/>
          <w:szCs w:val="24"/>
        </w:rPr>
        <w:t>. (2013, 4 September). ‘Living wage will devastate many small business’ [sic]. [press release]</w:t>
      </w:r>
      <w:r w:rsidR="002B4CA3">
        <w:rPr>
          <w:rFonts w:eastAsiaTheme="majorEastAsia" w:cs="Times New Roman"/>
          <w:noProof/>
          <w:color w:val="000000" w:themeColor="text1"/>
          <w:szCs w:val="24"/>
        </w:rPr>
        <w:t>, r</w:t>
      </w:r>
      <w:r w:rsidR="00AB0248" w:rsidRPr="00AB0248">
        <w:rPr>
          <w:rFonts w:eastAsiaTheme="majorEastAsia" w:cs="Times New Roman"/>
          <w:noProof/>
          <w:color w:val="000000" w:themeColor="text1"/>
          <w:szCs w:val="24"/>
        </w:rPr>
        <w:t xml:space="preserve">etrieved from </w:t>
      </w:r>
      <w:hyperlink r:id="rId32" w:history="1">
        <w:r w:rsidR="00AB0248" w:rsidRPr="00EF74A4">
          <w:rPr>
            <w:rStyle w:val="Hyperlink"/>
            <w:rFonts w:eastAsiaTheme="majorEastAsia" w:cs="Times New Roman"/>
            <w:noProof/>
            <w:szCs w:val="24"/>
          </w:rPr>
          <w:t>http://www.scoop.co.nz/stories/PO1309/S00038/living-wage-will-devastate-many-small-business.htm</w:t>
        </w:r>
      </w:hyperlink>
      <w:r w:rsidR="002B4CA3">
        <w:rPr>
          <w:rFonts w:eastAsiaTheme="majorEastAsia" w:cs="Times New Roman"/>
          <w:noProof/>
          <w:color w:val="000000" w:themeColor="text1"/>
          <w:szCs w:val="24"/>
        </w:rPr>
        <w:t xml:space="preserve"> (accessed 12 May 2014).</w:t>
      </w:r>
    </w:p>
    <w:p w14:paraId="443924CF" w14:textId="09073FE7" w:rsidR="00665CFA" w:rsidRDefault="00665CFA" w:rsidP="00A22B9A">
      <w:pPr>
        <w:ind w:left="426" w:hanging="437"/>
        <w:rPr>
          <w:rFonts w:eastAsiaTheme="majorEastAsia" w:cs="Times New Roman"/>
          <w:noProof/>
          <w:color w:val="000000" w:themeColor="text1"/>
          <w:szCs w:val="24"/>
        </w:rPr>
      </w:pPr>
      <w:r>
        <w:rPr>
          <w:rFonts w:eastAsiaTheme="majorEastAsia" w:cs="Times New Roman"/>
          <w:noProof/>
          <w:color w:val="000000" w:themeColor="text1"/>
          <w:szCs w:val="24"/>
        </w:rPr>
        <w:t>Taylor-Gooby, P. (2013), “</w:t>
      </w:r>
      <w:r w:rsidRPr="00D23684">
        <w:rPr>
          <w:rFonts w:eastAsiaTheme="majorEastAsia" w:cs="Times New Roman"/>
          <w:noProof/>
          <w:color w:val="000000" w:themeColor="text1"/>
          <w:szCs w:val="24"/>
        </w:rPr>
        <w:t>Why do people stigmatise the poor at a time of rapidly increasing inequality, and what can be done about it?</w:t>
      </w:r>
      <w:r>
        <w:rPr>
          <w:rFonts w:eastAsiaTheme="majorEastAsia" w:cs="Times New Roman"/>
          <w:noProof/>
          <w:color w:val="000000" w:themeColor="text1"/>
          <w:szCs w:val="24"/>
        </w:rPr>
        <w:t xml:space="preserve">”, </w:t>
      </w:r>
      <w:r>
        <w:rPr>
          <w:rFonts w:eastAsiaTheme="majorEastAsia" w:cs="Times New Roman"/>
          <w:i/>
          <w:noProof/>
          <w:color w:val="000000" w:themeColor="text1"/>
          <w:szCs w:val="24"/>
        </w:rPr>
        <w:t>The P</w:t>
      </w:r>
      <w:r w:rsidRPr="00D23684">
        <w:rPr>
          <w:rFonts w:eastAsiaTheme="majorEastAsia" w:cs="Times New Roman"/>
          <w:i/>
          <w:noProof/>
          <w:color w:val="000000" w:themeColor="text1"/>
          <w:szCs w:val="24"/>
        </w:rPr>
        <w:t xml:space="preserve">olitical </w:t>
      </w:r>
      <w:r>
        <w:rPr>
          <w:rFonts w:eastAsiaTheme="majorEastAsia" w:cs="Times New Roman"/>
          <w:i/>
          <w:noProof/>
          <w:color w:val="000000" w:themeColor="text1"/>
          <w:szCs w:val="24"/>
        </w:rPr>
        <w:t>Q</w:t>
      </w:r>
      <w:r w:rsidRPr="00D23684">
        <w:rPr>
          <w:rFonts w:eastAsiaTheme="majorEastAsia" w:cs="Times New Roman"/>
          <w:i/>
          <w:noProof/>
          <w:color w:val="000000" w:themeColor="text1"/>
          <w:szCs w:val="24"/>
        </w:rPr>
        <w:t xml:space="preserve">uarterly, </w:t>
      </w:r>
      <w:r>
        <w:rPr>
          <w:rFonts w:eastAsiaTheme="majorEastAsia" w:cs="Times New Roman"/>
          <w:noProof/>
          <w:color w:val="000000" w:themeColor="text1"/>
          <w:szCs w:val="24"/>
        </w:rPr>
        <w:t xml:space="preserve">Vol 84 No </w:t>
      </w:r>
      <w:r w:rsidRPr="00D23684">
        <w:rPr>
          <w:rFonts w:eastAsiaTheme="majorEastAsia" w:cs="Times New Roman"/>
          <w:noProof/>
          <w:color w:val="000000" w:themeColor="text1"/>
          <w:szCs w:val="24"/>
        </w:rPr>
        <w:t xml:space="preserve">1, </w:t>
      </w:r>
      <w:r>
        <w:rPr>
          <w:rFonts w:eastAsiaTheme="majorEastAsia" w:cs="Times New Roman"/>
          <w:noProof/>
          <w:color w:val="000000" w:themeColor="text1"/>
          <w:szCs w:val="24"/>
        </w:rPr>
        <w:t xml:space="preserve">pp. </w:t>
      </w:r>
      <w:r w:rsidRPr="00D23684">
        <w:rPr>
          <w:rFonts w:eastAsiaTheme="majorEastAsia" w:cs="Times New Roman"/>
          <w:noProof/>
          <w:color w:val="000000" w:themeColor="text1"/>
          <w:szCs w:val="24"/>
        </w:rPr>
        <w:t>31-42.</w:t>
      </w:r>
    </w:p>
    <w:p w14:paraId="066D4FD9" w14:textId="7E5C645B" w:rsidR="004E5F53" w:rsidRPr="00D23684" w:rsidRDefault="004E5F53" w:rsidP="00A22B9A">
      <w:pPr>
        <w:ind w:left="426" w:hanging="437"/>
        <w:rPr>
          <w:rFonts w:eastAsiaTheme="majorEastAsia" w:cs="Times New Roman"/>
          <w:noProof/>
          <w:color w:val="000000" w:themeColor="text1"/>
          <w:szCs w:val="24"/>
        </w:rPr>
      </w:pPr>
      <w:r>
        <w:rPr>
          <w:rFonts w:eastAsiaTheme="majorEastAsia" w:cs="Times New Roman"/>
          <w:noProof/>
          <w:color w:val="000000" w:themeColor="text1"/>
          <w:szCs w:val="24"/>
        </w:rPr>
        <w:t xml:space="preserve">The Living Wage Foundation (2017). “Low pay in the charity sector”, retrieved from </w:t>
      </w:r>
      <w:hyperlink r:id="rId33" w:history="1">
        <w:r w:rsidRPr="004E205A">
          <w:rPr>
            <w:rStyle w:val="Hyperlink"/>
            <w:rFonts w:eastAsiaTheme="majorEastAsia" w:cs="Times New Roman"/>
            <w:noProof/>
            <w:szCs w:val="24"/>
          </w:rPr>
          <w:t>https://www.livingwage.org.uk/sites/default/files/Living-Wage-Report.pdf</w:t>
        </w:r>
      </w:hyperlink>
      <w:r>
        <w:rPr>
          <w:rFonts w:eastAsiaTheme="majorEastAsia" w:cs="Times New Roman"/>
          <w:noProof/>
          <w:color w:val="000000" w:themeColor="text1"/>
          <w:szCs w:val="24"/>
        </w:rPr>
        <w:t xml:space="preserve"> (accessed 5 June 2018).</w:t>
      </w:r>
    </w:p>
    <w:p w14:paraId="5F45E88C" w14:textId="2DDB9D78" w:rsidR="00665CFA" w:rsidRPr="00D23684" w:rsidRDefault="00665CFA" w:rsidP="00A22B9A">
      <w:pPr>
        <w:ind w:left="426" w:hanging="437"/>
        <w:rPr>
          <w:rFonts w:cs="Times New Roman"/>
          <w:noProof/>
          <w:szCs w:val="24"/>
        </w:rPr>
      </w:pPr>
      <w:r w:rsidRPr="00D23684">
        <w:rPr>
          <w:rFonts w:cs="Times New Roman"/>
          <w:noProof/>
          <w:szCs w:val="24"/>
        </w:rPr>
        <w:t>Thévenot, L.,</w:t>
      </w:r>
      <w:r>
        <w:rPr>
          <w:rFonts w:cs="Times New Roman"/>
          <w:noProof/>
          <w:szCs w:val="24"/>
        </w:rPr>
        <w:t xml:space="preserve"> Moody, M., &amp; Lafaye, C. (2000), “Forms of valuing n</w:t>
      </w:r>
      <w:r w:rsidRPr="00D23684">
        <w:rPr>
          <w:rFonts w:cs="Times New Roman"/>
          <w:noProof/>
          <w:szCs w:val="24"/>
        </w:rPr>
        <w:t xml:space="preserve">ature: Arguments </w:t>
      </w:r>
      <w:r>
        <w:rPr>
          <w:rFonts w:cs="Times New Roman"/>
          <w:noProof/>
          <w:szCs w:val="24"/>
        </w:rPr>
        <w:t>and modes of J</w:t>
      </w:r>
      <w:r w:rsidR="00486113">
        <w:rPr>
          <w:rFonts w:cs="Times New Roman"/>
          <w:noProof/>
          <w:szCs w:val="24"/>
        </w:rPr>
        <w:t>u</w:t>
      </w:r>
      <w:r w:rsidRPr="00D23684">
        <w:rPr>
          <w:rFonts w:cs="Times New Roman"/>
          <w:noProof/>
          <w:szCs w:val="24"/>
        </w:rPr>
        <w:t>stif</w:t>
      </w:r>
      <w:r>
        <w:rPr>
          <w:rFonts w:cs="Times New Roman"/>
          <w:noProof/>
          <w:szCs w:val="24"/>
        </w:rPr>
        <w:t>ication in French and American environmental d</w:t>
      </w:r>
      <w:r w:rsidRPr="00D23684">
        <w:rPr>
          <w:rFonts w:cs="Times New Roman"/>
          <w:noProof/>
          <w:szCs w:val="24"/>
        </w:rPr>
        <w:t>isputes</w:t>
      </w:r>
      <w:r>
        <w:rPr>
          <w:rFonts w:cs="Times New Roman"/>
          <w:noProof/>
          <w:szCs w:val="24"/>
        </w:rPr>
        <w:t>”, i</w:t>
      </w:r>
      <w:r w:rsidRPr="00D23684">
        <w:rPr>
          <w:rFonts w:cs="Times New Roman"/>
          <w:noProof/>
          <w:szCs w:val="24"/>
        </w:rPr>
        <w:t>n Lamont</w:t>
      </w:r>
      <w:r>
        <w:rPr>
          <w:rFonts w:cs="Times New Roman"/>
          <w:noProof/>
          <w:szCs w:val="24"/>
        </w:rPr>
        <w:t>, M.</w:t>
      </w:r>
      <w:r w:rsidRPr="00D23684">
        <w:rPr>
          <w:rFonts w:cs="Times New Roman"/>
          <w:noProof/>
          <w:szCs w:val="24"/>
        </w:rPr>
        <w:t xml:space="preserve"> &amp; </w:t>
      </w:r>
      <w:r>
        <w:rPr>
          <w:rFonts w:cs="Times New Roman"/>
          <w:noProof/>
          <w:szCs w:val="24"/>
        </w:rPr>
        <w:t>T</w:t>
      </w:r>
      <w:r w:rsidRPr="00D23684">
        <w:rPr>
          <w:rFonts w:cs="Times New Roman"/>
          <w:noProof/>
          <w:szCs w:val="24"/>
        </w:rPr>
        <w:t>hévenot</w:t>
      </w:r>
      <w:r>
        <w:rPr>
          <w:rFonts w:cs="Times New Roman"/>
          <w:noProof/>
          <w:szCs w:val="24"/>
        </w:rPr>
        <w:t>, L.</w:t>
      </w:r>
      <w:r w:rsidRPr="00D23684">
        <w:rPr>
          <w:rFonts w:cs="Times New Roman"/>
          <w:noProof/>
          <w:szCs w:val="24"/>
        </w:rPr>
        <w:t xml:space="preserve"> (Eds.), </w:t>
      </w:r>
      <w:r w:rsidRPr="00D23684">
        <w:rPr>
          <w:rFonts w:cs="Times New Roman"/>
          <w:i/>
          <w:noProof/>
          <w:szCs w:val="24"/>
        </w:rPr>
        <w:t>Rethinking Comparative Cultural Sociology: Repertoires of Evaluation in France and the United States</w:t>
      </w:r>
      <w:r w:rsidRPr="00D23684">
        <w:rPr>
          <w:rFonts w:cs="Times New Roman"/>
          <w:noProof/>
          <w:szCs w:val="24"/>
        </w:rPr>
        <w:t xml:space="preserve"> Cambridge Univ</w:t>
      </w:r>
      <w:r>
        <w:rPr>
          <w:rFonts w:cs="Times New Roman"/>
          <w:noProof/>
          <w:szCs w:val="24"/>
        </w:rPr>
        <w:t>ersity Press: Cambridge, U.K., pp. 229-272</w:t>
      </w:r>
      <w:r w:rsidRPr="00D23684">
        <w:rPr>
          <w:rFonts w:cs="Times New Roman"/>
          <w:noProof/>
          <w:szCs w:val="24"/>
        </w:rPr>
        <w:t>.</w:t>
      </w:r>
    </w:p>
    <w:p w14:paraId="17F72A6A" w14:textId="77777777" w:rsidR="00665CFA" w:rsidRDefault="00665CFA" w:rsidP="00A22B9A">
      <w:pPr>
        <w:ind w:left="284" w:hanging="284"/>
        <w:rPr>
          <w:rFonts w:cs="Times New Roman"/>
        </w:rPr>
      </w:pPr>
      <w:r>
        <w:rPr>
          <w:rFonts w:cs="Times New Roman"/>
        </w:rPr>
        <w:t xml:space="preserve">Thomson, I., Dey, C. and Russell, S. (2015). “Activism, arenas and accounts in conflicts over tobacco control”, </w:t>
      </w:r>
      <w:r>
        <w:rPr>
          <w:rFonts w:cs="Times New Roman"/>
          <w:i/>
        </w:rPr>
        <w:t xml:space="preserve">Accounting, Auditing and Accountability Journal, </w:t>
      </w:r>
      <w:r>
        <w:rPr>
          <w:rFonts w:cs="Times New Roman"/>
        </w:rPr>
        <w:t>Vol. 28 No. 5, pp. 809-845.</w:t>
      </w:r>
    </w:p>
    <w:p w14:paraId="6F5BDA37" w14:textId="3D24F732" w:rsidR="00E94FCB" w:rsidRPr="00CB2EFD" w:rsidRDefault="00E94FCB" w:rsidP="00A22B9A">
      <w:pPr>
        <w:ind w:left="284" w:hanging="284"/>
        <w:rPr>
          <w:rFonts w:cs="Times New Roman"/>
        </w:rPr>
      </w:pPr>
      <w:r>
        <w:rPr>
          <w:rFonts w:cs="Times New Roman"/>
        </w:rPr>
        <w:t xml:space="preserve">Thompson, J., &amp; Chapman, J. (2006). The economic impact of local living wages. Briefing Paper.  Economic Policy Institute: Washington DC. Available at </w:t>
      </w:r>
      <w:hyperlink r:id="rId34" w:history="1">
        <w:r w:rsidRPr="008B7C40">
          <w:rPr>
            <w:rStyle w:val="Hyperlink"/>
            <w:rFonts w:cs="Times New Roman"/>
          </w:rPr>
          <w:t>https://www.epi.org/publication/bp170/</w:t>
        </w:r>
      </w:hyperlink>
      <w:r>
        <w:rPr>
          <w:rFonts w:cs="Times New Roman"/>
        </w:rPr>
        <w:t xml:space="preserve"> (accessed 23 April 2018). </w:t>
      </w:r>
    </w:p>
    <w:p w14:paraId="18A090B4" w14:textId="26521509" w:rsidR="001E3121" w:rsidRDefault="001E3121" w:rsidP="001E3121">
      <w:pPr>
        <w:ind w:left="284" w:hanging="284"/>
        <w:rPr>
          <w:rFonts w:cs="Times New Roman"/>
          <w:szCs w:val="24"/>
        </w:rPr>
      </w:pPr>
      <w:r w:rsidRPr="00601834">
        <w:rPr>
          <w:rFonts w:cs="Times New Roman"/>
          <w:szCs w:val="24"/>
        </w:rPr>
        <w:lastRenderedPageBreak/>
        <w:t>Tregidga, H. (</w:t>
      </w:r>
      <w:r>
        <w:rPr>
          <w:rFonts w:cs="Times New Roman"/>
          <w:szCs w:val="24"/>
        </w:rPr>
        <w:t>2017</w:t>
      </w:r>
      <w:r w:rsidRPr="00601834">
        <w:rPr>
          <w:rFonts w:cs="Times New Roman"/>
          <w:szCs w:val="24"/>
        </w:rPr>
        <w:t>).</w:t>
      </w:r>
      <w:r>
        <w:rPr>
          <w:rFonts w:cs="Times New Roman"/>
          <w:szCs w:val="24"/>
        </w:rPr>
        <w:t xml:space="preserve"> ““Speaking truth to power”: Analysing shadow reporting as a form of shadow accounting”, </w:t>
      </w:r>
      <w:r>
        <w:rPr>
          <w:rFonts w:cs="Times New Roman"/>
          <w:i/>
          <w:szCs w:val="24"/>
        </w:rPr>
        <w:t xml:space="preserve">Accounting, Auditing and Accountability Journal, </w:t>
      </w:r>
      <w:r>
        <w:rPr>
          <w:rFonts w:cs="Times New Roman"/>
          <w:szCs w:val="24"/>
        </w:rPr>
        <w:t>Vol</w:t>
      </w:r>
      <w:r w:rsidRPr="001E3121">
        <w:rPr>
          <w:rFonts w:cs="Times New Roman"/>
          <w:szCs w:val="24"/>
        </w:rPr>
        <w:t xml:space="preserve"> 30</w:t>
      </w:r>
      <w:r>
        <w:rPr>
          <w:rFonts w:cs="Times New Roman"/>
          <w:szCs w:val="24"/>
        </w:rPr>
        <w:t xml:space="preserve"> No 3, 510-533.</w:t>
      </w:r>
    </w:p>
    <w:p w14:paraId="7F19EC66" w14:textId="1ACA6C6F" w:rsidR="001E3121" w:rsidRDefault="001E3121" w:rsidP="001E3121">
      <w:pPr>
        <w:ind w:left="567" w:hanging="567"/>
        <w:rPr>
          <w:i/>
        </w:rPr>
      </w:pPr>
      <w:r w:rsidRPr="001473A4">
        <w:t>Tregidga, H., Milne, M. &amp; Kearins, K. (</w:t>
      </w:r>
      <w:r>
        <w:t>2015</w:t>
      </w:r>
      <w:r w:rsidRPr="001473A4">
        <w:t xml:space="preserve">). </w:t>
      </w:r>
      <w:r>
        <w:t>“</w:t>
      </w:r>
      <w:r w:rsidRPr="001473A4">
        <w:t>Ramping up Resistance: Corporate Sustainable Development and Academic Research</w:t>
      </w:r>
      <w:r>
        <w:t>”,</w:t>
      </w:r>
      <w:r w:rsidRPr="001473A4">
        <w:t xml:space="preserve"> </w:t>
      </w:r>
      <w:r w:rsidRPr="001473A4">
        <w:rPr>
          <w:i/>
        </w:rPr>
        <w:t>Business and Society.</w:t>
      </w:r>
    </w:p>
    <w:p w14:paraId="0022D909" w14:textId="59BF5AF2" w:rsidR="00665CFA" w:rsidRPr="00D23684" w:rsidRDefault="00665CFA" w:rsidP="001E3121">
      <w:pPr>
        <w:ind w:left="426" w:hanging="437"/>
        <w:rPr>
          <w:rFonts w:cs="Times New Roman"/>
          <w:noProof/>
          <w:szCs w:val="24"/>
        </w:rPr>
      </w:pPr>
      <w:r w:rsidRPr="00D23684">
        <w:rPr>
          <w:rFonts w:cs="Times New Roman"/>
          <w:noProof/>
          <w:szCs w:val="24"/>
        </w:rPr>
        <w:t>Tweedie, D. &amp; Hazelton, J. (2015)</w:t>
      </w:r>
      <w:r>
        <w:rPr>
          <w:rFonts w:cs="Times New Roman"/>
          <w:noProof/>
          <w:szCs w:val="24"/>
        </w:rPr>
        <w:t>, “</w:t>
      </w:r>
      <w:r w:rsidRPr="00D23684">
        <w:rPr>
          <w:rFonts w:cs="Times New Roman"/>
          <w:noProof/>
          <w:szCs w:val="24"/>
        </w:rPr>
        <w:t xml:space="preserve">Social accounting for inequality: Applying Picketty’s </w:t>
      </w:r>
      <w:r w:rsidRPr="00D23684">
        <w:rPr>
          <w:rFonts w:cs="Times New Roman"/>
          <w:i/>
          <w:noProof/>
          <w:szCs w:val="24"/>
        </w:rPr>
        <w:t>Capital in the Twenty-First Century</w:t>
      </w:r>
      <w:r>
        <w:rPr>
          <w:rFonts w:cs="Times New Roman"/>
          <w:i/>
          <w:noProof/>
          <w:szCs w:val="24"/>
        </w:rPr>
        <w:t>”</w:t>
      </w:r>
      <w:r w:rsidRPr="00D23684">
        <w:rPr>
          <w:rFonts w:cs="Times New Roman"/>
          <w:i/>
          <w:noProof/>
          <w:szCs w:val="24"/>
        </w:rPr>
        <w:t xml:space="preserve">, Social and Environmental Accountability Journal, </w:t>
      </w:r>
      <w:r>
        <w:rPr>
          <w:rFonts w:cs="Times New Roman"/>
          <w:noProof/>
          <w:szCs w:val="24"/>
        </w:rPr>
        <w:t xml:space="preserve">Vol 35 No </w:t>
      </w:r>
      <w:r w:rsidRPr="00D23684">
        <w:rPr>
          <w:rFonts w:cs="Times New Roman"/>
          <w:noProof/>
          <w:szCs w:val="24"/>
        </w:rPr>
        <w:t xml:space="preserve">2, </w:t>
      </w:r>
      <w:r>
        <w:rPr>
          <w:rFonts w:cs="Times New Roman"/>
          <w:noProof/>
          <w:szCs w:val="24"/>
        </w:rPr>
        <w:t xml:space="preserve">pp. </w:t>
      </w:r>
      <w:r w:rsidRPr="00D23684">
        <w:rPr>
          <w:rFonts w:cs="Times New Roman"/>
          <w:noProof/>
          <w:szCs w:val="24"/>
        </w:rPr>
        <w:t>113-122.</w:t>
      </w:r>
    </w:p>
    <w:p w14:paraId="4382F834" w14:textId="77777777" w:rsidR="00665CFA" w:rsidRPr="008F4393" w:rsidRDefault="00665CFA" w:rsidP="00A22B9A">
      <w:pPr>
        <w:ind w:left="720" w:hanging="720"/>
        <w:rPr>
          <w:rFonts w:cs="Times New Roman"/>
          <w:noProof/>
          <w:szCs w:val="24"/>
        </w:rPr>
      </w:pPr>
      <w:r>
        <w:rPr>
          <w:rFonts w:cs="Times New Roman"/>
          <w:noProof/>
          <w:szCs w:val="24"/>
        </w:rPr>
        <w:t>Uslaner, E. (2008), “</w:t>
      </w:r>
      <w:r w:rsidRPr="008F4393">
        <w:rPr>
          <w:rFonts w:cs="Times New Roman"/>
          <w:noProof/>
          <w:szCs w:val="24"/>
        </w:rPr>
        <w:t>The foundations of trust: macro an</w:t>
      </w:r>
      <w:r>
        <w:rPr>
          <w:rFonts w:cs="Times New Roman"/>
          <w:noProof/>
          <w:szCs w:val="24"/>
        </w:rPr>
        <w:t xml:space="preserve">d micro”, </w:t>
      </w:r>
      <w:r w:rsidRPr="008F4393">
        <w:rPr>
          <w:rFonts w:cs="Times New Roman"/>
          <w:i/>
          <w:noProof/>
          <w:szCs w:val="24"/>
        </w:rPr>
        <w:t>Cambridge Journal of Economics,</w:t>
      </w:r>
      <w:r w:rsidRPr="008F4393">
        <w:rPr>
          <w:rFonts w:cs="Times New Roman"/>
          <w:noProof/>
          <w:szCs w:val="24"/>
        </w:rPr>
        <w:t xml:space="preserve"> </w:t>
      </w:r>
      <w:r>
        <w:rPr>
          <w:rFonts w:cs="Times New Roman"/>
          <w:noProof/>
          <w:szCs w:val="24"/>
        </w:rPr>
        <w:t xml:space="preserve">Vol </w:t>
      </w:r>
      <w:r w:rsidRPr="008F4393">
        <w:rPr>
          <w:rFonts w:cs="Times New Roman"/>
          <w:noProof/>
          <w:szCs w:val="24"/>
        </w:rPr>
        <w:t xml:space="preserve">32, </w:t>
      </w:r>
      <w:r>
        <w:rPr>
          <w:rFonts w:cs="Times New Roman"/>
          <w:noProof/>
          <w:szCs w:val="24"/>
        </w:rPr>
        <w:t xml:space="preserve">pp. </w:t>
      </w:r>
      <w:r w:rsidRPr="008F4393">
        <w:rPr>
          <w:rFonts w:cs="Times New Roman"/>
          <w:noProof/>
          <w:szCs w:val="24"/>
        </w:rPr>
        <w:t>289-294.</w:t>
      </w:r>
    </w:p>
    <w:p w14:paraId="1278C4C0" w14:textId="2E89C62B" w:rsidR="00665CFA" w:rsidRPr="00D23684" w:rsidRDefault="00665CFA" w:rsidP="00A22B9A">
      <w:pPr>
        <w:ind w:left="426" w:hanging="437"/>
        <w:rPr>
          <w:rFonts w:cs="Times New Roman"/>
          <w:noProof/>
          <w:szCs w:val="24"/>
        </w:rPr>
      </w:pPr>
      <w:r>
        <w:rPr>
          <w:rFonts w:cs="Times New Roman"/>
          <w:noProof/>
          <w:szCs w:val="24"/>
        </w:rPr>
        <w:t>van Bommel, K. (2014), “</w:t>
      </w:r>
      <w:r w:rsidR="002B4CA3">
        <w:rPr>
          <w:rFonts w:cs="Times New Roman"/>
          <w:noProof/>
          <w:szCs w:val="24"/>
        </w:rPr>
        <w:t>T</w:t>
      </w:r>
      <w:r w:rsidRPr="00D23684">
        <w:rPr>
          <w:rFonts w:cs="Times New Roman"/>
          <w:noProof/>
          <w:szCs w:val="24"/>
        </w:rPr>
        <w:t>owards a legitimate compromise? An exploration of Integra</w:t>
      </w:r>
      <w:r>
        <w:rPr>
          <w:rFonts w:cs="Times New Roman"/>
          <w:noProof/>
          <w:szCs w:val="24"/>
        </w:rPr>
        <w:t xml:space="preserve">ted Reporting in the Netherland”, </w:t>
      </w:r>
      <w:r>
        <w:rPr>
          <w:rFonts w:cs="Times New Roman"/>
          <w:i/>
          <w:noProof/>
          <w:szCs w:val="24"/>
        </w:rPr>
        <w:t>Accounting, Auditing and</w:t>
      </w:r>
      <w:r w:rsidRPr="00D23684">
        <w:rPr>
          <w:rFonts w:cs="Times New Roman"/>
          <w:i/>
          <w:noProof/>
          <w:szCs w:val="24"/>
        </w:rPr>
        <w:t xml:space="preserve"> Accountability Journal, </w:t>
      </w:r>
      <w:r>
        <w:rPr>
          <w:rFonts w:cs="Times New Roman"/>
          <w:noProof/>
          <w:szCs w:val="24"/>
        </w:rPr>
        <w:t xml:space="preserve">Vol 27 No </w:t>
      </w:r>
      <w:r w:rsidRPr="00D23684">
        <w:rPr>
          <w:rFonts w:cs="Times New Roman"/>
          <w:noProof/>
          <w:szCs w:val="24"/>
        </w:rPr>
        <w:t xml:space="preserve">7, </w:t>
      </w:r>
      <w:r>
        <w:rPr>
          <w:rFonts w:cs="Times New Roman"/>
          <w:noProof/>
          <w:szCs w:val="24"/>
        </w:rPr>
        <w:t xml:space="preserve">pp. </w:t>
      </w:r>
      <w:r w:rsidRPr="00D23684">
        <w:rPr>
          <w:rFonts w:cs="Times New Roman"/>
          <w:noProof/>
          <w:szCs w:val="24"/>
        </w:rPr>
        <w:t>1157-1189.</w:t>
      </w:r>
    </w:p>
    <w:p w14:paraId="3E20B5C5" w14:textId="77777777" w:rsidR="00665CFA" w:rsidRPr="00D23684" w:rsidRDefault="00665CFA" w:rsidP="00A22B9A">
      <w:pPr>
        <w:ind w:left="426" w:hanging="437"/>
        <w:rPr>
          <w:rFonts w:eastAsiaTheme="majorEastAsia" w:cs="Times New Roman"/>
          <w:noProof/>
          <w:color w:val="000000" w:themeColor="text1"/>
          <w:szCs w:val="24"/>
        </w:rPr>
      </w:pPr>
      <w:r w:rsidRPr="00D23684">
        <w:rPr>
          <w:rFonts w:eastAsiaTheme="majorEastAsia" w:cs="Times New Roman"/>
          <w:noProof/>
          <w:color w:val="000000" w:themeColor="text1"/>
          <w:szCs w:val="24"/>
        </w:rPr>
        <w:t>van den Heuvel, K. (2012</w:t>
      </w:r>
      <w:r w:rsidRPr="00830F43">
        <w:rPr>
          <w:rFonts w:eastAsiaTheme="majorEastAsia" w:cs="Times New Roman"/>
          <w:noProof/>
          <w:color w:val="000000" w:themeColor="text1"/>
          <w:szCs w:val="24"/>
        </w:rPr>
        <w:t>), “Predistribution: A Big, New Idea”,</w:t>
      </w:r>
      <w:r>
        <w:rPr>
          <w:rFonts w:eastAsiaTheme="majorEastAsia" w:cs="Times New Roman"/>
          <w:noProof/>
          <w:color w:val="000000" w:themeColor="text1"/>
          <w:szCs w:val="24"/>
        </w:rPr>
        <w:t xml:space="preserve"> available at </w:t>
      </w:r>
      <w:r w:rsidRPr="00D23684">
        <w:rPr>
          <w:rFonts w:eastAsiaTheme="majorEastAsia" w:cs="Times New Roman"/>
          <w:noProof/>
          <w:color w:val="000000" w:themeColor="text1"/>
          <w:szCs w:val="24"/>
        </w:rPr>
        <w:t xml:space="preserve"> https://</w:t>
      </w:r>
      <w:hyperlink r:id="rId35" w:history="1">
        <w:r w:rsidRPr="00D23684">
          <w:rPr>
            <w:rStyle w:val="Hyperlink"/>
            <w:rFonts w:eastAsiaTheme="majorEastAsia" w:cs="Times New Roman"/>
            <w:noProof/>
            <w:szCs w:val="24"/>
          </w:rPr>
          <w:t>www.thenation.com/article/predistribution-big-new-idea/</w:t>
        </w:r>
      </w:hyperlink>
      <w:r>
        <w:rPr>
          <w:rStyle w:val="Hyperlink"/>
          <w:rFonts w:eastAsiaTheme="majorEastAsia" w:cs="Times New Roman"/>
          <w:noProof/>
          <w:szCs w:val="24"/>
        </w:rPr>
        <w:t xml:space="preserve"> </w:t>
      </w:r>
      <w:r>
        <w:rPr>
          <w:rFonts w:eastAsiaTheme="majorEastAsia" w:cs="Times New Roman"/>
          <w:noProof/>
          <w:color w:val="000000" w:themeColor="text1"/>
          <w:szCs w:val="24"/>
        </w:rPr>
        <w:t xml:space="preserve">(accessed </w:t>
      </w:r>
      <w:r w:rsidRPr="00D23684">
        <w:rPr>
          <w:rFonts w:eastAsiaTheme="majorEastAsia" w:cs="Times New Roman"/>
          <w:noProof/>
          <w:color w:val="000000" w:themeColor="text1"/>
          <w:szCs w:val="24"/>
        </w:rPr>
        <w:t>2 February 2016</w:t>
      </w:r>
      <w:r>
        <w:rPr>
          <w:rFonts w:eastAsiaTheme="majorEastAsia" w:cs="Times New Roman"/>
          <w:noProof/>
          <w:color w:val="000000" w:themeColor="text1"/>
          <w:szCs w:val="24"/>
        </w:rPr>
        <w:t>)</w:t>
      </w:r>
    </w:p>
    <w:p w14:paraId="07EA0D01" w14:textId="77777777" w:rsidR="00665CFA" w:rsidRPr="00D23684" w:rsidRDefault="00665CFA" w:rsidP="00A22B9A">
      <w:pPr>
        <w:ind w:left="426" w:hanging="437"/>
        <w:rPr>
          <w:rFonts w:cs="Times New Roman"/>
          <w:noProof/>
          <w:szCs w:val="24"/>
        </w:rPr>
      </w:pPr>
      <w:r w:rsidRPr="00D23684">
        <w:rPr>
          <w:rFonts w:eastAsiaTheme="majorEastAsia" w:cs="Times New Roman"/>
          <w:noProof/>
          <w:color w:val="000000" w:themeColor="text1"/>
          <w:szCs w:val="24"/>
        </w:rPr>
        <w:t>Wade, R. H. (2013)</w:t>
      </w:r>
      <w:r>
        <w:rPr>
          <w:rFonts w:eastAsiaTheme="majorEastAsia" w:cs="Times New Roman"/>
          <w:noProof/>
          <w:color w:val="000000" w:themeColor="text1"/>
          <w:szCs w:val="24"/>
        </w:rPr>
        <w:t>, “</w:t>
      </w:r>
      <w:r w:rsidRPr="00830F43">
        <w:rPr>
          <w:rFonts w:eastAsiaTheme="majorEastAsia" w:cs="Times New Roman"/>
          <w:noProof/>
          <w:color w:val="000000" w:themeColor="text1"/>
          <w:szCs w:val="24"/>
        </w:rPr>
        <w:t>The costs of inequality: Democratic capitalism at a tipping point?”,</w:t>
      </w:r>
      <w:r w:rsidRPr="00D23684">
        <w:rPr>
          <w:rFonts w:eastAsiaTheme="majorEastAsia" w:cs="Times New Roman"/>
          <w:noProof/>
          <w:color w:val="000000" w:themeColor="text1"/>
          <w:szCs w:val="24"/>
        </w:rPr>
        <w:t xml:space="preserve"> </w:t>
      </w:r>
      <w:r>
        <w:rPr>
          <w:rFonts w:eastAsiaTheme="majorEastAsia" w:cs="Times New Roman"/>
          <w:noProof/>
          <w:color w:val="000000" w:themeColor="text1"/>
          <w:szCs w:val="24"/>
        </w:rPr>
        <w:t>available at</w:t>
      </w:r>
      <w:r w:rsidRPr="00D23684">
        <w:rPr>
          <w:rFonts w:eastAsiaTheme="majorEastAsia" w:cs="Times New Roman"/>
          <w:noProof/>
          <w:color w:val="000000" w:themeColor="text1"/>
          <w:szCs w:val="24"/>
        </w:rPr>
        <w:t xml:space="preserve"> </w:t>
      </w:r>
      <w:hyperlink r:id="rId36" w:history="1">
        <w:r w:rsidRPr="00D23684">
          <w:rPr>
            <w:rStyle w:val="Hyperlink"/>
            <w:rFonts w:eastAsiaTheme="majorEastAsia" w:cs="Times New Roman"/>
            <w:noProof/>
            <w:szCs w:val="24"/>
          </w:rPr>
          <w:t>http://igps.victoria.ac.nz/events/Inequity%20Forum/FINAL_Robert%20Wade_VUW.pdf</w:t>
        </w:r>
      </w:hyperlink>
      <w:r>
        <w:rPr>
          <w:rStyle w:val="Hyperlink"/>
          <w:rFonts w:eastAsiaTheme="majorEastAsia" w:cs="Times New Roman"/>
          <w:noProof/>
          <w:szCs w:val="24"/>
        </w:rPr>
        <w:t xml:space="preserve"> </w:t>
      </w:r>
      <w:r>
        <w:rPr>
          <w:rFonts w:cs="Times New Roman"/>
          <w:noProof/>
          <w:szCs w:val="24"/>
        </w:rPr>
        <w:t>(accessed 15 April 2016).</w:t>
      </w:r>
    </w:p>
    <w:p w14:paraId="390188F3" w14:textId="77777777" w:rsidR="00665CFA" w:rsidRDefault="00665CFA" w:rsidP="00A22B9A">
      <w:pPr>
        <w:ind w:left="426" w:hanging="437"/>
        <w:rPr>
          <w:rFonts w:cs="Times New Roman"/>
          <w:noProof/>
          <w:szCs w:val="24"/>
        </w:rPr>
      </w:pPr>
      <w:r>
        <w:rPr>
          <w:rFonts w:cs="Times New Roman"/>
          <w:noProof/>
          <w:szCs w:val="24"/>
        </w:rPr>
        <w:t>Wagner, P. (1999), “</w:t>
      </w:r>
      <w:r w:rsidRPr="00D23684">
        <w:rPr>
          <w:rFonts w:cs="Times New Roman"/>
          <w:noProof/>
          <w:szCs w:val="24"/>
        </w:rPr>
        <w:t xml:space="preserve">After </w:t>
      </w:r>
      <w:r>
        <w:rPr>
          <w:rFonts w:cs="Times New Roman"/>
          <w:noProof/>
          <w:szCs w:val="24"/>
        </w:rPr>
        <w:t>j</w:t>
      </w:r>
      <w:r w:rsidRPr="00D23684">
        <w:rPr>
          <w:rFonts w:cs="Times New Roman"/>
          <w:noProof/>
          <w:szCs w:val="24"/>
        </w:rPr>
        <w:t xml:space="preserve">ustification: Repertoires of </w:t>
      </w:r>
      <w:r>
        <w:rPr>
          <w:rFonts w:cs="Times New Roman"/>
          <w:noProof/>
          <w:szCs w:val="24"/>
        </w:rPr>
        <w:t>evaluation and the sociology of m</w:t>
      </w:r>
      <w:r w:rsidRPr="00D23684">
        <w:rPr>
          <w:rFonts w:cs="Times New Roman"/>
          <w:noProof/>
          <w:szCs w:val="24"/>
        </w:rPr>
        <w:t>odernity</w:t>
      </w:r>
      <w:r>
        <w:rPr>
          <w:rFonts w:cs="Times New Roman"/>
          <w:noProof/>
          <w:szCs w:val="24"/>
        </w:rPr>
        <w:t xml:space="preserve">”, </w:t>
      </w:r>
      <w:r w:rsidRPr="00D23684">
        <w:rPr>
          <w:rFonts w:cs="Times New Roman"/>
          <w:i/>
          <w:noProof/>
          <w:szCs w:val="24"/>
        </w:rPr>
        <w:t xml:space="preserve">European Journal of Social Theory, </w:t>
      </w:r>
      <w:r>
        <w:rPr>
          <w:rFonts w:cs="Times New Roman"/>
          <w:noProof/>
          <w:szCs w:val="24"/>
        </w:rPr>
        <w:t xml:space="preserve">Vol 2 No </w:t>
      </w:r>
      <w:r w:rsidRPr="00D23684">
        <w:rPr>
          <w:rFonts w:cs="Times New Roman"/>
          <w:noProof/>
          <w:szCs w:val="24"/>
        </w:rPr>
        <w:t xml:space="preserve">3, </w:t>
      </w:r>
      <w:r>
        <w:rPr>
          <w:rFonts w:cs="Times New Roman"/>
          <w:noProof/>
          <w:szCs w:val="24"/>
        </w:rPr>
        <w:t xml:space="preserve">pp. </w:t>
      </w:r>
      <w:r w:rsidRPr="00D23684">
        <w:rPr>
          <w:rFonts w:cs="Times New Roman"/>
          <w:noProof/>
          <w:szCs w:val="24"/>
        </w:rPr>
        <w:t>341-357.</w:t>
      </w:r>
    </w:p>
    <w:p w14:paraId="0AEFA4DA" w14:textId="77777777" w:rsidR="00665CFA" w:rsidRPr="008F4393" w:rsidRDefault="00665CFA" w:rsidP="00A22B9A">
      <w:pPr>
        <w:ind w:left="720" w:hanging="720"/>
        <w:rPr>
          <w:rFonts w:cs="Times New Roman"/>
          <w:noProof/>
          <w:szCs w:val="24"/>
        </w:rPr>
      </w:pPr>
      <w:r w:rsidRPr="008F4393">
        <w:rPr>
          <w:rFonts w:cs="Times New Roman"/>
          <w:noProof/>
          <w:szCs w:val="24"/>
        </w:rPr>
        <w:t>Waldegrave, C. (2014)</w:t>
      </w:r>
      <w:r>
        <w:rPr>
          <w:rFonts w:cs="Times New Roman"/>
          <w:noProof/>
          <w:szCs w:val="24"/>
        </w:rPr>
        <w:t>, “</w:t>
      </w:r>
      <w:r w:rsidRPr="008F4393">
        <w:rPr>
          <w:rFonts w:cs="Times New Roman"/>
          <w:noProof/>
          <w:szCs w:val="24"/>
        </w:rPr>
        <w:t>Response to Brian Scott’s Critique: A review into a living wage rate in New Zealand</w:t>
      </w:r>
      <w:r>
        <w:rPr>
          <w:rFonts w:cs="Times New Roman"/>
          <w:noProof/>
          <w:szCs w:val="24"/>
        </w:rPr>
        <w:t>”, available at</w:t>
      </w:r>
      <w:r w:rsidRPr="008F4393">
        <w:rPr>
          <w:rFonts w:cs="Times New Roman"/>
          <w:noProof/>
          <w:szCs w:val="24"/>
        </w:rPr>
        <w:t xml:space="preserve"> </w:t>
      </w:r>
      <w:hyperlink r:id="rId37" w:history="1">
        <w:r w:rsidRPr="00BD67F2">
          <w:rPr>
            <w:rStyle w:val="Hyperlink"/>
            <w:rFonts w:cs="Times New Roman"/>
            <w:noProof/>
            <w:szCs w:val="24"/>
          </w:rPr>
          <w:t>https://d3n8a8pro7vhmx.cloudfront.net/nzlivingwage/pages/129/attachments/original/1434872264/Scott_response_to_LW_critique_1_14.pdf?1434872264</w:t>
        </w:r>
      </w:hyperlink>
      <w:r>
        <w:rPr>
          <w:rFonts w:cs="Times New Roman"/>
          <w:noProof/>
          <w:szCs w:val="24"/>
        </w:rPr>
        <w:t xml:space="preserve"> </w:t>
      </w:r>
    </w:p>
    <w:p w14:paraId="45E3DAE3" w14:textId="58F27189" w:rsidR="00AB0248" w:rsidRDefault="00AB0248" w:rsidP="00AB0248">
      <w:pPr>
        <w:ind w:left="426" w:hanging="437"/>
        <w:rPr>
          <w:rFonts w:eastAsiaTheme="majorEastAsia" w:cs="Times New Roman"/>
          <w:noProof/>
          <w:color w:val="000000" w:themeColor="text1"/>
          <w:szCs w:val="24"/>
        </w:rPr>
      </w:pPr>
      <w:r w:rsidRPr="00AB0248">
        <w:rPr>
          <w:rFonts w:eastAsiaTheme="majorEastAsia" w:cs="Times New Roman"/>
          <w:noProof/>
          <w:color w:val="000000" w:themeColor="text1"/>
          <w:szCs w:val="24"/>
        </w:rPr>
        <w:t>White, J. (2012, 19 August)</w:t>
      </w:r>
      <w:r w:rsidR="00F64EFF">
        <w:rPr>
          <w:rFonts w:eastAsiaTheme="majorEastAsia" w:cs="Times New Roman"/>
          <w:noProof/>
          <w:color w:val="000000" w:themeColor="text1"/>
          <w:szCs w:val="24"/>
        </w:rPr>
        <w:t>,</w:t>
      </w:r>
      <w:r w:rsidRPr="00AB0248">
        <w:rPr>
          <w:rFonts w:eastAsiaTheme="majorEastAsia" w:cs="Times New Roman"/>
          <w:noProof/>
          <w:color w:val="000000" w:themeColor="text1"/>
          <w:szCs w:val="24"/>
        </w:rPr>
        <w:t xml:space="preserve"> </w:t>
      </w:r>
      <w:r w:rsidR="00F64EFF">
        <w:rPr>
          <w:rFonts w:eastAsiaTheme="majorEastAsia" w:cs="Times New Roman"/>
          <w:noProof/>
          <w:color w:val="000000" w:themeColor="text1"/>
          <w:szCs w:val="24"/>
        </w:rPr>
        <w:t>“</w:t>
      </w:r>
      <w:r w:rsidRPr="00AB0248">
        <w:rPr>
          <w:rFonts w:eastAsiaTheme="majorEastAsia" w:cs="Times New Roman"/>
          <w:noProof/>
          <w:color w:val="000000" w:themeColor="text1"/>
          <w:szCs w:val="24"/>
        </w:rPr>
        <w:t>Address to the Living Wage Campaign, Auckland meeting</w:t>
      </w:r>
      <w:r w:rsidR="00F64EFF">
        <w:rPr>
          <w:rFonts w:eastAsiaTheme="majorEastAsia" w:cs="Times New Roman"/>
          <w:noProof/>
          <w:color w:val="000000" w:themeColor="text1"/>
          <w:szCs w:val="24"/>
        </w:rPr>
        <w:t>”</w:t>
      </w:r>
      <w:r w:rsidR="002B4CA3">
        <w:rPr>
          <w:rFonts w:eastAsiaTheme="majorEastAsia" w:cs="Times New Roman"/>
          <w:noProof/>
          <w:color w:val="000000" w:themeColor="text1"/>
          <w:szCs w:val="24"/>
        </w:rPr>
        <w:t>,</w:t>
      </w:r>
      <w:r w:rsidRPr="00AB0248">
        <w:rPr>
          <w:rFonts w:eastAsiaTheme="majorEastAsia" w:cs="Times New Roman"/>
          <w:noProof/>
          <w:color w:val="000000" w:themeColor="text1"/>
          <w:szCs w:val="24"/>
        </w:rPr>
        <w:t xml:space="preserve"> </w:t>
      </w:r>
      <w:r w:rsidR="002B4CA3">
        <w:rPr>
          <w:rFonts w:eastAsiaTheme="majorEastAsia" w:cs="Times New Roman"/>
          <w:noProof/>
          <w:color w:val="000000" w:themeColor="text1"/>
          <w:szCs w:val="24"/>
        </w:rPr>
        <w:t>r</w:t>
      </w:r>
      <w:r w:rsidRPr="00AB0248">
        <w:rPr>
          <w:rFonts w:eastAsiaTheme="majorEastAsia" w:cs="Times New Roman"/>
          <w:noProof/>
          <w:color w:val="000000" w:themeColor="text1"/>
          <w:szCs w:val="24"/>
        </w:rPr>
        <w:t xml:space="preserve">etrieved from </w:t>
      </w:r>
      <w:hyperlink r:id="rId38" w:history="1">
        <w:r w:rsidRPr="00EF74A4">
          <w:rPr>
            <w:rStyle w:val="Hyperlink"/>
            <w:rFonts w:eastAsiaTheme="majorEastAsia" w:cs="Times New Roman"/>
            <w:noProof/>
            <w:szCs w:val="24"/>
          </w:rPr>
          <w:t>http://www.livingwagenz.org.nz/resources.php</w:t>
        </w:r>
      </w:hyperlink>
      <w:r w:rsidR="002B4CA3">
        <w:rPr>
          <w:rFonts w:eastAsiaTheme="majorEastAsia" w:cs="Times New Roman"/>
          <w:noProof/>
          <w:color w:val="000000" w:themeColor="text1"/>
          <w:szCs w:val="24"/>
        </w:rPr>
        <w:t xml:space="preserve"> (accessed 8 July 2013).</w:t>
      </w:r>
    </w:p>
    <w:p w14:paraId="5C4EB5FC" w14:textId="77777777" w:rsidR="00C651A3" w:rsidRDefault="00FA4367" w:rsidP="00AB0248">
      <w:pPr>
        <w:ind w:left="426" w:hanging="437"/>
        <w:rPr>
          <w:rFonts w:eastAsiaTheme="majorEastAsia" w:cs="Times New Roman"/>
          <w:noProof/>
          <w:color w:val="000000" w:themeColor="text1"/>
          <w:szCs w:val="24"/>
        </w:rPr>
      </w:pPr>
      <w:r w:rsidRPr="00FA4367">
        <w:rPr>
          <w:rFonts w:eastAsiaTheme="majorEastAsia" w:cs="Times New Roman"/>
          <w:noProof/>
          <w:color w:val="000000" w:themeColor="text1"/>
          <w:szCs w:val="24"/>
        </w:rPr>
        <w:t>Wilkinson, R. (1996)</w:t>
      </w:r>
      <w:r>
        <w:rPr>
          <w:rFonts w:eastAsiaTheme="majorEastAsia" w:cs="Times New Roman"/>
          <w:noProof/>
          <w:color w:val="000000" w:themeColor="text1"/>
          <w:szCs w:val="24"/>
        </w:rPr>
        <w:t>,</w:t>
      </w:r>
      <w:r w:rsidRPr="00FA4367">
        <w:rPr>
          <w:rFonts w:eastAsiaTheme="majorEastAsia" w:cs="Times New Roman"/>
          <w:noProof/>
          <w:color w:val="000000" w:themeColor="text1"/>
          <w:szCs w:val="24"/>
        </w:rPr>
        <w:t xml:space="preserve"> </w:t>
      </w:r>
      <w:r w:rsidRPr="00C651A3">
        <w:rPr>
          <w:rFonts w:eastAsiaTheme="majorEastAsia" w:cs="Times New Roman"/>
          <w:i/>
          <w:noProof/>
          <w:color w:val="000000" w:themeColor="text1"/>
          <w:szCs w:val="24"/>
        </w:rPr>
        <w:t>Unhealthy societies: the afflictions of inequality</w:t>
      </w:r>
      <w:r w:rsidRPr="00FA4367">
        <w:rPr>
          <w:rFonts w:eastAsiaTheme="majorEastAsia" w:cs="Times New Roman"/>
          <w:noProof/>
          <w:color w:val="000000" w:themeColor="text1"/>
          <w:szCs w:val="24"/>
        </w:rPr>
        <w:t>. London: Routledge.</w:t>
      </w:r>
    </w:p>
    <w:p w14:paraId="2693F91E" w14:textId="52A875C3" w:rsidR="00665CFA" w:rsidRPr="00D23684" w:rsidRDefault="00665CFA" w:rsidP="00AB0248">
      <w:pPr>
        <w:ind w:left="426" w:hanging="437"/>
        <w:rPr>
          <w:rFonts w:eastAsiaTheme="majorEastAsia" w:cs="Times New Roman"/>
          <w:noProof/>
          <w:color w:val="000000" w:themeColor="text1"/>
          <w:szCs w:val="24"/>
        </w:rPr>
      </w:pPr>
      <w:r w:rsidRPr="00D23684">
        <w:rPr>
          <w:rFonts w:eastAsiaTheme="majorEastAsia" w:cs="Times New Roman"/>
          <w:noProof/>
          <w:color w:val="000000" w:themeColor="text1"/>
          <w:szCs w:val="24"/>
        </w:rPr>
        <w:t xml:space="preserve">World Economic Forum. (2014). </w:t>
      </w:r>
      <w:r w:rsidRPr="00D23684">
        <w:rPr>
          <w:rFonts w:eastAsiaTheme="majorEastAsia" w:cs="Times New Roman"/>
          <w:i/>
          <w:noProof/>
          <w:color w:val="000000" w:themeColor="text1"/>
          <w:szCs w:val="24"/>
        </w:rPr>
        <w:t>Global Risk Report</w:t>
      </w:r>
      <w:r>
        <w:rPr>
          <w:rFonts w:eastAsiaTheme="majorEastAsia" w:cs="Times New Roman"/>
          <w:noProof/>
          <w:color w:val="000000" w:themeColor="text1"/>
          <w:szCs w:val="24"/>
        </w:rPr>
        <w:t xml:space="preserve"> (9th ed.). </w:t>
      </w:r>
      <w:r w:rsidRPr="00D23684">
        <w:rPr>
          <w:rFonts w:eastAsiaTheme="majorEastAsia" w:cs="Times New Roman"/>
          <w:noProof/>
          <w:color w:val="000000" w:themeColor="text1"/>
          <w:szCs w:val="24"/>
        </w:rPr>
        <w:t>World Economic Forum</w:t>
      </w:r>
      <w:r>
        <w:rPr>
          <w:rFonts w:eastAsiaTheme="majorEastAsia" w:cs="Times New Roman"/>
          <w:noProof/>
          <w:color w:val="000000" w:themeColor="text1"/>
          <w:szCs w:val="24"/>
        </w:rPr>
        <w:t>: Geneva</w:t>
      </w:r>
      <w:r w:rsidRPr="00D23684">
        <w:rPr>
          <w:rFonts w:eastAsiaTheme="majorEastAsia" w:cs="Times New Roman"/>
          <w:noProof/>
          <w:color w:val="000000" w:themeColor="text1"/>
          <w:szCs w:val="24"/>
        </w:rPr>
        <w:t>.</w:t>
      </w:r>
    </w:p>
    <w:p w14:paraId="15C8B709" w14:textId="1D451743" w:rsidR="00665CFA" w:rsidRDefault="00665CFA" w:rsidP="00A22B9A">
      <w:pPr>
        <w:ind w:left="426" w:hanging="437"/>
        <w:rPr>
          <w:rFonts w:cs="Times New Roman"/>
          <w:noProof/>
          <w:szCs w:val="24"/>
        </w:rPr>
      </w:pPr>
      <w:r>
        <w:rPr>
          <w:rFonts w:cs="Times New Roman"/>
          <w:noProof/>
          <w:szCs w:val="24"/>
        </w:rPr>
        <w:lastRenderedPageBreak/>
        <w:t>Young, A. (2012), “</w:t>
      </w:r>
      <w:r w:rsidRPr="00830F43">
        <w:rPr>
          <w:rFonts w:cs="Times New Roman"/>
          <w:noProof/>
          <w:szCs w:val="24"/>
        </w:rPr>
        <w:t>Bach, boat tax dodges hit by Budget</w:t>
      </w:r>
      <w:r>
        <w:rPr>
          <w:rFonts w:cs="Times New Roman"/>
          <w:noProof/>
          <w:szCs w:val="24"/>
        </w:rPr>
        <w:t xml:space="preserve">”, available at  </w:t>
      </w:r>
      <w:hyperlink r:id="rId39" w:history="1">
        <w:r w:rsidRPr="00830F43">
          <w:rPr>
            <w:rStyle w:val="Hyperlink"/>
            <w:rFonts w:cs="Times New Roman"/>
            <w:noProof/>
            <w:szCs w:val="24"/>
          </w:rPr>
          <w:t>http://www.nzherald.co.nz/business/news/article.cfm?c_id=3&amp;objectid=10807836</w:t>
        </w:r>
      </w:hyperlink>
      <w:r>
        <w:rPr>
          <w:rStyle w:val="Hyperlink"/>
          <w:rFonts w:cs="Times New Roman"/>
          <w:noProof/>
          <w:szCs w:val="24"/>
        </w:rPr>
        <w:t xml:space="preserve"> </w:t>
      </w:r>
      <w:r>
        <w:rPr>
          <w:rFonts w:cs="Times New Roman"/>
          <w:noProof/>
          <w:szCs w:val="24"/>
        </w:rPr>
        <w:t>(accessed 14 January 2016).</w:t>
      </w:r>
    </w:p>
    <w:p w14:paraId="66F8E9FF" w14:textId="08B03644" w:rsidR="00196D0D" w:rsidRDefault="00196D0D">
      <w:pPr>
        <w:spacing w:after="160" w:line="259" w:lineRule="auto"/>
        <w:rPr>
          <w:rFonts w:cs="Times New Roman"/>
          <w:noProof/>
          <w:szCs w:val="24"/>
        </w:rPr>
      </w:pPr>
      <w:r>
        <w:rPr>
          <w:rFonts w:cs="Times New Roman"/>
          <w:noProof/>
          <w:szCs w:val="24"/>
        </w:rPr>
        <w:br w:type="page"/>
      </w:r>
    </w:p>
    <w:p w14:paraId="2CC7E9DA" w14:textId="77777777" w:rsidR="00196D0D" w:rsidRDefault="00196D0D" w:rsidP="00196D0D">
      <w:pPr>
        <w:rPr>
          <w:b/>
          <w:i/>
          <w:color w:val="000000" w:themeColor="text1"/>
        </w:rPr>
      </w:pPr>
      <w:r w:rsidRPr="00172C81">
        <w:rPr>
          <w:b/>
          <w:i/>
          <w:color w:val="000000" w:themeColor="text1"/>
        </w:rPr>
        <w:lastRenderedPageBreak/>
        <w:t>Table 1: Summ</w:t>
      </w:r>
      <w:r>
        <w:rPr>
          <w:b/>
          <w:i/>
          <w:color w:val="000000" w:themeColor="text1"/>
        </w:rPr>
        <w:t xml:space="preserve">ary of the six orders of worth </w:t>
      </w:r>
      <w:r w:rsidRPr="00172C81">
        <w:rPr>
          <w:b/>
          <w:i/>
          <w:color w:val="000000" w:themeColor="text1"/>
        </w:rPr>
        <w:t xml:space="preserve"> </w:t>
      </w:r>
    </w:p>
    <w:tbl>
      <w:tblPr>
        <w:tblStyle w:val="TableGrid"/>
        <w:tblW w:w="9209" w:type="dxa"/>
        <w:tblLayout w:type="fixed"/>
        <w:tblLook w:val="04A0" w:firstRow="1" w:lastRow="0" w:firstColumn="1" w:lastColumn="0" w:noHBand="0" w:noVBand="1"/>
      </w:tblPr>
      <w:tblGrid>
        <w:gridCol w:w="1271"/>
        <w:gridCol w:w="1559"/>
        <w:gridCol w:w="1276"/>
        <w:gridCol w:w="1276"/>
        <w:gridCol w:w="1134"/>
        <w:gridCol w:w="1134"/>
        <w:gridCol w:w="1559"/>
      </w:tblGrid>
      <w:tr w:rsidR="00196D0D" w:rsidRPr="00ED3D66" w14:paraId="0D37899B" w14:textId="77777777" w:rsidTr="00B25937">
        <w:tc>
          <w:tcPr>
            <w:tcW w:w="1271" w:type="dxa"/>
          </w:tcPr>
          <w:p w14:paraId="0C631FD9" w14:textId="77777777" w:rsidR="00196D0D" w:rsidRPr="00ED3D66" w:rsidRDefault="00196D0D" w:rsidP="00B25937">
            <w:pPr>
              <w:rPr>
                <w:b/>
                <w:color w:val="000000" w:themeColor="text1"/>
                <w:sz w:val="20"/>
              </w:rPr>
            </w:pPr>
          </w:p>
        </w:tc>
        <w:tc>
          <w:tcPr>
            <w:tcW w:w="1559" w:type="dxa"/>
          </w:tcPr>
          <w:p w14:paraId="51C97E87" w14:textId="77777777" w:rsidR="00196D0D" w:rsidRPr="00ED3D66" w:rsidRDefault="00196D0D" w:rsidP="00B25937">
            <w:pPr>
              <w:rPr>
                <w:b/>
                <w:color w:val="000000" w:themeColor="text1"/>
                <w:sz w:val="20"/>
              </w:rPr>
            </w:pPr>
            <w:r w:rsidRPr="00ED3D66">
              <w:rPr>
                <w:b/>
                <w:color w:val="000000" w:themeColor="text1"/>
                <w:sz w:val="20"/>
              </w:rPr>
              <w:t>Market</w:t>
            </w:r>
          </w:p>
        </w:tc>
        <w:tc>
          <w:tcPr>
            <w:tcW w:w="1276" w:type="dxa"/>
          </w:tcPr>
          <w:p w14:paraId="3A07F1D0" w14:textId="77777777" w:rsidR="00196D0D" w:rsidRPr="00ED3D66" w:rsidRDefault="00196D0D" w:rsidP="00B25937">
            <w:pPr>
              <w:rPr>
                <w:b/>
                <w:color w:val="000000" w:themeColor="text1"/>
                <w:sz w:val="20"/>
              </w:rPr>
            </w:pPr>
            <w:r w:rsidRPr="00ED3D66">
              <w:rPr>
                <w:b/>
                <w:color w:val="000000" w:themeColor="text1"/>
                <w:sz w:val="20"/>
              </w:rPr>
              <w:t>Industrial</w:t>
            </w:r>
          </w:p>
        </w:tc>
        <w:tc>
          <w:tcPr>
            <w:tcW w:w="1276" w:type="dxa"/>
          </w:tcPr>
          <w:p w14:paraId="5DD47A33" w14:textId="77777777" w:rsidR="00196D0D" w:rsidRPr="00ED3D66" w:rsidRDefault="00196D0D" w:rsidP="00B25937">
            <w:pPr>
              <w:rPr>
                <w:b/>
                <w:color w:val="000000" w:themeColor="text1"/>
                <w:sz w:val="20"/>
              </w:rPr>
            </w:pPr>
            <w:r w:rsidRPr="00ED3D66">
              <w:rPr>
                <w:b/>
                <w:color w:val="000000" w:themeColor="text1"/>
                <w:sz w:val="20"/>
              </w:rPr>
              <w:t>Civic</w:t>
            </w:r>
          </w:p>
        </w:tc>
        <w:tc>
          <w:tcPr>
            <w:tcW w:w="1134" w:type="dxa"/>
          </w:tcPr>
          <w:p w14:paraId="3B60D4DD" w14:textId="77777777" w:rsidR="00196D0D" w:rsidRPr="00ED3D66" w:rsidRDefault="00196D0D" w:rsidP="00B25937">
            <w:pPr>
              <w:rPr>
                <w:b/>
                <w:color w:val="000000" w:themeColor="text1"/>
                <w:sz w:val="20"/>
              </w:rPr>
            </w:pPr>
            <w:r w:rsidRPr="00ED3D66">
              <w:rPr>
                <w:b/>
                <w:color w:val="000000" w:themeColor="text1"/>
                <w:sz w:val="20"/>
              </w:rPr>
              <w:t>Domestic</w:t>
            </w:r>
          </w:p>
        </w:tc>
        <w:tc>
          <w:tcPr>
            <w:tcW w:w="1134" w:type="dxa"/>
          </w:tcPr>
          <w:p w14:paraId="0CD2F010" w14:textId="77777777" w:rsidR="00196D0D" w:rsidRPr="00ED3D66" w:rsidRDefault="00196D0D" w:rsidP="00B25937">
            <w:pPr>
              <w:rPr>
                <w:b/>
                <w:color w:val="000000" w:themeColor="text1"/>
                <w:sz w:val="20"/>
              </w:rPr>
            </w:pPr>
            <w:r w:rsidRPr="00ED3D66">
              <w:rPr>
                <w:b/>
                <w:color w:val="000000" w:themeColor="text1"/>
                <w:sz w:val="20"/>
              </w:rPr>
              <w:t>Opinion</w:t>
            </w:r>
          </w:p>
        </w:tc>
        <w:tc>
          <w:tcPr>
            <w:tcW w:w="1559" w:type="dxa"/>
          </w:tcPr>
          <w:p w14:paraId="13505E1F" w14:textId="77777777" w:rsidR="00196D0D" w:rsidRPr="00ED3D66" w:rsidRDefault="00196D0D" w:rsidP="00B25937">
            <w:pPr>
              <w:rPr>
                <w:b/>
                <w:color w:val="000000" w:themeColor="text1"/>
                <w:sz w:val="20"/>
              </w:rPr>
            </w:pPr>
            <w:r w:rsidRPr="00ED3D66">
              <w:rPr>
                <w:b/>
                <w:color w:val="000000" w:themeColor="text1"/>
                <w:sz w:val="20"/>
              </w:rPr>
              <w:t>Inspired</w:t>
            </w:r>
          </w:p>
        </w:tc>
      </w:tr>
      <w:tr w:rsidR="00196D0D" w:rsidRPr="00ED3D66" w14:paraId="3E7D63BC" w14:textId="77777777" w:rsidTr="00B25937">
        <w:tc>
          <w:tcPr>
            <w:tcW w:w="1271" w:type="dxa"/>
          </w:tcPr>
          <w:p w14:paraId="26A6B795" w14:textId="77777777" w:rsidR="00196D0D" w:rsidRPr="00ED3D66" w:rsidRDefault="00196D0D" w:rsidP="00B25937">
            <w:pPr>
              <w:spacing w:line="240" w:lineRule="auto"/>
              <w:rPr>
                <w:b/>
                <w:color w:val="000000" w:themeColor="text1"/>
                <w:sz w:val="20"/>
              </w:rPr>
            </w:pPr>
            <w:r w:rsidRPr="00ED3D66">
              <w:rPr>
                <w:b/>
                <w:color w:val="000000" w:themeColor="text1"/>
                <w:sz w:val="20"/>
              </w:rPr>
              <w:t>Mode of evaluation</w:t>
            </w:r>
          </w:p>
        </w:tc>
        <w:tc>
          <w:tcPr>
            <w:tcW w:w="1559" w:type="dxa"/>
          </w:tcPr>
          <w:p w14:paraId="64DD926A" w14:textId="77777777" w:rsidR="00196D0D" w:rsidRPr="00ED3D66" w:rsidRDefault="00196D0D" w:rsidP="00B25937">
            <w:pPr>
              <w:spacing w:line="240" w:lineRule="auto"/>
              <w:rPr>
                <w:color w:val="000000" w:themeColor="text1"/>
                <w:sz w:val="20"/>
              </w:rPr>
            </w:pPr>
            <w:r w:rsidRPr="00ED3D66">
              <w:rPr>
                <w:color w:val="000000" w:themeColor="text1"/>
                <w:sz w:val="20"/>
              </w:rPr>
              <w:t>Price, cost</w:t>
            </w:r>
          </w:p>
        </w:tc>
        <w:tc>
          <w:tcPr>
            <w:tcW w:w="1276" w:type="dxa"/>
          </w:tcPr>
          <w:p w14:paraId="2346CAB2" w14:textId="77777777" w:rsidR="00196D0D" w:rsidRPr="00ED3D66" w:rsidRDefault="00196D0D" w:rsidP="00B25937">
            <w:pPr>
              <w:spacing w:line="240" w:lineRule="auto"/>
              <w:rPr>
                <w:color w:val="000000" w:themeColor="text1"/>
                <w:sz w:val="20"/>
              </w:rPr>
            </w:pPr>
            <w:r w:rsidRPr="00ED3D66">
              <w:rPr>
                <w:color w:val="000000" w:themeColor="text1"/>
                <w:sz w:val="20"/>
              </w:rPr>
              <w:t>Technical efficiency</w:t>
            </w:r>
          </w:p>
        </w:tc>
        <w:tc>
          <w:tcPr>
            <w:tcW w:w="1276" w:type="dxa"/>
          </w:tcPr>
          <w:p w14:paraId="6DDACE80" w14:textId="77777777" w:rsidR="00196D0D" w:rsidRPr="00ED3D66" w:rsidRDefault="00196D0D" w:rsidP="00B25937">
            <w:pPr>
              <w:spacing w:line="240" w:lineRule="auto"/>
              <w:rPr>
                <w:color w:val="000000" w:themeColor="text1"/>
                <w:sz w:val="20"/>
              </w:rPr>
            </w:pPr>
            <w:r w:rsidRPr="00ED3D66">
              <w:rPr>
                <w:color w:val="000000" w:themeColor="text1"/>
                <w:sz w:val="20"/>
              </w:rPr>
              <w:t>Collective welfare</w:t>
            </w:r>
          </w:p>
        </w:tc>
        <w:tc>
          <w:tcPr>
            <w:tcW w:w="1134" w:type="dxa"/>
          </w:tcPr>
          <w:p w14:paraId="7E30FB68" w14:textId="77777777" w:rsidR="00196D0D" w:rsidRPr="00ED3D66" w:rsidRDefault="00196D0D" w:rsidP="00B25937">
            <w:pPr>
              <w:spacing w:line="240" w:lineRule="auto"/>
              <w:rPr>
                <w:color w:val="000000" w:themeColor="text1"/>
                <w:sz w:val="20"/>
              </w:rPr>
            </w:pPr>
            <w:r w:rsidRPr="00ED3D66">
              <w:rPr>
                <w:color w:val="000000" w:themeColor="text1"/>
                <w:sz w:val="20"/>
              </w:rPr>
              <w:t>Esteem, reputation</w:t>
            </w:r>
          </w:p>
        </w:tc>
        <w:tc>
          <w:tcPr>
            <w:tcW w:w="1134" w:type="dxa"/>
          </w:tcPr>
          <w:p w14:paraId="3829CF2D" w14:textId="77777777" w:rsidR="00196D0D" w:rsidRPr="00ED3D66" w:rsidRDefault="00196D0D" w:rsidP="00B25937">
            <w:pPr>
              <w:spacing w:line="240" w:lineRule="auto"/>
              <w:rPr>
                <w:color w:val="000000" w:themeColor="text1"/>
                <w:sz w:val="20"/>
              </w:rPr>
            </w:pPr>
            <w:r w:rsidRPr="00ED3D66">
              <w:rPr>
                <w:color w:val="000000" w:themeColor="text1"/>
                <w:sz w:val="20"/>
              </w:rPr>
              <w:t>Renown, fame</w:t>
            </w:r>
          </w:p>
        </w:tc>
        <w:tc>
          <w:tcPr>
            <w:tcW w:w="1559" w:type="dxa"/>
          </w:tcPr>
          <w:p w14:paraId="36FDB7B5" w14:textId="77777777" w:rsidR="00196D0D" w:rsidRPr="00ED3D66" w:rsidRDefault="00196D0D" w:rsidP="00B25937">
            <w:pPr>
              <w:spacing w:line="240" w:lineRule="auto"/>
              <w:rPr>
                <w:color w:val="000000" w:themeColor="text1"/>
                <w:sz w:val="20"/>
              </w:rPr>
            </w:pPr>
            <w:r w:rsidRPr="00ED3D66">
              <w:rPr>
                <w:color w:val="000000" w:themeColor="text1"/>
                <w:sz w:val="20"/>
              </w:rPr>
              <w:t>Creativity, grace</w:t>
            </w:r>
          </w:p>
        </w:tc>
      </w:tr>
      <w:tr w:rsidR="00196D0D" w:rsidRPr="00ED3D66" w14:paraId="1C835F82" w14:textId="77777777" w:rsidTr="00B25937">
        <w:tc>
          <w:tcPr>
            <w:tcW w:w="1271" w:type="dxa"/>
          </w:tcPr>
          <w:p w14:paraId="6B67F9FD" w14:textId="77777777" w:rsidR="00196D0D" w:rsidRPr="00ED3D66" w:rsidRDefault="00196D0D" w:rsidP="00B25937">
            <w:pPr>
              <w:spacing w:line="240" w:lineRule="auto"/>
              <w:rPr>
                <w:b/>
                <w:color w:val="000000" w:themeColor="text1"/>
                <w:sz w:val="20"/>
              </w:rPr>
            </w:pPr>
            <w:r w:rsidRPr="00ED3D66">
              <w:rPr>
                <w:b/>
                <w:color w:val="000000" w:themeColor="text1"/>
                <w:sz w:val="20"/>
              </w:rPr>
              <w:t>Test</w:t>
            </w:r>
          </w:p>
        </w:tc>
        <w:tc>
          <w:tcPr>
            <w:tcW w:w="1559" w:type="dxa"/>
          </w:tcPr>
          <w:p w14:paraId="0EEE3ED2" w14:textId="77777777" w:rsidR="00196D0D" w:rsidRPr="00ED3D66" w:rsidRDefault="00196D0D" w:rsidP="00B25937">
            <w:pPr>
              <w:spacing w:line="240" w:lineRule="auto"/>
              <w:rPr>
                <w:color w:val="000000" w:themeColor="text1"/>
                <w:sz w:val="20"/>
              </w:rPr>
            </w:pPr>
            <w:r w:rsidRPr="00ED3D66">
              <w:rPr>
                <w:color w:val="000000" w:themeColor="text1"/>
                <w:sz w:val="20"/>
              </w:rPr>
              <w:t>Market competitiveness</w:t>
            </w:r>
          </w:p>
        </w:tc>
        <w:tc>
          <w:tcPr>
            <w:tcW w:w="1276" w:type="dxa"/>
          </w:tcPr>
          <w:p w14:paraId="64ECC4F2" w14:textId="77777777" w:rsidR="00196D0D" w:rsidRPr="00ED3D66" w:rsidRDefault="00196D0D" w:rsidP="00B25937">
            <w:pPr>
              <w:spacing w:line="240" w:lineRule="auto"/>
              <w:rPr>
                <w:color w:val="000000" w:themeColor="text1"/>
                <w:sz w:val="20"/>
              </w:rPr>
            </w:pPr>
            <w:r w:rsidRPr="00ED3D66">
              <w:rPr>
                <w:color w:val="000000" w:themeColor="text1"/>
                <w:sz w:val="20"/>
              </w:rPr>
              <w:t>Competence, reliability, planning</w:t>
            </w:r>
          </w:p>
        </w:tc>
        <w:tc>
          <w:tcPr>
            <w:tcW w:w="1276" w:type="dxa"/>
          </w:tcPr>
          <w:p w14:paraId="6A4C5CC4" w14:textId="77777777" w:rsidR="00196D0D" w:rsidRPr="00ED3D66" w:rsidRDefault="00196D0D" w:rsidP="00B25937">
            <w:pPr>
              <w:spacing w:line="240" w:lineRule="auto"/>
              <w:rPr>
                <w:color w:val="000000" w:themeColor="text1"/>
                <w:sz w:val="20"/>
              </w:rPr>
            </w:pPr>
            <w:r w:rsidRPr="00ED3D66">
              <w:rPr>
                <w:color w:val="000000" w:themeColor="text1"/>
                <w:sz w:val="20"/>
              </w:rPr>
              <w:t>Equality, solidarity</w:t>
            </w:r>
          </w:p>
        </w:tc>
        <w:tc>
          <w:tcPr>
            <w:tcW w:w="1134" w:type="dxa"/>
          </w:tcPr>
          <w:p w14:paraId="0E8FB7C7" w14:textId="77777777" w:rsidR="00196D0D" w:rsidRPr="00ED3D66" w:rsidRDefault="00196D0D" w:rsidP="00B25937">
            <w:pPr>
              <w:spacing w:line="240" w:lineRule="auto"/>
              <w:rPr>
                <w:color w:val="000000" w:themeColor="text1"/>
                <w:sz w:val="20"/>
              </w:rPr>
            </w:pPr>
            <w:r w:rsidRPr="00ED3D66">
              <w:rPr>
                <w:color w:val="000000" w:themeColor="text1"/>
                <w:sz w:val="20"/>
              </w:rPr>
              <w:t>Trust-worthiness</w:t>
            </w:r>
          </w:p>
        </w:tc>
        <w:tc>
          <w:tcPr>
            <w:tcW w:w="1134" w:type="dxa"/>
          </w:tcPr>
          <w:p w14:paraId="3A8A0856" w14:textId="77777777" w:rsidR="00196D0D" w:rsidRPr="00ED3D66" w:rsidRDefault="00196D0D" w:rsidP="00B25937">
            <w:pPr>
              <w:spacing w:line="240" w:lineRule="auto"/>
              <w:rPr>
                <w:color w:val="000000" w:themeColor="text1"/>
                <w:sz w:val="20"/>
              </w:rPr>
            </w:pPr>
            <w:r w:rsidRPr="00ED3D66">
              <w:rPr>
                <w:color w:val="000000" w:themeColor="text1"/>
                <w:sz w:val="20"/>
              </w:rPr>
              <w:t>Popularity, recognition</w:t>
            </w:r>
          </w:p>
        </w:tc>
        <w:tc>
          <w:tcPr>
            <w:tcW w:w="1559" w:type="dxa"/>
          </w:tcPr>
          <w:p w14:paraId="5C6EAA2D" w14:textId="77777777" w:rsidR="00196D0D" w:rsidRPr="00ED3D66" w:rsidRDefault="00196D0D" w:rsidP="00B25937">
            <w:pPr>
              <w:spacing w:line="240" w:lineRule="auto"/>
              <w:rPr>
                <w:color w:val="000000" w:themeColor="text1"/>
                <w:sz w:val="20"/>
              </w:rPr>
            </w:pPr>
            <w:r w:rsidRPr="00ED3D66">
              <w:rPr>
                <w:color w:val="000000" w:themeColor="text1"/>
                <w:sz w:val="20"/>
              </w:rPr>
              <w:t>Passion, enthusiasm</w:t>
            </w:r>
          </w:p>
        </w:tc>
      </w:tr>
      <w:tr w:rsidR="00196D0D" w:rsidRPr="00ED3D66" w14:paraId="7161C191" w14:textId="77777777" w:rsidTr="00B25937">
        <w:tc>
          <w:tcPr>
            <w:tcW w:w="1271" w:type="dxa"/>
          </w:tcPr>
          <w:p w14:paraId="76F3CBED" w14:textId="77777777" w:rsidR="00196D0D" w:rsidRPr="00ED3D66" w:rsidRDefault="00196D0D" w:rsidP="00B25937">
            <w:pPr>
              <w:spacing w:line="240" w:lineRule="auto"/>
              <w:rPr>
                <w:b/>
                <w:color w:val="000000" w:themeColor="text1"/>
                <w:sz w:val="20"/>
              </w:rPr>
            </w:pPr>
            <w:r w:rsidRPr="00ED3D66">
              <w:rPr>
                <w:b/>
                <w:color w:val="000000" w:themeColor="text1"/>
                <w:sz w:val="20"/>
              </w:rPr>
              <w:t>Form of proof</w:t>
            </w:r>
          </w:p>
        </w:tc>
        <w:tc>
          <w:tcPr>
            <w:tcW w:w="1559" w:type="dxa"/>
          </w:tcPr>
          <w:p w14:paraId="01E32ACD" w14:textId="77777777" w:rsidR="00196D0D" w:rsidRPr="00ED3D66" w:rsidRDefault="00196D0D" w:rsidP="00B25937">
            <w:pPr>
              <w:spacing w:line="240" w:lineRule="auto"/>
              <w:rPr>
                <w:color w:val="000000" w:themeColor="text1"/>
                <w:sz w:val="20"/>
              </w:rPr>
            </w:pPr>
            <w:r w:rsidRPr="00ED3D66">
              <w:rPr>
                <w:color w:val="000000" w:themeColor="text1"/>
                <w:sz w:val="20"/>
              </w:rPr>
              <w:t>Monetary</w:t>
            </w:r>
          </w:p>
        </w:tc>
        <w:tc>
          <w:tcPr>
            <w:tcW w:w="1276" w:type="dxa"/>
          </w:tcPr>
          <w:p w14:paraId="02EDBCF0" w14:textId="77777777" w:rsidR="00196D0D" w:rsidRPr="00ED3D66" w:rsidRDefault="00196D0D" w:rsidP="00B25937">
            <w:pPr>
              <w:spacing w:line="240" w:lineRule="auto"/>
              <w:rPr>
                <w:color w:val="000000" w:themeColor="text1"/>
                <w:sz w:val="20"/>
              </w:rPr>
            </w:pPr>
            <w:r w:rsidRPr="00ED3D66">
              <w:rPr>
                <w:color w:val="000000" w:themeColor="text1"/>
                <w:sz w:val="20"/>
              </w:rPr>
              <w:t>Measurable: criteria, statistics</w:t>
            </w:r>
          </w:p>
        </w:tc>
        <w:tc>
          <w:tcPr>
            <w:tcW w:w="1276" w:type="dxa"/>
          </w:tcPr>
          <w:p w14:paraId="7575FB15" w14:textId="77777777" w:rsidR="00196D0D" w:rsidRPr="00ED3D66" w:rsidRDefault="00196D0D" w:rsidP="00B25937">
            <w:pPr>
              <w:spacing w:line="240" w:lineRule="auto"/>
              <w:rPr>
                <w:color w:val="000000" w:themeColor="text1"/>
                <w:sz w:val="20"/>
              </w:rPr>
            </w:pPr>
            <w:r w:rsidRPr="00ED3D66">
              <w:rPr>
                <w:color w:val="000000" w:themeColor="text1"/>
                <w:sz w:val="20"/>
              </w:rPr>
              <w:t>Formal, official</w:t>
            </w:r>
          </w:p>
        </w:tc>
        <w:tc>
          <w:tcPr>
            <w:tcW w:w="1134" w:type="dxa"/>
          </w:tcPr>
          <w:p w14:paraId="4A2E58CC" w14:textId="77777777" w:rsidR="00196D0D" w:rsidRPr="00ED3D66" w:rsidRDefault="00196D0D" w:rsidP="00B25937">
            <w:pPr>
              <w:spacing w:line="240" w:lineRule="auto"/>
              <w:rPr>
                <w:color w:val="000000" w:themeColor="text1"/>
                <w:sz w:val="20"/>
              </w:rPr>
            </w:pPr>
            <w:r w:rsidRPr="00ED3D66">
              <w:rPr>
                <w:color w:val="000000" w:themeColor="text1"/>
                <w:sz w:val="20"/>
              </w:rPr>
              <w:t>Oral, personally warranted</w:t>
            </w:r>
          </w:p>
        </w:tc>
        <w:tc>
          <w:tcPr>
            <w:tcW w:w="1134" w:type="dxa"/>
          </w:tcPr>
          <w:p w14:paraId="6F116C56" w14:textId="77777777" w:rsidR="00196D0D" w:rsidRPr="00ED3D66" w:rsidRDefault="00196D0D" w:rsidP="00B25937">
            <w:pPr>
              <w:spacing w:line="240" w:lineRule="auto"/>
              <w:rPr>
                <w:color w:val="000000" w:themeColor="text1"/>
                <w:sz w:val="20"/>
              </w:rPr>
            </w:pPr>
            <w:r w:rsidRPr="00ED3D66">
              <w:rPr>
                <w:color w:val="000000" w:themeColor="text1"/>
                <w:sz w:val="20"/>
              </w:rPr>
              <w:t>Semiotic</w:t>
            </w:r>
          </w:p>
        </w:tc>
        <w:tc>
          <w:tcPr>
            <w:tcW w:w="1559" w:type="dxa"/>
          </w:tcPr>
          <w:p w14:paraId="0A762478" w14:textId="77777777" w:rsidR="00196D0D" w:rsidRPr="00ED3D66" w:rsidRDefault="00196D0D" w:rsidP="00B25937">
            <w:pPr>
              <w:spacing w:line="240" w:lineRule="auto"/>
              <w:rPr>
                <w:color w:val="000000" w:themeColor="text1"/>
                <w:sz w:val="20"/>
              </w:rPr>
            </w:pPr>
            <w:r w:rsidRPr="00ED3D66">
              <w:rPr>
                <w:color w:val="000000" w:themeColor="text1"/>
                <w:sz w:val="20"/>
              </w:rPr>
              <w:t>Emotional involvement and expression</w:t>
            </w:r>
          </w:p>
        </w:tc>
      </w:tr>
      <w:tr w:rsidR="00196D0D" w:rsidRPr="00ED3D66" w14:paraId="47472F19" w14:textId="77777777" w:rsidTr="00B25937">
        <w:tc>
          <w:tcPr>
            <w:tcW w:w="1271" w:type="dxa"/>
          </w:tcPr>
          <w:p w14:paraId="4E4BDDCC" w14:textId="77777777" w:rsidR="00196D0D" w:rsidRPr="00ED3D66" w:rsidRDefault="00196D0D" w:rsidP="00B25937">
            <w:pPr>
              <w:spacing w:line="240" w:lineRule="auto"/>
              <w:rPr>
                <w:b/>
                <w:color w:val="000000" w:themeColor="text1"/>
                <w:sz w:val="20"/>
              </w:rPr>
            </w:pPr>
            <w:r w:rsidRPr="00ED3D66">
              <w:rPr>
                <w:b/>
                <w:color w:val="000000" w:themeColor="text1"/>
                <w:sz w:val="20"/>
              </w:rPr>
              <w:t>Qualified objects</w:t>
            </w:r>
          </w:p>
        </w:tc>
        <w:tc>
          <w:tcPr>
            <w:tcW w:w="1559" w:type="dxa"/>
          </w:tcPr>
          <w:p w14:paraId="4F88BA58" w14:textId="77777777" w:rsidR="00196D0D" w:rsidRPr="00ED3D66" w:rsidRDefault="00196D0D" w:rsidP="00B25937">
            <w:pPr>
              <w:spacing w:line="240" w:lineRule="auto"/>
              <w:rPr>
                <w:color w:val="000000" w:themeColor="text1"/>
                <w:sz w:val="20"/>
              </w:rPr>
            </w:pPr>
            <w:r w:rsidRPr="00ED3D66">
              <w:rPr>
                <w:color w:val="000000" w:themeColor="text1"/>
                <w:sz w:val="20"/>
              </w:rPr>
              <w:t>Freely circulating market good or service</w:t>
            </w:r>
          </w:p>
        </w:tc>
        <w:tc>
          <w:tcPr>
            <w:tcW w:w="1276" w:type="dxa"/>
          </w:tcPr>
          <w:p w14:paraId="4B6196A3" w14:textId="77777777" w:rsidR="00196D0D" w:rsidRPr="00ED3D66" w:rsidRDefault="00196D0D" w:rsidP="00B25937">
            <w:pPr>
              <w:spacing w:line="240" w:lineRule="auto"/>
              <w:rPr>
                <w:color w:val="000000" w:themeColor="text1"/>
                <w:sz w:val="20"/>
              </w:rPr>
            </w:pPr>
            <w:r w:rsidRPr="00ED3D66">
              <w:rPr>
                <w:color w:val="000000" w:themeColor="text1"/>
                <w:sz w:val="20"/>
              </w:rPr>
              <w:t>Technical object, method, plan</w:t>
            </w:r>
          </w:p>
        </w:tc>
        <w:tc>
          <w:tcPr>
            <w:tcW w:w="1276" w:type="dxa"/>
          </w:tcPr>
          <w:p w14:paraId="79DCCECB" w14:textId="77777777" w:rsidR="00196D0D" w:rsidRPr="00ED3D66" w:rsidRDefault="00196D0D" w:rsidP="00B25937">
            <w:pPr>
              <w:spacing w:line="240" w:lineRule="auto"/>
              <w:rPr>
                <w:color w:val="000000" w:themeColor="text1"/>
                <w:sz w:val="20"/>
              </w:rPr>
            </w:pPr>
            <w:r w:rsidRPr="00ED3D66">
              <w:rPr>
                <w:color w:val="000000" w:themeColor="text1"/>
                <w:sz w:val="20"/>
              </w:rPr>
              <w:t>Rule and regulations, welfare policies</w:t>
            </w:r>
          </w:p>
        </w:tc>
        <w:tc>
          <w:tcPr>
            <w:tcW w:w="1134" w:type="dxa"/>
          </w:tcPr>
          <w:p w14:paraId="26F62AF3" w14:textId="77777777" w:rsidR="00196D0D" w:rsidRPr="00ED3D66" w:rsidRDefault="00196D0D" w:rsidP="00B25937">
            <w:pPr>
              <w:spacing w:line="240" w:lineRule="auto"/>
              <w:rPr>
                <w:color w:val="000000" w:themeColor="text1"/>
                <w:sz w:val="20"/>
              </w:rPr>
            </w:pPr>
            <w:r w:rsidRPr="00ED3D66">
              <w:rPr>
                <w:color w:val="000000" w:themeColor="text1"/>
                <w:sz w:val="20"/>
              </w:rPr>
              <w:t>Patrimony, locale, heritage</w:t>
            </w:r>
          </w:p>
        </w:tc>
        <w:tc>
          <w:tcPr>
            <w:tcW w:w="1134" w:type="dxa"/>
          </w:tcPr>
          <w:p w14:paraId="4CDA60A7" w14:textId="77777777" w:rsidR="00196D0D" w:rsidRPr="00ED3D66" w:rsidRDefault="00196D0D" w:rsidP="00B25937">
            <w:pPr>
              <w:spacing w:line="240" w:lineRule="auto"/>
              <w:rPr>
                <w:color w:val="000000" w:themeColor="text1"/>
                <w:sz w:val="20"/>
              </w:rPr>
            </w:pPr>
            <w:r w:rsidRPr="00ED3D66">
              <w:rPr>
                <w:color w:val="000000" w:themeColor="text1"/>
                <w:sz w:val="20"/>
              </w:rPr>
              <w:t>Sign, media</w:t>
            </w:r>
          </w:p>
        </w:tc>
        <w:tc>
          <w:tcPr>
            <w:tcW w:w="1559" w:type="dxa"/>
          </w:tcPr>
          <w:p w14:paraId="70BABF3B" w14:textId="77777777" w:rsidR="00196D0D" w:rsidRPr="00ED3D66" w:rsidRDefault="00196D0D" w:rsidP="00B25937">
            <w:pPr>
              <w:spacing w:line="240" w:lineRule="auto"/>
              <w:rPr>
                <w:color w:val="000000" w:themeColor="text1"/>
                <w:sz w:val="20"/>
              </w:rPr>
            </w:pPr>
            <w:r w:rsidRPr="00ED3D66">
              <w:rPr>
                <w:color w:val="000000" w:themeColor="text1"/>
                <w:sz w:val="20"/>
              </w:rPr>
              <w:t>Emotionally invested body or item</w:t>
            </w:r>
          </w:p>
        </w:tc>
      </w:tr>
      <w:tr w:rsidR="00196D0D" w:rsidRPr="00ED3D66" w14:paraId="01564826" w14:textId="77777777" w:rsidTr="00B25937">
        <w:tc>
          <w:tcPr>
            <w:tcW w:w="1271" w:type="dxa"/>
          </w:tcPr>
          <w:p w14:paraId="10E6A4E2" w14:textId="77777777" w:rsidR="00196D0D" w:rsidRPr="00ED3D66" w:rsidRDefault="00196D0D" w:rsidP="00B25937">
            <w:pPr>
              <w:spacing w:line="240" w:lineRule="auto"/>
              <w:rPr>
                <w:b/>
                <w:color w:val="000000" w:themeColor="text1"/>
                <w:sz w:val="20"/>
              </w:rPr>
            </w:pPr>
            <w:r w:rsidRPr="00ED3D66">
              <w:rPr>
                <w:b/>
                <w:color w:val="000000" w:themeColor="text1"/>
                <w:sz w:val="20"/>
              </w:rPr>
              <w:t>Qualified human being</w:t>
            </w:r>
          </w:p>
        </w:tc>
        <w:tc>
          <w:tcPr>
            <w:tcW w:w="1559" w:type="dxa"/>
          </w:tcPr>
          <w:p w14:paraId="7B501A8F" w14:textId="77777777" w:rsidR="00196D0D" w:rsidRPr="00ED3D66" w:rsidRDefault="00196D0D" w:rsidP="00B25937">
            <w:pPr>
              <w:spacing w:line="240" w:lineRule="auto"/>
              <w:rPr>
                <w:color w:val="000000" w:themeColor="text1"/>
                <w:sz w:val="20"/>
              </w:rPr>
            </w:pPr>
            <w:r w:rsidRPr="00ED3D66">
              <w:rPr>
                <w:color w:val="000000" w:themeColor="text1"/>
                <w:sz w:val="20"/>
              </w:rPr>
              <w:t>Consumer, seller</w:t>
            </w:r>
          </w:p>
        </w:tc>
        <w:tc>
          <w:tcPr>
            <w:tcW w:w="1276" w:type="dxa"/>
          </w:tcPr>
          <w:p w14:paraId="4B17E373" w14:textId="77777777" w:rsidR="00196D0D" w:rsidRPr="00ED3D66" w:rsidRDefault="00196D0D" w:rsidP="00B25937">
            <w:pPr>
              <w:spacing w:line="240" w:lineRule="auto"/>
              <w:rPr>
                <w:color w:val="000000" w:themeColor="text1"/>
                <w:sz w:val="20"/>
              </w:rPr>
            </w:pPr>
            <w:r w:rsidRPr="00ED3D66">
              <w:rPr>
                <w:color w:val="000000" w:themeColor="text1"/>
                <w:sz w:val="20"/>
              </w:rPr>
              <w:t>Professional, expert</w:t>
            </w:r>
          </w:p>
        </w:tc>
        <w:tc>
          <w:tcPr>
            <w:tcW w:w="1276" w:type="dxa"/>
          </w:tcPr>
          <w:p w14:paraId="6E7D8439" w14:textId="77777777" w:rsidR="00196D0D" w:rsidRPr="00ED3D66" w:rsidRDefault="00196D0D" w:rsidP="00B25937">
            <w:pPr>
              <w:spacing w:line="240" w:lineRule="auto"/>
              <w:rPr>
                <w:color w:val="000000" w:themeColor="text1"/>
                <w:sz w:val="20"/>
              </w:rPr>
            </w:pPr>
            <w:r w:rsidRPr="00ED3D66">
              <w:rPr>
                <w:color w:val="000000" w:themeColor="text1"/>
                <w:sz w:val="20"/>
              </w:rPr>
              <w:t>Equal citizens, solidarity unions</w:t>
            </w:r>
          </w:p>
        </w:tc>
        <w:tc>
          <w:tcPr>
            <w:tcW w:w="1134" w:type="dxa"/>
          </w:tcPr>
          <w:p w14:paraId="6046698E" w14:textId="77777777" w:rsidR="00196D0D" w:rsidRPr="00ED3D66" w:rsidRDefault="00196D0D" w:rsidP="00B25937">
            <w:pPr>
              <w:spacing w:line="240" w:lineRule="auto"/>
              <w:rPr>
                <w:color w:val="000000" w:themeColor="text1"/>
                <w:sz w:val="20"/>
              </w:rPr>
            </w:pPr>
            <w:r w:rsidRPr="00ED3D66">
              <w:rPr>
                <w:color w:val="000000" w:themeColor="text1"/>
                <w:sz w:val="20"/>
              </w:rPr>
              <w:t>Authority</w:t>
            </w:r>
          </w:p>
        </w:tc>
        <w:tc>
          <w:tcPr>
            <w:tcW w:w="1134" w:type="dxa"/>
          </w:tcPr>
          <w:p w14:paraId="084C4754" w14:textId="77777777" w:rsidR="00196D0D" w:rsidRPr="00ED3D66" w:rsidRDefault="00196D0D" w:rsidP="00B25937">
            <w:pPr>
              <w:spacing w:line="240" w:lineRule="auto"/>
              <w:rPr>
                <w:color w:val="000000" w:themeColor="text1"/>
                <w:sz w:val="20"/>
              </w:rPr>
            </w:pPr>
            <w:r w:rsidRPr="00ED3D66">
              <w:rPr>
                <w:color w:val="000000" w:themeColor="text1"/>
                <w:sz w:val="20"/>
              </w:rPr>
              <w:t>Celebrity</w:t>
            </w:r>
          </w:p>
        </w:tc>
        <w:tc>
          <w:tcPr>
            <w:tcW w:w="1559" w:type="dxa"/>
          </w:tcPr>
          <w:p w14:paraId="715913B7" w14:textId="77777777" w:rsidR="00196D0D" w:rsidRPr="00ED3D66" w:rsidRDefault="00196D0D" w:rsidP="00B25937">
            <w:pPr>
              <w:spacing w:line="240" w:lineRule="auto"/>
              <w:rPr>
                <w:color w:val="000000" w:themeColor="text1"/>
                <w:sz w:val="20"/>
              </w:rPr>
            </w:pPr>
            <w:r w:rsidRPr="00ED3D66">
              <w:rPr>
                <w:color w:val="000000" w:themeColor="text1"/>
                <w:sz w:val="20"/>
              </w:rPr>
              <w:t>Creative beings</w:t>
            </w:r>
          </w:p>
        </w:tc>
      </w:tr>
      <w:tr w:rsidR="00196D0D" w:rsidRPr="00ED3D66" w14:paraId="505FCA6E" w14:textId="77777777" w:rsidTr="00B25937">
        <w:tc>
          <w:tcPr>
            <w:tcW w:w="1271" w:type="dxa"/>
          </w:tcPr>
          <w:p w14:paraId="661A863C" w14:textId="77777777" w:rsidR="00196D0D" w:rsidRPr="00ED3D66" w:rsidRDefault="00196D0D" w:rsidP="00B25937">
            <w:pPr>
              <w:spacing w:line="240" w:lineRule="auto"/>
              <w:rPr>
                <w:b/>
                <w:color w:val="000000" w:themeColor="text1"/>
                <w:sz w:val="20"/>
              </w:rPr>
            </w:pPr>
            <w:r w:rsidRPr="00ED3D66">
              <w:rPr>
                <w:b/>
                <w:color w:val="000000" w:themeColor="text1"/>
                <w:sz w:val="20"/>
              </w:rPr>
              <w:t>Time formation</w:t>
            </w:r>
          </w:p>
        </w:tc>
        <w:tc>
          <w:tcPr>
            <w:tcW w:w="1559" w:type="dxa"/>
          </w:tcPr>
          <w:p w14:paraId="229CA0FD" w14:textId="77777777" w:rsidR="00196D0D" w:rsidRPr="00ED3D66" w:rsidRDefault="00196D0D" w:rsidP="00B25937">
            <w:pPr>
              <w:spacing w:line="240" w:lineRule="auto"/>
              <w:rPr>
                <w:color w:val="000000" w:themeColor="text1"/>
                <w:sz w:val="20"/>
              </w:rPr>
            </w:pPr>
            <w:r w:rsidRPr="00ED3D66">
              <w:rPr>
                <w:color w:val="000000" w:themeColor="text1"/>
                <w:sz w:val="20"/>
              </w:rPr>
              <w:t>Short-term, flexible</w:t>
            </w:r>
          </w:p>
        </w:tc>
        <w:tc>
          <w:tcPr>
            <w:tcW w:w="1276" w:type="dxa"/>
          </w:tcPr>
          <w:p w14:paraId="6DD8CC25" w14:textId="77777777" w:rsidR="00196D0D" w:rsidRPr="00ED3D66" w:rsidRDefault="00196D0D" w:rsidP="00B25937">
            <w:pPr>
              <w:spacing w:line="240" w:lineRule="auto"/>
              <w:rPr>
                <w:color w:val="000000" w:themeColor="text1"/>
                <w:sz w:val="20"/>
              </w:rPr>
            </w:pPr>
            <w:r w:rsidRPr="00ED3D66">
              <w:rPr>
                <w:color w:val="000000" w:themeColor="text1"/>
                <w:sz w:val="20"/>
              </w:rPr>
              <w:t>Long-term planned future</w:t>
            </w:r>
          </w:p>
        </w:tc>
        <w:tc>
          <w:tcPr>
            <w:tcW w:w="1276" w:type="dxa"/>
          </w:tcPr>
          <w:p w14:paraId="311C9729" w14:textId="77777777" w:rsidR="00196D0D" w:rsidRPr="00ED3D66" w:rsidRDefault="00196D0D" w:rsidP="00B25937">
            <w:pPr>
              <w:spacing w:line="240" w:lineRule="auto"/>
              <w:rPr>
                <w:color w:val="000000" w:themeColor="text1"/>
                <w:sz w:val="20"/>
              </w:rPr>
            </w:pPr>
            <w:r w:rsidRPr="00ED3D66">
              <w:rPr>
                <w:color w:val="000000" w:themeColor="text1"/>
                <w:sz w:val="20"/>
              </w:rPr>
              <w:t>Perennial</w:t>
            </w:r>
          </w:p>
        </w:tc>
        <w:tc>
          <w:tcPr>
            <w:tcW w:w="1134" w:type="dxa"/>
          </w:tcPr>
          <w:p w14:paraId="30DFD324" w14:textId="77777777" w:rsidR="00196D0D" w:rsidRPr="00ED3D66" w:rsidRDefault="00196D0D" w:rsidP="00B25937">
            <w:pPr>
              <w:spacing w:line="240" w:lineRule="auto"/>
              <w:rPr>
                <w:color w:val="000000" w:themeColor="text1"/>
                <w:sz w:val="20"/>
              </w:rPr>
            </w:pPr>
            <w:r w:rsidRPr="00ED3D66">
              <w:rPr>
                <w:color w:val="000000" w:themeColor="text1"/>
                <w:sz w:val="20"/>
              </w:rPr>
              <w:t>Customary past</w:t>
            </w:r>
          </w:p>
        </w:tc>
        <w:tc>
          <w:tcPr>
            <w:tcW w:w="1134" w:type="dxa"/>
          </w:tcPr>
          <w:p w14:paraId="15B3DE5A" w14:textId="77777777" w:rsidR="00196D0D" w:rsidRPr="00ED3D66" w:rsidRDefault="00196D0D" w:rsidP="00B25937">
            <w:pPr>
              <w:spacing w:line="240" w:lineRule="auto"/>
              <w:rPr>
                <w:color w:val="000000" w:themeColor="text1"/>
                <w:sz w:val="20"/>
              </w:rPr>
            </w:pPr>
            <w:r w:rsidRPr="00ED3D66">
              <w:rPr>
                <w:color w:val="000000" w:themeColor="text1"/>
                <w:sz w:val="20"/>
              </w:rPr>
              <w:t>Vogue, trend</w:t>
            </w:r>
          </w:p>
        </w:tc>
        <w:tc>
          <w:tcPr>
            <w:tcW w:w="1559" w:type="dxa"/>
          </w:tcPr>
          <w:p w14:paraId="3065E71B" w14:textId="77777777" w:rsidR="00196D0D" w:rsidRPr="00ED3D66" w:rsidRDefault="00196D0D" w:rsidP="00B25937">
            <w:pPr>
              <w:spacing w:line="240" w:lineRule="auto"/>
              <w:rPr>
                <w:color w:val="000000" w:themeColor="text1"/>
                <w:sz w:val="20"/>
              </w:rPr>
            </w:pPr>
            <w:r w:rsidRPr="00ED3D66">
              <w:rPr>
                <w:color w:val="000000" w:themeColor="text1"/>
                <w:sz w:val="20"/>
              </w:rPr>
              <w:t>Revolutionary, visionary moment</w:t>
            </w:r>
          </w:p>
        </w:tc>
      </w:tr>
    </w:tbl>
    <w:p w14:paraId="05E5ACB7" w14:textId="77777777" w:rsidR="00196D0D" w:rsidRPr="00ED3D66" w:rsidRDefault="00196D0D" w:rsidP="00196D0D">
      <w:pPr>
        <w:rPr>
          <w:i/>
          <w:color w:val="000000" w:themeColor="text1"/>
        </w:rPr>
      </w:pPr>
      <w:r>
        <w:rPr>
          <w:i/>
          <w:color w:val="000000" w:themeColor="text1"/>
        </w:rPr>
        <w:t>Source: adapted from Thévenot, Moody &amp; Lafaye, 2000, p. 241.</w:t>
      </w:r>
    </w:p>
    <w:p w14:paraId="571F9849" w14:textId="77777777" w:rsidR="00196D0D" w:rsidRDefault="00196D0D" w:rsidP="00196D0D">
      <w:pPr>
        <w:spacing w:after="160" w:line="259" w:lineRule="auto"/>
        <w:rPr>
          <w:rFonts w:cs="Times New Roman"/>
          <w:b/>
          <w:i/>
          <w:color w:val="000000" w:themeColor="text1"/>
        </w:rPr>
      </w:pPr>
      <w:r>
        <w:rPr>
          <w:rFonts w:cs="Times New Roman"/>
          <w:b/>
          <w:i/>
          <w:color w:val="000000" w:themeColor="text1"/>
        </w:rPr>
        <w:br w:type="page"/>
      </w:r>
    </w:p>
    <w:p w14:paraId="7221FE03" w14:textId="77777777" w:rsidR="00196D0D" w:rsidRPr="007012D7" w:rsidRDefault="00196D0D" w:rsidP="00196D0D">
      <w:pPr>
        <w:spacing w:after="160" w:line="259" w:lineRule="auto"/>
        <w:rPr>
          <w:rFonts w:eastAsia="Times New Roman"/>
          <w:b/>
          <w:i/>
          <w:color w:val="000000"/>
        </w:rPr>
      </w:pPr>
      <w:r w:rsidRPr="007012D7">
        <w:rPr>
          <w:rFonts w:eastAsia="Times New Roman"/>
          <w:b/>
          <w:i/>
          <w:color w:val="000000"/>
        </w:rPr>
        <w:lastRenderedPageBreak/>
        <w:t>Figure 1: References to “living wage” in the public sphere</w:t>
      </w:r>
    </w:p>
    <w:p w14:paraId="1D1A9C99" w14:textId="77777777" w:rsidR="00196D0D" w:rsidRDefault="00196D0D" w:rsidP="00196D0D">
      <w:pPr>
        <w:spacing w:after="160" w:line="259" w:lineRule="auto"/>
        <w:rPr>
          <w:rFonts w:ascii="Calibri" w:eastAsia="Times New Roman" w:hAnsi="Calibri"/>
          <w:color w:val="000000"/>
          <w:sz w:val="20"/>
          <w:szCs w:val="20"/>
        </w:rPr>
      </w:pPr>
      <w:r>
        <w:rPr>
          <w:rFonts w:ascii="Calibri" w:eastAsia="Times New Roman" w:hAnsi="Calibri"/>
          <w:noProof/>
          <w:color w:val="000000"/>
          <w:sz w:val="20"/>
          <w:szCs w:val="20"/>
          <w:lang w:val="en-US"/>
        </w:rPr>
        <w:drawing>
          <wp:inline distT="0" distB="0" distL="0" distR="0" wp14:anchorId="3958C1C4" wp14:editId="1D0E46C2">
            <wp:extent cx="4584700" cy="2749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p w14:paraId="20F65574" w14:textId="77777777" w:rsidR="00196D0D" w:rsidRDefault="00196D0D" w:rsidP="00196D0D">
      <w:pPr>
        <w:spacing w:after="160" w:line="259" w:lineRule="auto"/>
        <w:rPr>
          <w:rFonts w:cs="Times New Roman"/>
          <w:b/>
          <w:i/>
          <w:color w:val="000000" w:themeColor="text1"/>
        </w:rPr>
      </w:pPr>
      <w:r>
        <w:rPr>
          <w:rFonts w:cs="Times New Roman"/>
          <w:b/>
          <w:i/>
          <w:color w:val="000000" w:themeColor="text1"/>
        </w:rPr>
        <w:br w:type="page"/>
      </w:r>
    </w:p>
    <w:p w14:paraId="2538FBA3" w14:textId="77777777" w:rsidR="00196D0D" w:rsidRPr="007012D7" w:rsidRDefault="00196D0D" w:rsidP="00196D0D">
      <w:pPr>
        <w:spacing w:after="160" w:line="259" w:lineRule="auto"/>
        <w:rPr>
          <w:rFonts w:eastAsia="Times New Roman"/>
          <w:b/>
          <w:i/>
          <w:color w:val="000000"/>
        </w:rPr>
      </w:pPr>
      <w:r w:rsidRPr="007012D7">
        <w:rPr>
          <w:rFonts w:eastAsia="Times New Roman"/>
          <w:b/>
          <w:i/>
          <w:color w:val="000000"/>
        </w:rPr>
        <w:lastRenderedPageBreak/>
        <w:t>Table 2: Dataset by source and type</w:t>
      </w:r>
    </w:p>
    <w:p w14:paraId="161A7469" w14:textId="77777777" w:rsidR="00196D0D" w:rsidRDefault="00196D0D" w:rsidP="00196D0D">
      <w:pPr>
        <w:spacing w:after="160" w:line="259" w:lineRule="auto"/>
        <w:rPr>
          <w:rFonts w:ascii="Calibri" w:eastAsia="Times New Roman" w:hAnsi="Calibri"/>
          <w:b/>
          <w:color w:val="000000"/>
          <w:sz w:val="20"/>
          <w:szCs w:val="20"/>
        </w:rPr>
      </w:pPr>
      <w:r>
        <w:rPr>
          <w:rFonts w:eastAsia="Times New Roman"/>
          <w:b/>
          <w:i/>
          <w:noProof/>
          <w:color w:val="000000"/>
          <w:lang w:val="en-US"/>
        </w:rPr>
        <mc:AlternateContent>
          <mc:Choice Requires="wpc">
            <w:drawing>
              <wp:anchor distT="0" distB="0" distL="114300" distR="114300" simplePos="0" relativeHeight="251659264" behindDoc="0" locked="0" layoutInCell="1" allowOverlap="1" wp14:anchorId="47BD500D" wp14:editId="44B4D8D1">
                <wp:simplePos x="0" y="0"/>
                <wp:positionH relativeFrom="column">
                  <wp:posOffset>-195580</wp:posOffset>
                </wp:positionH>
                <wp:positionV relativeFrom="paragraph">
                  <wp:posOffset>280670</wp:posOffset>
                </wp:positionV>
                <wp:extent cx="5800725" cy="690880"/>
                <wp:effectExtent l="0" t="0" r="0" b="13970"/>
                <wp:wrapNone/>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818515" y="13970"/>
                            <a:ext cx="5397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CA25D" w14:textId="77777777" w:rsidR="00196D0D" w:rsidRDefault="00196D0D" w:rsidP="00196D0D">
                              <w:r>
                                <w:rPr>
                                  <w:rFonts w:ascii="Calibri" w:hAnsi="Calibri" w:cs="Calibri"/>
                                  <w:color w:val="000000"/>
                                  <w:sz w:val="16"/>
                                  <w:szCs w:val="16"/>
                                  <w:lang w:val="en-US"/>
                                </w:rPr>
                                <w:t>Press release</w:t>
                              </w:r>
                            </w:p>
                          </w:txbxContent>
                        </wps:txbx>
                        <wps:bodyPr rot="0" vert="horz" wrap="none" lIns="0" tIns="0" rIns="0" bIns="0" anchor="t" anchorCtr="0">
                          <a:spAutoFit/>
                        </wps:bodyPr>
                      </wps:wsp>
                      <wps:wsp>
                        <wps:cNvPr id="5" name="Rectangle 6"/>
                        <wps:cNvSpPr>
                          <a:spLocks noChangeArrowheads="1"/>
                        </wps:cNvSpPr>
                        <wps:spPr bwMode="auto">
                          <a:xfrm>
                            <a:off x="1561465" y="13970"/>
                            <a:ext cx="4260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3475" w14:textId="77777777" w:rsidR="00196D0D" w:rsidRDefault="00196D0D" w:rsidP="00196D0D">
                              <w:r>
                                <w:rPr>
                                  <w:rFonts w:ascii="Calibri" w:hAnsi="Calibri" w:cs="Calibri"/>
                                  <w:color w:val="000000"/>
                                  <w:sz w:val="16"/>
                                  <w:szCs w:val="16"/>
                                  <w:lang w:val="en-US"/>
                                </w:rPr>
                                <w:t>Web-page</w:t>
                              </w:r>
                            </w:p>
                          </w:txbxContent>
                        </wps:txbx>
                        <wps:bodyPr rot="0" vert="horz" wrap="none" lIns="0" tIns="0" rIns="0" bIns="0" anchor="t" anchorCtr="0">
                          <a:spAutoFit/>
                        </wps:bodyPr>
                      </wps:wsp>
                      <wps:wsp>
                        <wps:cNvPr id="6" name="Rectangle 7"/>
                        <wps:cNvSpPr>
                          <a:spLocks noChangeArrowheads="1"/>
                        </wps:cNvSpPr>
                        <wps:spPr bwMode="auto">
                          <a:xfrm>
                            <a:off x="2102485" y="13970"/>
                            <a:ext cx="4991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3DF9B" w14:textId="77777777" w:rsidR="00196D0D" w:rsidRDefault="00196D0D" w:rsidP="00196D0D">
                              <w:r>
                                <w:rPr>
                                  <w:rFonts w:ascii="Calibri" w:hAnsi="Calibri" w:cs="Calibri"/>
                                  <w:color w:val="000000"/>
                                  <w:sz w:val="16"/>
                                  <w:szCs w:val="16"/>
                                  <w:lang w:val="en-US"/>
                                </w:rPr>
                                <w:t>Op-Ed piece</w:t>
                              </w:r>
                            </w:p>
                          </w:txbxContent>
                        </wps:txbx>
                        <wps:bodyPr rot="0" vert="horz" wrap="none" lIns="0" tIns="0" rIns="0" bIns="0" anchor="t" anchorCtr="0">
                          <a:spAutoFit/>
                        </wps:bodyPr>
                      </wps:wsp>
                      <wps:wsp>
                        <wps:cNvPr id="7" name="Rectangle 8"/>
                        <wps:cNvSpPr>
                          <a:spLocks noChangeArrowheads="1"/>
                        </wps:cNvSpPr>
                        <wps:spPr bwMode="auto">
                          <a:xfrm>
                            <a:off x="2879725" y="13970"/>
                            <a:ext cx="3448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A3476" w14:textId="77777777" w:rsidR="00196D0D" w:rsidRDefault="00196D0D" w:rsidP="00196D0D">
                              <w:r>
                                <w:rPr>
                                  <w:rFonts w:ascii="Calibri" w:hAnsi="Calibri" w:cs="Calibri"/>
                                  <w:color w:val="000000"/>
                                  <w:sz w:val="16"/>
                                  <w:szCs w:val="16"/>
                                  <w:lang w:val="en-US"/>
                                </w:rPr>
                                <w:t>Editorial</w:t>
                              </w:r>
                            </w:p>
                          </w:txbxContent>
                        </wps:txbx>
                        <wps:bodyPr rot="0" vert="horz" wrap="none" lIns="0" tIns="0" rIns="0" bIns="0" anchor="t" anchorCtr="0">
                          <a:spAutoFit/>
                        </wps:bodyPr>
                      </wps:wsp>
                      <wps:wsp>
                        <wps:cNvPr id="8" name="Rectangle 9"/>
                        <wps:cNvSpPr>
                          <a:spLocks noChangeArrowheads="1"/>
                        </wps:cNvSpPr>
                        <wps:spPr bwMode="auto">
                          <a:xfrm>
                            <a:off x="3573780" y="13970"/>
                            <a:ext cx="2686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61CE0" w14:textId="77777777" w:rsidR="00196D0D" w:rsidRDefault="00196D0D" w:rsidP="00196D0D">
                              <w:r>
                                <w:rPr>
                                  <w:rFonts w:ascii="Calibri" w:hAnsi="Calibri" w:cs="Calibri"/>
                                  <w:color w:val="000000"/>
                                  <w:sz w:val="16"/>
                                  <w:szCs w:val="16"/>
                                  <w:lang w:val="en-US"/>
                                </w:rPr>
                                <w:t>Article</w:t>
                              </w:r>
                            </w:p>
                          </w:txbxContent>
                        </wps:txbx>
                        <wps:bodyPr rot="0" vert="horz" wrap="none" lIns="0" tIns="0" rIns="0" bIns="0" anchor="t" anchorCtr="0">
                          <a:spAutoFit/>
                        </wps:bodyPr>
                      </wps:wsp>
                      <wps:wsp>
                        <wps:cNvPr id="9" name="Rectangle 10"/>
                        <wps:cNvSpPr>
                          <a:spLocks noChangeArrowheads="1"/>
                        </wps:cNvSpPr>
                        <wps:spPr bwMode="auto">
                          <a:xfrm>
                            <a:off x="4184015" y="13970"/>
                            <a:ext cx="28257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09CD5" w14:textId="77777777" w:rsidR="00196D0D" w:rsidRDefault="00196D0D" w:rsidP="00196D0D">
                              <w:r>
                                <w:rPr>
                                  <w:rFonts w:ascii="Calibri" w:hAnsi="Calibri" w:cs="Calibri"/>
                                  <w:color w:val="000000"/>
                                  <w:sz w:val="16"/>
                                  <w:szCs w:val="16"/>
                                  <w:lang w:val="en-US"/>
                                </w:rPr>
                                <w:t>Report</w:t>
                              </w:r>
                            </w:p>
                          </w:txbxContent>
                        </wps:txbx>
                        <wps:bodyPr rot="0" vert="horz" wrap="none" lIns="0" tIns="0" rIns="0" bIns="0" anchor="t" anchorCtr="0">
                          <a:spAutoFit/>
                        </wps:bodyPr>
                      </wps:wsp>
                      <wps:wsp>
                        <wps:cNvPr id="10" name="Rectangle 11"/>
                        <wps:cNvSpPr>
                          <a:spLocks noChangeArrowheads="1"/>
                        </wps:cNvSpPr>
                        <wps:spPr bwMode="auto">
                          <a:xfrm>
                            <a:off x="4780915" y="13970"/>
                            <a:ext cx="2978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49901" w14:textId="77777777" w:rsidR="00196D0D" w:rsidRDefault="00196D0D" w:rsidP="00196D0D">
                              <w:r>
                                <w:rPr>
                                  <w:rFonts w:ascii="Calibri" w:hAnsi="Calibri" w:cs="Calibri"/>
                                  <w:color w:val="000000"/>
                                  <w:sz w:val="16"/>
                                  <w:szCs w:val="16"/>
                                  <w:lang w:val="en-US"/>
                                </w:rPr>
                                <w:t>Speech</w:t>
                              </w:r>
                            </w:p>
                          </w:txbxContent>
                        </wps:txbx>
                        <wps:bodyPr rot="0" vert="horz" wrap="none" lIns="0" tIns="0" rIns="0" bIns="0" anchor="t" anchorCtr="0">
                          <a:spAutoFit/>
                        </wps:bodyPr>
                      </wps:wsp>
                      <wps:wsp>
                        <wps:cNvPr id="11" name="Rectangle 12"/>
                        <wps:cNvSpPr>
                          <a:spLocks noChangeArrowheads="1"/>
                        </wps:cNvSpPr>
                        <wps:spPr bwMode="auto">
                          <a:xfrm>
                            <a:off x="5495290" y="13970"/>
                            <a:ext cx="2095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EEF3A" w14:textId="77777777" w:rsidR="00196D0D" w:rsidRDefault="00196D0D" w:rsidP="00196D0D">
                              <w:r>
                                <w:rPr>
                                  <w:rFonts w:ascii="Calibri" w:hAnsi="Calibri" w:cs="Calibri"/>
                                  <w:color w:val="000000"/>
                                  <w:sz w:val="16"/>
                                  <w:szCs w:val="16"/>
                                  <w:lang w:val="en-US"/>
                                </w:rPr>
                                <w:t>Total</w:t>
                              </w:r>
                            </w:p>
                          </w:txbxContent>
                        </wps:txbx>
                        <wps:bodyPr rot="0" vert="horz" wrap="none" lIns="0" tIns="0" rIns="0" bIns="0" anchor="t" anchorCtr="0">
                          <a:spAutoFit/>
                        </wps:bodyPr>
                      </wps:wsp>
                      <wps:wsp>
                        <wps:cNvPr id="12" name="Rectangle 13"/>
                        <wps:cNvSpPr>
                          <a:spLocks noChangeArrowheads="1"/>
                        </wps:cNvSpPr>
                        <wps:spPr bwMode="auto">
                          <a:xfrm>
                            <a:off x="20955" y="151765"/>
                            <a:ext cx="6699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A77C1" w14:textId="77777777" w:rsidR="00196D0D" w:rsidRDefault="00196D0D" w:rsidP="00196D0D">
                              <w:r>
                                <w:rPr>
                                  <w:rFonts w:ascii="Calibri" w:hAnsi="Calibri" w:cs="Calibri"/>
                                  <w:color w:val="000000"/>
                                  <w:sz w:val="16"/>
                                  <w:szCs w:val="16"/>
                                  <w:lang w:val="en-US"/>
                                </w:rPr>
                                <w:t>Pro-Living Wage</w:t>
                              </w:r>
                            </w:p>
                          </w:txbxContent>
                        </wps:txbx>
                        <wps:bodyPr rot="0" vert="horz" wrap="none" lIns="0" tIns="0" rIns="0" bIns="0" anchor="t" anchorCtr="0">
                          <a:spAutoFit/>
                        </wps:bodyPr>
                      </wps:wsp>
                      <wps:wsp>
                        <wps:cNvPr id="13" name="Rectangle 14"/>
                        <wps:cNvSpPr>
                          <a:spLocks noChangeArrowheads="1"/>
                        </wps:cNvSpPr>
                        <wps:spPr bwMode="auto">
                          <a:xfrm>
                            <a:off x="1290320" y="151765"/>
                            <a:ext cx="1035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1EA12" w14:textId="77777777" w:rsidR="00196D0D" w:rsidRDefault="00196D0D" w:rsidP="00196D0D">
                              <w:r>
                                <w:rPr>
                                  <w:rFonts w:ascii="Calibri" w:hAnsi="Calibri" w:cs="Calibri"/>
                                  <w:color w:val="000000"/>
                                  <w:sz w:val="16"/>
                                  <w:szCs w:val="16"/>
                                  <w:lang w:val="en-US"/>
                                </w:rPr>
                                <w:t>21</w:t>
                              </w:r>
                            </w:p>
                          </w:txbxContent>
                        </wps:txbx>
                        <wps:bodyPr rot="0" vert="horz" wrap="none" lIns="0" tIns="0" rIns="0" bIns="0" anchor="t" anchorCtr="0">
                          <a:spAutoFit/>
                        </wps:bodyPr>
                      </wps:wsp>
                      <wps:wsp>
                        <wps:cNvPr id="14" name="Rectangle 15"/>
                        <wps:cNvSpPr>
                          <a:spLocks noChangeArrowheads="1"/>
                        </wps:cNvSpPr>
                        <wps:spPr bwMode="auto">
                          <a:xfrm>
                            <a:off x="1908175" y="151765"/>
                            <a:ext cx="1035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1447" w14:textId="77777777" w:rsidR="00196D0D" w:rsidRDefault="00196D0D" w:rsidP="00196D0D">
                              <w:r>
                                <w:rPr>
                                  <w:rFonts w:ascii="Calibri" w:hAnsi="Calibri" w:cs="Calibri"/>
                                  <w:color w:val="000000"/>
                                  <w:sz w:val="16"/>
                                  <w:szCs w:val="16"/>
                                  <w:lang w:val="en-US"/>
                                </w:rPr>
                                <w:t>16</w:t>
                              </w:r>
                            </w:p>
                          </w:txbxContent>
                        </wps:txbx>
                        <wps:bodyPr rot="0" vert="horz" wrap="none" lIns="0" tIns="0" rIns="0" bIns="0" anchor="t" anchorCtr="0">
                          <a:spAutoFit/>
                        </wps:bodyPr>
                      </wps:wsp>
                      <wps:wsp>
                        <wps:cNvPr id="15" name="Rectangle 16"/>
                        <wps:cNvSpPr>
                          <a:spLocks noChangeArrowheads="1"/>
                        </wps:cNvSpPr>
                        <wps:spPr bwMode="auto">
                          <a:xfrm>
                            <a:off x="2574290" y="151765"/>
                            <a:ext cx="520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3C267" w14:textId="77777777" w:rsidR="00196D0D" w:rsidRDefault="00196D0D" w:rsidP="00196D0D">
                              <w:r>
                                <w:rPr>
                                  <w:rFonts w:ascii="Calibri" w:hAnsi="Calibri" w:cs="Calibri"/>
                                  <w:color w:val="000000"/>
                                  <w:sz w:val="16"/>
                                  <w:szCs w:val="16"/>
                                  <w:lang w:val="en-US"/>
                                </w:rPr>
                                <w:t>5</w:t>
                              </w:r>
                            </w:p>
                          </w:txbxContent>
                        </wps:txbx>
                        <wps:bodyPr rot="0" vert="horz" wrap="none" lIns="0" tIns="0" rIns="0" bIns="0" anchor="t" anchorCtr="0">
                          <a:spAutoFit/>
                        </wps:bodyPr>
                      </wps:wsp>
                      <wps:wsp>
                        <wps:cNvPr id="16" name="Rectangle 17"/>
                        <wps:cNvSpPr>
                          <a:spLocks noChangeArrowheads="1"/>
                        </wps:cNvSpPr>
                        <wps:spPr bwMode="auto">
                          <a:xfrm>
                            <a:off x="3192145" y="151765"/>
                            <a:ext cx="520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4DD67" w14:textId="77777777" w:rsidR="00196D0D" w:rsidRDefault="00196D0D" w:rsidP="00196D0D">
                              <w:r>
                                <w:rPr>
                                  <w:rFonts w:ascii="Calibri" w:hAnsi="Calibri" w:cs="Calibri"/>
                                  <w:color w:val="000000"/>
                                  <w:sz w:val="16"/>
                                  <w:szCs w:val="16"/>
                                  <w:lang w:val="en-US"/>
                                </w:rPr>
                                <w:t>0</w:t>
                              </w:r>
                            </w:p>
                          </w:txbxContent>
                        </wps:txbx>
                        <wps:bodyPr rot="0" vert="horz" wrap="none" lIns="0" tIns="0" rIns="0" bIns="0" anchor="t" anchorCtr="0">
                          <a:spAutoFit/>
                        </wps:bodyPr>
                      </wps:wsp>
                      <wps:wsp>
                        <wps:cNvPr id="17" name="Rectangle 18"/>
                        <wps:cNvSpPr>
                          <a:spLocks noChangeArrowheads="1"/>
                        </wps:cNvSpPr>
                        <wps:spPr bwMode="auto">
                          <a:xfrm>
                            <a:off x="3809365" y="151765"/>
                            <a:ext cx="520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97F72" w14:textId="77777777" w:rsidR="00196D0D" w:rsidRDefault="00196D0D" w:rsidP="00196D0D">
                              <w:r>
                                <w:rPr>
                                  <w:rFonts w:ascii="Calibri" w:hAnsi="Calibri" w:cs="Calibri"/>
                                  <w:color w:val="000000"/>
                                  <w:sz w:val="16"/>
                                  <w:szCs w:val="16"/>
                                  <w:lang w:val="en-US"/>
                                </w:rPr>
                                <w:t>0</w:t>
                              </w:r>
                            </w:p>
                          </w:txbxContent>
                        </wps:txbx>
                        <wps:bodyPr rot="0" vert="horz" wrap="none" lIns="0" tIns="0" rIns="0" bIns="0" anchor="t" anchorCtr="0">
                          <a:spAutoFit/>
                        </wps:bodyPr>
                      </wps:wsp>
                      <wps:wsp>
                        <wps:cNvPr id="18" name="Rectangle 19"/>
                        <wps:cNvSpPr>
                          <a:spLocks noChangeArrowheads="1"/>
                        </wps:cNvSpPr>
                        <wps:spPr bwMode="auto">
                          <a:xfrm>
                            <a:off x="4427220" y="151765"/>
                            <a:ext cx="520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9A962" w14:textId="77777777" w:rsidR="00196D0D" w:rsidRDefault="00196D0D" w:rsidP="00196D0D">
                              <w:r>
                                <w:rPr>
                                  <w:rFonts w:ascii="Calibri" w:hAnsi="Calibri" w:cs="Calibri"/>
                                  <w:color w:val="000000"/>
                                  <w:sz w:val="16"/>
                                  <w:szCs w:val="16"/>
                                  <w:lang w:val="en-US"/>
                                </w:rPr>
                                <w:t>2</w:t>
                              </w:r>
                            </w:p>
                          </w:txbxContent>
                        </wps:txbx>
                        <wps:bodyPr rot="0" vert="horz" wrap="none" lIns="0" tIns="0" rIns="0" bIns="0" anchor="t" anchorCtr="0">
                          <a:spAutoFit/>
                        </wps:bodyPr>
                      </wps:wsp>
                      <wps:wsp>
                        <wps:cNvPr id="19" name="Rectangle 20"/>
                        <wps:cNvSpPr>
                          <a:spLocks noChangeArrowheads="1"/>
                        </wps:cNvSpPr>
                        <wps:spPr bwMode="auto">
                          <a:xfrm>
                            <a:off x="4996180" y="151765"/>
                            <a:ext cx="1035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4E7CF" w14:textId="77777777" w:rsidR="00196D0D" w:rsidRDefault="00196D0D" w:rsidP="00196D0D">
                              <w:r>
                                <w:rPr>
                                  <w:rFonts w:ascii="Calibri" w:hAnsi="Calibri" w:cs="Calibri"/>
                                  <w:color w:val="000000"/>
                                  <w:sz w:val="16"/>
                                  <w:szCs w:val="16"/>
                                  <w:lang w:val="en-US"/>
                                </w:rPr>
                                <w:t>18</w:t>
                              </w:r>
                            </w:p>
                          </w:txbxContent>
                        </wps:txbx>
                        <wps:bodyPr rot="0" vert="horz" wrap="none" lIns="0" tIns="0" rIns="0" bIns="0" anchor="t" anchorCtr="0">
                          <a:spAutoFit/>
                        </wps:bodyPr>
                      </wps:wsp>
                      <wps:wsp>
                        <wps:cNvPr id="20" name="Rectangle 21"/>
                        <wps:cNvSpPr>
                          <a:spLocks noChangeArrowheads="1"/>
                        </wps:cNvSpPr>
                        <wps:spPr bwMode="auto">
                          <a:xfrm>
                            <a:off x="5613400" y="151765"/>
                            <a:ext cx="1035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BCAB" w14:textId="77777777" w:rsidR="00196D0D" w:rsidRDefault="00196D0D" w:rsidP="00196D0D">
                              <w:r>
                                <w:rPr>
                                  <w:rFonts w:ascii="Calibri" w:hAnsi="Calibri" w:cs="Calibri"/>
                                  <w:color w:val="000000"/>
                                  <w:sz w:val="16"/>
                                  <w:szCs w:val="16"/>
                                  <w:lang w:val="en-US"/>
                                </w:rPr>
                                <w:t>62</w:t>
                              </w:r>
                            </w:p>
                          </w:txbxContent>
                        </wps:txbx>
                        <wps:bodyPr rot="0" vert="horz" wrap="none" lIns="0" tIns="0" rIns="0" bIns="0" anchor="t" anchorCtr="0">
                          <a:spAutoFit/>
                        </wps:bodyPr>
                      </wps:wsp>
                      <wps:wsp>
                        <wps:cNvPr id="21" name="Rectangle 22"/>
                        <wps:cNvSpPr>
                          <a:spLocks noChangeArrowheads="1"/>
                        </wps:cNvSpPr>
                        <wps:spPr bwMode="auto">
                          <a:xfrm>
                            <a:off x="20955" y="290195"/>
                            <a:ext cx="6978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2D148" w14:textId="77777777" w:rsidR="00196D0D" w:rsidRDefault="00196D0D" w:rsidP="00196D0D">
                              <w:r>
                                <w:rPr>
                                  <w:rFonts w:ascii="Calibri" w:hAnsi="Calibri" w:cs="Calibri"/>
                                  <w:color w:val="000000"/>
                                  <w:sz w:val="16"/>
                                  <w:szCs w:val="16"/>
                                  <w:lang w:val="en-US"/>
                                </w:rPr>
                                <w:t>Anti-Living Wage</w:t>
                              </w:r>
                            </w:p>
                          </w:txbxContent>
                        </wps:txbx>
                        <wps:bodyPr rot="0" vert="horz" wrap="none" lIns="0" tIns="0" rIns="0" bIns="0" anchor="t" anchorCtr="0">
                          <a:spAutoFit/>
                        </wps:bodyPr>
                      </wps:wsp>
                      <wps:wsp>
                        <wps:cNvPr id="22" name="Rectangle 23"/>
                        <wps:cNvSpPr>
                          <a:spLocks noChangeArrowheads="1"/>
                        </wps:cNvSpPr>
                        <wps:spPr bwMode="auto">
                          <a:xfrm>
                            <a:off x="1290320" y="290195"/>
                            <a:ext cx="1035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314E4" w14:textId="77777777" w:rsidR="00196D0D" w:rsidRDefault="00196D0D" w:rsidP="00196D0D">
                              <w:r>
                                <w:rPr>
                                  <w:rFonts w:ascii="Calibri" w:hAnsi="Calibri" w:cs="Calibri"/>
                                  <w:color w:val="000000"/>
                                  <w:sz w:val="16"/>
                                  <w:szCs w:val="16"/>
                                  <w:lang w:val="en-US"/>
                                </w:rPr>
                                <w:t>11</w:t>
                              </w:r>
                            </w:p>
                          </w:txbxContent>
                        </wps:txbx>
                        <wps:bodyPr rot="0" vert="horz" wrap="none" lIns="0" tIns="0" rIns="0" bIns="0" anchor="t" anchorCtr="0">
                          <a:spAutoFit/>
                        </wps:bodyPr>
                      </wps:wsp>
                      <wps:wsp>
                        <wps:cNvPr id="23" name="Rectangle 24"/>
                        <wps:cNvSpPr>
                          <a:spLocks noChangeArrowheads="1"/>
                        </wps:cNvSpPr>
                        <wps:spPr bwMode="auto">
                          <a:xfrm>
                            <a:off x="1956435" y="290195"/>
                            <a:ext cx="520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20BC5" w14:textId="77777777" w:rsidR="00196D0D" w:rsidRDefault="00196D0D" w:rsidP="00196D0D">
                              <w:r>
                                <w:rPr>
                                  <w:rFonts w:ascii="Calibri" w:hAnsi="Calibri" w:cs="Calibri"/>
                                  <w:color w:val="000000"/>
                                  <w:sz w:val="16"/>
                                  <w:szCs w:val="16"/>
                                  <w:lang w:val="en-US"/>
                                </w:rPr>
                                <w:t>0</w:t>
                              </w:r>
                            </w:p>
                          </w:txbxContent>
                        </wps:txbx>
                        <wps:bodyPr rot="0" vert="horz" wrap="none" lIns="0" tIns="0" rIns="0" bIns="0" anchor="t" anchorCtr="0">
                          <a:spAutoFit/>
                        </wps:bodyPr>
                      </wps:wsp>
                      <wps:wsp>
                        <wps:cNvPr id="24" name="Rectangle 25"/>
                        <wps:cNvSpPr>
                          <a:spLocks noChangeArrowheads="1"/>
                        </wps:cNvSpPr>
                        <wps:spPr bwMode="auto">
                          <a:xfrm>
                            <a:off x="2574290" y="290195"/>
                            <a:ext cx="520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EB2C1" w14:textId="77777777" w:rsidR="00196D0D" w:rsidRDefault="00196D0D" w:rsidP="00196D0D">
                              <w:r>
                                <w:rPr>
                                  <w:rFonts w:ascii="Calibri" w:hAnsi="Calibri" w:cs="Calibri"/>
                                  <w:color w:val="000000"/>
                                  <w:sz w:val="16"/>
                                  <w:szCs w:val="16"/>
                                  <w:lang w:val="en-US"/>
                                </w:rPr>
                                <w:t>3</w:t>
                              </w:r>
                            </w:p>
                          </w:txbxContent>
                        </wps:txbx>
                        <wps:bodyPr rot="0" vert="horz" wrap="none" lIns="0" tIns="0" rIns="0" bIns="0" anchor="t" anchorCtr="0">
                          <a:spAutoFit/>
                        </wps:bodyPr>
                      </wps:wsp>
                      <wps:wsp>
                        <wps:cNvPr id="25" name="Rectangle 26"/>
                        <wps:cNvSpPr>
                          <a:spLocks noChangeArrowheads="1"/>
                        </wps:cNvSpPr>
                        <wps:spPr bwMode="auto">
                          <a:xfrm>
                            <a:off x="3192145" y="290195"/>
                            <a:ext cx="520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17B52" w14:textId="77777777" w:rsidR="00196D0D" w:rsidRDefault="00196D0D" w:rsidP="00196D0D">
                              <w:r>
                                <w:rPr>
                                  <w:rFonts w:ascii="Calibri" w:hAnsi="Calibri" w:cs="Calibri"/>
                                  <w:color w:val="000000"/>
                                  <w:sz w:val="16"/>
                                  <w:szCs w:val="16"/>
                                  <w:lang w:val="en-US"/>
                                </w:rPr>
                                <w:t>0</w:t>
                              </w:r>
                            </w:p>
                          </w:txbxContent>
                        </wps:txbx>
                        <wps:bodyPr rot="0" vert="horz" wrap="none" lIns="0" tIns="0" rIns="0" bIns="0" anchor="t" anchorCtr="0">
                          <a:spAutoFit/>
                        </wps:bodyPr>
                      </wps:wsp>
                      <wps:wsp>
                        <wps:cNvPr id="26" name="Rectangle 27"/>
                        <wps:cNvSpPr>
                          <a:spLocks noChangeArrowheads="1"/>
                        </wps:cNvSpPr>
                        <wps:spPr bwMode="auto">
                          <a:xfrm>
                            <a:off x="3809365" y="290195"/>
                            <a:ext cx="520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90420" w14:textId="77777777" w:rsidR="00196D0D" w:rsidRDefault="00196D0D" w:rsidP="00196D0D">
                              <w:r>
                                <w:rPr>
                                  <w:rFonts w:ascii="Calibri" w:hAnsi="Calibri" w:cs="Calibri"/>
                                  <w:color w:val="000000"/>
                                  <w:sz w:val="16"/>
                                  <w:szCs w:val="16"/>
                                  <w:lang w:val="en-US"/>
                                </w:rPr>
                                <w:t>0</w:t>
                              </w:r>
                            </w:p>
                          </w:txbxContent>
                        </wps:txbx>
                        <wps:bodyPr rot="0" vert="horz" wrap="none" lIns="0" tIns="0" rIns="0" bIns="0" anchor="t" anchorCtr="0">
                          <a:spAutoFit/>
                        </wps:bodyPr>
                      </wps:wsp>
                      <wps:wsp>
                        <wps:cNvPr id="27" name="Rectangle 28"/>
                        <wps:cNvSpPr>
                          <a:spLocks noChangeArrowheads="1"/>
                        </wps:cNvSpPr>
                        <wps:spPr bwMode="auto">
                          <a:xfrm>
                            <a:off x="4427220" y="290195"/>
                            <a:ext cx="520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95217" w14:textId="77777777" w:rsidR="00196D0D" w:rsidRDefault="00196D0D" w:rsidP="00196D0D">
                              <w:r>
                                <w:rPr>
                                  <w:rFonts w:ascii="Calibri" w:hAnsi="Calibri" w:cs="Calibri"/>
                                  <w:color w:val="000000"/>
                                  <w:sz w:val="16"/>
                                  <w:szCs w:val="16"/>
                                  <w:lang w:val="en-US"/>
                                </w:rPr>
                                <w:t>1</w:t>
                              </w:r>
                            </w:p>
                          </w:txbxContent>
                        </wps:txbx>
                        <wps:bodyPr rot="0" vert="horz" wrap="none" lIns="0" tIns="0" rIns="0" bIns="0" anchor="t" anchorCtr="0">
                          <a:spAutoFit/>
                        </wps:bodyPr>
                      </wps:wsp>
                      <wps:wsp>
                        <wps:cNvPr id="28" name="Rectangle 29"/>
                        <wps:cNvSpPr>
                          <a:spLocks noChangeArrowheads="1"/>
                        </wps:cNvSpPr>
                        <wps:spPr bwMode="auto">
                          <a:xfrm>
                            <a:off x="4996180" y="290195"/>
                            <a:ext cx="1035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06DF8" w14:textId="77777777" w:rsidR="00196D0D" w:rsidRDefault="00196D0D" w:rsidP="00196D0D">
                              <w:r>
                                <w:rPr>
                                  <w:rFonts w:ascii="Calibri" w:hAnsi="Calibri" w:cs="Calibri"/>
                                  <w:color w:val="000000"/>
                                  <w:sz w:val="16"/>
                                  <w:szCs w:val="16"/>
                                  <w:lang w:val="en-US"/>
                                </w:rPr>
                                <w:t>14</w:t>
                              </w:r>
                            </w:p>
                          </w:txbxContent>
                        </wps:txbx>
                        <wps:bodyPr rot="0" vert="horz" wrap="none" lIns="0" tIns="0" rIns="0" bIns="0" anchor="t" anchorCtr="0">
                          <a:spAutoFit/>
                        </wps:bodyPr>
                      </wps:wsp>
                      <wps:wsp>
                        <wps:cNvPr id="29" name="Rectangle 30"/>
                        <wps:cNvSpPr>
                          <a:spLocks noChangeArrowheads="1"/>
                        </wps:cNvSpPr>
                        <wps:spPr bwMode="auto">
                          <a:xfrm>
                            <a:off x="5613400" y="290195"/>
                            <a:ext cx="1035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96A61" w14:textId="77777777" w:rsidR="00196D0D" w:rsidRDefault="00196D0D" w:rsidP="00196D0D">
                              <w:r>
                                <w:rPr>
                                  <w:rFonts w:ascii="Calibri" w:hAnsi="Calibri" w:cs="Calibri"/>
                                  <w:color w:val="000000"/>
                                  <w:sz w:val="16"/>
                                  <w:szCs w:val="16"/>
                                  <w:lang w:val="en-US"/>
                                </w:rPr>
                                <w:t>29</w:t>
                              </w:r>
                            </w:p>
                          </w:txbxContent>
                        </wps:txbx>
                        <wps:bodyPr rot="0" vert="horz" wrap="none" lIns="0" tIns="0" rIns="0" bIns="0" anchor="t" anchorCtr="0">
                          <a:spAutoFit/>
                        </wps:bodyPr>
                      </wps:wsp>
                      <wps:wsp>
                        <wps:cNvPr id="30" name="Rectangle 31"/>
                        <wps:cNvSpPr>
                          <a:spLocks noChangeArrowheads="1"/>
                        </wps:cNvSpPr>
                        <wps:spPr bwMode="auto">
                          <a:xfrm>
                            <a:off x="20955" y="427990"/>
                            <a:ext cx="6724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5F663" w14:textId="77777777" w:rsidR="00196D0D" w:rsidRDefault="00196D0D" w:rsidP="00196D0D">
                              <w:r>
                                <w:rPr>
                                  <w:rFonts w:ascii="Calibri" w:hAnsi="Calibri" w:cs="Calibri"/>
                                  <w:color w:val="000000"/>
                                  <w:sz w:val="16"/>
                                  <w:szCs w:val="16"/>
                                  <w:lang w:val="en-US"/>
                                </w:rPr>
                                <w:t>Media Coverage</w:t>
                              </w:r>
                            </w:p>
                          </w:txbxContent>
                        </wps:txbx>
                        <wps:bodyPr rot="0" vert="horz" wrap="none" lIns="0" tIns="0" rIns="0" bIns="0" anchor="t" anchorCtr="0">
                          <a:spAutoFit/>
                        </wps:bodyPr>
                      </wps:wsp>
                      <wps:wsp>
                        <wps:cNvPr id="31" name="Rectangle 32"/>
                        <wps:cNvSpPr>
                          <a:spLocks noChangeArrowheads="1"/>
                        </wps:cNvSpPr>
                        <wps:spPr bwMode="auto">
                          <a:xfrm>
                            <a:off x="1339215" y="427990"/>
                            <a:ext cx="520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C095" w14:textId="77777777" w:rsidR="00196D0D" w:rsidRDefault="00196D0D" w:rsidP="00196D0D">
                              <w:r>
                                <w:rPr>
                                  <w:rFonts w:ascii="Calibri" w:hAnsi="Calibri" w:cs="Calibri"/>
                                  <w:color w:val="000000"/>
                                  <w:sz w:val="16"/>
                                  <w:szCs w:val="16"/>
                                  <w:lang w:val="en-US"/>
                                </w:rPr>
                                <w:t>0</w:t>
                              </w:r>
                            </w:p>
                          </w:txbxContent>
                        </wps:txbx>
                        <wps:bodyPr rot="0" vert="horz" wrap="none" lIns="0" tIns="0" rIns="0" bIns="0" anchor="t" anchorCtr="0">
                          <a:spAutoFit/>
                        </wps:bodyPr>
                      </wps:wsp>
                      <wps:wsp>
                        <wps:cNvPr id="32" name="Rectangle 33"/>
                        <wps:cNvSpPr>
                          <a:spLocks noChangeArrowheads="1"/>
                        </wps:cNvSpPr>
                        <wps:spPr bwMode="auto">
                          <a:xfrm>
                            <a:off x="1956435" y="427990"/>
                            <a:ext cx="520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0EC3" w14:textId="77777777" w:rsidR="00196D0D" w:rsidRDefault="00196D0D" w:rsidP="00196D0D">
                              <w:r>
                                <w:rPr>
                                  <w:rFonts w:ascii="Calibri" w:hAnsi="Calibri" w:cs="Calibri"/>
                                  <w:color w:val="000000"/>
                                  <w:sz w:val="16"/>
                                  <w:szCs w:val="16"/>
                                  <w:lang w:val="en-US"/>
                                </w:rPr>
                                <w:t>0</w:t>
                              </w:r>
                            </w:p>
                          </w:txbxContent>
                        </wps:txbx>
                        <wps:bodyPr rot="0" vert="horz" wrap="none" lIns="0" tIns="0" rIns="0" bIns="0" anchor="t" anchorCtr="0">
                          <a:spAutoFit/>
                        </wps:bodyPr>
                      </wps:wsp>
                      <wps:wsp>
                        <wps:cNvPr id="33" name="Rectangle 34"/>
                        <wps:cNvSpPr>
                          <a:spLocks noChangeArrowheads="1"/>
                        </wps:cNvSpPr>
                        <wps:spPr bwMode="auto">
                          <a:xfrm>
                            <a:off x="2574290" y="427990"/>
                            <a:ext cx="520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EF80C" w14:textId="77777777" w:rsidR="00196D0D" w:rsidRDefault="00196D0D" w:rsidP="00196D0D">
                              <w:r>
                                <w:rPr>
                                  <w:rFonts w:ascii="Calibri" w:hAnsi="Calibri" w:cs="Calibri"/>
                                  <w:color w:val="000000"/>
                                  <w:sz w:val="16"/>
                                  <w:szCs w:val="16"/>
                                  <w:lang w:val="en-US"/>
                                </w:rPr>
                                <w:t>0</w:t>
                              </w:r>
                            </w:p>
                          </w:txbxContent>
                        </wps:txbx>
                        <wps:bodyPr rot="0" vert="horz" wrap="none" lIns="0" tIns="0" rIns="0" bIns="0" anchor="t" anchorCtr="0">
                          <a:spAutoFit/>
                        </wps:bodyPr>
                      </wps:wsp>
                      <wps:wsp>
                        <wps:cNvPr id="34" name="Rectangle 35"/>
                        <wps:cNvSpPr>
                          <a:spLocks noChangeArrowheads="1"/>
                        </wps:cNvSpPr>
                        <wps:spPr bwMode="auto">
                          <a:xfrm>
                            <a:off x="3192145" y="427990"/>
                            <a:ext cx="520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282C" w14:textId="77777777" w:rsidR="00196D0D" w:rsidRDefault="00196D0D" w:rsidP="00196D0D">
                              <w:r>
                                <w:rPr>
                                  <w:rFonts w:ascii="Calibri" w:hAnsi="Calibri" w:cs="Calibri"/>
                                  <w:color w:val="000000"/>
                                  <w:sz w:val="16"/>
                                  <w:szCs w:val="16"/>
                                  <w:lang w:val="en-US"/>
                                </w:rPr>
                                <w:t>4</w:t>
                              </w:r>
                            </w:p>
                          </w:txbxContent>
                        </wps:txbx>
                        <wps:bodyPr rot="0" vert="horz" wrap="none" lIns="0" tIns="0" rIns="0" bIns="0" anchor="t" anchorCtr="0">
                          <a:spAutoFit/>
                        </wps:bodyPr>
                      </wps:wsp>
                      <wps:wsp>
                        <wps:cNvPr id="35" name="Rectangle 36"/>
                        <wps:cNvSpPr>
                          <a:spLocks noChangeArrowheads="1"/>
                        </wps:cNvSpPr>
                        <wps:spPr bwMode="auto">
                          <a:xfrm>
                            <a:off x="3761105" y="427990"/>
                            <a:ext cx="1035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45A9" w14:textId="77777777" w:rsidR="00196D0D" w:rsidRDefault="00196D0D" w:rsidP="00196D0D">
                              <w:r>
                                <w:rPr>
                                  <w:rFonts w:ascii="Calibri" w:hAnsi="Calibri" w:cs="Calibri"/>
                                  <w:color w:val="000000"/>
                                  <w:sz w:val="16"/>
                                  <w:szCs w:val="16"/>
                                  <w:lang w:val="en-US"/>
                                </w:rPr>
                                <w:t>15</w:t>
                              </w:r>
                            </w:p>
                          </w:txbxContent>
                        </wps:txbx>
                        <wps:bodyPr rot="0" vert="horz" wrap="none" lIns="0" tIns="0" rIns="0" bIns="0" anchor="t" anchorCtr="0">
                          <a:spAutoFit/>
                        </wps:bodyPr>
                      </wps:wsp>
                      <wps:wsp>
                        <wps:cNvPr id="36" name="Rectangle 37"/>
                        <wps:cNvSpPr>
                          <a:spLocks noChangeArrowheads="1"/>
                        </wps:cNvSpPr>
                        <wps:spPr bwMode="auto">
                          <a:xfrm>
                            <a:off x="4427220" y="427990"/>
                            <a:ext cx="520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8A208" w14:textId="77777777" w:rsidR="00196D0D" w:rsidRDefault="00196D0D" w:rsidP="00196D0D">
                              <w:r>
                                <w:rPr>
                                  <w:rFonts w:ascii="Calibri" w:hAnsi="Calibri" w:cs="Calibri"/>
                                  <w:color w:val="000000"/>
                                  <w:sz w:val="16"/>
                                  <w:szCs w:val="16"/>
                                  <w:lang w:val="en-US"/>
                                </w:rPr>
                                <w:t>0</w:t>
                              </w:r>
                            </w:p>
                          </w:txbxContent>
                        </wps:txbx>
                        <wps:bodyPr rot="0" vert="horz" wrap="none" lIns="0" tIns="0" rIns="0" bIns="0" anchor="t" anchorCtr="0">
                          <a:spAutoFit/>
                        </wps:bodyPr>
                      </wps:wsp>
                      <wps:wsp>
                        <wps:cNvPr id="37" name="Rectangle 38"/>
                        <wps:cNvSpPr>
                          <a:spLocks noChangeArrowheads="1"/>
                        </wps:cNvSpPr>
                        <wps:spPr bwMode="auto">
                          <a:xfrm>
                            <a:off x="5044440" y="427990"/>
                            <a:ext cx="520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DABC" w14:textId="77777777" w:rsidR="00196D0D" w:rsidRDefault="00196D0D" w:rsidP="00196D0D">
                              <w:r>
                                <w:rPr>
                                  <w:rFonts w:ascii="Calibri" w:hAnsi="Calibri" w:cs="Calibri"/>
                                  <w:color w:val="000000"/>
                                  <w:sz w:val="16"/>
                                  <w:szCs w:val="16"/>
                                  <w:lang w:val="en-US"/>
                                </w:rPr>
                                <w:t>0</w:t>
                              </w:r>
                            </w:p>
                          </w:txbxContent>
                        </wps:txbx>
                        <wps:bodyPr rot="0" vert="horz" wrap="none" lIns="0" tIns="0" rIns="0" bIns="0" anchor="t" anchorCtr="0">
                          <a:spAutoFit/>
                        </wps:bodyPr>
                      </wps:wsp>
                      <wps:wsp>
                        <wps:cNvPr id="38" name="Rectangle 39"/>
                        <wps:cNvSpPr>
                          <a:spLocks noChangeArrowheads="1"/>
                        </wps:cNvSpPr>
                        <wps:spPr bwMode="auto">
                          <a:xfrm>
                            <a:off x="5613400" y="427990"/>
                            <a:ext cx="1035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4E9F1" w14:textId="77777777" w:rsidR="00196D0D" w:rsidRDefault="00196D0D" w:rsidP="00196D0D">
                              <w:r>
                                <w:rPr>
                                  <w:rFonts w:ascii="Calibri" w:hAnsi="Calibri" w:cs="Calibri"/>
                                  <w:color w:val="000000"/>
                                  <w:sz w:val="16"/>
                                  <w:szCs w:val="16"/>
                                  <w:lang w:val="en-US"/>
                                </w:rPr>
                                <w:t>19</w:t>
                              </w:r>
                            </w:p>
                          </w:txbxContent>
                        </wps:txbx>
                        <wps:bodyPr rot="0" vert="horz" wrap="none" lIns="0" tIns="0" rIns="0" bIns="0" anchor="t" anchorCtr="0">
                          <a:spAutoFit/>
                        </wps:bodyPr>
                      </wps:wsp>
                      <wps:wsp>
                        <wps:cNvPr id="39" name="Line 40"/>
                        <wps:cNvCnPr>
                          <a:cxnSpLocks noChangeShapeType="1"/>
                        </wps:cNvCnPr>
                        <wps:spPr bwMode="auto">
                          <a:xfrm>
                            <a:off x="0" y="0"/>
                            <a:ext cx="57245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 name="Rectangle 41"/>
                        <wps:cNvSpPr>
                          <a:spLocks noChangeArrowheads="1"/>
                        </wps:cNvSpPr>
                        <wps:spPr bwMode="auto">
                          <a:xfrm>
                            <a:off x="0" y="0"/>
                            <a:ext cx="572452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2"/>
                        <wps:cNvCnPr>
                          <a:cxnSpLocks noChangeShapeType="1"/>
                        </wps:cNvCnPr>
                        <wps:spPr bwMode="auto">
                          <a:xfrm>
                            <a:off x="0" y="138430"/>
                            <a:ext cx="57245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 name="Rectangle 43"/>
                        <wps:cNvSpPr>
                          <a:spLocks noChangeArrowheads="1"/>
                        </wps:cNvSpPr>
                        <wps:spPr bwMode="auto">
                          <a:xfrm>
                            <a:off x="0" y="138430"/>
                            <a:ext cx="572452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4"/>
                        <wps:cNvCnPr>
                          <a:cxnSpLocks noChangeShapeType="1"/>
                        </wps:cNvCnPr>
                        <wps:spPr bwMode="auto">
                          <a:xfrm>
                            <a:off x="0" y="276225"/>
                            <a:ext cx="57245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 name="Rectangle 45"/>
                        <wps:cNvSpPr>
                          <a:spLocks noChangeArrowheads="1"/>
                        </wps:cNvSpPr>
                        <wps:spPr bwMode="auto">
                          <a:xfrm>
                            <a:off x="0" y="276225"/>
                            <a:ext cx="572452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6"/>
                        <wps:cNvCnPr>
                          <a:cxnSpLocks noChangeShapeType="1"/>
                        </wps:cNvCnPr>
                        <wps:spPr bwMode="auto">
                          <a:xfrm>
                            <a:off x="0" y="414655"/>
                            <a:ext cx="57245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 name="Rectangle 47"/>
                        <wps:cNvSpPr>
                          <a:spLocks noChangeArrowheads="1"/>
                        </wps:cNvSpPr>
                        <wps:spPr bwMode="auto">
                          <a:xfrm>
                            <a:off x="0" y="414655"/>
                            <a:ext cx="572452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8"/>
                        <wps:cNvCnPr>
                          <a:cxnSpLocks noChangeShapeType="1"/>
                        </wps:cNvCnPr>
                        <wps:spPr bwMode="auto">
                          <a:xfrm>
                            <a:off x="0" y="552450"/>
                            <a:ext cx="572452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 name="Rectangle 49"/>
                        <wps:cNvSpPr>
                          <a:spLocks noChangeArrowheads="1"/>
                        </wps:cNvSpPr>
                        <wps:spPr bwMode="auto">
                          <a:xfrm>
                            <a:off x="0" y="552450"/>
                            <a:ext cx="572452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0"/>
                        <wps:cNvCnPr>
                          <a:cxnSpLocks noChangeShapeType="1"/>
                        </wps:cNvCnPr>
                        <wps:spPr bwMode="auto">
                          <a:xfrm>
                            <a:off x="0" y="0"/>
                            <a:ext cx="0" cy="5594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 name="Rectangle 51"/>
                        <wps:cNvSpPr>
                          <a:spLocks noChangeArrowheads="1"/>
                        </wps:cNvSpPr>
                        <wps:spPr bwMode="auto">
                          <a:xfrm>
                            <a:off x="0" y="0"/>
                            <a:ext cx="6985" cy="5594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2"/>
                        <wps:cNvCnPr>
                          <a:cxnSpLocks noChangeShapeType="1"/>
                        </wps:cNvCnPr>
                        <wps:spPr bwMode="auto">
                          <a:xfrm>
                            <a:off x="784225" y="0"/>
                            <a:ext cx="0" cy="5594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 name="Rectangle 53"/>
                        <wps:cNvSpPr>
                          <a:spLocks noChangeArrowheads="1"/>
                        </wps:cNvSpPr>
                        <wps:spPr bwMode="auto">
                          <a:xfrm>
                            <a:off x="784225" y="0"/>
                            <a:ext cx="6985" cy="5594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4"/>
                        <wps:cNvCnPr>
                          <a:cxnSpLocks noChangeShapeType="1"/>
                        </wps:cNvCnPr>
                        <wps:spPr bwMode="auto">
                          <a:xfrm>
                            <a:off x="1401445" y="0"/>
                            <a:ext cx="0" cy="5594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4" name="Rectangle 55"/>
                        <wps:cNvSpPr>
                          <a:spLocks noChangeArrowheads="1"/>
                        </wps:cNvSpPr>
                        <wps:spPr bwMode="auto">
                          <a:xfrm>
                            <a:off x="1401445" y="0"/>
                            <a:ext cx="6985" cy="5594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6"/>
                        <wps:cNvCnPr>
                          <a:cxnSpLocks noChangeShapeType="1"/>
                        </wps:cNvCnPr>
                        <wps:spPr bwMode="auto">
                          <a:xfrm>
                            <a:off x="2019300" y="0"/>
                            <a:ext cx="0" cy="5594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 name="Rectangle 57"/>
                        <wps:cNvSpPr>
                          <a:spLocks noChangeArrowheads="1"/>
                        </wps:cNvSpPr>
                        <wps:spPr bwMode="auto">
                          <a:xfrm>
                            <a:off x="2019300" y="0"/>
                            <a:ext cx="6985" cy="5594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8"/>
                        <wps:cNvCnPr>
                          <a:cxnSpLocks noChangeShapeType="1"/>
                        </wps:cNvCnPr>
                        <wps:spPr bwMode="auto">
                          <a:xfrm>
                            <a:off x="2636520" y="0"/>
                            <a:ext cx="0" cy="5594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8" name="Rectangle 59"/>
                        <wps:cNvSpPr>
                          <a:spLocks noChangeArrowheads="1"/>
                        </wps:cNvSpPr>
                        <wps:spPr bwMode="auto">
                          <a:xfrm>
                            <a:off x="2636520" y="0"/>
                            <a:ext cx="6985" cy="5594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0"/>
                        <wps:cNvCnPr>
                          <a:cxnSpLocks noChangeShapeType="1"/>
                        </wps:cNvCnPr>
                        <wps:spPr bwMode="auto">
                          <a:xfrm>
                            <a:off x="3254375" y="0"/>
                            <a:ext cx="0" cy="5594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0" name="Rectangle 61"/>
                        <wps:cNvSpPr>
                          <a:spLocks noChangeArrowheads="1"/>
                        </wps:cNvSpPr>
                        <wps:spPr bwMode="auto">
                          <a:xfrm>
                            <a:off x="3254375" y="0"/>
                            <a:ext cx="6985" cy="5594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2"/>
                        <wps:cNvCnPr>
                          <a:cxnSpLocks noChangeShapeType="1"/>
                        </wps:cNvCnPr>
                        <wps:spPr bwMode="auto">
                          <a:xfrm>
                            <a:off x="3871595" y="0"/>
                            <a:ext cx="0" cy="5594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2" name="Rectangle 63"/>
                        <wps:cNvSpPr>
                          <a:spLocks noChangeArrowheads="1"/>
                        </wps:cNvSpPr>
                        <wps:spPr bwMode="auto">
                          <a:xfrm>
                            <a:off x="3871595" y="0"/>
                            <a:ext cx="6985" cy="5594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4"/>
                        <wps:cNvCnPr>
                          <a:cxnSpLocks noChangeShapeType="1"/>
                        </wps:cNvCnPr>
                        <wps:spPr bwMode="auto">
                          <a:xfrm>
                            <a:off x="4489450" y="0"/>
                            <a:ext cx="0" cy="5594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4" name="Rectangle 65"/>
                        <wps:cNvSpPr>
                          <a:spLocks noChangeArrowheads="1"/>
                        </wps:cNvSpPr>
                        <wps:spPr bwMode="auto">
                          <a:xfrm>
                            <a:off x="4489450" y="0"/>
                            <a:ext cx="6985" cy="5594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6"/>
                        <wps:cNvCnPr>
                          <a:cxnSpLocks noChangeShapeType="1"/>
                        </wps:cNvCnPr>
                        <wps:spPr bwMode="auto">
                          <a:xfrm>
                            <a:off x="5106670" y="0"/>
                            <a:ext cx="0" cy="5594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6" name="Rectangle 67"/>
                        <wps:cNvSpPr>
                          <a:spLocks noChangeArrowheads="1"/>
                        </wps:cNvSpPr>
                        <wps:spPr bwMode="auto">
                          <a:xfrm>
                            <a:off x="5106670" y="0"/>
                            <a:ext cx="6985" cy="5594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8"/>
                        <wps:cNvCnPr>
                          <a:cxnSpLocks noChangeShapeType="1"/>
                        </wps:cNvCnPr>
                        <wps:spPr bwMode="auto">
                          <a:xfrm>
                            <a:off x="5724525" y="0"/>
                            <a:ext cx="0" cy="5594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8" name="Rectangle 69"/>
                        <wps:cNvSpPr>
                          <a:spLocks noChangeArrowheads="1"/>
                        </wps:cNvSpPr>
                        <wps:spPr bwMode="auto">
                          <a:xfrm>
                            <a:off x="5724525" y="0"/>
                            <a:ext cx="6985" cy="5594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7BD500D" id="Canvas 69" o:spid="_x0000_s1026" editas="canvas" style="position:absolute;margin-left:-15.4pt;margin-top:22.1pt;width:456.75pt;height:54.4pt;z-index:251659264" coordsize="5800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6908;visibility:visible;mso-wrap-style:square">
                  <v:fill o:detectmouseclick="t"/>
                  <v:path o:connecttype="none"/>
                </v:shape>
                <v:rect id="Rectangle 5" o:spid="_x0000_s1028" style="position:absolute;left:8185;top:139;width:5397;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112CA25D" w14:textId="77777777" w:rsidR="00196D0D" w:rsidRDefault="00196D0D" w:rsidP="00196D0D">
                        <w:r>
                          <w:rPr>
                            <w:rFonts w:ascii="Calibri" w:hAnsi="Calibri" w:cs="Calibri"/>
                            <w:color w:val="000000"/>
                            <w:sz w:val="16"/>
                            <w:szCs w:val="16"/>
                            <w:lang w:val="en-US"/>
                          </w:rPr>
                          <w:t>Press release</w:t>
                        </w:r>
                      </w:p>
                    </w:txbxContent>
                  </v:textbox>
                </v:rect>
                <v:rect id="Rectangle 6" o:spid="_x0000_s1029" style="position:absolute;left:15614;top:139;width:4261;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370B3475" w14:textId="77777777" w:rsidR="00196D0D" w:rsidRDefault="00196D0D" w:rsidP="00196D0D">
                        <w:r>
                          <w:rPr>
                            <w:rFonts w:ascii="Calibri" w:hAnsi="Calibri" w:cs="Calibri"/>
                            <w:color w:val="000000"/>
                            <w:sz w:val="16"/>
                            <w:szCs w:val="16"/>
                            <w:lang w:val="en-US"/>
                          </w:rPr>
                          <w:t>Web-page</w:t>
                        </w:r>
                      </w:p>
                    </w:txbxContent>
                  </v:textbox>
                </v:rect>
                <v:rect id="Rectangle 7" o:spid="_x0000_s1030" style="position:absolute;left:21024;top:139;width:4991;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4243DF9B" w14:textId="77777777" w:rsidR="00196D0D" w:rsidRDefault="00196D0D" w:rsidP="00196D0D">
                        <w:r>
                          <w:rPr>
                            <w:rFonts w:ascii="Calibri" w:hAnsi="Calibri" w:cs="Calibri"/>
                            <w:color w:val="000000"/>
                            <w:sz w:val="16"/>
                            <w:szCs w:val="16"/>
                            <w:lang w:val="en-US"/>
                          </w:rPr>
                          <w:t>Op-Ed piece</w:t>
                        </w:r>
                      </w:p>
                    </w:txbxContent>
                  </v:textbox>
                </v:rect>
                <v:rect id="Rectangle 8" o:spid="_x0000_s1031" style="position:absolute;left:28797;top:139;width:3448;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542A3476" w14:textId="77777777" w:rsidR="00196D0D" w:rsidRDefault="00196D0D" w:rsidP="00196D0D">
                        <w:r>
                          <w:rPr>
                            <w:rFonts w:ascii="Calibri" w:hAnsi="Calibri" w:cs="Calibri"/>
                            <w:color w:val="000000"/>
                            <w:sz w:val="16"/>
                            <w:szCs w:val="16"/>
                            <w:lang w:val="en-US"/>
                          </w:rPr>
                          <w:t>Editorial</w:t>
                        </w:r>
                      </w:p>
                    </w:txbxContent>
                  </v:textbox>
                </v:rect>
                <v:rect id="Rectangle 9" o:spid="_x0000_s1032" style="position:absolute;left:35737;top:139;width:2686;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08661CE0" w14:textId="77777777" w:rsidR="00196D0D" w:rsidRDefault="00196D0D" w:rsidP="00196D0D">
                        <w:r>
                          <w:rPr>
                            <w:rFonts w:ascii="Calibri" w:hAnsi="Calibri" w:cs="Calibri"/>
                            <w:color w:val="000000"/>
                            <w:sz w:val="16"/>
                            <w:szCs w:val="16"/>
                            <w:lang w:val="en-US"/>
                          </w:rPr>
                          <w:t>Article</w:t>
                        </w:r>
                      </w:p>
                    </w:txbxContent>
                  </v:textbox>
                </v:rect>
                <v:rect id="Rectangle 10" o:spid="_x0000_s1033" style="position:absolute;left:41840;top:139;width:282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39509CD5" w14:textId="77777777" w:rsidR="00196D0D" w:rsidRDefault="00196D0D" w:rsidP="00196D0D">
                        <w:r>
                          <w:rPr>
                            <w:rFonts w:ascii="Calibri" w:hAnsi="Calibri" w:cs="Calibri"/>
                            <w:color w:val="000000"/>
                            <w:sz w:val="16"/>
                            <w:szCs w:val="16"/>
                            <w:lang w:val="en-US"/>
                          </w:rPr>
                          <w:t>Report</w:t>
                        </w:r>
                      </w:p>
                    </w:txbxContent>
                  </v:textbox>
                </v:rect>
                <v:rect id="Rectangle 11" o:spid="_x0000_s1034" style="position:absolute;left:47809;top:139;width:2978;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05249901" w14:textId="77777777" w:rsidR="00196D0D" w:rsidRDefault="00196D0D" w:rsidP="00196D0D">
                        <w:r>
                          <w:rPr>
                            <w:rFonts w:ascii="Calibri" w:hAnsi="Calibri" w:cs="Calibri"/>
                            <w:color w:val="000000"/>
                            <w:sz w:val="16"/>
                            <w:szCs w:val="16"/>
                            <w:lang w:val="en-US"/>
                          </w:rPr>
                          <w:t>Speech</w:t>
                        </w:r>
                      </w:p>
                    </w:txbxContent>
                  </v:textbox>
                </v:rect>
                <v:rect id="Rectangle 12" o:spid="_x0000_s1035" style="position:absolute;left:54952;top:139;width:2096;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0E2EEF3A" w14:textId="77777777" w:rsidR="00196D0D" w:rsidRDefault="00196D0D" w:rsidP="00196D0D">
                        <w:r>
                          <w:rPr>
                            <w:rFonts w:ascii="Calibri" w:hAnsi="Calibri" w:cs="Calibri"/>
                            <w:color w:val="000000"/>
                            <w:sz w:val="16"/>
                            <w:szCs w:val="16"/>
                            <w:lang w:val="en-US"/>
                          </w:rPr>
                          <w:t>Total</w:t>
                        </w:r>
                      </w:p>
                    </w:txbxContent>
                  </v:textbox>
                </v:rect>
                <v:rect id="Rectangle 13" o:spid="_x0000_s1036" style="position:absolute;left:209;top:1517;width:6699;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3A6A77C1" w14:textId="77777777" w:rsidR="00196D0D" w:rsidRDefault="00196D0D" w:rsidP="00196D0D">
                        <w:r>
                          <w:rPr>
                            <w:rFonts w:ascii="Calibri" w:hAnsi="Calibri" w:cs="Calibri"/>
                            <w:color w:val="000000"/>
                            <w:sz w:val="16"/>
                            <w:szCs w:val="16"/>
                            <w:lang w:val="en-US"/>
                          </w:rPr>
                          <w:t>Pro-Living Wage</w:t>
                        </w:r>
                      </w:p>
                    </w:txbxContent>
                  </v:textbox>
                </v:rect>
                <v:rect id="Rectangle 14" o:spid="_x0000_s1037" style="position:absolute;left:12903;top:1517;width:103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6C61EA12" w14:textId="77777777" w:rsidR="00196D0D" w:rsidRDefault="00196D0D" w:rsidP="00196D0D">
                        <w:r>
                          <w:rPr>
                            <w:rFonts w:ascii="Calibri" w:hAnsi="Calibri" w:cs="Calibri"/>
                            <w:color w:val="000000"/>
                            <w:sz w:val="16"/>
                            <w:szCs w:val="16"/>
                            <w:lang w:val="en-US"/>
                          </w:rPr>
                          <w:t>21</w:t>
                        </w:r>
                      </w:p>
                    </w:txbxContent>
                  </v:textbox>
                </v:rect>
                <v:rect id="Rectangle 15" o:spid="_x0000_s1038" style="position:absolute;left:19081;top:1517;width:103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39AA1447" w14:textId="77777777" w:rsidR="00196D0D" w:rsidRDefault="00196D0D" w:rsidP="00196D0D">
                        <w:r>
                          <w:rPr>
                            <w:rFonts w:ascii="Calibri" w:hAnsi="Calibri" w:cs="Calibri"/>
                            <w:color w:val="000000"/>
                            <w:sz w:val="16"/>
                            <w:szCs w:val="16"/>
                            <w:lang w:val="en-US"/>
                          </w:rPr>
                          <w:t>16</w:t>
                        </w:r>
                      </w:p>
                    </w:txbxContent>
                  </v:textbox>
                </v:rect>
                <v:rect id="Rectangle 16" o:spid="_x0000_s1039" style="position:absolute;left:25742;top:1517;width:521;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2EA3C267" w14:textId="77777777" w:rsidR="00196D0D" w:rsidRDefault="00196D0D" w:rsidP="00196D0D">
                        <w:r>
                          <w:rPr>
                            <w:rFonts w:ascii="Calibri" w:hAnsi="Calibri" w:cs="Calibri"/>
                            <w:color w:val="000000"/>
                            <w:sz w:val="16"/>
                            <w:szCs w:val="16"/>
                            <w:lang w:val="en-US"/>
                          </w:rPr>
                          <w:t>5</w:t>
                        </w:r>
                      </w:p>
                    </w:txbxContent>
                  </v:textbox>
                </v:rect>
                <v:rect id="Rectangle 17" o:spid="_x0000_s1040" style="position:absolute;left:31921;top:1517;width:521;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65C4DD67" w14:textId="77777777" w:rsidR="00196D0D" w:rsidRDefault="00196D0D" w:rsidP="00196D0D">
                        <w:r>
                          <w:rPr>
                            <w:rFonts w:ascii="Calibri" w:hAnsi="Calibri" w:cs="Calibri"/>
                            <w:color w:val="000000"/>
                            <w:sz w:val="16"/>
                            <w:szCs w:val="16"/>
                            <w:lang w:val="en-US"/>
                          </w:rPr>
                          <w:t>0</w:t>
                        </w:r>
                      </w:p>
                    </w:txbxContent>
                  </v:textbox>
                </v:rect>
                <v:rect id="Rectangle 18" o:spid="_x0000_s1041" style="position:absolute;left:38093;top:1517;width:521;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4BB97F72" w14:textId="77777777" w:rsidR="00196D0D" w:rsidRDefault="00196D0D" w:rsidP="00196D0D">
                        <w:r>
                          <w:rPr>
                            <w:rFonts w:ascii="Calibri" w:hAnsi="Calibri" w:cs="Calibri"/>
                            <w:color w:val="000000"/>
                            <w:sz w:val="16"/>
                            <w:szCs w:val="16"/>
                            <w:lang w:val="en-US"/>
                          </w:rPr>
                          <w:t>0</w:t>
                        </w:r>
                      </w:p>
                    </w:txbxContent>
                  </v:textbox>
                </v:rect>
                <v:rect id="Rectangle 19" o:spid="_x0000_s1042" style="position:absolute;left:44272;top:1517;width:520;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1039A962" w14:textId="77777777" w:rsidR="00196D0D" w:rsidRDefault="00196D0D" w:rsidP="00196D0D">
                        <w:r>
                          <w:rPr>
                            <w:rFonts w:ascii="Calibri" w:hAnsi="Calibri" w:cs="Calibri"/>
                            <w:color w:val="000000"/>
                            <w:sz w:val="16"/>
                            <w:szCs w:val="16"/>
                            <w:lang w:val="en-US"/>
                          </w:rPr>
                          <w:t>2</w:t>
                        </w:r>
                      </w:p>
                    </w:txbxContent>
                  </v:textbox>
                </v:rect>
                <v:rect id="Rectangle 20" o:spid="_x0000_s1043" style="position:absolute;left:49961;top:1517;width:103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6974E7CF" w14:textId="77777777" w:rsidR="00196D0D" w:rsidRDefault="00196D0D" w:rsidP="00196D0D">
                        <w:r>
                          <w:rPr>
                            <w:rFonts w:ascii="Calibri" w:hAnsi="Calibri" w:cs="Calibri"/>
                            <w:color w:val="000000"/>
                            <w:sz w:val="16"/>
                            <w:szCs w:val="16"/>
                            <w:lang w:val="en-US"/>
                          </w:rPr>
                          <w:t>18</w:t>
                        </w:r>
                      </w:p>
                    </w:txbxContent>
                  </v:textbox>
                </v:rect>
                <v:rect id="Rectangle 21" o:spid="_x0000_s1044" style="position:absolute;left:56134;top:1517;width:103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7363BCAB" w14:textId="77777777" w:rsidR="00196D0D" w:rsidRDefault="00196D0D" w:rsidP="00196D0D">
                        <w:r>
                          <w:rPr>
                            <w:rFonts w:ascii="Calibri" w:hAnsi="Calibri" w:cs="Calibri"/>
                            <w:color w:val="000000"/>
                            <w:sz w:val="16"/>
                            <w:szCs w:val="16"/>
                            <w:lang w:val="en-US"/>
                          </w:rPr>
                          <w:t>62</w:t>
                        </w:r>
                      </w:p>
                    </w:txbxContent>
                  </v:textbox>
                </v:rect>
                <v:rect id="Rectangle 22" o:spid="_x0000_s1045" style="position:absolute;left:209;top:2901;width:6979;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3412D148" w14:textId="77777777" w:rsidR="00196D0D" w:rsidRDefault="00196D0D" w:rsidP="00196D0D">
                        <w:r>
                          <w:rPr>
                            <w:rFonts w:ascii="Calibri" w:hAnsi="Calibri" w:cs="Calibri"/>
                            <w:color w:val="000000"/>
                            <w:sz w:val="16"/>
                            <w:szCs w:val="16"/>
                            <w:lang w:val="en-US"/>
                          </w:rPr>
                          <w:t>Anti-Living Wage</w:t>
                        </w:r>
                      </w:p>
                    </w:txbxContent>
                  </v:textbox>
                </v:rect>
                <v:rect id="Rectangle 23" o:spid="_x0000_s1046" style="position:absolute;left:12903;top:2901;width:103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289314E4" w14:textId="77777777" w:rsidR="00196D0D" w:rsidRDefault="00196D0D" w:rsidP="00196D0D">
                        <w:r>
                          <w:rPr>
                            <w:rFonts w:ascii="Calibri" w:hAnsi="Calibri" w:cs="Calibri"/>
                            <w:color w:val="000000"/>
                            <w:sz w:val="16"/>
                            <w:szCs w:val="16"/>
                            <w:lang w:val="en-US"/>
                          </w:rPr>
                          <w:t>11</w:t>
                        </w:r>
                      </w:p>
                    </w:txbxContent>
                  </v:textbox>
                </v:rect>
                <v:rect id="Rectangle 24" o:spid="_x0000_s1047" style="position:absolute;left:19564;top:2901;width:521;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51820BC5" w14:textId="77777777" w:rsidR="00196D0D" w:rsidRDefault="00196D0D" w:rsidP="00196D0D">
                        <w:r>
                          <w:rPr>
                            <w:rFonts w:ascii="Calibri" w:hAnsi="Calibri" w:cs="Calibri"/>
                            <w:color w:val="000000"/>
                            <w:sz w:val="16"/>
                            <w:szCs w:val="16"/>
                            <w:lang w:val="en-US"/>
                          </w:rPr>
                          <w:t>0</w:t>
                        </w:r>
                      </w:p>
                    </w:txbxContent>
                  </v:textbox>
                </v:rect>
                <v:rect id="Rectangle 25" o:spid="_x0000_s1048" style="position:absolute;left:25742;top:2901;width:521;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795EB2C1" w14:textId="77777777" w:rsidR="00196D0D" w:rsidRDefault="00196D0D" w:rsidP="00196D0D">
                        <w:r>
                          <w:rPr>
                            <w:rFonts w:ascii="Calibri" w:hAnsi="Calibri" w:cs="Calibri"/>
                            <w:color w:val="000000"/>
                            <w:sz w:val="16"/>
                            <w:szCs w:val="16"/>
                            <w:lang w:val="en-US"/>
                          </w:rPr>
                          <w:t>3</w:t>
                        </w:r>
                      </w:p>
                    </w:txbxContent>
                  </v:textbox>
                </v:rect>
                <v:rect id="Rectangle 26" o:spid="_x0000_s1049" style="position:absolute;left:31921;top:2901;width:521;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31A17B52" w14:textId="77777777" w:rsidR="00196D0D" w:rsidRDefault="00196D0D" w:rsidP="00196D0D">
                        <w:r>
                          <w:rPr>
                            <w:rFonts w:ascii="Calibri" w:hAnsi="Calibri" w:cs="Calibri"/>
                            <w:color w:val="000000"/>
                            <w:sz w:val="16"/>
                            <w:szCs w:val="16"/>
                            <w:lang w:val="en-US"/>
                          </w:rPr>
                          <w:t>0</w:t>
                        </w:r>
                      </w:p>
                    </w:txbxContent>
                  </v:textbox>
                </v:rect>
                <v:rect id="Rectangle 27" o:spid="_x0000_s1050" style="position:absolute;left:38093;top:2901;width:521;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1F990420" w14:textId="77777777" w:rsidR="00196D0D" w:rsidRDefault="00196D0D" w:rsidP="00196D0D">
                        <w:r>
                          <w:rPr>
                            <w:rFonts w:ascii="Calibri" w:hAnsi="Calibri" w:cs="Calibri"/>
                            <w:color w:val="000000"/>
                            <w:sz w:val="16"/>
                            <w:szCs w:val="16"/>
                            <w:lang w:val="en-US"/>
                          </w:rPr>
                          <w:t>0</w:t>
                        </w:r>
                      </w:p>
                    </w:txbxContent>
                  </v:textbox>
                </v:rect>
                <v:rect id="Rectangle 28" o:spid="_x0000_s1051" style="position:absolute;left:44272;top:2901;width:520;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4D695217" w14:textId="77777777" w:rsidR="00196D0D" w:rsidRDefault="00196D0D" w:rsidP="00196D0D">
                        <w:r>
                          <w:rPr>
                            <w:rFonts w:ascii="Calibri" w:hAnsi="Calibri" w:cs="Calibri"/>
                            <w:color w:val="000000"/>
                            <w:sz w:val="16"/>
                            <w:szCs w:val="16"/>
                            <w:lang w:val="en-US"/>
                          </w:rPr>
                          <w:t>1</w:t>
                        </w:r>
                      </w:p>
                    </w:txbxContent>
                  </v:textbox>
                </v:rect>
                <v:rect id="Rectangle 29" o:spid="_x0000_s1052" style="position:absolute;left:49961;top:2901;width:103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12806DF8" w14:textId="77777777" w:rsidR="00196D0D" w:rsidRDefault="00196D0D" w:rsidP="00196D0D">
                        <w:r>
                          <w:rPr>
                            <w:rFonts w:ascii="Calibri" w:hAnsi="Calibri" w:cs="Calibri"/>
                            <w:color w:val="000000"/>
                            <w:sz w:val="16"/>
                            <w:szCs w:val="16"/>
                            <w:lang w:val="en-US"/>
                          </w:rPr>
                          <w:t>14</w:t>
                        </w:r>
                      </w:p>
                    </w:txbxContent>
                  </v:textbox>
                </v:rect>
                <v:rect id="Rectangle 30" o:spid="_x0000_s1053" style="position:absolute;left:56134;top:2901;width:103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0DE96A61" w14:textId="77777777" w:rsidR="00196D0D" w:rsidRDefault="00196D0D" w:rsidP="00196D0D">
                        <w:r>
                          <w:rPr>
                            <w:rFonts w:ascii="Calibri" w:hAnsi="Calibri" w:cs="Calibri"/>
                            <w:color w:val="000000"/>
                            <w:sz w:val="16"/>
                            <w:szCs w:val="16"/>
                            <w:lang w:val="en-US"/>
                          </w:rPr>
                          <w:t>29</w:t>
                        </w:r>
                      </w:p>
                    </w:txbxContent>
                  </v:textbox>
                </v:rect>
                <v:rect id="Rectangle 31" o:spid="_x0000_s1054" style="position:absolute;left:209;top:4279;width:672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52E5F663" w14:textId="77777777" w:rsidR="00196D0D" w:rsidRDefault="00196D0D" w:rsidP="00196D0D">
                        <w:r>
                          <w:rPr>
                            <w:rFonts w:ascii="Calibri" w:hAnsi="Calibri" w:cs="Calibri"/>
                            <w:color w:val="000000"/>
                            <w:sz w:val="16"/>
                            <w:szCs w:val="16"/>
                            <w:lang w:val="en-US"/>
                          </w:rPr>
                          <w:t>Media Coverage</w:t>
                        </w:r>
                      </w:p>
                    </w:txbxContent>
                  </v:textbox>
                </v:rect>
                <v:rect id="Rectangle 32" o:spid="_x0000_s1055" style="position:absolute;left:13392;top:4279;width:520;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7826C095" w14:textId="77777777" w:rsidR="00196D0D" w:rsidRDefault="00196D0D" w:rsidP="00196D0D">
                        <w:r>
                          <w:rPr>
                            <w:rFonts w:ascii="Calibri" w:hAnsi="Calibri" w:cs="Calibri"/>
                            <w:color w:val="000000"/>
                            <w:sz w:val="16"/>
                            <w:szCs w:val="16"/>
                            <w:lang w:val="en-US"/>
                          </w:rPr>
                          <w:t>0</w:t>
                        </w:r>
                      </w:p>
                    </w:txbxContent>
                  </v:textbox>
                </v:rect>
                <v:rect id="Rectangle 33" o:spid="_x0000_s1056" style="position:absolute;left:19564;top:4279;width:521;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65240EC3" w14:textId="77777777" w:rsidR="00196D0D" w:rsidRDefault="00196D0D" w:rsidP="00196D0D">
                        <w:r>
                          <w:rPr>
                            <w:rFonts w:ascii="Calibri" w:hAnsi="Calibri" w:cs="Calibri"/>
                            <w:color w:val="000000"/>
                            <w:sz w:val="16"/>
                            <w:szCs w:val="16"/>
                            <w:lang w:val="en-US"/>
                          </w:rPr>
                          <w:t>0</w:t>
                        </w:r>
                      </w:p>
                    </w:txbxContent>
                  </v:textbox>
                </v:rect>
                <v:rect id="Rectangle 34" o:spid="_x0000_s1057" style="position:absolute;left:25742;top:4279;width:521;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358EF80C" w14:textId="77777777" w:rsidR="00196D0D" w:rsidRDefault="00196D0D" w:rsidP="00196D0D">
                        <w:r>
                          <w:rPr>
                            <w:rFonts w:ascii="Calibri" w:hAnsi="Calibri" w:cs="Calibri"/>
                            <w:color w:val="000000"/>
                            <w:sz w:val="16"/>
                            <w:szCs w:val="16"/>
                            <w:lang w:val="en-US"/>
                          </w:rPr>
                          <w:t>0</w:t>
                        </w:r>
                      </w:p>
                    </w:txbxContent>
                  </v:textbox>
                </v:rect>
                <v:rect id="Rectangle 35" o:spid="_x0000_s1058" style="position:absolute;left:31921;top:4279;width:521;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3A92282C" w14:textId="77777777" w:rsidR="00196D0D" w:rsidRDefault="00196D0D" w:rsidP="00196D0D">
                        <w:r>
                          <w:rPr>
                            <w:rFonts w:ascii="Calibri" w:hAnsi="Calibri" w:cs="Calibri"/>
                            <w:color w:val="000000"/>
                            <w:sz w:val="16"/>
                            <w:szCs w:val="16"/>
                            <w:lang w:val="en-US"/>
                          </w:rPr>
                          <w:t>4</w:t>
                        </w:r>
                      </w:p>
                    </w:txbxContent>
                  </v:textbox>
                </v:rect>
                <v:rect id="Rectangle 36" o:spid="_x0000_s1059" style="position:absolute;left:37611;top:4279;width:103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0D7D45A9" w14:textId="77777777" w:rsidR="00196D0D" w:rsidRDefault="00196D0D" w:rsidP="00196D0D">
                        <w:r>
                          <w:rPr>
                            <w:rFonts w:ascii="Calibri" w:hAnsi="Calibri" w:cs="Calibri"/>
                            <w:color w:val="000000"/>
                            <w:sz w:val="16"/>
                            <w:szCs w:val="16"/>
                            <w:lang w:val="en-US"/>
                          </w:rPr>
                          <w:t>15</w:t>
                        </w:r>
                      </w:p>
                    </w:txbxContent>
                  </v:textbox>
                </v:rect>
                <v:rect id="Rectangle 37" o:spid="_x0000_s1060" style="position:absolute;left:44272;top:4279;width:520;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2A48A208" w14:textId="77777777" w:rsidR="00196D0D" w:rsidRDefault="00196D0D" w:rsidP="00196D0D">
                        <w:r>
                          <w:rPr>
                            <w:rFonts w:ascii="Calibri" w:hAnsi="Calibri" w:cs="Calibri"/>
                            <w:color w:val="000000"/>
                            <w:sz w:val="16"/>
                            <w:szCs w:val="16"/>
                            <w:lang w:val="en-US"/>
                          </w:rPr>
                          <w:t>0</w:t>
                        </w:r>
                      </w:p>
                    </w:txbxContent>
                  </v:textbox>
                </v:rect>
                <v:rect id="Rectangle 38" o:spid="_x0000_s1061" style="position:absolute;left:50444;top:4279;width:521;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3345DABC" w14:textId="77777777" w:rsidR="00196D0D" w:rsidRDefault="00196D0D" w:rsidP="00196D0D">
                        <w:r>
                          <w:rPr>
                            <w:rFonts w:ascii="Calibri" w:hAnsi="Calibri" w:cs="Calibri"/>
                            <w:color w:val="000000"/>
                            <w:sz w:val="16"/>
                            <w:szCs w:val="16"/>
                            <w:lang w:val="en-US"/>
                          </w:rPr>
                          <w:t>0</w:t>
                        </w:r>
                      </w:p>
                    </w:txbxContent>
                  </v:textbox>
                </v:rect>
                <v:rect id="Rectangle 39" o:spid="_x0000_s1062" style="position:absolute;left:56134;top:4279;width:103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0984E9F1" w14:textId="77777777" w:rsidR="00196D0D" w:rsidRDefault="00196D0D" w:rsidP="00196D0D">
                        <w:r>
                          <w:rPr>
                            <w:rFonts w:ascii="Calibri" w:hAnsi="Calibri" w:cs="Calibri"/>
                            <w:color w:val="000000"/>
                            <w:sz w:val="16"/>
                            <w:szCs w:val="16"/>
                            <w:lang w:val="en-US"/>
                          </w:rPr>
                          <w:t>19</w:t>
                        </w:r>
                      </w:p>
                    </w:txbxContent>
                  </v:textbox>
                </v:rect>
                <v:line id="Line 40" o:spid="_x0000_s1063" style="position:absolute;visibility:visible;mso-wrap-style:square" from="0,0" to="57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fRfMcAAADbAAAADwAAAGRycy9kb3ducmV2LnhtbESPW2sCMRSE3wv9D+EUfCma1YK0q1Fq&#10;vaBQKN7w9XRz3F26OVmSqGt/vREKfRxm5htmOG5MJc7kfGlZQbeTgCDOrC45V7DbztuvIHxA1lhZ&#10;JgVX8jAePT4MMdX2wms6b0IuIoR9igqKEOpUSp8VZNB3bE0cvaN1BkOULpfa4SXCTSV7SdKXBkuO&#10;CwXW9FFQ9rM5GQWH7ir7Xe/cZDE5PH9O+ftrtpdHpVpPzfsARKAm/If/2kut4OUN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9F8xwAAANsAAAAPAAAAAAAA&#10;AAAAAAAAAKECAABkcnMvZG93bnJldi54bWxQSwUGAAAAAAQABAD5AAAAlQMAAAAA&#10;" strokecolor="#d4d4d4" strokeweight="0"/>
                <v:rect id="Rectangle 41" o:spid="_x0000_s1064" style="position:absolute;width:5724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xBL8A&#10;AADbAAAADwAAAGRycy9kb3ducmV2LnhtbERPzYrCMBC+L/gOYQQvi6aKilajiCist13XBxiasak2&#10;k5JErfv05iDs8eP7X65bW4s7+VA5VjAcZCCIC6crLhWcfvf9GYgQkTXWjknBkwKsV52PJebaPfiH&#10;7sdYihTCIUcFJsYmlzIUhiyGgWuIE3d23mJM0JdSe3ykcFvLUZZNpcWKU4PBhraGiuvxZhXIy7eu&#10;ZLOb+sv586rn5jDBv4lSvW67WYCI1MZ/8dv9pRWM0/r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grEEvwAAANsAAAAPAAAAAAAAAAAAAAAAAJgCAABkcnMvZG93bnJl&#10;di54bWxQSwUGAAAAAAQABAD1AAAAhAMAAAAA&#10;" fillcolor="#d4d4d4" stroked="f"/>
                <v:line id="Line 42" o:spid="_x0000_s1065" style="position:absolute;visibility:visible;mso-wrap-style:square" from="0,1384" to="572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euB8YAAADbAAAADwAAAGRycy9kb3ducmV2LnhtbESP3WoCMRSE7wu+QzhCb4pmtxQpq1Fq&#10;1WKhUPzD29PNcXfp5mRJoq4+vSkIvRxm5htmNGlNLU7kfGVZQdpPQBDnVldcKNhuFr1XED4ga6wt&#10;k4ILeZiMOw8jzLQ984pO61CICGGfoYIyhCaT0uclGfR92xBH72CdwRClK6R2eI5wU8vnJBlIgxXH&#10;hRIbei8p/10fjYJ9+plfV1s3/Zjun75m/PM938mDUo/d9m0IIlAb/sP39lIreEnh70v8AX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3rgfGAAAA2wAAAA8AAAAAAAAA&#10;AAAAAAAAoQIAAGRycy9kb3ducmV2LnhtbFBLBQYAAAAABAAEAPkAAACUAwAAAAA=&#10;" strokecolor="#d4d4d4" strokeweight="0"/>
                <v:rect id="Rectangle 43" o:spid="_x0000_s1066" style="position:absolute;top:1384;width:5724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K6MIA&#10;AADbAAAADwAAAGRycy9kb3ducmV2LnhtbESP0WoCMRRE3wX/IVyhL6LZShVdjVKkBX1T2w+4bK6b&#10;1c3NkkTd+vWNIPg4zMwZZrFqbS2u5EPlWMH7MANBXDhdcang9+d7MAURIrLG2jEp+KMAq2W3s8Bc&#10;uxvv6XqIpUgQDjkqMDE2uZShMGQxDF1DnLyj8xZjkr6U2uMtwW0tR1k2kRYrTgsGG1obKs6Hi1Ug&#10;TztdyeZr4k/H/lnPzHaM97FSb732cw4iUhtf4Wd7oxV8jO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IrowgAAANsAAAAPAAAAAAAAAAAAAAAAAJgCAABkcnMvZG93&#10;bnJldi54bWxQSwUGAAAAAAQABAD1AAAAhwMAAAAA&#10;" fillcolor="#d4d4d4" stroked="f"/>
                <v:line id="Line 44" o:spid="_x0000_s1067" style="position:absolute;visibility:visible;mso-wrap-style:square" from="0,2762" to="57245,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V68cAAADbAAAADwAAAGRycy9kb3ducmV2LnhtbESPW2sCMRSE3wv9D+EUfCma1Uopq1Fq&#10;vaBQKN7w9XRz3F26OVmSqGt/vREKfRxm5htmOG5MJc7kfGlZQbeTgCDOrC45V7DbzttvIHxA1lhZ&#10;JgVX8jAePT4MMdX2wms6b0IuIoR9igqKEOpUSp8VZNB3bE0cvaN1BkOULpfa4SXCTSV7SfIqDZYc&#10;Fwqs6aOg7GdzMgoO3VX2u965yWJyeP6c8vfXbC+PSrWemvcBiEBN+A//tZdaQf8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KZXrxwAAANsAAAAPAAAAAAAA&#10;AAAAAAAAAKECAABkcnMvZG93bnJldi54bWxQSwUGAAAAAAQABAD5AAAAlQMAAAAA&#10;" strokecolor="#d4d4d4" strokeweight="0"/>
                <v:rect id="Rectangle 45" o:spid="_x0000_s1068" style="position:absolute;top:2762;width:5724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3B8QA&#10;AADbAAAADwAAAGRycy9kb3ducmV2LnhtbESPUWvCMBSF3wf+h3CFvQxNN1Rc1yhDNtjetNsPuDTX&#10;prW5KUnU6q9fBoKPh3POdzjFerCdOJEPjWMFz9MMBHHldMO1gt+fz8kSRIjIGjvHpOBCAdar0UOB&#10;uXZn3tGpjLVIEA45KjAx9rmUoTJkMUxdT5y8vfMWY5K+ltrjOcFtJ1+ybCEtNpwWDPa0MVQdyqNV&#10;INutbmT/sfDt/umgX833HK9zpR7Hw/sbiEhDvIdv7S+tYDaD/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5twfEAAAA2wAAAA8AAAAAAAAAAAAAAAAAmAIAAGRycy9k&#10;b3ducmV2LnhtbFBLBQYAAAAABAAEAPUAAACJAwAAAAA=&#10;" fillcolor="#d4d4d4" stroked="f"/>
                <v:line id="Line 46" o:spid="_x0000_s1069" style="position:absolute;visibility:visible;mso-wrap-style:square" from="0,4146" to="57245,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oBMcAAADbAAAADwAAAGRycy9kb3ducmV2LnhtbESPW2sCMRSE3wv9D+EUfCmaVWopq1Fq&#10;vaBQKN7w9XRz3F26OVmSqGt/vREKfRxm5htmOG5MJc7kfGlZQbeTgCDOrC45V7DbzttvIHxA1lhZ&#10;JgVX8jAePT4MMdX2wms6b0IuIoR9igqKEOpUSp8VZNB3bE0cvaN1BkOULpfa4SXCTSV7SfIqDZYc&#10;Fwqs6aOg7GdzMgoO3VX2u965yWJyeP6c8vfXbC+PSrWemvcBiEBN+A//tZdawUs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jKgExwAAANsAAAAPAAAAAAAA&#10;AAAAAAAAAKECAABkcnMvZG93bnJldi54bWxQSwUGAAAAAAQABAD5AAAAlQMAAAAA&#10;" strokecolor="#d4d4d4" strokeweight="0"/>
                <v:rect id="Rectangle 47" o:spid="_x0000_s1070" style="position:absolute;top:4146;width:5724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M68MA&#10;AADbAAAADwAAAGRycy9kb3ducmV2LnhtbESPUWvCMBSF3wX/Q7jCXmSmjlm22igiDra3qfsBl+a2&#10;qTY3JYna7dcvg4GPh3POdzjlerCduJIPrWMF81kGgrhyuuVGwdfx7fEFRIjIGjvHpOCbAqxX41GJ&#10;hXY33tP1EBuRIBwKVGBi7AspQ2XIYpi5njh5tfMWY5K+kdrjLcFtJ5+yLJcWW04LBnvaGqrOh4tV&#10;IE+fupX9LvenenrWr+ZjgT8LpR4mw2YJItIQ7+H/9rtW8Jz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eM68MAAADbAAAADwAAAAAAAAAAAAAAAACYAgAAZHJzL2Rv&#10;d25yZXYueG1sUEsFBgAAAAAEAAQA9QAAAIgDAAAAAA==&#10;" fillcolor="#d4d4d4" stroked="f"/>
                <v:line id="Line 48" o:spid="_x0000_s1071" style="position:absolute;visibility:visible;mso-wrap-style:square" from="0,5524" to="57245,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KT6McAAADbAAAADwAAAGRycy9kb3ducmV2LnhtbESPW2sCMRSE3wv9D+EUfCmaVYotq1Fq&#10;vaBQKN7w9XRz3F26OVmSqGt/vREKfRxm5htmOG5MJc7kfGlZQbeTgCDOrC45V7DbzttvIHxA1lhZ&#10;JgVX8jAePT4MMdX2wms6b0IuIoR9igqKEOpUSp8VZNB3bE0cvaN1BkOULpfa4SXCTSV7SdKXBkuO&#10;CwXW9FFQ9rM5GQWH7ir7Xe/cZDE5PH9O+ftrtpdHpVpPzfsARKAm/If/2kut4OUV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EpPoxwAAANsAAAAPAAAAAAAA&#10;AAAAAAAAAKECAABkcnMvZG93bnJldi54bWxQSwUGAAAAAAQABAD5AAAAlQMAAAAA&#10;" strokecolor="#d4d4d4" strokeweight="0"/>
                <v:rect id="Rectangle 49" o:spid="_x0000_s1072" style="position:absolute;top:5524;width:5724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9Ar8A&#10;AADbAAAADwAAAGRycy9kb3ducmV2LnhtbERPzYrCMBC+L/gOYQQvi6aKilajiCist13XBxiasak2&#10;k5JErfv05iDs8eP7X65bW4s7+VA5VjAcZCCIC6crLhWcfvf9GYgQkTXWjknBkwKsV52PJebaPfiH&#10;7sdYihTCIUcFJsYmlzIUhiyGgWuIE3d23mJM0JdSe3ykcFvLUZZNpcWKU4PBhraGiuvxZhXIy7eu&#10;ZLOb+sv586rn5jDBv4lSvW67WYCI1MZ/8dv9pRWM09j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9L0CvwAAANsAAAAPAAAAAAAAAAAAAAAAAJgCAABkcnMvZG93bnJl&#10;di54bWxQSwUGAAAAAAQABAD1AAAAhAMAAAAA&#10;" fillcolor="#d4d4d4" stroked="f"/>
                <v:line id="Line 50" o:spid="_x0000_s1073" style="position:absolute;visibility:visible;mso-wrap-style:square" from="0,0" to="0,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GiAccAAADbAAAADwAAAGRycy9kb3ducmV2LnhtbESPW2sCMRSE3wv9D+EUfCmaVYq0q1Fq&#10;vaBQKN7w9XRz3F26OVmSqGt/vREKfRxm5htmOG5MJc7kfGlZQbeTgCDOrC45V7DbztuvIHxA1lhZ&#10;JgVX8jAePT4MMdX2wms6b0IuIoR9igqKEOpUSp8VZNB3bE0cvaN1BkOULpfa4SXCTSV7SdKXBkuO&#10;CwXW9FFQ9rM5GQWH7ir7Xe/cZDE5PH9O+ftrtpdHpVpPzfsARKAm/If/2kut4OUN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waIBxwAAANsAAAAPAAAAAAAA&#10;AAAAAAAAAKECAABkcnMvZG93bnJldi54bWxQSwUGAAAAAAQABAD5AAAAlQMAAAAA&#10;" strokecolor="#d4d4d4" strokeweight="0"/>
                <v:rect id="Rectangle 51" o:spid="_x0000_s1074" style="position:absolute;width:69;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n2cAA&#10;AADbAAAADwAAAGRycy9kb3ducmV2LnhtbERP3WrCMBS+H/gO4Qi7GZpuUNFqFBkbuLut+gCH5rSJ&#10;NiclybTz6ZeLwS4/vv/NbnS9uFKI1rOC53kBgrjx2nKn4HR8ny1BxISssfdMCn4owm47edhgpf2N&#10;v+hap07kEI4VKjApDZWUsTHkMM79QJy51geHKcPQSR3wlsNdL1+KYiEdWs4NBgd6NdRc6m+nQJ4/&#10;tZXD2yKc26eLXpmPEu+lUo/Tcb8GkWhM/+I/90ErKPP6/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sn2cAAAADbAAAADwAAAAAAAAAAAAAAAACYAgAAZHJzL2Rvd25y&#10;ZXYueG1sUEsFBgAAAAAEAAQA9QAAAIUDAAAAAA==&#10;" fillcolor="#d4d4d4" stroked="f"/>
                <v:line id="Line 52" o:spid="_x0000_s1075" style="position:absolute;visibility:visible;mso-wrap-style:square" from="7842,0" to="7842,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442sYAAADbAAAADwAAAGRycy9kb3ducmV2LnhtbESP3WoCMRSE7wu+QzhCb4pmt1Apq1Fq&#10;1WKhUPzD29PNcXfp5mRJoq4+vSkIvRxm5htmNGlNLU7kfGVZQdpPQBDnVldcKNhuFr1XED4ga6wt&#10;k4ILeZiMOw8jzLQ984pO61CICGGfoYIyhCaT0uclGfR92xBH72CdwRClK6R2eI5wU8vnJBlIgxXH&#10;hRIbei8p/10fjYJ9+plfV1s3/Zjun75m/PM938mDUo/d9m0IIlAb/sP39lIreEnh70v8AX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uONrGAAAA2wAAAA8AAAAAAAAA&#10;AAAAAAAAoQIAAGRycy9kb3ducmV2LnhtbFBLBQYAAAAABAAEAPkAAACUAwAAAAA=&#10;" strokecolor="#d4d4d4" strokeweight="0"/>
                <v:rect id="Rectangle 53" o:spid="_x0000_s1076" style="position:absolute;left:7842;width:70;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cNcIA&#10;AADbAAAADwAAAGRycy9kb3ducmV2LnhtbESP0WoCMRRE3wX/IdyCL1KzFVbs1ihSFPTNqh9w2Vw3&#10;q5ubJYm69usbQejjMDNnmNmis424kQ+1YwUfowwEcel0zZWC42H9PgURIrLGxjEpeFCAxbzfm2Gh&#10;3Z1/6LaPlUgQDgUqMDG2hZShNGQxjFxLnLyT8xZjkr6S2uM9wW0jx1k2kRZrTgsGW/o2VF72V6tA&#10;nne6lu1q4s+n4UV/mm2Ov7lSg7du+QUiUhf/w6/2RivIx/D8k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Rw1wgAAANsAAAAPAAAAAAAAAAAAAAAAAJgCAABkcnMvZG93&#10;bnJldi54bWxQSwUGAAAAAAQABAD1AAAAhwMAAAAA&#10;" fillcolor="#d4d4d4" stroked="f"/>
                <v:line id="Line 54" o:spid="_x0000_s1077" style="position:absolute;visibility:visible;mso-wrap-style:square" from="14014,0" to="14014,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NscAAADbAAAADwAAAGRycy9kb3ducmV2LnhtbESPW2sCMRSE3wv9D+EUfCma1WIpq1Fq&#10;vaBQKN7w9XRz3F26OVmSqGt/vREKfRxm5htmOG5MJc7kfGlZQbeTgCDOrC45V7DbzttvIHxA1lhZ&#10;JgVX8jAePT4MMdX2wms6b0IuIoR9igqKEOpUSp8VZNB3bE0cvaN1BkOULpfa4SXCTSV7SfIqDZYc&#10;Fwqs6aOg7GdzMgoO3VX2u965yWJyeP6c8vfXbC+PSrWemvcBiEBN+A//tZdaQf8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8AM2xwAAANsAAAAPAAAAAAAA&#10;AAAAAAAAAKECAABkcnMvZG93bnJldi54bWxQSwUGAAAAAAQABAD5AAAAlQMAAAAA&#10;" strokecolor="#d4d4d4" strokeweight="0"/>
                <v:rect id="Rectangle 55" o:spid="_x0000_s1078" style="position:absolute;left:14014;width:70;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h2sMA&#10;AADbAAAADwAAAGRycy9kb3ducmV2LnhtbESPUWvCMBSF3wX/Q7jCXmSmjlW22igiDra3qfsBl+a2&#10;qTY3JYna7dcvg4GPh3POdzjlerCduJIPrWMF81kGgrhyuuVGwdfx7fEFRIjIGjvHpOCbAqxX41GJ&#10;hXY33tP1EBuRIBwKVGBi7AspQ2XIYpi5njh5tfMWY5K+kdrjLcFtJ5+ybCEttpwWDPa0NVSdDxer&#10;QJ4+dSv73cKf6ulZv5qPHH9ypR4mw2YJItIQ7+H/9rtWkD/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Ah2sMAAADbAAAADwAAAAAAAAAAAAAAAACYAgAAZHJzL2Rv&#10;d25yZXYueG1sUEsFBgAAAAAEAAQA9QAAAIgDAAAAAA==&#10;" fillcolor="#d4d4d4" stroked="f"/>
                <v:line id="Line 56" o:spid="_x0000_s1079" style="position:absolute;visibility:visible;mso-wrap-style:square" from="20193,0" to="20193,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U+2cYAAADbAAAADwAAAGRycy9kb3ducmV2LnhtbESPQWsCMRSE74L/ITyhF6lZBUvZGkVb&#10;KxaEslbx+tw8dxc3L0sSddtfbwqFHoeZ+YaZzFpTiys5X1lWMBwkIIhzqysuFOy+3h+fQfiArLG2&#10;TAq+ycNs2u1MMNX2xhldt6EQEcI+RQVlCE0qpc9LMugHtiGO3sk6gyFKV0jt8BbhppajJHmSBiuO&#10;CyU29FpSft5ejILD8CP/yXZusVoc+ps3Pn4u9/Kk1EOvnb+ACNSG//Bfe60VjMfw+yX+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VPtnGAAAA2wAAAA8AAAAAAAAA&#10;AAAAAAAAoQIAAGRycy9kb3ducmV2LnhtbFBLBQYAAAAABAAEAPkAAACUAwAAAAA=&#10;" strokecolor="#d4d4d4" strokeweight="0"/>
                <v:rect id="Rectangle 57" o:spid="_x0000_s1080" style="position:absolute;left:20193;width:69;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NsMA&#10;AADbAAAADwAAAGRycy9kb3ducmV2LnhtbESP3WoCMRSE7wt9h3AKvSk128IuujWKiILe1Z8HOGyO&#10;m9XNyZKkuvr0Rih4OczMN8x42ttWnMmHxrGCr0EGgrhyuuFawX63/ByCCBFZY+uYFFwpwHTy+jLG&#10;UrsLb+i8jbVIEA4lKjAxdqWUoTJkMQxcR5y8g/MWY5K+ltrjJcFtK7+zrJAWG04LBjuaG6pO2z+r&#10;QB5/dSO7ReGPh4+THpl1jrdcqfe3fvYDIlIfn+H/9koryAt4fEk/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aNsMAAADbAAAADwAAAAAAAAAAAAAAAACYAgAAZHJzL2Rv&#10;d25yZXYueG1sUEsFBgAAAAAEAAQA9QAAAIgDAAAAAA==&#10;" fillcolor="#d4d4d4" stroked="f"/>
                <v:line id="Line 58" o:spid="_x0000_s1081" style="position:absolute;visibility:visible;mso-wrap-style:square" from="26365,0" to="26365,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sFNccAAADbAAAADwAAAGRycy9kb3ducmV2LnhtbESPW2sCMRSE3wv9D+EUfCmaVagtq1Fq&#10;vaBQKN7w9XRz3F26OVmSqGt/vREKfRxm5htmOG5MJc7kfGlZQbeTgCDOrC45V7DbzttvIHxA1lhZ&#10;JgVX8jAePT4MMdX2wms6b0IuIoR9igqKEOpUSp8VZNB3bE0cvaN1BkOULpfa4SXCTSV7SdKXBkuO&#10;CwXW9FFQ9rM5GQWH7ir7Xe/cZDE5PH9O+ftrtpdHpVpPzfsARKAm/If/2kut4OUV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ywU1xwAAANsAAAAPAAAAAAAA&#10;AAAAAAAAAKECAABkcnMvZG93bnJldi54bWxQSwUGAAAAAAQABAD5AAAAlQMAAAAA&#10;" strokecolor="#d4d4d4" strokeweight="0"/>
                <v:rect id="Rectangle 59" o:spid="_x0000_s1082" style="position:absolute;left:26365;width:70;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r38AA&#10;AADbAAAADwAAAGRycy9kb3ducmV2LnhtbERP3WrCMBS+H/gO4Qi7GZpuUNFqFBkbuLut+gCH5rSJ&#10;NiclybTz6ZeLwS4/vv/NbnS9uFKI1rOC53kBgrjx2nKn4HR8ny1BxISssfdMCn4owm47edhgpf2N&#10;v+hap07kEI4VKjApDZWUsTHkMM79QJy51geHKcPQSR3wlsNdL1+KYiEdWs4NBgd6NdRc6m+nQJ4/&#10;tZXD2yKc26eLXpmPEu+lUo/Tcb8GkWhM/+I/90ErKPP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0r38AAAADbAAAADwAAAAAAAAAAAAAAAACYAgAAZHJzL2Rvd25y&#10;ZXYueG1sUEsFBgAAAAAEAAQA9QAAAIUDAAAAAA==&#10;" fillcolor="#d4d4d4" stroked="f"/>
                <v:line id="Line 60" o:spid="_x0000_s1083" style="position:absolute;visibility:visible;mso-wrap-style:square" from="32543,0" to="32543,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03McAAADbAAAADwAAAGRycy9kb3ducmV2LnhtbESPW2sCMRSE3wv9D+EUfCmaVai0q1Fq&#10;vaBQKN7w9XRz3F26OVmSqGt/vREKfRxm5htmOG5MJc7kfGlZQbeTgCDOrC45V7DbztuvIHxA1lhZ&#10;JgVX8jAePT4MMdX2wms6b0IuIoR9igqKEOpUSp8VZNB3bE0cvaN1BkOULpfa4SXCTSV7SdKXBkuO&#10;CwXW9FFQ9rM5GQWH7ir7Xe/cZDE5PH9O+ftrtpdHpVpPzfsARKAm/If/2kut4OUN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GDTcxwAAANsAAAAPAAAAAAAA&#10;AAAAAAAAAKECAABkcnMvZG93bnJldi54bWxQSwUGAAAAAAQABAD5AAAAlQMAAAAA&#10;" strokecolor="#d4d4d4" strokeweight="0"/>
                <v:rect id="Rectangle 61" o:spid="_x0000_s1084" style="position:absolute;left:32543;width:70;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tZL8A&#10;AADbAAAADwAAAGRycy9kb3ducmV2LnhtbERPy4rCMBTdD/gP4QpuBk1nwKLVKDLMgO58fcCluTbV&#10;5qYkGa1+vVkILg/nPV92thFX8qF2rOBrlIEgLp2uuVJwPPwNJyBCRNbYOCYFdwqwXPQ+5lhod+Md&#10;XfexEimEQ4EKTIxtIWUoDVkMI9cSJ+7kvMWYoK+k9nhL4baR31mWS4s1pwaDLf0YKi/7f6tAnre6&#10;lu1v7s+nz4uems0YH2OlBv1uNQMRqYtv8cu91grytD5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N+1kvwAAANsAAAAPAAAAAAAAAAAAAAAAAJgCAABkcnMvZG93bnJl&#10;di54bWxQSwUGAAAAAAQABAD1AAAAhAMAAAAA&#10;" fillcolor="#d4d4d4" stroked="f"/>
                <v:line id="Line 62" o:spid="_x0000_s1085" style="position:absolute;visibility:visible;mso-wrap-style:square" from="38715,0" to="38715,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LyZ8YAAADbAAAADwAAAGRycy9kb3ducmV2LnhtbESPT2vCQBTE70K/w/IKvYhu0oNIdJXa&#10;P2JBKKaK12f2mYRm34bdVWM/vSsUehxm5jfMdN6ZRpzJ+dqygnSYgCAurK65VLD9/hiMQfiArLGx&#10;TAqu5GE+e+hNMdP2whs656EUEcI+QwVVCG0mpS8qMuiHtiWO3tE6gyFKV0rt8BLhppHPSTKSBmuO&#10;CxW29FpR8ZOfjIJ9+ln8brZusVzs++s3Pny97+RRqafH7mUCIlAX/sN/7ZVWMErh/iX+AD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C8mfGAAAA2wAAAA8AAAAAAAAA&#10;AAAAAAAAoQIAAGRycy9kb3ducmV2LnhtbFBLBQYAAAAABAAEAPkAAACUAwAAAAA=&#10;" strokecolor="#d4d4d4" strokeweight="0"/>
                <v:rect id="Rectangle 63" o:spid="_x0000_s1086" style="position:absolute;left:38715;width:70;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WiMIA&#10;AADbAAAADwAAAGRycy9kb3ducmV2LnhtbESP0WoCMRRE3wv+Q7gFX0rNVnCxW6NIUdA3q37AZXPd&#10;rG5uliTq6tcbQejjMDNnmMmss424kA+1YwVfgwwEcel0zZWC/W75OQYRIrLGxjEpuFGA2bT3NsFC&#10;uyv/0WUbK5EgHApUYGJsCylDachiGLiWOHkH5y3GJH0ltcdrgttGDrMslxZrTgsGW/o1VJ62Z6tA&#10;Hje6lu0i98fDx0l/m/UI7yOl+u/d/AdEpC7+h1/tlVaQD+H5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daIwgAAANsAAAAPAAAAAAAAAAAAAAAAAJgCAABkcnMvZG93&#10;bnJldi54bWxQSwUGAAAAAAQABAD1AAAAhwMAAAAA&#10;" fillcolor="#d4d4d4" stroked="f"/>
                <v:line id="Line 64" o:spid="_x0000_s1087" style="position:absolute;visibility:visible;mso-wrap-style:square" from="44894,0" to="44894,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zJi8YAAADbAAAADwAAAGRycy9kb3ducmV2LnhtbESPQWsCMRSE7wX/Q3hCL6VmVRDZGkVb&#10;WywIolW8PjfP3cXNy5KkuvrrjVDocZiZb5jRpDGVOJPzpWUF3U4CgjizuuRcwfbn83UIwgdkjZVl&#10;UnAlD5Nx62mEqbYXXtN5E3IRIexTVFCEUKdS+qwgg75ja+LoHa0zGKJ0udQOLxFuKtlLkoE0WHJc&#10;KLCm94Ky0+bXKNh3v7PbeutmX7P9y/KDD6v5Th6Vem430zcQgZrwH/5rL7SCQR8eX+IPkO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cyYvGAAAA2wAAAA8AAAAAAAAA&#10;AAAAAAAAoQIAAGRycy9kb3ducmV2LnhtbFBLBQYAAAAABAAEAPkAAACUAwAAAAA=&#10;" strokecolor="#d4d4d4" strokeweight="0"/>
                <v:rect id="Rectangle 65" o:spid="_x0000_s1088" style="position:absolute;left:44894;width:70;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rZ8MA&#10;AADbAAAADwAAAGRycy9kb3ducmV2LnhtbESPUWvCMBSF3wX/Q7jCXmSmjlm22igiDra3qfsBl+a2&#10;qTY3JYna7dcvg4GPh3POdzjlerCduJIPrWMF81kGgrhyuuVGwdfx7fEFRIjIGjvHpOCbAqxX41GJ&#10;hXY33tP1EBuRIBwKVGBi7AspQ2XIYpi5njh5tfMWY5K+kdrjLcFtJ5+yLJcWW04LBnvaGqrOh4tV&#10;IE+fupX9LvenenrWr+ZjgT8LpR4mw2YJItIQ7+H/9rtWkD/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zrZ8MAAADbAAAADwAAAAAAAAAAAAAAAACYAgAAZHJzL2Rv&#10;d25yZXYueG1sUEsFBgAAAAAEAAQA9QAAAIgDAAAAAA==&#10;" fillcolor="#d4d4d4" stroked="f"/>
                <v:line id="Line 66" o:spid="_x0000_s1089" style="position:absolute;visibility:visible;mso-wrap-style:square" from="51066,0" to="51066,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0ZMYAAADbAAAADwAAAGRycy9kb3ducmV2LnhtbESPQWsCMRSE7wX/Q3hCL6VmFRTZGkVb&#10;WywIolW8PjfP3cXNy5KkuvrrjVDocZiZb5jRpDGVOJPzpWUF3U4CgjizuuRcwfbn83UIwgdkjZVl&#10;UnAlD5Nx62mEqbYXXtN5E3IRIexTVFCEUKdS+qwgg75ja+LoHa0zGKJ0udQOLxFuKtlLkoE0WHJc&#10;KLCm94Ky0+bXKNh3v7PbeutmX7P9y/KDD6v5Th6Vem430zcQgZrwH/5rL7SCQR8eX+IPkO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59GTGAAAA2wAAAA8AAAAAAAAA&#10;AAAAAAAAoQIAAGRycy9kb3ducmV2LnhtbFBLBQYAAAAABAAEAPkAAACUAwAAAAA=&#10;" strokecolor="#d4d4d4" strokeweight="0"/>
                <v:rect id="Rectangle 67" o:spid="_x0000_s1090" style="position:absolute;left:51066;width:70;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Qi8IA&#10;AADbAAAADwAAAGRycy9kb3ducmV2LnhtbESP0WoCMRRE3wv+Q7iCL0WzFVzqahQRhfbNbv2Ay+a6&#10;Wd3cLEmqW7/eFIQ+DjNzhlmue9uKK/nQOFbwNslAEFdON1wrOH7vx+8gQkTW2DomBb8UYL0avCyx&#10;0O7GX3QtYy0ShEOBCkyMXSFlqAxZDBPXESfv5LzFmKSvpfZ4S3DbymmW5dJiw2nBYEdbQ9Wl/LEK&#10;5PmgG9ntcn8+vV703HzO8D5TajTsNwsQkfr4H362P7SCPIe/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tCLwgAAANsAAAAPAAAAAAAAAAAAAAAAAJgCAABkcnMvZG93&#10;bnJldi54bWxQSwUGAAAAAAQABAD1AAAAhwMAAAAA&#10;" fillcolor="#d4d4d4" stroked="f"/>
                <v:line id="Line 68" o:spid="_x0000_s1091" style="position:absolute;visibility:visible;mso-wrap-style:square" from="57245,0" to="57245,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fPiMYAAADbAAAADwAAAGRycy9kb3ducmV2LnhtbESPQWsCMRSE74L/ITyhF6lZPdiyNYq2&#10;ViwIZa3i9bl57i5uXpYk6ra/3hQKPQ4z8w0zmbWmFldyvrKsYDhIQBDnVldcKNh9vT8+g/ABWWNt&#10;mRR8k4fZtNuZYKrtjTO6bkMhIoR9igrKEJpUSp+XZNAPbEMcvZN1BkOUrpDa4S3CTS1HSTKWBiuO&#10;CyU29FpSft5ejILD8CP/yXZusVoc+ps3Pn4u9/Kk1EOvnb+ACNSG//Bfe60VjJ/g90v8AXJ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nz4jGAAAA2wAAAA8AAAAAAAAA&#10;AAAAAAAAoQIAAGRycy9kb3ducmV2LnhtbFBLBQYAAAAABAAEAPkAAACUAwAAAAA=&#10;" strokecolor="#d4d4d4" strokeweight="0"/>
                <v:rect id="Rectangle 69" o:spid="_x0000_s1092" style="position:absolute;left:57245;width:70;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HhYr8A&#10;AADbAAAADwAAAGRycy9kb3ducmV2LnhtbERPy4rCMBTdD/gP4QpuBk1nwKLVKDLMgO58fcCluTbV&#10;5qYkGa1+vVkILg/nPV92thFX8qF2rOBrlIEgLp2uuVJwPPwNJyBCRNbYOCYFdwqwXPQ+5lhod+Md&#10;XfexEimEQ4EKTIxtIWUoDVkMI9cSJ+7kvMWYoK+k9nhL4baR31mWS4s1pwaDLf0YKi/7f6tAnre6&#10;lu1v7s+nz4uems0YH2OlBv1uNQMRqYtv8cu91gryNDZ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QeFivwAAANsAAAAPAAAAAAAAAAAAAAAAAJgCAABkcnMvZG93bnJl&#10;di54bWxQSwUGAAAAAAQABAD1AAAAhAMAAAAA&#10;" fillcolor="#d4d4d4" stroked="f"/>
              </v:group>
            </w:pict>
          </mc:Fallback>
        </mc:AlternateContent>
      </w:r>
    </w:p>
    <w:p w14:paraId="0FF08B9B" w14:textId="77777777" w:rsidR="00196D0D" w:rsidRDefault="00196D0D" w:rsidP="00196D0D">
      <w:pPr>
        <w:spacing w:after="160" w:line="259" w:lineRule="auto"/>
        <w:rPr>
          <w:rFonts w:cs="Times New Roman"/>
          <w:b/>
          <w:i/>
          <w:color w:val="000000" w:themeColor="text1"/>
        </w:rPr>
      </w:pPr>
      <w:r>
        <w:rPr>
          <w:rFonts w:cs="Times New Roman"/>
          <w:b/>
          <w:i/>
          <w:color w:val="000000" w:themeColor="text1"/>
        </w:rPr>
        <w:br w:type="page"/>
      </w:r>
    </w:p>
    <w:p w14:paraId="1A287A46" w14:textId="77777777" w:rsidR="00196D0D" w:rsidRPr="007012D7" w:rsidRDefault="00196D0D" w:rsidP="00196D0D">
      <w:pPr>
        <w:rPr>
          <w:b/>
          <w:i/>
        </w:rPr>
      </w:pPr>
      <w:r w:rsidRPr="007012D7">
        <w:rPr>
          <w:b/>
          <w:i/>
        </w:rPr>
        <w:lastRenderedPageBreak/>
        <w:t>Figure 2: Dataset by source over the selected time period.</w:t>
      </w:r>
    </w:p>
    <w:p w14:paraId="1DE7956A" w14:textId="77777777" w:rsidR="00196D0D" w:rsidRPr="00FC6DC6" w:rsidRDefault="00196D0D" w:rsidP="00196D0D">
      <w:r>
        <w:rPr>
          <w:noProof/>
          <w:lang w:val="en-US"/>
        </w:rPr>
        <w:drawing>
          <wp:inline distT="0" distB="0" distL="0" distR="0" wp14:anchorId="68EE9873" wp14:editId="245B5B68">
            <wp:extent cx="5731200" cy="214920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200" cy="2149200"/>
                    </a:xfrm>
                    <a:prstGeom prst="rect">
                      <a:avLst/>
                    </a:prstGeom>
                    <a:noFill/>
                  </pic:spPr>
                </pic:pic>
              </a:graphicData>
            </a:graphic>
          </wp:inline>
        </w:drawing>
      </w:r>
    </w:p>
    <w:p w14:paraId="585BD002" w14:textId="77777777" w:rsidR="00196D0D" w:rsidRDefault="00196D0D" w:rsidP="00196D0D">
      <w:pPr>
        <w:spacing w:after="160" w:line="259" w:lineRule="auto"/>
        <w:rPr>
          <w:rFonts w:cs="Times New Roman"/>
          <w:b/>
          <w:i/>
          <w:color w:val="000000" w:themeColor="text1"/>
        </w:rPr>
      </w:pPr>
      <w:r>
        <w:rPr>
          <w:rFonts w:cs="Times New Roman"/>
          <w:b/>
          <w:i/>
          <w:color w:val="000000" w:themeColor="text1"/>
        </w:rPr>
        <w:br w:type="page"/>
      </w:r>
    </w:p>
    <w:p w14:paraId="5547C806" w14:textId="77777777" w:rsidR="00196D0D" w:rsidRDefault="00196D0D" w:rsidP="00196D0D">
      <w:pPr>
        <w:rPr>
          <w:rFonts w:cs="Times New Roman"/>
          <w:b/>
          <w:i/>
          <w:color w:val="000000" w:themeColor="text1"/>
        </w:rPr>
      </w:pPr>
      <w:r>
        <w:rPr>
          <w:rFonts w:cs="Times New Roman"/>
          <w:b/>
          <w:i/>
          <w:color w:val="000000" w:themeColor="text1"/>
        </w:rPr>
        <w:lastRenderedPageBreak/>
        <w:t>Table 3</w:t>
      </w:r>
      <w:r w:rsidRPr="00172C81">
        <w:rPr>
          <w:rFonts w:cs="Times New Roman"/>
          <w:b/>
          <w:i/>
          <w:color w:val="000000" w:themeColor="text1"/>
        </w:rPr>
        <w:t>:</w:t>
      </w:r>
      <w:r>
        <w:rPr>
          <w:rFonts w:cs="Times New Roman"/>
          <w:b/>
          <w:i/>
          <w:color w:val="000000" w:themeColor="text1"/>
        </w:rPr>
        <w:t xml:space="preserve"> Arguments </w:t>
      </w:r>
      <w:r w:rsidRPr="00C06817">
        <w:rPr>
          <w:rFonts w:cs="Times New Roman"/>
          <w:b/>
          <w:i/>
          <w:color w:val="000000" w:themeColor="text1"/>
          <w:u w:val="single"/>
        </w:rPr>
        <w:t>for</w:t>
      </w:r>
      <w:r>
        <w:rPr>
          <w:rFonts w:cs="Times New Roman"/>
          <w:b/>
          <w:i/>
          <w:color w:val="000000" w:themeColor="text1"/>
        </w:rPr>
        <w:t xml:space="preserve"> a living wage: illustrative quotes from the dataset</w:t>
      </w:r>
    </w:p>
    <w:tbl>
      <w:tblPr>
        <w:tblStyle w:val="TableGrid"/>
        <w:tblW w:w="8926" w:type="dxa"/>
        <w:tblLayout w:type="fixed"/>
        <w:tblLook w:val="04A0" w:firstRow="1" w:lastRow="0" w:firstColumn="1" w:lastColumn="0" w:noHBand="0" w:noVBand="1"/>
      </w:tblPr>
      <w:tblGrid>
        <w:gridCol w:w="8926"/>
      </w:tblGrid>
      <w:tr w:rsidR="00196D0D" w:rsidRPr="00D85ECC" w14:paraId="2631523F" w14:textId="77777777" w:rsidTr="00B25937">
        <w:tc>
          <w:tcPr>
            <w:tcW w:w="8926" w:type="dxa"/>
            <w:shd w:val="clear" w:color="auto" w:fill="FFD966" w:themeFill="accent4" w:themeFillTint="99"/>
          </w:tcPr>
          <w:p w14:paraId="3DD16C37" w14:textId="77777777" w:rsidR="00196D0D" w:rsidRPr="00B73283" w:rsidRDefault="00196D0D" w:rsidP="00B25937">
            <w:pPr>
              <w:rPr>
                <w:rFonts w:cs="Times New Roman"/>
                <w:sz w:val="22"/>
              </w:rPr>
            </w:pPr>
            <w:r>
              <w:rPr>
                <w:rFonts w:cs="Times New Roman"/>
                <w:sz w:val="22"/>
              </w:rPr>
              <w:t>Low wages at present are set with too much emphasis on market signals</w:t>
            </w:r>
          </w:p>
        </w:tc>
      </w:tr>
      <w:tr w:rsidR="00196D0D" w:rsidRPr="00D85ECC" w14:paraId="5558B70D" w14:textId="77777777" w:rsidTr="00B25937">
        <w:tc>
          <w:tcPr>
            <w:tcW w:w="8926" w:type="dxa"/>
          </w:tcPr>
          <w:p w14:paraId="4D2D13AD" w14:textId="77777777" w:rsidR="00196D0D" w:rsidRPr="00D85ECC" w:rsidRDefault="00196D0D" w:rsidP="00196D0D">
            <w:pPr>
              <w:pStyle w:val="ListParagraph"/>
              <w:numPr>
                <w:ilvl w:val="0"/>
                <w:numId w:val="6"/>
              </w:numPr>
              <w:spacing w:after="0"/>
              <w:ind w:left="357" w:hanging="357"/>
              <w:rPr>
                <w:rFonts w:cs="Times New Roman"/>
                <w:sz w:val="22"/>
              </w:rPr>
            </w:pPr>
            <w:r>
              <w:rPr>
                <w:rFonts w:cs="Times New Roman"/>
                <w:sz w:val="22"/>
              </w:rPr>
              <w:t>“Wages should be based on need and not left to the market” (LWA, 2012a).</w:t>
            </w:r>
          </w:p>
        </w:tc>
      </w:tr>
      <w:tr w:rsidR="00196D0D" w:rsidRPr="00D85ECC" w14:paraId="2F619065" w14:textId="77777777" w:rsidTr="00B25937">
        <w:tc>
          <w:tcPr>
            <w:tcW w:w="8926" w:type="dxa"/>
          </w:tcPr>
          <w:p w14:paraId="47735A72" w14:textId="77777777" w:rsidR="00196D0D" w:rsidRPr="00D85ECC" w:rsidRDefault="00196D0D" w:rsidP="00196D0D">
            <w:pPr>
              <w:pStyle w:val="ListParagraph"/>
              <w:numPr>
                <w:ilvl w:val="0"/>
                <w:numId w:val="6"/>
              </w:numPr>
              <w:spacing w:after="0"/>
              <w:ind w:left="357" w:hanging="357"/>
              <w:rPr>
                <w:rFonts w:cs="Times New Roman"/>
                <w:sz w:val="22"/>
              </w:rPr>
            </w:pPr>
            <w:r>
              <w:rPr>
                <w:rFonts w:cs="Times New Roman"/>
                <w:sz w:val="22"/>
              </w:rPr>
              <w:t>“</w:t>
            </w:r>
            <w:r w:rsidRPr="00D85ECC">
              <w:rPr>
                <w:rFonts w:cs="Times New Roman"/>
                <w:sz w:val="22"/>
              </w:rPr>
              <w:t>The price of a person’s labour should not be determined solely by the market” (Mayman, 2012).</w:t>
            </w:r>
          </w:p>
        </w:tc>
      </w:tr>
      <w:tr w:rsidR="00196D0D" w:rsidRPr="00D85ECC" w14:paraId="46251482" w14:textId="77777777" w:rsidTr="00B25937">
        <w:tc>
          <w:tcPr>
            <w:tcW w:w="8926" w:type="dxa"/>
            <w:shd w:val="clear" w:color="auto" w:fill="FFD966" w:themeFill="accent4" w:themeFillTint="99"/>
          </w:tcPr>
          <w:p w14:paraId="4CED4962" w14:textId="77777777" w:rsidR="00196D0D" w:rsidRPr="00B73283" w:rsidRDefault="00196D0D" w:rsidP="00B25937">
            <w:pPr>
              <w:rPr>
                <w:rFonts w:cs="Times New Roman"/>
                <w:sz w:val="22"/>
              </w:rPr>
            </w:pPr>
            <w:r>
              <w:rPr>
                <w:rFonts w:cs="Times New Roman"/>
                <w:sz w:val="22"/>
              </w:rPr>
              <w:t xml:space="preserve">Low wages in the labour market reflect unequal power </w:t>
            </w:r>
            <w:r w:rsidRPr="00C06817">
              <w:rPr>
                <w:rFonts w:cs="Times New Roman"/>
                <w:sz w:val="22"/>
              </w:rPr>
              <w:t xml:space="preserve">[critique of </w:t>
            </w:r>
            <w:r w:rsidRPr="00C06817">
              <w:rPr>
                <w:rFonts w:cs="Times New Roman"/>
                <w:i/>
                <w:sz w:val="22"/>
              </w:rPr>
              <w:t xml:space="preserve">market </w:t>
            </w:r>
            <w:r w:rsidRPr="00C06817">
              <w:rPr>
                <w:sz w:val="22"/>
              </w:rPr>
              <w:t>order</w:t>
            </w:r>
            <w:r w:rsidRPr="00C06817">
              <w:rPr>
                <w:rFonts w:cs="Times New Roman"/>
                <w:sz w:val="22"/>
              </w:rPr>
              <w:t>]</w:t>
            </w:r>
          </w:p>
        </w:tc>
      </w:tr>
      <w:tr w:rsidR="00196D0D" w:rsidRPr="00D85ECC" w14:paraId="242CD1BE" w14:textId="77777777" w:rsidTr="00B25937">
        <w:tc>
          <w:tcPr>
            <w:tcW w:w="8926" w:type="dxa"/>
          </w:tcPr>
          <w:p w14:paraId="1790AC40" w14:textId="77777777" w:rsidR="00196D0D" w:rsidRPr="00D85ECC" w:rsidRDefault="00196D0D" w:rsidP="00196D0D">
            <w:pPr>
              <w:pStyle w:val="ListParagraph"/>
              <w:numPr>
                <w:ilvl w:val="0"/>
                <w:numId w:val="6"/>
              </w:numPr>
              <w:spacing w:after="0"/>
              <w:ind w:left="357" w:hanging="357"/>
              <w:rPr>
                <w:rFonts w:cs="Times New Roman"/>
                <w:sz w:val="22"/>
              </w:rPr>
            </w:pPr>
            <w:r w:rsidRPr="00D85ECC">
              <w:rPr>
                <w:rFonts w:cs="Times New Roman"/>
                <w:sz w:val="22"/>
              </w:rPr>
              <w:t>“The employment agreements workers are compelled to agree to are affected by the deeply one-sided nature of free-market negotiation” (Miller, 2013, p. 5).</w:t>
            </w:r>
          </w:p>
        </w:tc>
      </w:tr>
      <w:tr w:rsidR="00196D0D" w:rsidRPr="00D85ECC" w14:paraId="04E8B4D8" w14:textId="77777777" w:rsidTr="00B25937">
        <w:tc>
          <w:tcPr>
            <w:tcW w:w="8926" w:type="dxa"/>
          </w:tcPr>
          <w:p w14:paraId="66772C3B" w14:textId="77777777" w:rsidR="00196D0D" w:rsidRPr="00D85ECC" w:rsidRDefault="00196D0D" w:rsidP="00196D0D">
            <w:pPr>
              <w:pStyle w:val="ListParagraph"/>
              <w:numPr>
                <w:ilvl w:val="0"/>
                <w:numId w:val="6"/>
              </w:numPr>
              <w:spacing w:after="0"/>
              <w:ind w:left="357" w:hanging="357"/>
              <w:rPr>
                <w:rFonts w:cs="Times New Roman"/>
                <w:sz w:val="22"/>
              </w:rPr>
            </w:pPr>
            <w:r w:rsidRPr="00D85ECC">
              <w:rPr>
                <w:rFonts w:cs="Times New Roman"/>
                <w:sz w:val="22"/>
              </w:rPr>
              <w:t>“We have a modern day slave market that hires people according to the likes and dislikes of the slave masters rather than a job with dignity and a living wage” (Anglican Diocese of Auckland, 2012).</w:t>
            </w:r>
          </w:p>
        </w:tc>
      </w:tr>
      <w:tr w:rsidR="00196D0D" w:rsidRPr="00D85ECC" w14:paraId="1F730DCB" w14:textId="77777777" w:rsidTr="00B25937">
        <w:tc>
          <w:tcPr>
            <w:tcW w:w="8926" w:type="dxa"/>
          </w:tcPr>
          <w:p w14:paraId="6E6E7B09" w14:textId="77777777" w:rsidR="00196D0D" w:rsidRPr="00D85ECC" w:rsidRDefault="00196D0D" w:rsidP="00196D0D">
            <w:pPr>
              <w:pStyle w:val="ListParagraph"/>
              <w:numPr>
                <w:ilvl w:val="0"/>
                <w:numId w:val="6"/>
              </w:numPr>
              <w:spacing w:after="0"/>
              <w:ind w:left="357" w:hanging="357"/>
              <w:rPr>
                <w:rFonts w:cs="Times New Roman"/>
                <w:sz w:val="22"/>
              </w:rPr>
            </w:pPr>
            <w:r w:rsidRPr="00D85ECC">
              <w:rPr>
                <w:rFonts w:cs="Times New Roman"/>
                <w:sz w:val="22"/>
              </w:rPr>
              <w:t>“If the market leads to exploitation such that workers are forced to work for low wages or in meaningless work then this is an obvious sign of the lack of freedom… a basic income for all promotes real freedom for all” (White, 2012).</w:t>
            </w:r>
          </w:p>
        </w:tc>
      </w:tr>
      <w:tr w:rsidR="00196D0D" w:rsidRPr="00D85ECC" w14:paraId="393BA6DB" w14:textId="77777777" w:rsidTr="00B25937">
        <w:tc>
          <w:tcPr>
            <w:tcW w:w="8926" w:type="dxa"/>
            <w:shd w:val="clear" w:color="auto" w:fill="FFD966" w:themeFill="accent4" w:themeFillTint="99"/>
          </w:tcPr>
          <w:p w14:paraId="1BE4F299" w14:textId="77777777" w:rsidR="00196D0D" w:rsidRPr="00C06817" w:rsidRDefault="00196D0D" w:rsidP="00B25937">
            <w:pPr>
              <w:rPr>
                <w:rFonts w:cs="Times New Roman"/>
                <w:sz w:val="22"/>
              </w:rPr>
            </w:pPr>
            <w:r w:rsidRPr="00C06817">
              <w:rPr>
                <w:rFonts w:cs="Times New Roman"/>
                <w:sz w:val="22"/>
              </w:rPr>
              <w:t xml:space="preserve">Low wages in the labour market do not provide for workers’ valid needs [critique of </w:t>
            </w:r>
            <w:r w:rsidRPr="00C06817">
              <w:rPr>
                <w:rFonts w:cs="Times New Roman"/>
                <w:i/>
                <w:sz w:val="22"/>
              </w:rPr>
              <w:t xml:space="preserve">market </w:t>
            </w:r>
            <w:r w:rsidRPr="00C06817">
              <w:rPr>
                <w:sz w:val="22"/>
              </w:rPr>
              <w:t>order</w:t>
            </w:r>
            <w:r w:rsidRPr="00C06817">
              <w:rPr>
                <w:rFonts w:cs="Times New Roman"/>
                <w:sz w:val="22"/>
              </w:rPr>
              <w:t>]</w:t>
            </w:r>
          </w:p>
        </w:tc>
      </w:tr>
      <w:tr w:rsidR="00196D0D" w:rsidRPr="00D85ECC" w14:paraId="167B4417" w14:textId="77777777" w:rsidTr="00B25937">
        <w:tc>
          <w:tcPr>
            <w:tcW w:w="8926" w:type="dxa"/>
          </w:tcPr>
          <w:p w14:paraId="407D0024" w14:textId="77777777" w:rsidR="00196D0D" w:rsidRPr="00D85ECC" w:rsidRDefault="00196D0D" w:rsidP="00196D0D">
            <w:pPr>
              <w:pStyle w:val="ListParagraph"/>
              <w:numPr>
                <w:ilvl w:val="0"/>
                <w:numId w:val="6"/>
              </w:numPr>
              <w:spacing w:after="0"/>
              <w:ind w:left="357" w:hanging="357"/>
              <w:rPr>
                <w:rFonts w:cs="Times New Roman"/>
                <w:sz w:val="22"/>
              </w:rPr>
            </w:pPr>
            <w:r w:rsidRPr="00D85ECC">
              <w:rPr>
                <w:rFonts w:cs="Times New Roman"/>
                <w:sz w:val="22"/>
              </w:rPr>
              <w:t>“More and more New Zealanders don’t get paid enough to meet their needs, enjoy their lives” and “participate as active citizens in society” (LWA2012a; 2012b).</w:t>
            </w:r>
          </w:p>
        </w:tc>
      </w:tr>
      <w:tr w:rsidR="00196D0D" w:rsidRPr="00D85ECC" w14:paraId="3B5BFCD8" w14:textId="77777777" w:rsidTr="00B25937">
        <w:tc>
          <w:tcPr>
            <w:tcW w:w="8926" w:type="dxa"/>
          </w:tcPr>
          <w:p w14:paraId="11EFE61F" w14:textId="77777777" w:rsidR="00196D0D" w:rsidRPr="00D85ECC" w:rsidRDefault="00196D0D" w:rsidP="00196D0D">
            <w:pPr>
              <w:pStyle w:val="ListParagraph"/>
              <w:numPr>
                <w:ilvl w:val="0"/>
                <w:numId w:val="6"/>
              </w:numPr>
              <w:spacing w:after="0"/>
              <w:ind w:left="357" w:hanging="357"/>
              <w:rPr>
                <w:rFonts w:cs="Times New Roman"/>
                <w:sz w:val="22"/>
              </w:rPr>
            </w:pPr>
            <w:r w:rsidRPr="00D85ECC">
              <w:rPr>
                <w:rFonts w:cs="Times New Roman"/>
                <w:sz w:val="22"/>
              </w:rPr>
              <w:t>“For the hard-working New Zealanders slogging their guts out caring and cleaning, wages are too low to put food on the table and pay basic household bills, let alone have a decent quality of life” (SFWU, 2012).</w:t>
            </w:r>
          </w:p>
        </w:tc>
      </w:tr>
      <w:tr w:rsidR="00196D0D" w:rsidRPr="00D85ECC" w14:paraId="357D4604" w14:textId="77777777" w:rsidTr="00B25937">
        <w:tc>
          <w:tcPr>
            <w:tcW w:w="8926" w:type="dxa"/>
          </w:tcPr>
          <w:p w14:paraId="52FFAC2E" w14:textId="77777777" w:rsidR="00196D0D" w:rsidRPr="00D85ECC" w:rsidRDefault="00196D0D" w:rsidP="00196D0D">
            <w:pPr>
              <w:pStyle w:val="ListParagraph"/>
              <w:numPr>
                <w:ilvl w:val="0"/>
                <w:numId w:val="6"/>
              </w:numPr>
              <w:spacing w:after="0"/>
              <w:ind w:left="357" w:hanging="357"/>
              <w:rPr>
                <w:rFonts w:cs="Times New Roman"/>
                <w:sz w:val="22"/>
              </w:rPr>
            </w:pPr>
            <w:r w:rsidRPr="00D85ECC">
              <w:rPr>
                <w:rFonts w:cs="Times New Roman"/>
                <w:sz w:val="22"/>
              </w:rPr>
              <w:t>“The living conditions of poor people and the economic disparities that we see along the lines of race and gender are causes for moral outrage” (Mayman, 2012).</w:t>
            </w:r>
          </w:p>
        </w:tc>
      </w:tr>
      <w:tr w:rsidR="00196D0D" w:rsidRPr="00D85ECC" w14:paraId="21A9E7DB" w14:textId="77777777" w:rsidTr="00B25937">
        <w:tc>
          <w:tcPr>
            <w:tcW w:w="8926" w:type="dxa"/>
          </w:tcPr>
          <w:p w14:paraId="21F3D11C" w14:textId="77777777" w:rsidR="00196D0D" w:rsidRPr="00D85ECC" w:rsidRDefault="00196D0D" w:rsidP="00196D0D">
            <w:pPr>
              <w:pStyle w:val="ListParagraph"/>
              <w:numPr>
                <w:ilvl w:val="0"/>
                <w:numId w:val="6"/>
              </w:numPr>
              <w:spacing w:after="0"/>
              <w:ind w:left="357" w:hanging="357"/>
              <w:rPr>
                <w:rFonts w:cs="Times New Roman"/>
                <w:sz w:val="22"/>
              </w:rPr>
            </w:pPr>
            <w:r w:rsidRPr="00D85ECC">
              <w:rPr>
                <w:sz w:val="22"/>
              </w:rPr>
              <w:t>“The minimum wage is a dying wage and it is morally and ethically unacceptable” (Matheson, 2012).</w:t>
            </w:r>
          </w:p>
        </w:tc>
      </w:tr>
      <w:tr w:rsidR="00196D0D" w:rsidRPr="00D85ECC" w14:paraId="74608E44" w14:textId="77777777" w:rsidTr="00B25937">
        <w:tc>
          <w:tcPr>
            <w:tcW w:w="8926" w:type="dxa"/>
            <w:shd w:val="clear" w:color="auto" w:fill="FFD966" w:themeFill="accent4" w:themeFillTint="99"/>
          </w:tcPr>
          <w:p w14:paraId="0E307761" w14:textId="77777777" w:rsidR="00196D0D" w:rsidRPr="00C06817" w:rsidRDefault="00196D0D" w:rsidP="00B25937">
            <w:pPr>
              <w:spacing w:line="259" w:lineRule="auto"/>
              <w:contextualSpacing/>
              <w:rPr>
                <w:rFonts w:cs="Times New Roman"/>
                <w:sz w:val="22"/>
              </w:rPr>
            </w:pPr>
            <w:r w:rsidRPr="00C06817">
              <w:rPr>
                <w:rFonts w:cs="Times New Roman"/>
                <w:sz w:val="22"/>
              </w:rPr>
              <w:t>The living wage recognises the inherent dignity of the human person [</w:t>
            </w:r>
            <w:r w:rsidRPr="00C06817">
              <w:rPr>
                <w:rFonts w:cs="Times New Roman"/>
                <w:i/>
                <w:sz w:val="22"/>
              </w:rPr>
              <w:t>domestic</w:t>
            </w:r>
            <w:r w:rsidRPr="00C06817">
              <w:rPr>
                <w:rFonts w:cs="Times New Roman"/>
                <w:sz w:val="22"/>
              </w:rPr>
              <w:t xml:space="preserve"> – </w:t>
            </w:r>
            <w:r w:rsidRPr="00C06817">
              <w:rPr>
                <w:rFonts w:cs="Times New Roman"/>
                <w:i/>
                <w:sz w:val="22"/>
              </w:rPr>
              <w:t>inspired</w:t>
            </w:r>
            <w:r>
              <w:rPr>
                <w:rFonts w:cs="Times New Roman"/>
                <w:i/>
                <w:sz w:val="22"/>
              </w:rPr>
              <w:t xml:space="preserve"> </w:t>
            </w:r>
            <w:r>
              <w:rPr>
                <w:rFonts w:cs="Times New Roman"/>
                <w:sz w:val="22"/>
              </w:rPr>
              <w:t>orders</w:t>
            </w:r>
            <w:r w:rsidRPr="00C06817">
              <w:rPr>
                <w:rFonts w:cs="Times New Roman"/>
                <w:sz w:val="22"/>
              </w:rPr>
              <w:t>]</w:t>
            </w:r>
          </w:p>
        </w:tc>
      </w:tr>
      <w:tr w:rsidR="00196D0D" w:rsidRPr="00D85ECC" w14:paraId="7B4827B8" w14:textId="77777777" w:rsidTr="00B25937">
        <w:tc>
          <w:tcPr>
            <w:tcW w:w="8926" w:type="dxa"/>
          </w:tcPr>
          <w:p w14:paraId="373EB23A" w14:textId="77777777" w:rsidR="00196D0D" w:rsidRPr="00D85ECC" w:rsidRDefault="00196D0D" w:rsidP="00196D0D">
            <w:pPr>
              <w:numPr>
                <w:ilvl w:val="0"/>
                <w:numId w:val="6"/>
              </w:numPr>
              <w:spacing w:line="259" w:lineRule="auto"/>
              <w:ind w:left="357" w:hanging="357"/>
              <w:contextualSpacing/>
              <w:rPr>
                <w:rFonts w:cs="Times New Roman"/>
                <w:sz w:val="22"/>
              </w:rPr>
            </w:pPr>
            <w:r w:rsidRPr="00D85ECC">
              <w:rPr>
                <w:rFonts w:cs="Times New Roman"/>
                <w:sz w:val="22"/>
              </w:rPr>
              <w:t>“We are created in the image of God and thus every human being has an inviolable dignity that should not be threatened. The living wage serves as something of a bulwark against such violation” (White, 2012).</w:t>
            </w:r>
          </w:p>
        </w:tc>
      </w:tr>
      <w:tr w:rsidR="00196D0D" w:rsidRPr="00D85ECC" w14:paraId="27045036" w14:textId="77777777" w:rsidTr="00B25937">
        <w:tc>
          <w:tcPr>
            <w:tcW w:w="8926" w:type="dxa"/>
          </w:tcPr>
          <w:p w14:paraId="1A28B715" w14:textId="77777777" w:rsidR="00196D0D" w:rsidRPr="00D85ECC" w:rsidRDefault="00196D0D" w:rsidP="00196D0D">
            <w:pPr>
              <w:numPr>
                <w:ilvl w:val="0"/>
                <w:numId w:val="6"/>
              </w:numPr>
              <w:spacing w:line="259" w:lineRule="auto"/>
              <w:ind w:left="357" w:hanging="357"/>
              <w:contextualSpacing/>
              <w:rPr>
                <w:rFonts w:cs="Times New Roman"/>
                <w:sz w:val="22"/>
              </w:rPr>
            </w:pPr>
            <w:r w:rsidRPr="00D85ECC">
              <w:rPr>
                <w:rFonts w:cs="Times New Roman"/>
                <w:sz w:val="22"/>
              </w:rPr>
              <w:t>“People and their work have a dignity that makes the labour market substantially different from the purchase of other goods (Mayman, 2012).</w:t>
            </w:r>
          </w:p>
        </w:tc>
      </w:tr>
      <w:tr w:rsidR="00196D0D" w:rsidRPr="00D85ECC" w14:paraId="0B2A02C3" w14:textId="77777777" w:rsidTr="00B25937">
        <w:tc>
          <w:tcPr>
            <w:tcW w:w="8926" w:type="dxa"/>
            <w:shd w:val="clear" w:color="auto" w:fill="FFD966" w:themeFill="accent4" w:themeFillTint="99"/>
          </w:tcPr>
          <w:p w14:paraId="6B85E834" w14:textId="77777777" w:rsidR="00196D0D" w:rsidRPr="00D85ECC" w:rsidRDefault="00196D0D" w:rsidP="00B25937">
            <w:pPr>
              <w:spacing w:line="259" w:lineRule="auto"/>
              <w:contextualSpacing/>
              <w:rPr>
                <w:rFonts w:cs="Times New Roman"/>
                <w:sz w:val="22"/>
              </w:rPr>
            </w:pPr>
            <w:r>
              <w:rPr>
                <w:rFonts w:cs="Times New Roman"/>
                <w:sz w:val="22"/>
              </w:rPr>
              <w:t>The living wage recognises the impact of wage decisions on social outcomes [</w:t>
            </w:r>
            <w:r w:rsidRPr="00B73283">
              <w:rPr>
                <w:rFonts w:cs="Times New Roman"/>
                <w:i/>
                <w:sz w:val="22"/>
              </w:rPr>
              <w:t>civic</w:t>
            </w:r>
            <w:r>
              <w:rPr>
                <w:rFonts w:cs="Times New Roman"/>
                <w:sz w:val="22"/>
              </w:rPr>
              <w:t xml:space="preserve"> order]</w:t>
            </w:r>
          </w:p>
        </w:tc>
      </w:tr>
      <w:tr w:rsidR="00196D0D" w:rsidRPr="00D85ECC" w14:paraId="78EAF66C" w14:textId="77777777" w:rsidTr="00B25937">
        <w:tc>
          <w:tcPr>
            <w:tcW w:w="8926" w:type="dxa"/>
          </w:tcPr>
          <w:p w14:paraId="65B8ADA8" w14:textId="77777777" w:rsidR="00196D0D" w:rsidRPr="00D85ECC" w:rsidRDefault="00196D0D" w:rsidP="00196D0D">
            <w:pPr>
              <w:numPr>
                <w:ilvl w:val="0"/>
                <w:numId w:val="6"/>
              </w:numPr>
              <w:spacing w:line="259" w:lineRule="auto"/>
              <w:ind w:left="357" w:hanging="357"/>
              <w:contextualSpacing/>
              <w:rPr>
                <w:rFonts w:cs="Times New Roman"/>
                <w:sz w:val="22"/>
              </w:rPr>
            </w:pPr>
            <w:r w:rsidRPr="00D85ECC">
              <w:rPr>
                <w:rFonts w:cs="Times New Roman"/>
                <w:sz w:val="22"/>
              </w:rPr>
              <w:t xml:space="preserve">“The community inevitably pays for this shortfall, be it through poor health outcomes, educational failure, higher crime rates, weakening local economies, child poverty, a deterioration in community engagement with civil society groups, and the growing presence of crippling debt” </w:t>
            </w:r>
            <w:r w:rsidRPr="00D85ECC">
              <w:rPr>
                <w:rFonts w:cs="Times New Roman"/>
                <w:sz w:val="22"/>
              </w:rPr>
              <w:fldChar w:fldCharType="begin"/>
            </w:r>
            <w:r w:rsidRPr="00D85ECC">
              <w:rPr>
                <w:rFonts w:cs="Times New Roman"/>
                <w:sz w:val="22"/>
              </w:rPr>
              <w:instrText xml:space="preserve"> ADDIN EN.CITE &lt;EndNote&gt;&lt;Cite&gt;&lt;Author&gt;Miller&lt;/Author&gt;&lt;Year&gt;2013&lt;/Year&gt;&lt;RecNum&gt;810&lt;/RecNum&gt;&lt;DisplayText&gt;(Miller, 2013)&lt;/DisplayText&gt;&lt;record&gt;&lt;rec-number&gt;810&lt;/rec-number&gt;&lt;foreign-keys&gt;&lt;key app="EN" db-id="p5vpesw9da0dxpe9s2rxaesaevxptdvwefrd"&gt;810&lt;/key&gt;&lt;/foreign-keys&gt;&lt;ref-type name="Report"&gt;27&lt;/ref-type&gt;&lt;contributors&gt;&lt;authors&gt;&lt;author&gt;Edward Miller&lt;/author&gt;&lt;/authors&gt;&lt;/contributors&gt;&lt;titles&gt;&lt;title&gt;The costs and benefits of a living wage for Auckland City Council&lt;/title&gt;&lt;/titles&gt;&lt;dates&gt;&lt;year&gt;2013&lt;/year&gt;&lt;/dates&gt;&lt;pub-location&gt;Auckland &lt;/pub-location&gt;&lt;publisher&gt;Living Wage Aotearoa&lt;/publisher&gt;&lt;urls&gt;&lt;/urls&gt;&lt;/record&gt;&lt;/Cite&gt;&lt;/EndNote&gt;</w:instrText>
            </w:r>
            <w:r w:rsidRPr="00D85ECC">
              <w:rPr>
                <w:rFonts w:cs="Times New Roman"/>
                <w:sz w:val="22"/>
              </w:rPr>
              <w:fldChar w:fldCharType="separate"/>
            </w:r>
            <w:r w:rsidRPr="00D85ECC">
              <w:rPr>
                <w:rFonts w:cs="Times New Roman"/>
                <w:noProof/>
                <w:sz w:val="22"/>
              </w:rPr>
              <w:t>(</w:t>
            </w:r>
            <w:hyperlink w:anchor="_ENREF_11" w:tooltip="Miller, 2013 #810" w:history="1">
              <w:r w:rsidRPr="00D85ECC">
                <w:rPr>
                  <w:rFonts w:cs="Times New Roman"/>
                  <w:noProof/>
                  <w:sz w:val="22"/>
                </w:rPr>
                <w:t>Miller, 2013</w:t>
              </w:r>
            </w:hyperlink>
            <w:r w:rsidRPr="00D85ECC">
              <w:rPr>
                <w:rFonts w:cs="Times New Roman"/>
                <w:noProof/>
                <w:sz w:val="22"/>
              </w:rPr>
              <w:t>)</w:t>
            </w:r>
            <w:r w:rsidRPr="00D85ECC">
              <w:rPr>
                <w:rFonts w:cs="Times New Roman"/>
                <w:sz w:val="22"/>
              </w:rPr>
              <w:fldChar w:fldCharType="end"/>
            </w:r>
            <w:r w:rsidRPr="00D85ECC">
              <w:rPr>
                <w:rFonts w:cs="Times New Roman"/>
                <w:sz w:val="22"/>
              </w:rPr>
              <w:t>.</w:t>
            </w:r>
          </w:p>
        </w:tc>
      </w:tr>
      <w:tr w:rsidR="00196D0D" w:rsidRPr="00D85ECC" w14:paraId="38B17721" w14:textId="77777777" w:rsidTr="00B25937">
        <w:tc>
          <w:tcPr>
            <w:tcW w:w="8926" w:type="dxa"/>
          </w:tcPr>
          <w:p w14:paraId="68FC78C1" w14:textId="77777777" w:rsidR="00196D0D" w:rsidRPr="00D85ECC" w:rsidRDefault="00196D0D" w:rsidP="00196D0D">
            <w:pPr>
              <w:pStyle w:val="ListParagraph"/>
              <w:numPr>
                <w:ilvl w:val="0"/>
                <w:numId w:val="6"/>
              </w:numPr>
              <w:spacing w:after="0"/>
              <w:ind w:left="357" w:hanging="357"/>
              <w:rPr>
                <w:rFonts w:cs="Times New Roman"/>
                <w:sz w:val="22"/>
              </w:rPr>
            </w:pPr>
            <w:r w:rsidRPr="00D85ECC">
              <w:rPr>
                <w:rFonts w:cs="Times New Roman"/>
                <w:sz w:val="22"/>
              </w:rPr>
              <w:t>“All the community benefits when workers are paid enough to not just survive but also participate in society” (LWA, 2013a).</w:t>
            </w:r>
          </w:p>
        </w:tc>
      </w:tr>
      <w:tr w:rsidR="00196D0D" w:rsidRPr="00D85ECC" w14:paraId="64EB70B6" w14:textId="77777777" w:rsidTr="00B25937">
        <w:tc>
          <w:tcPr>
            <w:tcW w:w="8926" w:type="dxa"/>
            <w:shd w:val="clear" w:color="auto" w:fill="FFD966" w:themeFill="accent4" w:themeFillTint="99"/>
          </w:tcPr>
          <w:p w14:paraId="0B33FFDD" w14:textId="77777777" w:rsidR="00196D0D" w:rsidRPr="00C06817" w:rsidRDefault="00196D0D" w:rsidP="00B25937">
            <w:pPr>
              <w:rPr>
                <w:rFonts w:cs="Times New Roman"/>
                <w:sz w:val="22"/>
              </w:rPr>
            </w:pPr>
            <w:r>
              <w:rPr>
                <w:rFonts w:cs="Times New Roman"/>
                <w:sz w:val="22"/>
              </w:rPr>
              <w:t>A living wage generates long-term benefits for the firm (and broader society) [</w:t>
            </w:r>
            <w:r w:rsidRPr="00C06817">
              <w:rPr>
                <w:rFonts w:cs="Times New Roman"/>
                <w:i/>
                <w:sz w:val="22"/>
              </w:rPr>
              <w:t>industrial</w:t>
            </w:r>
            <w:r>
              <w:rPr>
                <w:rFonts w:cs="Times New Roman"/>
                <w:sz w:val="22"/>
              </w:rPr>
              <w:t xml:space="preserve"> order]</w:t>
            </w:r>
          </w:p>
        </w:tc>
      </w:tr>
      <w:tr w:rsidR="00196D0D" w:rsidRPr="00D85ECC" w14:paraId="1189DAE3" w14:textId="77777777" w:rsidTr="00B25937">
        <w:tc>
          <w:tcPr>
            <w:tcW w:w="8926" w:type="dxa"/>
          </w:tcPr>
          <w:p w14:paraId="374FF57F" w14:textId="77777777" w:rsidR="00196D0D" w:rsidRPr="00D85ECC" w:rsidRDefault="00196D0D" w:rsidP="00196D0D">
            <w:pPr>
              <w:pStyle w:val="ListParagraph"/>
              <w:numPr>
                <w:ilvl w:val="0"/>
                <w:numId w:val="6"/>
              </w:numPr>
              <w:spacing w:after="0"/>
              <w:ind w:left="357" w:hanging="357"/>
              <w:rPr>
                <w:rFonts w:cs="Times New Roman"/>
                <w:sz w:val="22"/>
              </w:rPr>
            </w:pPr>
            <w:r w:rsidRPr="00D85ECC">
              <w:rPr>
                <w:rFonts w:cs="Times New Roman"/>
                <w:sz w:val="22"/>
              </w:rPr>
              <w:t>A living wage “boosts morale and motivation of workers; supports recruitment and retention of staff, saving turnover costs me: lowers the rates of absenteeism and sick leave [and] may enhance productivity, through higher quality work performance” (LWA, 2012d).</w:t>
            </w:r>
          </w:p>
        </w:tc>
      </w:tr>
      <w:tr w:rsidR="00196D0D" w:rsidRPr="00D85ECC" w14:paraId="1C7BA8F9" w14:textId="77777777" w:rsidTr="00B25937">
        <w:tc>
          <w:tcPr>
            <w:tcW w:w="8926" w:type="dxa"/>
          </w:tcPr>
          <w:p w14:paraId="709EF075" w14:textId="77777777" w:rsidR="00196D0D" w:rsidRPr="00D85ECC" w:rsidRDefault="00196D0D" w:rsidP="00196D0D">
            <w:pPr>
              <w:numPr>
                <w:ilvl w:val="0"/>
                <w:numId w:val="6"/>
              </w:numPr>
              <w:spacing w:line="259" w:lineRule="auto"/>
              <w:ind w:left="357" w:hanging="357"/>
              <w:contextualSpacing/>
              <w:rPr>
                <w:rFonts w:cs="Times New Roman"/>
                <w:sz w:val="22"/>
              </w:rPr>
            </w:pPr>
            <w:r w:rsidRPr="00D85ECC">
              <w:rPr>
                <w:rFonts w:cs="Times New Roman"/>
                <w:sz w:val="22"/>
              </w:rPr>
              <w:t>“Rather than being simply another fiscal cost for the council and service providers to endure, the Living Wage is an [sic] sound investment decision that makes good business sense” (Miller, 2013, p. 4).</w:t>
            </w:r>
          </w:p>
        </w:tc>
      </w:tr>
      <w:tr w:rsidR="00196D0D" w:rsidRPr="00D85ECC" w14:paraId="6CA136D1" w14:textId="77777777" w:rsidTr="00B25937">
        <w:tc>
          <w:tcPr>
            <w:tcW w:w="8926" w:type="dxa"/>
          </w:tcPr>
          <w:p w14:paraId="4F0E24A9" w14:textId="77777777" w:rsidR="00196D0D" w:rsidRPr="00D85ECC" w:rsidRDefault="00196D0D" w:rsidP="00196D0D">
            <w:pPr>
              <w:pStyle w:val="ListParagraph"/>
              <w:numPr>
                <w:ilvl w:val="0"/>
                <w:numId w:val="6"/>
              </w:numPr>
              <w:spacing w:after="0"/>
              <w:ind w:left="357" w:hanging="357"/>
              <w:rPr>
                <w:rFonts w:cs="Times New Roman"/>
                <w:sz w:val="22"/>
              </w:rPr>
            </w:pPr>
            <w:r w:rsidRPr="00D85ECC">
              <w:rPr>
                <w:rFonts w:cs="Times New Roman"/>
                <w:sz w:val="22"/>
              </w:rPr>
              <w:t>A living wage “improves [the] public image and reputation of businesses” (LWA, 2012d).</w:t>
            </w:r>
          </w:p>
        </w:tc>
      </w:tr>
      <w:tr w:rsidR="00196D0D" w:rsidRPr="00D85ECC" w14:paraId="25229242" w14:textId="77777777" w:rsidTr="00B25937">
        <w:tc>
          <w:tcPr>
            <w:tcW w:w="8926" w:type="dxa"/>
          </w:tcPr>
          <w:p w14:paraId="7FC0DE71" w14:textId="77777777" w:rsidR="00196D0D" w:rsidRPr="00D85ECC" w:rsidRDefault="00196D0D" w:rsidP="00196D0D">
            <w:pPr>
              <w:pStyle w:val="ListParagraph"/>
              <w:numPr>
                <w:ilvl w:val="0"/>
                <w:numId w:val="6"/>
              </w:numPr>
              <w:spacing w:after="0"/>
              <w:ind w:left="357" w:hanging="357"/>
              <w:rPr>
                <w:rFonts w:cs="Times New Roman"/>
                <w:sz w:val="22"/>
              </w:rPr>
            </w:pPr>
            <w:r w:rsidRPr="00D85ECC">
              <w:rPr>
                <w:rFonts w:cs="Times New Roman"/>
                <w:sz w:val="22"/>
              </w:rPr>
              <w:lastRenderedPageBreak/>
              <w:t>“A living wage is good for workers, good for business and good for the community. Low income households spend a larger share of their income on a weekly basis than high income earners and so when workers earn more, businesses benefit” (LWA, 2012d).</w:t>
            </w:r>
          </w:p>
        </w:tc>
      </w:tr>
      <w:tr w:rsidR="00196D0D" w:rsidRPr="00D85ECC" w14:paraId="6BAE0E27" w14:textId="77777777" w:rsidTr="00B25937">
        <w:tc>
          <w:tcPr>
            <w:tcW w:w="8926" w:type="dxa"/>
          </w:tcPr>
          <w:p w14:paraId="3A51B589" w14:textId="77777777" w:rsidR="00196D0D" w:rsidRPr="00D85ECC" w:rsidRDefault="00196D0D" w:rsidP="00196D0D">
            <w:pPr>
              <w:pStyle w:val="ListParagraph"/>
              <w:numPr>
                <w:ilvl w:val="0"/>
                <w:numId w:val="6"/>
              </w:numPr>
              <w:spacing w:after="0"/>
              <w:ind w:left="357" w:hanging="357"/>
              <w:rPr>
                <w:rFonts w:cs="Times New Roman"/>
                <w:sz w:val="22"/>
              </w:rPr>
            </w:pPr>
            <w:r w:rsidRPr="00D85ECC">
              <w:rPr>
                <w:sz w:val="22"/>
              </w:rPr>
              <w:t>“Stagnating wages, underemployment and growing labour market … ultimately affects the broader economy if less is paid in wages to workers, the less money workers can pump into the economy” (Miller, 2013).</w:t>
            </w:r>
          </w:p>
        </w:tc>
      </w:tr>
      <w:tr w:rsidR="00196D0D" w:rsidRPr="00D85ECC" w14:paraId="3667F948" w14:textId="77777777" w:rsidTr="00B25937">
        <w:tc>
          <w:tcPr>
            <w:tcW w:w="8926" w:type="dxa"/>
          </w:tcPr>
          <w:p w14:paraId="0F61CFA7" w14:textId="77777777" w:rsidR="00196D0D" w:rsidRPr="00D85ECC" w:rsidRDefault="00196D0D" w:rsidP="00196D0D">
            <w:pPr>
              <w:pStyle w:val="ListParagraph"/>
              <w:numPr>
                <w:ilvl w:val="0"/>
                <w:numId w:val="6"/>
              </w:numPr>
              <w:spacing w:after="0"/>
              <w:ind w:left="357" w:hanging="357"/>
              <w:rPr>
                <w:rFonts w:cs="Times New Roman"/>
                <w:sz w:val="22"/>
              </w:rPr>
            </w:pPr>
            <w:r w:rsidRPr="00D85ECC">
              <w:rPr>
                <w:rFonts w:cs="Times New Roman"/>
                <w:sz w:val="22"/>
              </w:rPr>
              <w:t>“Much of the in-work poverty described above is already being subsidised by central government [and thus by taxpayers]” through welfare schemes and in-work tax credits (Miller, 2013, p. 16).</w:t>
            </w:r>
          </w:p>
        </w:tc>
      </w:tr>
    </w:tbl>
    <w:p w14:paraId="4DD32129" w14:textId="77777777" w:rsidR="00196D0D" w:rsidRPr="00C06817" w:rsidRDefault="00196D0D" w:rsidP="00196D0D">
      <w:pPr>
        <w:rPr>
          <w:rFonts w:cs="Times New Roman"/>
          <w:b/>
          <w:color w:val="000000" w:themeColor="text1"/>
        </w:rPr>
      </w:pPr>
    </w:p>
    <w:p w14:paraId="37AC1236" w14:textId="77777777" w:rsidR="00196D0D" w:rsidRPr="007217BB" w:rsidRDefault="00196D0D" w:rsidP="00196D0D"/>
    <w:p w14:paraId="5F43862B" w14:textId="77777777" w:rsidR="00196D0D" w:rsidRPr="007217BB" w:rsidRDefault="00196D0D" w:rsidP="00196D0D"/>
    <w:p w14:paraId="3C7F16AF" w14:textId="77777777" w:rsidR="00196D0D" w:rsidRDefault="00196D0D" w:rsidP="00196D0D">
      <w:pPr>
        <w:spacing w:after="160" w:line="259" w:lineRule="auto"/>
        <w:rPr>
          <w:rFonts w:cs="Times New Roman"/>
          <w:b/>
          <w:i/>
          <w:color w:val="000000" w:themeColor="text1"/>
        </w:rPr>
      </w:pPr>
      <w:r>
        <w:rPr>
          <w:rFonts w:cs="Times New Roman"/>
          <w:b/>
          <w:i/>
          <w:color w:val="000000" w:themeColor="text1"/>
        </w:rPr>
        <w:br w:type="page"/>
      </w:r>
    </w:p>
    <w:p w14:paraId="72960319" w14:textId="77777777" w:rsidR="00196D0D" w:rsidRDefault="00196D0D" w:rsidP="00196D0D">
      <w:pPr>
        <w:rPr>
          <w:rFonts w:cs="Times New Roman"/>
          <w:b/>
          <w:i/>
          <w:color w:val="000000" w:themeColor="text1"/>
        </w:rPr>
      </w:pPr>
      <w:r>
        <w:rPr>
          <w:rFonts w:cs="Times New Roman"/>
          <w:b/>
          <w:i/>
          <w:color w:val="000000" w:themeColor="text1"/>
        </w:rPr>
        <w:lastRenderedPageBreak/>
        <w:t>Table 4</w:t>
      </w:r>
      <w:r w:rsidRPr="00172C81">
        <w:rPr>
          <w:rFonts w:cs="Times New Roman"/>
          <w:b/>
          <w:i/>
          <w:color w:val="000000" w:themeColor="text1"/>
        </w:rPr>
        <w:t>:</w:t>
      </w:r>
      <w:r>
        <w:rPr>
          <w:rFonts w:cs="Times New Roman"/>
          <w:b/>
          <w:i/>
          <w:color w:val="000000" w:themeColor="text1"/>
        </w:rPr>
        <w:t xml:space="preserve"> Arguments </w:t>
      </w:r>
      <w:r>
        <w:rPr>
          <w:rFonts w:cs="Times New Roman"/>
          <w:b/>
          <w:i/>
          <w:color w:val="000000" w:themeColor="text1"/>
          <w:u w:val="single"/>
        </w:rPr>
        <w:t>against</w:t>
      </w:r>
      <w:r>
        <w:rPr>
          <w:rFonts w:cs="Times New Roman"/>
          <w:b/>
          <w:i/>
          <w:color w:val="000000" w:themeColor="text1"/>
        </w:rPr>
        <w:t xml:space="preserve"> a living wage: illustrative quotes from the dataset</w:t>
      </w:r>
    </w:p>
    <w:tbl>
      <w:tblPr>
        <w:tblStyle w:val="TableGrid"/>
        <w:tblW w:w="8642" w:type="dxa"/>
        <w:tblLayout w:type="fixed"/>
        <w:tblLook w:val="04A0" w:firstRow="1" w:lastRow="0" w:firstColumn="1" w:lastColumn="0" w:noHBand="0" w:noVBand="1"/>
      </w:tblPr>
      <w:tblGrid>
        <w:gridCol w:w="8642"/>
      </w:tblGrid>
      <w:tr w:rsidR="00196D0D" w:rsidRPr="00D85ECC" w14:paraId="62107A0F" w14:textId="77777777" w:rsidTr="00B25937">
        <w:tc>
          <w:tcPr>
            <w:tcW w:w="8642" w:type="dxa"/>
            <w:shd w:val="clear" w:color="auto" w:fill="FFD966" w:themeFill="accent4" w:themeFillTint="99"/>
          </w:tcPr>
          <w:p w14:paraId="0001D9E3" w14:textId="77777777" w:rsidR="00196D0D" w:rsidRPr="00FA7867" w:rsidRDefault="00196D0D" w:rsidP="00B25937">
            <w:pPr>
              <w:spacing w:after="80" w:line="240" w:lineRule="auto"/>
              <w:rPr>
                <w:rFonts w:cs="Times New Roman"/>
                <w:sz w:val="22"/>
              </w:rPr>
            </w:pPr>
            <w:r>
              <w:rPr>
                <w:rFonts w:cs="Times New Roman"/>
                <w:sz w:val="22"/>
              </w:rPr>
              <w:t xml:space="preserve">Wages should be determined by market signals since the market is natural and neutral [defence of the </w:t>
            </w:r>
            <w:r w:rsidRPr="003F2FE9">
              <w:rPr>
                <w:rFonts w:cs="Times New Roman"/>
                <w:i/>
                <w:sz w:val="22"/>
              </w:rPr>
              <w:t>market</w:t>
            </w:r>
            <w:r>
              <w:rPr>
                <w:rFonts w:cs="Times New Roman"/>
                <w:sz w:val="22"/>
              </w:rPr>
              <w:t xml:space="preserve"> order]</w:t>
            </w:r>
          </w:p>
        </w:tc>
      </w:tr>
      <w:tr w:rsidR="00196D0D" w:rsidRPr="00D85ECC" w14:paraId="5C5FF482" w14:textId="77777777" w:rsidTr="00B25937">
        <w:tc>
          <w:tcPr>
            <w:tcW w:w="8642" w:type="dxa"/>
          </w:tcPr>
          <w:p w14:paraId="2D276BD1" w14:textId="77777777" w:rsidR="00196D0D" w:rsidRPr="00D85ECC" w:rsidRDefault="00196D0D" w:rsidP="00196D0D">
            <w:pPr>
              <w:pStyle w:val="ListParagraph"/>
              <w:numPr>
                <w:ilvl w:val="0"/>
                <w:numId w:val="9"/>
              </w:numPr>
              <w:spacing w:after="80"/>
              <w:rPr>
                <w:rFonts w:cs="Times New Roman"/>
                <w:sz w:val="22"/>
              </w:rPr>
            </w:pPr>
            <w:r w:rsidRPr="00D85ECC">
              <w:rPr>
                <w:rFonts w:cs="Times New Roman"/>
                <w:sz w:val="22"/>
              </w:rPr>
              <w:t xml:space="preserve">Market signals are better than “activists imposing” an “artificial rate” </w:t>
            </w:r>
            <w:r w:rsidRPr="00D85ECC">
              <w:rPr>
                <w:rFonts w:cs="Times New Roman"/>
                <w:noProof/>
                <w:sz w:val="22"/>
              </w:rPr>
              <w:t>(English, 2013)</w:t>
            </w:r>
            <w:r w:rsidRPr="00D85ECC">
              <w:rPr>
                <w:rFonts w:cs="Times New Roman"/>
                <w:sz w:val="22"/>
              </w:rPr>
              <w:t>.</w:t>
            </w:r>
          </w:p>
        </w:tc>
      </w:tr>
      <w:tr w:rsidR="00196D0D" w:rsidRPr="00D85ECC" w14:paraId="31BADB3D" w14:textId="77777777" w:rsidTr="00B25937">
        <w:tc>
          <w:tcPr>
            <w:tcW w:w="8642" w:type="dxa"/>
          </w:tcPr>
          <w:p w14:paraId="68341948" w14:textId="77777777" w:rsidR="00196D0D" w:rsidRPr="00D85ECC" w:rsidRDefault="00196D0D" w:rsidP="00196D0D">
            <w:pPr>
              <w:pStyle w:val="ListParagraph"/>
              <w:numPr>
                <w:ilvl w:val="0"/>
                <w:numId w:val="9"/>
              </w:numPr>
              <w:spacing w:after="80"/>
              <w:rPr>
                <w:rFonts w:cs="Times New Roman"/>
                <w:sz w:val="22"/>
              </w:rPr>
            </w:pPr>
            <w:r w:rsidRPr="00D85ECC">
              <w:rPr>
                <w:rFonts w:cs="Times New Roman"/>
                <w:sz w:val="22"/>
              </w:rPr>
              <w:t xml:space="preserve">“You can't just invent higher wages, you can't just go and borrow them from someone, we've actually got to earn them” </w:t>
            </w:r>
            <w:r w:rsidRPr="00D85ECC">
              <w:rPr>
                <w:rFonts w:cs="Times New Roman"/>
                <w:noProof/>
                <w:sz w:val="22"/>
              </w:rPr>
              <w:t>(Finance Minister Bill English, cited in Young, 2012)</w:t>
            </w:r>
            <w:r w:rsidRPr="00D85ECC">
              <w:rPr>
                <w:rFonts w:cs="Times New Roman"/>
                <w:sz w:val="22"/>
              </w:rPr>
              <w:t>.</w:t>
            </w:r>
          </w:p>
        </w:tc>
      </w:tr>
      <w:tr w:rsidR="00196D0D" w:rsidRPr="00D85ECC" w14:paraId="18F81820" w14:textId="77777777" w:rsidTr="00B25937">
        <w:tc>
          <w:tcPr>
            <w:tcW w:w="8642" w:type="dxa"/>
          </w:tcPr>
          <w:p w14:paraId="68798534" w14:textId="77777777" w:rsidR="00196D0D" w:rsidRPr="00D85ECC" w:rsidRDefault="00196D0D" w:rsidP="00196D0D">
            <w:pPr>
              <w:pStyle w:val="ListParagraph"/>
              <w:numPr>
                <w:ilvl w:val="0"/>
                <w:numId w:val="9"/>
              </w:numPr>
              <w:spacing w:after="80"/>
              <w:rPr>
                <w:rFonts w:cs="Times New Roman"/>
                <w:sz w:val="22"/>
              </w:rPr>
            </w:pPr>
            <w:r w:rsidRPr="00D85ECC">
              <w:rPr>
                <w:rFonts w:cs="Times New Roman"/>
                <w:sz w:val="22"/>
              </w:rPr>
              <w:t xml:space="preserve">“Campaigners for a living wage are ignoring the realities of the marketplace” </w:t>
            </w:r>
            <w:r w:rsidRPr="00D85ECC">
              <w:rPr>
                <w:rFonts w:cs="Times New Roman"/>
                <w:noProof/>
                <w:sz w:val="22"/>
              </w:rPr>
              <w:t>(O'Reilly, 2013)</w:t>
            </w:r>
            <w:r w:rsidRPr="00D85ECC">
              <w:rPr>
                <w:rFonts w:cs="Times New Roman"/>
                <w:sz w:val="22"/>
              </w:rPr>
              <w:t>.</w:t>
            </w:r>
          </w:p>
        </w:tc>
      </w:tr>
      <w:tr w:rsidR="00196D0D" w:rsidRPr="00D85ECC" w14:paraId="36B46783" w14:textId="77777777" w:rsidTr="00B25937">
        <w:tc>
          <w:tcPr>
            <w:tcW w:w="8642" w:type="dxa"/>
            <w:shd w:val="clear" w:color="auto" w:fill="FFD966" w:themeFill="accent4" w:themeFillTint="99"/>
          </w:tcPr>
          <w:p w14:paraId="00C23D40" w14:textId="77777777" w:rsidR="00196D0D" w:rsidRPr="00FA7867" w:rsidRDefault="00196D0D" w:rsidP="00B25937">
            <w:pPr>
              <w:spacing w:after="80" w:line="240" w:lineRule="auto"/>
              <w:rPr>
                <w:rFonts w:cs="Times New Roman"/>
                <w:sz w:val="22"/>
              </w:rPr>
            </w:pPr>
            <w:r w:rsidRPr="00FA7867">
              <w:rPr>
                <w:rFonts w:cs="Times New Roman"/>
                <w:sz w:val="22"/>
              </w:rPr>
              <w:t>Basing wages on market signals respects the rights of employers</w:t>
            </w:r>
            <w:r>
              <w:rPr>
                <w:rFonts w:cs="Times New Roman"/>
                <w:sz w:val="22"/>
              </w:rPr>
              <w:t xml:space="preserve"> [</w:t>
            </w:r>
            <w:r w:rsidRPr="003F2FE9">
              <w:rPr>
                <w:rFonts w:cs="Times New Roman"/>
                <w:i/>
                <w:sz w:val="22"/>
              </w:rPr>
              <w:t>market</w:t>
            </w:r>
            <w:r>
              <w:rPr>
                <w:rFonts w:cs="Times New Roman"/>
                <w:sz w:val="22"/>
              </w:rPr>
              <w:t xml:space="preserve"> order]</w:t>
            </w:r>
          </w:p>
        </w:tc>
      </w:tr>
      <w:tr w:rsidR="00196D0D" w:rsidRPr="00D85ECC" w14:paraId="45E45B33" w14:textId="77777777" w:rsidTr="00B25937">
        <w:tc>
          <w:tcPr>
            <w:tcW w:w="8642" w:type="dxa"/>
          </w:tcPr>
          <w:p w14:paraId="41F3ED53" w14:textId="77777777" w:rsidR="00196D0D" w:rsidRPr="00D85ECC" w:rsidRDefault="00196D0D" w:rsidP="00196D0D">
            <w:pPr>
              <w:pStyle w:val="ListParagraph"/>
              <w:numPr>
                <w:ilvl w:val="0"/>
                <w:numId w:val="9"/>
              </w:numPr>
              <w:spacing w:after="80"/>
              <w:rPr>
                <w:rFonts w:cs="Times New Roman"/>
                <w:sz w:val="22"/>
              </w:rPr>
            </w:pPr>
            <w:r w:rsidRPr="00D85ECC">
              <w:rPr>
                <w:rFonts w:cs="Times New Roman"/>
                <w:sz w:val="22"/>
              </w:rPr>
              <w:t>“Businesses which take on workers pay what the job is worth. It is not appropriate to look to them to close this gap… and some members see it as completely inappropriate interference in their business affairs” (Barnett, 2013).</w:t>
            </w:r>
          </w:p>
        </w:tc>
      </w:tr>
      <w:tr w:rsidR="00196D0D" w:rsidRPr="00D85ECC" w14:paraId="5822C7AC" w14:textId="77777777" w:rsidTr="00B25937">
        <w:tc>
          <w:tcPr>
            <w:tcW w:w="8642" w:type="dxa"/>
          </w:tcPr>
          <w:p w14:paraId="648B8965" w14:textId="77777777" w:rsidR="00196D0D" w:rsidRPr="00D85ECC" w:rsidRDefault="00196D0D" w:rsidP="00196D0D">
            <w:pPr>
              <w:pStyle w:val="ListParagraph"/>
              <w:numPr>
                <w:ilvl w:val="0"/>
                <w:numId w:val="9"/>
              </w:numPr>
              <w:spacing w:after="80"/>
              <w:rPr>
                <w:rFonts w:cs="Times New Roman"/>
                <w:sz w:val="22"/>
              </w:rPr>
            </w:pPr>
            <w:r w:rsidRPr="00D85ECC">
              <w:rPr>
                <w:rFonts w:cs="Times New Roman"/>
                <w:sz w:val="22"/>
              </w:rPr>
              <w:t>The Labour Party’s “over generous declaration with “other people’s money” will most certainly bring many of the small businesses down and, ironically, cost jobs” (Whitehead, cited in SBV, 2013).</w:t>
            </w:r>
          </w:p>
        </w:tc>
      </w:tr>
      <w:tr w:rsidR="00196D0D" w:rsidRPr="00D85ECC" w14:paraId="1105D3B1" w14:textId="77777777" w:rsidTr="00B25937">
        <w:tc>
          <w:tcPr>
            <w:tcW w:w="8642" w:type="dxa"/>
            <w:shd w:val="clear" w:color="auto" w:fill="FFD966" w:themeFill="accent4" w:themeFillTint="99"/>
          </w:tcPr>
          <w:p w14:paraId="49530579" w14:textId="77777777" w:rsidR="00196D0D" w:rsidRPr="00FA7867" w:rsidRDefault="00196D0D" w:rsidP="00B25937">
            <w:pPr>
              <w:spacing w:after="80" w:line="240" w:lineRule="auto"/>
              <w:rPr>
                <w:rFonts w:cs="Times New Roman"/>
                <w:sz w:val="22"/>
              </w:rPr>
            </w:pPr>
            <w:r w:rsidRPr="00FA7867">
              <w:rPr>
                <w:rFonts w:cs="Times New Roman"/>
                <w:sz w:val="22"/>
              </w:rPr>
              <w:t xml:space="preserve">Basing wages on market signals </w:t>
            </w:r>
            <w:r>
              <w:rPr>
                <w:rFonts w:cs="Times New Roman"/>
                <w:sz w:val="22"/>
              </w:rPr>
              <w:t xml:space="preserve">fairly </w:t>
            </w:r>
            <w:r w:rsidRPr="00FA7867">
              <w:rPr>
                <w:rFonts w:cs="Times New Roman"/>
                <w:sz w:val="22"/>
              </w:rPr>
              <w:t>recognises the efforts of workers</w:t>
            </w:r>
            <w:r>
              <w:rPr>
                <w:rFonts w:cs="Times New Roman"/>
                <w:sz w:val="22"/>
              </w:rPr>
              <w:t xml:space="preserve"> [</w:t>
            </w:r>
            <w:r w:rsidRPr="003F2FE9">
              <w:rPr>
                <w:rFonts w:cs="Times New Roman"/>
                <w:i/>
                <w:sz w:val="22"/>
              </w:rPr>
              <w:t>market</w:t>
            </w:r>
            <w:r>
              <w:rPr>
                <w:rFonts w:cs="Times New Roman"/>
                <w:sz w:val="22"/>
              </w:rPr>
              <w:t xml:space="preserve"> order]</w:t>
            </w:r>
          </w:p>
        </w:tc>
      </w:tr>
      <w:tr w:rsidR="00196D0D" w:rsidRPr="00D85ECC" w14:paraId="651702FC" w14:textId="77777777" w:rsidTr="00B25937">
        <w:tc>
          <w:tcPr>
            <w:tcW w:w="8642" w:type="dxa"/>
          </w:tcPr>
          <w:p w14:paraId="2796F3E3" w14:textId="77777777" w:rsidR="00196D0D" w:rsidRPr="00D85ECC" w:rsidRDefault="00196D0D" w:rsidP="00196D0D">
            <w:pPr>
              <w:pStyle w:val="ListParagraph"/>
              <w:numPr>
                <w:ilvl w:val="0"/>
                <w:numId w:val="9"/>
              </w:numPr>
              <w:spacing w:after="80"/>
              <w:rPr>
                <w:rFonts w:cs="Times New Roman"/>
                <w:sz w:val="22"/>
              </w:rPr>
            </w:pPr>
            <w:r>
              <w:rPr>
                <w:rFonts w:cs="Times New Roman"/>
                <w:sz w:val="22"/>
              </w:rPr>
              <w:t>“A</w:t>
            </w:r>
            <w:r w:rsidRPr="00FA7867">
              <w:rPr>
                <w:rFonts w:cs="Times New Roman"/>
                <w:sz w:val="22"/>
              </w:rPr>
              <w:t>n adult earning the minimum wage is doing so because they lack the skills or talent to earn more; a lifetime of decisions led them to this point and if they remain on a low income it is because they choose not to commit to the investment in themselves needed to command a higher wage</w:t>
            </w:r>
            <w:r>
              <w:rPr>
                <w:rFonts w:cs="Times New Roman"/>
                <w:sz w:val="22"/>
              </w:rPr>
              <w:t>” (Grant, 2013).</w:t>
            </w:r>
          </w:p>
        </w:tc>
      </w:tr>
      <w:tr w:rsidR="00196D0D" w:rsidRPr="00D85ECC" w14:paraId="5CC3FB31" w14:textId="77777777" w:rsidTr="00B25937">
        <w:tc>
          <w:tcPr>
            <w:tcW w:w="8642" w:type="dxa"/>
          </w:tcPr>
          <w:p w14:paraId="3EDA6E3D" w14:textId="77777777" w:rsidR="00196D0D" w:rsidRPr="00FA7867" w:rsidRDefault="00196D0D" w:rsidP="00196D0D">
            <w:pPr>
              <w:pStyle w:val="ListParagraph"/>
              <w:numPr>
                <w:ilvl w:val="0"/>
                <w:numId w:val="9"/>
              </w:numPr>
              <w:spacing w:after="80"/>
              <w:rPr>
                <w:rFonts w:cs="Times New Roman"/>
                <w:sz w:val="22"/>
              </w:rPr>
            </w:pPr>
            <w:r w:rsidRPr="00FA7867">
              <w:rPr>
                <w:rFonts w:cs="Times New Roman"/>
                <w:sz w:val="22"/>
              </w:rPr>
              <w:t xml:space="preserve">“The more skills and education you have the more you will earn” (Mason, in Hunter, 2013).  </w:t>
            </w:r>
          </w:p>
        </w:tc>
      </w:tr>
      <w:tr w:rsidR="00196D0D" w:rsidRPr="00D85ECC" w14:paraId="3D3AD661" w14:textId="77777777" w:rsidTr="00B25937">
        <w:tc>
          <w:tcPr>
            <w:tcW w:w="8642" w:type="dxa"/>
            <w:shd w:val="clear" w:color="auto" w:fill="FFD966" w:themeFill="accent4" w:themeFillTint="99"/>
          </w:tcPr>
          <w:p w14:paraId="65886941" w14:textId="77777777" w:rsidR="00196D0D" w:rsidRPr="00FA7867" w:rsidRDefault="00196D0D" w:rsidP="00B25937">
            <w:pPr>
              <w:spacing w:after="80" w:line="240" w:lineRule="auto"/>
              <w:rPr>
                <w:rFonts w:cs="Times New Roman"/>
                <w:sz w:val="22"/>
              </w:rPr>
            </w:pPr>
            <w:r>
              <w:rPr>
                <w:rFonts w:cs="Times New Roman"/>
                <w:sz w:val="22"/>
              </w:rPr>
              <w:t>A living wage would erode the market performance of firms [</w:t>
            </w:r>
            <w:r w:rsidRPr="003F2FE9">
              <w:rPr>
                <w:rFonts w:cs="Times New Roman"/>
                <w:i/>
                <w:sz w:val="22"/>
              </w:rPr>
              <w:t>market</w:t>
            </w:r>
            <w:r>
              <w:rPr>
                <w:rFonts w:cs="Times New Roman"/>
                <w:sz w:val="22"/>
              </w:rPr>
              <w:t xml:space="preserve"> – </w:t>
            </w:r>
            <w:r w:rsidRPr="003F2FE9">
              <w:rPr>
                <w:rFonts w:cs="Times New Roman"/>
                <w:i/>
                <w:sz w:val="22"/>
              </w:rPr>
              <w:t>industrial</w:t>
            </w:r>
            <w:r>
              <w:rPr>
                <w:rFonts w:cs="Times New Roman"/>
                <w:sz w:val="22"/>
              </w:rPr>
              <w:t xml:space="preserve"> orders]</w:t>
            </w:r>
          </w:p>
        </w:tc>
      </w:tr>
      <w:tr w:rsidR="00196D0D" w:rsidRPr="00D85ECC" w14:paraId="2FCB461F" w14:textId="77777777" w:rsidTr="00B25937">
        <w:tc>
          <w:tcPr>
            <w:tcW w:w="8642" w:type="dxa"/>
          </w:tcPr>
          <w:p w14:paraId="153F1312" w14:textId="77777777" w:rsidR="00196D0D" w:rsidRPr="00D85ECC" w:rsidRDefault="00196D0D" w:rsidP="00196D0D">
            <w:pPr>
              <w:pStyle w:val="ListParagraph"/>
              <w:numPr>
                <w:ilvl w:val="0"/>
                <w:numId w:val="9"/>
              </w:numPr>
              <w:spacing w:after="80"/>
              <w:rPr>
                <w:rFonts w:cs="Times New Roman"/>
                <w:sz w:val="22"/>
              </w:rPr>
            </w:pPr>
            <w:r w:rsidRPr="00D85ECC">
              <w:rPr>
                <w:rFonts w:cs="Times New Roman"/>
                <w:sz w:val="22"/>
              </w:rPr>
              <w:t>“Implementing a “living wage” could … quickly reduce [firms’] competitiveness and the number of jobs they can offer” (Campbell, 2013).</w:t>
            </w:r>
          </w:p>
        </w:tc>
      </w:tr>
      <w:tr w:rsidR="00196D0D" w:rsidRPr="00D85ECC" w14:paraId="5CFDEB12" w14:textId="77777777" w:rsidTr="00B25937">
        <w:tc>
          <w:tcPr>
            <w:tcW w:w="8642" w:type="dxa"/>
          </w:tcPr>
          <w:p w14:paraId="244DF006" w14:textId="77777777" w:rsidR="00196D0D" w:rsidRPr="00D85ECC" w:rsidRDefault="00196D0D" w:rsidP="00196D0D">
            <w:pPr>
              <w:pStyle w:val="ListParagraph"/>
              <w:numPr>
                <w:ilvl w:val="0"/>
                <w:numId w:val="9"/>
              </w:numPr>
              <w:spacing w:after="80"/>
              <w:rPr>
                <w:rFonts w:cs="Times New Roman"/>
                <w:sz w:val="22"/>
              </w:rPr>
            </w:pPr>
            <w:r w:rsidRPr="00D85ECC">
              <w:rPr>
                <w:rFonts w:cs="Times New Roman"/>
                <w:sz w:val="22"/>
              </w:rPr>
              <w:t xml:space="preserve">“Employers are expected to focus on being competitive and paying market rates to be able to provide as many jobs as possible” </w:t>
            </w:r>
            <w:r w:rsidRPr="00D85ECC">
              <w:rPr>
                <w:rFonts w:cs="Times New Roman"/>
                <w:noProof/>
                <w:sz w:val="22"/>
              </w:rPr>
              <w:t>(O'Reilly, 2013)</w:t>
            </w:r>
            <w:r w:rsidRPr="00D85ECC">
              <w:rPr>
                <w:rFonts w:cs="Times New Roman"/>
                <w:sz w:val="22"/>
              </w:rPr>
              <w:t>.</w:t>
            </w:r>
          </w:p>
        </w:tc>
      </w:tr>
      <w:tr w:rsidR="00196D0D" w:rsidRPr="00D85ECC" w14:paraId="11FD6505" w14:textId="77777777" w:rsidTr="00B25937">
        <w:tc>
          <w:tcPr>
            <w:tcW w:w="8642" w:type="dxa"/>
          </w:tcPr>
          <w:p w14:paraId="14300A07" w14:textId="77777777" w:rsidR="00196D0D" w:rsidRPr="00D85ECC" w:rsidRDefault="00196D0D" w:rsidP="00196D0D">
            <w:pPr>
              <w:pStyle w:val="ListParagraph"/>
              <w:numPr>
                <w:ilvl w:val="0"/>
                <w:numId w:val="9"/>
              </w:numPr>
              <w:spacing w:after="80"/>
              <w:rPr>
                <w:rFonts w:cs="Times New Roman"/>
                <w:sz w:val="22"/>
              </w:rPr>
            </w:pPr>
            <w:r w:rsidRPr="00D85ECC">
              <w:rPr>
                <w:rFonts w:cs="Times New Roman"/>
                <w:sz w:val="22"/>
              </w:rPr>
              <w:t xml:space="preserve">“Businesses see the best way to achieve a high wage economy as being through policies that focus on increasing productivity, improving skills and enhancing the business environment” (Barnett, 2013). </w:t>
            </w:r>
          </w:p>
        </w:tc>
      </w:tr>
      <w:tr w:rsidR="00196D0D" w:rsidRPr="00D85ECC" w14:paraId="7CDFBF6C" w14:textId="77777777" w:rsidTr="00B25937">
        <w:tc>
          <w:tcPr>
            <w:tcW w:w="8642" w:type="dxa"/>
            <w:shd w:val="clear" w:color="auto" w:fill="FFD966" w:themeFill="accent4" w:themeFillTint="99"/>
          </w:tcPr>
          <w:p w14:paraId="41192651" w14:textId="77777777" w:rsidR="00196D0D" w:rsidRPr="00FA7867" w:rsidRDefault="00196D0D" w:rsidP="00B25937">
            <w:pPr>
              <w:spacing w:after="80" w:line="240" w:lineRule="auto"/>
              <w:rPr>
                <w:rFonts w:cs="Times New Roman"/>
                <w:sz w:val="22"/>
              </w:rPr>
            </w:pPr>
            <w:r>
              <w:rPr>
                <w:rFonts w:cs="Times New Roman"/>
                <w:sz w:val="22"/>
              </w:rPr>
              <w:t>Decreased firm performance would generate worse outcomes in terms of jobs and inequality [</w:t>
            </w:r>
            <w:r w:rsidRPr="003F2FE9">
              <w:rPr>
                <w:rFonts w:cs="Times New Roman"/>
                <w:i/>
                <w:sz w:val="22"/>
              </w:rPr>
              <w:t>market</w:t>
            </w:r>
            <w:r>
              <w:rPr>
                <w:rFonts w:cs="Times New Roman"/>
                <w:sz w:val="22"/>
              </w:rPr>
              <w:t xml:space="preserve"> – </w:t>
            </w:r>
            <w:r w:rsidRPr="003F2FE9">
              <w:rPr>
                <w:rFonts w:cs="Times New Roman"/>
                <w:i/>
                <w:sz w:val="22"/>
              </w:rPr>
              <w:t>civic</w:t>
            </w:r>
            <w:r>
              <w:rPr>
                <w:rFonts w:cs="Times New Roman"/>
                <w:sz w:val="22"/>
              </w:rPr>
              <w:t xml:space="preserve"> orders]</w:t>
            </w:r>
          </w:p>
        </w:tc>
      </w:tr>
      <w:tr w:rsidR="00196D0D" w:rsidRPr="00D85ECC" w14:paraId="06E2FE8B" w14:textId="77777777" w:rsidTr="00B25937">
        <w:tc>
          <w:tcPr>
            <w:tcW w:w="8642" w:type="dxa"/>
          </w:tcPr>
          <w:p w14:paraId="2EBF95CF" w14:textId="77777777" w:rsidR="00196D0D" w:rsidRPr="00D85ECC" w:rsidRDefault="00196D0D" w:rsidP="00196D0D">
            <w:pPr>
              <w:pStyle w:val="ListParagraph"/>
              <w:numPr>
                <w:ilvl w:val="0"/>
                <w:numId w:val="9"/>
              </w:numPr>
              <w:spacing w:after="80"/>
              <w:rPr>
                <w:rFonts w:cs="Times New Roman"/>
                <w:sz w:val="22"/>
              </w:rPr>
            </w:pPr>
            <w:r w:rsidRPr="00D85ECC">
              <w:rPr>
                <w:rFonts w:cs="Times New Roman"/>
                <w:sz w:val="22"/>
              </w:rPr>
              <w:t>“More important at this time is the creation of jobs so more people are in work. Growing businesses will result in more jobs” (Barnett, 2013).</w:t>
            </w:r>
          </w:p>
        </w:tc>
      </w:tr>
      <w:tr w:rsidR="00196D0D" w:rsidRPr="00D85ECC" w14:paraId="710CB0E9" w14:textId="77777777" w:rsidTr="00B25937">
        <w:tc>
          <w:tcPr>
            <w:tcW w:w="8642" w:type="dxa"/>
          </w:tcPr>
          <w:p w14:paraId="4D4BD3E4" w14:textId="77777777" w:rsidR="00196D0D" w:rsidRPr="00D85ECC" w:rsidRDefault="00196D0D" w:rsidP="00196D0D">
            <w:pPr>
              <w:numPr>
                <w:ilvl w:val="0"/>
                <w:numId w:val="9"/>
              </w:numPr>
              <w:spacing w:after="80" w:line="259" w:lineRule="auto"/>
              <w:contextualSpacing/>
              <w:rPr>
                <w:rFonts w:cs="Times New Roman"/>
                <w:sz w:val="22"/>
              </w:rPr>
            </w:pPr>
            <w:r w:rsidRPr="00D85ECC">
              <w:rPr>
                <w:rFonts w:cs="Times New Roman"/>
                <w:sz w:val="22"/>
              </w:rPr>
              <w:t>“A movement to introduce a voluntary living wage of $18.40 an hour … would cost 26,000 jobs” (National MP Simon Bridges, cited in Shuttleworth, 2013).</w:t>
            </w:r>
          </w:p>
        </w:tc>
      </w:tr>
      <w:tr w:rsidR="00196D0D" w:rsidRPr="00D85ECC" w14:paraId="065A897C" w14:textId="77777777" w:rsidTr="00B25937">
        <w:tc>
          <w:tcPr>
            <w:tcW w:w="8642" w:type="dxa"/>
          </w:tcPr>
          <w:p w14:paraId="0EEBC7BE" w14:textId="77777777" w:rsidR="00196D0D" w:rsidRPr="00D85ECC" w:rsidRDefault="00196D0D" w:rsidP="00196D0D">
            <w:pPr>
              <w:numPr>
                <w:ilvl w:val="0"/>
                <w:numId w:val="9"/>
              </w:numPr>
              <w:spacing w:after="80" w:line="259" w:lineRule="auto"/>
              <w:contextualSpacing/>
              <w:rPr>
                <w:rFonts w:cs="Times New Roman"/>
                <w:sz w:val="22"/>
              </w:rPr>
            </w:pPr>
            <w:r w:rsidRPr="00D85ECC">
              <w:rPr>
                <w:rFonts w:cs="Times New Roman"/>
                <w:sz w:val="22"/>
              </w:rPr>
              <w:t>“</w:t>
            </w:r>
            <w:r w:rsidRPr="00D85ECC">
              <w:rPr>
                <w:rFonts w:cs="Times New Roman"/>
                <w:i/>
                <w:sz w:val="22"/>
              </w:rPr>
              <w:t>Raising the minimum wage to the so-called “living wage” level</w:t>
            </w:r>
            <w:r w:rsidRPr="00D85ECC">
              <w:rPr>
                <w:rFonts w:cs="Times New Roman"/>
                <w:sz w:val="22"/>
              </w:rPr>
              <w:t xml:space="preserve"> of $18.40 will cost jobs. That is a fact” (Michael Baines, cited in MANZ, 2013).</w:t>
            </w:r>
          </w:p>
        </w:tc>
      </w:tr>
      <w:tr w:rsidR="00196D0D" w:rsidRPr="00D85ECC" w14:paraId="27992623" w14:textId="77777777" w:rsidTr="00B25937">
        <w:tc>
          <w:tcPr>
            <w:tcW w:w="8642" w:type="dxa"/>
          </w:tcPr>
          <w:p w14:paraId="5A591C22" w14:textId="77777777" w:rsidR="00196D0D" w:rsidRPr="00D85ECC" w:rsidRDefault="00196D0D" w:rsidP="00196D0D">
            <w:pPr>
              <w:numPr>
                <w:ilvl w:val="0"/>
                <w:numId w:val="9"/>
              </w:numPr>
              <w:spacing w:after="80" w:line="259" w:lineRule="auto"/>
              <w:contextualSpacing/>
              <w:rPr>
                <w:rFonts w:cs="Times New Roman"/>
                <w:sz w:val="22"/>
              </w:rPr>
            </w:pPr>
            <w:r w:rsidRPr="00D85ECC">
              <w:rPr>
                <w:rFonts w:cs="Times New Roman"/>
                <w:sz w:val="22"/>
              </w:rPr>
              <w:t xml:space="preserve">“[Adoption of a living wage] may see less of [members of disadvantaged groups] groups gaining future employment with the Council as competition for these positions increase” </w:t>
            </w:r>
            <w:r w:rsidRPr="00D85ECC">
              <w:rPr>
                <w:rFonts w:cs="Times New Roman"/>
                <w:noProof/>
                <w:sz w:val="22"/>
              </w:rPr>
              <w:t>(NZTU, 2013)</w:t>
            </w:r>
            <w:r w:rsidRPr="00D85ECC">
              <w:rPr>
                <w:rFonts w:cs="Times New Roman"/>
                <w:sz w:val="22"/>
              </w:rPr>
              <w:t>.</w:t>
            </w:r>
          </w:p>
        </w:tc>
      </w:tr>
    </w:tbl>
    <w:p w14:paraId="6B1E94C2" w14:textId="77777777" w:rsidR="00196D0D" w:rsidRDefault="00196D0D" w:rsidP="00A22B9A">
      <w:pPr>
        <w:ind w:left="426" w:hanging="437"/>
        <w:rPr>
          <w:rFonts w:cs="Times New Roman"/>
          <w:noProof/>
          <w:szCs w:val="24"/>
        </w:rPr>
      </w:pPr>
    </w:p>
    <w:p w14:paraId="7635CAC1" w14:textId="77777777" w:rsidR="00196D0D" w:rsidRPr="007A0EA7" w:rsidRDefault="00196D0D" w:rsidP="00A22B9A">
      <w:pPr>
        <w:ind w:left="426" w:hanging="437"/>
        <w:rPr>
          <w:rFonts w:cs="Times New Roman"/>
          <w:b/>
          <w:color w:val="000000" w:themeColor="text1"/>
        </w:rPr>
      </w:pPr>
    </w:p>
    <w:p w14:paraId="5CB9465C" w14:textId="2F9A0CD5" w:rsidR="00A22B9A" w:rsidRDefault="00A22B9A" w:rsidP="00F64EFF"/>
    <w:sectPr w:rsidR="00A22B9A">
      <w:footerReference w:type="default" r:id="rId4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F61C7" w14:textId="77777777" w:rsidR="004F67FD" w:rsidRDefault="004F67FD" w:rsidP="00665CFA">
      <w:pPr>
        <w:spacing w:line="240" w:lineRule="auto"/>
      </w:pPr>
      <w:r>
        <w:separator/>
      </w:r>
    </w:p>
  </w:endnote>
  <w:endnote w:type="continuationSeparator" w:id="0">
    <w:p w14:paraId="3FF8931B" w14:textId="77777777" w:rsidR="004F67FD" w:rsidRDefault="004F67FD" w:rsidP="00665CFA">
      <w:pPr>
        <w:spacing w:line="240" w:lineRule="auto"/>
      </w:pPr>
      <w:r>
        <w:continuationSeparator/>
      </w:r>
    </w:p>
  </w:endnote>
  <w:endnote w:id="1">
    <w:p w14:paraId="417FDC7C" w14:textId="7796ABF1" w:rsidR="004D56F2" w:rsidRPr="000D4B8F" w:rsidRDefault="004D56F2" w:rsidP="00A22B9A">
      <w:pPr>
        <w:pStyle w:val="EndnoteText"/>
        <w:rPr>
          <w:rFonts w:cs="Times New Roman"/>
        </w:rPr>
      </w:pPr>
      <w:r>
        <w:rPr>
          <w:rStyle w:val="EndnoteReference"/>
        </w:rPr>
        <w:endnoteRef/>
      </w:r>
      <w:r>
        <w:t xml:space="preserve"> </w:t>
      </w:r>
      <w:r>
        <w:rPr>
          <w:rFonts w:cs="Times New Roman"/>
        </w:rPr>
        <w:t>Bapuji (2015) notes the same about the organisational literature more broadly.</w:t>
      </w:r>
    </w:p>
  </w:endnote>
  <w:endnote w:id="2">
    <w:p w14:paraId="613A611A" w14:textId="365B0D1A" w:rsidR="004D56F2" w:rsidRPr="00D86117" w:rsidRDefault="004D56F2" w:rsidP="00A22B9A">
      <w:pPr>
        <w:pStyle w:val="EndnoteText"/>
        <w:rPr>
          <w:rFonts w:cs="Times New Roman"/>
          <w:lang w:val="en-GB"/>
        </w:rPr>
      </w:pPr>
      <w:r>
        <w:rPr>
          <w:rStyle w:val="EndnoteReference"/>
        </w:rPr>
        <w:endnoteRef/>
      </w:r>
      <w:r>
        <w:t xml:space="preserve"> </w:t>
      </w:r>
      <w:r>
        <w:rPr>
          <w:rFonts w:cs="Times New Roman"/>
          <w:lang w:val="en-GB"/>
        </w:rPr>
        <w:t>Aotearoa is a widely accepted Maori name for New Zealand.</w:t>
      </w:r>
    </w:p>
  </w:endnote>
  <w:endnote w:id="3">
    <w:p w14:paraId="0C0AC60A" w14:textId="5A2DA68B" w:rsidR="004D56F2" w:rsidRDefault="004D56F2">
      <w:pPr>
        <w:pStyle w:val="EndnoteText"/>
      </w:pPr>
      <w:r>
        <w:rPr>
          <w:rStyle w:val="EndnoteReference"/>
        </w:rPr>
        <w:endnoteRef/>
      </w:r>
      <w:r>
        <w:t xml:space="preserve"> </w:t>
      </w:r>
      <w:r>
        <w:rPr>
          <w:rFonts w:cs="Times New Roman"/>
        </w:rPr>
        <w:t>A</w:t>
      </w:r>
      <w:r w:rsidRPr="003C61E5">
        <w:rPr>
          <w:rFonts w:cs="Times New Roman"/>
        </w:rPr>
        <w:t xml:space="preserve">dditional orders of worth have been mooted, </w:t>
      </w:r>
      <w:r>
        <w:rPr>
          <w:rFonts w:cs="Times New Roman"/>
        </w:rPr>
        <w:t xml:space="preserve">(e.g. </w:t>
      </w:r>
      <w:r w:rsidRPr="003C61E5">
        <w:rPr>
          <w:rFonts w:cs="Times New Roman"/>
        </w:rPr>
        <w:t>the green order of worth</w:t>
      </w:r>
      <w:r>
        <w:rPr>
          <w:rFonts w:cs="Times New Roman"/>
        </w:rPr>
        <w:t xml:space="preserve"> in </w:t>
      </w:r>
      <w:r w:rsidRPr="003C61E5">
        <w:rPr>
          <w:rFonts w:cs="Times New Roman"/>
        </w:rPr>
        <w:fldChar w:fldCharType="begin"/>
      </w:r>
      <w:r w:rsidRPr="003C61E5">
        <w:rPr>
          <w:rFonts w:cs="Times New Roman"/>
        </w:rPr>
        <w:instrText xml:space="preserve"> ADDIN EN.CITE &lt;EndNote&gt;&lt;Cite&gt;&lt;Author&gt;Lamont&lt;/Author&gt;&lt;Year&gt;2000&lt;/Year&gt;&lt;RecNum&gt;396&lt;/RecNum&gt;&lt;DisplayText&gt;(Lamont &amp;amp; Thévenot, 2000b)&lt;/DisplayText&gt;&lt;record&gt;&lt;rec-number&gt;396&lt;/rec-number&gt;&lt;foreign-keys&gt;&lt;key app="EN" db-id="p5vpesw9da0dxpe9s2rxaesaevxptdvwefrd"&gt;396&lt;/key&gt;&lt;/foreign-keys&gt;&lt;ref-type name="Edited Book"&gt;28&lt;/ref-type&gt;&lt;contributors&gt;&lt;authors&gt;&lt;author&gt;Lamont, Michele&lt;/author&gt;&lt;author&gt;Thévenot, Laurent&lt;/author&gt;&lt;/authors&gt;&lt;/contributors&gt;&lt;titles&gt;&lt;title&gt;Rethinking Comparative Cultural Sociology: Repertoires of Evaluation in France and the United States&lt;/title&gt;&lt;/titles&gt;&lt;dates&gt;&lt;year&gt;2000&lt;/year&gt;&lt;/dates&gt;&lt;pub-location&gt;Cambridge, U.K.&lt;/pub-location&gt;&lt;publisher&gt;Cambridge University Press&lt;/publisher&gt;&lt;urls&gt;&lt;/urls&gt;&lt;/record&gt;&lt;/Cite&gt;&lt;/EndNote&gt;</w:instrText>
      </w:r>
      <w:r w:rsidRPr="003C61E5">
        <w:rPr>
          <w:rFonts w:cs="Times New Roman"/>
        </w:rPr>
        <w:fldChar w:fldCharType="separate"/>
      </w:r>
      <w:hyperlink w:anchor="_ENREF_20" w:tooltip="Lamont, 2000 #396" w:history="1">
        <w:r w:rsidRPr="003C61E5">
          <w:rPr>
            <w:rFonts w:cs="Times New Roman"/>
            <w:noProof/>
          </w:rPr>
          <w:t>Lamont &amp; Thévenot, 2000</w:t>
        </w:r>
      </w:hyperlink>
      <w:r w:rsidRPr="003C61E5">
        <w:rPr>
          <w:rFonts w:cs="Times New Roman"/>
          <w:noProof/>
        </w:rPr>
        <w:t>)</w:t>
      </w:r>
      <w:r w:rsidRPr="003C61E5">
        <w:rPr>
          <w:rFonts w:cs="Times New Roman"/>
        </w:rPr>
        <w:fldChar w:fldCharType="end"/>
      </w:r>
      <w:r w:rsidRPr="003C61E5">
        <w:rPr>
          <w:rFonts w:cs="Times New Roman"/>
        </w:rPr>
        <w:t xml:space="preserve">. </w:t>
      </w:r>
      <w:r>
        <w:rPr>
          <w:rFonts w:cs="Times New Roman"/>
        </w:rPr>
        <w:t>However t</w:t>
      </w:r>
      <w:r w:rsidRPr="003C61E5">
        <w:rPr>
          <w:rFonts w:cs="Times New Roman"/>
        </w:rPr>
        <w:t>hese additional orders add little to our analysis</w:t>
      </w:r>
      <w:r>
        <w:rPr>
          <w:rFonts w:cs="Times New Roman"/>
        </w:rPr>
        <w:t>,</w:t>
      </w:r>
      <w:r w:rsidRPr="003C61E5">
        <w:rPr>
          <w:rFonts w:cs="Times New Roman"/>
        </w:rPr>
        <w:t xml:space="preserve"> we </w:t>
      </w:r>
      <w:r>
        <w:rPr>
          <w:rFonts w:cs="Times New Roman"/>
        </w:rPr>
        <w:t xml:space="preserve">therefore </w:t>
      </w:r>
      <w:r w:rsidRPr="003C61E5">
        <w:rPr>
          <w:rFonts w:cs="Times New Roman"/>
        </w:rPr>
        <w:t>focus on the original six.</w:t>
      </w:r>
    </w:p>
  </w:endnote>
  <w:endnote w:id="4">
    <w:p w14:paraId="20D6CEDC" w14:textId="200CD12C" w:rsidR="004D56F2" w:rsidRPr="00433F37" w:rsidRDefault="004D56F2" w:rsidP="00065EA2">
      <w:pPr>
        <w:pStyle w:val="EndnoteText"/>
        <w:rPr>
          <w:lang w:val="en-GB"/>
        </w:rPr>
      </w:pPr>
      <w:r>
        <w:rPr>
          <w:rStyle w:val="EndnoteReference"/>
        </w:rPr>
        <w:endnoteRef/>
      </w:r>
      <w:r>
        <w:t xml:space="preserve"> </w:t>
      </w:r>
      <w:r>
        <w:rPr>
          <w:lang w:val="en-GB"/>
        </w:rPr>
        <w:t>Between 2008 and 2017, the period of our analysis, the centre-right National Party was the political dominant party.</w:t>
      </w:r>
    </w:p>
  </w:endnote>
  <w:endnote w:id="5">
    <w:p w14:paraId="771C6868" w14:textId="1FD2658A" w:rsidR="004D56F2" w:rsidRPr="00CB5D18" w:rsidRDefault="004D56F2">
      <w:pPr>
        <w:pStyle w:val="EndnoteText"/>
        <w:rPr>
          <w:lang w:val="en-GB"/>
        </w:rPr>
      </w:pPr>
      <w:r w:rsidRPr="00DF3E93">
        <w:rPr>
          <w:rStyle w:val="EndnoteReference"/>
        </w:rPr>
        <w:endnoteRef/>
      </w:r>
      <w:r w:rsidRPr="00DF3E93">
        <w:t xml:space="preserve"> Figure 1 is based on the frequency of texts in the New Zealand Herald and in the Hansard record of parliamentary debates that include the phrase “living wage”. Our data set (Table 2</w:t>
      </w:r>
      <w:r>
        <w:t xml:space="preserve">; </w:t>
      </w:r>
      <w:r w:rsidRPr="00DF3E93">
        <w:t>Figure 2) is both more expansive (i</w:t>
      </w:r>
      <w:r>
        <w:t>.e.</w:t>
      </w:r>
      <w:r w:rsidRPr="00DF3E93">
        <w:t xml:space="preserve"> it includes data from a wider range of sources) and more restricted (</w:t>
      </w:r>
      <w:r>
        <w:t xml:space="preserve">i.e. </w:t>
      </w:r>
      <w:r w:rsidRPr="00DF3E93">
        <w:t xml:space="preserve"> it includes only texts that contain an explicit argument for or against the living wage).</w:t>
      </w:r>
    </w:p>
  </w:endnote>
  <w:endnote w:id="6">
    <w:p w14:paraId="378FAAA6" w14:textId="658E1E98" w:rsidR="004D56F2" w:rsidRPr="00625C9C" w:rsidRDefault="004D56F2" w:rsidP="00A22B9A">
      <w:pPr>
        <w:pStyle w:val="EndnoteText"/>
        <w:rPr>
          <w:rFonts w:cs="Times New Roman"/>
        </w:rPr>
      </w:pPr>
      <w:r w:rsidRPr="00625C9C">
        <w:rPr>
          <w:rStyle w:val="EndnoteReference"/>
          <w:rFonts w:cs="Times New Roman"/>
        </w:rPr>
        <w:endnoteRef/>
      </w:r>
      <w:r w:rsidRPr="00625C9C">
        <w:rPr>
          <w:rFonts w:cs="Times New Roman"/>
        </w:rPr>
        <w:t xml:space="preserve"> </w:t>
      </w:r>
      <w:r>
        <w:rPr>
          <w:rFonts w:cs="Times New Roman"/>
        </w:rPr>
        <w:t>Again, t</w:t>
      </w:r>
      <w:r w:rsidRPr="00625C9C">
        <w:rPr>
          <w:rFonts w:cs="Times New Roman"/>
        </w:rPr>
        <w:t>his “market is natural” trope should be seen as rhetorical, since the argument is fundamentally a justification for the status quo whi</w:t>
      </w:r>
      <w:r>
        <w:rPr>
          <w:rFonts w:cs="Times New Roman"/>
        </w:rPr>
        <w:t>ch includes minimum wage and occupational health and safety (OSH)</w:t>
      </w:r>
      <w:r w:rsidRPr="00625C9C">
        <w:rPr>
          <w:rFonts w:cs="Times New Roman"/>
        </w:rPr>
        <w:t xml:space="preserve"> regulations, and including a welfare state (funded through taxation) that enables firms to pay very low wages while securing ongoing legitimation.</w:t>
      </w:r>
    </w:p>
  </w:endnote>
  <w:endnote w:id="7">
    <w:p w14:paraId="66D49B3A" w14:textId="508483DD" w:rsidR="004D56F2" w:rsidRPr="00B631EB" w:rsidRDefault="004D56F2">
      <w:pPr>
        <w:pStyle w:val="EndnoteText"/>
        <w:rPr>
          <w:lang w:val="en-GB"/>
        </w:rPr>
      </w:pPr>
      <w:r>
        <w:rPr>
          <w:rStyle w:val="EndnoteReference"/>
        </w:rPr>
        <w:endnoteRef/>
      </w:r>
      <w:r>
        <w:t xml:space="preserve"> </w:t>
      </w:r>
      <w:r>
        <w:rPr>
          <w:lang w:val="en-GB"/>
        </w:rPr>
        <w:t>We recognise that the following discussion focuses largely on financial accounting and that insights from, and implications for, management accounting are also possible.</w:t>
      </w:r>
    </w:p>
  </w:endnote>
  <w:endnote w:id="8">
    <w:p w14:paraId="31C10256" w14:textId="0E55FEC2" w:rsidR="004D56F2" w:rsidRPr="00646537" w:rsidRDefault="004D56F2">
      <w:pPr>
        <w:pStyle w:val="EndnoteText"/>
        <w:rPr>
          <w:lang w:val="en-GB"/>
        </w:rPr>
      </w:pPr>
      <w:r>
        <w:rPr>
          <w:rStyle w:val="EndnoteReference"/>
        </w:rPr>
        <w:endnoteRef/>
      </w:r>
      <w:r>
        <w:t xml:space="preserve"> Pragmatic sociology assumes </w:t>
      </w:r>
      <w:r w:rsidRPr="00512B56">
        <w:rPr>
          <w:lang w:val="en-AU"/>
        </w:rPr>
        <w:t>actors to be sincere</w:t>
      </w:r>
      <w:r>
        <w:rPr>
          <w:lang w:val="en-AU"/>
        </w:rPr>
        <w:t>:</w:t>
      </w:r>
      <w:r w:rsidRPr="00512B56">
        <w:rPr>
          <w:lang w:val="en-AU"/>
        </w:rPr>
        <w:t xml:space="preserve"> more interested in agreement than in winning (Annisette &amp; Richardson, 2011, p. 231; Boltanski &amp; Thévenot, 2006, p. 13).  </w:t>
      </w:r>
      <w:r>
        <w:rPr>
          <w:lang w:val="en-AU"/>
        </w:rPr>
        <w:t>There are key moments i</w:t>
      </w:r>
      <w:r w:rsidRPr="00512B56">
        <w:rPr>
          <w:lang w:val="en-AU"/>
        </w:rPr>
        <w:t xml:space="preserve">n this case, however, </w:t>
      </w:r>
      <w:r>
        <w:rPr>
          <w:lang w:val="en-AU"/>
        </w:rPr>
        <w:t xml:space="preserve">where living wage sceptics </w:t>
      </w:r>
      <w:r>
        <w:rPr>
          <w:rFonts w:cs="Times New Roman"/>
          <w:szCs w:val="24"/>
        </w:rPr>
        <w:t>seem more determined</w:t>
      </w:r>
      <w:r w:rsidRPr="00512B56">
        <w:rPr>
          <w:rFonts w:cs="Times New Roman"/>
          <w:szCs w:val="24"/>
        </w:rPr>
        <w:t xml:space="preserve"> to “win” the debate than </w:t>
      </w:r>
      <w:r>
        <w:rPr>
          <w:rFonts w:cs="Times New Roman"/>
          <w:szCs w:val="24"/>
        </w:rPr>
        <w:t>to search</w:t>
      </w:r>
      <w:r w:rsidRPr="00512B56">
        <w:rPr>
          <w:rFonts w:cs="Times New Roman"/>
          <w:szCs w:val="24"/>
        </w:rPr>
        <w:t xml:space="preserve"> for a shared agreement at the heart of a dispute (see Boltanski &amp; Thevenot, 2006)</w:t>
      </w:r>
      <w:r>
        <w:rPr>
          <w:rFonts w:cs="Times New Roman"/>
          <w:szCs w:val="24"/>
        </w:rPr>
        <w:t>. Specifically, many of their arguments</w:t>
      </w:r>
      <w:r w:rsidRPr="00512B56">
        <w:rPr>
          <w:rFonts w:cs="Times New Roman"/>
          <w:szCs w:val="24"/>
        </w:rPr>
        <w:t xml:space="preserve"> proceeded as if the living wage would be imposed as a sudden, substantial increase in the statutory minimum wage (Galt &amp; Palmer, 2013; see also Scott, 2014). While the Treasury Report (2013, p. 5) explicitly acknowledged that LWA was only calling for the living wage to be adopted by public sector organisations and by “the corporates and the big employers who can afford to pay” (LWA, 2012c; Waldegrave, 2014), its analysis was based on the assumption that “the living wage is universally adopted”. This led to the estimate that “employment would reduce by 25,000 if the minimum wage was lifted to the living wage” (2013, p. 10), a claim that was increased to “26,000 jobs” and duly reported in parliament (see Joyce in NZPD, 28 May 2014) and in the media (Shuttleworth, 2013). </w:t>
      </w:r>
    </w:p>
  </w:endnote>
  <w:endnote w:id="9">
    <w:p w14:paraId="16D336C9" w14:textId="6987F8D6" w:rsidR="004D56F2" w:rsidRPr="00FE5CCC" w:rsidRDefault="004D56F2">
      <w:pPr>
        <w:pStyle w:val="EndnoteText"/>
      </w:pPr>
      <w:r>
        <w:rPr>
          <w:rStyle w:val="EndnoteReference"/>
        </w:rPr>
        <w:endnoteRef/>
      </w:r>
      <w:r>
        <w:t xml:space="preserve"> </w:t>
      </w:r>
      <w:r>
        <w:rPr>
          <w:rFonts w:cs="Times New Roman"/>
        </w:rPr>
        <w:t>Indeed, the high-paid seem to be generally exempt from this logic and particularly adept at justifying their (sometimes exorbitant) remuneration packages.  As such, the market test does not seem to apply so strongly for those at the top of the pay scale.</w:t>
      </w:r>
    </w:p>
  </w:endnote>
  <w:endnote w:id="10">
    <w:p w14:paraId="3989CC5B" w14:textId="210C8B6B" w:rsidR="004D56F2" w:rsidRPr="004E5F53" w:rsidRDefault="004D56F2">
      <w:pPr>
        <w:pStyle w:val="EndnoteText"/>
      </w:pPr>
      <w:r>
        <w:rPr>
          <w:rStyle w:val="EndnoteReference"/>
        </w:rPr>
        <w:endnoteRef/>
      </w:r>
      <w:r>
        <w:t xml:space="preserve"> </w:t>
      </w:r>
      <w:r>
        <w:rPr>
          <w:rFonts w:eastAsiaTheme="majorEastAsia" w:cs="Times New Roman"/>
          <w:color w:val="000000" w:themeColor="text1"/>
          <w:szCs w:val="32"/>
        </w:rPr>
        <w:t xml:space="preserve">CitizensUK (2015) provides an illustration of the potential, as well as difficulties, in calculating the public subsidy to low-wage employees of a specific employer while the Living Wage Foundation (2017) report provides a good illustration of how academics can work alongside others. </w:t>
      </w:r>
    </w:p>
  </w:endnote>
  <w:endnote w:id="11">
    <w:p w14:paraId="7E030A5F" w14:textId="6706829C" w:rsidR="004D56F2" w:rsidRPr="00AD799D" w:rsidRDefault="004D56F2" w:rsidP="00AD799D">
      <w:pPr>
        <w:rPr>
          <w:lang w:val="en-GB"/>
        </w:rPr>
      </w:pPr>
      <w:r>
        <w:rPr>
          <w:rStyle w:val="EndnoteReference"/>
        </w:rPr>
        <w:endnoteRef/>
      </w:r>
      <w:r>
        <w:t xml:space="preserve"> </w:t>
      </w:r>
      <w:r w:rsidRPr="00AD799D">
        <w:rPr>
          <w:rFonts w:eastAsiaTheme="majorEastAsia" w:cs="Times New Roman"/>
          <w:color w:val="000000" w:themeColor="text1"/>
          <w:sz w:val="20"/>
          <w:szCs w:val="32"/>
        </w:rPr>
        <w:t>Some might argue that this move towards a longer-term focus and reframing the worker is what the IIRC (n.d.) is encouraging with integrated reporting (IR)</w:t>
      </w:r>
      <w:r>
        <w:rPr>
          <w:rFonts w:eastAsiaTheme="majorEastAsia" w:cs="Times New Roman"/>
          <w:color w:val="000000" w:themeColor="text1"/>
          <w:sz w:val="20"/>
          <w:szCs w:val="32"/>
        </w:rPr>
        <w:t xml:space="preserve"> - e.g.</w:t>
      </w:r>
      <w:r w:rsidRPr="00AD799D">
        <w:rPr>
          <w:rFonts w:eastAsiaTheme="majorEastAsia" w:cs="Times New Roman"/>
          <w:color w:val="000000" w:themeColor="text1"/>
          <w:sz w:val="20"/>
          <w:szCs w:val="32"/>
        </w:rPr>
        <w:t>, the move to consider human capital and its role in value creation in the short, medium and long-term.  While we</w:t>
      </w:r>
      <w:r>
        <w:rPr>
          <w:rFonts w:eastAsiaTheme="majorEastAsia" w:cs="Times New Roman"/>
          <w:color w:val="000000" w:themeColor="text1"/>
          <w:sz w:val="20"/>
          <w:szCs w:val="32"/>
        </w:rPr>
        <w:t xml:space="preserve"> also</w:t>
      </w:r>
      <w:r w:rsidRPr="00AD799D">
        <w:rPr>
          <w:rFonts w:eastAsiaTheme="majorEastAsia" w:cs="Times New Roman"/>
          <w:color w:val="000000" w:themeColor="text1"/>
          <w:sz w:val="20"/>
          <w:szCs w:val="32"/>
        </w:rPr>
        <w:t xml:space="preserve"> note concern with the labelling of humans as capital, from an industrial order the success of IR in encouraging a longer-term view is yet to be ascertained</w:t>
      </w:r>
      <w:r>
        <w:rPr>
          <w:rFonts w:eastAsiaTheme="majorEastAsia" w:cs="Times New Roman"/>
          <w:color w:val="000000" w:themeColor="text1"/>
          <w:sz w:val="20"/>
          <w:szCs w:val="32"/>
        </w:rPr>
        <w:t>.</w:t>
      </w:r>
    </w:p>
  </w:endnote>
  <w:endnote w:id="12">
    <w:p w14:paraId="61CE8B8B" w14:textId="1BF32CDC" w:rsidR="004D56F2" w:rsidRPr="009C484E" w:rsidRDefault="004D56F2">
      <w:pPr>
        <w:pStyle w:val="EndnoteText"/>
      </w:pPr>
      <w:r>
        <w:rPr>
          <w:rStyle w:val="EndnoteReference"/>
        </w:rPr>
        <w:endnoteRef/>
      </w:r>
      <w:r>
        <w:t xml:space="preserve"> We do recognise that some aspects relevant here (e.g. employee turnover) are currently included in the GRI framework.  </w:t>
      </w:r>
    </w:p>
  </w:endnote>
  <w:endnote w:id="13">
    <w:p w14:paraId="708833B7" w14:textId="27DD7D28" w:rsidR="004D56F2" w:rsidRPr="00761820" w:rsidRDefault="004D56F2" w:rsidP="006078FF">
      <w:pPr>
        <w:rPr>
          <w:lang w:val="en-GB"/>
        </w:rPr>
      </w:pPr>
      <w:r w:rsidRPr="00761820">
        <w:rPr>
          <w:rStyle w:val="EndnoteReference"/>
        </w:rPr>
        <w:endnoteRef/>
      </w:r>
      <w:r w:rsidRPr="00761820">
        <w:t xml:space="preserve"> </w:t>
      </w:r>
      <w:r w:rsidR="00CC7E3A" w:rsidRPr="00CC7E3A">
        <w:rPr>
          <w:sz w:val="20"/>
          <w:szCs w:val="20"/>
        </w:rPr>
        <w:t>Such work might include case studies of wage-paying organisations going through the process of increasing wages at the bottom.  These case studies might begin by measuring and reporting on the posited benefits of a living wage: rates of staff absenteeism, turnover, attitude and productivity and, ultimately, firm performance.  They would need to be longitudinal in nature, and designed, as far as possible, to allow for external factors affecting firm and industry performance.  They would critically assess the industrial world claim evident in LWA’s critique for the long-term performance benefits of a living wage (see Table 1).</w:t>
      </w:r>
      <w:r w:rsidR="00CC7E3A">
        <w:rPr>
          <w:rFonts w:eastAsiaTheme="majorEastAsia" w:cs="Times New Roman"/>
          <w:color w:val="000000" w:themeColor="text1"/>
          <w:szCs w:val="3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xjbwbAdvPTimes">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219636"/>
      <w:docPartObj>
        <w:docPartGallery w:val="Page Numbers (Bottom of Page)"/>
        <w:docPartUnique/>
      </w:docPartObj>
    </w:sdtPr>
    <w:sdtEndPr>
      <w:rPr>
        <w:noProof/>
      </w:rPr>
    </w:sdtEndPr>
    <w:sdtContent>
      <w:p w14:paraId="2055B9CD" w14:textId="2908DA35" w:rsidR="004D56F2" w:rsidRDefault="004D56F2">
        <w:pPr>
          <w:pStyle w:val="Footer"/>
          <w:jc w:val="right"/>
        </w:pPr>
        <w:r>
          <w:fldChar w:fldCharType="begin"/>
        </w:r>
        <w:r>
          <w:instrText xml:space="preserve"> PAGE   \* MERGEFORMAT </w:instrText>
        </w:r>
        <w:r>
          <w:fldChar w:fldCharType="separate"/>
        </w:r>
        <w:r w:rsidR="00F63CC5">
          <w:rPr>
            <w:noProof/>
          </w:rPr>
          <w:t>54</w:t>
        </w:r>
        <w:r>
          <w:rPr>
            <w:noProof/>
          </w:rPr>
          <w:fldChar w:fldCharType="end"/>
        </w:r>
      </w:p>
    </w:sdtContent>
  </w:sdt>
  <w:p w14:paraId="13C5BD16" w14:textId="77777777" w:rsidR="004D56F2" w:rsidRDefault="004D5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45EEC" w14:textId="77777777" w:rsidR="004F67FD" w:rsidRDefault="004F67FD" w:rsidP="00665CFA">
      <w:pPr>
        <w:spacing w:line="240" w:lineRule="auto"/>
      </w:pPr>
      <w:r>
        <w:separator/>
      </w:r>
    </w:p>
  </w:footnote>
  <w:footnote w:type="continuationSeparator" w:id="0">
    <w:p w14:paraId="3FA10FEA" w14:textId="77777777" w:rsidR="004F67FD" w:rsidRDefault="004F67FD" w:rsidP="00665C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4EC3"/>
    <w:multiLevelType w:val="hybridMultilevel"/>
    <w:tmpl w:val="954028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28B0523"/>
    <w:multiLevelType w:val="hybridMultilevel"/>
    <w:tmpl w:val="7DBE41F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7060863"/>
    <w:multiLevelType w:val="hybridMultilevel"/>
    <w:tmpl w:val="D8BE7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D2DAD"/>
    <w:multiLevelType w:val="hybridMultilevel"/>
    <w:tmpl w:val="D8BE853A"/>
    <w:lvl w:ilvl="0" w:tplc="B23C3A60">
      <w:start w:val="1"/>
      <w:numFmt w:val="decimal"/>
      <w:lvlText w:val="%1."/>
      <w:lvlJc w:val="left"/>
      <w:pPr>
        <w:ind w:left="720" w:hanging="360"/>
      </w:pPr>
      <w:rPr>
        <w:rFonts w:asciiTheme="minorHAnsi" w:eastAsiaTheme="minorHAnsi" w:hAnsiTheme="minorHAnsi" w:cstheme="minorBidi" w:hint="default"/>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C557082"/>
    <w:multiLevelType w:val="hybridMultilevel"/>
    <w:tmpl w:val="3BB04D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8001954"/>
    <w:multiLevelType w:val="hybridMultilevel"/>
    <w:tmpl w:val="19AC5E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903F3A"/>
    <w:multiLevelType w:val="hybridMultilevel"/>
    <w:tmpl w:val="5C5223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B30125B"/>
    <w:multiLevelType w:val="hybridMultilevel"/>
    <w:tmpl w:val="8D3253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86675E"/>
    <w:multiLevelType w:val="hybridMultilevel"/>
    <w:tmpl w:val="FB5A43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5"/>
  </w:num>
  <w:num w:numId="5">
    <w:abstractNumId w:val="4"/>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161157F-83BF-44BC-AA81-3A6C11BB4C61}"/>
    <w:docVar w:name="dgnword-eventsink" w:val="571838912"/>
    <w:docVar w:name="EN.InstantFormat" w:val="&lt;ENInstantFormat&gt;&lt;Enabled&gt;1&lt;/Enabled&gt;&lt;ScanUnformatted&gt;1&lt;/ScanUnformatted&gt;&lt;ScanChanges&gt;1&lt;/ScanChanges&gt;&lt;Suspended&gt;1&lt;/Suspended&gt;&lt;/ENInstantFormat&gt;"/>
  </w:docVars>
  <w:rsids>
    <w:rsidRoot w:val="00665CFA"/>
    <w:rsid w:val="00003D2D"/>
    <w:rsid w:val="00010ECF"/>
    <w:rsid w:val="0001269E"/>
    <w:rsid w:val="00015887"/>
    <w:rsid w:val="000161C4"/>
    <w:rsid w:val="0003108A"/>
    <w:rsid w:val="0003335A"/>
    <w:rsid w:val="000370FA"/>
    <w:rsid w:val="000407D7"/>
    <w:rsid w:val="00042C32"/>
    <w:rsid w:val="00044500"/>
    <w:rsid w:val="00046EF6"/>
    <w:rsid w:val="00051FF4"/>
    <w:rsid w:val="000541C8"/>
    <w:rsid w:val="0005528A"/>
    <w:rsid w:val="000554EA"/>
    <w:rsid w:val="000618A3"/>
    <w:rsid w:val="000646AF"/>
    <w:rsid w:val="00065399"/>
    <w:rsid w:val="000657AD"/>
    <w:rsid w:val="00065EA2"/>
    <w:rsid w:val="0006732B"/>
    <w:rsid w:val="00075D59"/>
    <w:rsid w:val="00085963"/>
    <w:rsid w:val="0009081D"/>
    <w:rsid w:val="00090E36"/>
    <w:rsid w:val="00091AF8"/>
    <w:rsid w:val="00092913"/>
    <w:rsid w:val="0009464B"/>
    <w:rsid w:val="000A2DAD"/>
    <w:rsid w:val="000A31A6"/>
    <w:rsid w:val="000A6BDC"/>
    <w:rsid w:val="000B07D3"/>
    <w:rsid w:val="000B19F3"/>
    <w:rsid w:val="000C0511"/>
    <w:rsid w:val="000C584E"/>
    <w:rsid w:val="000C6DF3"/>
    <w:rsid w:val="000C71B4"/>
    <w:rsid w:val="000D4318"/>
    <w:rsid w:val="000D4985"/>
    <w:rsid w:val="000D5056"/>
    <w:rsid w:val="000D7C0D"/>
    <w:rsid w:val="000E1B5F"/>
    <w:rsid w:val="000E37A2"/>
    <w:rsid w:val="000F2D3C"/>
    <w:rsid w:val="001010FA"/>
    <w:rsid w:val="001021F3"/>
    <w:rsid w:val="001040E0"/>
    <w:rsid w:val="00105ADD"/>
    <w:rsid w:val="00106E7C"/>
    <w:rsid w:val="00107D38"/>
    <w:rsid w:val="0011062A"/>
    <w:rsid w:val="00110D31"/>
    <w:rsid w:val="00115080"/>
    <w:rsid w:val="0012173D"/>
    <w:rsid w:val="00121E36"/>
    <w:rsid w:val="00123C97"/>
    <w:rsid w:val="00132187"/>
    <w:rsid w:val="00137542"/>
    <w:rsid w:val="001405D8"/>
    <w:rsid w:val="00141258"/>
    <w:rsid w:val="00142837"/>
    <w:rsid w:val="00142FDA"/>
    <w:rsid w:val="001453AE"/>
    <w:rsid w:val="00150DF8"/>
    <w:rsid w:val="00153A94"/>
    <w:rsid w:val="00153CE6"/>
    <w:rsid w:val="00157D49"/>
    <w:rsid w:val="00160425"/>
    <w:rsid w:val="00177587"/>
    <w:rsid w:val="00183FCE"/>
    <w:rsid w:val="00190CD5"/>
    <w:rsid w:val="00193225"/>
    <w:rsid w:val="0019489C"/>
    <w:rsid w:val="00196D0D"/>
    <w:rsid w:val="001A1B54"/>
    <w:rsid w:val="001A4666"/>
    <w:rsid w:val="001B1852"/>
    <w:rsid w:val="001B1858"/>
    <w:rsid w:val="001B3517"/>
    <w:rsid w:val="001B73B5"/>
    <w:rsid w:val="001C57A6"/>
    <w:rsid w:val="001D3378"/>
    <w:rsid w:val="001D5B96"/>
    <w:rsid w:val="001E30F2"/>
    <w:rsid w:val="001E3121"/>
    <w:rsid w:val="001F14F4"/>
    <w:rsid w:val="001F2EF9"/>
    <w:rsid w:val="001F5C12"/>
    <w:rsid w:val="001F5C6C"/>
    <w:rsid w:val="001F6E7A"/>
    <w:rsid w:val="001F794A"/>
    <w:rsid w:val="001F7FA0"/>
    <w:rsid w:val="002021CC"/>
    <w:rsid w:val="00205A97"/>
    <w:rsid w:val="00211258"/>
    <w:rsid w:val="00212338"/>
    <w:rsid w:val="00215D38"/>
    <w:rsid w:val="00226A63"/>
    <w:rsid w:val="00226F61"/>
    <w:rsid w:val="0022704E"/>
    <w:rsid w:val="00227C16"/>
    <w:rsid w:val="00232C23"/>
    <w:rsid w:val="00236283"/>
    <w:rsid w:val="00240A11"/>
    <w:rsid w:val="00240E9F"/>
    <w:rsid w:val="00242909"/>
    <w:rsid w:val="00246D1B"/>
    <w:rsid w:val="00250F2E"/>
    <w:rsid w:val="0025227D"/>
    <w:rsid w:val="00254286"/>
    <w:rsid w:val="00255E9B"/>
    <w:rsid w:val="0026561C"/>
    <w:rsid w:val="002662D1"/>
    <w:rsid w:val="00295D35"/>
    <w:rsid w:val="002A15D5"/>
    <w:rsid w:val="002B4CA3"/>
    <w:rsid w:val="002C1068"/>
    <w:rsid w:val="002C1F17"/>
    <w:rsid w:val="002C4473"/>
    <w:rsid w:val="002C4570"/>
    <w:rsid w:val="002D2166"/>
    <w:rsid w:val="002D2997"/>
    <w:rsid w:val="002D341D"/>
    <w:rsid w:val="002D3ABD"/>
    <w:rsid w:val="002D4BE5"/>
    <w:rsid w:val="002D54D4"/>
    <w:rsid w:val="002D741F"/>
    <w:rsid w:val="002F02F8"/>
    <w:rsid w:val="002F23C7"/>
    <w:rsid w:val="002F2693"/>
    <w:rsid w:val="002F333F"/>
    <w:rsid w:val="0030550D"/>
    <w:rsid w:val="00311D7A"/>
    <w:rsid w:val="003142FA"/>
    <w:rsid w:val="00314AC1"/>
    <w:rsid w:val="00316562"/>
    <w:rsid w:val="00320879"/>
    <w:rsid w:val="00321C13"/>
    <w:rsid w:val="003229A3"/>
    <w:rsid w:val="00324AAA"/>
    <w:rsid w:val="00326835"/>
    <w:rsid w:val="003278CC"/>
    <w:rsid w:val="003415F4"/>
    <w:rsid w:val="0034292E"/>
    <w:rsid w:val="00345510"/>
    <w:rsid w:val="00345B1A"/>
    <w:rsid w:val="00360FBB"/>
    <w:rsid w:val="00362196"/>
    <w:rsid w:val="00362E24"/>
    <w:rsid w:val="003636A4"/>
    <w:rsid w:val="003643D7"/>
    <w:rsid w:val="00365F6E"/>
    <w:rsid w:val="00372321"/>
    <w:rsid w:val="00374AF9"/>
    <w:rsid w:val="003756F6"/>
    <w:rsid w:val="00382689"/>
    <w:rsid w:val="0038340B"/>
    <w:rsid w:val="00385800"/>
    <w:rsid w:val="00385AD7"/>
    <w:rsid w:val="003A03CD"/>
    <w:rsid w:val="003A2E33"/>
    <w:rsid w:val="003A7582"/>
    <w:rsid w:val="003B0149"/>
    <w:rsid w:val="003C0F4C"/>
    <w:rsid w:val="003C1F66"/>
    <w:rsid w:val="003C2CE0"/>
    <w:rsid w:val="003C4724"/>
    <w:rsid w:val="003C5FD1"/>
    <w:rsid w:val="003C7E64"/>
    <w:rsid w:val="003D3561"/>
    <w:rsid w:val="003D40AD"/>
    <w:rsid w:val="003D54D5"/>
    <w:rsid w:val="003D6B0A"/>
    <w:rsid w:val="003E524C"/>
    <w:rsid w:val="003E704D"/>
    <w:rsid w:val="003E7FD6"/>
    <w:rsid w:val="003F1152"/>
    <w:rsid w:val="003F1CE5"/>
    <w:rsid w:val="003F55E1"/>
    <w:rsid w:val="003F7FDE"/>
    <w:rsid w:val="00401908"/>
    <w:rsid w:val="0040303F"/>
    <w:rsid w:val="0040328D"/>
    <w:rsid w:val="00406EE7"/>
    <w:rsid w:val="0041383D"/>
    <w:rsid w:val="00416F1F"/>
    <w:rsid w:val="004238F8"/>
    <w:rsid w:val="004278B0"/>
    <w:rsid w:val="00427F45"/>
    <w:rsid w:val="00431B62"/>
    <w:rsid w:val="00433F37"/>
    <w:rsid w:val="004349BA"/>
    <w:rsid w:val="004417FD"/>
    <w:rsid w:val="00441D06"/>
    <w:rsid w:val="00443395"/>
    <w:rsid w:val="00451B46"/>
    <w:rsid w:val="0045393A"/>
    <w:rsid w:val="004561DC"/>
    <w:rsid w:val="00461387"/>
    <w:rsid w:val="004622C0"/>
    <w:rsid w:val="00463648"/>
    <w:rsid w:val="00466A47"/>
    <w:rsid w:val="00473773"/>
    <w:rsid w:val="004744F9"/>
    <w:rsid w:val="004758C9"/>
    <w:rsid w:val="0048094C"/>
    <w:rsid w:val="00483ECD"/>
    <w:rsid w:val="004846C9"/>
    <w:rsid w:val="00486113"/>
    <w:rsid w:val="004918ED"/>
    <w:rsid w:val="0049364C"/>
    <w:rsid w:val="00496BB0"/>
    <w:rsid w:val="004A1962"/>
    <w:rsid w:val="004A6AFF"/>
    <w:rsid w:val="004B63EB"/>
    <w:rsid w:val="004B78DE"/>
    <w:rsid w:val="004C0F21"/>
    <w:rsid w:val="004C1B27"/>
    <w:rsid w:val="004C4D39"/>
    <w:rsid w:val="004D355E"/>
    <w:rsid w:val="004D56F2"/>
    <w:rsid w:val="004D7E52"/>
    <w:rsid w:val="004E5F53"/>
    <w:rsid w:val="004E7D8E"/>
    <w:rsid w:val="004E7DF0"/>
    <w:rsid w:val="004F67FD"/>
    <w:rsid w:val="00506257"/>
    <w:rsid w:val="00512B56"/>
    <w:rsid w:val="005139D0"/>
    <w:rsid w:val="00514579"/>
    <w:rsid w:val="00515C7F"/>
    <w:rsid w:val="00515F88"/>
    <w:rsid w:val="00516258"/>
    <w:rsid w:val="005276EE"/>
    <w:rsid w:val="00542479"/>
    <w:rsid w:val="005513DC"/>
    <w:rsid w:val="00551709"/>
    <w:rsid w:val="0055184A"/>
    <w:rsid w:val="00553AB0"/>
    <w:rsid w:val="00557F2F"/>
    <w:rsid w:val="0056080A"/>
    <w:rsid w:val="005735F5"/>
    <w:rsid w:val="00575998"/>
    <w:rsid w:val="00577F3D"/>
    <w:rsid w:val="005807B3"/>
    <w:rsid w:val="00581738"/>
    <w:rsid w:val="00583200"/>
    <w:rsid w:val="00583F03"/>
    <w:rsid w:val="0058555C"/>
    <w:rsid w:val="0059778E"/>
    <w:rsid w:val="005A53A5"/>
    <w:rsid w:val="005B15D9"/>
    <w:rsid w:val="005B3313"/>
    <w:rsid w:val="005B4BE6"/>
    <w:rsid w:val="005B638B"/>
    <w:rsid w:val="005C179E"/>
    <w:rsid w:val="005C1C2C"/>
    <w:rsid w:val="005C37CF"/>
    <w:rsid w:val="005C7983"/>
    <w:rsid w:val="005D52CB"/>
    <w:rsid w:val="005E2053"/>
    <w:rsid w:val="005E355D"/>
    <w:rsid w:val="005E40AA"/>
    <w:rsid w:val="005E4E26"/>
    <w:rsid w:val="005F1C36"/>
    <w:rsid w:val="005F3995"/>
    <w:rsid w:val="005F5EF2"/>
    <w:rsid w:val="00602163"/>
    <w:rsid w:val="006031C4"/>
    <w:rsid w:val="0060349C"/>
    <w:rsid w:val="006078FF"/>
    <w:rsid w:val="0061312E"/>
    <w:rsid w:val="00613691"/>
    <w:rsid w:val="00624BBB"/>
    <w:rsid w:val="006301D8"/>
    <w:rsid w:val="00631F64"/>
    <w:rsid w:val="0063298D"/>
    <w:rsid w:val="00632A7D"/>
    <w:rsid w:val="00640BAA"/>
    <w:rsid w:val="00641445"/>
    <w:rsid w:val="00644740"/>
    <w:rsid w:val="00646537"/>
    <w:rsid w:val="00646F6B"/>
    <w:rsid w:val="006526FE"/>
    <w:rsid w:val="00652825"/>
    <w:rsid w:val="006546AF"/>
    <w:rsid w:val="00656F8C"/>
    <w:rsid w:val="006634A0"/>
    <w:rsid w:val="00665C7E"/>
    <w:rsid w:val="00665CFA"/>
    <w:rsid w:val="00666DBC"/>
    <w:rsid w:val="00673521"/>
    <w:rsid w:val="0067435A"/>
    <w:rsid w:val="00676965"/>
    <w:rsid w:val="00681917"/>
    <w:rsid w:val="006832FA"/>
    <w:rsid w:val="0068624D"/>
    <w:rsid w:val="0068764E"/>
    <w:rsid w:val="00687F4A"/>
    <w:rsid w:val="00693937"/>
    <w:rsid w:val="00694013"/>
    <w:rsid w:val="006B5477"/>
    <w:rsid w:val="006B6919"/>
    <w:rsid w:val="006B71E6"/>
    <w:rsid w:val="006C4DB3"/>
    <w:rsid w:val="006E0ACB"/>
    <w:rsid w:val="006E1241"/>
    <w:rsid w:val="006E2284"/>
    <w:rsid w:val="006E5EB3"/>
    <w:rsid w:val="006F1349"/>
    <w:rsid w:val="00701FC5"/>
    <w:rsid w:val="00703712"/>
    <w:rsid w:val="0070608B"/>
    <w:rsid w:val="0071004B"/>
    <w:rsid w:val="00711760"/>
    <w:rsid w:val="0071291A"/>
    <w:rsid w:val="007203E5"/>
    <w:rsid w:val="007242F7"/>
    <w:rsid w:val="0072449B"/>
    <w:rsid w:val="007245C0"/>
    <w:rsid w:val="00724FCB"/>
    <w:rsid w:val="00726304"/>
    <w:rsid w:val="0073002B"/>
    <w:rsid w:val="00730DF0"/>
    <w:rsid w:val="00731A17"/>
    <w:rsid w:val="00736C84"/>
    <w:rsid w:val="0074112F"/>
    <w:rsid w:val="007433B0"/>
    <w:rsid w:val="00743A20"/>
    <w:rsid w:val="00744E3E"/>
    <w:rsid w:val="007521AB"/>
    <w:rsid w:val="007568A3"/>
    <w:rsid w:val="00761820"/>
    <w:rsid w:val="0076286C"/>
    <w:rsid w:val="007650ED"/>
    <w:rsid w:val="0077020C"/>
    <w:rsid w:val="00773D80"/>
    <w:rsid w:val="0077553D"/>
    <w:rsid w:val="0078457F"/>
    <w:rsid w:val="007928E9"/>
    <w:rsid w:val="00795D0C"/>
    <w:rsid w:val="007977E5"/>
    <w:rsid w:val="007A3F2E"/>
    <w:rsid w:val="007A4364"/>
    <w:rsid w:val="007A7189"/>
    <w:rsid w:val="007B34B0"/>
    <w:rsid w:val="007B43BC"/>
    <w:rsid w:val="007C2CE0"/>
    <w:rsid w:val="007C75A0"/>
    <w:rsid w:val="007D1CC5"/>
    <w:rsid w:val="007D57EE"/>
    <w:rsid w:val="007E0630"/>
    <w:rsid w:val="007E3B83"/>
    <w:rsid w:val="007E78F3"/>
    <w:rsid w:val="007F2F9D"/>
    <w:rsid w:val="007F7862"/>
    <w:rsid w:val="008037C4"/>
    <w:rsid w:val="00805ED2"/>
    <w:rsid w:val="0081154E"/>
    <w:rsid w:val="00812A9D"/>
    <w:rsid w:val="00813AF8"/>
    <w:rsid w:val="00815C4A"/>
    <w:rsid w:val="00824818"/>
    <w:rsid w:val="00826C10"/>
    <w:rsid w:val="0083283F"/>
    <w:rsid w:val="00841DD8"/>
    <w:rsid w:val="00846B88"/>
    <w:rsid w:val="00846E1C"/>
    <w:rsid w:val="00847070"/>
    <w:rsid w:val="00855D4C"/>
    <w:rsid w:val="00857BF9"/>
    <w:rsid w:val="00892C84"/>
    <w:rsid w:val="008932F0"/>
    <w:rsid w:val="0089574A"/>
    <w:rsid w:val="008A360C"/>
    <w:rsid w:val="008A5AAA"/>
    <w:rsid w:val="008A6848"/>
    <w:rsid w:val="008B1EE2"/>
    <w:rsid w:val="008B2651"/>
    <w:rsid w:val="008B29C4"/>
    <w:rsid w:val="008C4630"/>
    <w:rsid w:val="008C5284"/>
    <w:rsid w:val="008D2451"/>
    <w:rsid w:val="008D4CD1"/>
    <w:rsid w:val="008D67F3"/>
    <w:rsid w:val="008E0945"/>
    <w:rsid w:val="008E5588"/>
    <w:rsid w:val="008E754B"/>
    <w:rsid w:val="008E7F3C"/>
    <w:rsid w:val="008F226A"/>
    <w:rsid w:val="008F2CBC"/>
    <w:rsid w:val="008F3D26"/>
    <w:rsid w:val="008F496D"/>
    <w:rsid w:val="008F53CF"/>
    <w:rsid w:val="00900610"/>
    <w:rsid w:val="00903440"/>
    <w:rsid w:val="0090559C"/>
    <w:rsid w:val="0091078D"/>
    <w:rsid w:val="009114F3"/>
    <w:rsid w:val="0091168A"/>
    <w:rsid w:val="009203CC"/>
    <w:rsid w:val="00932D4A"/>
    <w:rsid w:val="00933F5B"/>
    <w:rsid w:val="00941617"/>
    <w:rsid w:val="0094623F"/>
    <w:rsid w:val="0095485D"/>
    <w:rsid w:val="00955780"/>
    <w:rsid w:val="0095606F"/>
    <w:rsid w:val="0096024A"/>
    <w:rsid w:val="009621CE"/>
    <w:rsid w:val="00963685"/>
    <w:rsid w:val="009649F6"/>
    <w:rsid w:val="0096510F"/>
    <w:rsid w:val="00967CA9"/>
    <w:rsid w:val="00974380"/>
    <w:rsid w:val="009746F4"/>
    <w:rsid w:val="0098103E"/>
    <w:rsid w:val="009836CA"/>
    <w:rsid w:val="00986D87"/>
    <w:rsid w:val="00990414"/>
    <w:rsid w:val="0099065F"/>
    <w:rsid w:val="00992257"/>
    <w:rsid w:val="009A4F48"/>
    <w:rsid w:val="009A7270"/>
    <w:rsid w:val="009C0DA3"/>
    <w:rsid w:val="009C30D5"/>
    <w:rsid w:val="009C484E"/>
    <w:rsid w:val="009C48FB"/>
    <w:rsid w:val="009D23BC"/>
    <w:rsid w:val="009D3054"/>
    <w:rsid w:val="009D3D9A"/>
    <w:rsid w:val="009E5A68"/>
    <w:rsid w:val="009F301E"/>
    <w:rsid w:val="009F6174"/>
    <w:rsid w:val="00A00455"/>
    <w:rsid w:val="00A03677"/>
    <w:rsid w:val="00A0640D"/>
    <w:rsid w:val="00A12340"/>
    <w:rsid w:val="00A22B9A"/>
    <w:rsid w:val="00A2435E"/>
    <w:rsid w:val="00A30993"/>
    <w:rsid w:val="00A32051"/>
    <w:rsid w:val="00A32193"/>
    <w:rsid w:val="00A50834"/>
    <w:rsid w:val="00A51122"/>
    <w:rsid w:val="00A5329D"/>
    <w:rsid w:val="00A631FD"/>
    <w:rsid w:val="00A64016"/>
    <w:rsid w:val="00A6441A"/>
    <w:rsid w:val="00A66616"/>
    <w:rsid w:val="00A670DF"/>
    <w:rsid w:val="00A71F20"/>
    <w:rsid w:val="00A72CA1"/>
    <w:rsid w:val="00A74A96"/>
    <w:rsid w:val="00A762B3"/>
    <w:rsid w:val="00A76923"/>
    <w:rsid w:val="00A828BB"/>
    <w:rsid w:val="00A86466"/>
    <w:rsid w:val="00AA041C"/>
    <w:rsid w:val="00AA2E92"/>
    <w:rsid w:val="00AA3958"/>
    <w:rsid w:val="00AA5253"/>
    <w:rsid w:val="00AB0248"/>
    <w:rsid w:val="00AB0C32"/>
    <w:rsid w:val="00AB403D"/>
    <w:rsid w:val="00AC5626"/>
    <w:rsid w:val="00AD3C6D"/>
    <w:rsid w:val="00AD799D"/>
    <w:rsid w:val="00AE02A0"/>
    <w:rsid w:val="00AF5AFA"/>
    <w:rsid w:val="00B042BD"/>
    <w:rsid w:val="00B0434C"/>
    <w:rsid w:val="00B124C7"/>
    <w:rsid w:val="00B1284D"/>
    <w:rsid w:val="00B14AC7"/>
    <w:rsid w:val="00B1630E"/>
    <w:rsid w:val="00B218BF"/>
    <w:rsid w:val="00B253F0"/>
    <w:rsid w:val="00B31AFA"/>
    <w:rsid w:val="00B3309C"/>
    <w:rsid w:val="00B42DDC"/>
    <w:rsid w:val="00B4465B"/>
    <w:rsid w:val="00B4750B"/>
    <w:rsid w:val="00B526C4"/>
    <w:rsid w:val="00B540D8"/>
    <w:rsid w:val="00B5640D"/>
    <w:rsid w:val="00B570A9"/>
    <w:rsid w:val="00B63050"/>
    <w:rsid w:val="00B631EB"/>
    <w:rsid w:val="00B704C6"/>
    <w:rsid w:val="00B71E6A"/>
    <w:rsid w:val="00B7411F"/>
    <w:rsid w:val="00B77D6E"/>
    <w:rsid w:val="00B81920"/>
    <w:rsid w:val="00B837AA"/>
    <w:rsid w:val="00B841A4"/>
    <w:rsid w:val="00B87950"/>
    <w:rsid w:val="00B93755"/>
    <w:rsid w:val="00B96EC9"/>
    <w:rsid w:val="00BA13A0"/>
    <w:rsid w:val="00BA4D8F"/>
    <w:rsid w:val="00BA6A38"/>
    <w:rsid w:val="00BA7753"/>
    <w:rsid w:val="00BB26B5"/>
    <w:rsid w:val="00BB56E6"/>
    <w:rsid w:val="00BB6472"/>
    <w:rsid w:val="00BC3BC7"/>
    <w:rsid w:val="00BC4953"/>
    <w:rsid w:val="00BD0E33"/>
    <w:rsid w:val="00BD0EA3"/>
    <w:rsid w:val="00BD1E5E"/>
    <w:rsid w:val="00BD5CD3"/>
    <w:rsid w:val="00BE023C"/>
    <w:rsid w:val="00BE3D58"/>
    <w:rsid w:val="00BE5F3A"/>
    <w:rsid w:val="00BF0410"/>
    <w:rsid w:val="00BF0FF9"/>
    <w:rsid w:val="00BF11E5"/>
    <w:rsid w:val="00BF454E"/>
    <w:rsid w:val="00C0134D"/>
    <w:rsid w:val="00C02B65"/>
    <w:rsid w:val="00C04226"/>
    <w:rsid w:val="00C04EFA"/>
    <w:rsid w:val="00C07E5A"/>
    <w:rsid w:val="00C12F29"/>
    <w:rsid w:val="00C16EA6"/>
    <w:rsid w:val="00C2202C"/>
    <w:rsid w:val="00C2237F"/>
    <w:rsid w:val="00C30FBE"/>
    <w:rsid w:val="00C32725"/>
    <w:rsid w:val="00C34A85"/>
    <w:rsid w:val="00C34F89"/>
    <w:rsid w:val="00C42DAD"/>
    <w:rsid w:val="00C42F3D"/>
    <w:rsid w:val="00C44D46"/>
    <w:rsid w:val="00C4505B"/>
    <w:rsid w:val="00C4583F"/>
    <w:rsid w:val="00C45957"/>
    <w:rsid w:val="00C50DBE"/>
    <w:rsid w:val="00C51FF5"/>
    <w:rsid w:val="00C52212"/>
    <w:rsid w:val="00C53AF2"/>
    <w:rsid w:val="00C56488"/>
    <w:rsid w:val="00C62D4F"/>
    <w:rsid w:val="00C651A3"/>
    <w:rsid w:val="00C66F16"/>
    <w:rsid w:val="00C762BE"/>
    <w:rsid w:val="00C84ACA"/>
    <w:rsid w:val="00C87AE2"/>
    <w:rsid w:val="00C94735"/>
    <w:rsid w:val="00CA1543"/>
    <w:rsid w:val="00CA2588"/>
    <w:rsid w:val="00CA2F47"/>
    <w:rsid w:val="00CA304A"/>
    <w:rsid w:val="00CA5F57"/>
    <w:rsid w:val="00CA66A2"/>
    <w:rsid w:val="00CB3C02"/>
    <w:rsid w:val="00CB5D18"/>
    <w:rsid w:val="00CB5FB5"/>
    <w:rsid w:val="00CC08F1"/>
    <w:rsid w:val="00CC198E"/>
    <w:rsid w:val="00CC7E3A"/>
    <w:rsid w:val="00CD12A5"/>
    <w:rsid w:val="00CD6444"/>
    <w:rsid w:val="00CE210F"/>
    <w:rsid w:val="00CE2B7B"/>
    <w:rsid w:val="00CE6B28"/>
    <w:rsid w:val="00CE6BB8"/>
    <w:rsid w:val="00CF067B"/>
    <w:rsid w:val="00CF5CB8"/>
    <w:rsid w:val="00CF7A61"/>
    <w:rsid w:val="00D01180"/>
    <w:rsid w:val="00D056F7"/>
    <w:rsid w:val="00D06867"/>
    <w:rsid w:val="00D10B2E"/>
    <w:rsid w:val="00D1118E"/>
    <w:rsid w:val="00D16A21"/>
    <w:rsid w:val="00D21DBC"/>
    <w:rsid w:val="00D32B66"/>
    <w:rsid w:val="00D403E2"/>
    <w:rsid w:val="00D40D25"/>
    <w:rsid w:val="00D44A96"/>
    <w:rsid w:val="00D472F1"/>
    <w:rsid w:val="00D60E81"/>
    <w:rsid w:val="00D61ADC"/>
    <w:rsid w:val="00D64787"/>
    <w:rsid w:val="00D647CF"/>
    <w:rsid w:val="00D650CC"/>
    <w:rsid w:val="00D71021"/>
    <w:rsid w:val="00D72A86"/>
    <w:rsid w:val="00D74DC7"/>
    <w:rsid w:val="00D80511"/>
    <w:rsid w:val="00D83ECA"/>
    <w:rsid w:val="00D87211"/>
    <w:rsid w:val="00D8750A"/>
    <w:rsid w:val="00D91BE8"/>
    <w:rsid w:val="00D94F0D"/>
    <w:rsid w:val="00D96882"/>
    <w:rsid w:val="00DA27A1"/>
    <w:rsid w:val="00DA443F"/>
    <w:rsid w:val="00DA4D9C"/>
    <w:rsid w:val="00DB2A0B"/>
    <w:rsid w:val="00DB43CB"/>
    <w:rsid w:val="00DB524D"/>
    <w:rsid w:val="00DC14E8"/>
    <w:rsid w:val="00DC4EB2"/>
    <w:rsid w:val="00DC647E"/>
    <w:rsid w:val="00DD11E6"/>
    <w:rsid w:val="00DD259D"/>
    <w:rsid w:val="00DD281A"/>
    <w:rsid w:val="00DD2E45"/>
    <w:rsid w:val="00DE689C"/>
    <w:rsid w:val="00DF3E93"/>
    <w:rsid w:val="00E03FBA"/>
    <w:rsid w:val="00E069F5"/>
    <w:rsid w:val="00E15155"/>
    <w:rsid w:val="00E3161E"/>
    <w:rsid w:val="00E423CF"/>
    <w:rsid w:val="00E46098"/>
    <w:rsid w:val="00E5286B"/>
    <w:rsid w:val="00E6675A"/>
    <w:rsid w:val="00E733D3"/>
    <w:rsid w:val="00E735C3"/>
    <w:rsid w:val="00E7508B"/>
    <w:rsid w:val="00E753F6"/>
    <w:rsid w:val="00E810E5"/>
    <w:rsid w:val="00E82D34"/>
    <w:rsid w:val="00E83181"/>
    <w:rsid w:val="00E8395A"/>
    <w:rsid w:val="00E85B31"/>
    <w:rsid w:val="00E90E9F"/>
    <w:rsid w:val="00E940AC"/>
    <w:rsid w:val="00E941B3"/>
    <w:rsid w:val="00E94FCB"/>
    <w:rsid w:val="00E97748"/>
    <w:rsid w:val="00EA5667"/>
    <w:rsid w:val="00EA67B1"/>
    <w:rsid w:val="00EB3CBD"/>
    <w:rsid w:val="00EB6E6B"/>
    <w:rsid w:val="00EC076E"/>
    <w:rsid w:val="00EC7119"/>
    <w:rsid w:val="00ED20B9"/>
    <w:rsid w:val="00ED445C"/>
    <w:rsid w:val="00EE13F1"/>
    <w:rsid w:val="00EE24EA"/>
    <w:rsid w:val="00EE5F44"/>
    <w:rsid w:val="00EF0C53"/>
    <w:rsid w:val="00EF672B"/>
    <w:rsid w:val="00F05133"/>
    <w:rsid w:val="00F05BBF"/>
    <w:rsid w:val="00F11DA2"/>
    <w:rsid w:val="00F14970"/>
    <w:rsid w:val="00F14E38"/>
    <w:rsid w:val="00F166FC"/>
    <w:rsid w:val="00F24A72"/>
    <w:rsid w:val="00F32985"/>
    <w:rsid w:val="00F35A8C"/>
    <w:rsid w:val="00F40EEC"/>
    <w:rsid w:val="00F62677"/>
    <w:rsid w:val="00F626FB"/>
    <w:rsid w:val="00F63719"/>
    <w:rsid w:val="00F63CC5"/>
    <w:rsid w:val="00F64EFF"/>
    <w:rsid w:val="00F66698"/>
    <w:rsid w:val="00F704AC"/>
    <w:rsid w:val="00F7244F"/>
    <w:rsid w:val="00F7372F"/>
    <w:rsid w:val="00F745A1"/>
    <w:rsid w:val="00F74C1D"/>
    <w:rsid w:val="00F8307E"/>
    <w:rsid w:val="00F8521D"/>
    <w:rsid w:val="00F86157"/>
    <w:rsid w:val="00F87037"/>
    <w:rsid w:val="00F91324"/>
    <w:rsid w:val="00FA2A72"/>
    <w:rsid w:val="00FA4367"/>
    <w:rsid w:val="00FA56CA"/>
    <w:rsid w:val="00FC36A4"/>
    <w:rsid w:val="00FD107B"/>
    <w:rsid w:val="00FE5CCC"/>
    <w:rsid w:val="00FF035B"/>
    <w:rsid w:val="00FF2188"/>
    <w:rsid w:val="00FF5117"/>
    <w:rsid w:val="00FF6F12"/>
    <w:rsid w:val="00FF7AD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F96CF"/>
  <w15:chartTrackingRefBased/>
  <w15:docId w15:val="{C0FA3CCA-5729-4FDA-9C8A-598F06C8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FA"/>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665C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5CFA"/>
    <w:pPr>
      <w:keepNext/>
      <w:keepLines/>
      <w:spacing w:before="40" w:after="200"/>
      <w:outlineLvl w:val="1"/>
    </w:pPr>
    <w:rPr>
      <w:rFonts w:asciiTheme="majorHAnsi" w:eastAsiaTheme="majorEastAsia" w:hAnsiTheme="majorHAnsi" w:cstheme="majorBidi"/>
      <w:color w:val="2E74B5" w:themeColor="accent1" w:themeShade="BF"/>
      <w:sz w:val="2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C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5CFA"/>
    <w:rPr>
      <w:rFonts w:asciiTheme="majorHAnsi" w:eastAsiaTheme="majorEastAsia" w:hAnsiTheme="majorHAnsi" w:cstheme="majorBidi"/>
      <w:color w:val="2E74B5" w:themeColor="accent1" w:themeShade="BF"/>
      <w:sz w:val="26"/>
      <w:szCs w:val="26"/>
      <w:lang w:eastAsia="en-NZ"/>
    </w:rPr>
  </w:style>
  <w:style w:type="paragraph" w:styleId="NoSpacing">
    <w:name w:val="No Spacing"/>
    <w:uiPriority w:val="1"/>
    <w:qFormat/>
    <w:rsid w:val="00665CFA"/>
    <w:pPr>
      <w:spacing w:after="0" w:line="240" w:lineRule="auto"/>
    </w:pPr>
  </w:style>
  <w:style w:type="paragraph" w:styleId="FootnoteText">
    <w:name w:val="footnote text"/>
    <w:basedOn w:val="Normal"/>
    <w:link w:val="FootnoteTextChar"/>
    <w:uiPriority w:val="99"/>
    <w:unhideWhenUsed/>
    <w:rsid w:val="00665CFA"/>
    <w:rPr>
      <w:sz w:val="20"/>
      <w:szCs w:val="20"/>
    </w:rPr>
  </w:style>
  <w:style w:type="character" w:customStyle="1" w:styleId="FootnoteTextChar">
    <w:name w:val="Footnote Text Char"/>
    <w:basedOn w:val="DefaultParagraphFont"/>
    <w:link w:val="FootnoteText"/>
    <w:uiPriority w:val="99"/>
    <w:rsid w:val="00665CFA"/>
    <w:rPr>
      <w:rFonts w:ascii="Times New Roman" w:hAnsi="Times New Roman"/>
      <w:sz w:val="20"/>
      <w:szCs w:val="20"/>
    </w:rPr>
  </w:style>
  <w:style w:type="character" w:styleId="FootnoteReference">
    <w:name w:val="footnote reference"/>
    <w:basedOn w:val="DefaultParagraphFont"/>
    <w:uiPriority w:val="99"/>
    <w:unhideWhenUsed/>
    <w:rsid w:val="00665CFA"/>
    <w:rPr>
      <w:vertAlign w:val="superscript"/>
    </w:rPr>
  </w:style>
  <w:style w:type="character" w:styleId="CommentReference">
    <w:name w:val="annotation reference"/>
    <w:basedOn w:val="DefaultParagraphFont"/>
    <w:uiPriority w:val="99"/>
    <w:semiHidden/>
    <w:unhideWhenUsed/>
    <w:rsid w:val="00665CFA"/>
    <w:rPr>
      <w:sz w:val="16"/>
      <w:szCs w:val="16"/>
    </w:rPr>
  </w:style>
  <w:style w:type="paragraph" w:styleId="CommentText">
    <w:name w:val="annotation text"/>
    <w:basedOn w:val="Normal"/>
    <w:link w:val="CommentTextChar"/>
    <w:uiPriority w:val="99"/>
    <w:unhideWhenUsed/>
    <w:rsid w:val="00665CFA"/>
    <w:rPr>
      <w:sz w:val="20"/>
      <w:szCs w:val="20"/>
    </w:rPr>
  </w:style>
  <w:style w:type="character" w:customStyle="1" w:styleId="CommentTextChar">
    <w:name w:val="Comment Text Char"/>
    <w:basedOn w:val="DefaultParagraphFont"/>
    <w:link w:val="CommentText"/>
    <w:uiPriority w:val="99"/>
    <w:rsid w:val="00665CF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5CFA"/>
    <w:rPr>
      <w:b/>
      <w:bCs/>
    </w:rPr>
  </w:style>
  <w:style w:type="character" w:customStyle="1" w:styleId="CommentSubjectChar">
    <w:name w:val="Comment Subject Char"/>
    <w:basedOn w:val="CommentTextChar"/>
    <w:link w:val="CommentSubject"/>
    <w:uiPriority w:val="99"/>
    <w:semiHidden/>
    <w:rsid w:val="00665CFA"/>
    <w:rPr>
      <w:rFonts w:ascii="Times New Roman" w:hAnsi="Times New Roman"/>
      <w:b/>
      <w:bCs/>
      <w:sz w:val="20"/>
      <w:szCs w:val="20"/>
    </w:rPr>
  </w:style>
  <w:style w:type="paragraph" w:styleId="BalloonText">
    <w:name w:val="Balloon Text"/>
    <w:basedOn w:val="Normal"/>
    <w:link w:val="BalloonTextChar"/>
    <w:uiPriority w:val="99"/>
    <w:semiHidden/>
    <w:unhideWhenUsed/>
    <w:rsid w:val="00665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FA"/>
    <w:rPr>
      <w:rFonts w:ascii="Segoe UI" w:hAnsi="Segoe UI" w:cs="Segoe UI"/>
      <w:sz w:val="18"/>
      <w:szCs w:val="18"/>
    </w:rPr>
  </w:style>
  <w:style w:type="table" w:styleId="TableGrid">
    <w:name w:val="Table Grid"/>
    <w:basedOn w:val="TableNormal"/>
    <w:uiPriority w:val="39"/>
    <w:rsid w:val="00665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CFA"/>
    <w:pPr>
      <w:spacing w:after="160" w:line="259" w:lineRule="auto"/>
      <w:ind w:left="720"/>
      <w:contextualSpacing/>
    </w:pPr>
  </w:style>
  <w:style w:type="paragraph" w:styleId="Header">
    <w:name w:val="header"/>
    <w:basedOn w:val="Normal"/>
    <w:link w:val="HeaderChar"/>
    <w:uiPriority w:val="99"/>
    <w:unhideWhenUsed/>
    <w:rsid w:val="00665CFA"/>
    <w:pPr>
      <w:tabs>
        <w:tab w:val="center" w:pos="4513"/>
        <w:tab w:val="right" w:pos="9026"/>
      </w:tabs>
    </w:pPr>
  </w:style>
  <w:style w:type="character" w:customStyle="1" w:styleId="HeaderChar">
    <w:name w:val="Header Char"/>
    <w:basedOn w:val="DefaultParagraphFont"/>
    <w:link w:val="Header"/>
    <w:uiPriority w:val="99"/>
    <w:rsid w:val="00665CFA"/>
    <w:rPr>
      <w:rFonts w:ascii="Times New Roman" w:hAnsi="Times New Roman"/>
      <w:sz w:val="24"/>
    </w:rPr>
  </w:style>
  <w:style w:type="paragraph" w:styleId="Footer">
    <w:name w:val="footer"/>
    <w:basedOn w:val="Normal"/>
    <w:link w:val="FooterChar"/>
    <w:uiPriority w:val="99"/>
    <w:unhideWhenUsed/>
    <w:rsid w:val="00665CFA"/>
    <w:pPr>
      <w:tabs>
        <w:tab w:val="center" w:pos="4513"/>
        <w:tab w:val="right" w:pos="9026"/>
      </w:tabs>
    </w:pPr>
  </w:style>
  <w:style w:type="character" w:customStyle="1" w:styleId="FooterChar">
    <w:name w:val="Footer Char"/>
    <w:basedOn w:val="DefaultParagraphFont"/>
    <w:link w:val="Footer"/>
    <w:uiPriority w:val="99"/>
    <w:rsid w:val="00665CFA"/>
    <w:rPr>
      <w:rFonts w:ascii="Times New Roman" w:hAnsi="Times New Roman"/>
      <w:sz w:val="24"/>
    </w:rPr>
  </w:style>
  <w:style w:type="character" w:styleId="Hyperlink">
    <w:name w:val="Hyperlink"/>
    <w:basedOn w:val="DefaultParagraphFont"/>
    <w:uiPriority w:val="99"/>
    <w:unhideWhenUsed/>
    <w:rsid w:val="00665CFA"/>
    <w:rPr>
      <w:color w:val="0563C1" w:themeColor="hyperlink"/>
      <w:u w:val="single"/>
    </w:rPr>
  </w:style>
  <w:style w:type="paragraph" w:styleId="EndnoteText">
    <w:name w:val="endnote text"/>
    <w:basedOn w:val="Normal"/>
    <w:link w:val="EndnoteTextChar"/>
    <w:uiPriority w:val="99"/>
    <w:semiHidden/>
    <w:unhideWhenUsed/>
    <w:rsid w:val="00665CFA"/>
    <w:rPr>
      <w:sz w:val="20"/>
      <w:szCs w:val="20"/>
    </w:rPr>
  </w:style>
  <w:style w:type="character" w:customStyle="1" w:styleId="EndnoteTextChar">
    <w:name w:val="Endnote Text Char"/>
    <w:basedOn w:val="DefaultParagraphFont"/>
    <w:link w:val="EndnoteText"/>
    <w:uiPriority w:val="99"/>
    <w:semiHidden/>
    <w:rsid w:val="00665CFA"/>
    <w:rPr>
      <w:rFonts w:ascii="Times New Roman" w:hAnsi="Times New Roman"/>
      <w:sz w:val="20"/>
      <w:szCs w:val="20"/>
    </w:rPr>
  </w:style>
  <w:style w:type="character" w:styleId="EndnoteReference">
    <w:name w:val="endnote reference"/>
    <w:basedOn w:val="DefaultParagraphFont"/>
    <w:uiPriority w:val="99"/>
    <w:semiHidden/>
    <w:unhideWhenUsed/>
    <w:rsid w:val="00665CFA"/>
    <w:rPr>
      <w:vertAlign w:val="superscript"/>
    </w:rPr>
  </w:style>
  <w:style w:type="paragraph" w:customStyle="1" w:styleId="Footnotes">
    <w:name w:val="Footnotes"/>
    <w:basedOn w:val="FootnoteText"/>
    <w:link w:val="FootnotesChar"/>
    <w:qFormat/>
    <w:rsid w:val="00AB0248"/>
    <w:pPr>
      <w:spacing w:line="240" w:lineRule="auto"/>
    </w:pPr>
    <w:rPr>
      <w:sz w:val="21"/>
      <w:szCs w:val="24"/>
    </w:rPr>
  </w:style>
  <w:style w:type="character" w:customStyle="1" w:styleId="FootnotesChar">
    <w:name w:val="Footnotes Char"/>
    <w:basedOn w:val="FootnoteTextChar"/>
    <w:link w:val="Footnotes"/>
    <w:rsid w:val="00AB0248"/>
    <w:rPr>
      <w:rFonts w:ascii="Times New Roman" w:hAnsi="Times New Roman"/>
      <w:sz w:val="21"/>
      <w:szCs w:val="24"/>
    </w:rPr>
  </w:style>
  <w:style w:type="character" w:styleId="FollowedHyperlink">
    <w:name w:val="FollowedHyperlink"/>
    <w:basedOn w:val="DefaultParagraphFont"/>
    <w:uiPriority w:val="99"/>
    <w:semiHidden/>
    <w:unhideWhenUsed/>
    <w:rsid w:val="00345510"/>
    <w:rPr>
      <w:color w:val="954F72" w:themeColor="followedHyperlink"/>
      <w:u w:val="single"/>
    </w:rPr>
  </w:style>
  <w:style w:type="paragraph" w:styleId="Revision">
    <w:name w:val="Revision"/>
    <w:hidden/>
    <w:uiPriority w:val="99"/>
    <w:semiHidden/>
    <w:rsid w:val="00463648"/>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341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killing@aut.ac.nz" TargetMode="External"/><Relationship Id="rId13" Type="http://schemas.openxmlformats.org/officeDocument/2006/relationships/hyperlink" Target="https://www.ema.co.nz/newsandmedia/news/Pages/Living-wage-a-feel-good,-wrong-idea.aspx" TargetMode="External"/><Relationship Id="rId18" Type="http://schemas.openxmlformats.org/officeDocument/2006/relationships/hyperlink" Target="http://integratedreporting.org/the-iirc-2/" TargetMode="External"/><Relationship Id="rId26" Type="http://schemas.openxmlformats.org/officeDocument/2006/relationships/hyperlink" Target="http://www.taxpayers.org.nz/living_wage_higher_costs_less_diversity_job_losses" TargetMode="External"/><Relationship Id="rId39" Type="http://schemas.openxmlformats.org/officeDocument/2006/relationships/hyperlink" Target="http://www.nzherald.co.nz/business/news/article.cfm?c_id=3&amp;objectid=10807836" TargetMode="External"/><Relationship Id="rId3" Type="http://schemas.openxmlformats.org/officeDocument/2006/relationships/styles" Target="styles.xml"/><Relationship Id="rId21" Type="http://schemas.openxmlformats.org/officeDocument/2006/relationships/hyperlink" Target="http://www.livingwage.org.nz/accreditedemployers" TargetMode="External"/><Relationship Id="rId34" Type="http://schemas.openxmlformats.org/officeDocument/2006/relationships/hyperlink" Target="https://www.epi.org/publication/bp17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vingwage.org.uk/sites/default/files/BAR_LivingWageReport%20cropped%2021%2001.pdf" TargetMode="External"/><Relationship Id="rId17" Type="http://schemas.openxmlformats.org/officeDocument/2006/relationships/hyperlink" Target="http://www.sunlive.co.nz/news/38997-unions-announce-1840-living-wage.html" TargetMode="External"/><Relationship Id="rId25" Type="http://schemas.openxmlformats.org/officeDocument/2006/relationships/hyperlink" Target="http://www.parliament.nz/en-nz/pb/debates/debates" TargetMode="External"/><Relationship Id="rId33" Type="http://schemas.openxmlformats.org/officeDocument/2006/relationships/hyperlink" Target="https://www.livingwage.org.uk/sites/default/files/Living-Wage-Report.pdf" TargetMode="External"/><Relationship Id="rId38" Type="http://schemas.openxmlformats.org/officeDocument/2006/relationships/hyperlink" Target="http://www.livingwagenz.org.nz/resources.php" TargetMode="External"/><Relationship Id="rId2" Type="http://schemas.openxmlformats.org/officeDocument/2006/relationships/numbering" Target="numbering.xml"/><Relationship Id="rId16" Type="http://schemas.openxmlformats.org/officeDocument/2006/relationships/hyperlink" Target="http://www.nzherald.co.nz/business/news/article.cfm?c_id=3&amp;objectid=11139280" TargetMode="External"/><Relationship Id="rId20" Type="http://schemas.openxmlformats.org/officeDocument/2006/relationships/hyperlink" Target="http://www.scoop.co.nz/stories/AK1311/S00189/movement-welcomes-aks-step-towards-a-living-wage.htm" TargetMode="External"/><Relationship Id="rId29" Type="http://schemas.openxmlformats.org/officeDocument/2006/relationships/hyperlink" Target="http://www.nzcpr.com/wp-content/uploads/2014/03/A-Review-into-the-Basis-for-a-Living-Wage-Rate-in-New-Zealand-by-Brian-Scott.pdf"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herald.co.nz/nz/news/article.cfm?c_id=1&amp;objectid=11136325" TargetMode="External"/><Relationship Id="rId24" Type="http://schemas.openxmlformats.org/officeDocument/2006/relationships/hyperlink" Target="http://reports.weforum.org/outlook-global-agenda-2015/top-10-trends-of-2015/1-deepening-income-inequality/" TargetMode="External"/><Relationship Id="rId32" Type="http://schemas.openxmlformats.org/officeDocument/2006/relationships/hyperlink" Target="http://www.scoop.co.nz/stories/PO1309/S00038/living-wage-will-devastate-many-small-business.htm" TargetMode="External"/><Relationship Id="rId37" Type="http://schemas.openxmlformats.org/officeDocument/2006/relationships/hyperlink" Target="https://d3n8a8pro7vhmx.cloudfront.net/nzlivingwage/pages/129/attachments/original/1434872264/Scott_response_to_LW_critique_1_14.pdf?1434872264"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treasury.govt.nz/publications/informationreleases/livingwage/pdfs/lw-2726820.pdf" TargetMode="External"/><Relationship Id="rId23" Type="http://schemas.openxmlformats.org/officeDocument/2006/relationships/hyperlink" Target="http://standrews.org.nz/social-justice/the-living-wage/" TargetMode="External"/><Relationship Id="rId28" Type="http://schemas.openxmlformats.org/officeDocument/2006/relationships/hyperlink" Target="http://www.imf.org/external/pubs/ft/sdn/2011/sdn1108.pdf" TargetMode="External"/><Relationship Id="rId36" Type="http://schemas.openxmlformats.org/officeDocument/2006/relationships/hyperlink" Target="http://igps.victoria.ac.nz/events/Inequity%20Forum/FINAL_Robert%20Wade_VUW.pdf" TargetMode="External"/><Relationship Id="rId10" Type="http://schemas.openxmlformats.org/officeDocument/2006/relationships/hyperlink" Target="http://www.aucklandchamber.co.nz/business-connect/news-advocacy/media-releases/mayor-s-living-wage-proposal-proves-council-s-inefficiency-flawed-concept/" TargetMode="External"/><Relationship Id="rId19" Type="http://schemas.openxmlformats.org/officeDocument/2006/relationships/hyperlink" Target="http://www.ird.govt.nz/aboutir/external-stats/social-policy/wfftc/wfftc.html" TargetMode="External"/><Relationship Id="rId31" Type="http://schemas.openxmlformats.org/officeDocument/2006/relationships/hyperlink" Target="http://www.nzherald.co.nz/nz/news/article.cfm?c_id=1&amp;objectid=1086456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ckanglican.org.nz/?sid=1160" TargetMode="External"/><Relationship Id="rId14" Type="http://schemas.openxmlformats.org/officeDocument/2006/relationships/hyperlink" Target="http://www.beehive.govt.nz/release/advice-shows-%E2%80%9Cliving-wage%E2%80%9D-would-not-work" TargetMode="External"/><Relationship Id="rId22" Type="http://schemas.openxmlformats.org/officeDocument/2006/relationships/hyperlink" Target="http://www.scoop.co.nz/stories/BU1309/S00148/a-living-wage-will-cost-jobs.htm" TargetMode="External"/><Relationship Id="rId27" Type="http://schemas.openxmlformats.org/officeDocument/2006/relationships/hyperlink" Target="http://www.stuff.co.nz/dominion-post/comment/columnists/8975226/Wages-are-based-on-work-not-size-of-family" TargetMode="External"/><Relationship Id="rId30" Type="http://schemas.openxmlformats.org/officeDocument/2006/relationships/hyperlink" Target="http://www.nzherald.co.nz/business/news/article.cfm?c_id=3&amp;objectid=10868180" TargetMode="External"/><Relationship Id="rId35" Type="http://schemas.openxmlformats.org/officeDocument/2006/relationships/hyperlink" Target="http://www.thenation.com/article/predistribution-big-new-ide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4BFC-DE80-4546-A81B-DFEEBA4D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17971</Words>
  <Characters>102441</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120172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Skilling</dc:creator>
  <cp:keywords/>
  <dc:description/>
  <cp:lastModifiedBy>Revan, Jade</cp:lastModifiedBy>
  <cp:revision>3</cp:revision>
  <cp:lastPrinted>2017-12-04T22:58:00Z</cp:lastPrinted>
  <dcterms:created xsi:type="dcterms:W3CDTF">2018-07-18T09:16:00Z</dcterms:created>
  <dcterms:modified xsi:type="dcterms:W3CDTF">2018-07-18T09:16:00Z</dcterms:modified>
</cp:coreProperties>
</file>