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07FF8" w14:textId="77777777" w:rsidR="009773E1" w:rsidRPr="005C63F9" w:rsidRDefault="009773E1" w:rsidP="005E15D5">
      <w:pPr>
        <w:spacing w:after="0" w:line="240" w:lineRule="auto"/>
      </w:pPr>
      <w:bookmarkStart w:id="0" w:name="_GoBack"/>
      <w:bookmarkEnd w:id="0"/>
    </w:p>
    <w:p w14:paraId="407B877F" w14:textId="3D9884B3" w:rsidR="00407709" w:rsidRDefault="00407709" w:rsidP="00553251">
      <w:pPr>
        <w:spacing w:after="0" w:line="240" w:lineRule="auto"/>
        <w:jc w:val="center"/>
        <w:rPr>
          <w:rFonts w:cs="Times New Roman"/>
          <w:b/>
        </w:rPr>
      </w:pPr>
      <w:r w:rsidRPr="00BC4AC6">
        <w:rPr>
          <w:rFonts w:cs="Times New Roman"/>
          <w:b/>
        </w:rPr>
        <w:t>Impaired translations: IFRS from</w:t>
      </w:r>
      <w:r>
        <w:rPr>
          <w:rFonts w:cs="Times New Roman"/>
          <w:b/>
        </w:rPr>
        <w:t xml:space="preserve"> </w:t>
      </w:r>
      <w:r w:rsidRPr="00BC4AC6">
        <w:rPr>
          <w:rFonts w:cs="Times New Roman"/>
          <w:b/>
        </w:rPr>
        <w:t xml:space="preserve">English and annual reports </w:t>
      </w:r>
      <w:r>
        <w:rPr>
          <w:rFonts w:cs="Times New Roman"/>
          <w:b/>
        </w:rPr>
        <w:t>in</w:t>
      </w:r>
      <w:r w:rsidRPr="00BC4AC6">
        <w:rPr>
          <w:rFonts w:cs="Times New Roman"/>
          <w:b/>
        </w:rPr>
        <w:t>to</w:t>
      </w:r>
      <w:r>
        <w:rPr>
          <w:rFonts w:cs="Times New Roman"/>
          <w:b/>
        </w:rPr>
        <w:t xml:space="preserve"> </w:t>
      </w:r>
      <w:r w:rsidRPr="00BC4AC6">
        <w:rPr>
          <w:rFonts w:cs="Times New Roman"/>
          <w:b/>
        </w:rPr>
        <w:t>English</w:t>
      </w:r>
    </w:p>
    <w:p w14:paraId="5E09F0F2" w14:textId="77777777" w:rsidR="00407709" w:rsidRDefault="00407709" w:rsidP="00824599">
      <w:pPr>
        <w:spacing w:after="0" w:line="240" w:lineRule="auto"/>
        <w:rPr>
          <w:rFonts w:cs="Times New Roman"/>
          <w:b/>
        </w:rPr>
      </w:pPr>
    </w:p>
    <w:p w14:paraId="3FABCA7E" w14:textId="77777777" w:rsidR="00407709" w:rsidRDefault="00407709" w:rsidP="00824599">
      <w:pPr>
        <w:spacing w:after="0" w:line="240" w:lineRule="auto"/>
        <w:rPr>
          <w:rFonts w:cs="Times New Roman"/>
          <w:b/>
        </w:rPr>
      </w:pPr>
    </w:p>
    <w:p w14:paraId="6D5CC948" w14:textId="50AC0626" w:rsidR="00CE6284" w:rsidRPr="00553251" w:rsidRDefault="00CE6284" w:rsidP="00824599">
      <w:pPr>
        <w:spacing w:after="0" w:line="240" w:lineRule="auto"/>
        <w:rPr>
          <w:rFonts w:cs="Times New Roman"/>
        </w:rPr>
      </w:pPr>
      <w:r w:rsidRPr="00553251">
        <w:rPr>
          <w:rFonts w:cs="Times New Roman"/>
          <w:b/>
        </w:rPr>
        <w:t>Abstract</w:t>
      </w:r>
    </w:p>
    <w:p w14:paraId="45564AAA" w14:textId="77777777" w:rsidR="00F00A25" w:rsidRPr="00407709" w:rsidRDefault="00F00A25" w:rsidP="00824599">
      <w:pPr>
        <w:spacing w:after="0" w:line="240" w:lineRule="auto"/>
        <w:rPr>
          <w:rFonts w:cs="Times New Roman"/>
        </w:rPr>
      </w:pPr>
    </w:p>
    <w:p w14:paraId="157FC79A" w14:textId="0A000C87" w:rsidR="00F8370B" w:rsidRPr="00553251" w:rsidRDefault="00F8370B" w:rsidP="00F8370B">
      <w:pPr>
        <w:spacing w:line="276" w:lineRule="auto"/>
      </w:pPr>
      <w:r w:rsidRPr="00553251">
        <w:rPr>
          <w:b/>
        </w:rPr>
        <w:t>Purpose</w:t>
      </w:r>
      <w:r w:rsidRPr="00553251">
        <w:t xml:space="preserve"> </w:t>
      </w:r>
      <w:r w:rsidR="00407709" w:rsidRPr="006C04AE">
        <w:t>–</w:t>
      </w:r>
      <w:r w:rsidRPr="00407709">
        <w:rPr>
          <w:rFonts w:cs="Times New Roman"/>
        </w:rPr>
        <w:t xml:space="preserve"> The authors </w:t>
      </w:r>
      <w:r w:rsidR="001D05F6">
        <w:rPr>
          <w:rFonts w:cs="Times New Roman"/>
        </w:rPr>
        <w:t xml:space="preserve">examine translation in the context of IFRS by taking </w:t>
      </w:r>
      <w:r w:rsidRPr="00407709">
        <w:rPr>
          <w:rFonts w:cs="Times New Roman"/>
        </w:rPr>
        <w:t xml:space="preserve">the example of the </w:t>
      </w:r>
      <w:r w:rsidR="001E2E42">
        <w:rPr>
          <w:rFonts w:cs="Times New Roman"/>
        </w:rPr>
        <w:t>En</w:t>
      </w:r>
      <w:r w:rsidR="00A7071A">
        <w:rPr>
          <w:rFonts w:cs="Times New Roman"/>
        </w:rPr>
        <w:t xml:space="preserve">glish </w:t>
      </w:r>
      <w:r w:rsidR="00156B56">
        <w:rPr>
          <w:rFonts w:cs="Times New Roman"/>
        </w:rPr>
        <w:t>term</w:t>
      </w:r>
      <w:r w:rsidRPr="00407709">
        <w:rPr>
          <w:rFonts w:cs="Times New Roman"/>
        </w:rPr>
        <w:t xml:space="preserve"> “impairment”</w:t>
      </w:r>
      <w:r w:rsidR="001D05F6">
        <w:rPr>
          <w:rFonts w:cs="Times New Roman"/>
        </w:rPr>
        <w:t xml:space="preserve"> </w:t>
      </w:r>
      <w:r w:rsidR="00A7071A">
        <w:rPr>
          <w:rFonts w:cs="Times New Roman"/>
        </w:rPr>
        <w:t xml:space="preserve">in IAS 36, </w:t>
      </w:r>
      <w:r w:rsidR="001D05F6">
        <w:rPr>
          <w:rFonts w:cs="Times New Roman"/>
        </w:rPr>
        <w:t>and</w:t>
      </w:r>
      <w:r w:rsidRPr="00407709">
        <w:rPr>
          <w:rFonts w:cs="Times New Roman"/>
        </w:rPr>
        <w:t xml:space="preserve"> following it into </w:t>
      </w:r>
      <w:r w:rsidR="00A7071A">
        <w:rPr>
          <w:rFonts w:cs="Times New Roman"/>
        </w:rPr>
        <w:t>19</w:t>
      </w:r>
      <w:r w:rsidRPr="00407709">
        <w:rPr>
          <w:rFonts w:cs="Times New Roman"/>
        </w:rPr>
        <w:t xml:space="preserve"> translations. The</w:t>
      </w:r>
      <w:r w:rsidR="00D30762">
        <w:rPr>
          <w:rFonts w:cs="Times New Roman"/>
        </w:rPr>
        <w:t>y</w:t>
      </w:r>
      <w:r w:rsidRPr="00407709">
        <w:rPr>
          <w:rFonts w:cs="Times New Roman"/>
        </w:rPr>
        <w:t xml:space="preserve"> then examine the terms used for impairment in English translations of annual reports provided by firms. </w:t>
      </w:r>
      <w:r w:rsidR="00D30762">
        <w:rPr>
          <w:rFonts w:cs="Times New Roman"/>
        </w:rPr>
        <w:t xml:space="preserve">Consideration is given to </w:t>
      </w:r>
      <w:r w:rsidRPr="00407709">
        <w:rPr>
          <w:rFonts w:cs="Times New Roman"/>
        </w:rPr>
        <w:t xml:space="preserve">the best approach </w:t>
      </w:r>
      <w:r w:rsidR="00E56772">
        <w:rPr>
          <w:rFonts w:cs="Times New Roman"/>
        </w:rPr>
        <w:t>for</w:t>
      </w:r>
      <w:r w:rsidRPr="00407709">
        <w:rPr>
          <w:rFonts w:cs="Times New Roman"/>
        </w:rPr>
        <w:t xml:space="preserve"> translati</w:t>
      </w:r>
      <w:r w:rsidR="00E56772">
        <w:rPr>
          <w:rFonts w:cs="Times New Roman"/>
        </w:rPr>
        <w:t>ng</w:t>
      </w:r>
      <w:r w:rsidRPr="00407709">
        <w:rPr>
          <w:rFonts w:cs="Times New Roman"/>
        </w:rPr>
        <w:t xml:space="preserve"> regulations </w:t>
      </w:r>
      <w:r w:rsidR="001D05F6">
        <w:rPr>
          <w:rFonts w:cs="Times New Roman"/>
        </w:rPr>
        <w:t xml:space="preserve">and whether </w:t>
      </w:r>
      <w:r w:rsidR="00124683">
        <w:rPr>
          <w:rFonts w:cs="Times New Roman"/>
        </w:rPr>
        <w:t>that</w:t>
      </w:r>
      <w:r w:rsidR="00E56772">
        <w:rPr>
          <w:rFonts w:cs="Times New Roman"/>
        </w:rPr>
        <w:t xml:space="preserve"> is </w:t>
      </w:r>
      <w:r w:rsidRPr="00407709">
        <w:rPr>
          <w:rFonts w:cs="Times New Roman"/>
        </w:rPr>
        <w:t xml:space="preserve">also </w:t>
      </w:r>
      <w:r w:rsidR="00E56772">
        <w:rPr>
          <w:rFonts w:cs="Times New Roman"/>
        </w:rPr>
        <w:t>suitable for</w:t>
      </w:r>
      <w:r w:rsidRPr="00407709">
        <w:rPr>
          <w:rFonts w:cs="Times New Roman"/>
        </w:rPr>
        <w:t xml:space="preserve"> the translation of annual reports.</w:t>
      </w:r>
    </w:p>
    <w:p w14:paraId="62190CE0" w14:textId="3EED4978" w:rsidR="00F8370B" w:rsidRPr="00553251" w:rsidRDefault="00F8370B" w:rsidP="00F8370B">
      <w:pPr>
        <w:spacing w:line="276" w:lineRule="auto"/>
      </w:pPr>
      <w:r w:rsidRPr="00553251">
        <w:rPr>
          <w:b/>
        </w:rPr>
        <w:t>Design/methodology/approach</w:t>
      </w:r>
      <w:r w:rsidRPr="00553251">
        <w:t xml:space="preserve"> –</w:t>
      </w:r>
      <w:r w:rsidR="00407709">
        <w:t xml:space="preserve"> </w:t>
      </w:r>
      <w:r w:rsidRPr="00407709">
        <w:rPr>
          <w:rFonts w:cs="Times New Roman"/>
        </w:rPr>
        <w:t xml:space="preserve">The two empirical parts of the paper involve: (i) identifying the </w:t>
      </w:r>
      <w:r w:rsidR="00156B56">
        <w:rPr>
          <w:rFonts w:cs="Times New Roman"/>
        </w:rPr>
        <w:t>term</w:t>
      </w:r>
      <w:r w:rsidRPr="00407709">
        <w:rPr>
          <w:rFonts w:cs="Times New Roman"/>
        </w:rPr>
        <w:t xml:space="preserve">s for impairment used in </w:t>
      </w:r>
      <w:r w:rsidR="001E2E42">
        <w:rPr>
          <w:rFonts w:cs="Times New Roman"/>
        </w:rPr>
        <w:t>19</w:t>
      </w:r>
      <w:r w:rsidRPr="00407709">
        <w:rPr>
          <w:rFonts w:cs="Times New Roman"/>
        </w:rPr>
        <w:t xml:space="preserve"> official translations of IAS 36, and (ii) examining English-language translations of reports provided by </w:t>
      </w:r>
      <w:r w:rsidR="00A32CA4">
        <w:rPr>
          <w:rFonts w:cs="Times New Roman"/>
        </w:rPr>
        <w:t xml:space="preserve">393 </w:t>
      </w:r>
      <w:r w:rsidRPr="00407709">
        <w:rPr>
          <w:rFonts w:cs="Times New Roman"/>
        </w:rPr>
        <w:t>listed firms from 11 major countries.</w:t>
      </w:r>
    </w:p>
    <w:p w14:paraId="760FD479" w14:textId="3A670FA1" w:rsidR="00F8370B" w:rsidRDefault="00F8370B" w:rsidP="00F8370B">
      <w:pPr>
        <w:spacing w:line="276" w:lineRule="auto"/>
        <w:rPr>
          <w:rFonts w:cs="Times New Roman"/>
        </w:rPr>
      </w:pPr>
      <w:r w:rsidRPr="00553251">
        <w:rPr>
          <w:b/>
        </w:rPr>
        <w:t>Findings</w:t>
      </w:r>
      <w:r w:rsidRPr="00553251">
        <w:t xml:space="preserve"> – </w:t>
      </w:r>
      <w:r w:rsidRPr="00407709">
        <w:rPr>
          <w:rFonts w:cs="Times New Roman"/>
        </w:rPr>
        <w:t>Nearly all the term</w:t>
      </w:r>
      <w:r w:rsidR="00E56772">
        <w:rPr>
          <w:rFonts w:cs="Times New Roman"/>
        </w:rPr>
        <w:t>s used for</w:t>
      </w:r>
      <w:r w:rsidR="00D71041">
        <w:rPr>
          <w:rFonts w:cs="Times New Roman"/>
        </w:rPr>
        <w:t xml:space="preserve"> ‘impairment’</w:t>
      </w:r>
      <w:r w:rsidRPr="00407709">
        <w:rPr>
          <w:rFonts w:cs="Times New Roman"/>
        </w:rPr>
        <w:t xml:space="preserve"> in </w:t>
      </w:r>
      <w:r w:rsidR="00E56772">
        <w:rPr>
          <w:rFonts w:cs="Times New Roman"/>
        </w:rPr>
        <w:t xml:space="preserve">translations of </w:t>
      </w:r>
      <w:r w:rsidRPr="00407709">
        <w:rPr>
          <w:rFonts w:cs="Times New Roman"/>
        </w:rPr>
        <w:t xml:space="preserve">IAS 36 </w:t>
      </w:r>
      <w:r w:rsidR="00D71041">
        <w:rPr>
          <w:rFonts w:cs="Times New Roman"/>
        </w:rPr>
        <w:t>do not convey the message of damage to assets</w:t>
      </w:r>
      <w:r w:rsidRPr="00407709">
        <w:rPr>
          <w:rFonts w:cs="Times New Roman"/>
        </w:rPr>
        <w:t>. In annual reports</w:t>
      </w:r>
      <w:r w:rsidR="005E15D5">
        <w:rPr>
          <w:rFonts w:cs="Times New Roman"/>
        </w:rPr>
        <w:t xml:space="preserve"> translated into English</w:t>
      </w:r>
      <w:r w:rsidRPr="00407709">
        <w:rPr>
          <w:rFonts w:cs="Times New Roman"/>
        </w:rPr>
        <w:t xml:space="preserve">, many </w:t>
      </w:r>
      <w:r w:rsidR="00156B56">
        <w:rPr>
          <w:rFonts w:cs="Times New Roman"/>
        </w:rPr>
        <w:t>term</w:t>
      </w:r>
      <w:r w:rsidRPr="00407709">
        <w:rPr>
          <w:rFonts w:cs="Times New Roman"/>
        </w:rPr>
        <w:t xml:space="preserve">s are </w:t>
      </w:r>
      <w:r w:rsidR="00F9525F">
        <w:rPr>
          <w:rFonts w:cs="Times New Roman"/>
        </w:rPr>
        <w:t>misleading</w:t>
      </w:r>
      <w:r w:rsidR="00D71041">
        <w:rPr>
          <w:rFonts w:cs="Times New Roman"/>
        </w:rPr>
        <w:t xml:space="preserve"> in that they do not mention impairment</w:t>
      </w:r>
      <w:r w:rsidRPr="00407709">
        <w:rPr>
          <w:rFonts w:cs="Times New Roman"/>
        </w:rPr>
        <w:t>, peaking at 39% in German and Italian reports in one year.</w:t>
      </w:r>
    </w:p>
    <w:p w14:paraId="3160FEBD" w14:textId="2A4C016D" w:rsidR="009A0851" w:rsidRPr="009A0851" w:rsidRDefault="009A0851" w:rsidP="009A0851">
      <w:pPr>
        <w:spacing w:line="276" w:lineRule="auto"/>
        <w:rPr>
          <w:sz w:val="24"/>
          <w:szCs w:val="24"/>
        </w:rPr>
      </w:pPr>
      <w:r w:rsidRPr="009A0851">
        <w:rPr>
          <w:rFonts w:cs="Times New Roman"/>
          <w:b/>
        </w:rPr>
        <w:t>Research implications</w:t>
      </w:r>
      <w:r>
        <w:rPr>
          <w:rFonts w:cs="Times New Roman"/>
        </w:rPr>
        <w:t xml:space="preserve"> </w:t>
      </w:r>
      <w:r w:rsidRPr="00553251">
        <w:t>–</w:t>
      </w:r>
      <w:r>
        <w:t xml:space="preserve"> Researchers should note that the information related to impairment in international databases is likely to contain errors, and we recommend that data should be hand-collected and then carefully checked by experts. We make suggestions for further research.</w:t>
      </w:r>
    </w:p>
    <w:p w14:paraId="585723C3" w14:textId="2B395F73" w:rsidR="00F8370B" w:rsidRPr="00827F61" w:rsidRDefault="00F8370B" w:rsidP="00F8370B">
      <w:pPr>
        <w:spacing w:after="0" w:line="276" w:lineRule="auto"/>
        <w:rPr>
          <w:rFonts w:cs="Times New Roman"/>
        </w:rPr>
      </w:pPr>
      <w:r w:rsidRPr="00553251">
        <w:rPr>
          <w:b/>
        </w:rPr>
        <w:t>Practical implications</w:t>
      </w:r>
      <w:r w:rsidRPr="00553251">
        <w:t xml:space="preserve"> – </w:t>
      </w:r>
      <w:r w:rsidR="004C40A6">
        <w:t>T</w:t>
      </w:r>
      <w:r w:rsidRPr="00407709">
        <w:rPr>
          <w:rFonts w:cs="Times New Roman"/>
        </w:rPr>
        <w:t xml:space="preserve">ranslators of regulations should aim </w:t>
      </w:r>
      <w:r w:rsidR="00D71041">
        <w:rPr>
          <w:rFonts w:cs="Times New Roman"/>
        </w:rPr>
        <w:t>to convey the messages of the source documents</w:t>
      </w:r>
      <w:r w:rsidRPr="00407709">
        <w:rPr>
          <w:rFonts w:cs="Times New Roman"/>
        </w:rPr>
        <w:t xml:space="preserve">, </w:t>
      </w:r>
      <w:r w:rsidR="004C40A6">
        <w:rPr>
          <w:rFonts w:cs="Times New Roman"/>
        </w:rPr>
        <w:t xml:space="preserve">but </w:t>
      </w:r>
      <w:r w:rsidRPr="00407709">
        <w:rPr>
          <w:rFonts w:cs="Times New Roman"/>
        </w:rPr>
        <w:t xml:space="preserve">translators of annual reports should </w:t>
      </w:r>
      <w:r w:rsidR="00D71041">
        <w:rPr>
          <w:rFonts w:cs="Times New Roman"/>
        </w:rPr>
        <w:t xml:space="preserve">not look only at the reports but also </w:t>
      </w:r>
      <w:r w:rsidRPr="00407709">
        <w:rPr>
          <w:rFonts w:cs="Times New Roman"/>
        </w:rPr>
        <w:t>consult the terminology in the original regulations. The authors also sugg</w:t>
      </w:r>
      <w:r w:rsidR="009A0851">
        <w:rPr>
          <w:rFonts w:cs="Times New Roman"/>
        </w:rPr>
        <w:t>est implications for regulators and analysts</w:t>
      </w:r>
      <w:r w:rsidRPr="00827F61">
        <w:rPr>
          <w:rFonts w:cs="Times New Roman"/>
        </w:rPr>
        <w:t>.</w:t>
      </w:r>
    </w:p>
    <w:p w14:paraId="2203C8C8" w14:textId="77777777" w:rsidR="00F8370B" w:rsidRPr="00407709" w:rsidRDefault="00F8370B" w:rsidP="00F8370B">
      <w:pPr>
        <w:spacing w:after="0" w:line="276" w:lineRule="auto"/>
        <w:rPr>
          <w:rFonts w:cs="Times New Roman"/>
        </w:rPr>
      </w:pPr>
    </w:p>
    <w:p w14:paraId="063A6B70" w14:textId="594E1699" w:rsidR="00F8370B" w:rsidRPr="00553251" w:rsidRDefault="00F8370B" w:rsidP="00F8370B">
      <w:pPr>
        <w:spacing w:line="276" w:lineRule="auto"/>
      </w:pPr>
      <w:r w:rsidRPr="00553251">
        <w:rPr>
          <w:b/>
        </w:rPr>
        <w:t>Originality/value</w:t>
      </w:r>
      <w:r w:rsidRPr="00553251">
        <w:t xml:space="preserve"> – The </w:t>
      </w:r>
      <w:r w:rsidR="001D05F6">
        <w:t>paper innovates by</w:t>
      </w:r>
      <w:r w:rsidRPr="00553251">
        <w:t xml:space="preserve"> separately consider</w:t>
      </w:r>
      <w:r w:rsidR="001D05F6">
        <w:t>ing</w:t>
      </w:r>
      <w:r w:rsidRPr="00553251">
        <w:t xml:space="preserve"> regulations and annual reports. The authors examine a key accounting term systematically into a wide range of official translations. </w:t>
      </w:r>
      <w:r w:rsidRPr="00407709">
        <w:rPr>
          <w:rFonts w:cs="Times New Roman"/>
        </w:rPr>
        <w:t>The core section of the paper is a new field of research: an empirical study of the translations of firms’ financial statements.</w:t>
      </w:r>
    </w:p>
    <w:p w14:paraId="0A3865CF" w14:textId="77777777" w:rsidR="00F8370B" w:rsidRPr="00553251" w:rsidRDefault="00F8370B" w:rsidP="00F8370B">
      <w:pPr>
        <w:spacing w:line="276" w:lineRule="auto"/>
        <w:rPr>
          <w:b/>
        </w:rPr>
      </w:pPr>
      <w:r w:rsidRPr="00553251">
        <w:rPr>
          <w:b/>
        </w:rPr>
        <w:t xml:space="preserve">Keywords  </w:t>
      </w:r>
      <w:r w:rsidRPr="00407709">
        <w:rPr>
          <w:rFonts w:cs="Times New Roman"/>
        </w:rPr>
        <w:t>Translation, IFRS, Impairment, International differences</w:t>
      </w:r>
    </w:p>
    <w:p w14:paraId="30A65991" w14:textId="77777777" w:rsidR="00F8370B" w:rsidRPr="00553251" w:rsidRDefault="00F8370B" w:rsidP="00F8370B">
      <w:pPr>
        <w:spacing w:line="276" w:lineRule="auto"/>
      </w:pPr>
      <w:r w:rsidRPr="00553251">
        <w:rPr>
          <w:b/>
        </w:rPr>
        <w:t xml:space="preserve">Paper type </w:t>
      </w:r>
      <w:r w:rsidRPr="00553251">
        <w:t xml:space="preserve"> Research paper</w:t>
      </w:r>
    </w:p>
    <w:p w14:paraId="2FB78E94" w14:textId="08AD9CCE" w:rsidR="009773E1" w:rsidRPr="00BC4AC6" w:rsidRDefault="00B7675E" w:rsidP="00F00A25">
      <w:pPr>
        <w:pStyle w:val="Heading1"/>
        <w:pageBreakBefore/>
        <w:rPr>
          <w:rFonts w:cs="Times New Roman"/>
          <w:szCs w:val="22"/>
        </w:rPr>
      </w:pPr>
      <w:r>
        <w:rPr>
          <w:rFonts w:cs="Times New Roman"/>
          <w:szCs w:val="22"/>
        </w:rPr>
        <w:lastRenderedPageBreak/>
        <w:t xml:space="preserve">1. </w:t>
      </w:r>
      <w:r w:rsidR="00F8370B">
        <w:rPr>
          <w:rFonts w:cs="Times New Roman"/>
          <w:szCs w:val="22"/>
        </w:rPr>
        <w:t>Introdu</w:t>
      </w:r>
      <w:r w:rsidR="009773E1" w:rsidRPr="00BC4AC6">
        <w:rPr>
          <w:rFonts w:cs="Times New Roman"/>
          <w:szCs w:val="22"/>
        </w:rPr>
        <w:t>ction</w:t>
      </w:r>
    </w:p>
    <w:p w14:paraId="2FE59D4E" w14:textId="1ED8F2BE" w:rsidR="001D6623" w:rsidRPr="00BC4AC6" w:rsidRDefault="00F545C7" w:rsidP="001D6623">
      <w:pPr>
        <w:ind w:firstLine="567"/>
        <w:rPr>
          <w:rFonts w:cs="Times New Roman"/>
        </w:rPr>
      </w:pPr>
      <w:r w:rsidRPr="00BC4AC6">
        <w:rPr>
          <w:rFonts w:cs="Times New Roman"/>
        </w:rPr>
        <w:t>The difficulties of transl</w:t>
      </w:r>
      <w:r w:rsidR="00C56A75" w:rsidRPr="00BC4AC6">
        <w:rPr>
          <w:rFonts w:cs="Times New Roman"/>
        </w:rPr>
        <w:t>ating accounting terms</w:t>
      </w:r>
      <w:r w:rsidR="00B61CFA" w:rsidRPr="00BC4AC6">
        <w:rPr>
          <w:rFonts w:cs="Times New Roman"/>
        </w:rPr>
        <w:t xml:space="preserve"> have</w:t>
      </w:r>
      <w:r w:rsidR="00C56A75" w:rsidRPr="00BC4AC6">
        <w:rPr>
          <w:rFonts w:cs="Times New Roman"/>
        </w:rPr>
        <w:t xml:space="preserve"> been examined by researchers</w:t>
      </w:r>
      <w:r w:rsidRPr="00BC4AC6">
        <w:rPr>
          <w:rFonts w:cs="Times New Roman"/>
        </w:rPr>
        <w:t xml:space="preserve"> </w:t>
      </w:r>
      <w:r w:rsidR="00C56A75" w:rsidRPr="00BC4AC6">
        <w:rPr>
          <w:rFonts w:cs="Times New Roman"/>
        </w:rPr>
        <w:t xml:space="preserve">over many decades </w:t>
      </w:r>
      <w:r w:rsidRPr="00BC4AC6">
        <w:rPr>
          <w:rFonts w:cs="Times New Roman"/>
        </w:rPr>
        <w:t>(e.g., Rutherford</w:t>
      </w:r>
      <w:r w:rsidR="00CA1420">
        <w:rPr>
          <w:rFonts w:cs="Times New Roman"/>
        </w:rPr>
        <w:t>,</w:t>
      </w:r>
      <w:r w:rsidRPr="00BC4AC6">
        <w:rPr>
          <w:rFonts w:cs="Times New Roman"/>
        </w:rPr>
        <w:t xml:space="preserve"> 1983; Walton</w:t>
      </w:r>
      <w:r w:rsidR="00CA1420">
        <w:rPr>
          <w:rFonts w:cs="Times New Roman"/>
        </w:rPr>
        <w:t>,</w:t>
      </w:r>
      <w:r w:rsidRPr="00BC4AC6">
        <w:rPr>
          <w:rFonts w:cs="Times New Roman"/>
        </w:rPr>
        <w:t xml:space="preserve"> 1991; </w:t>
      </w:r>
      <w:r w:rsidR="00C86ABD">
        <w:rPr>
          <w:rFonts w:cs="Times New Roman"/>
        </w:rPr>
        <w:t xml:space="preserve">Parker, 1994; </w:t>
      </w:r>
      <w:r w:rsidRPr="00BC4AC6">
        <w:rPr>
          <w:rFonts w:cs="Times New Roman"/>
        </w:rPr>
        <w:t>Evans</w:t>
      </w:r>
      <w:r w:rsidR="00CA1420">
        <w:rPr>
          <w:rFonts w:cs="Times New Roman"/>
        </w:rPr>
        <w:t>,</w:t>
      </w:r>
      <w:r w:rsidRPr="00BC4AC6">
        <w:rPr>
          <w:rFonts w:cs="Times New Roman"/>
        </w:rPr>
        <w:t xml:space="preserve"> 2004; Dahlgren and Nilsson</w:t>
      </w:r>
      <w:r w:rsidR="00CA1420">
        <w:rPr>
          <w:rFonts w:cs="Times New Roman"/>
        </w:rPr>
        <w:t>,</w:t>
      </w:r>
      <w:r w:rsidRPr="00BC4AC6">
        <w:rPr>
          <w:rFonts w:cs="Times New Roman"/>
        </w:rPr>
        <w:t xml:space="preserve"> 2012; Evans </w:t>
      </w:r>
      <w:r w:rsidRPr="00CA1420">
        <w:rPr>
          <w:rFonts w:cs="Times New Roman"/>
          <w:i/>
        </w:rPr>
        <w:t>et al.</w:t>
      </w:r>
      <w:r w:rsidR="00CA1420">
        <w:rPr>
          <w:rFonts w:cs="Times New Roman"/>
          <w:i/>
        </w:rPr>
        <w:t>,</w:t>
      </w:r>
      <w:r w:rsidRPr="00BC4AC6">
        <w:rPr>
          <w:rFonts w:cs="Times New Roman"/>
        </w:rPr>
        <w:t xml:space="preserve"> 2015</w:t>
      </w:r>
      <w:r w:rsidR="005D70F0">
        <w:rPr>
          <w:rFonts w:cs="Times New Roman"/>
        </w:rPr>
        <w:t>; Kettunen, 2017</w:t>
      </w:r>
      <w:r w:rsidRPr="00BC4AC6">
        <w:rPr>
          <w:rFonts w:cs="Times New Roman"/>
        </w:rPr>
        <w:t xml:space="preserve">). </w:t>
      </w:r>
      <w:r w:rsidR="001D6623" w:rsidRPr="00BC4AC6">
        <w:rPr>
          <w:rFonts w:cs="Times New Roman"/>
        </w:rPr>
        <w:t xml:space="preserve">Nobes (2006) includes translation problems as one of the eight causes of international differences in practice under </w:t>
      </w:r>
      <w:r w:rsidR="003B6EE6">
        <w:rPr>
          <w:rFonts w:cs="Times New Roman"/>
        </w:rPr>
        <w:t>International Financial Reporting Standards</w:t>
      </w:r>
      <w:r w:rsidR="003B6EE6" w:rsidRPr="00BC4AC6">
        <w:rPr>
          <w:rFonts w:cs="Times New Roman"/>
        </w:rPr>
        <w:t xml:space="preserve"> </w:t>
      </w:r>
      <w:r w:rsidR="003B6EE6">
        <w:rPr>
          <w:rFonts w:cs="Times New Roman"/>
        </w:rPr>
        <w:t>(</w:t>
      </w:r>
      <w:r w:rsidR="001D6623" w:rsidRPr="00BC4AC6">
        <w:rPr>
          <w:rFonts w:cs="Times New Roman"/>
        </w:rPr>
        <w:t>IFRS</w:t>
      </w:r>
      <w:r w:rsidR="003B6EE6">
        <w:rPr>
          <w:rFonts w:cs="Times New Roman"/>
        </w:rPr>
        <w:t>)</w:t>
      </w:r>
      <w:r w:rsidR="001D6623" w:rsidRPr="00BC4AC6">
        <w:rPr>
          <w:rFonts w:cs="Times New Roman"/>
        </w:rPr>
        <w:t>. Z</w:t>
      </w:r>
      <w:r w:rsidR="00E779FB">
        <w:rPr>
          <w:rFonts w:cs="Times New Roman"/>
        </w:rPr>
        <w:t xml:space="preserve">eff (2007) includes </w:t>
      </w:r>
      <w:r w:rsidR="001D6623" w:rsidRPr="00BC4AC6">
        <w:rPr>
          <w:rFonts w:cs="Times New Roman"/>
        </w:rPr>
        <w:t xml:space="preserve">translation and terminology in his survey of obstacles to global comparability of financial reporting. </w:t>
      </w:r>
      <w:r w:rsidR="002B6718">
        <w:rPr>
          <w:rFonts w:cs="Times New Roman"/>
        </w:rPr>
        <w:t>The IFRS Foundation (2016) acknowledges the importance of good translations in enhancing international comparability.</w:t>
      </w:r>
      <w:r w:rsidR="002C678B">
        <w:rPr>
          <w:rFonts w:cs="Times New Roman"/>
        </w:rPr>
        <w:t xml:space="preserve"> </w:t>
      </w:r>
      <w:r w:rsidR="005D70F0">
        <w:rPr>
          <w:rFonts w:cs="Times New Roman"/>
        </w:rPr>
        <w:t>Cooper and Robson (2006, p. 436) call for more research on the dispersed sites of accounting regulation, and translation is one of these.</w:t>
      </w:r>
    </w:p>
    <w:p w14:paraId="5B041302" w14:textId="302863CD" w:rsidR="00B61CFA" w:rsidRDefault="00A4172D" w:rsidP="005371AE">
      <w:pPr>
        <w:spacing w:after="120"/>
        <w:ind w:firstLine="567"/>
        <w:rPr>
          <w:rFonts w:cs="Times New Roman"/>
        </w:rPr>
      </w:pPr>
      <w:r>
        <w:rPr>
          <w:rFonts w:cs="Times New Roman"/>
        </w:rPr>
        <w:t xml:space="preserve">Most research </w:t>
      </w:r>
      <w:r w:rsidR="00234957">
        <w:rPr>
          <w:rFonts w:cs="Times New Roman"/>
        </w:rPr>
        <w:t>on translation</w:t>
      </w:r>
      <w:r w:rsidR="003E5A4B">
        <w:rPr>
          <w:rFonts w:cs="Times New Roman"/>
        </w:rPr>
        <w:t xml:space="preserve"> </w:t>
      </w:r>
      <w:r w:rsidR="00EA0BDD">
        <w:rPr>
          <w:rFonts w:cs="Times New Roman"/>
        </w:rPr>
        <w:t xml:space="preserve">in the context of accounting </w:t>
      </w:r>
      <w:r>
        <w:rPr>
          <w:rFonts w:cs="Times New Roman"/>
        </w:rPr>
        <w:t xml:space="preserve">has two factors in common: </w:t>
      </w:r>
      <w:r w:rsidR="00B149A9">
        <w:rPr>
          <w:rFonts w:cs="Times New Roman"/>
        </w:rPr>
        <w:t xml:space="preserve">it deals with translation </w:t>
      </w:r>
      <w:r w:rsidR="00B149A9" w:rsidRPr="00CA1420">
        <w:rPr>
          <w:rFonts w:cs="Times New Roman"/>
          <w:i/>
        </w:rPr>
        <w:t>from</w:t>
      </w:r>
      <w:r w:rsidR="00B149A9">
        <w:rPr>
          <w:rFonts w:cs="Times New Roman"/>
        </w:rPr>
        <w:t xml:space="preserve"> English to other European languages</w:t>
      </w:r>
      <w:r w:rsidR="00B149A9" w:rsidRPr="00910B26">
        <w:rPr>
          <w:rFonts w:cs="Times New Roman"/>
        </w:rPr>
        <w:t xml:space="preserve"> </w:t>
      </w:r>
      <w:r w:rsidR="00B149A9">
        <w:rPr>
          <w:rFonts w:cs="Times New Roman"/>
        </w:rPr>
        <w:t>and it concerns official documents, mostly relating to either “a true and fair view” (TFV) or, in more recent research, IFRS</w:t>
      </w:r>
      <w:r w:rsidR="00CA1420">
        <w:rPr>
          <w:rFonts w:cs="Times New Roman"/>
        </w:rPr>
        <w:t xml:space="preserve">. </w:t>
      </w:r>
      <w:r>
        <w:rPr>
          <w:rFonts w:cs="Times New Roman"/>
        </w:rPr>
        <w:t xml:space="preserve">Our </w:t>
      </w:r>
      <w:r w:rsidR="00AB14DF">
        <w:rPr>
          <w:rFonts w:cs="Times New Roman"/>
        </w:rPr>
        <w:t xml:space="preserve">first </w:t>
      </w:r>
      <w:r>
        <w:rPr>
          <w:rFonts w:cs="Times New Roman"/>
        </w:rPr>
        <w:t>contribution</w:t>
      </w:r>
      <w:r w:rsidR="005371AE">
        <w:rPr>
          <w:rFonts w:cs="Times New Roman"/>
        </w:rPr>
        <w:t xml:space="preserve"> </w:t>
      </w:r>
      <w:r w:rsidR="00F742C0">
        <w:rPr>
          <w:rFonts w:cs="Times New Roman"/>
        </w:rPr>
        <w:t xml:space="preserve">is to </w:t>
      </w:r>
      <w:r>
        <w:rPr>
          <w:rFonts w:cs="Times New Roman"/>
        </w:rPr>
        <w:t>add to th</w:t>
      </w:r>
      <w:r w:rsidR="0049737E">
        <w:rPr>
          <w:rFonts w:cs="Times New Roman"/>
        </w:rPr>
        <w:t>e</w:t>
      </w:r>
      <w:r>
        <w:rPr>
          <w:rFonts w:cs="Times New Roman"/>
        </w:rPr>
        <w:t xml:space="preserve"> literature </w:t>
      </w:r>
      <w:r w:rsidR="0049737E">
        <w:rPr>
          <w:rFonts w:cs="Times New Roman"/>
        </w:rPr>
        <w:t xml:space="preserve">on the translation of IFRS </w:t>
      </w:r>
      <w:r>
        <w:rPr>
          <w:rFonts w:cs="Times New Roman"/>
        </w:rPr>
        <w:t xml:space="preserve">by revealing particular problems associated with a </w:t>
      </w:r>
      <w:r w:rsidR="003B6EE6">
        <w:rPr>
          <w:rFonts w:cs="Times New Roman"/>
        </w:rPr>
        <w:t>topic</w:t>
      </w:r>
      <w:r>
        <w:rPr>
          <w:rFonts w:cs="Times New Roman"/>
        </w:rPr>
        <w:t xml:space="preserve"> which has received little attention: </w:t>
      </w:r>
      <w:r w:rsidR="00335B93">
        <w:rPr>
          <w:rFonts w:cs="Times New Roman"/>
        </w:rPr>
        <w:t>“</w:t>
      </w:r>
      <w:r>
        <w:rPr>
          <w:rFonts w:cs="Times New Roman"/>
        </w:rPr>
        <w:t>impairment</w:t>
      </w:r>
      <w:r w:rsidR="00335B93">
        <w:rPr>
          <w:rFonts w:cs="Times New Roman"/>
        </w:rPr>
        <w:t>”</w:t>
      </w:r>
      <w:r>
        <w:rPr>
          <w:rFonts w:cs="Times New Roman"/>
        </w:rPr>
        <w:t>, in the context of IAS 36 (</w:t>
      </w:r>
      <w:r>
        <w:rPr>
          <w:rFonts w:cs="Times New Roman"/>
          <w:i/>
        </w:rPr>
        <w:t>Impairment of Assets</w:t>
      </w:r>
      <w:r w:rsidR="00CA1420">
        <w:rPr>
          <w:rFonts w:cs="Times New Roman"/>
        </w:rPr>
        <w:t xml:space="preserve">). </w:t>
      </w:r>
      <w:r w:rsidR="00760C86">
        <w:rPr>
          <w:rFonts w:cs="Times New Roman"/>
        </w:rPr>
        <w:t xml:space="preserve">We </w:t>
      </w:r>
      <w:r w:rsidR="00572E5E">
        <w:rPr>
          <w:rFonts w:cs="Times New Roman"/>
        </w:rPr>
        <w:t xml:space="preserve">first </w:t>
      </w:r>
      <w:r w:rsidR="003D12C6">
        <w:rPr>
          <w:rFonts w:cs="Times New Roman"/>
        </w:rPr>
        <w:t xml:space="preserve">examine </w:t>
      </w:r>
      <w:r w:rsidR="00A7071A">
        <w:rPr>
          <w:rFonts w:cs="Times New Roman"/>
        </w:rPr>
        <w:t>19</w:t>
      </w:r>
      <w:r w:rsidR="00D61538">
        <w:rPr>
          <w:rFonts w:cs="Times New Roman"/>
        </w:rPr>
        <w:t xml:space="preserve"> </w:t>
      </w:r>
      <w:r>
        <w:rPr>
          <w:rFonts w:cs="Times New Roman"/>
        </w:rPr>
        <w:t xml:space="preserve">translations of </w:t>
      </w:r>
      <w:r w:rsidR="00335B93">
        <w:rPr>
          <w:rFonts w:cs="Times New Roman"/>
        </w:rPr>
        <w:t>“</w:t>
      </w:r>
      <w:r>
        <w:rPr>
          <w:rFonts w:cs="Times New Roman"/>
        </w:rPr>
        <w:t>impairment</w:t>
      </w:r>
      <w:r w:rsidR="00335B93">
        <w:rPr>
          <w:rFonts w:cs="Times New Roman"/>
        </w:rPr>
        <w:t>”</w:t>
      </w:r>
      <w:r>
        <w:rPr>
          <w:rFonts w:cs="Times New Roman"/>
        </w:rPr>
        <w:t xml:space="preserve"> </w:t>
      </w:r>
      <w:r w:rsidR="003B6EE6">
        <w:rPr>
          <w:rFonts w:cs="Times New Roman"/>
        </w:rPr>
        <w:t>in official documents</w:t>
      </w:r>
      <w:r w:rsidR="00D61538">
        <w:rPr>
          <w:rFonts w:cs="Times New Roman"/>
        </w:rPr>
        <w:t xml:space="preserve">, concluding that </w:t>
      </w:r>
      <w:r w:rsidR="00845297">
        <w:rPr>
          <w:rFonts w:cs="Times New Roman"/>
        </w:rPr>
        <w:t>few</w:t>
      </w:r>
      <w:r w:rsidR="00D61538">
        <w:rPr>
          <w:rFonts w:cs="Times New Roman"/>
        </w:rPr>
        <w:t xml:space="preserve"> </w:t>
      </w:r>
      <w:r w:rsidR="0026093C">
        <w:rPr>
          <w:rFonts w:cs="Times New Roman"/>
        </w:rPr>
        <w:t xml:space="preserve">of </w:t>
      </w:r>
      <w:r w:rsidR="00D61538">
        <w:rPr>
          <w:rFonts w:cs="Times New Roman"/>
        </w:rPr>
        <w:t xml:space="preserve">them </w:t>
      </w:r>
      <w:r w:rsidR="001D05F6">
        <w:rPr>
          <w:rFonts w:cs="Times New Roman"/>
        </w:rPr>
        <w:t>preserve the message in the original</w:t>
      </w:r>
      <w:r>
        <w:rPr>
          <w:rFonts w:cs="Times New Roman"/>
        </w:rPr>
        <w:t>.</w:t>
      </w:r>
      <w:r w:rsidR="00B149A9" w:rsidRPr="00B149A9">
        <w:rPr>
          <w:rFonts w:cs="Times New Roman"/>
        </w:rPr>
        <w:t xml:space="preserve"> </w:t>
      </w:r>
      <w:r w:rsidR="00B149A9">
        <w:rPr>
          <w:rFonts w:cs="Times New Roman"/>
        </w:rPr>
        <w:t xml:space="preserve">We draw policy implications for the International Accounting Standards Board (IASB) as it writes standards and for </w:t>
      </w:r>
      <w:r w:rsidR="00216C06">
        <w:rPr>
          <w:rFonts w:cs="Times New Roman"/>
        </w:rPr>
        <w:t xml:space="preserve">the </w:t>
      </w:r>
      <w:r w:rsidR="00B149A9">
        <w:rPr>
          <w:rFonts w:cs="Times New Roman"/>
        </w:rPr>
        <w:t xml:space="preserve">translators of </w:t>
      </w:r>
      <w:r w:rsidR="006B6B38">
        <w:rPr>
          <w:rFonts w:cs="Times New Roman"/>
        </w:rPr>
        <w:t>those standards</w:t>
      </w:r>
      <w:r w:rsidR="00B149A9">
        <w:rPr>
          <w:rFonts w:cs="Times New Roman"/>
        </w:rPr>
        <w:t>.</w:t>
      </w:r>
    </w:p>
    <w:p w14:paraId="465A26D1" w14:textId="6C7A355B" w:rsidR="00B61CFA" w:rsidRPr="00BC4AC6" w:rsidRDefault="004C40A6" w:rsidP="003E5A4B">
      <w:pPr>
        <w:spacing w:after="120"/>
        <w:ind w:firstLine="567"/>
        <w:rPr>
          <w:rFonts w:cs="Times New Roman"/>
        </w:rPr>
      </w:pPr>
      <w:r>
        <w:rPr>
          <w:rFonts w:cs="Times New Roman"/>
        </w:rPr>
        <w:lastRenderedPageBreak/>
        <w:t>After that, o</w:t>
      </w:r>
      <w:r w:rsidR="00A4172D">
        <w:rPr>
          <w:rFonts w:cs="Times New Roman"/>
        </w:rPr>
        <w:t xml:space="preserve">ur </w:t>
      </w:r>
      <w:r w:rsidR="003016E1">
        <w:rPr>
          <w:rFonts w:cs="Times New Roman"/>
        </w:rPr>
        <w:t>main</w:t>
      </w:r>
      <w:r w:rsidR="00F742C0">
        <w:rPr>
          <w:rFonts w:cs="Times New Roman"/>
        </w:rPr>
        <w:t xml:space="preserve"> contribution</w:t>
      </w:r>
      <w:r w:rsidR="00A4172D">
        <w:rPr>
          <w:rFonts w:cs="Times New Roman"/>
        </w:rPr>
        <w:t xml:space="preserve"> is to open up a new aspect of </w:t>
      </w:r>
      <w:r w:rsidR="00EA0BDD">
        <w:rPr>
          <w:rFonts w:cs="Times New Roman"/>
        </w:rPr>
        <w:t xml:space="preserve">accounting </w:t>
      </w:r>
      <w:r w:rsidR="00A4172D">
        <w:rPr>
          <w:rFonts w:cs="Times New Roman"/>
        </w:rPr>
        <w:t xml:space="preserve">research: </w:t>
      </w:r>
      <w:r w:rsidR="00F742C0">
        <w:rPr>
          <w:rFonts w:cs="Times New Roman"/>
        </w:rPr>
        <w:t xml:space="preserve">empirical investigation of </w:t>
      </w:r>
      <w:r w:rsidR="00352DE3">
        <w:rPr>
          <w:rFonts w:cs="Times New Roman"/>
        </w:rPr>
        <w:t xml:space="preserve">a </w:t>
      </w:r>
      <w:r w:rsidR="009E4D89">
        <w:rPr>
          <w:rFonts w:cs="Times New Roman"/>
        </w:rPr>
        <w:t xml:space="preserve">large sample of </w:t>
      </w:r>
      <w:r w:rsidR="00A4172D">
        <w:rPr>
          <w:rFonts w:cs="Times New Roman"/>
        </w:rPr>
        <w:t>translation</w:t>
      </w:r>
      <w:r w:rsidR="00F742C0">
        <w:rPr>
          <w:rFonts w:cs="Times New Roman"/>
        </w:rPr>
        <w:t>s</w:t>
      </w:r>
      <w:r w:rsidR="00A4172D">
        <w:rPr>
          <w:rFonts w:cs="Times New Roman"/>
        </w:rPr>
        <w:t xml:space="preserve"> of annual reports</w:t>
      </w:r>
      <w:r w:rsidR="00CA1420">
        <w:rPr>
          <w:rFonts w:cs="Times New Roman"/>
        </w:rPr>
        <w:t xml:space="preserve">. </w:t>
      </w:r>
      <w:r w:rsidR="005D70F0">
        <w:rPr>
          <w:rFonts w:cs="Times New Roman"/>
        </w:rPr>
        <w:t xml:space="preserve">By doing so, we respond to a specific call by Kettunen (2017, p. </w:t>
      </w:r>
      <w:r w:rsidR="00231D68">
        <w:rPr>
          <w:rFonts w:cs="Times New Roman"/>
        </w:rPr>
        <w:t>53</w:t>
      </w:r>
      <w:r w:rsidR="005D70F0">
        <w:rPr>
          <w:rFonts w:cs="Times New Roman"/>
        </w:rPr>
        <w:t xml:space="preserve">) for research into the preparation of translated annual reports. </w:t>
      </w:r>
      <w:r w:rsidR="00A4172D">
        <w:rPr>
          <w:rFonts w:cs="Times New Roman"/>
        </w:rPr>
        <w:t>We continue to focus on impairment</w:t>
      </w:r>
      <w:r w:rsidR="00F742C0">
        <w:rPr>
          <w:rFonts w:cs="Times New Roman"/>
        </w:rPr>
        <w:t xml:space="preserve">, </w:t>
      </w:r>
      <w:r w:rsidR="00845297">
        <w:rPr>
          <w:rFonts w:cs="Times New Roman"/>
        </w:rPr>
        <w:t>in a way</w:t>
      </w:r>
      <w:r w:rsidR="00A4172D">
        <w:rPr>
          <w:rFonts w:cs="Times New Roman"/>
        </w:rPr>
        <w:t xml:space="preserve"> </w:t>
      </w:r>
      <w:r w:rsidR="00A731AD">
        <w:rPr>
          <w:rFonts w:cs="Times New Roman"/>
        </w:rPr>
        <w:t xml:space="preserve">which </w:t>
      </w:r>
      <w:r w:rsidR="00A4172D">
        <w:rPr>
          <w:rFonts w:cs="Times New Roman"/>
        </w:rPr>
        <w:t>enables a holistic view of the terms used for th</w:t>
      </w:r>
      <w:r w:rsidR="00A731AD">
        <w:rPr>
          <w:rFonts w:cs="Times New Roman"/>
        </w:rPr>
        <w:t>is</w:t>
      </w:r>
      <w:r w:rsidR="00A4172D">
        <w:rPr>
          <w:rFonts w:cs="Times New Roman"/>
        </w:rPr>
        <w:t xml:space="preserve"> important concept</w:t>
      </w:r>
      <w:r w:rsidR="00A731AD">
        <w:rPr>
          <w:rFonts w:cs="Times New Roman"/>
        </w:rPr>
        <w:t>:</w:t>
      </w:r>
      <w:r w:rsidR="00A4172D">
        <w:rPr>
          <w:rFonts w:cs="Times New Roman"/>
        </w:rPr>
        <w:t xml:space="preserve"> from their origins in the USA, to IFRS</w:t>
      </w:r>
      <w:r w:rsidR="004A0E13">
        <w:rPr>
          <w:rFonts w:cs="Times New Roman"/>
        </w:rPr>
        <w:t xml:space="preserve"> as issued in English</w:t>
      </w:r>
      <w:r w:rsidR="00A4172D">
        <w:rPr>
          <w:rFonts w:cs="Times New Roman"/>
        </w:rPr>
        <w:t xml:space="preserve">, through to translations of </w:t>
      </w:r>
      <w:r w:rsidR="006B6B38">
        <w:rPr>
          <w:rFonts w:cs="Times New Roman"/>
        </w:rPr>
        <w:t>the accounting standard</w:t>
      </w:r>
      <w:r w:rsidR="00A4172D">
        <w:rPr>
          <w:rFonts w:cs="Times New Roman"/>
        </w:rPr>
        <w:t xml:space="preserve"> and then back into English</w:t>
      </w:r>
      <w:r w:rsidR="00CA1420">
        <w:rPr>
          <w:rFonts w:cs="Times New Roman"/>
        </w:rPr>
        <w:t xml:space="preserve"> in translated annual reports. </w:t>
      </w:r>
      <w:r w:rsidR="00FA3393">
        <w:rPr>
          <w:rFonts w:cs="Times New Roman"/>
        </w:rPr>
        <w:t>We find</w:t>
      </w:r>
      <w:r w:rsidR="0087553F">
        <w:rPr>
          <w:rFonts w:cs="Times New Roman"/>
        </w:rPr>
        <w:t xml:space="preserve"> </w:t>
      </w:r>
      <w:r w:rsidR="000A32C3">
        <w:rPr>
          <w:rFonts w:cs="Times New Roman"/>
        </w:rPr>
        <w:t xml:space="preserve">translations of </w:t>
      </w:r>
      <w:r w:rsidR="00156B56">
        <w:rPr>
          <w:rFonts w:cs="Times New Roman"/>
        </w:rPr>
        <w:t xml:space="preserve">IAS 36’s </w:t>
      </w:r>
      <w:r w:rsidR="00E44003">
        <w:rPr>
          <w:rFonts w:cs="Times New Roman"/>
        </w:rPr>
        <w:t>“impairment”</w:t>
      </w:r>
      <w:r w:rsidR="00A731AD">
        <w:rPr>
          <w:rFonts w:cs="Times New Roman"/>
        </w:rPr>
        <w:t xml:space="preserve"> </w:t>
      </w:r>
      <w:r w:rsidR="00FA3393">
        <w:rPr>
          <w:rFonts w:cs="Times New Roman"/>
        </w:rPr>
        <w:t xml:space="preserve">which </w:t>
      </w:r>
      <w:r w:rsidR="00572E5E">
        <w:rPr>
          <w:rFonts w:cs="Times New Roman"/>
        </w:rPr>
        <w:t xml:space="preserve">are too broad, and this </w:t>
      </w:r>
      <w:r w:rsidR="00FA3393">
        <w:rPr>
          <w:rFonts w:cs="Times New Roman"/>
        </w:rPr>
        <w:t>feed</w:t>
      </w:r>
      <w:r w:rsidR="00572E5E">
        <w:rPr>
          <w:rFonts w:cs="Times New Roman"/>
        </w:rPr>
        <w:t>s</w:t>
      </w:r>
      <w:r w:rsidR="00FA3393">
        <w:rPr>
          <w:rFonts w:cs="Times New Roman"/>
        </w:rPr>
        <w:t xml:space="preserve"> through to</w:t>
      </w:r>
      <w:r w:rsidR="00A731AD">
        <w:rPr>
          <w:rFonts w:cs="Times New Roman"/>
        </w:rPr>
        <w:t xml:space="preserve"> non-English annual reports</w:t>
      </w:r>
      <w:r>
        <w:rPr>
          <w:rFonts w:cs="Times New Roman"/>
        </w:rPr>
        <w:t xml:space="preserve">. This in turn causes </w:t>
      </w:r>
      <w:r w:rsidR="001B15AA">
        <w:rPr>
          <w:rFonts w:cs="Times New Roman"/>
        </w:rPr>
        <w:t xml:space="preserve">translators of </w:t>
      </w:r>
      <w:r w:rsidR="00A731AD">
        <w:rPr>
          <w:rFonts w:cs="Times New Roman"/>
        </w:rPr>
        <w:t>those</w:t>
      </w:r>
      <w:r w:rsidR="001B15AA">
        <w:rPr>
          <w:rFonts w:cs="Times New Roman"/>
        </w:rPr>
        <w:t xml:space="preserve"> reports </w:t>
      </w:r>
      <w:r w:rsidR="003B6EE6">
        <w:rPr>
          <w:rFonts w:cs="Times New Roman"/>
        </w:rPr>
        <w:t>(</w:t>
      </w:r>
      <w:r w:rsidR="006108B0">
        <w:rPr>
          <w:rFonts w:cs="Times New Roman"/>
        </w:rPr>
        <w:t>in</w:t>
      </w:r>
      <w:r w:rsidR="003B6EE6">
        <w:rPr>
          <w:rFonts w:cs="Times New Roman"/>
        </w:rPr>
        <w:t xml:space="preserve">to target </w:t>
      </w:r>
      <w:r w:rsidR="00A320DB">
        <w:rPr>
          <w:rFonts w:cs="Times New Roman"/>
        </w:rPr>
        <w:t>English)</w:t>
      </w:r>
      <w:r>
        <w:rPr>
          <w:rFonts w:cs="Times New Roman"/>
        </w:rPr>
        <w:t xml:space="preserve"> to produce</w:t>
      </w:r>
      <w:r w:rsidR="00572E5E">
        <w:rPr>
          <w:rFonts w:cs="Times New Roman"/>
        </w:rPr>
        <w:t xml:space="preserve"> misleading</w:t>
      </w:r>
      <w:r w:rsidR="00BD3AF5">
        <w:rPr>
          <w:rFonts w:cs="Times New Roman"/>
        </w:rPr>
        <w:t xml:space="preserve"> translations </w:t>
      </w:r>
      <w:r>
        <w:rPr>
          <w:rFonts w:cs="Times New Roman"/>
        </w:rPr>
        <w:t>such as</w:t>
      </w:r>
      <w:r w:rsidR="00BD3AF5">
        <w:rPr>
          <w:rFonts w:cs="Times New Roman"/>
        </w:rPr>
        <w:t xml:space="preserve"> provision, allowance, write-down and depreciation. </w:t>
      </w:r>
      <w:r w:rsidR="00DE3E05">
        <w:rPr>
          <w:rFonts w:cs="Times New Roman"/>
        </w:rPr>
        <w:t>We provide evidence</w:t>
      </w:r>
      <w:r w:rsidR="003068BD">
        <w:rPr>
          <w:rFonts w:cs="Times New Roman"/>
        </w:rPr>
        <w:t xml:space="preserve"> </w:t>
      </w:r>
      <w:r w:rsidR="00DE3E05">
        <w:rPr>
          <w:rFonts w:cs="Times New Roman"/>
        </w:rPr>
        <w:t>suggest</w:t>
      </w:r>
      <w:r w:rsidR="003068BD">
        <w:rPr>
          <w:rFonts w:cs="Times New Roman"/>
        </w:rPr>
        <w:t xml:space="preserve">ing </w:t>
      </w:r>
      <w:r w:rsidR="00DE3E05">
        <w:rPr>
          <w:rFonts w:cs="Times New Roman"/>
        </w:rPr>
        <w:t xml:space="preserve">that </w:t>
      </w:r>
      <w:r w:rsidR="003068BD">
        <w:rPr>
          <w:rFonts w:cs="Times New Roman"/>
        </w:rPr>
        <w:t xml:space="preserve">analysts and researchers who use </w:t>
      </w:r>
      <w:r w:rsidR="00DE3E05">
        <w:rPr>
          <w:rFonts w:cs="Times New Roman"/>
        </w:rPr>
        <w:t xml:space="preserve">Worldscope data </w:t>
      </w:r>
      <w:r w:rsidR="003068BD">
        <w:rPr>
          <w:rFonts w:cs="Times New Roman"/>
        </w:rPr>
        <w:t xml:space="preserve">are </w:t>
      </w:r>
      <w:r w:rsidR="00156B56">
        <w:rPr>
          <w:rFonts w:cs="Times New Roman"/>
        </w:rPr>
        <w:t xml:space="preserve">then </w:t>
      </w:r>
      <w:r w:rsidR="003068BD">
        <w:rPr>
          <w:rFonts w:cs="Times New Roman"/>
        </w:rPr>
        <w:t>likely to be</w:t>
      </w:r>
      <w:r w:rsidR="00DE3E05">
        <w:rPr>
          <w:rFonts w:cs="Times New Roman"/>
        </w:rPr>
        <w:t xml:space="preserve"> misled by </w:t>
      </w:r>
      <w:r w:rsidR="003068BD">
        <w:rPr>
          <w:rFonts w:cs="Times New Roman"/>
        </w:rPr>
        <w:t>these</w:t>
      </w:r>
      <w:r w:rsidR="00DE3E05">
        <w:rPr>
          <w:rFonts w:cs="Times New Roman"/>
        </w:rPr>
        <w:t xml:space="preserve"> terms. </w:t>
      </w:r>
      <w:r w:rsidR="000A32C3">
        <w:rPr>
          <w:rFonts w:cs="Times New Roman"/>
        </w:rPr>
        <w:t>A</w:t>
      </w:r>
      <w:r w:rsidR="00EB61E8">
        <w:rPr>
          <w:rFonts w:cs="Times New Roman"/>
        </w:rPr>
        <w:t>n</w:t>
      </w:r>
      <w:r w:rsidR="000A32C3">
        <w:rPr>
          <w:rFonts w:cs="Times New Roman"/>
        </w:rPr>
        <w:t xml:space="preserve"> implication for translators of annual reports </w:t>
      </w:r>
      <w:r w:rsidR="00C916C7">
        <w:rPr>
          <w:rFonts w:cs="Times New Roman"/>
        </w:rPr>
        <w:t xml:space="preserve">(as opposed to translators of regulations) </w:t>
      </w:r>
      <w:r w:rsidR="000A32C3">
        <w:rPr>
          <w:rFonts w:cs="Times New Roman"/>
        </w:rPr>
        <w:t xml:space="preserve">is that they should not </w:t>
      </w:r>
      <w:r w:rsidR="00F02E4B">
        <w:rPr>
          <w:rFonts w:cs="Times New Roman"/>
        </w:rPr>
        <w:t>just look at</w:t>
      </w:r>
      <w:r w:rsidR="00405AFD">
        <w:rPr>
          <w:rFonts w:cs="Times New Roman"/>
        </w:rPr>
        <w:t xml:space="preserve"> the documents they are translating </w:t>
      </w:r>
      <w:r w:rsidR="008D4AAF">
        <w:rPr>
          <w:rFonts w:cs="Times New Roman"/>
        </w:rPr>
        <w:t xml:space="preserve">but </w:t>
      </w:r>
      <w:r w:rsidR="000A32C3">
        <w:rPr>
          <w:rFonts w:cs="Times New Roman"/>
        </w:rPr>
        <w:t>should consider</w:t>
      </w:r>
      <w:r w:rsidR="008D4AAF">
        <w:rPr>
          <w:rFonts w:cs="Times New Roman"/>
        </w:rPr>
        <w:t xml:space="preserve"> the original source </w:t>
      </w:r>
      <w:r w:rsidR="000A32C3">
        <w:rPr>
          <w:rFonts w:cs="Times New Roman"/>
        </w:rPr>
        <w:t>IFRS standards.</w:t>
      </w:r>
    </w:p>
    <w:p w14:paraId="17E0226F" w14:textId="6FD96D50" w:rsidR="009A1986" w:rsidRDefault="003068BD" w:rsidP="007951E5">
      <w:pPr>
        <w:ind w:firstLine="567"/>
        <w:rPr>
          <w:rFonts w:cs="Times New Roman"/>
          <w:lang w:eastAsia="en-GB"/>
        </w:rPr>
      </w:pPr>
      <w:r>
        <w:rPr>
          <w:rFonts w:cs="Times New Roman"/>
          <w:lang w:eastAsia="en-GB"/>
        </w:rPr>
        <w:t>We hop</w:t>
      </w:r>
      <w:r w:rsidR="009A1986">
        <w:rPr>
          <w:rFonts w:cs="Times New Roman"/>
          <w:lang w:eastAsia="en-GB"/>
        </w:rPr>
        <w:t>e that reader</w:t>
      </w:r>
      <w:r>
        <w:rPr>
          <w:rFonts w:cs="Times New Roman"/>
          <w:lang w:eastAsia="en-GB"/>
        </w:rPr>
        <w:t>s will excuse</w:t>
      </w:r>
      <w:r w:rsidR="009A1986">
        <w:rPr>
          <w:rFonts w:cs="Times New Roman"/>
          <w:lang w:eastAsia="en-GB"/>
        </w:rPr>
        <w:t xml:space="preserve"> any apparent bias towards English. This journal is written in English, so it is conv</w:t>
      </w:r>
      <w:r w:rsidR="008B358E">
        <w:rPr>
          <w:rFonts w:cs="Times New Roman"/>
          <w:lang w:eastAsia="en-GB"/>
        </w:rPr>
        <w:t>enient to discuss problem</w:t>
      </w:r>
      <w:r w:rsidR="00F01C30">
        <w:rPr>
          <w:rFonts w:cs="Times New Roman"/>
          <w:lang w:eastAsia="en-GB"/>
        </w:rPr>
        <w:t>s with</w:t>
      </w:r>
      <w:r w:rsidR="008B358E">
        <w:rPr>
          <w:rFonts w:cs="Times New Roman"/>
          <w:lang w:eastAsia="en-GB"/>
        </w:rPr>
        <w:t xml:space="preserve"> </w:t>
      </w:r>
      <w:r w:rsidR="009A1986">
        <w:rPr>
          <w:rFonts w:cs="Times New Roman"/>
          <w:lang w:eastAsia="en-GB"/>
        </w:rPr>
        <w:t>technical terms (</w:t>
      </w:r>
      <w:r w:rsidR="004C40A6">
        <w:rPr>
          <w:rFonts w:cs="Times New Roman"/>
          <w:lang w:eastAsia="en-GB"/>
        </w:rPr>
        <w:t xml:space="preserve">some of </w:t>
      </w:r>
      <w:r w:rsidR="008B358E">
        <w:rPr>
          <w:rFonts w:cs="Times New Roman"/>
          <w:lang w:eastAsia="en-GB"/>
        </w:rPr>
        <w:t xml:space="preserve">which </w:t>
      </w:r>
      <w:r w:rsidR="00EB61E8">
        <w:rPr>
          <w:rFonts w:cs="Times New Roman"/>
          <w:lang w:eastAsia="en-GB"/>
        </w:rPr>
        <w:t xml:space="preserve">already </w:t>
      </w:r>
      <w:r w:rsidR="008B358E">
        <w:rPr>
          <w:rFonts w:cs="Times New Roman"/>
          <w:lang w:eastAsia="en-GB"/>
        </w:rPr>
        <w:t xml:space="preserve">exist </w:t>
      </w:r>
      <w:r w:rsidR="009A1986">
        <w:rPr>
          <w:rFonts w:cs="Times New Roman"/>
          <w:lang w:eastAsia="en-GB"/>
        </w:rPr>
        <w:t>before</w:t>
      </w:r>
      <w:r w:rsidR="008B358E">
        <w:rPr>
          <w:rFonts w:cs="Times New Roman"/>
          <w:lang w:eastAsia="en-GB"/>
        </w:rPr>
        <w:t xml:space="preserve"> any</w:t>
      </w:r>
      <w:r w:rsidR="009A1986">
        <w:rPr>
          <w:rFonts w:cs="Times New Roman"/>
          <w:lang w:eastAsia="en-GB"/>
        </w:rPr>
        <w:t xml:space="preserve"> translation</w:t>
      </w:r>
      <w:r w:rsidR="008B358E">
        <w:rPr>
          <w:rFonts w:cs="Times New Roman"/>
          <w:lang w:eastAsia="en-GB"/>
        </w:rPr>
        <w:t xml:space="preserve"> of them</w:t>
      </w:r>
      <w:r w:rsidR="009A1986">
        <w:rPr>
          <w:rFonts w:cs="Times New Roman"/>
          <w:lang w:eastAsia="en-GB"/>
        </w:rPr>
        <w:t xml:space="preserve">) by using </w:t>
      </w:r>
      <w:r w:rsidR="00B66633">
        <w:rPr>
          <w:rFonts w:cs="Times New Roman"/>
          <w:lang w:eastAsia="en-GB"/>
        </w:rPr>
        <w:t xml:space="preserve">English </w:t>
      </w:r>
      <w:r w:rsidR="009A1986">
        <w:rPr>
          <w:rFonts w:cs="Times New Roman"/>
          <w:lang w:eastAsia="en-GB"/>
        </w:rPr>
        <w:t xml:space="preserve">terms. Also, IFRS is written in English, so our study of a particular </w:t>
      </w:r>
      <w:r w:rsidR="004C40A6">
        <w:rPr>
          <w:rFonts w:cs="Times New Roman"/>
          <w:lang w:eastAsia="en-GB"/>
        </w:rPr>
        <w:t>standard</w:t>
      </w:r>
      <w:r w:rsidR="009A1986">
        <w:rPr>
          <w:rFonts w:cs="Times New Roman"/>
          <w:lang w:eastAsia="en-GB"/>
        </w:rPr>
        <w:t xml:space="preserve"> begins there. Furthermore, the great bulk of translated annual reports in the world </w:t>
      </w:r>
      <w:r w:rsidR="00AB14DF">
        <w:rPr>
          <w:rFonts w:cs="Times New Roman"/>
          <w:lang w:eastAsia="en-GB"/>
        </w:rPr>
        <w:t>have been translated</w:t>
      </w:r>
      <w:r w:rsidR="009A1986">
        <w:rPr>
          <w:rFonts w:cs="Times New Roman"/>
          <w:lang w:eastAsia="en-GB"/>
        </w:rPr>
        <w:t xml:space="preserve"> into English rather than into any other language, so this sets the scope for our empirical study. Many of the examples and conclusions would probably apply, </w:t>
      </w:r>
      <w:r w:rsidR="009A1986" w:rsidRPr="005974AA">
        <w:rPr>
          <w:rFonts w:cs="Times New Roman"/>
          <w:i/>
          <w:lang w:eastAsia="en-GB"/>
        </w:rPr>
        <w:t>mutatis mutandis</w:t>
      </w:r>
      <w:r w:rsidR="009A1986">
        <w:rPr>
          <w:rFonts w:cs="Times New Roman"/>
          <w:lang w:eastAsia="en-GB"/>
        </w:rPr>
        <w:t>, if the journal or the standards or the translated reports used another language.</w:t>
      </w:r>
      <w:r w:rsidR="008B358E">
        <w:rPr>
          <w:rFonts w:cs="Times New Roman"/>
          <w:lang w:eastAsia="en-GB"/>
        </w:rPr>
        <w:t xml:space="preserve"> </w:t>
      </w:r>
      <w:r w:rsidR="00A7071A">
        <w:rPr>
          <w:rFonts w:cs="Times New Roman"/>
          <w:lang w:eastAsia="en-GB"/>
        </w:rPr>
        <w:t>Only one of the authors</w:t>
      </w:r>
      <w:r w:rsidR="006E4F47">
        <w:rPr>
          <w:rFonts w:cs="Times New Roman"/>
          <w:lang w:eastAsia="en-GB"/>
        </w:rPr>
        <w:t xml:space="preserve"> has English as </w:t>
      </w:r>
      <w:r w:rsidR="00A7071A">
        <w:rPr>
          <w:rFonts w:cs="Times New Roman"/>
          <w:lang w:eastAsia="en-GB"/>
        </w:rPr>
        <w:t>mother tongue.</w:t>
      </w:r>
    </w:p>
    <w:p w14:paraId="0B8FF9C5" w14:textId="1516F54A" w:rsidR="00776E77" w:rsidRPr="00BC4AC6" w:rsidRDefault="00776E77" w:rsidP="007951E5">
      <w:pPr>
        <w:ind w:firstLine="567"/>
        <w:rPr>
          <w:rFonts w:cs="Times New Roman"/>
        </w:rPr>
      </w:pPr>
      <w:r w:rsidRPr="00BC4AC6">
        <w:rPr>
          <w:rFonts w:cs="Times New Roman"/>
          <w:lang w:eastAsia="en-GB"/>
        </w:rPr>
        <w:lastRenderedPageBreak/>
        <w:t xml:space="preserve">The paper proceeds as follows. </w:t>
      </w:r>
      <w:r w:rsidR="00F94AFF" w:rsidRPr="00BC4AC6">
        <w:rPr>
          <w:rFonts w:cs="Times New Roman"/>
          <w:lang w:eastAsia="en-GB"/>
        </w:rPr>
        <w:t xml:space="preserve">In </w:t>
      </w:r>
      <w:r w:rsidR="00457D01">
        <w:rPr>
          <w:rFonts w:cs="Times New Roman"/>
          <w:lang w:eastAsia="en-GB"/>
        </w:rPr>
        <w:t xml:space="preserve">Section 2, we </w:t>
      </w:r>
      <w:r w:rsidR="00F02E4B">
        <w:rPr>
          <w:rFonts w:cs="Times New Roman"/>
          <w:lang w:eastAsia="en-GB"/>
        </w:rPr>
        <w:t xml:space="preserve">briefly </w:t>
      </w:r>
      <w:r w:rsidR="00457D01">
        <w:rPr>
          <w:rFonts w:cs="Times New Roman"/>
          <w:lang w:eastAsia="en-GB"/>
        </w:rPr>
        <w:t>examine theor</w:t>
      </w:r>
      <w:r w:rsidR="00C916C7">
        <w:rPr>
          <w:rFonts w:cs="Times New Roman"/>
          <w:lang w:eastAsia="en-GB"/>
        </w:rPr>
        <w:t xml:space="preserve">ies </w:t>
      </w:r>
      <w:r w:rsidR="00457D01">
        <w:rPr>
          <w:rFonts w:cs="Times New Roman"/>
          <w:lang w:eastAsia="en-GB"/>
        </w:rPr>
        <w:t xml:space="preserve">relating to </w:t>
      </w:r>
      <w:r w:rsidR="00C916C7">
        <w:rPr>
          <w:rFonts w:cs="Times New Roman"/>
          <w:lang w:eastAsia="en-GB"/>
        </w:rPr>
        <w:t xml:space="preserve">words and </w:t>
      </w:r>
      <w:r w:rsidR="004C40A6">
        <w:rPr>
          <w:rFonts w:cs="Times New Roman"/>
          <w:lang w:eastAsia="en-GB"/>
        </w:rPr>
        <w:t xml:space="preserve">to </w:t>
      </w:r>
      <w:r w:rsidR="00C916C7">
        <w:rPr>
          <w:rFonts w:cs="Times New Roman"/>
          <w:lang w:eastAsia="en-GB"/>
        </w:rPr>
        <w:t xml:space="preserve">the </w:t>
      </w:r>
      <w:r w:rsidR="00457D01">
        <w:rPr>
          <w:rFonts w:cs="Times New Roman"/>
          <w:lang w:eastAsia="en-GB"/>
        </w:rPr>
        <w:t>translation</w:t>
      </w:r>
      <w:r w:rsidR="00C916C7">
        <w:rPr>
          <w:rFonts w:cs="Times New Roman"/>
          <w:lang w:eastAsia="en-GB"/>
        </w:rPr>
        <w:t xml:space="preserve"> of them</w:t>
      </w:r>
      <w:r w:rsidR="00457D01">
        <w:rPr>
          <w:rFonts w:cs="Times New Roman"/>
          <w:lang w:eastAsia="en-GB"/>
        </w:rPr>
        <w:t xml:space="preserve">, with particular reference to accounting documents. </w:t>
      </w:r>
      <w:r w:rsidR="00EA1644" w:rsidRPr="00BC4AC6">
        <w:rPr>
          <w:rFonts w:cs="Times New Roman"/>
          <w:lang w:eastAsia="en-GB"/>
        </w:rPr>
        <w:t xml:space="preserve">Section </w:t>
      </w:r>
      <w:r w:rsidR="00C271C0">
        <w:rPr>
          <w:rFonts w:cs="Times New Roman"/>
          <w:lang w:eastAsia="en-GB"/>
        </w:rPr>
        <w:t>3</w:t>
      </w:r>
      <w:r w:rsidR="000002C8" w:rsidRPr="00BC4AC6">
        <w:rPr>
          <w:rFonts w:cs="Times New Roman"/>
          <w:lang w:eastAsia="en-GB"/>
        </w:rPr>
        <w:t xml:space="preserve"> </w:t>
      </w:r>
      <w:r w:rsidR="00FB0BC6">
        <w:rPr>
          <w:rFonts w:cs="Times New Roman"/>
          <w:lang w:eastAsia="en-GB"/>
        </w:rPr>
        <w:t xml:space="preserve">examines the major </w:t>
      </w:r>
      <w:r w:rsidR="00EA1644" w:rsidRPr="00BC4AC6">
        <w:rPr>
          <w:rFonts w:cs="Times New Roman"/>
          <w:lang w:eastAsia="en-GB"/>
        </w:rPr>
        <w:t xml:space="preserve">problems related to </w:t>
      </w:r>
      <w:r w:rsidR="00F94AFF" w:rsidRPr="00BC4AC6">
        <w:rPr>
          <w:rFonts w:cs="Times New Roman"/>
          <w:lang w:eastAsia="en-GB"/>
        </w:rPr>
        <w:t xml:space="preserve">translating </w:t>
      </w:r>
      <w:r w:rsidR="00A7071A">
        <w:rPr>
          <w:rFonts w:cs="Times New Roman"/>
          <w:lang w:eastAsia="en-GB"/>
        </w:rPr>
        <w:t>IAS 36’s</w:t>
      </w:r>
      <w:r w:rsidR="00F94AFF" w:rsidRPr="00BC4AC6">
        <w:rPr>
          <w:rFonts w:cs="Times New Roman"/>
          <w:lang w:eastAsia="en-GB"/>
        </w:rPr>
        <w:t xml:space="preserve"> </w:t>
      </w:r>
      <w:r w:rsidR="00156B56">
        <w:rPr>
          <w:rFonts w:cs="Times New Roman"/>
          <w:lang w:eastAsia="en-GB"/>
        </w:rPr>
        <w:t xml:space="preserve">term </w:t>
      </w:r>
      <w:r w:rsidR="006B6B38">
        <w:rPr>
          <w:rFonts w:cs="Times New Roman"/>
          <w:lang w:eastAsia="en-GB"/>
        </w:rPr>
        <w:t>“</w:t>
      </w:r>
      <w:r w:rsidR="00EA1644" w:rsidRPr="00BC4AC6">
        <w:rPr>
          <w:rFonts w:cs="Times New Roman"/>
          <w:lang w:eastAsia="en-GB"/>
        </w:rPr>
        <w:t>impairment</w:t>
      </w:r>
      <w:r w:rsidR="006B6B38">
        <w:rPr>
          <w:rFonts w:cs="Times New Roman"/>
          <w:lang w:eastAsia="en-GB"/>
        </w:rPr>
        <w:t>”</w:t>
      </w:r>
      <w:r w:rsidR="00EA1644" w:rsidRPr="00BC4AC6">
        <w:rPr>
          <w:rFonts w:cs="Times New Roman"/>
          <w:lang w:eastAsia="en-GB"/>
        </w:rPr>
        <w:t>.</w:t>
      </w:r>
      <w:r w:rsidR="00095B86">
        <w:rPr>
          <w:rFonts w:cs="Times New Roman"/>
          <w:lang w:eastAsia="en-GB"/>
        </w:rPr>
        <w:t xml:space="preserve"> Section </w:t>
      </w:r>
      <w:r w:rsidR="00C271C0">
        <w:rPr>
          <w:rFonts w:cs="Times New Roman"/>
          <w:lang w:eastAsia="en-GB"/>
        </w:rPr>
        <w:t>4</w:t>
      </w:r>
      <w:r w:rsidR="00095B86">
        <w:rPr>
          <w:rFonts w:cs="Times New Roman"/>
          <w:lang w:eastAsia="en-GB"/>
        </w:rPr>
        <w:t xml:space="preserve"> deals with </w:t>
      </w:r>
      <w:r w:rsidR="00C271C0">
        <w:rPr>
          <w:rFonts w:cs="Times New Roman"/>
          <w:lang w:eastAsia="en-GB"/>
        </w:rPr>
        <w:t xml:space="preserve">prior literature on translated annual reports and with </w:t>
      </w:r>
      <w:r w:rsidR="003B6EE6">
        <w:rPr>
          <w:rFonts w:cs="Times New Roman"/>
          <w:lang w:eastAsia="en-GB"/>
        </w:rPr>
        <w:t>the</w:t>
      </w:r>
      <w:r w:rsidR="00C271C0">
        <w:rPr>
          <w:rFonts w:cs="Times New Roman"/>
          <w:lang w:eastAsia="en-GB"/>
        </w:rPr>
        <w:t xml:space="preserve"> setting up of</w:t>
      </w:r>
      <w:r w:rsidR="003B6EE6">
        <w:rPr>
          <w:rFonts w:cs="Times New Roman"/>
          <w:lang w:eastAsia="en-GB"/>
        </w:rPr>
        <w:t xml:space="preserve"> </w:t>
      </w:r>
      <w:r w:rsidR="00C271C0">
        <w:rPr>
          <w:rFonts w:cs="Times New Roman"/>
          <w:lang w:eastAsia="en-GB"/>
        </w:rPr>
        <w:t>our empirical study</w:t>
      </w:r>
      <w:r w:rsidR="00F02E4B" w:rsidRPr="00F02E4B">
        <w:rPr>
          <w:rFonts w:cs="Times New Roman"/>
          <w:lang w:eastAsia="en-GB"/>
        </w:rPr>
        <w:t xml:space="preserve"> </w:t>
      </w:r>
      <w:r w:rsidR="00F02E4B" w:rsidRPr="00BC4AC6">
        <w:rPr>
          <w:rFonts w:cs="Times New Roman"/>
          <w:lang w:eastAsia="en-GB"/>
        </w:rPr>
        <w:t xml:space="preserve">of the </w:t>
      </w:r>
      <w:r w:rsidR="00F02E4B">
        <w:rPr>
          <w:rFonts w:cs="Times New Roman"/>
          <w:lang w:eastAsia="en-GB"/>
        </w:rPr>
        <w:t>terms</w:t>
      </w:r>
      <w:r w:rsidR="00F02E4B" w:rsidRPr="00BC4AC6">
        <w:rPr>
          <w:rFonts w:cs="Times New Roman"/>
          <w:lang w:eastAsia="en-GB"/>
        </w:rPr>
        <w:t xml:space="preserve"> used for impairment in the English translations of a large sample of annual reports of listed </w:t>
      </w:r>
      <w:r w:rsidR="00F02E4B">
        <w:rPr>
          <w:rFonts w:cs="Times New Roman"/>
          <w:lang w:eastAsia="en-GB"/>
        </w:rPr>
        <w:t>firms</w:t>
      </w:r>
      <w:r w:rsidR="00C271C0">
        <w:rPr>
          <w:rFonts w:cs="Times New Roman"/>
          <w:lang w:eastAsia="en-GB"/>
        </w:rPr>
        <w:t xml:space="preserve">. </w:t>
      </w:r>
      <w:r w:rsidR="00095B86">
        <w:rPr>
          <w:rFonts w:cs="Times New Roman"/>
          <w:lang w:eastAsia="en-GB"/>
        </w:rPr>
        <w:t xml:space="preserve">Section </w:t>
      </w:r>
      <w:r w:rsidR="00C271C0">
        <w:rPr>
          <w:rFonts w:cs="Times New Roman"/>
          <w:lang w:eastAsia="en-GB"/>
        </w:rPr>
        <w:t>5</w:t>
      </w:r>
      <w:r w:rsidR="00095B86">
        <w:rPr>
          <w:rFonts w:cs="Times New Roman"/>
          <w:lang w:eastAsia="en-GB"/>
        </w:rPr>
        <w:t xml:space="preserve"> </w:t>
      </w:r>
      <w:r w:rsidR="001A6B35">
        <w:rPr>
          <w:rFonts w:cs="Times New Roman"/>
          <w:lang w:eastAsia="en-GB"/>
        </w:rPr>
        <w:t>sets out</w:t>
      </w:r>
      <w:r w:rsidR="00095B86">
        <w:rPr>
          <w:rFonts w:cs="Times New Roman"/>
          <w:lang w:eastAsia="en-GB"/>
        </w:rPr>
        <w:t xml:space="preserve"> </w:t>
      </w:r>
      <w:r w:rsidR="003B6EE6">
        <w:rPr>
          <w:rFonts w:cs="Times New Roman"/>
          <w:lang w:eastAsia="en-GB"/>
        </w:rPr>
        <w:t xml:space="preserve">the </w:t>
      </w:r>
      <w:r w:rsidR="00095B86">
        <w:rPr>
          <w:rFonts w:cs="Times New Roman"/>
          <w:lang w:eastAsia="en-GB"/>
        </w:rPr>
        <w:t>findings</w:t>
      </w:r>
      <w:r w:rsidR="00DA56C1">
        <w:rPr>
          <w:rFonts w:cs="Times New Roman"/>
          <w:lang w:eastAsia="en-GB"/>
        </w:rPr>
        <w:t xml:space="preserve"> of our study</w:t>
      </w:r>
      <w:r w:rsidR="00F94AFF" w:rsidRPr="00BC4AC6">
        <w:rPr>
          <w:rFonts w:cs="Times New Roman"/>
          <w:lang w:eastAsia="en-GB"/>
        </w:rPr>
        <w:t xml:space="preserve">. </w:t>
      </w:r>
      <w:r w:rsidR="00C173A6" w:rsidRPr="00BC4AC6">
        <w:rPr>
          <w:rFonts w:cs="Times New Roman"/>
          <w:lang w:eastAsia="en-GB"/>
        </w:rPr>
        <w:t xml:space="preserve">Section </w:t>
      </w:r>
      <w:r w:rsidR="00C271C0">
        <w:rPr>
          <w:rFonts w:cs="Times New Roman"/>
          <w:lang w:eastAsia="en-GB"/>
        </w:rPr>
        <w:t>6</w:t>
      </w:r>
      <w:r w:rsidR="00C173A6" w:rsidRPr="00BC4AC6">
        <w:rPr>
          <w:rFonts w:cs="Times New Roman"/>
          <w:lang w:eastAsia="en-GB"/>
        </w:rPr>
        <w:t xml:space="preserve"> </w:t>
      </w:r>
      <w:r w:rsidR="00ED4854" w:rsidRPr="00BC4AC6">
        <w:rPr>
          <w:rFonts w:cs="Times New Roman"/>
          <w:lang w:eastAsia="en-GB"/>
        </w:rPr>
        <w:t>presents conclusions and policy recommendations</w:t>
      </w:r>
      <w:r w:rsidR="00C5291D">
        <w:rPr>
          <w:rFonts w:cs="Times New Roman"/>
          <w:lang w:eastAsia="en-GB"/>
        </w:rPr>
        <w:t xml:space="preserve"> for the IASB, for translators of IFRS and of annual reports, and for analysts and researchers</w:t>
      </w:r>
      <w:r w:rsidR="00ED4854" w:rsidRPr="00BC4AC6">
        <w:rPr>
          <w:rFonts w:cs="Times New Roman"/>
          <w:lang w:eastAsia="en-GB"/>
        </w:rPr>
        <w:t>.</w:t>
      </w:r>
    </w:p>
    <w:p w14:paraId="2D6DA5E0" w14:textId="2CCCD3FA" w:rsidR="00AA71F9" w:rsidRPr="00BC4AC6" w:rsidRDefault="00B7675E" w:rsidP="000E5225">
      <w:pPr>
        <w:pStyle w:val="Heading1"/>
        <w:rPr>
          <w:rFonts w:cs="Times New Roman"/>
          <w:szCs w:val="22"/>
        </w:rPr>
      </w:pPr>
      <w:r>
        <w:rPr>
          <w:rFonts w:cs="Times New Roman"/>
          <w:szCs w:val="22"/>
        </w:rPr>
        <w:t xml:space="preserve">2. </w:t>
      </w:r>
      <w:r w:rsidR="00DF37E0">
        <w:rPr>
          <w:rFonts w:cs="Times New Roman"/>
          <w:szCs w:val="22"/>
        </w:rPr>
        <w:t>Some t</w:t>
      </w:r>
      <w:r w:rsidR="000C1B3C">
        <w:rPr>
          <w:rFonts w:cs="Times New Roman"/>
          <w:szCs w:val="22"/>
        </w:rPr>
        <w:t>heory</w:t>
      </w:r>
    </w:p>
    <w:p w14:paraId="62815BC3" w14:textId="220D4AF4" w:rsidR="00AA71F9" w:rsidRPr="00B7675E" w:rsidRDefault="007951E5" w:rsidP="00B7675E">
      <w:pPr>
        <w:pStyle w:val="Heading2"/>
      </w:pPr>
      <w:r>
        <w:t xml:space="preserve">2.1 </w:t>
      </w:r>
      <w:r w:rsidR="008927ED" w:rsidRPr="00B7675E">
        <w:t>Signifiers</w:t>
      </w:r>
    </w:p>
    <w:p w14:paraId="17AA3C6E" w14:textId="665FAB2F" w:rsidR="008554A6" w:rsidRPr="00BC4AC6" w:rsidRDefault="007951E5" w:rsidP="00CE293D">
      <w:pPr>
        <w:ind w:firstLine="567"/>
        <w:rPr>
          <w:rFonts w:cs="Times New Roman"/>
        </w:rPr>
      </w:pPr>
      <w:r>
        <w:rPr>
          <w:rFonts w:cs="Times New Roman"/>
        </w:rPr>
        <w:t xml:space="preserve">This sub-section </w:t>
      </w:r>
      <w:r w:rsidR="00AB14DF">
        <w:rPr>
          <w:rFonts w:cs="Times New Roman"/>
        </w:rPr>
        <w:t xml:space="preserve">briefly </w:t>
      </w:r>
      <w:r>
        <w:rPr>
          <w:rFonts w:cs="Times New Roman"/>
        </w:rPr>
        <w:t xml:space="preserve">summarises some literature </w:t>
      </w:r>
      <w:r w:rsidR="00CB0428">
        <w:rPr>
          <w:rFonts w:cs="Times New Roman"/>
        </w:rPr>
        <w:t xml:space="preserve">about the theory of words, before any issues of translation are considered. </w:t>
      </w:r>
      <w:r w:rsidR="00B124D2" w:rsidRPr="00BC4AC6">
        <w:rPr>
          <w:rFonts w:cs="Times New Roman"/>
        </w:rPr>
        <w:t>Saussure (19</w:t>
      </w:r>
      <w:r w:rsidR="00887E8F">
        <w:rPr>
          <w:rFonts w:cs="Times New Roman"/>
        </w:rPr>
        <w:t>10</w:t>
      </w:r>
      <w:r w:rsidR="00B124D2" w:rsidRPr="00BC4AC6">
        <w:rPr>
          <w:rFonts w:cs="Times New Roman"/>
        </w:rPr>
        <w:t>) distinguishes between a signifier (</w:t>
      </w:r>
      <w:r w:rsidR="00530C3A">
        <w:rPr>
          <w:rFonts w:cs="Times New Roman"/>
        </w:rPr>
        <w:t>the “signifying element”, i.e</w:t>
      </w:r>
      <w:r w:rsidR="00D50147">
        <w:rPr>
          <w:rFonts w:cs="Times New Roman"/>
        </w:rPr>
        <w:t>.</w:t>
      </w:r>
      <w:r w:rsidR="00530C3A">
        <w:rPr>
          <w:rFonts w:cs="Times New Roman"/>
        </w:rPr>
        <w:t xml:space="preserve"> the </w:t>
      </w:r>
      <w:r w:rsidR="00682BCD">
        <w:rPr>
          <w:rFonts w:cs="Times New Roman"/>
        </w:rPr>
        <w:t xml:space="preserve">word or sound, </w:t>
      </w:r>
      <w:r w:rsidR="00B124D2" w:rsidRPr="00BC4AC6">
        <w:rPr>
          <w:rFonts w:cs="Times New Roman"/>
        </w:rPr>
        <w:t xml:space="preserve">e.g., </w:t>
      </w:r>
      <w:r w:rsidR="00335B93">
        <w:rPr>
          <w:rFonts w:cs="Times New Roman"/>
        </w:rPr>
        <w:t>“</w:t>
      </w:r>
      <w:r w:rsidR="00B124D2" w:rsidRPr="00BC4AC6">
        <w:rPr>
          <w:rFonts w:cs="Times New Roman"/>
        </w:rPr>
        <w:t>asset</w:t>
      </w:r>
      <w:r w:rsidR="00335B93">
        <w:rPr>
          <w:rFonts w:cs="Times New Roman"/>
        </w:rPr>
        <w:t>”</w:t>
      </w:r>
      <w:r w:rsidR="00B124D2" w:rsidRPr="00BC4AC6">
        <w:rPr>
          <w:rFonts w:cs="Times New Roman"/>
        </w:rPr>
        <w:t>) and what is being signified (</w:t>
      </w:r>
      <w:r w:rsidR="00530C3A">
        <w:rPr>
          <w:rFonts w:cs="Times New Roman"/>
        </w:rPr>
        <w:t xml:space="preserve">the “signified element”, i.e. </w:t>
      </w:r>
      <w:r w:rsidR="00682BCD">
        <w:rPr>
          <w:rFonts w:cs="Times New Roman"/>
        </w:rPr>
        <w:t xml:space="preserve">the meaning of the concept, </w:t>
      </w:r>
      <w:r w:rsidR="00B124D2" w:rsidRPr="00BC4AC6">
        <w:rPr>
          <w:rFonts w:cs="Times New Roman"/>
        </w:rPr>
        <w:t xml:space="preserve">e.g., </w:t>
      </w:r>
      <w:r w:rsidR="0027708C">
        <w:rPr>
          <w:rFonts w:cs="Times New Roman"/>
        </w:rPr>
        <w:t xml:space="preserve">in the context of accounting, </w:t>
      </w:r>
      <w:r w:rsidR="00324348">
        <w:rPr>
          <w:rFonts w:cs="Times New Roman"/>
        </w:rPr>
        <w:t xml:space="preserve">an asset is </w:t>
      </w:r>
      <w:r w:rsidR="00B124D2" w:rsidRPr="00BC4AC6">
        <w:rPr>
          <w:rFonts w:cs="Times New Roman"/>
        </w:rPr>
        <w:t>a resource control</w:t>
      </w:r>
      <w:r w:rsidR="00CD78A7" w:rsidRPr="00BC4AC6">
        <w:rPr>
          <w:rFonts w:cs="Times New Roman"/>
        </w:rPr>
        <w:t>led by an entity).</w:t>
      </w:r>
      <w:r w:rsidR="00530C3A">
        <w:rPr>
          <w:rStyle w:val="FootnoteReference"/>
          <w:rFonts w:cs="Times New Roman"/>
        </w:rPr>
        <w:footnoteReference w:id="2"/>
      </w:r>
      <w:r w:rsidR="00CD78A7" w:rsidRPr="00BC4AC6">
        <w:rPr>
          <w:rFonts w:cs="Times New Roman"/>
        </w:rPr>
        <w:t xml:space="preserve"> </w:t>
      </w:r>
      <w:r w:rsidR="00682BCD">
        <w:rPr>
          <w:rFonts w:cs="Times New Roman"/>
        </w:rPr>
        <w:t>These ideas were</w:t>
      </w:r>
      <w:r w:rsidR="001737BC">
        <w:rPr>
          <w:rFonts w:cs="Times New Roman"/>
        </w:rPr>
        <w:t xml:space="preserve"> applied to accounting by Walton (1991) and Parker (1994). </w:t>
      </w:r>
      <w:r w:rsidR="005233B2">
        <w:rPr>
          <w:rFonts w:cs="Times New Roman"/>
        </w:rPr>
        <w:t xml:space="preserve">Archer and McLeay (1991) and then </w:t>
      </w:r>
      <w:r w:rsidR="00CD78A7" w:rsidRPr="00BC4AC6">
        <w:rPr>
          <w:rFonts w:cs="Times New Roman"/>
        </w:rPr>
        <w:t xml:space="preserve">Evans, Baskerville and Nara </w:t>
      </w:r>
      <w:r w:rsidR="005233B2">
        <w:rPr>
          <w:rFonts w:cs="Times New Roman"/>
        </w:rPr>
        <w:t>(2015) discuss the fact</w:t>
      </w:r>
      <w:r w:rsidR="00B124D2" w:rsidRPr="00BC4AC6">
        <w:rPr>
          <w:rFonts w:cs="Times New Roman"/>
        </w:rPr>
        <w:t xml:space="preserve"> that signifiers are used in different </w:t>
      </w:r>
      <w:r w:rsidR="00335B93">
        <w:rPr>
          <w:rFonts w:cs="Times New Roman"/>
        </w:rPr>
        <w:t>“</w:t>
      </w:r>
      <w:r w:rsidR="00B124D2" w:rsidRPr="00BC4AC6">
        <w:rPr>
          <w:rFonts w:cs="Times New Roman"/>
        </w:rPr>
        <w:t>registers</w:t>
      </w:r>
      <w:r w:rsidR="00335B93">
        <w:rPr>
          <w:rFonts w:cs="Times New Roman"/>
        </w:rPr>
        <w:t>”</w:t>
      </w:r>
      <w:r w:rsidR="00B124D2" w:rsidRPr="00BC4AC6">
        <w:rPr>
          <w:rFonts w:cs="Times New Roman"/>
        </w:rPr>
        <w:t>,</w:t>
      </w:r>
      <w:r w:rsidR="00427D12">
        <w:rPr>
          <w:rStyle w:val="FootnoteReference"/>
          <w:rFonts w:cs="Times New Roman"/>
        </w:rPr>
        <w:footnoteReference w:id="3"/>
      </w:r>
      <w:r w:rsidR="00B124D2" w:rsidRPr="00BC4AC6">
        <w:rPr>
          <w:rFonts w:cs="Times New Roman"/>
        </w:rPr>
        <w:t xml:space="preserve"> </w:t>
      </w:r>
      <w:r w:rsidR="00845297">
        <w:rPr>
          <w:rFonts w:cs="Times New Roman"/>
        </w:rPr>
        <w:t xml:space="preserve">particularly </w:t>
      </w:r>
      <w:r w:rsidR="00B124D2" w:rsidRPr="00BC4AC6">
        <w:rPr>
          <w:rFonts w:cs="Times New Roman"/>
        </w:rPr>
        <w:t>an everyday register</w:t>
      </w:r>
      <w:r w:rsidR="00832C3B">
        <w:rPr>
          <w:rFonts w:cs="Times New Roman"/>
        </w:rPr>
        <w:t xml:space="preserve"> and</w:t>
      </w:r>
      <w:r w:rsidR="00B124D2" w:rsidRPr="00BC4AC6">
        <w:rPr>
          <w:rFonts w:cs="Times New Roman"/>
        </w:rPr>
        <w:t xml:space="preserve"> </w:t>
      </w:r>
      <w:r w:rsidR="00845297">
        <w:rPr>
          <w:rFonts w:cs="Times New Roman"/>
        </w:rPr>
        <w:t xml:space="preserve">a technical register such as </w:t>
      </w:r>
      <w:r w:rsidR="00B124D2" w:rsidRPr="00BC4AC6">
        <w:rPr>
          <w:rFonts w:cs="Times New Roman"/>
        </w:rPr>
        <w:t>an accounting register</w:t>
      </w:r>
      <w:r w:rsidR="00E87EA5">
        <w:rPr>
          <w:rFonts w:cs="Times New Roman"/>
        </w:rPr>
        <w:t>. For example</w:t>
      </w:r>
      <w:r w:rsidR="00B124D2" w:rsidRPr="00BC4AC6">
        <w:rPr>
          <w:rFonts w:cs="Times New Roman"/>
        </w:rPr>
        <w:t xml:space="preserve">, </w:t>
      </w:r>
      <w:r w:rsidR="00335B93">
        <w:rPr>
          <w:rFonts w:cs="Times New Roman"/>
        </w:rPr>
        <w:t>“</w:t>
      </w:r>
      <w:r w:rsidR="00B124D2" w:rsidRPr="00BC4AC6">
        <w:rPr>
          <w:rFonts w:cs="Times New Roman"/>
        </w:rPr>
        <w:t>asset</w:t>
      </w:r>
      <w:r w:rsidR="00335B93">
        <w:rPr>
          <w:rFonts w:cs="Times New Roman"/>
        </w:rPr>
        <w:t>”</w:t>
      </w:r>
      <w:r w:rsidR="00B124D2" w:rsidRPr="00BC4AC6">
        <w:rPr>
          <w:rFonts w:cs="Times New Roman"/>
        </w:rPr>
        <w:t xml:space="preserve"> has a much wider meaning in the everyday register than in the accounting register.</w:t>
      </w:r>
    </w:p>
    <w:p w14:paraId="4442DD60" w14:textId="016647FA" w:rsidR="00217D5F" w:rsidRDefault="00B124D2" w:rsidP="00217D5F">
      <w:pPr>
        <w:ind w:firstLine="567"/>
        <w:rPr>
          <w:rFonts w:cs="Times New Roman"/>
        </w:rPr>
      </w:pPr>
      <w:r w:rsidRPr="00BC4AC6">
        <w:rPr>
          <w:rFonts w:cs="Times New Roman"/>
        </w:rPr>
        <w:t xml:space="preserve">There is no essential reason why a particular signifier should be attached to a particular signified. </w:t>
      </w:r>
      <w:r w:rsidR="00216C06">
        <w:rPr>
          <w:rFonts w:cs="Times New Roman"/>
        </w:rPr>
        <w:t xml:space="preserve">Saussure (1910, p. 76) concluded that the “linguistic sign is arbitrary”. </w:t>
      </w:r>
      <w:r w:rsidRPr="00BC4AC6">
        <w:rPr>
          <w:rFonts w:cs="Times New Roman"/>
        </w:rPr>
        <w:t>In principle, any signifier can be used as long as there is agreement</w:t>
      </w:r>
      <w:r w:rsidR="00CA1420">
        <w:rPr>
          <w:rFonts w:cs="Times New Roman"/>
        </w:rPr>
        <w:t xml:space="preserve"> and consistency</w:t>
      </w:r>
      <w:r w:rsidRPr="00BC4AC6">
        <w:rPr>
          <w:rFonts w:cs="Times New Roman"/>
        </w:rPr>
        <w:t xml:space="preserve"> within a register. </w:t>
      </w:r>
      <w:r w:rsidR="006068D4">
        <w:rPr>
          <w:rFonts w:cs="Times New Roman"/>
        </w:rPr>
        <w:t>For example, at first sight</w:t>
      </w:r>
      <w:r w:rsidR="00457D01">
        <w:rPr>
          <w:rFonts w:cs="Times New Roman"/>
        </w:rPr>
        <w:t>,</w:t>
      </w:r>
      <w:r w:rsidR="006068D4">
        <w:rPr>
          <w:rFonts w:cs="Times New Roman"/>
        </w:rPr>
        <w:t xml:space="preserve"> </w:t>
      </w:r>
      <w:r w:rsidRPr="00BC4AC6">
        <w:rPr>
          <w:rFonts w:cs="Times New Roman"/>
        </w:rPr>
        <w:t>any signifier</w:t>
      </w:r>
      <w:r w:rsidR="00CA1420">
        <w:rPr>
          <w:rFonts w:cs="Times New Roman"/>
        </w:rPr>
        <w:t xml:space="preserve"> could be used in the accounting register</w:t>
      </w:r>
      <w:r w:rsidRPr="00BC4AC6">
        <w:rPr>
          <w:rFonts w:cs="Times New Roman"/>
        </w:rPr>
        <w:t xml:space="preserve"> for what </w:t>
      </w:r>
      <w:r w:rsidR="002A08E3">
        <w:rPr>
          <w:rFonts w:cs="Times New Roman"/>
        </w:rPr>
        <w:t xml:space="preserve">now </w:t>
      </w:r>
      <w:r w:rsidR="00FA3393">
        <w:rPr>
          <w:rFonts w:cs="Times New Roman"/>
        </w:rPr>
        <w:t>has</w:t>
      </w:r>
      <w:r w:rsidR="001A214F">
        <w:rPr>
          <w:rFonts w:cs="Times New Roman"/>
        </w:rPr>
        <w:t xml:space="preserve"> the signifier</w:t>
      </w:r>
      <w:r w:rsidRPr="00BC4AC6">
        <w:rPr>
          <w:rFonts w:cs="Times New Roman"/>
        </w:rPr>
        <w:t xml:space="preserve"> </w:t>
      </w:r>
      <w:r w:rsidR="00335B93">
        <w:rPr>
          <w:rFonts w:cs="Times New Roman"/>
        </w:rPr>
        <w:t>“</w:t>
      </w:r>
      <w:r w:rsidRPr="00BC4AC6">
        <w:rPr>
          <w:rFonts w:cs="Times New Roman"/>
        </w:rPr>
        <w:t>impairment</w:t>
      </w:r>
      <w:r w:rsidR="00335B93">
        <w:rPr>
          <w:rFonts w:cs="Times New Roman"/>
        </w:rPr>
        <w:t>”</w:t>
      </w:r>
      <w:r w:rsidRPr="00BC4AC6">
        <w:rPr>
          <w:rFonts w:cs="Times New Roman"/>
        </w:rPr>
        <w:t xml:space="preserve">. </w:t>
      </w:r>
      <w:r w:rsidR="00CB5C21">
        <w:rPr>
          <w:rFonts w:cs="Times New Roman"/>
        </w:rPr>
        <w:t>One approach, often used in sciences, is for the technical register to coin new terms,</w:t>
      </w:r>
      <w:r w:rsidR="00FA66F9">
        <w:rPr>
          <w:rStyle w:val="FootnoteReference"/>
          <w:rFonts w:cs="Times New Roman"/>
        </w:rPr>
        <w:footnoteReference w:id="4"/>
      </w:r>
      <w:r w:rsidR="00CB5C21">
        <w:rPr>
          <w:rFonts w:cs="Times New Roman"/>
        </w:rPr>
        <w:t xml:space="preserve"> perhaps using Latin or Greek words. </w:t>
      </w:r>
      <w:r w:rsidR="00E52276">
        <w:rPr>
          <w:rFonts w:cs="Times New Roman"/>
        </w:rPr>
        <w:t>However, p</w:t>
      </w:r>
      <w:r w:rsidR="00CB5C21">
        <w:rPr>
          <w:rFonts w:cs="Times New Roman"/>
        </w:rPr>
        <w:t>roblems can arise if a technical</w:t>
      </w:r>
      <w:r w:rsidR="00CB5C21" w:rsidRPr="00BC4AC6">
        <w:rPr>
          <w:rFonts w:cs="Times New Roman"/>
        </w:rPr>
        <w:t xml:space="preserve"> register </w:t>
      </w:r>
      <w:r w:rsidR="00CB5C21">
        <w:rPr>
          <w:rFonts w:cs="Times New Roman"/>
        </w:rPr>
        <w:t xml:space="preserve">uses a </w:t>
      </w:r>
      <w:r w:rsidR="00FA66F9">
        <w:rPr>
          <w:rFonts w:cs="Times New Roman"/>
        </w:rPr>
        <w:t>term</w:t>
      </w:r>
      <w:r w:rsidR="00CB5C21">
        <w:rPr>
          <w:rFonts w:cs="Times New Roman"/>
        </w:rPr>
        <w:t xml:space="preserve"> from the everyday register but </w:t>
      </w:r>
      <w:r w:rsidR="00FA2334">
        <w:rPr>
          <w:rFonts w:cs="Times New Roman"/>
        </w:rPr>
        <w:t>defines it</w:t>
      </w:r>
      <w:r w:rsidR="00CB5C21">
        <w:rPr>
          <w:rFonts w:cs="Times New Roman"/>
        </w:rPr>
        <w:t xml:space="preserve"> </w:t>
      </w:r>
      <w:r w:rsidR="00C34083">
        <w:rPr>
          <w:rFonts w:cs="Times New Roman"/>
        </w:rPr>
        <w:t>differen</w:t>
      </w:r>
      <w:r w:rsidR="00FA2334">
        <w:rPr>
          <w:rFonts w:cs="Times New Roman"/>
        </w:rPr>
        <w:t>tly</w:t>
      </w:r>
      <w:r w:rsidR="00CB5C21">
        <w:rPr>
          <w:rFonts w:cs="Times New Roman"/>
        </w:rPr>
        <w:t xml:space="preserve">. </w:t>
      </w:r>
      <w:r w:rsidR="00FA2334">
        <w:rPr>
          <w:rFonts w:cs="Times New Roman"/>
        </w:rPr>
        <w:t>I</w:t>
      </w:r>
      <w:r w:rsidR="00760C86">
        <w:rPr>
          <w:rFonts w:cs="Times New Roman"/>
        </w:rPr>
        <w:t>n an “</w:t>
      </w:r>
      <w:r w:rsidR="00125FEA">
        <w:rPr>
          <w:rFonts w:cs="Times New Roman"/>
        </w:rPr>
        <w:t xml:space="preserve">almost </w:t>
      </w:r>
      <w:r w:rsidR="00760C86">
        <w:rPr>
          <w:rFonts w:cs="Times New Roman"/>
        </w:rPr>
        <w:t>iconic”</w:t>
      </w:r>
      <w:r w:rsidR="00760C86">
        <w:rPr>
          <w:rStyle w:val="FootnoteReference"/>
          <w:rFonts w:cs="Times New Roman"/>
        </w:rPr>
        <w:footnoteReference w:id="5"/>
      </w:r>
      <w:r w:rsidR="00760C86">
        <w:rPr>
          <w:rFonts w:cs="Times New Roman"/>
        </w:rPr>
        <w:t xml:space="preserve"> </w:t>
      </w:r>
      <w:r w:rsidR="00650E57">
        <w:rPr>
          <w:rFonts w:cs="Times New Roman"/>
        </w:rPr>
        <w:t xml:space="preserve">legal opinion on TFV, </w:t>
      </w:r>
      <w:r w:rsidR="00760C86">
        <w:rPr>
          <w:rFonts w:cs="Times New Roman"/>
        </w:rPr>
        <w:t>Arden (</w:t>
      </w:r>
      <w:r w:rsidR="00650E57">
        <w:rPr>
          <w:rFonts w:cs="Times New Roman"/>
        </w:rPr>
        <w:t xml:space="preserve">1993, para. 14) </w:t>
      </w:r>
      <w:r w:rsidR="00FA2334">
        <w:rPr>
          <w:rFonts w:cs="Times New Roman"/>
        </w:rPr>
        <w:t>considers a case where the technical register does not define terms</w:t>
      </w:r>
      <w:r w:rsidR="00650E57">
        <w:rPr>
          <w:rFonts w:cs="Times New Roman"/>
        </w:rPr>
        <w:t>:</w:t>
      </w:r>
    </w:p>
    <w:p w14:paraId="544A1F75" w14:textId="5433795A" w:rsidR="00650E57" w:rsidRDefault="00650E57" w:rsidP="006C6841">
      <w:pPr>
        <w:spacing w:line="240" w:lineRule="auto"/>
        <w:ind w:left="567"/>
        <w:rPr>
          <w:rFonts w:cs="Times New Roman"/>
        </w:rPr>
      </w:pPr>
      <w:r>
        <w:rPr>
          <w:rFonts w:cs="Times New Roman"/>
        </w:rPr>
        <w:t>… the Court will not in my view seek to find synonyms for the words ‘true’ and ‘fair’ but will seek to apply the concepts which those words imply.</w:t>
      </w:r>
    </w:p>
    <w:p w14:paraId="3AA5AC89" w14:textId="608D51D6" w:rsidR="00332537" w:rsidRDefault="00332537" w:rsidP="00CB50B3">
      <w:pPr>
        <w:rPr>
          <w:rFonts w:cs="Times New Roman"/>
        </w:rPr>
      </w:pPr>
      <w:r>
        <w:rPr>
          <w:rFonts w:cs="Times New Roman"/>
        </w:rPr>
        <w:t>We might interpret Arden as saying that</w:t>
      </w:r>
      <w:r w:rsidR="00B76696">
        <w:rPr>
          <w:rFonts w:cs="Times New Roman"/>
        </w:rPr>
        <w:t>, in the context of English law,</w:t>
      </w:r>
      <w:r>
        <w:rPr>
          <w:rFonts w:cs="Times New Roman"/>
        </w:rPr>
        <w:t xml:space="preserve"> the Court would infer the </w:t>
      </w:r>
      <w:r w:rsidR="00845297">
        <w:rPr>
          <w:rFonts w:cs="Times New Roman"/>
        </w:rPr>
        <w:t xml:space="preserve">meaning in the </w:t>
      </w:r>
      <w:r>
        <w:rPr>
          <w:rFonts w:cs="Times New Roman"/>
        </w:rPr>
        <w:t xml:space="preserve">everyday </w:t>
      </w:r>
      <w:r w:rsidR="00845297">
        <w:rPr>
          <w:rFonts w:cs="Times New Roman"/>
        </w:rPr>
        <w:t>register</w:t>
      </w:r>
      <w:r w:rsidR="000C30F6">
        <w:rPr>
          <w:rFonts w:cs="Times New Roman"/>
        </w:rPr>
        <w:t>, given that the words were not defined in law</w:t>
      </w:r>
      <w:r>
        <w:rPr>
          <w:rFonts w:cs="Times New Roman"/>
        </w:rPr>
        <w:t>.</w:t>
      </w:r>
    </w:p>
    <w:p w14:paraId="1C050C79" w14:textId="0E060D61" w:rsidR="008927ED" w:rsidRDefault="00650E57" w:rsidP="00FA66F9">
      <w:pPr>
        <w:ind w:firstLine="567"/>
        <w:rPr>
          <w:rFonts w:cs="Times New Roman"/>
        </w:rPr>
      </w:pPr>
      <w:r>
        <w:rPr>
          <w:rFonts w:cs="Times New Roman"/>
        </w:rPr>
        <w:t xml:space="preserve">A particular example of a perilous difference in registers </w:t>
      </w:r>
      <w:r w:rsidR="00A00317">
        <w:rPr>
          <w:rFonts w:cs="Times New Roman"/>
        </w:rPr>
        <w:t>is</w:t>
      </w:r>
      <w:r w:rsidR="00675BBB">
        <w:rPr>
          <w:rFonts w:cs="Times New Roman"/>
        </w:rPr>
        <w:t xml:space="preserve"> where a</w:t>
      </w:r>
      <w:r w:rsidR="00C34083">
        <w:rPr>
          <w:rFonts w:cs="Times New Roman"/>
        </w:rPr>
        <w:t xml:space="preserve"> </w:t>
      </w:r>
      <w:r w:rsidR="00675BBB">
        <w:rPr>
          <w:rFonts w:cs="Times New Roman"/>
        </w:rPr>
        <w:t xml:space="preserve">hypernym (a word </w:t>
      </w:r>
      <w:r w:rsidR="002419A0">
        <w:rPr>
          <w:rFonts w:cs="Times New Roman"/>
        </w:rPr>
        <w:t>with a broad meaning)</w:t>
      </w:r>
      <w:r w:rsidR="002419A0">
        <w:rPr>
          <w:rStyle w:val="FootnoteReference"/>
          <w:rFonts w:cs="Times New Roman"/>
        </w:rPr>
        <w:footnoteReference w:id="6"/>
      </w:r>
      <w:r w:rsidR="002419A0">
        <w:rPr>
          <w:rFonts w:cs="Times New Roman"/>
        </w:rPr>
        <w:t xml:space="preserve"> </w:t>
      </w:r>
      <w:r w:rsidR="00FA2334">
        <w:rPr>
          <w:rFonts w:cs="Times New Roman"/>
        </w:rPr>
        <w:t>from the everyday register</w:t>
      </w:r>
      <w:r w:rsidR="007E61FF">
        <w:rPr>
          <w:rFonts w:cs="Times New Roman"/>
        </w:rPr>
        <w:t xml:space="preserve"> is adopted</w:t>
      </w:r>
      <w:r w:rsidR="00FA2334">
        <w:rPr>
          <w:rFonts w:cs="Times New Roman"/>
        </w:rPr>
        <w:t xml:space="preserve"> </w:t>
      </w:r>
      <w:r w:rsidR="00675BBB">
        <w:rPr>
          <w:rFonts w:cs="Times New Roman"/>
        </w:rPr>
        <w:t>as a narrow signifier</w:t>
      </w:r>
      <w:r w:rsidR="007E61FF" w:rsidRPr="007E61FF">
        <w:rPr>
          <w:rFonts w:cs="Times New Roman"/>
        </w:rPr>
        <w:t xml:space="preserve"> </w:t>
      </w:r>
      <w:r w:rsidR="007E61FF">
        <w:rPr>
          <w:rFonts w:cs="Times New Roman"/>
        </w:rPr>
        <w:t>in the technical register</w:t>
      </w:r>
      <w:r w:rsidR="00675BBB">
        <w:rPr>
          <w:rFonts w:cs="Times New Roman"/>
        </w:rPr>
        <w:t>.</w:t>
      </w:r>
      <w:r w:rsidR="00FA66F9">
        <w:rPr>
          <w:rFonts w:cs="Times New Roman"/>
        </w:rPr>
        <w:t xml:space="preserve"> </w:t>
      </w:r>
      <w:r w:rsidR="00404D9C">
        <w:rPr>
          <w:rFonts w:cs="Times New Roman"/>
        </w:rPr>
        <w:t>In accounting, t</w:t>
      </w:r>
      <w:r w:rsidR="002A08E3">
        <w:rPr>
          <w:rFonts w:cs="Times New Roman"/>
        </w:rPr>
        <w:t>here is a</w:t>
      </w:r>
      <w:r w:rsidR="00A504A6">
        <w:rPr>
          <w:rFonts w:cs="Times New Roman"/>
        </w:rPr>
        <w:t>n additional</w:t>
      </w:r>
      <w:r w:rsidR="002A08E3">
        <w:rPr>
          <w:rFonts w:cs="Times New Roman"/>
        </w:rPr>
        <w:t xml:space="preserve"> difficulty </w:t>
      </w:r>
      <w:r w:rsidR="00FB0BC6">
        <w:rPr>
          <w:rFonts w:cs="Times New Roman"/>
        </w:rPr>
        <w:t xml:space="preserve">when it comes to documents written </w:t>
      </w:r>
      <w:r w:rsidR="00FB0BC6" w:rsidRPr="00A00317">
        <w:rPr>
          <w:rFonts w:cs="Times New Roman"/>
          <w:i/>
        </w:rPr>
        <w:t>by</w:t>
      </w:r>
      <w:r w:rsidR="00FB0BC6">
        <w:rPr>
          <w:rFonts w:cs="Times New Roman"/>
        </w:rPr>
        <w:t xml:space="preserve"> practitioners (as opposed to standards written </w:t>
      </w:r>
      <w:r w:rsidR="00FB0BC6" w:rsidRPr="00A00317">
        <w:rPr>
          <w:rFonts w:cs="Times New Roman"/>
          <w:i/>
        </w:rPr>
        <w:t>for</w:t>
      </w:r>
      <w:r w:rsidR="00FB0BC6">
        <w:rPr>
          <w:rFonts w:cs="Times New Roman"/>
        </w:rPr>
        <w:t xml:space="preserve"> practitioners)</w:t>
      </w:r>
      <w:r w:rsidR="002A08E3">
        <w:rPr>
          <w:rFonts w:cs="Times New Roman"/>
        </w:rPr>
        <w:t xml:space="preserve">: whereas medical reports </w:t>
      </w:r>
      <w:r w:rsidR="00A913A1">
        <w:rPr>
          <w:rFonts w:cs="Times New Roman"/>
        </w:rPr>
        <w:t xml:space="preserve">(for example) </w:t>
      </w:r>
      <w:r w:rsidR="002A08E3">
        <w:rPr>
          <w:rFonts w:cs="Times New Roman"/>
        </w:rPr>
        <w:t xml:space="preserve">are not primarily aimed at non-medics, </w:t>
      </w:r>
      <w:r w:rsidR="00B124D2" w:rsidRPr="00BC4AC6">
        <w:rPr>
          <w:rFonts w:cs="Times New Roman"/>
        </w:rPr>
        <w:t xml:space="preserve">financial reports </w:t>
      </w:r>
      <w:r w:rsidR="00B124D2" w:rsidRPr="00FB0BC6">
        <w:rPr>
          <w:rFonts w:cs="Times New Roman"/>
          <w:i/>
        </w:rPr>
        <w:t xml:space="preserve">are </w:t>
      </w:r>
      <w:r w:rsidR="002A08E3">
        <w:rPr>
          <w:rFonts w:cs="Times New Roman"/>
        </w:rPr>
        <w:t xml:space="preserve">primarily </w:t>
      </w:r>
      <w:r w:rsidR="00B124D2" w:rsidRPr="00BC4AC6">
        <w:rPr>
          <w:rFonts w:cs="Times New Roman"/>
        </w:rPr>
        <w:t>addressed</w:t>
      </w:r>
      <w:r w:rsidR="002A08E3">
        <w:rPr>
          <w:rFonts w:cs="Times New Roman"/>
        </w:rPr>
        <w:t xml:space="preserve"> to non-accountants</w:t>
      </w:r>
      <w:r w:rsidR="00CB5C21" w:rsidRPr="00CB5C21">
        <w:rPr>
          <w:rFonts w:cs="Times New Roman"/>
        </w:rPr>
        <w:t xml:space="preserve"> </w:t>
      </w:r>
      <w:r w:rsidR="00CB5C21">
        <w:rPr>
          <w:rFonts w:cs="Times New Roman"/>
        </w:rPr>
        <w:t>who might not appreciate that they are reading technical terms</w:t>
      </w:r>
      <w:r w:rsidR="002A08E3">
        <w:rPr>
          <w:rFonts w:cs="Times New Roman"/>
        </w:rPr>
        <w:t>.</w:t>
      </w:r>
    </w:p>
    <w:p w14:paraId="08BC49CA" w14:textId="3E0ABFD4" w:rsidR="00CB5C21" w:rsidRPr="006802B0" w:rsidRDefault="007951E5" w:rsidP="005950C1">
      <w:pPr>
        <w:pStyle w:val="Heading2"/>
      </w:pPr>
      <w:r>
        <w:t xml:space="preserve">2.2 </w:t>
      </w:r>
      <w:r w:rsidR="008927ED" w:rsidRPr="00B7675E">
        <w:t>Translation</w:t>
      </w:r>
      <w:r w:rsidR="00CB5C21" w:rsidRPr="00B7675E">
        <w:t xml:space="preserve"> theory</w:t>
      </w:r>
      <w:r w:rsidR="00457D01" w:rsidRPr="00A91C62">
        <w:t xml:space="preserve"> and its application to accounting documents</w:t>
      </w:r>
    </w:p>
    <w:p w14:paraId="3A678278" w14:textId="1855403E" w:rsidR="00FB0CC1" w:rsidRPr="00B25EA6" w:rsidRDefault="00CB5C21" w:rsidP="00B25EA6">
      <w:pPr>
        <w:ind w:firstLine="567"/>
        <w:rPr>
          <w:rFonts w:cs="Times New Roman"/>
        </w:rPr>
      </w:pPr>
      <w:r>
        <w:rPr>
          <w:rFonts w:cs="Times New Roman"/>
        </w:rPr>
        <w:t>The problems relating to technical registers</w:t>
      </w:r>
      <w:r w:rsidR="009903CC">
        <w:rPr>
          <w:rFonts w:cs="Times New Roman"/>
        </w:rPr>
        <w:t xml:space="preserve"> were discussed above in the context of a monoglot world</w:t>
      </w:r>
      <w:r w:rsidR="002E2204">
        <w:rPr>
          <w:rFonts w:cs="Times New Roman"/>
        </w:rPr>
        <w:t>, particularly one</w:t>
      </w:r>
      <w:r w:rsidR="009903CC">
        <w:rPr>
          <w:rFonts w:cs="Times New Roman"/>
        </w:rPr>
        <w:t xml:space="preserve"> using English. The problems</w:t>
      </w:r>
      <w:r>
        <w:rPr>
          <w:rFonts w:cs="Times New Roman"/>
        </w:rPr>
        <w:t xml:space="preserve"> can worsen in the context of translation. For example, the use of a hypernym in a </w:t>
      </w:r>
      <w:r w:rsidR="00292D60">
        <w:rPr>
          <w:rFonts w:cs="Times New Roman"/>
        </w:rPr>
        <w:t>regulation</w:t>
      </w:r>
      <w:r>
        <w:rPr>
          <w:rFonts w:cs="Times New Roman"/>
        </w:rPr>
        <w:t xml:space="preserve"> may lead to </w:t>
      </w:r>
      <w:r w:rsidR="00404D9C">
        <w:rPr>
          <w:rFonts w:cs="Times New Roman"/>
        </w:rPr>
        <w:t xml:space="preserve">new </w:t>
      </w:r>
      <w:r>
        <w:rPr>
          <w:rFonts w:cs="Times New Roman"/>
        </w:rPr>
        <w:t>difficulties</w:t>
      </w:r>
      <w:r w:rsidR="0010143D">
        <w:rPr>
          <w:rFonts w:cs="Times New Roman"/>
        </w:rPr>
        <w:t xml:space="preserve"> </w:t>
      </w:r>
      <w:r>
        <w:rPr>
          <w:rFonts w:cs="Times New Roman"/>
        </w:rPr>
        <w:t>when translated</w:t>
      </w:r>
      <w:r w:rsidR="00292D60">
        <w:rPr>
          <w:rFonts w:cs="Times New Roman"/>
        </w:rPr>
        <w:t xml:space="preserve">. </w:t>
      </w:r>
      <w:r w:rsidR="004655A5">
        <w:rPr>
          <w:rFonts w:cs="Times New Roman"/>
        </w:rPr>
        <w:t>Huerta, Petrides and Braun (2013) investigate translation of accounting terms by senior Spanish-speaking accounting students. They divide their terms into generic (such as “probable”) and accounting-specific (such as “asset”) which have definitions in specialised dictionaries. They find that, when the terms are translated, the generic terms display the greater variability of interpretation (p.</w:t>
      </w:r>
      <w:r w:rsidR="00E73CF8">
        <w:rPr>
          <w:rFonts w:cs="Times New Roman"/>
        </w:rPr>
        <w:t xml:space="preserve"> </w:t>
      </w:r>
      <w:r w:rsidR="004655A5">
        <w:rPr>
          <w:rFonts w:cs="Times New Roman"/>
        </w:rPr>
        <w:t xml:space="preserve">10). </w:t>
      </w:r>
      <w:r w:rsidR="00292D60">
        <w:rPr>
          <w:rFonts w:cs="Times New Roman"/>
        </w:rPr>
        <w:t>T</w:t>
      </w:r>
      <w:r w:rsidR="0010143D">
        <w:rPr>
          <w:rFonts w:cs="Times New Roman"/>
        </w:rPr>
        <w:t xml:space="preserve">his </w:t>
      </w:r>
      <w:r w:rsidR="004655A5">
        <w:rPr>
          <w:rFonts w:cs="Times New Roman"/>
        </w:rPr>
        <w:t>problem can occur even</w:t>
      </w:r>
      <w:r w:rsidR="00292D60">
        <w:rPr>
          <w:rFonts w:cs="Times New Roman"/>
        </w:rPr>
        <w:t xml:space="preserve"> when the translator is a technical </w:t>
      </w:r>
      <w:r>
        <w:rPr>
          <w:rFonts w:cs="Times New Roman"/>
        </w:rPr>
        <w:t>expert</w:t>
      </w:r>
      <w:r w:rsidR="00292D60">
        <w:rPr>
          <w:rFonts w:cs="Times New Roman"/>
        </w:rPr>
        <w:t xml:space="preserve"> </w:t>
      </w:r>
      <w:r w:rsidR="00E52276">
        <w:rPr>
          <w:rFonts w:cs="Times New Roman"/>
        </w:rPr>
        <w:t>but</w:t>
      </w:r>
      <w:r w:rsidR="00292D60">
        <w:rPr>
          <w:rFonts w:cs="Times New Roman"/>
        </w:rPr>
        <w:t xml:space="preserve"> is more likely for the non-experts often responsible for translating IFRS (see </w:t>
      </w:r>
      <w:r w:rsidR="000B092D">
        <w:rPr>
          <w:rFonts w:cs="Times New Roman"/>
        </w:rPr>
        <w:t>later in this section</w:t>
      </w:r>
      <w:r w:rsidR="00292D60">
        <w:rPr>
          <w:rFonts w:cs="Times New Roman"/>
        </w:rPr>
        <w:t>)</w:t>
      </w:r>
      <w:r>
        <w:rPr>
          <w:rFonts w:cs="Times New Roman"/>
        </w:rPr>
        <w:t>.</w:t>
      </w:r>
      <w:r w:rsidRPr="005F258D">
        <w:rPr>
          <w:rFonts w:cs="Times New Roman"/>
        </w:rPr>
        <w:t xml:space="preserve"> </w:t>
      </w:r>
      <w:r>
        <w:rPr>
          <w:rFonts w:cs="Times New Roman"/>
        </w:rPr>
        <w:t xml:space="preserve">Furthermore, </w:t>
      </w:r>
      <w:r w:rsidR="00427D12">
        <w:rPr>
          <w:rFonts w:cs="Times New Roman"/>
        </w:rPr>
        <w:t xml:space="preserve">the </w:t>
      </w:r>
      <w:r>
        <w:rPr>
          <w:rFonts w:cs="Times New Roman"/>
        </w:rPr>
        <w:t xml:space="preserve">annual reports </w:t>
      </w:r>
      <w:r w:rsidR="00427D12">
        <w:rPr>
          <w:rFonts w:cs="Times New Roman"/>
        </w:rPr>
        <w:t xml:space="preserve">which result from </w:t>
      </w:r>
      <w:r w:rsidR="00427D12" w:rsidRPr="006C6841">
        <w:rPr>
          <w:i/>
        </w:rPr>
        <w:t>applying</w:t>
      </w:r>
      <w:r w:rsidR="00427D12">
        <w:rPr>
          <w:rFonts w:cs="Times New Roman"/>
        </w:rPr>
        <w:t xml:space="preserve"> the regulations </w:t>
      </w:r>
      <w:r w:rsidRPr="00BC4AC6">
        <w:rPr>
          <w:rFonts w:cs="Times New Roman"/>
        </w:rPr>
        <w:t xml:space="preserve">are </w:t>
      </w:r>
      <w:r>
        <w:rPr>
          <w:rFonts w:cs="Times New Roman"/>
        </w:rPr>
        <w:t xml:space="preserve">often </w:t>
      </w:r>
      <w:r w:rsidRPr="00BC4AC6">
        <w:rPr>
          <w:rFonts w:cs="Times New Roman"/>
        </w:rPr>
        <w:t>translated by non-accountants</w:t>
      </w:r>
      <w:r>
        <w:rPr>
          <w:rFonts w:cs="Times New Roman"/>
        </w:rPr>
        <w:t xml:space="preserve"> and then read by other non-accountants</w:t>
      </w:r>
      <w:r w:rsidRPr="00BC4AC6">
        <w:rPr>
          <w:rFonts w:cs="Times New Roman"/>
        </w:rPr>
        <w:t>.</w:t>
      </w:r>
    </w:p>
    <w:p w14:paraId="37BCCC82" w14:textId="198E49C5" w:rsidR="00906E2D" w:rsidRDefault="00F47AB5" w:rsidP="00906E2D">
      <w:pPr>
        <w:spacing w:after="120"/>
        <w:ind w:firstLine="567"/>
        <w:rPr>
          <w:rFonts w:cs="Times New Roman"/>
        </w:rPr>
      </w:pPr>
      <w:r w:rsidRPr="00B25EA6">
        <w:rPr>
          <w:rFonts w:cs="Times New Roman"/>
        </w:rPr>
        <w:t>Translators begin with a “source text”</w:t>
      </w:r>
      <w:r w:rsidRPr="00B25EA6">
        <w:rPr>
          <w:rFonts w:cs="Times New Roman"/>
          <w:vertAlign w:val="superscript"/>
        </w:rPr>
        <w:footnoteReference w:id="7"/>
      </w:r>
      <w:r w:rsidRPr="00B25EA6">
        <w:rPr>
          <w:rFonts w:cs="Times New Roman"/>
        </w:rPr>
        <w:t xml:space="preserve"> and</w:t>
      </w:r>
      <w:r w:rsidR="00E16278" w:rsidRPr="00E16278">
        <w:rPr>
          <w:rFonts w:cs="Times New Roman"/>
        </w:rPr>
        <w:t xml:space="preserve"> work towards a “target text”. </w:t>
      </w:r>
      <w:r w:rsidRPr="00B25EA6">
        <w:rPr>
          <w:rFonts w:cs="Times New Roman"/>
        </w:rPr>
        <w:t>The process involves the generation of options</w:t>
      </w:r>
      <w:r w:rsidR="00E16278" w:rsidRPr="00E16278">
        <w:rPr>
          <w:rFonts w:cs="Times New Roman"/>
        </w:rPr>
        <w:t xml:space="preserve"> and then selection from </w:t>
      </w:r>
      <w:r w:rsidR="00E16278">
        <w:rPr>
          <w:rFonts w:cs="Times New Roman"/>
        </w:rPr>
        <w:t xml:space="preserve">among </w:t>
      </w:r>
      <w:r w:rsidR="00E16278" w:rsidRPr="00E16278">
        <w:rPr>
          <w:rFonts w:cs="Times New Roman"/>
        </w:rPr>
        <w:t xml:space="preserve">them. </w:t>
      </w:r>
      <w:r w:rsidRPr="00B25EA6">
        <w:rPr>
          <w:rFonts w:cs="Times New Roman"/>
        </w:rPr>
        <w:t xml:space="preserve">There are competing paradigms </w:t>
      </w:r>
      <w:r w:rsidR="00D10DE7">
        <w:rPr>
          <w:rFonts w:cs="Times New Roman"/>
        </w:rPr>
        <w:t>in translation theory</w:t>
      </w:r>
      <w:r w:rsidRPr="00B25EA6">
        <w:rPr>
          <w:rFonts w:cs="Times New Roman"/>
        </w:rPr>
        <w:t xml:space="preserve">, </w:t>
      </w:r>
      <w:r w:rsidR="00A67575">
        <w:rPr>
          <w:rFonts w:cs="Times New Roman"/>
        </w:rPr>
        <w:t>particularly</w:t>
      </w:r>
      <w:r w:rsidR="00906E2D">
        <w:rPr>
          <w:rFonts w:cs="Times New Roman"/>
        </w:rPr>
        <w:t xml:space="preserve"> equivalence</w:t>
      </w:r>
      <w:r w:rsidR="00A67575">
        <w:rPr>
          <w:rFonts w:cs="Times New Roman"/>
        </w:rPr>
        <w:t xml:space="preserve"> and</w:t>
      </w:r>
      <w:r w:rsidRPr="00B25EA6">
        <w:rPr>
          <w:rFonts w:cs="Times New Roman"/>
        </w:rPr>
        <w:t xml:space="preserve"> </w:t>
      </w:r>
      <w:r w:rsidR="00A913A1">
        <w:rPr>
          <w:rFonts w:cs="Times New Roman"/>
          <w:i/>
        </w:rPr>
        <w:t>s</w:t>
      </w:r>
      <w:r w:rsidRPr="00B25EA6">
        <w:rPr>
          <w:rFonts w:cs="Times New Roman"/>
          <w:i/>
        </w:rPr>
        <w:t>kopos</w:t>
      </w:r>
      <w:r w:rsidRPr="00B25EA6">
        <w:rPr>
          <w:rFonts w:cs="Times New Roman"/>
        </w:rPr>
        <w:t xml:space="preserve"> t</w:t>
      </w:r>
      <w:r w:rsidR="00E16278" w:rsidRPr="00E16278">
        <w:rPr>
          <w:rFonts w:cs="Times New Roman"/>
        </w:rPr>
        <w:t xml:space="preserve">heory. </w:t>
      </w:r>
      <w:r w:rsidR="008F6681">
        <w:rPr>
          <w:rFonts w:cs="Times New Roman"/>
        </w:rPr>
        <w:t>T</w:t>
      </w:r>
      <w:r w:rsidR="005C5A9F">
        <w:rPr>
          <w:rFonts w:cs="Times New Roman"/>
        </w:rPr>
        <w:t xml:space="preserve">he first </w:t>
      </w:r>
      <w:r w:rsidR="00906E2D" w:rsidRPr="00B25EA6">
        <w:rPr>
          <w:rFonts w:cs="Times New Roman"/>
        </w:rPr>
        <w:t>suggest</w:t>
      </w:r>
      <w:r w:rsidR="008F6681">
        <w:rPr>
          <w:rFonts w:cs="Times New Roman"/>
        </w:rPr>
        <w:t>s</w:t>
      </w:r>
      <w:r w:rsidR="00906E2D" w:rsidRPr="00B25EA6">
        <w:rPr>
          <w:rFonts w:cs="Times New Roman"/>
        </w:rPr>
        <w:t xml:space="preserve"> that </w:t>
      </w:r>
      <w:r w:rsidR="00906E2D">
        <w:rPr>
          <w:rFonts w:cs="Times New Roman"/>
        </w:rPr>
        <w:t xml:space="preserve">translators should aim </w:t>
      </w:r>
      <w:r w:rsidR="0099087B">
        <w:rPr>
          <w:rFonts w:cs="Times New Roman"/>
        </w:rPr>
        <w:t>to produce</w:t>
      </w:r>
      <w:r w:rsidR="00906E2D">
        <w:rPr>
          <w:rFonts w:cs="Times New Roman"/>
        </w:rPr>
        <w:t xml:space="preserve"> a</w:t>
      </w:r>
      <w:r w:rsidR="00906E2D" w:rsidRPr="00B25EA6">
        <w:rPr>
          <w:rFonts w:cs="Times New Roman"/>
        </w:rPr>
        <w:t xml:space="preserve"> target text of e</w:t>
      </w:r>
      <w:r w:rsidR="00906E2D" w:rsidRPr="00E16278">
        <w:rPr>
          <w:rFonts w:cs="Times New Roman"/>
        </w:rPr>
        <w:t>qual value to the source text</w:t>
      </w:r>
      <w:r w:rsidR="00906E2D">
        <w:rPr>
          <w:rFonts w:cs="Times New Roman"/>
        </w:rPr>
        <w:t xml:space="preserve">, and the second </w:t>
      </w:r>
      <w:r w:rsidR="009D7C82">
        <w:rPr>
          <w:rFonts w:cs="Times New Roman"/>
        </w:rPr>
        <w:t>focus</w:t>
      </w:r>
      <w:r w:rsidR="008F6681">
        <w:rPr>
          <w:rFonts w:cs="Times New Roman"/>
        </w:rPr>
        <w:t>es</w:t>
      </w:r>
      <w:r w:rsidR="009D7C82">
        <w:rPr>
          <w:rFonts w:cs="Times New Roman"/>
        </w:rPr>
        <w:t xml:space="preserve"> on the purpose of the translation</w:t>
      </w:r>
      <w:r w:rsidR="00E16278" w:rsidRPr="00E16278">
        <w:rPr>
          <w:rFonts w:cs="Times New Roman"/>
        </w:rPr>
        <w:t>.</w:t>
      </w:r>
      <w:r w:rsidR="005C5A9F">
        <w:rPr>
          <w:rFonts w:cs="Times New Roman"/>
        </w:rPr>
        <w:t xml:space="preserve"> </w:t>
      </w:r>
      <w:r w:rsidR="00E16278" w:rsidRPr="00E16278">
        <w:rPr>
          <w:rFonts w:cs="Times New Roman"/>
        </w:rPr>
        <w:t xml:space="preserve">We </w:t>
      </w:r>
      <w:r w:rsidR="005C5A9F">
        <w:rPr>
          <w:rFonts w:cs="Times New Roman"/>
        </w:rPr>
        <w:t>now investigate these paradigms</w:t>
      </w:r>
      <w:r w:rsidR="00A67575">
        <w:rPr>
          <w:rFonts w:cs="Times New Roman"/>
        </w:rPr>
        <w:t xml:space="preserve"> </w:t>
      </w:r>
      <w:r w:rsidR="00906E2D">
        <w:rPr>
          <w:rFonts w:cs="Times New Roman"/>
        </w:rPr>
        <w:t>in the context of translating accounting documents</w:t>
      </w:r>
      <w:r w:rsidR="005C5A9F">
        <w:rPr>
          <w:rFonts w:cs="Times New Roman"/>
        </w:rPr>
        <w:t>.</w:t>
      </w:r>
    </w:p>
    <w:p w14:paraId="79F571D4" w14:textId="249464DA" w:rsidR="00FF1767" w:rsidRPr="00B25EA6" w:rsidRDefault="00906E2D" w:rsidP="009C6E5C">
      <w:pPr>
        <w:spacing w:after="120"/>
        <w:ind w:firstLine="567"/>
        <w:rPr>
          <w:rFonts w:cs="Times New Roman"/>
        </w:rPr>
      </w:pPr>
      <w:r>
        <w:rPr>
          <w:rFonts w:cs="Times New Roman"/>
        </w:rPr>
        <w:t>U</w:t>
      </w:r>
      <w:r w:rsidR="009D7679">
        <w:rPr>
          <w:rFonts w:cs="Times New Roman"/>
        </w:rPr>
        <w:t>nderlying</w:t>
      </w:r>
      <w:r>
        <w:rPr>
          <w:rFonts w:cs="Times New Roman"/>
        </w:rPr>
        <w:t xml:space="preserve"> </w:t>
      </w:r>
      <w:r w:rsidR="00755427">
        <w:rPr>
          <w:rFonts w:cs="Times New Roman"/>
        </w:rPr>
        <w:t>equivalence</w:t>
      </w:r>
      <w:r>
        <w:rPr>
          <w:rFonts w:cs="Times New Roman"/>
        </w:rPr>
        <w:t xml:space="preserve"> is</w:t>
      </w:r>
      <w:r w:rsidR="009D7679">
        <w:rPr>
          <w:rFonts w:cs="Times New Roman"/>
        </w:rPr>
        <w:t xml:space="preserve"> th</w:t>
      </w:r>
      <w:r>
        <w:rPr>
          <w:rFonts w:cs="Times New Roman"/>
        </w:rPr>
        <w:t>e</w:t>
      </w:r>
      <w:r w:rsidR="00FF1767" w:rsidRPr="00B25EA6">
        <w:rPr>
          <w:rFonts w:cs="Times New Roman"/>
        </w:rPr>
        <w:t xml:space="preserve"> idea that there must be a message that stands outside of </w:t>
      </w:r>
      <w:r w:rsidR="00FF1767">
        <w:rPr>
          <w:rFonts w:cs="Times New Roman"/>
        </w:rPr>
        <w:t xml:space="preserve">both </w:t>
      </w:r>
      <w:r w:rsidR="00FF1767" w:rsidRPr="00B25EA6">
        <w:rPr>
          <w:rFonts w:cs="Times New Roman"/>
        </w:rPr>
        <w:t>the source and target language</w:t>
      </w:r>
      <w:r w:rsidR="00FF1767">
        <w:rPr>
          <w:rFonts w:cs="Times New Roman"/>
        </w:rPr>
        <w:t>s</w:t>
      </w:r>
      <w:r w:rsidR="00FF1767" w:rsidRPr="00B25EA6">
        <w:rPr>
          <w:rFonts w:cs="Times New Roman"/>
        </w:rPr>
        <w:t xml:space="preserve"> to w</w:t>
      </w:r>
      <w:r w:rsidR="00FF1767" w:rsidRPr="00E16278">
        <w:rPr>
          <w:rFonts w:cs="Times New Roman"/>
        </w:rPr>
        <w:t>hich the transl</w:t>
      </w:r>
      <w:r w:rsidR="00FF1767">
        <w:rPr>
          <w:rFonts w:cs="Times New Roman"/>
        </w:rPr>
        <w:t xml:space="preserve">ator can refer: </w:t>
      </w:r>
      <w:r w:rsidR="00FF1767" w:rsidRPr="00B25EA6">
        <w:rPr>
          <w:rFonts w:cs="Times New Roman"/>
        </w:rPr>
        <w:t xml:space="preserve">a </w:t>
      </w:r>
      <w:r w:rsidR="00FF1767" w:rsidRPr="00B25EA6">
        <w:rPr>
          <w:rFonts w:cs="Times New Roman"/>
          <w:i/>
        </w:rPr>
        <w:t>tertium comparationis</w:t>
      </w:r>
      <w:r w:rsidR="00FF1767" w:rsidRPr="00E16278">
        <w:rPr>
          <w:rFonts w:cs="Times New Roman"/>
        </w:rPr>
        <w:t xml:space="preserve">. </w:t>
      </w:r>
      <w:r w:rsidR="00FF1767" w:rsidRPr="00B25EA6">
        <w:rPr>
          <w:rFonts w:cs="Times New Roman"/>
        </w:rPr>
        <w:t>A modern application of this idea is loca</w:t>
      </w:r>
      <w:r w:rsidR="00FF1767" w:rsidRPr="00E16278">
        <w:rPr>
          <w:rFonts w:cs="Times New Roman"/>
        </w:rPr>
        <w:t xml:space="preserve">lisation theory (Dunne, 2006). </w:t>
      </w:r>
      <w:r w:rsidR="00FF1767" w:rsidRPr="00B25EA6">
        <w:rPr>
          <w:rFonts w:cs="Times New Roman"/>
        </w:rPr>
        <w:t xml:space="preserve">For example, Microsoft originally dealt in only a few foreign markets, so translated its menus, date formats etc. from </w:t>
      </w:r>
      <w:r w:rsidR="004C40A6">
        <w:rPr>
          <w:rFonts w:cs="Times New Roman"/>
        </w:rPr>
        <w:t xml:space="preserve">American </w:t>
      </w:r>
      <w:r w:rsidR="00FF1767" w:rsidRPr="00B25EA6">
        <w:rPr>
          <w:rFonts w:cs="Times New Roman"/>
        </w:rPr>
        <w:t>English to French,</w:t>
      </w:r>
      <w:r w:rsidR="00FF1767" w:rsidRPr="00E16278">
        <w:rPr>
          <w:rFonts w:cs="Times New Roman"/>
        </w:rPr>
        <w:t xml:space="preserve"> English to German, and so on. </w:t>
      </w:r>
      <w:r w:rsidR="00FF1767" w:rsidRPr="00B25EA6">
        <w:rPr>
          <w:rFonts w:cs="Times New Roman"/>
        </w:rPr>
        <w:t xml:space="preserve">Now that </w:t>
      </w:r>
      <w:r w:rsidR="00743D9F">
        <w:rPr>
          <w:rFonts w:cs="Times New Roman"/>
        </w:rPr>
        <w:t>far more</w:t>
      </w:r>
      <w:r w:rsidR="00FF1767" w:rsidRPr="00B25EA6">
        <w:rPr>
          <w:rFonts w:cs="Times New Roman"/>
        </w:rPr>
        <w:t xml:space="preserve"> language versions are necessary, an </w:t>
      </w:r>
      <w:r w:rsidR="00C95F1A">
        <w:rPr>
          <w:rFonts w:cs="Times New Roman"/>
        </w:rPr>
        <w:t xml:space="preserve">artificial </w:t>
      </w:r>
      <w:r w:rsidR="00FF1767" w:rsidRPr="00B25EA6">
        <w:rPr>
          <w:rFonts w:cs="Times New Roman"/>
        </w:rPr>
        <w:t xml:space="preserve">internationalised </w:t>
      </w:r>
      <w:r w:rsidR="004C40A6">
        <w:rPr>
          <w:rFonts w:cs="Times New Roman"/>
        </w:rPr>
        <w:t xml:space="preserve">English </w:t>
      </w:r>
      <w:r w:rsidR="00FF1767" w:rsidRPr="00B25EA6">
        <w:rPr>
          <w:rFonts w:cs="Times New Roman"/>
        </w:rPr>
        <w:t xml:space="preserve">version </w:t>
      </w:r>
      <w:r w:rsidR="00C95F1A">
        <w:rPr>
          <w:rFonts w:cs="Times New Roman"/>
        </w:rPr>
        <w:t>is created, attempting to remove cultural references, and this</w:t>
      </w:r>
      <w:r w:rsidR="00FF1767" w:rsidRPr="00B25EA6">
        <w:rPr>
          <w:rFonts w:cs="Times New Roman"/>
        </w:rPr>
        <w:t xml:space="preserve"> is the </w:t>
      </w:r>
      <w:r w:rsidR="00C95F1A">
        <w:rPr>
          <w:rFonts w:cs="Times New Roman"/>
        </w:rPr>
        <w:t>source</w:t>
      </w:r>
      <w:r w:rsidR="00FF1767" w:rsidRPr="00B25EA6">
        <w:rPr>
          <w:rFonts w:cs="Times New Roman"/>
        </w:rPr>
        <w:t xml:space="preserve"> text for the translations.</w:t>
      </w:r>
    </w:p>
    <w:p w14:paraId="25B44889" w14:textId="329FD8CF" w:rsidR="00B172BF" w:rsidRDefault="00E36100" w:rsidP="00B172BF">
      <w:pPr>
        <w:ind w:firstLine="567"/>
        <w:rPr>
          <w:rFonts w:cs="Times New Roman"/>
        </w:rPr>
      </w:pPr>
      <w:r>
        <w:rPr>
          <w:rFonts w:cs="Times New Roman"/>
        </w:rPr>
        <w:t>However, t</w:t>
      </w:r>
      <w:r w:rsidR="00FF1767" w:rsidRPr="00B25EA6">
        <w:rPr>
          <w:rFonts w:cs="Times New Roman"/>
        </w:rPr>
        <w:t xml:space="preserve">here are philosophical difficulties with the idea of a </w:t>
      </w:r>
      <w:r w:rsidR="00FF1767" w:rsidRPr="00B25EA6">
        <w:rPr>
          <w:rFonts w:cs="Times New Roman"/>
          <w:i/>
        </w:rPr>
        <w:t>tertium comparationis</w:t>
      </w:r>
      <w:r w:rsidR="00FF1767" w:rsidRPr="00E16278">
        <w:rPr>
          <w:rFonts w:cs="Times New Roman"/>
        </w:rPr>
        <w:t xml:space="preserve">. </w:t>
      </w:r>
      <w:r w:rsidR="008C2B8A">
        <w:rPr>
          <w:rFonts w:cs="Times New Roman"/>
        </w:rPr>
        <w:t>T</w:t>
      </w:r>
      <w:r w:rsidR="000B092D">
        <w:rPr>
          <w:rFonts w:cs="Times New Roman"/>
        </w:rPr>
        <w:t xml:space="preserve">here is </w:t>
      </w:r>
      <w:r w:rsidR="00FF1767" w:rsidRPr="00B25EA6">
        <w:rPr>
          <w:rFonts w:cs="Times New Roman"/>
        </w:rPr>
        <w:t>a measure of indeterminacy</w:t>
      </w:r>
      <w:r w:rsidR="00FF1767">
        <w:rPr>
          <w:rFonts w:cs="Times New Roman"/>
        </w:rPr>
        <w:t xml:space="preserve"> in translation</w:t>
      </w:r>
      <w:r w:rsidR="00FF1767" w:rsidRPr="00B25EA6">
        <w:rPr>
          <w:rFonts w:cs="Times New Roman"/>
        </w:rPr>
        <w:t xml:space="preserve"> (Quine, 1969), </w:t>
      </w:r>
      <w:r w:rsidR="008C2B8A">
        <w:rPr>
          <w:rFonts w:cs="Times New Roman"/>
        </w:rPr>
        <w:t>and</w:t>
      </w:r>
      <w:r w:rsidR="00FF1767" w:rsidRPr="00B25EA6">
        <w:rPr>
          <w:rFonts w:cs="Times New Roman"/>
        </w:rPr>
        <w:t xml:space="preserve"> </w:t>
      </w:r>
      <w:r w:rsidR="008C2B8A">
        <w:rPr>
          <w:rFonts w:cs="Times New Roman"/>
        </w:rPr>
        <w:t>one</w:t>
      </w:r>
      <w:r w:rsidR="00FF1767" w:rsidRPr="00B25EA6">
        <w:rPr>
          <w:rFonts w:cs="Times New Roman"/>
        </w:rPr>
        <w:t xml:space="preserve"> can never be sure whether transmission</w:t>
      </w:r>
      <w:r w:rsidR="00FF1767" w:rsidRPr="00E16278">
        <w:rPr>
          <w:rFonts w:cs="Times New Roman"/>
        </w:rPr>
        <w:t xml:space="preserve"> of meaning has been achieved. </w:t>
      </w:r>
      <w:r w:rsidR="008C2B8A">
        <w:rPr>
          <w:rFonts w:cs="Times New Roman"/>
        </w:rPr>
        <w:t>T</w:t>
      </w:r>
      <w:r w:rsidR="00FF1767" w:rsidRPr="00B25EA6">
        <w:rPr>
          <w:rFonts w:cs="Times New Roman"/>
        </w:rPr>
        <w:t xml:space="preserve">ranslators inevitably </w:t>
      </w:r>
      <w:r w:rsidR="00C95F1A">
        <w:rPr>
          <w:rFonts w:cs="Times New Roman"/>
        </w:rPr>
        <w:t>depart from</w:t>
      </w:r>
      <w:r w:rsidR="00FF1767" w:rsidRPr="00B25EA6">
        <w:rPr>
          <w:rFonts w:cs="Times New Roman"/>
        </w:rPr>
        <w:t xml:space="preserve"> the source text and cannot re</w:t>
      </w:r>
      <w:r w:rsidR="00FF1767">
        <w:rPr>
          <w:rFonts w:cs="Times New Roman"/>
        </w:rPr>
        <w:t>present it fully (Chau</w:t>
      </w:r>
      <w:r w:rsidR="00FF1767" w:rsidRPr="00E16278">
        <w:rPr>
          <w:rFonts w:cs="Times New Roman"/>
        </w:rPr>
        <w:t>, 1984).</w:t>
      </w:r>
      <w:r w:rsidR="00755427">
        <w:rPr>
          <w:rFonts w:cs="Times New Roman"/>
        </w:rPr>
        <w:t xml:space="preserve"> </w:t>
      </w:r>
      <w:r w:rsidR="000B092D">
        <w:rPr>
          <w:rFonts w:cs="Times New Roman"/>
        </w:rPr>
        <w:t xml:space="preserve">In the context of accounting, </w:t>
      </w:r>
      <w:r w:rsidR="0099087B">
        <w:rPr>
          <w:rFonts w:cs="Times New Roman"/>
        </w:rPr>
        <w:t>Dahlgren and Nilsson (2012)</w:t>
      </w:r>
      <w:r w:rsidR="0099087B" w:rsidRPr="009D1ADF">
        <w:rPr>
          <w:rFonts w:cs="Times New Roman"/>
        </w:rPr>
        <w:t xml:space="preserve"> </w:t>
      </w:r>
      <w:r w:rsidR="0099087B">
        <w:rPr>
          <w:rFonts w:cs="Times New Roman"/>
        </w:rPr>
        <w:t xml:space="preserve">consider </w:t>
      </w:r>
      <w:r w:rsidR="0099087B" w:rsidRPr="00BC4AC6">
        <w:rPr>
          <w:rFonts w:cs="Times New Roman"/>
        </w:rPr>
        <w:t>that, because conceptual structures in different languages do not m</w:t>
      </w:r>
      <w:r w:rsidR="000B092D">
        <w:rPr>
          <w:rFonts w:cs="Times New Roman"/>
        </w:rPr>
        <w:t xml:space="preserve">atch perfectly, some </w:t>
      </w:r>
      <w:r w:rsidR="0099087B" w:rsidRPr="00BC4AC6">
        <w:rPr>
          <w:rFonts w:cs="Times New Roman"/>
        </w:rPr>
        <w:t>concepts are “simply not translatable” (p.</w:t>
      </w:r>
      <w:r w:rsidR="0099087B">
        <w:rPr>
          <w:rFonts w:cs="Times New Roman"/>
        </w:rPr>
        <w:t xml:space="preserve"> </w:t>
      </w:r>
      <w:r w:rsidR="0099087B" w:rsidRPr="00BC4AC6">
        <w:rPr>
          <w:rFonts w:cs="Times New Roman"/>
        </w:rPr>
        <w:t xml:space="preserve">57). This was a conclusion reached earlier </w:t>
      </w:r>
      <w:r w:rsidR="0099087B">
        <w:rPr>
          <w:rFonts w:cs="Times New Roman"/>
        </w:rPr>
        <w:t xml:space="preserve">about the “true and fair view” </w:t>
      </w:r>
      <w:r w:rsidR="0099087B" w:rsidRPr="00BC4AC6">
        <w:rPr>
          <w:rFonts w:cs="Times New Roman"/>
        </w:rPr>
        <w:t>by Alexander (1993, p.</w:t>
      </w:r>
      <w:r w:rsidR="0099087B">
        <w:rPr>
          <w:rFonts w:cs="Times New Roman"/>
        </w:rPr>
        <w:t xml:space="preserve"> </w:t>
      </w:r>
      <w:r w:rsidR="0099087B" w:rsidRPr="00BC4AC6">
        <w:rPr>
          <w:rFonts w:cs="Times New Roman"/>
        </w:rPr>
        <w:t>283).</w:t>
      </w:r>
    </w:p>
    <w:p w14:paraId="1DE54858" w14:textId="394D59F6" w:rsidR="0099087B" w:rsidRPr="00B172BF" w:rsidRDefault="00242AB3" w:rsidP="00B172BF">
      <w:pPr>
        <w:ind w:firstLine="567"/>
        <w:rPr>
          <w:rFonts w:cs="Times New Roman"/>
        </w:rPr>
      </w:pPr>
      <w:r>
        <w:rPr>
          <w:rFonts w:cs="Times New Roman"/>
        </w:rPr>
        <w:t xml:space="preserve">However, </w:t>
      </w:r>
      <w:r w:rsidR="0099087B" w:rsidRPr="00BC4AC6">
        <w:rPr>
          <w:rFonts w:cs="Times New Roman"/>
        </w:rPr>
        <w:t>Baskerville and Evans (2011</w:t>
      </w:r>
      <w:r w:rsidR="00143FC0">
        <w:rPr>
          <w:rFonts w:cs="Times New Roman"/>
        </w:rPr>
        <w:t>, p. 29</w:t>
      </w:r>
      <w:r w:rsidR="0099087B" w:rsidRPr="00BC4AC6">
        <w:rPr>
          <w:rFonts w:cs="Times New Roman"/>
        </w:rPr>
        <w:t>)</w:t>
      </w:r>
      <w:r>
        <w:rPr>
          <w:rFonts w:cs="Times New Roman"/>
        </w:rPr>
        <w:t>, after analysing</w:t>
      </w:r>
      <w:r w:rsidR="0099087B" w:rsidRPr="00BC4AC6">
        <w:rPr>
          <w:rFonts w:cs="Times New Roman"/>
        </w:rPr>
        <w:t xml:space="preserve"> the responses to a survey of 67 experts involved in translation of accounting documents or textbooks from English </w:t>
      </w:r>
      <w:r>
        <w:rPr>
          <w:rFonts w:cs="Times New Roman"/>
        </w:rPr>
        <w:t xml:space="preserve">into various European languages, </w:t>
      </w:r>
      <w:r w:rsidR="0099087B" w:rsidRPr="00BC4AC6">
        <w:rPr>
          <w:rFonts w:cs="Times New Roman"/>
        </w:rPr>
        <w:t>conclude</w:t>
      </w:r>
      <w:r w:rsidR="0099087B">
        <w:rPr>
          <w:rFonts w:cs="Times New Roman"/>
        </w:rPr>
        <w:t xml:space="preserve"> </w:t>
      </w:r>
      <w:r w:rsidR="0099087B" w:rsidRPr="00BC4AC6">
        <w:rPr>
          <w:rFonts w:cs="Times New Roman"/>
        </w:rPr>
        <w:t>more hopefully that translation is possible, although direct equivalence cannot generally be achieved.</w:t>
      </w:r>
      <w:r w:rsidR="00B172BF">
        <w:rPr>
          <w:rFonts w:cs="Times New Roman"/>
        </w:rPr>
        <w:t xml:space="preserve"> </w:t>
      </w:r>
      <w:r w:rsidR="0099087B">
        <w:rPr>
          <w:rFonts w:cs="Times New Roman"/>
        </w:rPr>
        <w:t>Thus, a</w:t>
      </w:r>
      <w:r w:rsidR="0099087B" w:rsidDel="008F61DB">
        <w:rPr>
          <w:rFonts w:cs="Times New Roman"/>
        </w:rPr>
        <w:t>lthough w</w:t>
      </w:r>
      <w:r w:rsidR="00B172BF">
        <w:rPr>
          <w:rFonts w:cs="Times New Roman"/>
        </w:rPr>
        <w:t>e note</w:t>
      </w:r>
      <w:r w:rsidR="0099087B" w:rsidRPr="00B25EA6" w:rsidDel="008F61DB">
        <w:rPr>
          <w:rFonts w:cs="Times New Roman"/>
        </w:rPr>
        <w:t xml:space="preserve"> Heidegger’s (1957, p.</w:t>
      </w:r>
      <w:r w:rsidR="0099087B">
        <w:rPr>
          <w:rFonts w:cs="Times New Roman"/>
        </w:rPr>
        <w:t xml:space="preserve"> </w:t>
      </w:r>
      <w:r w:rsidR="0099087B" w:rsidRPr="00B25EA6" w:rsidDel="008F61DB">
        <w:rPr>
          <w:rFonts w:cs="Times New Roman"/>
        </w:rPr>
        <w:t>163) conclusion that poems cannot successfully be translated</w:t>
      </w:r>
      <w:r w:rsidR="0099087B" w:rsidDel="008F61DB">
        <w:rPr>
          <w:rFonts w:cs="Times New Roman"/>
        </w:rPr>
        <w:t xml:space="preserve">, </w:t>
      </w:r>
      <w:r w:rsidR="0099087B" w:rsidRPr="00B25EA6" w:rsidDel="008F61DB">
        <w:rPr>
          <w:rFonts w:cs="Times New Roman"/>
        </w:rPr>
        <w:t xml:space="preserve">we focus </w:t>
      </w:r>
      <w:r w:rsidR="0099087B" w:rsidDel="008F61DB">
        <w:rPr>
          <w:rFonts w:cs="Times New Roman"/>
        </w:rPr>
        <w:t xml:space="preserve">instead </w:t>
      </w:r>
      <w:r w:rsidR="0099087B" w:rsidRPr="00B25EA6" w:rsidDel="008F61DB">
        <w:rPr>
          <w:rFonts w:cs="Times New Roman"/>
        </w:rPr>
        <w:t>on his contrast</w:t>
      </w:r>
      <w:r w:rsidR="0099087B">
        <w:rPr>
          <w:rFonts w:cs="Times New Roman"/>
        </w:rPr>
        <w:t>ing view</w:t>
      </w:r>
      <w:r w:rsidR="00143FC0">
        <w:rPr>
          <w:rFonts w:cs="Times New Roman"/>
        </w:rPr>
        <w:t xml:space="preserve"> that business letters can be; a contrast </w:t>
      </w:r>
      <w:r w:rsidR="004C40A6">
        <w:rPr>
          <w:rFonts w:cs="Times New Roman"/>
        </w:rPr>
        <w:t>endors</w:t>
      </w:r>
      <w:r w:rsidR="0099087B" w:rsidDel="008F61DB">
        <w:rPr>
          <w:rFonts w:cs="Times New Roman"/>
        </w:rPr>
        <w:t>ed, for the translat</w:t>
      </w:r>
      <w:r w:rsidR="00B172BF">
        <w:rPr>
          <w:rFonts w:cs="Times New Roman"/>
        </w:rPr>
        <w:t>ion of accounting texts, by a</w:t>
      </w:r>
      <w:r w:rsidR="000B092D">
        <w:rPr>
          <w:rFonts w:cs="Times New Roman"/>
        </w:rPr>
        <w:t xml:space="preserve"> </w:t>
      </w:r>
      <w:r w:rsidR="00B172BF">
        <w:rPr>
          <w:rFonts w:cs="Times New Roman"/>
        </w:rPr>
        <w:t>respondent</w:t>
      </w:r>
      <w:r w:rsidR="0099087B" w:rsidDel="008F61DB">
        <w:rPr>
          <w:rFonts w:cs="Times New Roman"/>
        </w:rPr>
        <w:t xml:space="preserve"> of Baskerville and Evans (2011, p. 29).</w:t>
      </w:r>
    </w:p>
    <w:p w14:paraId="198DE65A" w14:textId="5F3E3340" w:rsidR="000B092D" w:rsidRPr="00DF37E0" w:rsidRDefault="00DF37E0" w:rsidP="00D93B07">
      <w:pPr>
        <w:ind w:firstLine="567"/>
      </w:pPr>
      <w:r>
        <w:t>An illustration of the difficulty of translation concerns terms for colour</w:t>
      </w:r>
      <w:r w:rsidR="008C2B8A">
        <w:t>s</w:t>
      </w:r>
      <w:r>
        <w:t>;</w:t>
      </w:r>
      <w:r w:rsidR="008C2B8A">
        <w:t xml:space="preserve"> for example, the French word ‘</w:t>
      </w:r>
      <w:r w:rsidR="008C2B8A" w:rsidRPr="00A647A7">
        <w:rPr>
          <w:i/>
        </w:rPr>
        <w:t>vert</w:t>
      </w:r>
      <w:r w:rsidR="008C2B8A">
        <w:t>’ is not fully equivalent to the English word ‘green’.</w:t>
      </w:r>
      <w:r w:rsidR="00E76655">
        <w:rPr>
          <w:rStyle w:val="FootnoteReference"/>
        </w:rPr>
        <w:footnoteReference w:id="8"/>
      </w:r>
      <w:r>
        <w:t xml:space="preserve"> However, suppose that the French government wanted to produce an English </w:t>
      </w:r>
      <w:r w:rsidR="004655A5">
        <w:t>translation</w:t>
      </w:r>
      <w:r>
        <w:t xml:space="preserve"> of its traffic code, to give to British motorists arriving in Calais. On the subject of traffic lights, translator X might suggest: ‘Drivers may proceed when the light is green’. However, a more fastidious translator, Y, who is aware of the serious equivalence problems might propose: ‘Drivers may proceed when the light is coloured’. Although ‘green’ is not exactly equivalent to ‘</w:t>
      </w:r>
      <w:r w:rsidRPr="00D93B07">
        <w:rPr>
          <w:i/>
        </w:rPr>
        <w:t>vert</w:t>
      </w:r>
      <w:r>
        <w:t>’</w:t>
      </w:r>
      <w:r w:rsidR="002911CC">
        <w:t xml:space="preserve">, </w:t>
      </w:r>
      <w:r w:rsidR="00F9142A">
        <w:t>we suggest that it is suitable</w:t>
      </w:r>
      <w:r w:rsidR="002911CC">
        <w:t xml:space="preserve"> because it </w:t>
      </w:r>
      <w:r>
        <w:t xml:space="preserve">conveys the meaning </w:t>
      </w:r>
      <w:r w:rsidR="002911CC">
        <w:t xml:space="preserve">well enough, and it is </w:t>
      </w:r>
      <w:r w:rsidR="004655A5">
        <w:t>more proximate</w:t>
      </w:r>
      <w:r>
        <w:t xml:space="preserve"> than the hypernym.</w:t>
      </w:r>
      <w:r w:rsidR="008F6681">
        <w:t xml:space="preserve"> </w:t>
      </w:r>
      <w:r w:rsidR="000B092D">
        <w:rPr>
          <w:rFonts w:cs="Times New Roman"/>
        </w:rPr>
        <w:t xml:space="preserve">From here on, we will not generally refer to equivalence, but to ‘proximate’ translations, by which we mean those which are likely to </w:t>
      </w:r>
      <w:r w:rsidR="001A6B35">
        <w:rPr>
          <w:rFonts w:cs="Times New Roman"/>
        </w:rPr>
        <w:t xml:space="preserve">minimise ambiguity and to </w:t>
      </w:r>
      <w:r w:rsidR="000B092D">
        <w:rPr>
          <w:rFonts w:cs="Times New Roman"/>
        </w:rPr>
        <w:t xml:space="preserve">be successful in getting the source message across. However, when referring to prior literature, we will sometimes retain </w:t>
      </w:r>
      <w:r w:rsidR="00830010">
        <w:rPr>
          <w:rFonts w:cs="Times New Roman"/>
        </w:rPr>
        <w:t>the</w:t>
      </w:r>
      <w:r w:rsidR="000B092D">
        <w:rPr>
          <w:rFonts w:cs="Times New Roman"/>
        </w:rPr>
        <w:t xml:space="preserve"> use of ‘equivalent’.</w:t>
      </w:r>
    </w:p>
    <w:p w14:paraId="5FA29E74" w14:textId="34D66310" w:rsidR="005F1F17" w:rsidRDefault="007B4489" w:rsidP="005F1F17">
      <w:pPr>
        <w:spacing w:after="120"/>
        <w:ind w:firstLine="567"/>
        <w:rPr>
          <w:rFonts w:cs="Times New Roman"/>
        </w:rPr>
      </w:pPr>
      <w:r w:rsidRPr="007B4489">
        <w:rPr>
          <w:rFonts w:cs="Times New Roman"/>
        </w:rPr>
        <w:t xml:space="preserve">In the context of </w:t>
      </w:r>
      <w:r w:rsidR="00C60600" w:rsidRPr="00C61056">
        <w:rPr>
          <w:rFonts w:cs="Times New Roman"/>
        </w:rPr>
        <w:t>concerns</w:t>
      </w:r>
      <w:r w:rsidR="00DF37E0">
        <w:rPr>
          <w:rFonts w:cs="Times New Roman"/>
        </w:rPr>
        <w:t xml:space="preserve"> about equivalence</w:t>
      </w:r>
      <w:r w:rsidR="00C60600" w:rsidRPr="00C61056">
        <w:rPr>
          <w:rFonts w:cs="Times New Roman"/>
        </w:rPr>
        <w:t>,</w:t>
      </w:r>
      <w:r w:rsidR="00C60600">
        <w:rPr>
          <w:rFonts w:cs="Times New Roman"/>
          <w:i/>
        </w:rPr>
        <w:t xml:space="preserve"> </w:t>
      </w:r>
      <w:r w:rsidR="00A913A1">
        <w:rPr>
          <w:rFonts w:cs="Times New Roman"/>
          <w:i/>
        </w:rPr>
        <w:t>s</w:t>
      </w:r>
      <w:r w:rsidR="00906E2D" w:rsidRPr="00B25EA6">
        <w:rPr>
          <w:rFonts w:cs="Times New Roman"/>
          <w:i/>
        </w:rPr>
        <w:t xml:space="preserve">kopos </w:t>
      </w:r>
      <w:r w:rsidR="00906E2D" w:rsidRPr="00B25EA6">
        <w:rPr>
          <w:rFonts w:cs="Times New Roman"/>
        </w:rPr>
        <w:t xml:space="preserve">theory </w:t>
      </w:r>
      <w:r w:rsidR="00C60600">
        <w:rPr>
          <w:rFonts w:cs="Times New Roman"/>
        </w:rPr>
        <w:t xml:space="preserve">was developed. It </w:t>
      </w:r>
      <w:r w:rsidR="00906E2D" w:rsidRPr="00B25EA6">
        <w:rPr>
          <w:rFonts w:cs="Times New Roman"/>
        </w:rPr>
        <w:t>holds that translators should serve the purpose of the tra</w:t>
      </w:r>
      <w:r w:rsidR="00906E2D" w:rsidRPr="00E16278">
        <w:rPr>
          <w:rFonts w:cs="Times New Roman"/>
        </w:rPr>
        <w:t xml:space="preserve">nslation (e.g. </w:t>
      </w:r>
      <w:r w:rsidR="00906E2D">
        <w:rPr>
          <w:rFonts w:cs="Times New Roman"/>
        </w:rPr>
        <w:t xml:space="preserve">Schäffner, 2001; </w:t>
      </w:r>
      <w:r w:rsidR="00906E2D" w:rsidRPr="00E16278">
        <w:rPr>
          <w:rFonts w:cs="Times New Roman"/>
        </w:rPr>
        <w:t xml:space="preserve">Vermeer, 2012). </w:t>
      </w:r>
      <w:r w:rsidR="00906E2D" w:rsidRPr="00B25EA6">
        <w:rPr>
          <w:rFonts w:cs="Times New Roman"/>
        </w:rPr>
        <w:t>This means that the translators must investigate th</w:t>
      </w:r>
      <w:r w:rsidR="00906E2D" w:rsidRPr="00E16278">
        <w:rPr>
          <w:rFonts w:cs="Times New Roman"/>
        </w:rPr>
        <w:t>e reasons for the translation. Translation th</w:t>
      </w:r>
      <w:r w:rsidR="00906E2D">
        <w:rPr>
          <w:rFonts w:cs="Times New Roman"/>
        </w:rPr>
        <w:t>us</w:t>
      </w:r>
      <w:r w:rsidR="00906E2D" w:rsidRPr="00B25EA6">
        <w:rPr>
          <w:rFonts w:cs="Times New Roman"/>
        </w:rPr>
        <w:t xml:space="preserve"> involves</w:t>
      </w:r>
      <w:r w:rsidR="00906E2D" w:rsidRPr="00E16278">
        <w:rPr>
          <w:rFonts w:cs="Times New Roman"/>
        </w:rPr>
        <w:t xml:space="preserve"> “dethroning” the source text. </w:t>
      </w:r>
      <w:r w:rsidR="00906E2D" w:rsidRPr="00B25EA6">
        <w:rPr>
          <w:rFonts w:cs="Times New Roman"/>
        </w:rPr>
        <w:t xml:space="preserve">This might be an appropriate paradigm </w:t>
      </w:r>
      <w:r w:rsidR="00933777">
        <w:rPr>
          <w:rFonts w:cs="Times New Roman"/>
        </w:rPr>
        <w:t>in some fields (perhaps</w:t>
      </w:r>
      <w:r w:rsidR="00906E2D" w:rsidRPr="00B25EA6">
        <w:rPr>
          <w:rFonts w:cs="Times New Roman"/>
        </w:rPr>
        <w:t xml:space="preserve"> </w:t>
      </w:r>
      <w:r w:rsidR="00A04F68">
        <w:rPr>
          <w:rFonts w:cs="Times New Roman"/>
        </w:rPr>
        <w:t>advertising or</w:t>
      </w:r>
      <w:r w:rsidR="00906E2D" w:rsidRPr="00B25EA6">
        <w:rPr>
          <w:rFonts w:cs="Times New Roman"/>
        </w:rPr>
        <w:t xml:space="preserve"> propaganda</w:t>
      </w:r>
      <w:r w:rsidR="00933777">
        <w:rPr>
          <w:rFonts w:cs="Times New Roman"/>
        </w:rPr>
        <w:t>)</w:t>
      </w:r>
      <w:r w:rsidR="00906E2D" w:rsidRPr="00B25EA6">
        <w:rPr>
          <w:rFonts w:cs="Times New Roman"/>
        </w:rPr>
        <w:t xml:space="preserve"> but, in our view, it is not helpful in the</w:t>
      </w:r>
      <w:r w:rsidR="00906E2D" w:rsidRPr="003E51B8">
        <w:rPr>
          <w:rFonts w:cs="Times New Roman"/>
        </w:rPr>
        <w:t xml:space="preserve"> context of accounting</w:t>
      </w:r>
      <w:r w:rsidR="00906E2D">
        <w:rPr>
          <w:rFonts w:cs="Times New Roman"/>
        </w:rPr>
        <w:t xml:space="preserve"> regulations</w:t>
      </w:r>
      <w:r w:rsidR="00C95F1A">
        <w:rPr>
          <w:rFonts w:cs="Times New Roman"/>
        </w:rPr>
        <w:t xml:space="preserve"> (as opposed to annual reports)</w:t>
      </w:r>
      <w:r w:rsidR="00906E2D" w:rsidRPr="00B25EA6">
        <w:rPr>
          <w:rFonts w:cs="Times New Roman"/>
        </w:rPr>
        <w:t>.</w:t>
      </w:r>
      <w:r w:rsidR="00906E2D">
        <w:rPr>
          <w:rFonts w:cs="Times New Roman"/>
        </w:rPr>
        <w:t xml:space="preserve"> </w:t>
      </w:r>
      <w:r w:rsidR="005F1F17">
        <w:rPr>
          <w:rFonts w:cs="Times New Roman"/>
        </w:rPr>
        <w:t xml:space="preserve">We now </w:t>
      </w:r>
      <w:r w:rsidR="00BA33FB">
        <w:rPr>
          <w:rFonts w:cs="Times New Roman"/>
        </w:rPr>
        <w:t xml:space="preserve">illustrate this </w:t>
      </w:r>
      <w:r w:rsidR="005D4A07">
        <w:rPr>
          <w:rFonts w:cs="Times New Roman"/>
        </w:rPr>
        <w:t>with the example of translation</w:t>
      </w:r>
      <w:r w:rsidR="005F1F17">
        <w:rPr>
          <w:rFonts w:cs="Times New Roman"/>
        </w:rPr>
        <w:t xml:space="preserve"> of the EU’s Fourth Directive on company law.</w:t>
      </w:r>
    </w:p>
    <w:p w14:paraId="124F2E00" w14:textId="7987BF39" w:rsidR="005F1F17" w:rsidRDefault="005F1F17" w:rsidP="005F1F17">
      <w:pPr>
        <w:spacing w:after="120"/>
        <w:ind w:firstLine="567"/>
        <w:rPr>
          <w:rFonts w:cs="Times New Roman"/>
        </w:rPr>
      </w:pPr>
      <w:r>
        <w:rPr>
          <w:rFonts w:cs="Times New Roman"/>
        </w:rPr>
        <w:t xml:space="preserve">The Directive was created in French and first </w:t>
      </w:r>
      <w:r w:rsidRPr="000337D1">
        <w:rPr>
          <w:rFonts w:cs="Times New Roman"/>
          <w:i/>
        </w:rPr>
        <w:t>published</w:t>
      </w:r>
      <w:r>
        <w:rPr>
          <w:rFonts w:cs="Times New Roman"/>
        </w:rPr>
        <w:t xml:space="preserve"> in draft in 1971, before Denmark, Ireland and the UK joined the EU in 1973.</w:t>
      </w:r>
      <w:r>
        <w:rPr>
          <w:rStyle w:val="FootnoteReference"/>
          <w:rFonts w:cs="Times New Roman"/>
        </w:rPr>
        <w:footnoteReference w:id="9"/>
      </w:r>
      <w:r>
        <w:rPr>
          <w:rFonts w:cs="Times New Roman"/>
        </w:rPr>
        <w:t xml:space="preserve"> After this expansion, there was a published re-draft in 1974 which included the concept of “a true and fair view” (TFV), specifically borrowed from the English language and the UK legal context. Especially as TFV is an overriding concept, this led to great discussion about its meaning in continental Europe</w:t>
      </w:r>
      <w:r w:rsidRPr="006E543A">
        <w:rPr>
          <w:rFonts w:cs="Times New Roman"/>
        </w:rPr>
        <w:t xml:space="preserve"> </w:t>
      </w:r>
      <w:r>
        <w:rPr>
          <w:rFonts w:cs="Times New Roman"/>
        </w:rPr>
        <w:t xml:space="preserve">(Alexander, 1993). Sometimes, part of the problem of translation is that the meaning is not clear even in the original, and this was abundantly the case with TFV (e.g. Rutherford, 1985). Researchers </w:t>
      </w:r>
      <w:r w:rsidR="004C40A6">
        <w:rPr>
          <w:rFonts w:cs="Times New Roman"/>
        </w:rPr>
        <w:t xml:space="preserve">later </w:t>
      </w:r>
      <w:r>
        <w:rPr>
          <w:rFonts w:cs="Times New Roman"/>
        </w:rPr>
        <w:t>examined transla</w:t>
      </w:r>
      <w:r w:rsidR="00BA33FB">
        <w:rPr>
          <w:rFonts w:cs="Times New Roman"/>
        </w:rPr>
        <w:t>tions in</w:t>
      </w:r>
      <w:r w:rsidR="00E76655">
        <w:rPr>
          <w:rFonts w:cs="Times New Roman"/>
        </w:rPr>
        <w:t>to</w:t>
      </w:r>
      <w:r w:rsidR="00BA33FB">
        <w:rPr>
          <w:rFonts w:cs="Times New Roman"/>
        </w:rPr>
        <w:t xml:space="preserve"> many languages (e.g.</w:t>
      </w:r>
      <w:r>
        <w:rPr>
          <w:rFonts w:cs="Times New Roman"/>
        </w:rPr>
        <w:t xml:space="preserve"> Nobes, 1993; Zeff, Buijink and Camfferman, 1999; Aisbitt and Nobes, 2001;</w:t>
      </w:r>
      <w:r w:rsidRPr="00B94D36">
        <w:rPr>
          <w:rFonts w:cs="Times New Roman"/>
        </w:rPr>
        <w:t xml:space="preserve"> </w:t>
      </w:r>
      <w:r>
        <w:rPr>
          <w:rFonts w:cs="Times New Roman"/>
        </w:rPr>
        <w:t xml:space="preserve">Kosmala-MacLullich, 2003), noting that most translations were far from literal. Translations of TFV included: (i) </w:t>
      </w:r>
      <w:r w:rsidRPr="00B25EA6">
        <w:rPr>
          <w:rFonts w:cs="Times New Roman"/>
          <w:i/>
        </w:rPr>
        <w:t>une image fid</w:t>
      </w:r>
      <w:r>
        <w:rPr>
          <w:rFonts w:cs="Times New Roman"/>
          <w:i/>
        </w:rPr>
        <w:t>è</w:t>
      </w:r>
      <w:r w:rsidRPr="00B25EA6">
        <w:rPr>
          <w:rFonts w:cs="Times New Roman"/>
          <w:i/>
        </w:rPr>
        <w:t>le</w:t>
      </w:r>
      <w:r>
        <w:rPr>
          <w:rFonts w:cs="Times New Roman"/>
        </w:rPr>
        <w:t xml:space="preserve"> (the French translation using one adjective instead of the two in English), (ii) </w:t>
      </w:r>
      <w:r w:rsidRPr="00B25EA6">
        <w:rPr>
          <w:rFonts w:cs="Times New Roman"/>
          <w:i/>
        </w:rPr>
        <w:t>la imagen fiel</w:t>
      </w:r>
      <w:r>
        <w:rPr>
          <w:rFonts w:cs="Times New Roman"/>
        </w:rPr>
        <w:t xml:space="preserve"> (the Spanish law</w:t>
      </w:r>
      <w:r>
        <w:rPr>
          <w:rStyle w:val="FootnoteReference"/>
          <w:rFonts w:cs="Times New Roman"/>
        </w:rPr>
        <w:footnoteReference w:id="10"/>
      </w:r>
      <w:r>
        <w:rPr>
          <w:rFonts w:cs="Times New Roman"/>
        </w:rPr>
        <w:t xml:space="preserve"> using the definite rather than</w:t>
      </w:r>
      <w:r w:rsidR="00A913A1">
        <w:rPr>
          <w:rFonts w:cs="Times New Roman"/>
        </w:rPr>
        <w:t xml:space="preserve"> the</w:t>
      </w:r>
      <w:r>
        <w:rPr>
          <w:rFonts w:cs="Times New Roman"/>
        </w:rPr>
        <w:t xml:space="preserve"> indefinite article), (iii) </w:t>
      </w:r>
      <w:r w:rsidRPr="00B25EA6">
        <w:rPr>
          <w:rFonts w:cs="Times New Roman"/>
          <w:i/>
        </w:rPr>
        <w:t>rappresentare in modo veritiero e corretto</w:t>
      </w:r>
      <w:r>
        <w:rPr>
          <w:rFonts w:cs="Times New Roman"/>
        </w:rPr>
        <w:t xml:space="preserve"> (the Italian law</w:t>
      </w:r>
      <w:r>
        <w:rPr>
          <w:rStyle w:val="FootnoteReference"/>
          <w:rFonts w:cs="Times New Roman"/>
        </w:rPr>
        <w:footnoteReference w:id="11"/>
      </w:r>
      <w:r>
        <w:rPr>
          <w:rFonts w:cs="Times New Roman"/>
        </w:rPr>
        <w:t xml:space="preserve"> using two adjectives but not necessarily ones </w:t>
      </w:r>
      <w:r w:rsidR="00B172BF">
        <w:rPr>
          <w:rFonts w:cs="Times New Roman"/>
        </w:rPr>
        <w:t xml:space="preserve">closely proximate </w:t>
      </w:r>
      <w:r>
        <w:rPr>
          <w:rFonts w:cs="Times New Roman"/>
        </w:rPr>
        <w:t xml:space="preserve">to the English), and (iv) </w:t>
      </w:r>
      <w:r w:rsidRPr="00B25EA6">
        <w:rPr>
          <w:rFonts w:cs="Times New Roman"/>
          <w:i/>
        </w:rPr>
        <w:t>unter Beachtung der Grundsätze ordnungsmässiger Buchführung ein den tatsächlichen Verhältnissen entsprechendes Bild</w:t>
      </w:r>
      <w:r>
        <w:rPr>
          <w:rFonts w:cs="Times New Roman"/>
        </w:rPr>
        <w:t xml:space="preserve"> (the German law’s elaboration of “true”).</w:t>
      </w:r>
      <w:r>
        <w:rPr>
          <w:rStyle w:val="FootnoteReference"/>
          <w:rFonts w:cs="Times New Roman"/>
        </w:rPr>
        <w:footnoteReference w:id="12"/>
      </w:r>
    </w:p>
    <w:p w14:paraId="5203E874" w14:textId="11AEF753" w:rsidR="008F61DB" w:rsidRDefault="005F1F17" w:rsidP="005F1F17">
      <w:pPr>
        <w:spacing w:after="120"/>
        <w:ind w:firstLine="567"/>
        <w:rPr>
          <w:rFonts w:cs="Times New Roman"/>
        </w:rPr>
      </w:pPr>
      <w:r>
        <w:rPr>
          <w:rFonts w:cs="Times New Roman"/>
        </w:rPr>
        <w:t xml:space="preserve">The German, Spanish and Italian signifiers for TFV were used in national laws to supplant </w:t>
      </w:r>
      <w:r w:rsidR="006E73E9">
        <w:rPr>
          <w:rFonts w:cs="Times New Roman"/>
        </w:rPr>
        <w:t>those</w:t>
      </w:r>
      <w:r>
        <w:rPr>
          <w:rFonts w:cs="Times New Roman"/>
        </w:rPr>
        <w:t xml:space="preserve"> provided by the EU in the national language versions of the Directive which it sent to member states.</w:t>
      </w:r>
      <w:r>
        <w:rPr>
          <w:rStyle w:val="FootnoteReference"/>
          <w:rFonts w:cs="Times New Roman"/>
        </w:rPr>
        <w:footnoteReference w:id="13"/>
      </w:r>
      <w:r>
        <w:rPr>
          <w:rFonts w:cs="Times New Roman"/>
        </w:rPr>
        <w:t xml:space="preserve"> The</w:t>
      </w:r>
      <w:r w:rsidR="0027104B">
        <w:rPr>
          <w:rFonts w:cs="Times New Roman"/>
        </w:rPr>
        <w:t xml:space="preserve"> </w:t>
      </w:r>
      <w:r w:rsidR="00906E2D">
        <w:rPr>
          <w:rFonts w:cs="Times New Roman"/>
        </w:rPr>
        <w:t xml:space="preserve">German </w:t>
      </w:r>
      <w:r w:rsidR="00E76655">
        <w:rPr>
          <w:rFonts w:cs="Times New Roman"/>
        </w:rPr>
        <w:t>elaborat</w:t>
      </w:r>
      <w:r w:rsidR="00830010">
        <w:rPr>
          <w:rFonts w:cs="Times New Roman"/>
        </w:rPr>
        <w:t>ion of</w:t>
      </w:r>
      <w:r w:rsidR="00906E2D">
        <w:rPr>
          <w:rFonts w:cs="Times New Roman"/>
        </w:rPr>
        <w:t xml:space="preserve"> “true”</w:t>
      </w:r>
      <w:r w:rsidR="00E36100">
        <w:rPr>
          <w:rFonts w:cs="Times New Roman"/>
        </w:rPr>
        <w:t xml:space="preserve"> </w:t>
      </w:r>
      <w:r w:rsidR="007B4489">
        <w:rPr>
          <w:rFonts w:cs="Times New Roman"/>
        </w:rPr>
        <w:t>neuter</w:t>
      </w:r>
      <w:r w:rsidR="0093214A">
        <w:rPr>
          <w:rFonts w:cs="Times New Roman"/>
        </w:rPr>
        <w:t xml:space="preserve">s even that </w:t>
      </w:r>
      <w:r w:rsidR="00816EDE">
        <w:rPr>
          <w:rFonts w:cs="Times New Roman"/>
        </w:rPr>
        <w:t xml:space="preserve">concept </w:t>
      </w:r>
      <w:r w:rsidR="0093214A">
        <w:rPr>
          <w:rFonts w:cs="Times New Roman"/>
        </w:rPr>
        <w:t xml:space="preserve">by inventing the overriding need to comply with </w:t>
      </w:r>
      <w:r w:rsidR="007B4489">
        <w:rPr>
          <w:rFonts w:cs="Times New Roman"/>
        </w:rPr>
        <w:t>established norm</w:t>
      </w:r>
      <w:r w:rsidR="0093214A">
        <w:rPr>
          <w:rFonts w:cs="Times New Roman"/>
        </w:rPr>
        <w:t>s</w:t>
      </w:r>
      <w:r w:rsidR="00906E2D">
        <w:rPr>
          <w:rFonts w:cs="Times New Roman"/>
        </w:rPr>
        <w:t xml:space="preserve">. </w:t>
      </w:r>
      <w:r w:rsidR="00E419A3">
        <w:rPr>
          <w:rFonts w:cs="Times New Roman"/>
        </w:rPr>
        <w:t xml:space="preserve">This </w:t>
      </w:r>
      <w:r w:rsidR="00743D9F">
        <w:rPr>
          <w:rFonts w:cs="Times New Roman"/>
        </w:rPr>
        <w:t>involved two</w:t>
      </w:r>
      <w:r w:rsidR="00E419A3">
        <w:rPr>
          <w:rFonts w:cs="Times New Roman"/>
        </w:rPr>
        <w:t xml:space="preserve"> departure</w:t>
      </w:r>
      <w:r w:rsidR="00743D9F">
        <w:rPr>
          <w:rFonts w:cs="Times New Roman"/>
        </w:rPr>
        <w:t>s</w:t>
      </w:r>
      <w:r w:rsidR="00E419A3">
        <w:rPr>
          <w:rFonts w:cs="Times New Roman"/>
        </w:rPr>
        <w:t xml:space="preserve"> from the original German version of the Directive,</w:t>
      </w:r>
      <w:r w:rsidR="00E419A3">
        <w:rPr>
          <w:rStyle w:val="FootnoteReference"/>
          <w:rFonts w:cs="Times New Roman"/>
        </w:rPr>
        <w:footnoteReference w:id="14"/>
      </w:r>
      <w:r w:rsidR="00816EDE">
        <w:rPr>
          <w:rFonts w:cs="Times New Roman"/>
        </w:rPr>
        <w:t xml:space="preserve"> and</w:t>
      </w:r>
      <w:r w:rsidR="00E419A3">
        <w:rPr>
          <w:rFonts w:cs="Times New Roman"/>
        </w:rPr>
        <w:t xml:space="preserve"> </w:t>
      </w:r>
      <w:r w:rsidR="00345227">
        <w:rPr>
          <w:rFonts w:cs="Times New Roman"/>
        </w:rPr>
        <w:t xml:space="preserve">these were </w:t>
      </w:r>
      <w:r w:rsidR="00D10DE7">
        <w:rPr>
          <w:rFonts w:cs="Times New Roman"/>
        </w:rPr>
        <w:t xml:space="preserve">intentional </w:t>
      </w:r>
      <w:r w:rsidR="00E419A3">
        <w:rPr>
          <w:rFonts w:cs="Times New Roman"/>
        </w:rPr>
        <w:t xml:space="preserve">in order </w:t>
      </w:r>
      <w:r w:rsidR="00906E2D">
        <w:rPr>
          <w:rFonts w:cs="Times New Roman"/>
        </w:rPr>
        <w:t>to avoid changes to German accounting</w:t>
      </w:r>
      <w:r w:rsidR="00816EDE">
        <w:rPr>
          <w:rFonts w:cs="Times New Roman"/>
        </w:rPr>
        <w:t xml:space="preserve">, </w:t>
      </w:r>
      <w:r w:rsidR="007B4489">
        <w:rPr>
          <w:rFonts w:cs="Times New Roman"/>
        </w:rPr>
        <w:t xml:space="preserve">particularly the uncertainty that would have been </w:t>
      </w:r>
      <w:r w:rsidR="0027104B">
        <w:rPr>
          <w:rFonts w:cs="Times New Roman"/>
        </w:rPr>
        <w:t>introduced</w:t>
      </w:r>
      <w:r w:rsidR="007B4489">
        <w:rPr>
          <w:rFonts w:cs="Times New Roman"/>
        </w:rPr>
        <w:t xml:space="preserve"> by recourse to a vague new principle </w:t>
      </w:r>
      <w:r w:rsidR="00906E2D">
        <w:rPr>
          <w:rFonts w:cs="Times New Roman"/>
        </w:rPr>
        <w:t>(Ordelheide, 1990</w:t>
      </w:r>
      <w:r w:rsidR="00345227">
        <w:rPr>
          <w:rFonts w:cs="Times New Roman"/>
        </w:rPr>
        <w:t>, p. 13</w:t>
      </w:r>
      <w:r w:rsidR="00906E2D">
        <w:rPr>
          <w:rFonts w:cs="Times New Roman"/>
        </w:rPr>
        <w:t xml:space="preserve">). </w:t>
      </w:r>
      <w:r w:rsidR="00D10DE7">
        <w:rPr>
          <w:rFonts w:cs="Times New Roman"/>
        </w:rPr>
        <w:t xml:space="preserve">In terms of </w:t>
      </w:r>
      <w:r w:rsidR="006E73E9">
        <w:rPr>
          <w:rFonts w:cs="Times New Roman"/>
          <w:i/>
        </w:rPr>
        <w:t>s</w:t>
      </w:r>
      <w:r w:rsidR="00D10DE7">
        <w:rPr>
          <w:rFonts w:cs="Times New Roman"/>
          <w:i/>
        </w:rPr>
        <w:t>kopos</w:t>
      </w:r>
      <w:r w:rsidR="00682465">
        <w:rPr>
          <w:rFonts w:cs="Times New Roman"/>
        </w:rPr>
        <w:t xml:space="preserve"> theory, the result </w:t>
      </w:r>
      <w:r w:rsidR="00D10DE7">
        <w:rPr>
          <w:rFonts w:cs="Times New Roman"/>
        </w:rPr>
        <w:t xml:space="preserve">was a good translation because it </w:t>
      </w:r>
      <w:r w:rsidR="00E419A3">
        <w:rPr>
          <w:rFonts w:cs="Times New Roman"/>
        </w:rPr>
        <w:t>fitted the purpose of the</w:t>
      </w:r>
      <w:r w:rsidR="00816EDE">
        <w:rPr>
          <w:rFonts w:cs="Times New Roman"/>
        </w:rPr>
        <w:t xml:space="preserve"> German</w:t>
      </w:r>
      <w:r w:rsidR="00D10DE7">
        <w:rPr>
          <w:rFonts w:cs="Times New Roman"/>
        </w:rPr>
        <w:t xml:space="preserve"> government</w:t>
      </w:r>
      <w:r w:rsidR="00906E2D">
        <w:rPr>
          <w:rFonts w:cs="Times New Roman"/>
        </w:rPr>
        <w:t xml:space="preserve">, </w:t>
      </w:r>
      <w:r w:rsidR="00D10DE7">
        <w:rPr>
          <w:rFonts w:cs="Times New Roman"/>
        </w:rPr>
        <w:t xml:space="preserve">but </w:t>
      </w:r>
      <w:r w:rsidR="00906E2D">
        <w:rPr>
          <w:rFonts w:cs="Times New Roman"/>
        </w:rPr>
        <w:t xml:space="preserve">we </w:t>
      </w:r>
      <w:r w:rsidR="00B66633">
        <w:rPr>
          <w:rFonts w:cs="Times New Roman"/>
        </w:rPr>
        <w:t xml:space="preserve">suggest that </w:t>
      </w:r>
      <w:r w:rsidR="00906E2D">
        <w:rPr>
          <w:rFonts w:cs="Times New Roman"/>
        </w:rPr>
        <w:t>it does not convey the same message as in the source, and this undermines the purpose of the document (as opposed to the purpose of the translation) which was to achieve international harmonisation. Similarly, the Spanish</w:t>
      </w:r>
      <w:r w:rsidR="00682465">
        <w:rPr>
          <w:rFonts w:cs="Times New Roman"/>
        </w:rPr>
        <w:t xml:space="preserve"> government’s</w:t>
      </w:r>
      <w:r w:rsidR="00906E2D">
        <w:rPr>
          <w:rFonts w:cs="Times New Roman"/>
        </w:rPr>
        <w:t xml:space="preserve"> translation of TFV </w:t>
      </w:r>
      <w:r w:rsidR="00682465">
        <w:rPr>
          <w:rFonts w:cs="Times New Roman"/>
        </w:rPr>
        <w:t>(as opposed to the EU’s translation)</w:t>
      </w:r>
      <w:r w:rsidR="00682465">
        <w:rPr>
          <w:rStyle w:val="FootnoteReference"/>
          <w:rFonts w:cs="Times New Roman"/>
        </w:rPr>
        <w:footnoteReference w:id="15"/>
      </w:r>
      <w:r w:rsidR="00682465">
        <w:rPr>
          <w:rFonts w:cs="Times New Roman"/>
        </w:rPr>
        <w:t xml:space="preserve"> </w:t>
      </w:r>
      <w:r w:rsidR="00906E2D">
        <w:rPr>
          <w:rFonts w:cs="Times New Roman"/>
        </w:rPr>
        <w:t>uses the definite article in order to reduce the apparent vagueness of the concept. This might have suited the purpose of the Spanish government (e.g.</w:t>
      </w:r>
      <w:r w:rsidR="00E36100">
        <w:rPr>
          <w:rFonts w:cs="Times New Roman"/>
        </w:rPr>
        <w:t>,</w:t>
      </w:r>
      <w:r w:rsidR="00906E2D">
        <w:rPr>
          <w:rFonts w:cs="Times New Roman"/>
        </w:rPr>
        <w:t xml:space="preserve"> in its capacity as tax collector, to increase the certainty of accounting numbers) but the translation again departs from the originally intended message. </w:t>
      </w:r>
      <w:r w:rsidR="00096937">
        <w:rPr>
          <w:rFonts w:cs="Times New Roman"/>
        </w:rPr>
        <w:t>The German and Spanish translations seem to be examples of deliberate</w:t>
      </w:r>
      <w:r w:rsidR="00755427">
        <w:rPr>
          <w:rFonts w:cs="Times New Roman"/>
        </w:rPr>
        <w:t>ly attempting to change the meaning</w:t>
      </w:r>
      <w:r w:rsidR="00096937">
        <w:rPr>
          <w:rFonts w:cs="Times New Roman"/>
        </w:rPr>
        <w:t>.</w:t>
      </w:r>
    </w:p>
    <w:p w14:paraId="1966755D" w14:textId="4E29954D" w:rsidR="00B179E1" w:rsidRDefault="00B179E1" w:rsidP="00B179E1">
      <w:pPr>
        <w:ind w:firstLine="567"/>
        <w:rPr>
          <w:rFonts w:cs="Times New Roman"/>
        </w:rPr>
      </w:pPr>
      <w:r>
        <w:rPr>
          <w:rFonts w:cs="Times New Roman"/>
        </w:rPr>
        <w:t>Kettunen (2017) examines the institutions involved in translating IFRS, using Finnish as an example. Kettunen (p. 43) contrasts the work of the EU’s Directorate General for Translation (DGT) with that of a Translation Review Committee (TRC) of the IFRS Foundation, noting that only the latter involves accounting experts.</w:t>
      </w:r>
      <w:r w:rsidR="00BA33FB">
        <w:rPr>
          <w:rStyle w:val="FootnoteReference"/>
          <w:rFonts w:cs="Times New Roman"/>
        </w:rPr>
        <w:footnoteReference w:id="16"/>
      </w:r>
      <w:r>
        <w:rPr>
          <w:rFonts w:cs="Times New Roman"/>
        </w:rPr>
        <w:t xml:space="preserve"> Also, the DGT does not set out a specific objective for translation, whereas the IFRS Foundation states that translators should </w:t>
      </w:r>
      <w:r w:rsidR="006E73E9">
        <w:rPr>
          <w:rFonts w:cs="Times New Roman"/>
        </w:rPr>
        <w:t>“</w:t>
      </w:r>
      <w:r>
        <w:rPr>
          <w:rFonts w:cs="Times New Roman"/>
        </w:rPr>
        <w:t>render the English text into another language</w:t>
      </w:r>
      <w:r w:rsidR="006E73E9">
        <w:rPr>
          <w:rFonts w:cs="Times New Roman"/>
        </w:rPr>
        <w:t>”</w:t>
      </w:r>
      <w:r>
        <w:rPr>
          <w:rFonts w:cs="Times New Roman"/>
        </w:rPr>
        <w:t xml:space="preserve"> but should neither </w:t>
      </w:r>
      <w:r w:rsidR="006E73E9">
        <w:rPr>
          <w:rFonts w:cs="Times New Roman"/>
        </w:rPr>
        <w:t>“</w:t>
      </w:r>
      <w:r>
        <w:rPr>
          <w:rFonts w:cs="Times New Roman"/>
        </w:rPr>
        <w:t>interpret or explain</w:t>
      </w:r>
      <w:r w:rsidR="006E73E9">
        <w:rPr>
          <w:rFonts w:cs="Times New Roman"/>
        </w:rPr>
        <w:t>”</w:t>
      </w:r>
      <w:r>
        <w:rPr>
          <w:rFonts w:cs="Times New Roman"/>
        </w:rPr>
        <w:t xml:space="preserve"> nor </w:t>
      </w:r>
      <w:r w:rsidR="006E73E9">
        <w:rPr>
          <w:rFonts w:cs="Times New Roman"/>
        </w:rPr>
        <w:t>“</w:t>
      </w:r>
      <w:r>
        <w:rPr>
          <w:rFonts w:cs="Times New Roman"/>
        </w:rPr>
        <w:t>add, reduce or alter the substance and content of IFRSs</w:t>
      </w:r>
      <w:r w:rsidR="006E73E9">
        <w:rPr>
          <w:rFonts w:cs="Times New Roman"/>
        </w:rPr>
        <w:t>”</w:t>
      </w:r>
      <w:r>
        <w:rPr>
          <w:rFonts w:cs="Times New Roman"/>
        </w:rPr>
        <w:t xml:space="preserve"> (IFRS Foundation, 2013, para. 3.3).</w:t>
      </w:r>
    </w:p>
    <w:p w14:paraId="0AB131C0" w14:textId="0173BDD8" w:rsidR="00B179E1" w:rsidRDefault="00B179E1" w:rsidP="00B179E1">
      <w:pPr>
        <w:ind w:firstLine="567"/>
        <w:rPr>
          <w:rFonts w:cs="Times New Roman"/>
        </w:rPr>
      </w:pPr>
      <w:r>
        <w:rPr>
          <w:rFonts w:cs="Times New Roman"/>
        </w:rPr>
        <w:t xml:space="preserve">Two of Kettunen’s (2017, pp. 47 and 48) examples of translation into Finnish are particularly interesting because the Finnish TRC decided </w:t>
      </w:r>
      <w:r w:rsidR="00621C51">
        <w:rPr>
          <w:rFonts w:cs="Times New Roman"/>
        </w:rPr>
        <w:t xml:space="preserve">not </w:t>
      </w:r>
      <w:r>
        <w:rPr>
          <w:rFonts w:cs="Times New Roman"/>
        </w:rPr>
        <w:t xml:space="preserve">to </w:t>
      </w:r>
      <w:r w:rsidR="00621C51">
        <w:rPr>
          <w:rFonts w:cs="Times New Roman"/>
        </w:rPr>
        <w:t>act on</w:t>
      </w:r>
      <w:r>
        <w:rPr>
          <w:rFonts w:cs="Times New Roman"/>
        </w:rPr>
        <w:t xml:space="preserve"> the IASB’s deliberate changes in terminology: (i) from ‘valuation’ of assets to ‘measurement’, and (ii) from ‘balance sheet’ to ‘statement of financial position’. These changes can be seen as part of a major philosophical shift towards the use of fair value (Power, 2010)</w:t>
      </w:r>
      <w:r w:rsidR="00621C51">
        <w:rPr>
          <w:rFonts w:cs="Times New Roman"/>
        </w:rPr>
        <w:t>, as follows</w:t>
      </w:r>
      <w:r>
        <w:rPr>
          <w:rFonts w:cs="Times New Roman"/>
        </w:rPr>
        <w:t xml:space="preserve">: (i) the abandonment of the signifier ‘valuation’ points out that the conventional measurement basis for many assets (depreciated cost) has no economic meaning, and (ii) the abandonment of ‘balance sheet’ points out that the IASB would like to move towards a statement which is something better than merely a sheet of the year-end balances </w:t>
      </w:r>
      <w:r w:rsidR="00E36100">
        <w:rPr>
          <w:rFonts w:cs="Times New Roman"/>
        </w:rPr>
        <w:t xml:space="preserve">which </w:t>
      </w:r>
      <w:r>
        <w:rPr>
          <w:rFonts w:cs="Times New Roman"/>
        </w:rPr>
        <w:t>remain in the double-entry system.</w:t>
      </w:r>
      <w:r>
        <w:rPr>
          <w:rStyle w:val="FootnoteReference"/>
          <w:rFonts w:cs="Times New Roman"/>
        </w:rPr>
        <w:footnoteReference w:id="17"/>
      </w:r>
      <w:r>
        <w:rPr>
          <w:rFonts w:cs="Times New Roman"/>
        </w:rPr>
        <w:t xml:space="preserve"> Kettunen does not criticise the </w:t>
      </w:r>
      <w:r w:rsidR="00C70100">
        <w:rPr>
          <w:rFonts w:cs="Times New Roman"/>
        </w:rPr>
        <w:t xml:space="preserve">translations of the </w:t>
      </w:r>
      <w:r>
        <w:rPr>
          <w:rFonts w:cs="Times New Roman"/>
        </w:rPr>
        <w:t xml:space="preserve">TRC, but suggests that </w:t>
      </w:r>
      <w:r w:rsidR="009D7C67">
        <w:rPr>
          <w:rFonts w:cs="Times New Roman"/>
        </w:rPr>
        <w:t>its lack of reaction</w:t>
      </w:r>
      <w:r>
        <w:rPr>
          <w:rFonts w:cs="Times New Roman"/>
        </w:rPr>
        <w:t xml:space="preserve"> helped to ‘maintain the equivalence of terminology’ and </w:t>
      </w:r>
      <w:r w:rsidR="00EB4CC0">
        <w:rPr>
          <w:rFonts w:cs="Times New Roman"/>
        </w:rPr>
        <w:t xml:space="preserve">to </w:t>
      </w:r>
      <w:r>
        <w:rPr>
          <w:rFonts w:cs="Times New Roman"/>
        </w:rPr>
        <w:t xml:space="preserve">avoid differences in terminology between </w:t>
      </w:r>
      <w:r w:rsidR="00621C51">
        <w:rPr>
          <w:rFonts w:cs="Times New Roman"/>
        </w:rPr>
        <w:t xml:space="preserve">Finnish </w:t>
      </w:r>
      <w:r>
        <w:rPr>
          <w:rFonts w:cs="Times New Roman"/>
        </w:rPr>
        <w:t>IFRS and Finnish law (p. 47). We take a different view</w:t>
      </w:r>
      <w:r w:rsidR="009D7C67">
        <w:rPr>
          <w:rFonts w:cs="Times New Roman"/>
        </w:rPr>
        <w:t xml:space="preserve">. The lack of Finnish reaction </w:t>
      </w:r>
      <w:r w:rsidR="00F50255">
        <w:rPr>
          <w:rFonts w:cs="Times New Roman"/>
        </w:rPr>
        <w:t>suggests</w:t>
      </w:r>
      <w:r>
        <w:rPr>
          <w:rFonts w:cs="Times New Roman"/>
        </w:rPr>
        <w:t xml:space="preserve"> that the translators </w:t>
      </w:r>
      <w:r w:rsidR="00A72764">
        <w:rPr>
          <w:rFonts w:cs="Times New Roman"/>
        </w:rPr>
        <w:t xml:space="preserve">had </w:t>
      </w:r>
      <w:r w:rsidR="00C70100">
        <w:rPr>
          <w:rFonts w:cs="Times New Roman"/>
        </w:rPr>
        <w:t xml:space="preserve">a </w:t>
      </w:r>
      <w:r w:rsidRPr="00C61056">
        <w:rPr>
          <w:rFonts w:cs="Times New Roman"/>
          <w:i/>
        </w:rPr>
        <w:t>skopos</w:t>
      </w:r>
      <w:r>
        <w:rPr>
          <w:rFonts w:cs="Times New Roman"/>
        </w:rPr>
        <w:t xml:space="preserve"> </w:t>
      </w:r>
      <w:r w:rsidR="00501B03">
        <w:rPr>
          <w:rFonts w:cs="Times New Roman"/>
        </w:rPr>
        <w:t>(</w:t>
      </w:r>
      <w:r w:rsidR="00F50255">
        <w:rPr>
          <w:rFonts w:cs="Times New Roman"/>
        </w:rPr>
        <w:t>a long-running preference for particular terms</w:t>
      </w:r>
      <w:r w:rsidR="00F50255">
        <w:rPr>
          <w:rStyle w:val="FootnoteReference"/>
          <w:rFonts w:cs="Times New Roman"/>
        </w:rPr>
        <w:footnoteReference w:id="18"/>
      </w:r>
      <w:r w:rsidR="00F50255">
        <w:rPr>
          <w:rFonts w:cs="Times New Roman"/>
        </w:rPr>
        <w:t xml:space="preserve"> and </w:t>
      </w:r>
      <w:r w:rsidR="00501B03">
        <w:rPr>
          <w:rFonts w:cs="Times New Roman"/>
        </w:rPr>
        <w:t xml:space="preserve">consistency with Finnish law) </w:t>
      </w:r>
      <w:r>
        <w:rPr>
          <w:rFonts w:cs="Times New Roman"/>
        </w:rPr>
        <w:t>which was not consistent with the IFRS Foundation’s remit.</w:t>
      </w:r>
    </w:p>
    <w:p w14:paraId="074201A5" w14:textId="0A6CD749" w:rsidR="00906E2D" w:rsidRDefault="00906E2D" w:rsidP="00906E2D">
      <w:pPr>
        <w:spacing w:after="120"/>
        <w:ind w:firstLine="720"/>
        <w:rPr>
          <w:rFonts w:cs="Times New Roman"/>
        </w:rPr>
      </w:pPr>
      <w:r>
        <w:rPr>
          <w:rFonts w:cs="Times New Roman"/>
        </w:rPr>
        <w:t>From the arguments</w:t>
      </w:r>
      <w:r w:rsidR="008F61DB">
        <w:rPr>
          <w:rFonts w:cs="Times New Roman"/>
        </w:rPr>
        <w:t xml:space="preserve"> in the above paragraph</w:t>
      </w:r>
      <w:r w:rsidR="00F6079F">
        <w:rPr>
          <w:rFonts w:cs="Times New Roman"/>
        </w:rPr>
        <w:t>s</w:t>
      </w:r>
      <w:r>
        <w:rPr>
          <w:rFonts w:cs="Times New Roman"/>
        </w:rPr>
        <w:t>, we conclude that</w:t>
      </w:r>
      <w:r w:rsidRPr="00BD15B4">
        <w:rPr>
          <w:rFonts w:cs="Times New Roman"/>
          <w:i/>
        </w:rPr>
        <w:t xml:space="preserve"> </w:t>
      </w:r>
      <w:r w:rsidR="00F6079F">
        <w:rPr>
          <w:rFonts w:cs="Times New Roman"/>
          <w:i/>
        </w:rPr>
        <w:t>s</w:t>
      </w:r>
      <w:r>
        <w:rPr>
          <w:rFonts w:cs="Times New Roman"/>
          <w:i/>
        </w:rPr>
        <w:t>kopos</w:t>
      </w:r>
      <w:r>
        <w:rPr>
          <w:rFonts w:cs="Times New Roman"/>
        </w:rPr>
        <w:t xml:space="preserve"> theory is not a</w:t>
      </w:r>
      <w:r w:rsidR="007B4489">
        <w:rPr>
          <w:rFonts w:cs="Times New Roman"/>
        </w:rPr>
        <w:t xml:space="preserve"> useful</w:t>
      </w:r>
      <w:r>
        <w:rPr>
          <w:rFonts w:cs="Times New Roman"/>
        </w:rPr>
        <w:t xml:space="preserve"> prescriptive paradigm for the translation of </w:t>
      </w:r>
      <w:r w:rsidR="00C60600">
        <w:rPr>
          <w:rFonts w:cs="Times New Roman"/>
        </w:rPr>
        <w:t xml:space="preserve">international </w:t>
      </w:r>
      <w:r>
        <w:rPr>
          <w:rFonts w:cs="Times New Roman"/>
        </w:rPr>
        <w:t xml:space="preserve">regulations. </w:t>
      </w:r>
      <w:r w:rsidR="00F70E12">
        <w:rPr>
          <w:rFonts w:cs="Times New Roman"/>
        </w:rPr>
        <w:t xml:space="preserve">This is because </w:t>
      </w:r>
      <w:r w:rsidR="00F6079F">
        <w:rPr>
          <w:rFonts w:cs="Times New Roman"/>
          <w:i/>
        </w:rPr>
        <w:t>s</w:t>
      </w:r>
      <w:r w:rsidR="00682465">
        <w:rPr>
          <w:rFonts w:cs="Times New Roman"/>
          <w:i/>
        </w:rPr>
        <w:t>kopos</w:t>
      </w:r>
      <w:r w:rsidR="00682465">
        <w:rPr>
          <w:rFonts w:cs="Times New Roman"/>
        </w:rPr>
        <w:t xml:space="preserve"> </w:t>
      </w:r>
      <w:r w:rsidR="00A21DB9">
        <w:rPr>
          <w:rFonts w:cs="Times New Roman"/>
        </w:rPr>
        <w:t xml:space="preserve">and </w:t>
      </w:r>
      <w:r w:rsidR="0087553F">
        <w:rPr>
          <w:rFonts w:cs="Times New Roman"/>
        </w:rPr>
        <w:t>the aim of a proximate</w:t>
      </w:r>
      <w:r w:rsidR="00381F07">
        <w:rPr>
          <w:rFonts w:cs="Times New Roman"/>
        </w:rPr>
        <w:t xml:space="preserve"> translation</w:t>
      </w:r>
      <w:r w:rsidR="000A49EB">
        <w:rPr>
          <w:rFonts w:cs="Times New Roman"/>
        </w:rPr>
        <w:t xml:space="preserve"> lead to the same result</w:t>
      </w:r>
      <w:r w:rsidR="00D70125">
        <w:rPr>
          <w:rFonts w:cs="Times New Roman"/>
        </w:rPr>
        <w:t xml:space="preserve"> when</w:t>
      </w:r>
      <w:r w:rsidR="00F70E12">
        <w:rPr>
          <w:rFonts w:cs="Times New Roman"/>
        </w:rPr>
        <w:t xml:space="preserve"> international </w:t>
      </w:r>
      <w:r w:rsidR="00D70125">
        <w:rPr>
          <w:rFonts w:cs="Times New Roman"/>
        </w:rPr>
        <w:t xml:space="preserve">regulators are in charge of </w:t>
      </w:r>
      <w:r w:rsidR="00F70E12">
        <w:rPr>
          <w:rFonts w:cs="Times New Roman"/>
        </w:rPr>
        <w:t>t</w:t>
      </w:r>
      <w:r w:rsidR="00D70125">
        <w:rPr>
          <w:rFonts w:cs="Times New Roman"/>
        </w:rPr>
        <w:t>ranslation and specify</w:t>
      </w:r>
      <w:r w:rsidR="003F016E">
        <w:rPr>
          <w:rFonts w:cs="Times New Roman"/>
        </w:rPr>
        <w:t xml:space="preserve"> </w:t>
      </w:r>
      <w:r w:rsidR="00D70125">
        <w:rPr>
          <w:rFonts w:cs="Times New Roman"/>
        </w:rPr>
        <w:t>its</w:t>
      </w:r>
      <w:r w:rsidR="003F016E">
        <w:rPr>
          <w:rFonts w:cs="Times New Roman"/>
        </w:rPr>
        <w:t xml:space="preserve"> purpose </w:t>
      </w:r>
      <w:r w:rsidR="00F6079F">
        <w:rPr>
          <w:rFonts w:cs="Times New Roman"/>
        </w:rPr>
        <w:t>as</w:t>
      </w:r>
      <w:r w:rsidR="003F016E">
        <w:rPr>
          <w:rFonts w:cs="Times New Roman"/>
        </w:rPr>
        <w:t xml:space="preserve"> produc</w:t>
      </w:r>
      <w:r w:rsidR="00F6079F">
        <w:rPr>
          <w:rFonts w:cs="Times New Roman"/>
        </w:rPr>
        <w:t>ing</w:t>
      </w:r>
      <w:r w:rsidR="003F016E">
        <w:rPr>
          <w:rFonts w:cs="Times New Roman"/>
        </w:rPr>
        <w:t xml:space="preserve"> </w:t>
      </w:r>
      <w:r w:rsidR="00381F07">
        <w:rPr>
          <w:rFonts w:cs="Times New Roman"/>
        </w:rPr>
        <w:t>‘</w:t>
      </w:r>
      <w:r w:rsidR="003F016E">
        <w:rPr>
          <w:rFonts w:cs="Times New Roman"/>
        </w:rPr>
        <w:t>equivalent</w:t>
      </w:r>
      <w:r w:rsidR="00381F07">
        <w:rPr>
          <w:rFonts w:cs="Times New Roman"/>
        </w:rPr>
        <w:t xml:space="preserve">’ </w:t>
      </w:r>
      <w:r w:rsidR="003F016E">
        <w:rPr>
          <w:rFonts w:cs="Times New Roman"/>
        </w:rPr>
        <w:t>regulations which will lead to internationally comparable financial statements.</w:t>
      </w:r>
      <w:r w:rsidR="003F016E">
        <w:rPr>
          <w:rStyle w:val="FootnoteReference"/>
          <w:rFonts w:cs="Times New Roman"/>
        </w:rPr>
        <w:footnoteReference w:id="19"/>
      </w:r>
      <w:r w:rsidR="003F016E">
        <w:rPr>
          <w:rFonts w:cs="Times New Roman"/>
        </w:rPr>
        <w:t xml:space="preserve"> </w:t>
      </w:r>
      <w:r w:rsidR="00F6079F">
        <w:rPr>
          <w:rFonts w:cs="Times New Roman"/>
        </w:rPr>
        <w:t>However, i</w:t>
      </w:r>
      <w:r w:rsidR="00D70125">
        <w:rPr>
          <w:rFonts w:cs="Times New Roman"/>
        </w:rPr>
        <w:t>f</w:t>
      </w:r>
      <w:r w:rsidR="000A49EB">
        <w:rPr>
          <w:rFonts w:cs="Times New Roman"/>
        </w:rPr>
        <w:t xml:space="preserve"> other parties control translation,</w:t>
      </w:r>
      <w:r w:rsidR="000A49EB" w:rsidRPr="000A49EB">
        <w:rPr>
          <w:rFonts w:cs="Times New Roman"/>
          <w:i/>
        </w:rPr>
        <w:t xml:space="preserve"> </w:t>
      </w:r>
      <w:r w:rsidR="00F6079F">
        <w:rPr>
          <w:rFonts w:cs="Times New Roman"/>
          <w:i/>
        </w:rPr>
        <w:t>s</w:t>
      </w:r>
      <w:r w:rsidR="000A49EB">
        <w:rPr>
          <w:rFonts w:cs="Times New Roman"/>
          <w:i/>
        </w:rPr>
        <w:t>kopos</w:t>
      </w:r>
      <w:r w:rsidR="000A49EB">
        <w:rPr>
          <w:rFonts w:cs="Times New Roman"/>
        </w:rPr>
        <w:t xml:space="preserve"> might lead to deliberate </w:t>
      </w:r>
      <w:r w:rsidR="00EB4CC0">
        <w:rPr>
          <w:rFonts w:cs="Times New Roman"/>
        </w:rPr>
        <w:t>changes in meaning</w:t>
      </w:r>
      <w:r w:rsidR="000A49EB">
        <w:rPr>
          <w:rFonts w:cs="Times New Roman"/>
        </w:rPr>
        <w:t>, which would undermine the purpose of the regulatio</w:t>
      </w:r>
      <w:r w:rsidR="00A21DB9">
        <w:rPr>
          <w:rFonts w:cs="Times New Roman"/>
        </w:rPr>
        <w:t>ns. Either way, we</w:t>
      </w:r>
      <w:r w:rsidR="000A49EB">
        <w:rPr>
          <w:rFonts w:cs="Times New Roman"/>
        </w:rPr>
        <w:t xml:space="preserve"> suggest a target of </w:t>
      </w:r>
      <w:r w:rsidR="0087553F">
        <w:rPr>
          <w:rFonts w:cs="Times New Roman"/>
        </w:rPr>
        <w:t>proximate translation</w:t>
      </w:r>
      <w:r w:rsidR="000A49EB">
        <w:rPr>
          <w:rFonts w:cs="Times New Roman"/>
        </w:rPr>
        <w:t>,</w:t>
      </w:r>
      <w:r w:rsidR="004100C1">
        <w:rPr>
          <w:rFonts w:cs="Times New Roman"/>
        </w:rPr>
        <w:t xml:space="preserve"> which</w:t>
      </w:r>
      <w:r w:rsidR="000A49EB">
        <w:rPr>
          <w:rFonts w:cs="Times New Roman"/>
        </w:rPr>
        <w:t xml:space="preserve"> </w:t>
      </w:r>
      <w:r w:rsidR="008F61DB">
        <w:rPr>
          <w:rFonts w:cs="Times New Roman"/>
        </w:rPr>
        <w:t>is consistent with the guidance given to official translators of IFRS.</w:t>
      </w:r>
    </w:p>
    <w:p w14:paraId="1C72A988" w14:textId="5BD09176" w:rsidR="0034186A" w:rsidRDefault="008B7CC7" w:rsidP="00D93B07">
      <w:pPr>
        <w:ind w:firstLine="720"/>
        <w:rPr>
          <w:rFonts w:cs="Times New Roman"/>
        </w:rPr>
      </w:pPr>
      <w:r>
        <w:rPr>
          <w:rFonts w:cs="Times New Roman"/>
        </w:rPr>
        <w:t>The aim of proximate</w:t>
      </w:r>
      <w:r w:rsidR="00F07B12">
        <w:rPr>
          <w:rFonts w:cs="Times New Roman"/>
        </w:rPr>
        <w:t xml:space="preserve"> translation </w:t>
      </w:r>
      <w:r w:rsidR="009C1F4C" w:rsidRPr="00B25EA6">
        <w:rPr>
          <w:rFonts w:cs="Times New Roman"/>
        </w:rPr>
        <w:t>does not imply the consiste</w:t>
      </w:r>
      <w:r w:rsidR="009C1F4C" w:rsidRPr="00E16278">
        <w:rPr>
          <w:rFonts w:cs="Times New Roman"/>
        </w:rPr>
        <w:t xml:space="preserve">nt use of literal translation. </w:t>
      </w:r>
      <w:r w:rsidR="009C1F4C">
        <w:rPr>
          <w:rFonts w:cs="Times New Roman"/>
        </w:rPr>
        <w:t xml:space="preserve">For example, </w:t>
      </w:r>
      <w:r w:rsidR="009C1F4C" w:rsidRPr="00BC4AC6">
        <w:rPr>
          <w:rFonts w:cs="Times New Roman"/>
        </w:rPr>
        <w:t>Kosmala</w:t>
      </w:r>
      <w:r w:rsidR="009C1F4C">
        <w:rPr>
          <w:rFonts w:cs="Times New Roman"/>
        </w:rPr>
        <w:t>-</w:t>
      </w:r>
      <w:r w:rsidR="009C1F4C" w:rsidRPr="00BC4AC6">
        <w:rPr>
          <w:rFonts w:cs="Times New Roman"/>
        </w:rPr>
        <w:t>Mac</w:t>
      </w:r>
      <w:r w:rsidR="009C1F4C">
        <w:rPr>
          <w:rFonts w:cs="Times New Roman"/>
        </w:rPr>
        <w:t>L</w:t>
      </w:r>
      <w:r w:rsidR="009C1F4C" w:rsidRPr="00BC4AC6">
        <w:rPr>
          <w:rFonts w:cs="Times New Roman"/>
        </w:rPr>
        <w:t xml:space="preserve">ullich (2003) and Kosmala (2005) explain that there are many different words for </w:t>
      </w:r>
      <w:r w:rsidR="009C1F4C">
        <w:rPr>
          <w:rFonts w:cs="Times New Roman"/>
        </w:rPr>
        <w:t>“</w:t>
      </w:r>
      <w:r w:rsidR="009C1F4C" w:rsidRPr="00BC4AC6">
        <w:rPr>
          <w:rFonts w:cs="Times New Roman"/>
        </w:rPr>
        <w:t>true</w:t>
      </w:r>
      <w:r w:rsidR="009C1F4C">
        <w:rPr>
          <w:rFonts w:cs="Times New Roman"/>
        </w:rPr>
        <w:t>”</w:t>
      </w:r>
      <w:r w:rsidR="009C1F4C" w:rsidRPr="00BC4AC6">
        <w:rPr>
          <w:rFonts w:cs="Times New Roman"/>
        </w:rPr>
        <w:t xml:space="preserve"> and </w:t>
      </w:r>
      <w:r w:rsidR="009C1F4C">
        <w:rPr>
          <w:rFonts w:cs="Times New Roman"/>
        </w:rPr>
        <w:t>“</w:t>
      </w:r>
      <w:r w:rsidR="009C1F4C" w:rsidRPr="00BC4AC6">
        <w:rPr>
          <w:rFonts w:cs="Times New Roman"/>
        </w:rPr>
        <w:t>fair</w:t>
      </w:r>
      <w:r w:rsidR="009C1F4C">
        <w:rPr>
          <w:rFonts w:cs="Times New Roman"/>
        </w:rPr>
        <w:t>”</w:t>
      </w:r>
      <w:r w:rsidR="009C1F4C" w:rsidRPr="00BC4AC6">
        <w:rPr>
          <w:rFonts w:cs="Times New Roman"/>
        </w:rPr>
        <w:t xml:space="preserve"> in Pol</w:t>
      </w:r>
      <w:r w:rsidR="009C1F4C">
        <w:rPr>
          <w:rFonts w:cs="Times New Roman"/>
        </w:rPr>
        <w:t>ish. T</w:t>
      </w:r>
      <w:r w:rsidR="009C1F4C" w:rsidRPr="00BC4AC6">
        <w:rPr>
          <w:rFonts w:cs="Times New Roman"/>
        </w:rPr>
        <w:t>he interpretation</w:t>
      </w:r>
      <w:r w:rsidR="009C1F4C">
        <w:rPr>
          <w:rFonts w:cs="Times New Roman"/>
        </w:rPr>
        <w:t xml:space="preserve"> </w:t>
      </w:r>
      <w:r w:rsidR="0051112E">
        <w:rPr>
          <w:rFonts w:cs="Times New Roman"/>
        </w:rPr>
        <w:t xml:space="preserve">in different countries </w:t>
      </w:r>
      <w:r w:rsidR="009C1F4C" w:rsidRPr="00BC4AC6">
        <w:rPr>
          <w:rFonts w:cs="Times New Roman"/>
        </w:rPr>
        <w:t>depends on such issues as the nature of the legal system and the content of previous laws.</w:t>
      </w:r>
      <w:r w:rsidR="009C1F4C" w:rsidRPr="00DA37C1">
        <w:rPr>
          <w:rFonts w:cs="Times New Roman"/>
        </w:rPr>
        <w:t xml:space="preserve"> </w:t>
      </w:r>
      <w:r w:rsidR="009C1F4C">
        <w:rPr>
          <w:rFonts w:cs="Times New Roman"/>
        </w:rPr>
        <w:t xml:space="preserve">Evans </w:t>
      </w:r>
      <w:r w:rsidR="009C1F4C">
        <w:rPr>
          <w:rFonts w:cs="Times New Roman"/>
          <w:i/>
        </w:rPr>
        <w:t>et al.</w:t>
      </w:r>
      <w:r w:rsidR="009C1F4C">
        <w:rPr>
          <w:rFonts w:cs="Times New Roman"/>
        </w:rPr>
        <w:t xml:space="preserve"> (2015, p. 22)</w:t>
      </w:r>
      <w:r w:rsidR="009C1F4C" w:rsidRPr="0034186A">
        <w:rPr>
          <w:rFonts w:cs="Times New Roman"/>
        </w:rPr>
        <w:t xml:space="preserve"> </w:t>
      </w:r>
      <w:r w:rsidR="009C1F4C">
        <w:rPr>
          <w:rFonts w:cs="Times New Roman"/>
        </w:rPr>
        <w:t xml:space="preserve">note that translators of biblical and legal texts had attempted literal translation but they suggest that this is unlikely to work well for principles-based standards. </w:t>
      </w:r>
      <w:r w:rsidR="009D1ADF" w:rsidDel="00C34083">
        <w:rPr>
          <w:rFonts w:cs="Times New Roman"/>
        </w:rPr>
        <w:t xml:space="preserve">Archer and McLeay (1991) outline </w:t>
      </w:r>
      <w:r w:rsidR="00335B93" w:rsidDel="00C34083">
        <w:rPr>
          <w:rFonts w:cs="Times New Roman"/>
        </w:rPr>
        <w:t>four techniques of non-literal translation</w:t>
      </w:r>
      <w:r w:rsidR="00241D86" w:rsidDel="00C34083">
        <w:rPr>
          <w:rFonts w:cs="Times New Roman"/>
        </w:rPr>
        <w:t>:</w:t>
      </w:r>
      <w:r w:rsidR="00335B93" w:rsidDel="00C34083">
        <w:rPr>
          <w:rFonts w:cs="Times New Roman"/>
        </w:rPr>
        <w:t xml:space="preserve"> circumlocution, coinage, approximation and inter-language borrowing.</w:t>
      </w:r>
      <w:r w:rsidR="00241D86" w:rsidDel="00C34083">
        <w:rPr>
          <w:rFonts w:cs="Times New Roman"/>
        </w:rPr>
        <w:t xml:space="preserve"> </w:t>
      </w:r>
      <w:r w:rsidR="00925F48">
        <w:rPr>
          <w:rFonts w:cs="Times New Roman"/>
        </w:rPr>
        <w:t>These are augmented by Baskerville and Evans (2011, pp. 44-48).</w:t>
      </w:r>
      <w:r w:rsidR="0002180C">
        <w:rPr>
          <w:rFonts w:cs="Times New Roman"/>
        </w:rPr>
        <w:t xml:space="preserve"> </w:t>
      </w:r>
      <w:r w:rsidR="0034186A" w:rsidDel="00B03F6F">
        <w:rPr>
          <w:rFonts w:cs="Times New Roman"/>
        </w:rPr>
        <w:t>Dahlgren and Nilsson (2012)</w:t>
      </w:r>
      <w:r w:rsidR="0034186A" w:rsidRPr="009D1ADF" w:rsidDel="00B03F6F">
        <w:rPr>
          <w:rFonts w:cs="Times New Roman"/>
        </w:rPr>
        <w:t xml:space="preserve"> </w:t>
      </w:r>
      <w:r w:rsidR="0002180C" w:rsidDel="00B03F6F">
        <w:rPr>
          <w:rFonts w:cs="Times New Roman"/>
        </w:rPr>
        <w:t xml:space="preserve">illustrate the </w:t>
      </w:r>
      <w:r w:rsidR="0034186A" w:rsidDel="00B03F6F">
        <w:rPr>
          <w:rFonts w:cs="Times New Roman"/>
        </w:rPr>
        <w:t>four techniques with IFRS accounting examples.</w:t>
      </w:r>
    </w:p>
    <w:p w14:paraId="77A26EF9" w14:textId="03D852C7" w:rsidR="00C34083" w:rsidRDefault="00C34083" w:rsidP="0002180C">
      <w:pPr>
        <w:ind w:firstLine="567"/>
        <w:rPr>
          <w:rFonts w:cs="Times New Roman"/>
        </w:rPr>
      </w:pPr>
      <w:r>
        <w:rPr>
          <w:rFonts w:cs="Times New Roman"/>
        </w:rPr>
        <w:t xml:space="preserve">Evans </w:t>
      </w:r>
      <w:r>
        <w:rPr>
          <w:rFonts w:cs="Times New Roman"/>
          <w:i/>
        </w:rPr>
        <w:t>et al</w:t>
      </w:r>
      <w:r>
        <w:rPr>
          <w:rFonts w:cs="Times New Roman"/>
        </w:rPr>
        <w:t>. (2015) examine the problems of translation in several disciplines, such as law, medicine, engineering and advertising. They conclude (p.</w:t>
      </w:r>
      <w:r w:rsidR="00886E84">
        <w:rPr>
          <w:rFonts w:cs="Times New Roman"/>
        </w:rPr>
        <w:t xml:space="preserve"> </w:t>
      </w:r>
      <w:r>
        <w:rPr>
          <w:rFonts w:cs="Times New Roman"/>
        </w:rPr>
        <w:t>10) that a translator needs to distinguish the meaning of a term in a specialist register from its meaning in the everyday register. However, in law for example, it is not just everyday dictionaries that are dangerous but even technical dictionaries. Instead, the lack of exact equivalents leads to the need for “conceptual dictionaries” which explain the meaning of words in context.</w:t>
      </w:r>
      <w:r w:rsidR="0002180C" w:rsidRPr="0002180C">
        <w:rPr>
          <w:rFonts w:cs="Times New Roman"/>
        </w:rPr>
        <w:t xml:space="preserve"> </w:t>
      </w:r>
      <w:r w:rsidR="0002180C">
        <w:rPr>
          <w:rFonts w:cs="Times New Roman"/>
        </w:rPr>
        <w:t>Evans (2004, p.</w:t>
      </w:r>
      <w:r w:rsidR="00886E84">
        <w:rPr>
          <w:rFonts w:cs="Times New Roman"/>
        </w:rPr>
        <w:t xml:space="preserve"> </w:t>
      </w:r>
      <w:r w:rsidR="0002180C">
        <w:rPr>
          <w:rFonts w:cs="Times New Roman"/>
        </w:rPr>
        <w:t xml:space="preserve">239) discusses the concept of the “misleading label” as an obstacle to good accounting harmonisation. One of the causes of this is a translator’s use of a </w:t>
      </w:r>
      <w:r w:rsidR="00156B56">
        <w:rPr>
          <w:rFonts w:cs="Times New Roman"/>
        </w:rPr>
        <w:t>term</w:t>
      </w:r>
      <w:r w:rsidR="0051112E">
        <w:rPr>
          <w:rFonts w:cs="Times New Roman"/>
        </w:rPr>
        <w:t xml:space="preserve"> </w:t>
      </w:r>
      <w:r w:rsidR="0002180C">
        <w:rPr>
          <w:rFonts w:cs="Times New Roman"/>
        </w:rPr>
        <w:t xml:space="preserve">which already exists in the target language with a different meaning from that now intended. Evans </w:t>
      </w:r>
      <w:r w:rsidR="0002180C" w:rsidRPr="000337D1">
        <w:rPr>
          <w:rFonts w:cs="Times New Roman"/>
          <w:i/>
        </w:rPr>
        <w:t>et al.</w:t>
      </w:r>
      <w:r w:rsidR="0002180C">
        <w:rPr>
          <w:rFonts w:cs="Times New Roman"/>
        </w:rPr>
        <w:t xml:space="preserve"> (2015, p. 21) also warn against </w:t>
      </w:r>
      <w:r w:rsidR="0002180C" w:rsidRPr="000337D1">
        <w:rPr>
          <w:rFonts w:cs="Times New Roman"/>
          <w:i/>
        </w:rPr>
        <w:t>faux amis</w:t>
      </w:r>
      <w:r w:rsidR="0002180C">
        <w:rPr>
          <w:rFonts w:cs="Times New Roman"/>
        </w:rPr>
        <w:t>, such as the French “</w:t>
      </w:r>
      <w:r w:rsidR="0002180C" w:rsidRPr="000337D1">
        <w:rPr>
          <w:rFonts w:cs="Times New Roman"/>
          <w:i/>
        </w:rPr>
        <w:t>mat</w:t>
      </w:r>
      <w:r w:rsidR="00524ADE">
        <w:rPr>
          <w:rFonts w:cs="Times New Roman"/>
          <w:i/>
        </w:rPr>
        <w:t>é</w:t>
      </w:r>
      <w:r w:rsidR="0002180C" w:rsidRPr="000337D1">
        <w:rPr>
          <w:rFonts w:cs="Times New Roman"/>
          <w:i/>
        </w:rPr>
        <w:t>riel</w:t>
      </w:r>
      <w:r w:rsidR="0002180C">
        <w:rPr>
          <w:rFonts w:cs="Times New Roman"/>
        </w:rPr>
        <w:t>” or the Swedish “</w:t>
      </w:r>
      <w:r w:rsidR="0002180C" w:rsidRPr="000337D1">
        <w:rPr>
          <w:rFonts w:cs="Times New Roman"/>
          <w:i/>
        </w:rPr>
        <w:t>materiell</w:t>
      </w:r>
      <w:r w:rsidR="0002180C">
        <w:rPr>
          <w:rFonts w:cs="Times New Roman"/>
        </w:rPr>
        <w:t>” which are too physical to convey the “material”</w:t>
      </w:r>
      <w:r w:rsidR="00524ADE">
        <w:rPr>
          <w:rFonts w:cs="Times New Roman"/>
        </w:rPr>
        <w:t xml:space="preserve"> of the English accounting register (Baskerville and Evans, 2011, p.</w:t>
      </w:r>
      <w:r w:rsidR="00886E84">
        <w:rPr>
          <w:rFonts w:cs="Times New Roman"/>
        </w:rPr>
        <w:t xml:space="preserve"> </w:t>
      </w:r>
      <w:r w:rsidR="00524ADE">
        <w:rPr>
          <w:rFonts w:cs="Times New Roman"/>
        </w:rPr>
        <w:t>45)</w:t>
      </w:r>
      <w:r w:rsidR="0002180C">
        <w:rPr>
          <w:rFonts w:cs="Times New Roman"/>
        </w:rPr>
        <w:t>.</w:t>
      </w:r>
    </w:p>
    <w:p w14:paraId="32D015E0" w14:textId="6B69498F" w:rsidR="000C4AA0" w:rsidRDefault="00994A92" w:rsidP="00994A92">
      <w:pPr>
        <w:ind w:firstLine="567"/>
        <w:rPr>
          <w:rFonts w:cs="Times New Roman"/>
        </w:rPr>
      </w:pPr>
      <w:r>
        <w:rPr>
          <w:rFonts w:cs="Times New Roman"/>
        </w:rPr>
        <w:t xml:space="preserve">Nobes and Parker (2010, p. 159) and </w:t>
      </w:r>
      <w:r w:rsidRPr="00BC4AC6">
        <w:rPr>
          <w:rFonts w:cs="Times New Roman"/>
        </w:rPr>
        <w:t>Dahlgren and Ni</w:t>
      </w:r>
      <w:r>
        <w:rPr>
          <w:rFonts w:cs="Times New Roman"/>
        </w:rPr>
        <w:t xml:space="preserve">lsson (2012) give examples of straight-forward errors in official translations of IFRS. </w:t>
      </w:r>
      <w:r w:rsidR="00241048">
        <w:rPr>
          <w:rFonts w:cs="Times New Roman"/>
        </w:rPr>
        <w:t xml:space="preserve">Back-translation is </w:t>
      </w:r>
      <w:r w:rsidR="00241048" w:rsidRPr="006108B0">
        <w:rPr>
          <w:rFonts w:cs="Times New Roman"/>
        </w:rPr>
        <w:t>tried with several accounting examples by Dahlgren and Nilsson (2012</w:t>
      </w:r>
      <w:r w:rsidR="00241048">
        <w:rPr>
          <w:rFonts w:cs="Times New Roman"/>
        </w:rPr>
        <w:t>, pp. 49-51</w:t>
      </w:r>
      <w:r w:rsidR="00241048" w:rsidRPr="006108B0">
        <w:rPr>
          <w:rFonts w:cs="Times New Roman"/>
        </w:rPr>
        <w:t xml:space="preserve">) from English to Swedish and back. </w:t>
      </w:r>
      <w:r w:rsidR="00241048">
        <w:rPr>
          <w:rFonts w:cs="Times New Roman"/>
        </w:rPr>
        <w:t>In their examples</w:t>
      </w:r>
      <w:r w:rsidR="00747155">
        <w:rPr>
          <w:rFonts w:cs="Times New Roman"/>
        </w:rPr>
        <w:t>,</w:t>
      </w:r>
      <w:r w:rsidR="00241048">
        <w:rPr>
          <w:rFonts w:cs="Times New Roman"/>
        </w:rPr>
        <w:t xml:space="preserve"> back-translation fails</w:t>
      </w:r>
      <w:r w:rsidR="00F46B77">
        <w:rPr>
          <w:rFonts w:cs="Times New Roman"/>
        </w:rPr>
        <w:t>, and there is</w:t>
      </w:r>
      <w:r w:rsidR="00811341">
        <w:rPr>
          <w:rFonts w:cs="Times New Roman"/>
        </w:rPr>
        <w:t xml:space="preserve"> lack of </w:t>
      </w:r>
      <w:r w:rsidR="00F46B77">
        <w:rPr>
          <w:rFonts w:cs="Times New Roman"/>
        </w:rPr>
        <w:t>‘</w:t>
      </w:r>
      <w:r w:rsidR="00811341">
        <w:rPr>
          <w:rFonts w:cs="Times New Roman"/>
        </w:rPr>
        <w:t>equivalence</w:t>
      </w:r>
      <w:r w:rsidR="00F46B77">
        <w:rPr>
          <w:rFonts w:cs="Times New Roman"/>
        </w:rPr>
        <w:t>’, which</w:t>
      </w:r>
      <w:r w:rsidR="00811341">
        <w:rPr>
          <w:rFonts w:cs="Times New Roman"/>
        </w:rPr>
        <w:t xml:space="preserve"> is sometimes caused by poor translation and sometimes because the target language has no appropriate</w:t>
      </w:r>
      <w:r w:rsidR="0051112E">
        <w:rPr>
          <w:rFonts w:cs="Times New Roman"/>
        </w:rPr>
        <w:t xml:space="preserve"> </w:t>
      </w:r>
      <w:r w:rsidR="00156B56">
        <w:rPr>
          <w:rFonts w:cs="Times New Roman"/>
        </w:rPr>
        <w:t>term</w:t>
      </w:r>
      <w:r w:rsidR="00241048">
        <w:rPr>
          <w:rFonts w:cs="Times New Roman"/>
        </w:rPr>
        <w:t xml:space="preserve">. </w:t>
      </w:r>
      <w:r>
        <w:rPr>
          <w:rFonts w:cs="Times New Roman"/>
        </w:rPr>
        <w:t>However, w</w:t>
      </w:r>
      <w:r w:rsidR="000C4AA0">
        <w:rPr>
          <w:rFonts w:cs="Times New Roman"/>
        </w:rPr>
        <w:t xml:space="preserve">e do not intend to rely on back-translation as a test of the </w:t>
      </w:r>
      <w:r w:rsidR="008B7CC7">
        <w:rPr>
          <w:rFonts w:cs="Times New Roman"/>
        </w:rPr>
        <w:t>proximity</w:t>
      </w:r>
      <w:r w:rsidR="000C4AA0">
        <w:rPr>
          <w:rFonts w:cs="Times New Roman"/>
        </w:rPr>
        <w:t xml:space="preserve"> of translations. For example, longer phrases might be able to convey the same meaning. In other fields, such as marketing, it has also been suggested one should not rely upon back-translation alone (Douglas and Craig, 2007).</w:t>
      </w:r>
    </w:p>
    <w:p w14:paraId="6C45537E" w14:textId="34B415E1" w:rsidR="00FB0CC1" w:rsidRPr="00B25EA6" w:rsidRDefault="00C271C0" w:rsidP="005950C1">
      <w:pPr>
        <w:pStyle w:val="Heading1"/>
      </w:pPr>
      <w:r>
        <w:t>3</w:t>
      </w:r>
      <w:r w:rsidR="00B7675E">
        <w:t xml:space="preserve">. </w:t>
      </w:r>
      <w:r w:rsidR="00F47AB5" w:rsidRPr="00B25EA6">
        <w:t xml:space="preserve">The origins and translation of the </w:t>
      </w:r>
      <w:r w:rsidR="00156B56">
        <w:t>term</w:t>
      </w:r>
      <w:r w:rsidR="000C4AA0">
        <w:t xml:space="preserve"> </w:t>
      </w:r>
      <w:r w:rsidR="00F47AB5" w:rsidRPr="00B25EA6">
        <w:t>“impairment”</w:t>
      </w:r>
    </w:p>
    <w:p w14:paraId="3AA109F3" w14:textId="7BB81F78" w:rsidR="00CC19E5" w:rsidRPr="00095B86" w:rsidRDefault="00C271C0" w:rsidP="000E5225">
      <w:pPr>
        <w:pStyle w:val="Heading2"/>
        <w:rPr>
          <w:rFonts w:cs="Times New Roman"/>
          <w:b/>
          <w:szCs w:val="22"/>
        </w:rPr>
      </w:pPr>
      <w:r>
        <w:rPr>
          <w:rFonts w:cs="Times New Roman"/>
          <w:szCs w:val="22"/>
        </w:rPr>
        <w:t>3</w:t>
      </w:r>
      <w:r w:rsidR="00CB0428">
        <w:rPr>
          <w:rFonts w:cs="Times New Roman"/>
          <w:szCs w:val="22"/>
        </w:rPr>
        <w:t xml:space="preserve">.1 </w:t>
      </w:r>
      <w:r w:rsidR="001A334F" w:rsidRPr="00095B86">
        <w:rPr>
          <w:rFonts w:cs="Times New Roman"/>
          <w:szCs w:val="22"/>
        </w:rPr>
        <w:t xml:space="preserve">Impairment </w:t>
      </w:r>
      <w:r w:rsidR="0035227C">
        <w:rPr>
          <w:rFonts w:cs="Times New Roman"/>
          <w:szCs w:val="22"/>
        </w:rPr>
        <w:t>in the English-speaking world</w:t>
      </w:r>
    </w:p>
    <w:p w14:paraId="4F078ECF" w14:textId="4137F028" w:rsidR="009046C6" w:rsidRDefault="008D26F9" w:rsidP="005B34C1">
      <w:pPr>
        <w:ind w:firstLine="567"/>
        <w:rPr>
          <w:rFonts w:cs="Times New Roman"/>
        </w:rPr>
      </w:pPr>
      <w:r w:rsidRPr="00BC4AC6">
        <w:rPr>
          <w:rFonts w:cs="Times New Roman"/>
        </w:rPr>
        <w:t>As explained above, this paper</w:t>
      </w:r>
      <w:r w:rsidR="00C30784" w:rsidRPr="00BC4AC6">
        <w:rPr>
          <w:rFonts w:cs="Times New Roman"/>
        </w:rPr>
        <w:t xml:space="preserve"> f</w:t>
      </w:r>
      <w:r w:rsidRPr="00BC4AC6">
        <w:rPr>
          <w:rFonts w:cs="Times New Roman"/>
        </w:rPr>
        <w:t>ocuses on impairment</w:t>
      </w:r>
      <w:r w:rsidR="00C30784" w:rsidRPr="00BC4AC6">
        <w:rPr>
          <w:rFonts w:cs="Times New Roman"/>
        </w:rPr>
        <w:t xml:space="preserve">. This sub-section therefore provides </w:t>
      </w:r>
      <w:r w:rsidR="0035227C">
        <w:rPr>
          <w:rFonts w:cs="Times New Roman"/>
        </w:rPr>
        <w:t>brief reviews of the meaning of the term in everyday English</w:t>
      </w:r>
      <w:r w:rsidR="00B17A6B">
        <w:rPr>
          <w:rFonts w:cs="Times New Roman"/>
        </w:rPr>
        <w:t xml:space="preserve"> and</w:t>
      </w:r>
      <w:r w:rsidR="00C30784" w:rsidRPr="00BC4AC6">
        <w:rPr>
          <w:rFonts w:cs="Times New Roman"/>
        </w:rPr>
        <w:t xml:space="preserve"> the</w:t>
      </w:r>
      <w:r w:rsidR="0081551B">
        <w:rPr>
          <w:rFonts w:cs="Times New Roman"/>
        </w:rPr>
        <w:t xml:space="preserve"> development of</w:t>
      </w:r>
      <w:r w:rsidR="00C30784" w:rsidRPr="00BC4AC6">
        <w:rPr>
          <w:rFonts w:cs="Times New Roman"/>
        </w:rPr>
        <w:t xml:space="preserve"> impairment </w:t>
      </w:r>
      <w:r w:rsidR="0035227C">
        <w:rPr>
          <w:rFonts w:cs="Times New Roman"/>
        </w:rPr>
        <w:t xml:space="preserve">accounting </w:t>
      </w:r>
      <w:r w:rsidR="00C30784" w:rsidRPr="00BC4AC6">
        <w:rPr>
          <w:rFonts w:cs="Times New Roman"/>
        </w:rPr>
        <w:t>standard</w:t>
      </w:r>
      <w:r w:rsidR="0081551B">
        <w:rPr>
          <w:rFonts w:cs="Times New Roman"/>
        </w:rPr>
        <w:t>s in the English-speaking world</w:t>
      </w:r>
      <w:r w:rsidR="00C30784" w:rsidRPr="00BC4AC6">
        <w:rPr>
          <w:rFonts w:cs="Times New Roman"/>
        </w:rPr>
        <w:t>.</w:t>
      </w:r>
      <w:r w:rsidR="003C62D8">
        <w:rPr>
          <w:rFonts w:cs="Times New Roman"/>
        </w:rPr>
        <w:t xml:space="preserve"> The everyday meaning i</w:t>
      </w:r>
      <w:r w:rsidR="000849A9">
        <w:rPr>
          <w:rFonts w:cs="Times New Roman"/>
        </w:rPr>
        <w:t>s relevant because, unless a term is defined in the accounting register, it is likely to convey its everyday meaning to accountants (cf</w:t>
      </w:r>
      <w:r w:rsidR="000C4AA0">
        <w:rPr>
          <w:rFonts w:cs="Times New Roman"/>
        </w:rPr>
        <w:t>.</w:t>
      </w:r>
      <w:r w:rsidR="000849A9">
        <w:rPr>
          <w:rFonts w:cs="Times New Roman"/>
        </w:rPr>
        <w:t xml:space="preserve"> the Arden “opinion” in Section 2.1). More importantly, as noted earlier, most readers of accounting reports are not accountants.</w:t>
      </w:r>
    </w:p>
    <w:p w14:paraId="0973664D" w14:textId="4A403531" w:rsidR="007E50FF" w:rsidRDefault="002063CC" w:rsidP="00527F23">
      <w:pPr>
        <w:ind w:firstLine="567"/>
        <w:rPr>
          <w:rFonts w:cs="Times New Roman"/>
        </w:rPr>
      </w:pPr>
      <w:r>
        <w:rPr>
          <w:rFonts w:cs="Times New Roman"/>
        </w:rPr>
        <w:t xml:space="preserve">The root of the </w:t>
      </w:r>
      <w:r w:rsidR="00156B56">
        <w:rPr>
          <w:rFonts w:cs="Times New Roman"/>
        </w:rPr>
        <w:t xml:space="preserve">word </w:t>
      </w:r>
      <w:r w:rsidR="00BA3D67">
        <w:rPr>
          <w:rFonts w:cs="Times New Roman"/>
        </w:rPr>
        <w:t>“impair”</w:t>
      </w:r>
      <w:r>
        <w:rPr>
          <w:rFonts w:cs="Times New Roman"/>
        </w:rPr>
        <w:t xml:space="preserve"> </w:t>
      </w:r>
      <w:r w:rsidR="00E67081">
        <w:rPr>
          <w:rFonts w:cs="Times New Roman"/>
        </w:rPr>
        <w:t>as a</w:t>
      </w:r>
      <w:r w:rsidR="000F7C58">
        <w:rPr>
          <w:rFonts w:cs="Times New Roman"/>
        </w:rPr>
        <w:t>n English</w:t>
      </w:r>
      <w:r w:rsidR="00E67081">
        <w:rPr>
          <w:rFonts w:cs="Times New Roman"/>
        </w:rPr>
        <w:t xml:space="preserve"> verb is</w:t>
      </w:r>
      <w:r>
        <w:rPr>
          <w:rFonts w:cs="Times New Roman"/>
        </w:rPr>
        <w:t xml:space="preserve"> </w:t>
      </w:r>
      <w:r w:rsidR="001A6770">
        <w:rPr>
          <w:rFonts w:cs="Times New Roman"/>
        </w:rPr>
        <w:t>the</w:t>
      </w:r>
      <w:r>
        <w:rPr>
          <w:rFonts w:cs="Times New Roman"/>
        </w:rPr>
        <w:t xml:space="preserve"> Latin</w:t>
      </w:r>
      <w:r w:rsidR="00BA3D67">
        <w:rPr>
          <w:rFonts w:cs="Times New Roman"/>
        </w:rPr>
        <w:t xml:space="preserve"> </w:t>
      </w:r>
      <w:r w:rsidR="009D228C">
        <w:rPr>
          <w:rFonts w:cs="Times New Roman"/>
        </w:rPr>
        <w:t>“</w:t>
      </w:r>
      <w:r w:rsidR="00F47AB5" w:rsidRPr="00B25EA6">
        <w:rPr>
          <w:rFonts w:cs="Times New Roman"/>
          <w:i/>
        </w:rPr>
        <w:t>impeiorare</w:t>
      </w:r>
      <w:r w:rsidR="009D228C">
        <w:rPr>
          <w:rFonts w:cs="Times New Roman"/>
        </w:rPr>
        <w:t xml:space="preserve">” </w:t>
      </w:r>
      <w:r w:rsidR="00527F23">
        <w:rPr>
          <w:rFonts w:cs="Times New Roman"/>
        </w:rPr>
        <w:t>(</w:t>
      </w:r>
      <w:r w:rsidR="009D228C">
        <w:rPr>
          <w:rFonts w:cs="Times New Roman"/>
        </w:rPr>
        <w:t>to make worse)</w:t>
      </w:r>
      <w:r w:rsidR="00066AAF">
        <w:rPr>
          <w:rFonts w:cs="Times New Roman"/>
        </w:rPr>
        <w:t xml:space="preserve">. </w:t>
      </w:r>
      <w:r w:rsidR="00E67081">
        <w:rPr>
          <w:rFonts w:cs="Times New Roman"/>
        </w:rPr>
        <w:t xml:space="preserve">However, </w:t>
      </w:r>
      <w:r w:rsidR="0073099A">
        <w:rPr>
          <w:rFonts w:cs="Times New Roman"/>
        </w:rPr>
        <w:t>there is also</w:t>
      </w:r>
      <w:r w:rsidR="00E67081">
        <w:rPr>
          <w:rFonts w:cs="Times New Roman"/>
        </w:rPr>
        <w:t xml:space="preserve"> a rare adjective, “impair”</w:t>
      </w:r>
      <w:r w:rsidR="0073099A">
        <w:rPr>
          <w:rFonts w:cs="Times New Roman"/>
        </w:rPr>
        <w:t xml:space="preserve">, which </w:t>
      </w:r>
      <w:r w:rsidR="00E67081">
        <w:rPr>
          <w:rFonts w:cs="Times New Roman"/>
        </w:rPr>
        <w:t>has another Latin root (“</w:t>
      </w:r>
      <w:r w:rsidR="00F47AB5" w:rsidRPr="00B25EA6">
        <w:rPr>
          <w:rFonts w:cs="Times New Roman"/>
          <w:i/>
        </w:rPr>
        <w:t>imparitas</w:t>
      </w:r>
      <w:r w:rsidR="00E67081">
        <w:rPr>
          <w:rFonts w:cs="Times New Roman"/>
        </w:rPr>
        <w:t>”) and</w:t>
      </w:r>
      <w:r w:rsidR="000F7C58">
        <w:rPr>
          <w:rFonts w:cs="Times New Roman"/>
        </w:rPr>
        <w:t xml:space="preserve"> </w:t>
      </w:r>
      <w:r w:rsidR="0073099A">
        <w:rPr>
          <w:rFonts w:cs="Times New Roman"/>
        </w:rPr>
        <w:t>which</w:t>
      </w:r>
      <w:r w:rsidR="00E67081">
        <w:rPr>
          <w:rFonts w:cs="Times New Roman"/>
        </w:rPr>
        <w:t xml:space="preserve"> means the opposite of </w:t>
      </w:r>
      <w:r w:rsidR="000F7C58">
        <w:rPr>
          <w:rFonts w:cs="Times New Roman"/>
        </w:rPr>
        <w:t xml:space="preserve">“par”, </w:t>
      </w:r>
      <w:r w:rsidR="00066AAF">
        <w:rPr>
          <w:rFonts w:cs="Times New Roman"/>
        </w:rPr>
        <w:t xml:space="preserve">“pair” </w:t>
      </w:r>
      <w:r w:rsidR="000F7C58">
        <w:rPr>
          <w:rFonts w:cs="Times New Roman"/>
        </w:rPr>
        <w:t>or</w:t>
      </w:r>
      <w:r w:rsidR="00BA3D67">
        <w:rPr>
          <w:rFonts w:cs="Times New Roman"/>
        </w:rPr>
        <w:t xml:space="preserve"> “peer” </w:t>
      </w:r>
      <w:r w:rsidR="00E67081">
        <w:rPr>
          <w:rFonts w:cs="Times New Roman"/>
        </w:rPr>
        <w:t xml:space="preserve">(i.e. </w:t>
      </w:r>
      <w:r w:rsidR="00A4336B">
        <w:rPr>
          <w:rFonts w:cs="Times New Roman"/>
        </w:rPr>
        <w:t xml:space="preserve">it means </w:t>
      </w:r>
      <w:r w:rsidR="00BA3D67">
        <w:rPr>
          <w:rFonts w:cs="Times New Roman"/>
        </w:rPr>
        <w:t xml:space="preserve">something </w:t>
      </w:r>
      <w:r w:rsidR="00E67081">
        <w:rPr>
          <w:rFonts w:cs="Times New Roman"/>
        </w:rPr>
        <w:t>un</w:t>
      </w:r>
      <w:r w:rsidR="00BA3D67">
        <w:rPr>
          <w:rFonts w:cs="Times New Roman"/>
        </w:rPr>
        <w:t xml:space="preserve">matched or </w:t>
      </w:r>
      <w:r w:rsidR="00E67081">
        <w:rPr>
          <w:rFonts w:cs="Times New Roman"/>
        </w:rPr>
        <w:t>un</w:t>
      </w:r>
      <w:r w:rsidR="00BA3D67">
        <w:rPr>
          <w:rFonts w:cs="Times New Roman"/>
        </w:rPr>
        <w:t>equal</w:t>
      </w:r>
      <w:r w:rsidR="00E67081">
        <w:rPr>
          <w:rFonts w:cs="Times New Roman"/>
        </w:rPr>
        <w:t>)</w:t>
      </w:r>
      <w:r w:rsidR="00BA3D67">
        <w:rPr>
          <w:rFonts w:cs="Times New Roman"/>
        </w:rPr>
        <w:t xml:space="preserve">. </w:t>
      </w:r>
      <w:r w:rsidR="000F7C58">
        <w:rPr>
          <w:rFonts w:cs="Times New Roman"/>
        </w:rPr>
        <w:t xml:space="preserve">This latter meaning can also be found in “imparity”. </w:t>
      </w:r>
      <w:r w:rsidR="00BA3D67">
        <w:rPr>
          <w:rFonts w:cs="Times New Roman"/>
        </w:rPr>
        <w:t xml:space="preserve">The </w:t>
      </w:r>
      <w:r w:rsidR="00F46B77">
        <w:rPr>
          <w:rFonts w:cs="Times New Roman"/>
        </w:rPr>
        <w:t>related</w:t>
      </w:r>
      <w:r w:rsidR="00BA3D67">
        <w:rPr>
          <w:rFonts w:cs="Times New Roman"/>
        </w:rPr>
        <w:t xml:space="preserve"> </w:t>
      </w:r>
      <w:r w:rsidR="000F7C58">
        <w:rPr>
          <w:rFonts w:cs="Times New Roman"/>
        </w:rPr>
        <w:t xml:space="preserve">adjective </w:t>
      </w:r>
      <w:r w:rsidR="00BA3D67">
        <w:rPr>
          <w:rFonts w:cs="Times New Roman"/>
        </w:rPr>
        <w:t>in French is “</w:t>
      </w:r>
      <w:r w:rsidR="00F47AB5" w:rsidRPr="00B25EA6">
        <w:rPr>
          <w:rFonts w:cs="Times New Roman"/>
          <w:i/>
        </w:rPr>
        <w:t>impair</w:t>
      </w:r>
      <w:r w:rsidR="00BA3D67">
        <w:rPr>
          <w:rFonts w:cs="Times New Roman"/>
        </w:rPr>
        <w:t>” (unequal, uneven or odd, as in numbers).</w:t>
      </w:r>
      <w:r w:rsidR="007E50FF">
        <w:rPr>
          <w:rFonts w:cs="Times New Roman"/>
        </w:rPr>
        <w:t xml:space="preserve"> German accounting contain</w:t>
      </w:r>
      <w:r w:rsidR="00CB1F54">
        <w:rPr>
          <w:rFonts w:cs="Times New Roman"/>
        </w:rPr>
        <w:t>s</w:t>
      </w:r>
      <w:r w:rsidR="007E50FF">
        <w:rPr>
          <w:rFonts w:cs="Times New Roman"/>
        </w:rPr>
        <w:t xml:space="preserve"> a formal concept of imparity (</w:t>
      </w:r>
      <w:r w:rsidR="007E50FF" w:rsidRPr="005326C3">
        <w:rPr>
          <w:rFonts w:cs="Times New Roman"/>
          <w:i/>
        </w:rPr>
        <w:t>Impa</w:t>
      </w:r>
      <w:r w:rsidR="007E50FF">
        <w:rPr>
          <w:rFonts w:cs="Times New Roman"/>
          <w:i/>
        </w:rPr>
        <w:t>rit</w:t>
      </w:r>
      <w:r w:rsidR="007E50FF" w:rsidRPr="005326C3">
        <w:rPr>
          <w:rFonts w:cs="Times New Roman"/>
          <w:i/>
        </w:rPr>
        <w:t>ätspri</w:t>
      </w:r>
      <w:r w:rsidR="007E50FF">
        <w:rPr>
          <w:rFonts w:cs="Times New Roman"/>
          <w:i/>
        </w:rPr>
        <w:t>n</w:t>
      </w:r>
      <w:r w:rsidR="007E50FF" w:rsidRPr="005326C3">
        <w:rPr>
          <w:rFonts w:cs="Times New Roman"/>
          <w:i/>
        </w:rPr>
        <w:t>zip</w:t>
      </w:r>
      <w:r w:rsidR="007E50FF">
        <w:rPr>
          <w:rFonts w:cs="Times New Roman"/>
        </w:rPr>
        <w:t>)</w:t>
      </w:r>
      <w:r w:rsidR="00527F23">
        <w:rPr>
          <w:rFonts w:cs="Times New Roman"/>
        </w:rPr>
        <w:t xml:space="preserve"> which</w:t>
      </w:r>
      <w:r w:rsidR="00CB1F54">
        <w:rPr>
          <w:rFonts w:cs="Times New Roman"/>
        </w:rPr>
        <w:t xml:space="preserve"> requires recognition of unrealised losses but not unrealised gains</w:t>
      </w:r>
      <w:r w:rsidR="000009AE">
        <w:rPr>
          <w:rFonts w:cs="Times New Roman"/>
        </w:rPr>
        <w:t xml:space="preserve"> (Ballwieser, 2001, p. 1247)</w:t>
      </w:r>
      <w:r w:rsidR="00CB1F54">
        <w:rPr>
          <w:rFonts w:cs="Times New Roman"/>
        </w:rPr>
        <w:t>. This is consistent with</w:t>
      </w:r>
      <w:r w:rsidR="00527F23">
        <w:rPr>
          <w:rFonts w:cs="Times New Roman"/>
        </w:rPr>
        <w:t xml:space="preserve"> an unequal approach to asset write-</w:t>
      </w:r>
      <w:r w:rsidR="00B91DD6">
        <w:rPr>
          <w:rFonts w:cs="Times New Roman"/>
        </w:rPr>
        <w:t>down</w:t>
      </w:r>
      <w:r w:rsidR="00527F23">
        <w:rPr>
          <w:rFonts w:cs="Times New Roman"/>
        </w:rPr>
        <w:t>s in that they did not have to be reversed when circumstances improved</w:t>
      </w:r>
      <w:r w:rsidR="000745A9">
        <w:rPr>
          <w:rFonts w:cs="Times New Roman"/>
        </w:rPr>
        <w:t>.</w:t>
      </w:r>
      <w:r w:rsidR="000745A9">
        <w:rPr>
          <w:rStyle w:val="FootnoteReference"/>
          <w:rFonts w:cs="Times New Roman"/>
        </w:rPr>
        <w:footnoteReference w:id="20"/>
      </w:r>
    </w:p>
    <w:p w14:paraId="1343CB1F" w14:textId="62DB9D69" w:rsidR="000F7C58" w:rsidRDefault="000F7C58" w:rsidP="00527F23">
      <w:pPr>
        <w:ind w:firstLine="567"/>
        <w:rPr>
          <w:rFonts w:cs="Times New Roman"/>
        </w:rPr>
      </w:pPr>
      <w:r>
        <w:rPr>
          <w:rFonts w:cs="Times New Roman"/>
        </w:rPr>
        <w:t xml:space="preserve">In the everyday </w:t>
      </w:r>
      <w:r w:rsidR="0073099A">
        <w:rPr>
          <w:rFonts w:cs="Times New Roman"/>
        </w:rPr>
        <w:t xml:space="preserve">English </w:t>
      </w:r>
      <w:r>
        <w:rPr>
          <w:rFonts w:cs="Times New Roman"/>
        </w:rPr>
        <w:t xml:space="preserve">register, the </w:t>
      </w:r>
      <w:r w:rsidR="000521D3">
        <w:rPr>
          <w:rFonts w:cs="Times New Roman"/>
        </w:rPr>
        <w:t>word</w:t>
      </w:r>
      <w:r w:rsidR="000C4AA0">
        <w:rPr>
          <w:rFonts w:cs="Times New Roman"/>
        </w:rPr>
        <w:t xml:space="preserve"> </w:t>
      </w:r>
      <w:r>
        <w:rPr>
          <w:rFonts w:cs="Times New Roman"/>
        </w:rPr>
        <w:t>“impaired” is generally associated</w:t>
      </w:r>
      <w:r w:rsidR="00527F23">
        <w:rPr>
          <w:rFonts w:cs="Times New Roman"/>
        </w:rPr>
        <w:t xml:space="preserve"> </w:t>
      </w:r>
      <w:r>
        <w:rPr>
          <w:rFonts w:cs="Times New Roman"/>
        </w:rPr>
        <w:t>with reduced functionality of a faculty such as sight or hearing</w:t>
      </w:r>
      <w:r w:rsidR="0070582B">
        <w:rPr>
          <w:rFonts w:cs="Times New Roman"/>
        </w:rPr>
        <w:t>. The dictionaries define the verb as</w:t>
      </w:r>
      <w:r w:rsidR="0073099A">
        <w:rPr>
          <w:rFonts w:cs="Times New Roman"/>
        </w:rPr>
        <w:t xml:space="preserve">: </w:t>
      </w:r>
      <w:r>
        <w:rPr>
          <w:rFonts w:cs="Times New Roman"/>
        </w:rPr>
        <w:t>“to spoil something or make it weaker so that it is less effective”.</w:t>
      </w:r>
      <w:r>
        <w:rPr>
          <w:rStyle w:val="FootnoteReference"/>
          <w:rFonts w:cs="Times New Roman"/>
        </w:rPr>
        <w:footnoteReference w:id="21"/>
      </w:r>
      <w:r>
        <w:rPr>
          <w:rFonts w:cs="Times New Roman"/>
        </w:rPr>
        <w:t xml:space="preserve"> Impairment is either the state of being impaired or the process of becoming impaired. There is the implication of damage</w:t>
      </w:r>
      <w:r w:rsidR="005C733D">
        <w:rPr>
          <w:rFonts w:cs="Times New Roman"/>
        </w:rPr>
        <w:t xml:space="preserve"> to, or deterioration of, the faculty</w:t>
      </w:r>
      <w:r>
        <w:rPr>
          <w:rFonts w:cs="Times New Roman"/>
        </w:rPr>
        <w:t>, which might have occurred before or during birth but might also happen later as a result of accident or disease. Sight or hearing would not be expected to become impaired because of use, but might atrophy as part of ageing.</w:t>
      </w:r>
      <w:r w:rsidR="0070582B" w:rsidRPr="0070582B">
        <w:rPr>
          <w:rFonts w:cs="Times New Roman"/>
        </w:rPr>
        <w:t xml:space="preserve"> </w:t>
      </w:r>
      <w:r w:rsidR="006626B7">
        <w:rPr>
          <w:rFonts w:cs="Times New Roman"/>
        </w:rPr>
        <w:t>However, b</w:t>
      </w:r>
      <w:r w:rsidR="0070582B">
        <w:rPr>
          <w:rFonts w:cs="Times New Roman"/>
        </w:rPr>
        <w:t xml:space="preserve">ecause dictionaries define verbs (rather than participles) they give </w:t>
      </w:r>
      <w:r w:rsidR="006626B7">
        <w:rPr>
          <w:rFonts w:cs="Times New Roman"/>
        </w:rPr>
        <w:t>the</w:t>
      </w:r>
      <w:r w:rsidR="0070582B">
        <w:rPr>
          <w:rFonts w:cs="Times New Roman"/>
        </w:rPr>
        <w:t xml:space="preserve"> misleading impression, in this case, that impairment is a deliberate process.</w:t>
      </w:r>
    </w:p>
    <w:p w14:paraId="2AD428AC" w14:textId="3073E1EE" w:rsidR="0081551B" w:rsidRPr="00BC4AC6" w:rsidRDefault="0073099A" w:rsidP="0081551B">
      <w:pPr>
        <w:ind w:firstLine="567"/>
        <w:rPr>
          <w:rFonts w:cs="Times New Roman"/>
        </w:rPr>
      </w:pPr>
      <w:r>
        <w:rPr>
          <w:rFonts w:cs="Times New Roman"/>
        </w:rPr>
        <w:t>T</w:t>
      </w:r>
      <w:r w:rsidR="0081551B" w:rsidRPr="00BC4AC6">
        <w:rPr>
          <w:rFonts w:cs="Times New Roman"/>
        </w:rPr>
        <w:t xml:space="preserve">he </w:t>
      </w:r>
      <w:r w:rsidR="00F47AB5" w:rsidRPr="00B25EA6">
        <w:rPr>
          <w:rFonts w:cs="Times New Roman"/>
          <w:i/>
        </w:rPr>
        <w:t>accounting</w:t>
      </w:r>
      <w:r w:rsidR="0081551B" w:rsidRPr="00BC4AC6">
        <w:rPr>
          <w:rFonts w:cs="Times New Roman"/>
        </w:rPr>
        <w:t xml:space="preserve"> register in English</w:t>
      </w:r>
      <w:r>
        <w:rPr>
          <w:rFonts w:cs="Times New Roman"/>
        </w:rPr>
        <w:t xml:space="preserve"> is broadly in line with th</w:t>
      </w:r>
      <w:r w:rsidR="0028078E">
        <w:rPr>
          <w:rFonts w:cs="Times New Roman"/>
        </w:rPr>
        <w:t>e dictionaries</w:t>
      </w:r>
      <w:r>
        <w:rPr>
          <w:rFonts w:cs="Times New Roman"/>
        </w:rPr>
        <w:t xml:space="preserve">. That is, </w:t>
      </w:r>
      <w:r w:rsidR="00335B93">
        <w:rPr>
          <w:rFonts w:cs="Times New Roman"/>
        </w:rPr>
        <w:t>“</w:t>
      </w:r>
      <w:r w:rsidR="0081551B" w:rsidRPr="00BC4AC6">
        <w:rPr>
          <w:rFonts w:cs="Times New Roman"/>
        </w:rPr>
        <w:t>impairment</w:t>
      </w:r>
      <w:r w:rsidR="00335B93">
        <w:rPr>
          <w:rFonts w:cs="Times New Roman"/>
        </w:rPr>
        <w:t>”</w:t>
      </w:r>
      <w:r w:rsidR="0081551B" w:rsidRPr="00BC4AC6">
        <w:rPr>
          <w:rFonts w:cs="Times New Roman"/>
        </w:rPr>
        <w:t xml:space="preserve"> is used to distinguish a particular </w:t>
      </w:r>
      <w:r w:rsidR="00C701B6">
        <w:rPr>
          <w:rFonts w:cs="Times New Roman"/>
        </w:rPr>
        <w:t>cause</w:t>
      </w:r>
      <w:r w:rsidR="0081551B" w:rsidRPr="00BC4AC6">
        <w:rPr>
          <w:rFonts w:cs="Times New Roman"/>
        </w:rPr>
        <w:t xml:space="preserve"> of </w:t>
      </w:r>
      <w:r w:rsidR="00C701B6">
        <w:rPr>
          <w:rFonts w:cs="Times New Roman"/>
        </w:rPr>
        <w:t xml:space="preserve">an asset </w:t>
      </w:r>
      <w:r w:rsidR="0081551B" w:rsidRPr="00BC4AC6">
        <w:rPr>
          <w:rFonts w:cs="Times New Roman"/>
        </w:rPr>
        <w:t>write</w:t>
      </w:r>
      <w:r w:rsidR="00C701B6">
        <w:rPr>
          <w:rFonts w:cs="Times New Roman"/>
        </w:rPr>
        <w:t>-</w:t>
      </w:r>
      <w:r w:rsidR="005B3E59">
        <w:rPr>
          <w:rFonts w:cs="Times New Roman"/>
        </w:rPr>
        <w:t>down</w:t>
      </w:r>
      <w:r w:rsidR="0081551B" w:rsidRPr="00BC4AC6">
        <w:rPr>
          <w:rFonts w:cs="Times New Roman"/>
        </w:rPr>
        <w:t xml:space="preserve">: physical or economic damage. </w:t>
      </w:r>
      <w:r>
        <w:rPr>
          <w:rFonts w:cs="Times New Roman"/>
        </w:rPr>
        <w:t>With</w:t>
      </w:r>
      <w:r w:rsidR="00EC2FD9">
        <w:rPr>
          <w:rFonts w:cs="Times New Roman"/>
        </w:rPr>
        <w:t xml:space="preserve"> this sense, t</w:t>
      </w:r>
      <w:r w:rsidR="0081551B" w:rsidRPr="00BC4AC6">
        <w:rPr>
          <w:rFonts w:cs="Times New Roman"/>
        </w:rPr>
        <w:t xml:space="preserve">he </w:t>
      </w:r>
      <w:r w:rsidR="000521D3">
        <w:rPr>
          <w:rFonts w:cs="Times New Roman"/>
        </w:rPr>
        <w:t xml:space="preserve">term </w:t>
      </w:r>
      <w:r w:rsidR="0081551B" w:rsidRPr="00BC4AC6">
        <w:rPr>
          <w:rFonts w:cs="Times New Roman"/>
        </w:rPr>
        <w:t xml:space="preserve">was mentioned in documents </w:t>
      </w:r>
      <w:r w:rsidR="00BA3D67">
        <w:rPr>
          <w:rFonts w:cs="Times New Roman"/>
        </w:rPr>
        <w:t xml:space="preserve">of the Financial Accounting Standards Board (FASB) </w:t>
      </w:r>
      <w:r w:rsidR="0081551B" w:rsidRPr="00BC4AC6">
        <w:rPr>
          <w:rFonts w:cs="Times New Roman"/>
        </w:rPr>
        <w:t>in 1980.</w:t>
      </w:r>
      <w:r w:rsidR="0081551B" w:rsidRPr="00BC4AC6">
        <w:rPr>
          <w:rStyle w:val="FootnoteReference"/>
          <w:rFonts w:cs="Times New Roman"/>
        </w:rPr>
        <w:footnoteReference w:id="22"/>
      </w:r>
      <w:r w:rsidR="0081551B" w:rsidRPr="00BC4AC6">
        <w:rPr>
          <w:rFonts w:cs="Times New Roman"/>
        </w:rPr>
        <w:t xml:space="preserve"> Then, in 1982, it appeared in </w:t>
      </w:r>
      <w:r w:rsidR="00254E57">
        <w:rPr>
          <w:rFonts w:cs="Times New Roman"/>
        </w:rPr>
        <w:t xml:space="preserve">both </w:t>
      </w:r>
      <w:r w:rsidR="0081551B" w:rsidRPr="00BC4AC6">
        <w:rPr>
          <w:rFonts w:cs="Times New Roman"/>
        </w:rPr>
        <w:t>US and international standards: SFAS 61 (</w:t>
      </w:r>
      <w:r w:rsidR="0081551B" w:rsidRPr="00BC4AC6">
        <w:rPr>
          <w:rFonts w:cs="Times New Roman"/>
          <w:i/>
        </w:rPr>
        <w:t>Accounting for Title Plant</w:t>
      </w:r>
      <w:r w:rsidR="0081551B" w:rsidRPr="00BC4AC6">
        <w:rPr>
          <w:rFonts w:cs="Times New Roman"/>
        </w:rPr>
        <w:t>, para. 6) and IAS 16 (</w:t>
      </w:r>
      <w:r w:rsidR="00D61F45" w:rsidRPr="000337D1">
        <w:rPr>
          <w:rFonts w:cs="Times New Roman"/>
          <w:i/>
        </w:rPr>
        <w:t>Property, Plant and Equipment</w:t>
      </w:r>
      <w:r w:rsidR="00D61F45">
        <w:rPr>
          <w:rFonts w:cs="Times New Roman"/>
        </w:rPr>
        <w:t xml:space="preserve">, </w:t>
      </w:r>
      <w:r w:rsidR="0081551B" w:rsidRPr="00BC4AC6">
        <w:rPr>
          <w:rFonts w:cs="Times New Roman"/>
        </w:rPr>
        <w:t xml:space="preserve">originally </w:t>
      </w:r>
      <w:r w:rsidR="00D61F45">
        <w:rPr>
          <w:rFonts w:cs="Times New Roman"/>
        </w:rPr>
        <w:t xml:space="preserve">in </w:t>
      </w:r>
      <w:r w:rsidR="0081551B" w:rsidRPr="00BC4AC6">
        <w:rPr>
          <w:rFonts w:cs="Times New Roman"/>
        </w:rPr>
        <w:t xml:space="preserve">para. 41). </w:t>
      </w:r>
      <w:r w:rsidR="00D61F45">
        <w:rPr>
          <w:rFonts w:cs="Times New Roman"/>
        </w:rPr>
        <w:t xml:space="preserve">The </w:t>
      </w:r>
      <w:r w:rsidR="000521D3">
        <w:rPr>
          <w:rFonts w:cs="Times New Roman"/>
        </w:rPr>
        <w:t xml:space="preserve">term </w:t>
      </w:r>
      <w:r w:rsidR="0081551B" w:rsidRPr="00BC4AC6">
        <w:rPr>
          <w:rFonts w:cs="Times New Roman"/>
        </w:rPr>
        <w:t>appeared again several times in US authoritative literature in the first half of the 1990s, this time in the titles of standards.</w:t>
      </w:r>
      <w:r w:rsidR="0081551B" w:rsidRPr="00BC4AC6">
        <w:rPr>
          <w:rStyle w:val="FootnoteReference"/>
          <w:rFonts w:cs="Times New Roman"/>
        </w:rPr>
        <w:footnoteReference w:id="23"/>
      </w:r>
      <w:r w:rsidR="0081551B" w:rsidRPr="00BC4AC6">
        <w:rPr>
          <w:rFonts w:cs="Times New Roman"/>
        </w:rPr>
        <w:t xml:space="preserve"> </w:t>
      </w:r>
      <w:r w:rsidR="006A16E3">
        <w:rPr>
          <w:rFonts w:cs="Times New Roman"/>
        </w:rPr>
        <w:t xml:space="preserve">Earlier related </w:t>
      </w:r>
      <w:r w:rsidR="0081551B" w:rsidRPr="00BC4AC6">
        <w:rPr>
          <w:rFonts w:cs="Times New Roman"/>
        </w:rPr>
        <w:t>terms</w:t>
      </w:r>
      <w:r w:rsidR="007A374D">
        <w:rPr>
          <w:rFonts w:cs="Times New Roman"/>
        </w:rPr>
        <w:t>, which referred to the accounting result of impairment,</w:t>
      </w:r>
      <w:r w:rsidR="0081551B" w:rsidRPr="00BC4AC6">
        <w:rPr>
          <w:rFonts w:cs="Times New Roman"/>
        </w:rPr>
        <w:t xml:space="preserve"> had included </w:t>
      </w:r>
      <w:r w:rsidR="00335B93">
        <w:rPr>
          <w:rFonts w:cs="Times New Roman"/>
        </w:rPr>
        <w:t>“</w:t>
      </w:r>
      <w:r w:rsidR="0081551B" w:rsidRPr="00BC4AC6">
        <w:rPr>
          <w:rFonts w:cs="Times New Roman"/>
        </w:rPr>
        <w:t>reduction in unamortized cost</w:t>
      </w:r>
      <w:r w:rsidR="00335B93">
        <w:rPr>
          <w:rFonts w:cs="Times New Roman"/>
        </w:rPr>
        <w:t>”</w:t>
      </w:r>
      <w:r w:rsidR="0081551B" w:rsidRPr="00BC4AC6">
        <w:rPr>
          <w:rFonts w:cs="Times New Roman"/>
        </w:rPr>
        <w:t xml:space="preserve"> (in APB Opinion 17), </w:t>
      </w:r>
      <w:r w:rsidR="00335B93">
        <w:rPr>
          <w:rFonts w:cs="Times New Roman"/>
        </w:rPr>
        <w:t>“</w:t>
      </w:r>
      <w:r w:rsidR="0081551B" w:rsidRPr="00BC4AC6">
        <w:rPr>
          <w:rFonts w:cs="Times New Roman"/>
        </w:rPr>
        <w:t>estimated loss</w:t>
      </w:r>
      <w:r w:rsidR="00335B93">
        <w:rPr>
          <w:rFonts w:cs="Times New Roman"/>
        </w:rPr>
        <w:t>”</w:t>
      </w:r>
      <w:r w:rsidR="0081551B" w:rsidRPr="00BC4AC6">
        <w:rPr>
          <w:rFonts w:cs="Times New Roman"/>
        </w:rPr>
        <w:t xml:space="preserve"> (in APB Opinion 30) and </w:t>
      </w:r>
      <w:r w:rsidR="00335B93">
        <w:rPr>
          <w:rFonts w:cs="Times New Roman"/>
        </w:rPr>
        <w:t>“</w:t>
      </w:r>
      <w:r w:rsidR="0081551B" w:rsidRPr="00BC4AC6">
        <w:rPr>
          <w:rFonts w:cs="Times New Roman"/>
        </w:rPr>
        <w:t>valuation allowance</w:t>
      </w:r>
      <w:r w:rsidR="00335B93">
        <w:rPr>
          <w:rFonts w:cs="Times New Roman"/>
        </w:rPr>
        <w:t>”</w:t>
      </w:r>
      <w:r w:rsidR="0081551B" w:rsidRPr="00BC4AC6">
        <w:rPr>
          <w:rFonts w:cs="Times New Roman"/>
        </w:rPr>
        <w:t xml:space="preserve"> (in SFAS 109). The </w:t>
      </w:r>
      <w:r w:rsidR="000521D3">
        <w:rPr>
          <w:rFonts w:cs="Times New Roman"/>
        </w:rPr>
        <w:t xml:space="preserve">term </w:t>
      </w:r>
      <w:r w:rsidR="0081551B" w:rsidRPr="00BC4AC6">
        <w:rPr>
          <w:rFonts w:cs="Times New Roman"/>
        </w:rPr>
        <w:t xml:space="preserve">was then adopted in the UK </w:t>
      </w:r>
      <w:r w:rsidR="00363EB0">
        <w:rPr>
          <w:rFonts w:cs="Times New Roman"/>
        </w:rPr>
        <w:t xml:space="preserve">standard </w:t>
      </w:r>
      <w:r w:rsidR="0081551B" w:rsidRPr="00BC4AC6">
        <w:rPr>
          <w:rFonts w:cs="Times New Roman"/>
        </w:rPr>
        <w:t xml:space="preserve">and </w:t>
      </w:r>
      <w:r w:rsidR="00363EB0">
        <w:rPr>
          <w:rFonts w:cs="Times New Roman"/>
        </w:rPr>
        <w:t xml:space="preserve">the </w:t>
      </w:r>
      <w:r w:rsidR="0081551B" w:rsidRPr="00BC4AC6">
        <w:rPr>
          <w:rFonts w:cs="Times New Roman"/>
        </w:rPr>
        <w:t xml:space="preserve">international standard on impairment (FRS 11 and IAS 36) whereas the </w:t>
      </w:r>
      <w:r w:rsidR="00925438">
        <w:rPr>
          <w:rFonts w:cs="Times New Roman"/>
        </w:rPr>
        <w:t xml:space="preserve">nearest </w:t>
      </w:r>
      <w:r w:rsidR="0081551B" w:rsidRPr="00BC4AC6">
        <w:rPr>
          <w:rFonts w:cs="Times New Roman"/>
        </w:rPr>
        <w:t xml:space="preserve">related </w:t>
      </w:r>
      <w:r w:rsidR="000521D3">
        <w:rPr>
          <w:rFonts w:cs="Times New Roman"/>
        </w:rPr>
        <w:t xml:space="preserve">term </w:t>
      </w:r>
      <w:r w:rsidR="0081551B" w:rsidRPr="00BC4AC6">
        <w:rPr>
          <w:rFonts w:cs="Times New Roman"/>
        </w:rPr>
        <w:t>in UK</w:t>
      </w:r>
      <w:r w:rsidR="006626B7">
        <w:rPr>
          <w:rFonts w:cs="Times New Roman"/>
        </w:rPr>
        <w:t xml:space="preserve"> law</w:t>
      </w:r>
      <w:r w:rsidR="00F66960">
        <w:rPr>
          <w:rFonts w:cs="Times New Roman"/>
        </w:rPr>
        <w:t xml:space="preserve"> (deriving from the Fourth Directive)</w:t>
      </w:r>
      <w:r w:rsidR="0081551B" w:rsidRPr="00BC4AC6">
        <w:rPr>
          <w:rFonts w:cs="Times New Roman"/>
        </w:rPr>
        <w:t xml:space="preserve"> is </w:t>
      </w:r>
      <w:r w:rsidR="00335B93">
        <w:rPr>
          <w:rFonts w:cs="Times New Roman"/>
        </w:rPr>
        <w:t>“</w:t>
      </w:r>
      <w:r w:rsidR="0081551B" w:rsidRPr="00BC4AC6">
        <w:rPr>
          <w:rFonts w:cs="Times New Roman"/>
        </w:rPr>
        <w:t>permanent diminution in value</w:t>
      </w:r>
      <w:r w:rsidR="00335B93">
        <w:rPr>
          <w:rFonts w:cs="Times New Roman"/>
        </w:rPr>
        <w:t>”</w:t>
      </w:r>
      <w:r w:rsidR="0081551B" w:rsidRPr="00BC4AC6">
        <w:rPr>
          <w:rFonts w:cs="Times New Roman"/>
        </w:rPr>
        <w:t xml:space="preserve"> (e.g., Companies Act 1985, Sch. 4, para. 19(2)).</w:t>
      </w:r>
      <w:r w:rsidR="00CF7BC4">
        <w:rPr>
          <w:rFonts w:cs="Times New Roman"/>
        </w:rPr>
        <w:t xml:space="preserve"> We refer to these words as being part of the accounting register rather than the legal register because accoun</w:t>
      </w:r>
      <w:r w:rsidR="000C30F6">
        <w:rPr>
          <w:rFonts w:cs="Times New Roman"/>
        </w:rPr>
        <w:t>ting standards and law are now</w:t>
      </w:r>
      <w:r w:rsidR="000C30F6">
        <w:rPr>
          <w:rStyle w:val="FootnoteReference"/>
          <w:rFonts w:cs="Times New Roman"/>
        </w:rPr>
        <w:footnoteReference w:id="24"/>
      </w:r>
      <w:r w:rsidR="000C30F6">
        <w:rPr>
          <w:rFonts w:cs="Times New Roman"/>
        </w:rPr>
        <w:t xml:space="preserve"> </w:t>
      </w:r>
      <w:r w:rsidR="00CF7BC4">
        <w:rPr>
          <w:rFonts w:cs="Times New Roman"/>
        </w:rPr>
        <w:t xml:space="preserve">so bound together that a distinction would not be useful. This is, </w:t>
      </w:r>
      <w:r w:rsidR="00F47AB5" w:rsidRPr="00B25EA6">
        <w:rPr>
          <w:rFonts w:cs="Times New Roman"/>
          <w:i/>
        </w:rPr>
        <w:t>a fortiori</w:t>
      </w:r>
      <w:r>
        <w:rPr>
          <w:rFonts w:cs="Times New Roman"/>
          <w:i/>
        </w:rPr>
        <w:t>,</w:t>
      </w:r>
      <w:r w:rsidR="00CF7BC4">
        <w:rPr>
          <w:rFonts w:cs="Times New Roman"/>
        </w:rPr>
        <w:t xml:space="preserve"> the case in code law jurisdictions such as Germany. To take the example of the contents of IFRS in the UK or Germany, they are now inserted into EU Regulation 1606/2002.</w:t>
      </w:r>
      <w:r w:rsidR="006626B7">
        <w:rPr>
          <w:rStyle w:val="FootnoteReference"/>
          <w:rFonts w:cs="Times New Roman"/>
        </w:rPr>
        <w:footnoteReference w:id="25"/>
      </w:r>
    </w:p>
    <w:p w14:paraId="2829221B" w14:textId="1A04F617" w:rsidR="005B34C1" w:rsidRPr="00BC4AC6" w:rsidRDefault="005B34C1" w:rsidP="005B34C1">
      <w:pPr>
        <w:ind w:firstLine="567"/>
        <w:rPr>
          <w:rFonts w:cs="Times New Roman"/>
        </w:rPr>
      </w:pPr>
      <w:r w:rsidRPr="00BC4AC6">
        <w:rPr>
          <w:rFonts w:cs="Times New Roman"/>
        </w:rPr>
        <w:t xml:space="preserve">IAS 36 was issued in 1998. It </w:t>
      </w:r>
      <w:r w:rsidR="008D26F9" w:rsidRPr="00BC4AC6">
        <w:rPr>
          <w:rFonts w:cs="Times New Roman"/>
        </w:rPr>
        <w:t>requires an</w:t>
      </w:r>
      <w:r w:rsidR="00C30784" w:rsidRPr="00BC4AC6">
        <w:rPr>
          <w:rFonts w:cs="Times New Roman"/>
        </w:rPr>
        <w:t xml:space="preserve"> entity to be alert to any </w:t>
      </w:r>
      <w:r w:rsidR="00335B93">
        <w:rPr>
          <w:rFonts w:cs="Times New Roman"/>
        </w:rPr>
        <w:t>“</w:t>
      </w:r>
      <w:r w:rsidR="00C30784" w:rsidRPr="00BC4AC6">
        <w:rPr>
          <w:rFonts w:cs="Times New Roman"/>
        </w:rPr>
        <w:t>indication</w:t>
      </w:r>
      <w:r w:rsidR="00335B93">
        <w:rPr>
          <w:rFonts w:cs="Times New Roman"/>
        </w:rPr>
        <w:t>”</w:t>
      </w:r>
      <w:r w:rsidR="00C30784" w:rsidRPr="00BC4AC6">
        <w:rPr>
          <w:rFonts w:cs="Times New Roman"/>
        </w:rPr>
        <w:t xml:space="preserve"> of impairment of an asset </w:t>
      </w:r>
      <w:r w:rsidR="00925438">
        <w:rPr>
          <w:rFonts w:cs="Times New Roman"/>
        </w:rPr>
        <w:t>(such as physical damage</w:t>
      </w:r>
      <w:r w:rsidR="004A7A8B">
        <w:rPr>
          <w:rFonts w:cs="Times New Roman"/>
        </w:rPr>
        <w:t>; see para. 12</w:t>
      </w:r>
      <w:r w:rsidR="00925438">
        <w:rPr>
          <w:rFonts w:cs="Times New Roman"/>
        </w:rPr>
        <w:t xml:space="preserve">) </w:t>
      </w:r>
      <w:r w:rsidR="00C30784" w:rsidRPr="00BC4AC6">
        <w:rPr>
          <w:rFonts w:cs="Times New Roman"/>
        </w:rPr>
        <w:t xml:space="preserve">and, when observing one, to calculate the asset’s </w:t>
      </w:r>
      <w:r w:rsidR="00335B93">
        <w:rPr>
          <w:rFonts w:cs="Times New Roman"/>
        </w:rPr>
        <w:t>“</w:t>
      </w:r>
      <w:r w:rsidR="00C30784" w:rsidRPr="00BC4AC6">
        <w:rPr>
          <w:rFonts w:cs="Times New Roman"/>
        </w:rPr>
        <w:t>recoverable amount</w:t>
      </w:r>
      <w:r w:rsidR="00335B93">
        <w:rPr>
          <w:rFonts w:cs="Times New Roman"/>
        </w:rPr>
        <w:t>”</w:t>
      </w:r>
      <w:r w:rsidR="00C30784" w:rsidRPr="00BC4AC6">
        <w:rPr>
          <w:rFonts w:cs="Times New Roman"/>
        </w:rPr>
        <w:t xml:space="preserve">. </w:t>
      </w:r>
      <w:r w:rsidR="008D26F9" w:rsidRPr="00BC4AC6">
        <w:rPr>
          <w:rFonts w:cs="Times New Roman"/>
        </w:rPr>
        <w:t>If the latter is lower than the asset’s carrying value, the asset must be written down</w:t>
      </w:r>
      <w:r w:rsidR="00300E69">
        <w:rPr>
          <w:rFonts w:cs="Times New Roman"/>
        </w:rPr>
        <w:t xml:space="preserve"> to recoverable amount</w:t>
      </w:r>
      <w:r w:rsidR="008D26F9" w:rsidRPr="00BC4AC6">
        <w:rPr>
          <w:rFonts w:cs="Times New Roman"/>
        </w:rPr>
        <w:t xml:space="preserve">, with the related loss charged as an expense. </w:t>
      </w:r>
      <w:r w:rsidR="00C30784" w:rsidRPr="00BC4AC6">
        <w:rPr>
          <w:rFonts w:cs="Times New Roman"/>
        </w:rPr>
        <w:t>IAS 36 differs in some respe</w:t>
      </w:r>
      <w:r w:rsidRPr="00BC4AC6">
        <w:rPr>
          <w:rFonts w:cs="Times New Roman"/>
        </w:rPr>
        <w:t>cts from the slightly older US standard</w:t>
      </w:r>
      <w:r w:rsidR="008D26F9" w:rsidRPr="00BC4AC6">
        <w:rPr>
          <w:rFonts w:cs="Times New Roman"/>
        </w:rPr>
        <w:t xml:space="preserve"> on impairment</w:t>
      </w:r>
      <w:r w:rsidRPr="00BC4AC6">
        <w:rPr>
          <w:rFonts w:cs="Times New Roman"/>
        </w:rPr>
        <w:t>.</w:t>
      </w:r>
      <w:r w:rsidR="00156197">
        <w:rPr>
          <w:rStyle w:val="FootnoteReference"/>
          <w:rFonts w:cs="Times New Roman"/>
        </w:rPr>
        <w:footnoteReference w:id="26"/>
      </w:r>
    </w:p>
    <w:p w14:paraId="4D0E348F" w14:textId="32A9A2BD" w:rsidR="009F78BE" w:rsidRDefault="009F78BE" w:rsidP="009F78BE">
      <w:pPr>
        <w:ind w:firstLine="567"/>
        <w:rPr>
          <w:rFonts w:cs="Times New Roman"/>
        </w:rPr>
      </w:pPr>
      <w:r>
        <w:rPr>
          <w:rFonts w:cs="Times New Roman"/>
        </w:rPr>
        <w:t>As preparation for examining the translations of “impairment”, we need to distinguish between four aspects of it: (a) an event</w:t>
      </w:r>
      <w:r w:rsidR="005950C1">
        <w:rPr>
          <w:rFonts w:cs="Times New Roman"/>
        </w:rPr>
        <w:t xml:space="preserve"> (most obviously a physical one) </w:t>
      </w:r>
      <w:r>
        <w:rPr>
          <w:rFonts w:cs="Times New Roman"/>
        </w:rPr>
        <w:t xml:space="preserve">involving economic damage to an asset, (b) </w:t>
      </w:r>
      <w:r w:rsidR="002419A0">
        <w:rPr>
          <w:rFonts w:cs="Times New Roman"/>
        </w:rPr>
        <w:t>the</w:t>
      </w:r>
      <w:r>
        <w:rPr>
          <w:rFonts w:cs="Times New Roman"/>
        </w:rPr>
        <w:t xml:space="preserve"> particular type of fall in value of an asset </w:t>
      </w:r>
      <w:r w:rsidR="002419A0">
        <w:rPr>
          <w:rFonts w:cs="Times New Roman"/>
        </w:rPr>
        <w:t xml:space="preserve">which is </w:t>
      </w:r>
      <w:r>
        <w:rPr>
          <w:rFonts w:cs="Times New Roman"/>
        </w:rPr>
        <w:t xml:space="preserve">related to such an event; and then two aspects of </w:t>
      </w:r>
      <w:r w:rsidR="005950C1">
        <w:rPr>
          <w:rFonts w:cs="Times New Roman"/>
        </w:rPr>
        <w:t xml:space="preserve">the </w:t>
      </w:r>
      <w:r>
        <w:rPr>
          <w:rFonts w:cs="Times New Roman"/>
        </w:rPr>
        <w:t xml:space="preserve">accounting </w:t>
      </w:r>
      <w:r>
        <w:rPr>
          <w:rFonts w:cs="Times New Roman"/>
          <w:i/>
        </w:rPr>
        <w:t>recognition</w:t>
      </w:r>
      <w:r>
        <w:rPr>
          <w:rFonts w:cs="Times New Roman"/>
        </w:rPr>
        <w:t xml:space="preserve"> of </w:t>
      </w:r>
      <w:r>
        <w:rPr>
          <w:rFonts w:cs="Times New Roman"/>
          <w:i/>
        </w:rPr>
        <w:t>some</w:t>
      </w:r>
      <w:r>
        <w:rPr>
          <w:rFonts w:cs="Times New Roman"/>
        </w:rPr>
        <w:t xml:space="preserve"> of those economic events, that is (c) the reduction in carrying value of the asset</w:t>
      </w:r>
      <w:r w:rsidR="005950C1" w:rsidRPr="005950C1">
        <w:rPr>
          <w:rFonts w:cs="Times New Roman"/>
        </w:rPr>
        <w:t xml:space="preserve"> </w:t>
      </w:r>
      <w:r w:rsidR="005950C1">
        <w:rPr>
          <w:rFonts w:cs="Times New Roman"/>
        </w:rPr>
        <w:t>to recoverable amount</w:t>
      </w:r>
      <w:r>
        <w:rPr>
          <w:rFonts w:cs="Times New Roman"/>
        </w:rPr>
        <w:t xml:space="preserve"> (the </w:t>
      </w:r>
      <w:r>
        <w:rPr>
          <w:rFonts w:cs="Times New Roman"/>
          <w:i/>
        </w:rPr>
        <w:t>credit</w:t>
      </w:r>
      <w:r>
        <w:rPr>
          <w:rFonts w:cs="Times New Roman"/>
        </w:rPr>
        <w:t xml:space="preserve">) and (d) the impairment loss (the </w:t>
      </w:r>
      <w:r>
        <w:rPr>
          <w:rFonts w:cs="Times New Roman"/>
          <w:i/>
        </w:rPr>
        <w:t>debit</w:t>
      </w:r>
      <w:r>
        <w:rPr>
          <w:rFonts w:cs="Times New Roman"/>
        </w:rPr>
        <w:t xml:space="preserve">). IAS 36 is not clear about the distinction between (a) and (b). </w:t>
      </w:r>
      <w:r w:rsidR="007A374D">
        <w:rPr>
          <w:rFonts w:cs="Times New Roman"/>
        </w:rPr>
        <w:t>Remarkably, the standard</w:t>
      </w:r>
      <w:r>
        <w:rPr>
          <w:rFonts w:cs="Times New Roman"/>
        </w:rPr>
        <w:t xml:space="preserve"> does not define impairment, but seems to imply (in para. 8) that it only happens when (b) occurs</w:t>
      </w:r>
      <w:r w:rsidR="005950C1" w:rsidRPr="005950C1">
        <w:rPr>
          <w:rFonts w:cs="Times New Roman"/>
        </w:rPr>
        <w:t xml:space="preserve"> </w:t>
      </w:r>
      <w:r w:rsidR="005950C1">
        <w:rPr>
          <w:rFonts w:cs="Times New Roman"/>
        </w:rPr>
        <w:t>to such an extent that recoverable amount is below carrying amount</w:t>
      </w:r>
      <w:r>
        <w:rPr>
          <w:rFonts w:cs="Times New Roman"/>
        </w:rPr>
        <w:t xml:space="preserve">. </w:t>
      </w:r>
      <w:r w:rsidR="00A42293">
        <w:rPr>
          <w:rFonts w:cs="Times New Roman"/>
        </w:rPr>
        <w:t xml:space="preserve">This lack of clarity in the source language may have contributed to the translation problems discussed below. </w:t>
      </w:r>
      <w:r>
        <w:rPr>
          <w:rFonts w:cs="Times New Roman"/>
        </w:rPr>
        <w:t xml:space="preserve">Nevertheless, </w:t>
      </w:r>
      <w:r w:rsidR="00A42293">
        <w:rPr>
          <w:rFonts w:cs="Times New Roman"/>
        </w:rPr>
        <w:t xml:space="preserve">some matters are </w:t>
      </w:r>
      <w:r>
        <w:rPr>
          <w:rFonts w:cs="Times New Roman"/>
        </w:rPr>
        <w:t>clear</w:t>
      </w:r>
      <w:r w:rsidR="00A42293">
        <w:rPr>
          <w:rFonts w:cs="Times New Roman"/>
        </w:rPr>
        <w:t xml:space="preserve">. First, </w:t>
      </w:r>
      <w:r>
        <w:rPr>
          <w:rFonts w:cs="Times New Roman"/>
        </w:rPr>
        <w:t xml:space="preserve">some falls in value are not impairments; for example, </w:t>
      </w:r>
      <w:r w:rsidR="005950C1">
        <w:rPr>
          <w:rFonts w:cs="Times New Roman"/>
        </w:rPr>
        <w:t xml:space="preserve">falls in the value of </w:t>
      </w:r>
      <w:r>
        <w:rPr>
          <w:rFonts w:cs="Times New Roman"/>
        </w:rPr>
        <w:t>non-current assets that are temporary or caused by</w:t>
      </w:r>
      <w:r w:rsidR="001810F4">
        <w:rPr>
          <w:rFonts w:cs="Times New Roman"/>
        </w:rPr>
        <w:t xml:space="preserve"> the </w:t>
      </w:r>
      <w:r>
        <w:rPr>
          <w:rFonts w:cs="Times New Roman"/>
        </w:rPr>
        <w:t>passing of time</w:t>
      </w:r>
      <w:r w:rsidR="001810F4">
        <w:rPr>
          <w:rFonts w:cs="Times New Roman"/>
        </w:rPr>
        <w:t xml:space="preserve"> or by wear that had been expected</w:t>
      </w:r>
      <w:r>
        <w:rPr>
          <w:rFonts w:cs="Times New Roman"/>
        </w:rPr>
        <w:t xml:space="preserve">. </w:t>
      </w:r>
      <w:r w:rsidR="00A42293">
        <w:rPr>
          <w:rFonts w:cs="Times New Roman"/>
        </w:rPr>
        <w:t>Second</w:t>
      </w:r>
      <w:r>
        <w:rPr>
          <w:rFonts w:cs="Times New Roman"/>
        </w:rPr>
        <w:t xml:space="preserve">, some damage is not </w:t>
      </w:r>
      <w:r>
        <w:rPr>
          <w:rFonts w:cs="Times New Roman"/>
          <w:i/>
        </w:rPr>
        <w:t>recognised</w:t>
      </w:r>
      <w:r>
        <w:rPr>
          <w:rFonts w:cs="Times New Roman"/>
        </w:rPr>
        <w:t xml:space="preserve"> as impairment; for example, where damage to a single machine is covered up because impairment testing </w:t>
      </w:r>
      <w:r w:rsidR="009D6F52">
        <w:rPr>
          <w:rFonts w:cs="Times New Roman"/>
        </w:rPr>
        <w:t>operate</w:t>
      </w:r>
      <w:r>
        <w:rPr>
          <w:rFonts w:cs="Times New Roman"/>
        </w:rPr>
        <w:t>s on a larger cash generating unit or where damage is not severe enough to reduce recoverable amount below carrying amount.</w:t>
      </w:r>
    </w:p>
    <w:p w14:paraId="0B50D835" w14:textId="3123AB8C" w:rsidR="0099321B" w:rsidRDefault="0099321B" w:rsidP="009F78BE">
      <w:pPr>
        <w:ind w:firstLine="567"/>
        <w:rPr>
          <w:rFonts w:cs="Times New Roman"/>
        </w:rPr>
      </w:pPr>
      <w:r>
        <w:rPr>
          <w:rFonts w:cs="Times New Roman"/>
        </w:rPr>
        <w:t>A further preparation for our discussions below is a note on the meaning</w:t>
      </w:r>
      <w:r w:rsidR="00B94B1A">
        <w:rPr>
          <w:rFonts w:cs="Times New Roman"/>
        </w:rPr>
        <w:t>,</w:t>
      </w:r>
      <w:r>
        <w:rPr>
          <w:rFonts w:cs="Times New Roman"/>
        </w:rPr>
        <w:t xml:space="preserve"> in the English accounting register</w:t>
      </w:r>
      <w:r w:rsidR="00B94B1A">
        <w:rPr>
          <w:rFonts w:cs="Times New Roman"/>
        </w:rPr>
        <w:t>,</w:t>
      </w:r>
      <w:r>
        <w:rPr>
          <w:rFonts w:cs="Times New Roman"/>
        </w:rPr>
        <w:t xml:space="preserve"> of </w:t>
      </w:r>
      <w:r w:rsidR="009C0680">
        <w:rPr>
          <w:rFonts w:cs="Times New Roman"/>
        </w:rPr>
        <w:t>“</w:t>
      </w:r>
      <w:r>
        <w:rPr>
          <w:rFonts w:cs="Times New Roman"/>
        </w:rPr>
        <w:t>depreciation</w:t>
      </w:r>
      <w:r w:rsidR="009C0680">
        <w:rPr>
          <w:rFonts w:cs="Times New Roman"/>
        </w:rPr>
        <w:t>”</w:t>
      </w:r>
      <w:r>
        <w:rPr>
          <w:rFonts w:cs="Times New Roman"/>
        </w:rPr>
        <w:t xml:space="preserve">. To take the example of IAS 16, depreciation is defined as “the systematic allocation of the depreciable amount of an asset over its useful life” (para. 6). </w:t>
      </w:r>
      <w:r w:rsidR="00C90535">
        <w:rPr>
          <w:rFonts w:cs="Times New Roman"/>
        </w:rPr>
        <w:t xml:space="preserve">Similar definitions can be found in prior UK and US standards. </w:t>
      </w:r>
      <w:r>
        <w:rPr>
          <w:rFonts w:cs="Times New Roman"/>
        </w:rPr>
        <w:t>Therefore, impairment is not a form of depreciation because it is an unsystematic reaction to an unplanned event.</w:t>
      </w:r>
      <w:r w:rsidR="00A60ECD">
        <w:rPr>
          <w:rFonts w:cs="Times New Roman"/>
        </w:rPr>
        <w:t xml:space="preserve"> This clear distinction between depreciation and impairment is the relatively recent result of</w:t>
      </w:r>
      <w:r w:rsidR="00CE7A18">
        <w:rPr>
          <w:rFonts w:cs="Times New Roman"/>
        </w:rPr>
        <w:t xml:space="preserve"> detailed accounting standards. Zucca and Campbell (1992</w:t>
      </w:r>
      <w:r w:rsidR="00AB452D">
        <w:rPr>
          <w:rFonts w:cs="Times New Roman"/>
        </w:rPr>
        <w:t>, p. 35</w:t>
      </w:r>
      <w:r w:rsidR="00CE7A18">
        <w:rPr>
          <w:rFonts w:cs="Times New Roman"/>
        </w:rPr>
        <w:t>) show that 15% of their sample US firms in the early 1980s included</w:t>
      </w:r>
      <w:r w:rsidR="00AB452D">
        <w:rPr>
          <w:rFonts w:cs="Times New Roman"/>
        </w:rPr>
        <w:t xml:space="preserve"> “writedowns” </w:t>
      </w:r>
      <w:r w:rsidR="00CE7A18">
        <w:rPr>
          <w:rFonts w:cs="Times New Roman"/>
        </w:rPr>
        <w:t>in depreciation expense.</w:t>
      </w:r>
    </w:p>
    <w:p w14:paraId="5526DC64" w14:textId="4885D24A" w:rsidR="00B124D2" w:rsidRPr="005950C1" w:rsidRDefault="0092135F" w:rsidP="005950C1">
      <w:pPr>
        <w:pStyle w:val="Heading2"/>
        <w:rPr>
          <w:i w:val="0"/>
        </w:rPr>
      </w:pPr>
      <w:r>
        <w:t>3</w:t>
      </w:r>
      <w:r w:rsidR="00CB0428">
        <w:t xml:space="preserve">.2 </w:t>
      </w:r>
      <w:r w:rsidR="00F47AB5" w:rsidRPr="00B7675E">
        <w:t xml:space="preserve">Translations of </w:t>
      </w:r>
      <w:r w:rsidR="00527F23">
        <w:t>“</w:t>
      </w:r>
      <w:r w:rsidR="004331CD">
        <w:t>impairment”</w:t>
      </w:r>
    </w:p>
    <w:p w14:paraId="47558C9C" w14:textId="1331628E" w:rsidR="00B124D2" w:rsidRPr="00BC4AC6" w:rsidRDefault="00546D06" w:rsidP="007A2ED7">
      <w:pPr>
        <w:ind w:firstLine="567"/>
        <w:rPr>
          <w:rFonts w:cs="Times New Roman"/>
        </w:rPr>
      </w:pPr>
      <w:r>
        <w:rPr>
          <w:rFonts w:cs="Times New Roman"/>
        </w:rPr>
        <w:t xml:space="preserve">This sub-section’s main task is to examine translations of IAS 36’s term “impairment”. However, before that, it will be helpful to look at the pre-IAS 36 term used in one particular language. </w:t>
      </w:r>
      <w:r w:rsidR="00B124D2" w:rsidRPr="00BC4AC6">
        <w:rPr>
          <w:rFonts w:cs="Times New Roman"/>
        </w:rPr>
        <w:t xml:space="preserve">In </w:t>
      </w:r>
      <w:r w:rsidR="00B34A2A">
        <w:rPr>
          <w:rFonts w:cs="Times New Roman"/>
        </w:rPr>
        <w:t xml:space="preserve">the </w:t>
      </w:r>
      <w:r w:rsidR="00B124D2" w:rsidRPr="00BC4AC6">
        <w:rPr>
          <w:rFonts w:cs="Times New Roman"/>
        </w:rPr>
        <w:t>German</w:t>
      </w:r>
      <w:r>
        <w:rPr>
          <w:rFonts w:cs="Times New Roman"/>
        </w:rPr>
        <w:t xml:space="preserve"> accounting register</w:t>
      </w:r>
      <w:r w:rsidR="00CF7BC4">
        <w:rPr>
          <w:rFonts w:cs="Times New Roman"/>
        </w:rPr>
        <w:t xml:space="preserve">, </w:t>
      </w:r>
      <w:r w:rsidR="00B34A2A">
        <w:rPr>
          <w:rFonts w:cs="Times New Roman"/>
        </w:rPr>
        <w:t xml:space="preserve">the </w:t>
      </w:r>
      <w:r w:rsidR="000521D3">
        <w:rPr>
          <w:rFonts w:cs="Times New Roman"/>
        </w:rPr>
        <w:t xml:space="preserve">term </w:t>
      </w:r>
      <w:r w:rsidR="00335B93">
        <w:rPr>
          <w:rFonts w:cs="Times New Roman"/>
        </w:rPr>
        <w:t>“</w:t>
      </w:r>
      <w:r w:rsidR="00B124D2" w:rsidRPr="00BC4AC6">
        <w:rPr>
          <w:rFonts w:cs="Times New Roman"/>
          <w:i/>
        </w:rPr>
        <w:t>Abschreibung</w:t>
      </w:r>
      <w:r w:rsidR="00335B93">
        <w:rPr>
          <w:rFonts w:cs="Times New Roman"/>
        </w:rPr>
        <w:t>”</w:t>
      </w:r>
      <w:r w:rsidR="00B124D2" w:rsidRPr="00BC4AC6">
        <w:rPr>
          <w:rFonts w:cs="Times New Roman"/>
        </w:rPr>
        <w:t xml:space="preserve"> (literally, off-writing) had been used to cover both depreciation and impairment</w:t>
      </w:r>
      <w:r w:rsidR="00DA68A3">
        <w:rPr>
          <w:rFonts w:cs="Times New Roman"/>
        </w:rPr>
        <w:t>.</w:t>
      </w:r>
      <w:r w:rsidR="00B124D2" w:rsidRPr="00BC4AC6">
        <w:rPr>
          <w:rFonts w:cs="Times New Roman"/>
        </w:rPr>
        <w:t xml:space="preserve"> </w:t>
      </w:r>
      <w:r w:rsidR="00DA68A3">
        <w:rPr>
          <w:rFonts w:cs="Times New Roman"/>
        </w:rPr>
        <w:t xml:space="preserve">This </w:t>
      </w:r>
      <w:r w:rsidR="00B124D2" w:rsidRPr="00BC4AC6">
        <w:rPr>
          <w:rFonts w:cs="Times New Roman"/>
        </w:rPr>
        <w:t xml:space="preserve">led to such confusing policy explanations as the following from the </w:t>
      </w:r>
      <w:r w:rsidR="00DA68A3">
        <w:rPr>
          <w:rFonts w:cs="Times New Roman"/>
        </w:rPr>
        <w:t xml:space="preserve">English version of the </w:t>
      </w:r>
      <w:r w:rsidR="006509EA" w:rsidRPr="00BC4AC6">
        <w:rPr>
          <w:rFonts w:cs="Times New Roman"/>
        </w:rPr>
        <w:t>last</w:t>
      </w:r>
      <w:r w:rsidR="00FA219E">
        <w:rPr>
          <w:rFonts w:cs="Times New Roman"/>
        </w:rPr>
        <w:t xml:space="preserve"> published</w:t>
      </w:r>
      <w:r w:rsidR="006509EA" w:rsidRPr="00BC4AC6">
        <w:rPr>
          <w:rFonts w:cs="Times New Roman"/>
        </w:rPr>
        <w:t xml:space="preserve"> </w:t>
      </w:r>
      <w:r w:rsidR="00B124D2" w:rsidRPr="00BC4AC6">
        <w:rPr>
          <w:rFonts w:cs="Times New Roman"/>
        </w:rPr>
        <w:t>consolidated annual report of Daimler under German GAAP</w:t>
      </w:r>
      <w:r w:rsidR="006509EA">
        <w:rPr>
          <w:rFonts w:cs="Times New Roman"/>
        </w:rPr>
        <w:t>, which was</w:t>
      </w:r>
      <w:r w:rsidR="00DA68A3">
        <w:rPr>
          <w:rFonts w:cs="Times New Roman"/>
        </w:rPr>
        <w:t xml:space="preserve"> for the year 1995</w:t>
      </w:r>
      <w:r w:rsidR="00B124D2" w:rsidRPr="00BC4AC6">
        <w:rPr>
          <w:rFonts w:cs="Times New Roman"/>
        </w:rPr>
        <w:t>:</w:t>
      </w:r>
      <w:r w:rsidR="00B124D2" w:rsidRPr="00BC4AC6">
        <w:rPr>
          <w:rStyle w:val="FootnoteReference"/>
          <w:rFonts w:cs="Times New Roman"/>
        </w:rPr>
        <w:footnoteReference w:id="27"/>
      </w:r>
    </w:p>
    <w:p w14:paraId="38001B88" w14:textId="77777777" w:rsidR="00B124D2" w:rsidRPr="00BC4AC6" w:rsidRDefault="00B124D2" w:rsidP="00BC1B1A">
      <w:pPr>
        <w:spacing w:after="360" w:line="240" w:lineRule="auto"/>
        <w:ind w:left="567"/>
        <w:rPr>
          <w:rFonts w:cs="Times New Roman"/>
        </w:rPr>
      </w:pPr>
      <w:r w:rsidRPr="00BC4AC6">
        <w:rPr>
          <w:rFonts w:cs="Times New Roman"/>
        </w:rPr>
        <w:t>Property, plant and equipment is valued at acquisition or manufacturing cost less accelerated depreciation. Additional depreciation is recorded where a lower reported amount is required.</w:t>
      </w:r>
    </w:p>
    <w:p w14:paraId="572F665C" w14:textId="4B6195BD" w:rsidR="00A43F8B" w:rsidRDefault="00DE1DD4" w:rsidP="00A43F8B">
      <w:r>
        <w:rPr>
          <w:rFonts w:cs="Times New Roman"/>
        </w:rPr>
        <w:t>An examination of t</w:t>
      </w:r>
      <w:r w:rsidR="00125EB3">
        <w:rPr>
          <w:rFonts w:cs="Times New Roman"/>
        </w:rPr>
        <w:t xml:space="preserve">he </w:t>
      </w:r>
      <w:r>
        <w:rPr>
          <w:rFonts w:cs="Times New Roman"/>
        </w:rPr>
        <w:t xml:space="preserve">original </w:t>
      </w:r>
      <w:r w:rsidR="00125EB3">
        <w:rPr>
          <w:rFonts w:cs="Times New Roman"/>
        </w:rPr>
        <w:t xml:space="preserve">German annual report shows that </w:t>
      </w:r>
      <w:r w:rsidR="005373AB">
        <w:rPr>
          <w:rFonts w:cs="Times New Roman"/>
        </w:rPr>
        <w:t xml:space="preserve">the </w:t>
      </w:r>
      <w:r>
        <w:rPr>
          <w:rFonts w:cs="Times New Roman"/>
        </w:rPr>
        <w:t>“</w:t>
      </w:r>
      <w:r w:rsidR="00125EB3">
        <w:rPr>
          <w:rFonts w:cs="Times New Roman"/>
        </w:rPr>
        <w:t>accelerated depreciation</w:t>
      </w:r>
      <w:r w:rsidR="00D033ED">
        <w:rPr>
          <w:rFonts w:cs="Times New Roman"/>
        </w:rPr>
        <w:t>”</w:t>
      </w:r>
      <w:r w:rsidR="00125EB3">
        <w:rPr>
          <w:rFonts w:cs="Times New Roman"/>
        </w:rPr>
        <w:t xml:space="preserve"> </w:t>
      </w:r>
      <w:r w:rsidR="005373AB">
        <w:rPr>
          <w:rFonts w:cs="Times New Roman"/>
        </w:rPr>
        <w:t xml:space="preserve">in the first sentence </w:t>
      </w:r>
      <w:r w:rsidR="00125EB3">
        <w:rPr>
          <w:rFonts w:cs="Times New Roman"/>
        </w:rPr>
        <w:t xml:space="preserve">is </w:t>
      </w:r>
      <w:r w:rsidR="005373AB">
        <w:rPr>
          <w:rFonts w:cs="Times New Roman"/>
        </w:rPr>
        <w:t>a</w:t>
      </w:r>
      <w:r w:rsidR="00E87FD7">
        <w:rPr>
          <w:rFonts w:cs="Times New Roman"/>
        </w:rPr>
        <w:t xml:space="preserve"> </w:t>
      </w:r>
      <w:r w:rsidR="00125EB3">
        <w:rPr>
          <w:rFonts w:cs="Times New Roman"/>
        </w:rPr>
        <w:t>translation</w:t>
      </w:r>
      <w:r>
        <w:rPr>
          <w:rFonts w:cs="Times New Roman"/>
        </w:rPr>
        <w:t xml:space="preserve"> </w:t>
      </w:r>
      <w:r w:rsidR="00125EB3">
        <w:rPr>
          <w:rFonts w:cs="Times New Roman"/>
        </w:rPr>
        <w:t xml:space="preserve">of </w:t>
      </w:r>
      <w:r w:rsidR="00125EB3" w:rsidRPr="00763780">
        <w:t>“</w:t>
      </w:r>
      <w:r w:rsidR="00125EB3" w:rsidRPr="00763780">
        <w:rPr>
          <w:i/>
        </w:rPr>
        <w:t>planmäßige Abschreibungen</w:t>
      </w:r>
      <w:r w:rsidR="00125EB3" w:rsidRPr="00763780">
        <w:t>”</w:t>
      </w:r>
      <w:r w:rsidR="00125EB3">
        <w:t xml:space="preserve"> (literally, </w:t>
      </w:r>
      <w:r w:rsidR="009D6F52">
        <w:t>schedul</w:t>
      </w:r>
      <w:r w:rsidR="00125EB3">
        <w:t>ed off-writings)</w:t>
      </w:r>
      <w:r>
        <w:t>. Although</w:t>
      </w:r>
      <w:r w:rsidR="001810F4">
        <w:t xml:space="preserve"> the report’s</w:t>
      </w:r>
      <w:r>
        <w:t xml:space="preserve"> </w:t>
      </w:r>
      <w:r w:rsidR="009D6F52">
        <w:t>“accelerated depreciation”</w:t>
      </w:r>
      <w:r>
        <w:t xml:space="preserve"> is a non-literal translation, </w:t>
      </w:r>
      <w:r w:rsidR="0080710F">
        <w:t xml:space="preserve">the </w:t>
      </w:r>
      <w:r w:rsidR="00363EB0">
        <w:t xml:space="preserve">“depreciation” successfully </w:t>
      </w:r>
      <w:r w:rsidR="00003E69">
        <w:t>conveys</w:t>
      </w:r>
      <w:r w:rsidR="009C0680">
        <w:t xml:space="preserve"> the two German words </w:t>
      </w:r>
      <w:r w:rsidR="0080710F">
        <w:t xml:space="preserve">and the </w:t>
      </w:r>
      <w:r w:rsidR="00363EB0">
        <w:t xml:space="preserve">“accelerated” </w:t>
      </w:r>
      <w:r>
        <w:t xml:space="preserve">conveys useful extra information. </w:t>
      </w:r>
      <w:r w:rsidR="00B94B1A">
        <w:rPr>
          <w:rFonts w:cs="Times New Roman"/>
        </w:rPr>
        <w:t>Daimler’s</w:t>
      </w:r>
      <w:r w:rsidR="005373AB" w:rsidRPr="00BC4AC6">
        <w:rPr>
          <w:rFonts w:cs="Times New Roman"/>
        </w:rPr>
        <w:t xml:space="preserve"> seco</w:t>
      </w:r>
      <w:r w:rsidR="005373AB">
        <w:rPr>
          <w:rFonts w:cs="Times New Roman"/>
        </w:rPr>
        <w:t>nd sentence is about impairment;</w:t>
      </w:r>
      <w:r w:rsidR="005373AB" w:rsidRPr="00BC4AC6">
        <w:rPr>
          <w:rFonts w:cs="Times New Roman"/>
        </w:rPr>
        <w:t xml:space="preserve"> the lower required amount being that of the asset rather than the expense. </w:t>
      </w:r>
      <w:r w:rsidR="005373AB">
        <w:t>The</w:t>
      </w:r>
      <w:r>
        <w:t xml:space="preserve"> </w:t>
      </w:r>
      <w:r>
        <w:rPr>
          <w:rFonts w:cs="Times New Roman"/>
        </w:rPr>
        <w:t>“</w:t>
      </w:r>
      <w:r w:rsidR="00125EB3">
        <w:rPr>
          <w:rFonts w:cs="Times New Roman"/>
        </w:rPr>
        <w:t>additional depreciation</w:t>
      </w:r>
      <w:r>
        <w:rPr>
          <w:rFonts w:cs="Times New Roman"/>
        </w:rPr>
        <w:t>”</w:t>
      </w:r>
      <w:r w:rsidR="00125EB3">
        <w:rPr>
          <w:rFonts w:cs="Times New Roman"/>
        </w:rPr>
        <w:t xml:space="preserve"> is </w:t>
      </w:r>
      <w:r w:rsidR="005373AB">
        <w:rPr>
          <w:rFonts w:cs="Times New Roman"/>
        </w:rPr>
        <w:t>a</w:t>
      </w:r>
      <w:r w:rsidR="00125EB3">
        <w:rPr>
          <w:rFonts w:cs="Times New Roman"/>
        </w:rPr>
        <w:t xml:space="preserve"> translation of </w:t>
      </w:r>
      <w:r w:rsidR="00125EB3" w:rsidRPr="00763780">
        <w:t>“</w:t>
      </w:r>
      <w:r w:rsidR="00125EB3" w:rsidRPr="00763780">
        <w:rPr>
          <w:i/>
        </w:rPr>
        <w:t>außerplanmäßige Abschreibungen</w:t>
      </w:r>
      <w:r w:rsidR="00125EB3" w:rsidRPr="00763780">
        <w:t>”</w:t>
      </w:r>
      <w:r w:rsidR="00125EB3">
        <w:t xml:space="preserve"> (literally, un</w:t>
      </w:r>
      <w:r w:rsidR="009D6F52">
        <w:t>schedul</w:t>
      </w:r>
      <w:r w:rsidR="00125EB3">
        <w:t>ed off-writings)</w:t>
      </w:r>
      <w:r w:rsidR="00A60ECD">
        <w:t xml:space="preserve">. The German term is usefully descriptive but </w:t>
      </w:r>
      <w:r w:rsidR="00C94BFF">
        <w:t>Daimler’s</w:t>
      </w:r>
      <w:r w:rsidR="00A60ECD">
        <w:t xml:space="preserve"> translation of it</w:t>
      </w:r>
      <w:r w:rsidR="00C1750B">
        <w:t xml:space="preserve"> does not </w:t>
      </w:r>
      <w:r w:rsidR="00C94BFF">
        <w:t>convey the right message</w:t>
      </w:r>
      <w:r w:rsidR="007D6D81">
        <w:t xml:space="preserve"> because, in the English accounting register, impairment is not a type of depreciation</w:t>
      </w:r>
      <w:r w:rsidR="0080710F">
        <w:t>.</w:t>
      </w:r>
      <w:r w:rsidR="00DC64C4">
        <w:t xml:space="preserve"> We refer to “off-writing” as a translation because “writing off” has in practice the meaning of abandonment, as will be explained. We eschew “de-scribing” because that signifies something else.</w:t>
      </w:r>
      <w:r w:rsidR="00A43F8B">
        <w:t xml:space="preserve"> </w:t>
      </w:r>
      <w:r w:rsidR="000C6228">
        <w:t>German law</w:t>
      </w:r>
      <w:r w:rsidR="00AE4A21">
        <w:t xml:space="preserve"> </w:t>
      </w:r>
      <w:r w:rsidR="00003C31">
        <w:t>requires</w:t>
      </w:r>
      <w:r w:rsidR="000C2942">
        <w:t xml:space="preserve"> such </w:t>
      </w:r>
      <w:r w:rsidR="0099321B">
        <w:t xml:space="preserve">unscheduled </w:t>
      </w:r>
      <w:r w:rsidR="000C2942">
        <w:t>off-writing</w:t>
      </w:r>
      <w:r w:rsidR="000C6228">
        <w:t xml:space="preserve"> </w:t>
      </w:r>
      <w:r w:rsidR="00AE4A21">
        <w:t xml:space="preserve">for property, plant and equipment in </w:t>
      </w:r>
      <w:r w:rsidR="00DA47AF">
        <w:t xml:space="preserve">the </w:t>
      </w:r>
      <w:r w:rsidR="00AE4A21">
        <w:t xml:space="preserve">case of a </w:t>
      </w:r>
      <w:r w:rsidR="00AE4A21" w:rsidRPr="00763780">
        <w:t>“</w:t>
      </w:r>
      <w:r w:rsidR="00777671" w:rsidRPr="00CB50B3">
        <w:rPr>
          <w:i/>
          <w:lang w:val="de-DE"/>
        </w:rPr>
        <w:t>voraussichtlich</w:t>
      </w:r>
      <w:r w:rsidR="00777671" w:rsidRPr="00777671">
        <w:rPr>
          <w:i/>
        </w:rPr>
        <w:t xml:space="preserve"> </w:t>
      </w:r>
      <w:r w:rsidR="00AE4A21">
        <w:rPr>
          <w:i/>
        </w:rPr>
        <w:t>dauernden Wertminderung</w:t>
      </w:r>
      <w:r w:rsidR="00AE4A21" w:rsidRPr="00763780">
        <w:t>”</w:t>
      </w:r>
      <w:r w:rsidR="00AE4A21">
        <w:t xml:space="preserve"> (</w:t>
      </w:r>
      <w:r w:rsidR="00777671">
        <w:t>anticipated</w:t>
      </w:r>
      <w:r w:rsidR="006F66CD">
        <w:t>ly</w:t>
      </w:r>
      <w:r w:rsidR="00777671">
        <w:t xml:space="preserve"> </w:t>
      </w:r>
      <w:r w:rsidR="00AE4A21">
        <w:t xml:space="preserve">permanent </w:t>
      </w:r>
      <w:r w:rsidR="00B50E37">
        <w:t>value-lessening</w:t>
      </w:r>
      <w:r w:rsidR="006F66CD">
        <w:t>/reduction in value</w:t>
      </w:r>
      <w:r w:rsidR="003315BD">
        <w:t>)</w:t>
      </w:r>
      <w:r w:rsidR="00097A37">
        <w:t>.</w:t>
      </w:r>
      <w:r w:rsidR="003315BD">
        <w:rPr>
          <w:rStyle w:val="FootnoteReference"/>
        </w:rPr>
        <w:footnoteReference w:id="28"/>
      </w:r>
    </w:p>
    <w:p w14:paraId="7510A249" w14:textId="2542F4CF" w:rsidR="00A43F8B" w:rsidRPr="00BC4AC6" w:rsidRDefault="00A43F8B" w:rsidP="00A43F8B">
      <w:pPr>
        <w:ind w:firstLine="567"/>
        <w:rPr>
          <w:rFonts w:cs="Times New Roman"/>
        </w:rPr>
      </w:pPr>
      <w:r>
        <w:rPr>
          <w:rFonts w:cs="Times New Roman"/>
        </w:rPr>
        <w:t>We now examine IAS 36’s term “impairment”</w:t>
      </w:r>
      <w:r w:rsidR="008348D9" w:rsidRPr="008348D9">
        <w:rPr>
          <w:rFonts w:cs="Times New Roman"/>
        </w:rPr>
        <w:t xml:space="preserve"> </w:t>
      </w:r>
      <w:r w:rsidR="008348D9">
        <w:rPr>
          <w:rFonts w:cs="Times New Roman"/>
        </w:rPr>
        <w:t xml:space="preserve">in 19 </w:t>
      </w:r>
      <w:r w:rsidR="008348D9" w:rsidRPr="00BC4AC6">
        <w:rPr>
          <w:rFonts w:cs="Times New Roman"/>
        </w:rPr>
        <w:t>translations</w:t>
      </w:r>
      <w:r>
        <w:rPr>
          <w:rFonts w:cs="Times New Roman"/>
        </w:rPr>
        <w:t xml:space="preserve">: 12 European (including Russian), Argentinian Spanish, Brazilian Portuguese, Canadian French, </w:t>
      </w:r>
      <w:r w:rsidRPr="00BC4AC6">
        <w:rPr>
          <w:rFonts w:cs="Times New Roman"/>
        </w:rPr>
        <w:t>Chinese</w:t>
      </w:r>
      <w:r>
        <w:rPr>
          <w:rFonts w:cs="Times New Roman"/>
        </w:rPr>
        <w:t>, Japanese, Korean and Arabic</w:t>
      </w:r>
      <w:r w:rsidRPr="00BC4AC6">
        <w:rPr>
          <w:rFonts w:cs="Times New Roman"/>
        </w:rPr>
        <w:t>.</w:t>
      </w:r>
      <w:r w:rsidRPr="002443CA">
        <w:rPr>
          <w:rFonts w:cs="Times New Roman"/>
        </w:rPr>
        <w:t xml:space="preserve"> </w:t>
      </w:r>
      <w:r>
        <w:rPr>
          <w:rFonts w:cs="Times New Roman"/>
        </w:rPr>
        <w:t>As will be explained, w</w:t>
      </w:r>
      <w:r w:rsidRPr="00BC4AC6">
        <w:rPr>
          <w:rFonts w:cs="Times New Roman"/>
        </w:rPr>
        <w:t xml:space="preserve">e </w:t>
      </w:r>
      <w:r>
        <w:rPr>
          <w:rFonts w:cs="Times New Roman"/>
        </w:rPr>
        <w:t>find that</w:t>
      </w:r>
      <w:r w:rsidRPr="00BC4AC6">
        <w:rPr>
          <w:rFonts w:cs="Times New Roman"/>
        </w:rPr>
        <w:t xml:space="preserve"> </w:t>
      </w:r>
      <w:r>
        <w:rPr>
          <w:rFonts w:cs="Times New Roman"/>
        </w:rPr>
        <w:t>nearly all the translations convey</w:t>
      </w:r>
      <w:r w:rsidRPr="00BC4AC6">
        <w:rPr>
          <w:rFonts w:cs="Times New Roman"/>
        </w:rPr>
        <w:t xml:space="preserve"> somet</w:t>
      </w:r>
      <w:r>
        <w:rPr>
          <w:rFonts w:cs="Times New Roman"/>
        </w:rPr>
        <w:t>hing much vaguer than (a) of sub-section 3.1 and nearly all convey something wider than either (a) or (b).</w:t>
      </w:r>
    </w:p>
    <w:p w14:paraId="15AFA768" w14:textId="5076B528" w:rsidR="005B7FA4" w:rsidRPr="006F66CD" w:rsidRDefault="00097A37" w:rsidP="006F66CD">
      <w:pPr>
        <w:ind w:firstLine="567"/>
      </w:pPr>
      <w:r>
        <w:rPr>
          <w:rFonts w:cs="Times New Roman"/>
        </w:rPr>
        <w:t>T</w:t>
      </w:r>
      <w:r w:rsidR="00B124D2" w:rsidRPr="00BC4AC6">
        <w:rPr>
          <w:rFonts w:cs="Times New Roman"/>
        </w:rPr>
        <w:t xml:space="preserve">he German term for impairment in the IASB-approved translation </w:t>
      </w:r>
      <w:r w:rsidR="00B94B1A">
        <w:rPr>
          <w:rFonts w:cs="Times New Roman"/>
        </w:rPr>
        <w:t xml:space="preserve">of IAS 36 </w:t>
      </w:r>
      <w:r w:rsidR="00B124D2" w:rsidRPr="00BC4AC6">
        <w:rPr>
          <w:rFonts w:cs="Times New Roman"/>
        </w:rPr>
        <w:t>and in the official EU translation</w:t>
      </w:r>
      <w:r w:rsidR="009C0680">
        <w:rPr>
          <w:rFonts w:cs="Times New Roman"/>
        </w:rPr>
        <w:t xml:space="preserve"> of </w:t>
      </w:r>
      <w:r w:rsidR="00B94B1A">
        <w:rPr>
          <w:rFonts w:cs="Times New Roman"/>
        </w:rPr>
        <w:t>it</w:t>
      </w:r>
      <w:r w:rsidR="00B124D2" w:rsidRPr="00BC4AC6">
        <w:rPr>
          <w:rFonts w:cs="Times New Roman"/>
        </w:rPr>
        <w:t xml:space="preserve"> is</w:t>
      </w:r>
      <w:r w:rsidR="00E23203">
        <w:rPr>
          <w:rFonts w:cs="Times New Roman"/>
        </w:rPr>
        <w:t xml:space="preserve"> </w:t>
      </w:r>
      <w:r w:rsidR="00335B93">
        <w:rPr>
          <w:rFonts w:cs="Times New Roman"/>
        </w:rPr>
        <w:t>“</w:t>
      </w:r>
      <w:r w:rsidR="00B124D2" w:rsidRPr="00BC4AC6">
        <w:rPr>
          <w:rFonts w:cs="Times New Roman"/>
          <w:i/>
        </w:rPr>
        <w:t>Wertminderung</w:t>
      </w:r>
      <w:r w:rsidR="00335B93">
        <w:rPr>
          <w:rFonts w:cs="Times New Roman"/>
        </w:rPr>
        <w:t>”</w:t>
      </w:r>
      <w:r w:rsidR="00B124D2" w:rsidRPr="00BC4AC6">
        <w:rPr>
          <w:rFonts w:cs="Times New Roman"/>
        </w:rPr>
        <w:t xml:space="preserve">. </w:t>
      </w:r>
      <w:r w:rsidR="000C30F6">
        <w:rPr>
          <w:rFonts w:cs="Times New Roman"/>
        </w:rPr>
        <w:t xml:space="preserve">It </w:t>
      </w:r>
      <w:r w:rsidR="00E23203">
        <w:rPr>
          <w:rFonts w:cs="Times New Roman"/>
        </w:rPr>
        <w:t xml:space="preserve">would surely have been clearer to use </w:t>
      </w:r>
      <w:r w:rsidR="00EB7FA8">
        <w:rPr>
          <w:rFonts w:cs="Times New Roman"/>
        </w:rPr>
        <w:t xml:space="preserve">a </w:t>
      </w:r>
      <w:r w:rsidR="00B94B1A">
        <w:t>term</w:t>
      </w:r>
      <w:r w:rsidR="00F47AB5" w:rsidRPr="00B25EA6">
        <w:t xml:space="preserve"> relating to damage.</w:t>
      </w:r>
      <w:r w:rsidR="00384E96">
        <w:t xml:space="preserve"> </w:t>
      </w:r>
      <w:r w:rsidR="002045B6">
        <w:t>There is e</w:t>
      </w:r>
      <w:r w:rsidR="00384E96">
        <w:t xml:space="preserve">vidence that </w:t>
      </w:r>
      <w:r w:rsidR="002045B6">
        <w:t>some German firms are</w:t>
      </w:r>
      <w:r w:rsidR="00384E96">
        <w:t xml:space="preserve"> aware of </w:t>
      </w:r>
      <w:r w:rsidR="002045B6">
        <w:t xml:space="preserve">the </w:t>
      </w:r>
      <w:r w:rsidR="00384E96">
        <w:t xml:space="preserve">lack of clarity </w:t>
      </w:r>
      <w:r w:rsidR="002045B6">
        <w:t xml:space="preserve">because, </w:t>
      </w:r>
      <w:r>
        <w:t xml:space="preserve">even </w:t>
      </w:r>
      <w:r w:rsidR="00384E96">
        <w:t>in the</w:t>
      </w:r>
      <w:r w:rsidR="002045B6">
        <w:t>ir</w:t>
      </w:r>
      <w:r w:rsidR="00384E96">
        <w:t xml:space="preserve"> source German language </w:t>
      </w:r>
      <w:r w:rsidR="002045B6">
        <w:t>reports, they</w:t>
      </w:r>
      <w:r w:rsidR="00384E96">
        <w:t xml:space="preserve"> use the English term as explanatory, referring for example to “</w:t>
      </w:r>
      <w:r w:rsidR="00384E96" w:rsidRPr="003D72DB">
        <w:t xml:space="preserve">Wertminderung </w:t>
      </w:r>
      <w:r w:rsidR="00384E96">
        <w:t>(Impairment)”</w:t>
      </w:r>
      <w:r w:rsidR="003D72DB">
        <w:t>.</w:t>
      </w:r>
      <w:r w:rsidR="003D72DB">
        <w:rPr>
          <w:rStyle w:val="FootnoteReference"/>
        </w:rPr>
        <w:footnoteReference w:id="29"/>
      </w:r>
    </w:p>
    <w:p w14:paraId="0EB601BF" w14:textId="179292F4" w:rsidR="005B7FA4" w:rsidRDefault="00760745" w:rsidP="0091244B">
      <w:pPr>
        <w:ind w:firstLine="567"/>
        <w:rPr>
          <w:rFonts w:cs="Times New Roman"/>
        </w:rPr>
      </w:pPr>
      <w:r>
        <w:rPr>
          <w:rFonts w:cs="Times New Roman"/>
        </w:rPr>
        <w:t xml:space="preserve">Looking further at Germanic languages, </w:t>
      </w:r>
      <w:r w:rsidR="00B84FF6">
        <w:rPr>
          <w:rFonts w:cs="Times New Roman"/>
        </w:rPr>
        <w:t xml:space="preserve">and concentrating on the title of IAS 36, </w:t>
      </w:r>
      <w:r>
        <w:rPr>
          <w:rFonts w:cs="Times New Roman"/>
        </w:rPr>
        <w:t xml:space="preserve">we find that </w:t>
      </w:r>
      <w:r>
        <w:t xml:space="preserve">the Danish </w:t>
      </w:r>
      <w:r w:rsidR="00DC2A36">
        <w:t xml:space="preserve">and Norwegian </w:t>
      </w:r>
      <w:r>
        <w:t>translation</w:t>
      </w:r>
      <w:r w:rsidR="00DC2A36">
        <w:t>s</w:t>
      </w:r>
      <w:r w:rsidR="00720549">
        <w:t xml:space="preserve"> also literally refer</w:t>
      </w:r>
      <w:r>
        <w:t xml:space="preserve"> to loss of value (</w:t>
      </w:r>
      <w:r>
        <w:rPr>
          <w:i/>
        </w:rPr>
        <w:t>vaerdiforringelse</w:t>
      </w:r>
      <w:r w:rsidR="00926CC5">
        <w:t xml:space="preserve"> and </w:t>
      </w:r>
      <w:r w:rsidR="00F47AB5" w:rsidRPr="00B25EA6">
        <w:rPr>
          <w:i/>
        </w:rPr>
        <w:t>verdifall</w:t>
      </w:r>
      <w:r w:rsidR="00DC2A36">
        <w:t>, respectively)</w:t>
      </w:r>
      <w:r>
        <w:t xml:space="preserve">. However, the Dutch </w:t>
      </w:r>
      <w:r w:rsidR="007410D0">
        <w:t>were</w:t>
      </w:r>
      <w:r>
        <w:t xml:space="preserve"> alert to the vagueness of this and use</w:t>
      </w:r>
      <w:r w:rsidR="007410D0">
        <w:t>d</w:t>
      </w:r>
      <w:r>
        <w:t xml:space="preserve"> “</w:t>
      </w:r>
      <w:r w:rsidRPr="00760745">
        <w:rPr>
          <w:rFonts w:cs="Times New Roman"/>
          <w:i/>
          <w:iCs/>
        </w:rPr>
        <w:t>bijzonder</w:t>
      </w:r>
      <w:r w:rsidR="00D70613">
        <w:rPr>
          <w:rFonts w:cs="Times New Roman"/>
          <w:i/>
          <w:iCs/>
        </w:rPr>
        <w:t>e</w:t>
      </w:r>
      <w:r w:rsidRPr="00760745">
        <w:rPr>
          <w:rFonts w:cs="Times New Roman"/>
          <w:i/>
          <w:iCs/>
        </w:rPr>
        <w:t xml:space="preserve"> waardevermindering</w:t>
      </w:r>
      <w:r>
        <w:rPr>
          <w:rFonts w:cs="Times New Roman"/>
          <w:i/>
          <w:iCs/>
        </w:rPr>
        <w:t xml:space="preserve">” </w:t>
      </w:r>
      <w:r w:rsidR="00D70613">
        <w:rPr>
          <w:rFonts w:cs="Times New Roman"/>
          <w:iCs/>
        </w:rPr>
        <w:t>(exceptional</w:t>
      </w:r>
      <w:r w:rsidRPr="00760745">
        <w:rPr>
          <w:rFonts w:cs="Times New Roman"/>
          <w:iCs/>
        </w:rPr>
        <w:t xml:space="preserve"> </w:t>
      </w:r>
      <w:r w:rsidR="0085194D">
        <w:rPr>
          <w:rFonts w:cs="Times New Roman"/>
          <w:iCs/>
        </w:rPr>
        <w:t>fall</w:t>
      </w:r>
      <w:r w:rsidRPr="00760745">
        <w:rPr>
          <w:rFonts w:cs="Times New Roman"/>
          <w:iCs/>
        </w:rPr>
        <w:t xml:space="preserve"> </w:t>
      </w:r>
      <w:r w:rsidR="0085194D">
        <w:rPr>
          <w:rFonts w:cs="Times New Roman"/>
          <w:iCs/>
        </w:rPr>
        <w:t>in</w:t>
      </w:r>
      <w:r w:rsidRPr="00760745">
        <w:rPr>
          <w:rFonts w:cs="Times New Roman"/>
          <w:iCs/>
        </w:rPr>
        <w:t xml:space="preserve"> value)</w:t>
      </w:r>
      <w:r w:rsidR="007410D0">
        <w:rPr>
          <w:rFonts w:cs="Times New Roman"/>
          <w:iCs/>
        </w:rPr>
        <w:t xml:space="preserve">, as a new </w:t>
      </w:r>
      <w:r w:rsidR="000521D3">
        <w:rPr>
          <w:rFonts w:cs="Times New Roman"/>
          <w:iCs/>
        </w:rPr>
        <w:t>term</w:t>
      </w:r>
      <w:r w:rsidR="007410D0">
        <w:rPr>
          <w:rFonts w:cs="Times New Roman"/>
          <w:iCs/>
        </w:rPr>
        <w:t xml:space="preserve"> in the accounting register</w:t>
      </w:r>
      <w:r w:rsidRPr="00760745">
        <w:rPr>
          <w:rFonts w:cs="Times New Roman"/>
          <w:iCs/>
        </w:rPr>
        <w:t>.</w:t>
      </w:r>
      <w:r w:rsidR="007410D0">
        <w:rPr>
          <w:rStyle w:val="FootnoteReference"/>
          <w:rFonts w:cs="Times New Roman"/>
          <w:iCs/>
        </w:rPr>
        <w:footnoteReference w:id="30"/>
      </w:r>
      <w:r>
        <w:t xml:space="preserve"> </w:t>
      </w:r>
      <w:r w:rsidR="005B7FA4">
        <w:rPr>
          <w:rFonts w:cs="Times New Roman"/>
        </w:rPr>
        <w:t>Dahlgren and Nilsson (2012, p.</w:t>
      </w:r>
      <w:r w:rsidR="00886E84">
        <w:rPr>
          <w:rFonts w:cs="Times New Roman"/>
        </w:rPr>
        <w:t xml:space="preserve"> </w:t>
      </w:r>
      <w:r w:rsidR="005B7FA4">
        <w:rPr>
          <w:rFonts w:cs="Times New Roman"/>
        </w:rPr>
        <w:t xml:space="preserve">51) include impairment in their examination of </w:t>
      </w:r>
      <w:r w:rsidR="0085194D">
        <w:rPr>
          <w:rFonts w:cs="Times New Roman"/>
        </w:rPr>
        <w:t xml:space="preserve">the </w:t>
      </w:r>
      <w:r w:rsidR="005B7FA4">
        <w:rPr>
          <w:rFonts w:cs="Times New Roman"/>
        </w:rPr>
        <w:t>problems of translating IFRS into Swedish. The</w:t>
      </w:r>
      <w:r w:rsidR="00B678E3">
        <w:rPr>
          <w:rFonts w:cs="Times New Roman"/>
        </w:rPr>
        <w:t>y note that</w:t>
      </w:r>
      <w:r w:rsidR="00097A37">
        <w:rPr>
          <w:rFonts w:cs="Times New Roman"/>
        </w:rPr>
        <w:t xml:space="preserve"> </w:t>
      </w:r>
      <w:r w:rsidR="00125FEA">
        <w:rPr>
          <w:rFonts w:cs="Times New Roman"/>
        </w:rPr>
        <w:t>“</w:t>
      </w:r>
      <w:r w:rsidR="005B7FA4" w:rsidRPr="00EE588D">
        <w:rPr>
          <w:rFonts w:cs="Times New Roman"/>
          <w:i/>
        </w:rPr>
        <w:t>nedskrivningar</w:t>
      </w:r>
      <w:r w:rsidR="00125FEA">
        <w:rPr>
          <w:rFonts w:cs="Times New Roman"/>
          <w:i/>
        </w:rPr>
        <w:t>”</w:t>
      </w:r>
      <w:r w:rsidR="005B7FA4" w:rsidRPr="00EE588D">
        <w:t xml:space="preserve"> (literally “write-downs”</w:t>
      </w:r>
      <w:r w:rsidR="005B7FA4">
        <w:t>)</w:t>
      </w:r>
      <w:r w:rsidR="00AC3491" w:rsidRPr="00AC3491">
        <w:t xml:space="preserve"> </w:t>
      </w:r>
      <w:r w:rsidR="00AC3491" w:rsidRPr="00EE588D">
        <w:t>is used</w:t>
      </w:r>
      <w:r w:rsidR="00AC3491">
        <w:t xml:space="preserve"> in the title</w:t>
      </w:r>
      <w:r w:rsidR="00176989">
        <w:t xml:space="preserve"> </w:t>
      </w:r>
      <w:r w:rsidR="00AC3491">
        <w:t xml:space="preserve">and </w:t>
      </w:r>
      <w:r w:rsidR="00CC24F3">
        <w:t xml:space="preserve">in </w:t>
      </w:r>
      <w:r w:rsidR="00AC3491">
        <w:t>the text</w:t>
      </w:r>
      <w:r w:rsidR="00097A37">
        <w:rPr>
          <w:rFonts w:cs="Times New Roman"/>
        </w:rPr>
        <w:t xml:space="preserve"> of IAS 36</w:t>
      </w:r>
      <w:r w:rsidR="005B7FA4">
        <w:t xml:space="preserve">. </w:t>
      </w:r>
      <w:r w:rsidR="00176989">
        <w:t xml:space="preserve">We </w:t>
      </w:r>
      <w:r w:rsidR="00D169B0">
        <w:t xml:space="preserve">add the </w:t>
      </w:r>
      <w:r w:rsidR="00176989">
        <w:t>observ</w:t>
      </w:r>
      <w:r w:rsidR="00D169B0">
        <w:t>ation</w:t>
      </w:r>
      <w:r w:rsidR="00176989">
        <w:t xml:space="preserve"> </w:t>
      </w:r>
      <w:r w:rsidR="008D039E">
        <w:t>that the Swedish translation of the whole title “Impairment of Assets” is th</w:t>
      </w:r>
      <w:r w:rsidR="008B1C48">
        <w:t>at</w:t>
      </w:r>
      <w:r w:rsidR="008D039E">
        <w:t xml:space="preserve"> one plural word for write-downs, suggesting a cavalier approach </w:t>
      </w:r>
      <w:r w:rsidR="00176989">
        <w:t>to translation on the part of</w:t>
      </w:r>
      <w:r w:rsidR="008D039E">
        <w:t xml:space="preserve"> the EU translators.</w:t>
      </w:r>
      <w:r w:rsidR="00176989">
        <w:t xml:space="preserve"> </w:t>
      </w:r>
      <w:r w:rsidR="005B7FA4">
        <w:t>We observe</w:t>
      </w:r>
      <w:r w:rsidR="00176989">
        <w:t>, further,</w:t>
      </w:r>
      <w:r w:rsidR="005B7FA4">
        <w:t xml:space="preserve"> that </w:t>
      </w:r>
      <w:r w:rsidR="008D039E">
        <w:t xml:space="preserve">the Swedish </w:t>
      </w:r>
      <w:r w:rsidR="000521D3">
        <w:t>term</w:t>
      </w:r>
      <w:r w:rsidR="005B7FA4">
        <w:t xml:space="preserve"> contrast</w:t>
      </w:r>
      <w:r w:rsidR="008D039E">
        <w:t>s</w:t>
      </w:r>
      <w:r w:rsidR="005B7FA4">
        <w:t xml:space="preserve"> </w:t>
      </w:r>
      <w:r w:rsidR="008D039E">
        <w:t>with</w:t>
      </w:r>
      <w:r>
        <w:t xml:space="preserve"> the German, Danish</w:t>
      </w:r>
      <w:r w:rsidR="00DC2A36">
        <w:t>, Norwegian</w:t>
      </w:r>
      <w:r>
        <w:t xml:space="preserve"> and Dutch </w:t>
      </w:r>
      <w:r w:rsidR="000521D3">
        <w:t>term</w:t>
      </w:r>
      <w:r>
        <w:t>s</w:t>
      </w:r>
      <w:r w:rsidR="00367A93">
        <w:t>, which refer to a fall in value rather than to an accounting action</w:t>
      </w:r>
      <w:r>
        <w:t xml:space="preserve">. </w:t>
      </w:r>
      <w:r w:rsidR="005B7FA4">
        <w:t xml:space="preserve">Dahlgren and Nilsson </w:t>
      </w:r>
      <w:r w:rsidR="00363EB0">
        <w:t>(2012, p.</w:t>
      </w:r>
      <w:r w:rsidR="00E73CF8">
        <w:t xml:space="preserve"> </w:t>
      </w:r>
      <w:r w:rsidR="00363EB0">
        <w:t xml:space="preserve">51) </w:t>
      </w:r>
      <w:r w:rsidR="008348D9">
        <w:t>note</w:t>
      </w:r>
      <w:r w:rsidR="005B7FA4">
        <w:t xml:space="preserve"> that the Swedish law already contained</w:t>
      </w:r>
      <w:r w:rsidR="00720549">
        <w:t xml:space="preserve"> a loss-of-value </w:t>
      </w:r>
      <w:r w:rsidR="000521D3">
        <w:t>term</w:t>
      </w:r>
      <w:r w:rsidR="005B7FA4">
        <w:t xml:space="preserve"> (</w:t>
      </w:r>
      <w:r w:rsidR="005B7FA4" w:rsidRPr="00D8420F">
        <w:rPr>
          <w:i/>
        </w:rPr>
        <w:t>v</w:t>
      </w:r>
      <w:r w:rsidR="005B7FA4" w:rsidRPr="00D8420F">
        <w:rPr>
          <w:rFonts w:cs="Times New Roman"/>
          <w:i/>
        </w:rPr>
        <w:t>ä</w:t>
      </w:r>
      <w:r w:rsidR="005B7FA4" w:rsidRPr="00D8420F">
        <w:rPr>
          <w:i/>
        </w:rPr>
        <w:t>rdenedg</w:t>
      </w:r>
      <w:r w:rsidR="005B7FA4" w:rsidRPr="00D8420F">
        <w:rPr>
          <w:rFonts w:cs="Times New Roman"/>
          <w:i/>
        </w:rPr>
        <w:t>å</w:t>
      </w:r>
      <w:r w:rsidR="005B7FA4" w:rsidRPr="00D8420F">
        <w:rPr>
          <w:i/>
        </w:rPr>
        <w:t>ng</w:t>
      </w:r>
      <w:r w:rsidR="00367A93">
        <w:t>) used to translate</w:t>
      </w:r>
      <w:r w:rsidR="005B7FA4">
        <w:t xml:space="preserve"> the Fourth Directive’s instructions on permanent diminution in value. </w:t>
      </w:r>
      <w:r w:rsidR="00AC3491">
        <w:rPr>
          <w:rFonts w:cs="Times New Roman"/>
        </w:rPr>
        <w:t xml:space="preserve">Dahlgren and Nilsson </w:t>
      </w:r>
      <w:r w:rsidR="00DE773E">
        <w:rPr>
          <w:rFonts w:cs="Times New Roman"/>
        </w:rPr>
        <w:t xml:space="preserve">have </w:t>
      </w:r>
      <w:r w:rsidR="00AC3491">
        <w:rPr>
          <w:rFonts w:cs="Times New Roman"/>
        </w:rPr>
        <w:t>suggest</w:t>
      </w:r>
      <w:r w:rsidR="00DE773E">
        <w:rPr>
          <w:rFonts w:cs="Times New Roman"/>
        </w:rPr>
        <w:t>ed to the authors</w:t>
      </w:r>
      <w:r w:rsidR="00AC3491">
        <w:rPr>
          <w:rFonts w:cs="Times New Roman"/>
        </w:rPr>
        <w:t xml:space="preserve"> that the Swedish version</w:t>
      </w:r>
      <w:r w:rsidR="0014601F">
        <w:rPr>
          <w:rFonts w:cs="Times New Roman"/>
        </w:rPr>
        <w:t xml:space="preserve"> of IAS 36</w:t>
      </w:r>
      <w:r w:rsidR="00AC3491">
        <w:rPr>
          <w:rFonts w:cs="Times New Roman"/>
        </w:rPr>
        <w:t xml:space="preserve"> avoids rather than translates “impairment”.</w:t>
      </w:r>
      <w:r w:rsidR="00AC3491">
        <w:rPr>
          <w:rStyle w:val="FootnoteReference"/>
          <w:rFonts w:cs="Times New Roman"/>
        </w:rPr>
        <w:footnoteReference w:id="31"/>
      </w:r>
    </w:p>
    <w:p w14:paraId="29E6BDF9" w14:textId="65D09A29" w:rsidR="007C3A3F" w:rsidRPr="00284D12" w:rsidRDefault="007C3A3F" w:rsidP="00284D12">
      <w:pPr>
        <w:ind w:firstLine="567"/>
        <w:rPr>
          <w:rFonts w:cs="Times New Roman"/>
        </w:rPr>
      </w:pPr>
      <w:r>
        <w:rPr>
          <w:rFonts w:cs="Times New Roman"/>
        </w:rPr>
        <w:t>S</w:t>
      </w:r>
      <w:r w:rsidR="00284D12">
        <w:rPr>
          <w:rFonts w:cs="Times New Roman"/>
        </w:rPr>
        <w:t>omewhat s</w:t>
      </w:r>
      <w:r>
        <w:rPr>
          <w:rFonts w:cs="Times New Roman"/>
        </w:rPr>
        <w:t>imilarly, the full title of the standard in Arabic is</w:t>
      </w:r>
      <w:r w:rsidRPr="005950C1">
        <w:rPr>
          <w:rFonts w:ascii="Arial" w:hAnsi="Arial" w:cs="Arial"/>
          <w:sz w:val="28"/>
          <w:szCs w:val="28"/>
        </w:rPr>
        <w:t xml:space="preserve"> </w:t>
      </w:r>
      <w:r w:rsidRPr="009C4028">
        <w:rPr>
          <w:rFonts w:cs="Times New Roman"/>
        </w:rPr>
        <w:t>إنخفاض قيمة الأصول</w:t>
      </w:r>
      <w:r w:rsidRPr="00DC2A36">
        <w:rPr>
          <w:rFonts w:cs="Times New Roman"/>
        </w:rPr>
        <w:t>,</w:t>
      </w:r>
      <w:r>
        <w:rPr>
          <w:rFonts w:ascii="Tahoma" w:hAnsi="Tahoma" w:cs="Tahoma"/>
        </w:rPr>
        <w:t xml:space="preserve"> </w:t>
      </w:r>
      <w:r w:rsidRPr="0085194D">
        <w:rPr>
          <w:rFonts w:cs="Times New Roman"/>
        </w:rPr>
        <w:t>meaning</w:t>
      </w:r>
      <w:r>
        <w:rPr>
          <w:rFonts w:cs="Times New Roman"/>
        </w:rPr>
        <w:t xml:space="preserve"> approximately</w:t>
      </w:r>
      <w:r w:rsidRPr="0085194D">
        <w:rPr>
          <w:rFonts w:cs="Times New Roman"/>
        </w:rPr>
        <w:t xml:space="preserve"> </w:t>
      </w:r>
      <w:r>
        <w:rPr>
          <w:rFonts w:cs="Times New Roman"/>
        </w:rPr>
        <w:t>“reducing the recorded value of assets”. A different Arabic word would denote impairment in the sense of weakening.</w:t>
      </w:r>
      <w:r>
        <w:rPr>
          <w:rStyle w:val="FootnoteReference"/>
          <w:rFonts w:cs="Times New Roman"/>
        </w:rPr>
        <w:footnoteReference w:id="32"/>
      </w:r>
    </w:p>
    <w:p w14:paraId="009729AF" w14:textId="2936F588" w:rsidR="00527F23" w:rsidRDefault="00527F23" w:rsidP="00527F23">
      <w:pPr>
        <w:ind w:firstLine="567"/>
        <w:rPr>
          <w:rFonts w:cs="Times New Roman"/>
        </w:rPr>
      </w:pPr>
      <w:r>
        <w:rPr>
          <w:rFonts w:cs="Times New Roman"/>
        </w:rPr>
        <w:t xml:space="preserve">Appendix 1 lists the </w:t>
      </w:r>
      <w:r w:rsidR="000521D3">
        <w:rPr>
          <w:rFonts w:cs="Times New Roman"/>
        </w:rPr>
        <w:t>term</w:t>
      </w:r>
      <w:r>
        <w:rPr>
          <w:rFonts w:cs="Times New Roman"/>
        </w:rPr>
        <w:t xml:space="preserve">s for </w:t>
      </w:r>
      <w:r w:rsidR="000D40CB">
        <w:rPr>
          <w:rFonts w:cs="Times New Roman"/>
        </w:rPr>
        <w:t>“</w:t>
      </w:r>
      <w:r>
        <w:rPr>
          <w:rFonts w:cs="Times New Roman"/>
        </w:rPr>
        <w:t>impairment</w:t>
      </w:r>
      <w:r w:rsidR="000D40CB">
        <w:rPr>
          <w:rFonts w:cs="Times New Roman"/>
        </w:rPr>
        <w:t>”</w:t>
      </w:r>
      <w:r>
        <w:rPr>
          <w:rFonts w:cs="Times New Roman"/>
        </w:rPr>
        <w:t xml:space="preserve"> used in all these translations of impairment (and </w:t>
      </w:r>
      <w:r w:rsidR="002045B6">
        <w:rPr>
          <w:rFonts w:cs="Times New Roman"/>
        </w:rPr>
        <w:t>further translations</w:t>
      </w:r>
      <w:r>
        <w:rPr>
          <w:rFonts w:cs="Times New Roman"/>
        </w:rPr>
        <w:t xml:space="preserve"> discussed below). The Appendix also records the exact documents to which we refer. Table 1 groups the translations according to </w:t>
      </w:r>
      <w:r w:rsidR="00363EB0">
        <w:rPr>
          <w:rFonts w:cs="Times New Roman"/>
        </w:rPr>
        <w:t xml:space="preserve">approximate </w:t>
      </w:r>
      <w:r>
        <w:rPr>
          <w:rFonts w:cs="Times New Roman"/>
        </w:rPr>
        <w:t xml:space="preserve">literal English meanings of the </w:t>
      </w:r>
      <w:r w:rsidR="000521D3">
        <w:rPr>
          <w:rFonts w:cs="Times New Roman"/>
        </w:rPr>
        <w:t>term</w:t>
      </w:r>
      <w:r>
        <w:rPr>
          <w:rFonts w:cs="Times New Roman"/>
        </w:rPr>
        <w:t>s.</w:t>
      </w:r>
    </w:p>
    <w:p w14:paraId="649DF668" w14:textId="3471748C" w:rsidR="002E0577" w:rsidRDefault="00B124D2" w:rsidP="009344C7">
      <w:pPr>
        <w:ind w:firstLine="567"/>
        <w:rPr>
          <w:rFonts w:cs="Times New Roman"/>
        </w:rPr>
      </w:pPr>
      <w:r w:rsidRPr="00BC4AC6">
        <w:rPr>
          <w:rFonts w:cs="Times New Roman"/>
        </w:rPr>
        <w:t>T</w:t>
      </w:r>
      <w:r w:rsidR="00760745">
        <w:rPr>
          <w:rFonts w:cs="Times New Roman"/>
        </w:rPr>
        <w:t>urning to Romance languages, t</w:t>
      </w:r>
      <w:r w:rsidRPr="00BC4AC6">
        <w:rPr>
          <w:rFonts w:cs="Times New Roman"/>
        </w:rPr>
        <w:t xml:space="preserve">he </w:t>
      </w:r>
      <w:r w:rsidR="000521D3">
        <w:rPr>
          <w:rFonts w:cs="Times New Roman"/>
        </w:rPr>
        <w:t>term</w:t>
      </w:r>
      <w:r w:rsidR="002045B6">
        <w:rPr>
          <w:rFonts w:cs="Times New Roman"/>
        </w:rPr>
        <w:t xml:space="preserve">s in </w:t>
      </w:r>
      <w:r w:rsidRPr="00BC4AC6">
        <w:rPr>
          <w:rFonts w:cs="Times New Roman"/>
        </w:rPr>
        <w:t>French</w:t>
      </w:r>
      <w:r w:rsidR="005950C1">
        <w:rPr>
          <w:rFonts w:cs="Times New Roman"/>
        </w:rPr>
        <w:t xml:space="preserve"> (</w:t>
      </w:r>
      <w:r w:rsidR="00693030">
        <w:rPr>
          <w:rFonts w:cs="Times New Roman"/>
        </w:rPr>
        <w:t xml:space="preserve">both </w:t>
      </w:r>
      <w:r w:rsidR="005950C1">
        <w:rPr>
          <w:rFonts w:cs="Times New Roman"/>
        </w:rPr>
        <w:t>EU and Canadian)</w:t>
      </w:r>
      <w:r w:rsidRPr="00BC4AC6">
        <w:rPr>
          <w:rFonts w:cs="Times New Roman"/>
        </w:rPr>
        <w:t xml:space="preserve">, Italian and Spanish </w:t>
      </w:r>
      <w:r w:rsidR="005950C1">
        <w:rPr>
          <w:rFonts w:cs="Times New Roman"/>
        </w:rPr>
        <w:t>(</w:t>
      </w:r>
      <w:r w:rsidR="00693030">
        <w:rPr>
          <w:rFonts w:cs="Times New Roman"/>
        </w:rPr>
        <w:t xml:space="preserve">both </w:t>
      </w:r>
      <w:r w:rsidR="005950C1">
        <w:rPr>
          <w:rFonts w:cs="Times New Roman"/>
        </w:rPr>
        <w:t xml:space="preserve">EU and Argentinian) </w:t>
      </w:r>
      <w:r w:rsidR="00EE714F">
        <w:rPr>
          <w:rFonts w:cs="Times New Roman"/>
        </w:rPr>
        <w:t>all refer to loss of value</w:t>
      </w:r>
      <w:r w:rsidR="00C36B3F">
        <w:rPr>
          <w:rFonts w:cs="Times New Roman"/>
        </w:rPr>
        <w:t>, which perhaps implies a real fall in value rather than an accounting action</w:t>
      </w:r>
      <w:r w:rsidR="00693030">
        <w:rPr>
          <w:rFonts w:cs="Times New Roman"/>
        </w:rPr>
        <w:t>. The</w:t>
      </w:r>
      <w:r w:rsidR="00C36B3F">
        <w:rPr>
          <w:rFonts w:cs="Times New Roman"/>
        </w:rPr>
        <w:t xml:space="preserve">se </w:t>
      </w:r>
      <w:r w:rsidR="000521D3">
        <w:rPr>
          <w:rFonts w:cs="Times New Roman"/>
        </w:rPr>
        <w:t>term</w:t>
      </w:r>
      <w:r w:rsidR="00C36B3F">
        <w:rPr>
          <w:rFonts w:cs="Times New Roman"/>
        </w:rPr>
        <w:t>s</w:t>
      </w:r>
      <w:r w:rsidR="00693030">
        <w:rPr>
          <w:rFonts w:cs="Times New Roman"/>
        </w:rPr>
        <w:t xml:space="preserve"> are,</w:t>
      </w:r>
      <w:r w:rsidR="00EE714F">
        <w:rPr>
          <w:rFonts w:cs="Times New Roman"/>
        </w:rPr>
        <w:t xml:space="preserve"> </w:t>
      </w:r>
      <w:r w:rsidRPr="00BC4AC6">
        <w:rPr>
          <w:rFonts w:cs="Times New Roman"/>
        </w:rPr>
        <w:t xml:space="preserve">respectively: </w:t>
      </w:r>
      <w:r w:rsidR="00335B93">
        <w:rPr>
          <w:rFonts w:cs="Times New Roman"/>
        </w:rPr>
        <w:t>“</w:t>
      </w:r>
      <w:r w:rsidRPr="00BC4AC6">
        <w:rPr>
          <w:rFonts w:cs="Times New Roman"/>
          <w:i/>
        </w:rPr>
        <w:t>dépr</w:t>
      </w:r>
      <w:r w:rsidR="005819AC" w:rsidRPr="00BC4AC6">
        <w:rPr>
          <w:rFonts w:cs="Times New Roman"/>
          <w:i/>
        </w:rPr>
        <w:t>é</w:t>
      </w:r>
      <w:r w:rsidRPr="00BC4AC6">
        <w:rPr>
          <w:rFonts w:cs="Times New Roman"/>
          <w:i/>
        </w:rPr>
        <w:t>ciation</w:t>
      </w:r>
      <w:r w:rsidR="00335B93">
        <w:rPr>
          <w:rFonts w:cs="Times New Roman"/>
        </w:rPr>
        <w:t>”</w:t>
      </w:r>
      <w:r w:rsidRPr="00BC4AC6">
        <w:rPr>
          <w:rFonts w:cs="Times New Roman"/>
        </w:rPr>
        <w:t xml:space="preserve">, </w:t>
      </w:r>
      <w:r w:rsidR="00335B93">
        <w:rPr>
          <w:rFonts w:cs="Times New Roman"/>
        </w:rPr>
        <w:t>“</w:t>
      </w:r>
      <w:r w:rsidRPr="00BC4AC6">
        <w:rPr>
          <w:rFonts w:cs="Times New Roman"/>
          <w:i/>
        </w:rPr>
        <w:t>riduzione di valore</w:t>
      </w:r>
      <w:r w:rsidR="00335B93">
        <w:rPr>
          <w:rFonts w:cs="Times New Roman"/>
        </w:rPr>
        <w:t>”</w:t>
      </w:r>
      <w:r w:rsidRPr="00BC4AC6">
        <w:rPr>
          <w:rFonts w:cs="Times New Roman"/>
        </w:rPr>
        <w:t xml:space="preserve"> and </w:t>
      </w:r>
      <w:r w:rsidR="00335B93">
        <w:rPr>
          <w:rFonts w:cs="Times New Roman"/>
        </w:rPr>
        <w:t>“</w:t>
      </w:r>
      <w:r w:rsidRPr="00BC4AC6">
        <w:rPr>
          <w:rFonts w:cs="Times New Roman"/>
          <w:i/>
        </w:rPr>
        <w:t>deterioro del valor</w:t>
      </w:r>
      <w:r w:rsidR="00335B93">
        <w:rPr>
          <w:rFonts w:cs="Times New Roman"/>
        </w:rPr>
        <w:t>”</w:t>
      </w:r>
      <w:r w:rsidR="00760745">
        <w:rPr>
          <w:rFonts w:cs="Times New Roman"/>
        </w:rPr>
        <w:t>.</w:t>
      </w:r>
      <w:r w:rsidR="002446C6">
        <w:rPr>
          <w:rFonts w:cs="Times New Roman"/>
        </w:rPr>
        <w:t xml:space="preserve"> </w:t>
      </w:r>
      <w:r w:rsidR="002E0577">
        <w:rPr>
          <w:rFonts w:cs="Times New Roman"/>
        </w:rPr>
        <w:t>Fuertes-Olivera and Nielsen (2011, p. 163) report that Spanish texts had previously used “</w:t>
      </w:r>
      <w:r w:rsidR="002E0577" w:rsidRPr="00B06343">
        <w:rPr>
          <w:rFonts w:cs="Times New Roman"/>
          <w:i/>
        </w:rPr>
        <w:t>depreciaci</w:t>
      </w:r>
      <w:r w:rsidR="002E0577">
        <w:rPr>
          <w:rFonts w:cs="Times New Roman"/>
          <w:i/>
        </w:rPr>
        <w:t>ó</w:t>
      </w:r>
      <w:r w:rsidR="002E0577" w:rsidRPr="00B06343">
        <w:rPr>
          <w:rFonts w:cs="Times New Roman"/>
          <w:i/>
        </w:rPr>
        <w:t>n</w:t>
      </w:r>
      <w:r w:rsidR="002E0577">
        <w:rPr>
          <w:rFonts w:cs="Times New Roman"/>
        </w:rPr>
        <w:t>”, and suggest that “</w:t>
      </w:r>
      <w:r w:rsidR="002E0577" w:rsidRPr="00BC4AC6">
        <w:rPr>
          <w:rFonts w:cs="Times New Roman"/>
          <w:i/>
        </w:rPr>
        <w:t>deterioro</w:t>
      </w:r>
      <w:r w:rsidR="002E0577">
        <w:rPr>
          <w:rFonts w:cs="Times New Roman"/>
          <w:i/>
        </w:rPr>
        <w:t>”</w:t>
      </w:r>
      <w:r w:rsidR="002E0577">
        <w:rPr>
          <w:rFonts w:cs="Times New Roman"/>
        </w:rPr>
        <w:t xml:space="preserve"> is potentially misleading.</w:t>
      </w:r>
    </w:p>
    <w:p w14:paraId="1C2BB120" w14:textId="34AEFB8F" w:rsidR="009344C7" w:rsidRDefault="00C36B3F" w:rsidP="009344C7">
      <w:pPr>
        <w:ind w:firstLine="567"/>
        <w:rPr>
          <w:rFonts w:cs="Times New Roman"/>
        </w:rPr>
      </w:pPr>
      <w:r>
        <w:rPr>
          <w:rFonts w:cs="Times New Roman"/>
        </w:rPr>
        <w:t>A</w:t>
      </w:r>
      <w:r w:rsidR="009344C7">
        <w:rPr>
          <w:rFonts w:cs="Times New Roman"/>
        </w:rPr>
        <w:t xml:space="preserve"> further linguistic twist is illustrated by the </w:t>
      </w:r>
      <w:r w:rsidR="000521D3">
        <w:rPr>
          <w:rFonts w:cs="Times New Roman"/>
        </w:rPr>
        <w:t>term</w:t>
      </w:r>
      <w:r w:rsidR="009344C7">
        <w:rPr>
          <w:rFonts w:cs="Times New Roman"/>
        </w:rPr>
        <w:t xml:space="preserve"> for impairment in the Portuguese official EU translation: “</w:t>
      </w:r>
      <w:r w:rsidR="009344C7" w:rsidRPr="00DC2A36">
        <w:rPr>
          <w:rFonts w:cs="Times New Roman"/>
          <w:i/>
        </w:rPr>
        <w:t>imparidade</w:t>
      </w:r>
      <w:r w:rsidR="009344C7">
        <w:rPr>
          <w:rFonts w:cs="Times New Roman"/>
        </w:rPr>
        <w:t xml:space="preserve">”. Nobes (1993) noted that the Portuguese </w:t>
      </w:r>
      <w:r w:rsidR="00363EB0">
        <w:rPr>
          <w:rFonts w:cs="Times New Roman"/>
        </w:rPr>
        <w:t>have paid</w:t>
      </w:r>
      <w:r w:rsidR="009344C7">
        <w:rPr>
          <w:rFonts w:cs="Times New Roman"/>
        </w:rPr>
        <w:t xml:space="preserve"> particular attention to English source accounting terms, being unusual in translating “true and fair” with two adjectives (</w:t>
      </w:r>
      <w:r w:rsidR="009344C7" w:rsidRPr="005950C1">
        <w:rPr>
          <w:rFonts w:eastAsiaTheme="minorEastAsia" w:cs="Times New Roman"/>
          <w:i/>
          <w:kern w:val="24"/>
        </w:rPr>
        <w:t>verdadeira e apropriada</w:t>
      </w:r>
      <w:r w:rsidR="009344C7">
        <w:rPr>
          <w:rFonts w:cs="Times New Roman"/>
        </w:rPr>
        <w:t>), rather than using a single one such as “</w:t>
      </w:r>
      <w:r w:rsidR="009344C7" w:rsidRPr="003207CB">
        <w:rPr>
          <w:rFonts w:cs="Times New Roman"/>
          <w:i/>
        </w:rPr>
        <w:t>fidèle</w:t>
      </w:r>
      <w:r w:rsidR="009344C7">
        <w:rPr>
          <w:rFonts w:cs="Times New Roman"/>
        </w:rPr>
        <w:t>”</w:t>
      </w:r>
      <w:r w:rsidR="000D40CB">
        <w:rPr>
          <w:rFonts w:cs="Times New Roman"/>
        </w:rPr>
        <w:t xml:space="preserve"> </w:t>
      </w:r>
      <w:r w:rsidR="009344C7">
        <w:rPr>
          <w:rFonts w:cs="Times New Roman"/>
        </w:rPr>
        <w:t xml:space="preserve">or </w:t>
      </w:r>
      <w:r w:rsidR="000D40CB">
        <w:rPr>
          <w:rFonts w:cs="Times New Roman"/>
        </w:rPr>
        <w:t>“</w:t>
      </w:r>
      <w:r w:rsidR="000D40CB" w:rsidRPr="00025156">
        <w:rPr>
          <w:rFonts w:cs="Times New Roman"/>
          <w:i/>
        </w:rPr>
        <w:t>fiel</w:t>
      </w:r>
      <w:r w:rsidR="000D40CB">
        <w:rPr>
          <w:rFonts w:cs="Times New Roman"/>
        </w:rPr>
        <w:t>”</w:t>
      </w:r>
      <w:r w:rsidR="009344C7">
        <w:rPr>
          <w:rFonts w:cs="Times New Roman"/>
        </w:rPr>
        <w:t xml:space="preserve"> in French</w:t>
      </w:r>
      <w:r w:rsidR="000D40CB">
        <w:rPr>
          <w:rFonts w:cs="Times New Roman"/>
        </w:rPr>
        <w:t xml:space="preserve"> and</w:t>
      </w:r>
      <w:r w:rsidR="009344C7">
        <w:rPr>
          <w:rFonts w:cs="Times New Roman"/>
        </w:rPr>
        <w:t xml:space="preserve"> </w:t>
      </w:r>
      <w:r w:rsidR="000D40CB">
        <w:rPr>
          <w:rFonts w:cs="Times New Roman"/>
        </w:rPr>
        <w:t>Spanish</w:t>
      </w:r>
      <w:r w:rsidR="009344C7">
        <w:rPr>
          <w:rFonts w:cs="Times New Roman"/>
        </w:rPr>
        <w:t xml:space="preserve">, respectively. For IAS 36, the translators into Portuguese again eschewed </w:t>
      </w:r>
      <w:r>
        <w:rPr>
          <w:rFonts w:cs="Times New Roman"/>
        </w:rPr>
        <w:t xml:space="preserve">the </w:t>
      </w:r>
      <w:r w:rsidR="009344C7">
        <w:rPr>
          <w:rFonts w:cs="Times New Roman"/>
        </w:rPr>
        <w:t xml:space="preserve">other Romance </w:t>
      </w:r>
      <w:r w:rsidR="000521D3">
        <w:rPr>
          <w:rFonts w:cs="Times New Roman"/>
        </w:rPr>
        <w:t>term</w:t>
      </w:r>
      <w:r w:rsidR="009344C7">
        <w:rPr>
          <w:rFonts w:cs="Times New Roman"/>
        </w:rPr>
        <w:t xml:space="preserve">s relating to loss of value, and apparently looked </w:t>
      </w:r>
      <w:r w:rsidR="005D4A07">
        <w:rPr>
          <w:rFonts w:cs="Times New Roman"/>
        </w:rPr>
        <w:t xml:space="preserve">directly </w:t>
      </w:r>
      <w:r w:rsidR="00097A37">
        <w:rPr>
          <w:rFonts w:cs="Times New Roman"/>
        </w:rPr>
        <w:t>to</w:t>
      </w:r>
      <w:r w:rsidR="009344C7">
        <w:rPr>
          <w:rFonts w:cs="Times New Roman"/>
        </w:rPr>
        <w:t xml:space="preserve"> English. However, </w:t>
      </w:r>
      <w:r w:rsidR="00CC24F3">
        <w:rPr>
          <w:rFonts w:cs="Times New Roman"/>
        </w:rPr>
        <w:t xml:space="preserve">their choice of </w:t>
      </w:r>
      <w:r w:rsidR="009344C7">
        <w:rPr>
          <w:rFonts w:cs="Times New Roman"/>
        </w:rPr>
        <w:t>“</w:t>
      </w:r>
      <w:r w:rsidR="009344C7" w:rsidRPr="00DC2A36">
        <w:rPr>
          <w:rFonts w:cs="Times New Roman"/>
          <w:i/>
        </w:rPr>
        <w:t>imparidade</w:t>
      </w:r>
      <w:r w:rsidR="009344C7">
        <w:rPr>
          <w:rFonts w:cs="Times New Roman"/>
        </w:rPr>
        <w:t>” mean</w:t>
      </w:r>
      <w:r w:rsidR="000D40CB">
        <w:rPr>
          <w:rFonts w:cs="Times New Roman"/>
        </w:rPr>
        <w:t>t</w:t>
      </w:r>
      <w:r w:rsidR="009344C7">
        <w:rPr>
          <w:rFonts w:cs="Times New Roman"/>
        </w:rPr>
        <w:t xml:space="preserve"> </w:t>
      </w:r>
      <w:r w:rsidR="00CC24F3">
        <w:rPr>
          <w:rFonts w:cs="Times New Roman"/>
        </w:rPr>
        <w:t xml:space="preserve">(in the everyday Portuguese register) </w:t>
      </w:r>
      <w:r w:rsidR="009344C7">
        <w:rPr>
          <w:rFonts w:cs="Times New Roman"/>
        </w:rPr>
        <w:t>inequality/imparity,</w:t>
      </w:r>
      <w:r w:rsidR="009344C7">
        <w:rPr>
          <w:rStyle w:val="FootnoteReference"/>
          <w:rFonts w:cs="Times New Roman"/>
        </w:rPr>
        <w:footnoteReference w:id="33"/>
      </w:r>
      <w:r w:rsidR="009344C7">
        <w:rPr>
          <w:rFonts w:cs="Times New Roman"/>
        </w:rPr>
        <w:t xml:space="preserve"> which suggests that the EU translators were caught out by the superabundance of English words and did not realise that “imparity” means something quite different from “impairment”, as discussed in sub-section </w:t>
      </w:r>
      <w:r w:rsidR="00CA39E5">
        <w:rPr>
          <w:rFonts w:cs="Times New Roman"/>
        </w:rPr>
        <w:t>3</w:t>
      </w:r>
      <w:r w:rsidR="009344C7">
        <w:rPr>
          <w:rFonts w:cs="Times New Roman"/>
        </w:rPr>
        <w:t xml:space="preserve">.1. </w:t>
      </w:r>
      <w:r w:rsidR="009344C7" w:rsidRPr="00B25EA6">
        <w:t xml:space="preserve">Isabel </w:t>
      </w:r>
      <w:r w:rsidR="009344C7" w:rsidRPr="005950C1">
        <w:rPr>
          <w:rFonts w:cs="Times New Roman"/>
          <w:bCs/>
        </w:rPr>
        <w:t>Lourenço</w:t>
      </w:r>
      <w:r w:rsidR="009344C7" w:rsidRPr="00B25EA6">
        <w:rPr>
          <w:rFonts w:cs="Times New Roman"/>
        </w:rPr>
        <w:t xml:space="preserve"> </w:t>
      </w:r>
      <w:r w:rsidR="009344C7">
        <w:rPr>
          <w:rFonts w:cs="Times New Roman"/>
        </w:rPr>
        <w:t>reports that Portuguese accountants were bemused by “</w:t>
      </w:r>
      <w:r w:rsidR="009344C7" w:rsidRPr="00B25EA6">
        <w:rPr>
          <w:rFonts w:cs="Times New Roman"/>
          <w:i/>
        </w:rPr>
        <w:t>imparidade</w:t>
      </w:r>
      <w:r w:rsidR="009344C7">
        <w:rPr>
          <w:rFonts w:cs="Times New Roman"/>
        </w:rPr>
        <w:t>” when they first saw it in IAS 36.</w:t>
      </w:r>
      <w:r w:rsidR="009344C7">
        <w:rPr>
          <w:rStyle w:val="FootnoteReference"/>
          <w:rFonts w:cs="Times New Roman"/>
        </w:rPr>
        <w:footnoteReference w:id="34"/>
      </w:r>
    </w:p>
    <w:p w14:paraId="5336E6ED" w14:textId="49D1EEA4" w:rsidR="009344C7" w:rsidRDefault="009344C7" w:rsidP="007C3A3F">
      <w:pPr>
        <w:ind w:firstLine="567"/>
        <w:rPr>
          <w:rFonts w:cs="Times New Roman"/>
        </w:rPr>
      </w:pPr>
      <w:r>
        <w:rPr>
          <w:rFonts w:cs="Times New Roman"/>
        </w:rPr>
        <w:t xml:space="preserve">The IFRS Foundation’s Brazilian Portuguese translation does not make the same mistake as </w:t>
      </w:r>
      <w:r w:rsidR="00C36B3F">
        <w:rPr>
          <w:rFonts w:cs="Times New Roman"/>
        </w:rPr>
        <w:t>the</w:t>
      </w:r>
      <w:r>
        <w:rPr>
          <w:rFonts w:cs="Times New Roman"/>
        </w:rPr>
        <w:t xml:space="preserve"> EU Portuguese because it uses a different </w:t>
      </w:r>
      <w:r w:rsidR="000521D3">
        <w:rPr>
          <w:rFonts w:cs="Times New Roman"/>
        </w:rPr>
        <w:t>phrase</w:t>
      </w:r>
      <w:r>
        <w:rPr>
          <w:rFonts w:cs="Times New Roman"/>
        </w:rPr>
        <w:t xml:space="preserve"> for impairment: </w:t>
      </w:r>
      <w:r w:rsidRPr="006C0F47">
        <w:rPr>
          <w:rFonts w:cs="Times New Roman"/>
        </w:rPr>
        <w:t>“</w:t>
      </w:r>
      <w:r w:rsidRPr="006C0F47">
        <w:rPr>
          <w:rFonts w:cs="Times New Roman"/>
          <w:bCs/>
          <w:i/>
          <w:iCs/>
        </w:rPr>
        <w:t>redução ao valor recuperável”</w:t>
      </w:r>
      <w:r>
        <w:rPr>
          <w:rFonts w:cs="Times New Roman"/>
        </w:rPr>
        <w:t xml:space="preserve"> (reduction in recoverable value). This is a more informative translation than any of those above </w:t>
      </w:r>
      <w:r w:rsidR="00566C0A">
        <w:rPr>
          <w:rFonts w:cs="Times New Roman"/>
        </w:rPr>
        <w:t>because it refers to the economic measure which leads to</w:t>
      </w:r>
      <w:r>
        <w:rPr>
          <w:rFonts w:cs="Times New Roman"/>
        </w:rPr>
        <w:t xml:space="preserve"> the recognised accounting </w:t>
      </w:r>
      <w:r w:rsidRPr="004F4919">
        <w:rPr>
          <w:rFonts w:cs="Times New Roman"/>
          <w:i/>
        </w:rPr>
        <w:t>result</w:t>
      </w:r>
      <w:r>
        <w:rPr>
          <w:rFonts w:cs="Times New Roman"/>
        </w:rPr>
        <w:t xml:space="preserve"> of the impairment</w:t>
      </w:r>
      <w:r w:rsidR="00566C0A">
        <w:rPr>
          <w:rFonts w:cs="Times New Roman"/>
        </w:rPr>
        <w:t>, but it still does not refer to</w:t>
      </w:r>
      <w:r>
        <w:rPr>
          <w:rFonts w:cs="Times New Roman"/>
        </w:rPr>
        <w:t xml:space="preserve"> its cause of damage.</w:t>
      </w:r>
    </w:p>
    <w:p w14:paraId="4997ECA6" w14:textId="15BCD94E" w:rsidR="009344C7" w:rsidRDefault="007C3A3F" w:rsidP="00E14D19">
      <w:pPr>
        <w:ind w:firstLine="567"/>
        <w:rPr>
          <w:rFonts w:cs="Times New Roman"/>
        </w:rPr>
      </w:pPr>
      <w:r>
        <w:rPr>
          <w:rFonts w:cs="Times New Roman"/>
        </w:rPr>
        <w:t>Like the main Romance languages, t</w:t>
      </w:r>
      <w:r w:rsidR="006C7C6B">
        <w:rPr>
          <w:rFonts w:cs="Times New Roman"/>
        </w:rPr>
        <w:t xml:space="preserve">he two most-spoken </w:t>
      </w:r>
      <w:r w:rsidR="00D70613">
        <w:rPr>
          <w:rFonts w:cs="Times New Roman"/>
        </w:rPr>
        <w:t>S</w:t>
      </w:r>
      <w:r w:rsidR="008A01AD">
        <w:rPr>
          <w:rFonts w:cs="Times New Roman"/>
        </w:rPr>
        <w:t xml:space="preserve">lavic languages have </w:t>
      </w:r>
      <w:r w:rsidR="008B1817">
        <w:rPr>
          <w:rFonts w:cs="Times New Roman"/>
        </w:rPr>
        <w:t>term</w:t>
      </w:r>
      <w:r w:rsidR="00EE714F">
        <w:rPr>
          <w:rFonts w:cs="Times New Roman"/>
        </w:rPr>
        <w:t xml:space="preserve">s referring to loss of value: </w:t>
      </w:r>
      <w:r w:rsidR="00EE714F" w:rsidRPr="00FD1C7C">
        <w:t>“</w:t>
      </w:r>
      <w:r w:rsidR="00EE714F" w:rsidRPr="005950C1">
        <w:rPr>
          <w:i/>
        </w:rPr>
        <w:t>utrata wartości</w:t>
      </w:r>
      <w:r w:rsidR="00EE714F" w:rsidRPr="005950C1">
        <w:t>” in Polish</w:t>
      </w:r>
      <w:r w:rsidR="00D70613" w:rsidRPr="005950C1">
        <w:rPr>
          <w:rStyle w:val="FootnoteReference"/>
        </w:rPr>
        <w:footnoteReference w:id="35"/>
      </w:r>
      <w:r w:rsidR="00EE714F" w:rsidRPr="005950C1">
        <w:t xml:space="preserve"> and “</w:t>
      </w:r>
      <w:r w:rsidR="00EE714F" w:rsidRPr="00EE714F">
        <w:rPr>
          <w:bCs/>
          <w:i/>
          <w:iCs/>
        </w:rPr>
        <w:t>обесценени</w:t>
      </w:r>
      <w:r w:rsidR="00E63624">
        <w:rPr>
          <w:bCs/>
          <w:i/>
          <w:iCs/>
        </w:rPr>
        <w:t>e</w:t>
      </w:r>
      <w:r w:rsidR="00EE714F" w:rsidRPr="005950C1">
        <w:t>” in Russian</w:t>
      </w:r>
      <w:r w:rsidR="00EE714F">
        <w:rPr>
          <w:color w:val="000000"/>
        </w:rPr>
        <w:t>.</w:t>
      </w:r>
      <w:r w:rsidR="00D70613" w:rsidRPr="000349EA">
        <w:rPr>
          <w:rStyle w:val="FootnoteReference"/>
        </w:rPr>
        <w:footnoteReference w:id="36"/>
      </w:r>
      <w:r w:rsidR="00EE714F">
        <w:rPr>
          <w:rFonts w:cs="Times New Roman"/>
        </w:rPr>
        <w:t xml:space="preserve"> </w:t>
      </w:r>
      <w:r w:rsidR="003D12C6">
        <w:rPr>
          <w:rFonts w:cs="Times New Roman"/>
        </w:rPr>
        <w:t>The same applies in Finnish (a Finno-Ugric language), which has “</w:t>
      </w:r>
      <w:r w:rsidR="003D12C6" w:rsidRPr="00C61056">
        <w:rPr>
          <w:rFonts w:cs="Times New Roman"/>
          <w:i/>
        </w:rPr>
        <w:t>arvon alentuminen</w:t>
      </w:r>
      <w:r w:rsidR="003D12C6">
        <w:rPr>
          <w:rFonts w:cs="Times New Roman"/>
        </w:rPr>
        <w:t>”.</w:t>
      </w:r>
    </w:p>
    <w:p w14:paraId="34F31148" w14:textId="79BA5523" w:rsidR="001437FF" w:rsidRDefault="00D40A18" w:rsidP="001437FF">
      <w:pPr>
        <w:ind w:firstLine="567"/>
        <w:rPr>
          <w:rFonts w:cs="Times New Roman"/>
        </w:rPr>
      </w:pPr>
      <w:r>
        <w:rPr>
          <w:rFonts w:cs="Times New Roman"/>
        </w:rPr>
        <w:t>The three major Asian languages (in terms of the importance of stock markets) are</w:t>
      </w:r>
      <w:r w:rsidR="001569C2">
        <w:rPr>
          <w:rFonts w:cs="Times New Roman"/>
        </w:rPr>
        <w:t xml:space="preserve"> Chinese, Japanese and Korean. In each, there is a different interesting aspect to</w:t>
      </w:r>
      <w:r>
        <w:rPr>
          <w:rFonts w:cs="Times New Roman"/>
        </w:rPr>
        <w:t xml:space="preserve"> </w:t>
      </w:r>
      <w:r w:rsidR="00F33445">
        <w:rPr>
          <w:rFonts w:cs="Times New Roman"/>
        </w:rPr>
        <w:t>the</w:t>
      </w:r>
      <w:r>
        <w:rPr>
          <w:rFonts w:cs="Times New Roman"/>
        </w:rPr>
        <w:t xml:space="preserve"> translation of “impairment”. In the Chinese translation of IAS 36, the </w:t>
      </w:r>
      <w:r w:rsidR="008B1C48">
        <w:rPr>
          <w:rFonts w:cs="Times New Roman"/>
        </w:rPr>
        <w:t>characters are</w:t>
      </w:r>
      <w:r>
        <w:rPr>
          <w:rFonts w:cs="Times New Roman"/>
        </w:rPr>
        <w:t xml:space="preserve"> </w:t>
      </w:r>
      <w:r w:rsidRPr="00BC4AC6">
        <w:rPr>
          <w:rFonts w:eastAsia="SimSun" w:cs="Times New Roman"/>
        </w:rPr>
        <w:t>减值</w:t>
      </w:r>
      <w:r w:rsidR="008B1C48">
        <w:rPr>
          <w:rFonts w:eastAsia="SimSun" w:cs="Times New Roman" w:hint="eastAsia"/>
        </w:rPr>
        <w:t xml:space="preserve"> </w:t>
      </w:r>
      <w:r w:rsidR="00BB341B">
        <w:rPr>
          <w:rFonts w:cs="Times New Roman"/>
        </w:rPr>
        <w:t xml:space="preserve">(pinyin: </w:t>
      </w:r>
      <w:r w:rsidR="00BB341B" w:rsidRPr="00BB341B">
        <w:rPr>
          <w:rFonts w:cs="Times New Roman"/>
        </w:rPr>
        <w:t>jiănzhí</w:t>
      </w:r>
      <w:r w:rsidR="00BB341B">
        <w:rPr>
          <w:rFonts w:cs="Times New Roman"/>
        </w:rPr>
        <w:t>)</w:t>
      </w:r>
      <w:r w:rsidRPr="00BC4AC6">
        <w:rPr>
          <w:rFonts w:cs="Times New Roman"/>
        </w:rPr>
        <w:t xml:space="preserve">, meaning approximately </w:t>
      </w:r>
      <w:r>
        <w:rPr>
          <w:rFonts w:cs="Times New Roman"/>
        </w:rPr>
        <w:t>“</w:t>
      </w:r>
      <w:r w:rsidRPr="00BC4AC6">
        <w:rPr>
          <w:rFonts w:cs="Times New Roman"/>
        </w:rPr>
        <w:t>decreas</w:t>
      </w:r>
      <w:r w:rsidR="00AE4052">
        <w:rPr>
          <w:rFonts w:cs="Times New Roman"/>
        </w:rPr>
        <w:t xml:space="preserve">e in </w:t>
      </w:r>
      <w:r w:rsidRPr="00BC4AC6">
        <w:rPr>
          <w:rFonts w:cs="Times New Roman"/>
        </w:rPr>
        <w:t>value</w:t>
      </w:r>
      <w:r>
        <w:rPr>
          <w:rFonts w:cs="Times New Roman"/>
        </w:rPr>
        <w:t xml:space="preserve">”. However, where the standard discusses “impairment loss” (para. </w:t>
      </w:r>
      <w:r w:rsidR="001569C2">
        <w:rPr>
          <w:rFonts w:cs="Times New Roman"/>
        </w:rPr>
        <w:t>6)</w:t>
      </w:r>
      <w:r>
        <w:rPr>
          <w:rFonts w:cs="Times New Roman"/>
        </w:rPr>
        <w:t>, its characters are</w:t>
      </w:r>
      <w:r w:rsidR="00AE4052">
        <w:rPr>
          <w:rFonts w:cs="Times New Roman"/>
        </w:rPr>
        <w:t xml:space="preserve"> </w:t>
      </w:r>
      <w:r w:rsidR="00AE4052" w:rsidRPr="00BC4AC6">
        <w:rPr>
          <w:rFonts w:eastAsia="SimSun" w:cs="Times New Roman"/>
        </w:rPr>
        <w:t>减值</w:t>
      </w:r>
      <w:r w:rsidRPr="00BC4AC6">
        <w:rPr>
          <w:rFonts w:eastAsia="SimSun" w:cs="Times New Roman"/>
        </w:rPr>
        <w:t>损失</w:t>
      </w:r>
      <w:r w:rsidR="00BB341B">
        <w:rPr>
          <w:rFonts w:cs="Times New Roman"/>
        </w:rPr>
        <w:t xml:space="preserve"> (pinyin: </w:t>
      </w:r>
      <w:r w:rsidR="00BB341B" w:rsidRPr="00BB341B">
        <w:rPr>
          <w:rFonts w:cs="Times New Roman"/>
        </w:rPr>
        <w:t>jiănzhí sŭnshī</w:t>
      </w:r>
      <w:r w:rsidR="00BB341B">
        <w:rPr>
          <w:rFonts w:cs="Times New Roman"/>
        </w:rPr>
        <w:t>)</w:t>
      </w:r>
      <w:r w:rsidR="008348D9">
        <w:rPr>
          <w:rFonts w:eastAsia="SimSun" w:cs="Times New Roman"/>
        </w:rPr>
        <w:t xml:space="preserve">, </w:t>
      </w:r>
      <w:r w:rsidR="00AE4052">
        <w:rPr>
          <w:rFonts w:eastAsia="SimSun" w:cs="Times New Roman"/>
        </w:rPr>
        <w:t>the third character</w:t>
      </w:r>
      <w:r w:rsidR="008348D9">
        <w:rPr>
          <w:rFonts w:eastAsia="SimSun" w:cs="Times New Roman"/>
        </w:rPr>
        <w:t xml:space="preserve"> of which</w:t>
      </w:r>
      <w:r w:rsidR="00830010" w:rsidRPr="00830010">
        <w:rPr>
          <w:rFonts w:eastAsia="SimSun" w:cs="Times New Roman"/>
        </w:rPr>
        <w:t xml:space="preserve"> </w:t>
      </w:r>
      <w:r w:rsidR="00830010">
        <w:rPr>
          <w:rFonts w:eastAsia="SimSun" w:cs="Times New Roman"/>
        </w:rPr>
        <w:t>(</w:t>
      </w:r>
      <w:r w:rsidR="00830010" w:rsidRPr="00BC4AC6">
        <w:rPr>
          <w:rFonts w:eastAsia="SimSun" w:cs="Times New Roman"/>
        </w:rPr>
        <w:t>损</w:t>
      </w:r>
      <w:r w:rsidR="005D7254">
        <w:rPr>
          <w:rFonts w:eastAsia="SimSun" w:cs="Times New Roman"/>
        </w:rPr>
        <w:t>)</w:t>
      </w:r>
      <w:r w:rsidR="00FE5065">
        <w:rPr>
          <w:rFonts w:eastAsia="SimSun" w:cs="Times New Roman"/>
        </w:rPr>
        <w:t xml:space="preserve"> suggests</w:t>
      </w:r>
      <w:r>
        <w:rPr>
          <w:rFonts w:eastAsia="SimSun" w:cs="Times New Roman" w:hint="eastAsia"/>
        </w:rPr>
        <w:t xml:space="preserve"> </w:t>
      </w:r>
      <w:r w:rsidR="001569C2">
        <w:rPr>
          <w:rFonts w:eastAsia="SimSun" w:cs="Times New Roman"/>
        </w:rPr>
        <w:t>“damage”.</w:t>
      </w:r>
      <w:r w:rsidR="003C5807">
        <w:rPr>
          <w:rStyle w:val="FootnoteReference"/>
          <w:rFonts w:eastAsia="SimSun" w:cs="Times New Roman"/>
        </w:rPr>
        <w:footnoteReference w:id="37"/>
      </w:r>
      <w:r>
        <w:rPr>
          <w:rFonts w:cs="Times New Roman"/>
        </w:rPr>
        <w:t xml:space="preserve"> </w:t>
      </w:r>
      <w:r w:rsidR="00580F4A">
        <w:rPr>
          <w:rFonts w:cs="Times New Roman"/>
        </w:rPr>
        <w:t>In Japanese, a coinage was used for “impairment” by combining the characters for decreasing and losing (</w:t>
      </w:r>
      <w:r w:rsidR="00580F4A" w:rsidRPr="009C4028">
        <w:rPr>
          <w:rFonts w:asciiTheme="minorEastAsia" w:eastAsiaTheme="minorEastAsia" w:hAnsiTheme="minorEastAsia"/>
        </w:rPr>
        <w:t>減損</w:t>
      </w:r>
      <w:r w:rsidR="00580F4A">
        <w:rPr>
          <w:rFonts w:hint="eastAsia"/>
        </w:rPr>
        <w:t>).</w:t>
      </w:r>
      <w:r w:rsidR="001569C2">
        <w:rPr>
          <w:rFonts w:cs="Times New Roman"/>
        </w:rPr>
        <w:t xml:space="preserve"> </w:t>
      </w:r>
      <w:r w:rsidR="00833C4B">
        <w:rPr>
          <w:rFonts w:cs="Times New Roman"/>
        </w:rPr>
        <w:t xml:space="preserve">Unlike in the Chinese, </w:t>
      </w:r>
      <w:r w:rsidR="008B1C48">
        <w:rPr>
          <w:rFonts w:cs="Times New Roman"/>
        </w:rPr>
        <w:t>“</w:t>
      </w:r>
      <w:r w:rsidR="00833C4B">
        <w:rPr>
          <w:rFonts w:cs="Times New Roman"/>
        </w:rPr>
        <w:t>damage</w:t>
      </w:r>
      <w:r w:rsidR="008B1C48">
        <w:rPr>
          <w:rFonts w:cs="Times New Roman"/>
        </w:rPr>
        <w:t>”</w:t>
      </w:r>
      <w:r w:rsidR="00833C4B">
        <w:rPr>
          <w:rFonts w:cs="Times New Roman"/>
        </w:rPr>
        <w:t xml:space="preserve"> cannot be found in the Japanese te</w:t>
      </w:r>
      <w:r w:rsidR="00363EB0">
        <w:rPr>
          <w:rFonts w:cs="Times New Roman"/>
        </w:rPr>
        <w:t>rm for “impairment loss”</w:t>
      </w:r>
      <w:r w:rsidR="00833C4B">
        <w:rPr>
          <w:rFonts w:cs="Times New Roman"/>
        </w:rPr>
        <w:t>.</w:t>
      </w:r>
      <w:r w:rsidR="00FE5065">
        <w:rPr>
          <w:rStyle w:val="FootnoteReference"/>
          <w:rFonts w:cs="Times New Roman"/>
        </w:rPr>
        <w:footnoteReference w:id="38"/>
      </w:r>
      <w:r w:rsidR="00833C4B">
        <w:rPr>
          <w:rFonts w:cs="Times New Roman"/>
        </w:rPr>
        <w:t xml:space="preserve"> </w:t>
      </w:r>
      <w:r w:rsidR="001569C2">
        <w:rPr>
          <w:rFonts w:cs="Times New Roman"/>
        </w:rPr>
        <w:t>T</w:t>
      </w:r>
      <w:r w:rsidR="00674910">
        <w:rPr>
          <w:rFonts w:cs="Times New Roman"/>
        </w:rPr>
        <w:t>he Korean translation</w:t>
      </w:r>
      <w:r w:rsidR="00833C4B">
        <w:rPr>
          <w:rFonts w:cs="Times New Roman"/>
        </w:rPr>
        <w:t xml:space="preserve"> of IAS 36</w:t>
      </w:r>
      <w:r w:rsidR="00674910">
        <w:rPr>
          <w:rFonts w:cs="Times New Roman"/>
        </w:rPr>
        <w:t xml:space="preserve"> </w:t>
      </w:r>
      <w:r w:rsidR="001569C2">
        <w:rPr>
          <w:rFonts w:cs="Times New Roman"/>
        </w:rPr>
        <w:t xml:space="preserve">(as </w:t>
      </w:r>
      <w:r w:rsidR="00674910">
        <w:rPr>
          <w:rFonts w:cs="Times New Roman"/>
        </w:rPr>
        <w:t xml:space="preserve">used by the Korean Accounting Standards Board </w:t>
      </w:r>
      <w:r w:rsidR="001437FF">
        <w:rPr>
          <w:rFonts w:cs="Times New Roman"/>
        </w:rPr>
        <w:t xml:space="preserve">(KASB) </w:t>
      </w:r>
      <w:r w:rsidR="00674910">
        <w:rPr>
          <w:rFonts w:cs="Times New Roman"/>
        </w:rPr>
        <w:t>under licence from the IASB</w:t>
      </w:r>
      <w:r w:rsidR="001569C2">
        <w:rPr>
          <w:rFonts w:cs="Times New Roman"/>
        </w:rPr>
        <w:t>) is the only</w:t>
      </w:r>
      <w:r w:rsidR="00625071">
        <w:rPr>
          <w:rStyle w:val="FootnoteReference"/>
          <w:rFonts w:cs="Times New Roman"/>
        </w:rPr>
        <w:footnoteReference w:id="39"/>
      </w:r>
      <w:r w:rsidR="001569C2">
        <w:rPr>
          <w:rFonts w:cs="Times New Roman"/>
        </w:rPr>
        <w:t xml:space="preserve"> one of our </w:t>
      </w:r>
      <w:r w:rsidR="00A7071A">
        <w:rPr>
          <w:rFonts w:cs="Times New Roman"/>
        </w:rPr>
        <w:t>19</w:t>
      </w:r>
      <w:r w:rsidR="001569C2">
        <w:rPr>
          <w:rFonts w:cs="Times New Roman"/>
        </w:rPr>
        <w:t xml:space="preserve"> </w:t>
      </w:r>
      <w:r w:rsidR="007C3A3F">
        <w:rPr>
          <w:rFonts w:cs="Times New Roman"/>
        </w:rPr>
        <w:t xml:space="preserve">translations </w:t>
      </w:r>
      <w:r w:rsidR="001569C2">
        <w:rPr>
          <w:rFonts w:cs="Times New Roman"/>
        </w:rPr>
        <w:t xml:space="preserve">which </w:t>
      </w:r>
      <w:r w:rsidR="00625071">
        <w:rPr>
          <w:rFonts w:cs="Times New Roman"/>
        </w:rPr>
        <w:t xml:space="preserve">is ‘proximate’ and </w:t>
      </w:r>
      <w:r w:rsidR="001569C2">
        <w:rPr>
          <w:rFonts w:cs="Times New Roman"/>
        </w:rPr>
        <w:t>preserves the meaning of damage in its signifier for impairment</w:t>
      </w:r>
      <w:r w:rsidR="00674910">
        <w:rPr>
          <w:rFonts w:cs="Times New Roman"/>
        </w:rPr>
        <w:t>.</w:t>
      </w:r>
      <w:r w:rsidR="00674910">
        <w:rPr>
          <w:rStyle w:val="FootnoteReference"/>
          <w:rFonts w:cs="Times New Roman"/>
        </w:rPr>
        <w:footnoteReference w:id="40"/>
      </w:r>
      <w:r w:rsidR="001437FF">
        <w:rPr>
          <w:rFonts w:cs="Times New Roman"/>
        </w:rPr>
        <w:t xml:space="preserve"> </w:t>
      </w:r>
      <w:r w:rsidR="00A944CE">
        <w:rPr>
          <w:rFonts w:cs="Times New Roman"/>
        </w:rPr>
        <w:t>KASB is a well-resourced standard-setter</w:t>
      </w:r>
      <w:r w:rsidR="00A944CE">
        <w:rPr>
          <w:rStyle w:val="FootnoteReference"/>
          <w:rFonts w:cs="Times New Roman"/>
        </w:rPr>
        <w:footnoteReference w:id="41"/>
      </w:r>
      <w:r w:rsidR="00181D23">
        <w:rPr>
          <w:rFonts w:cs="Times New Roman"/>
        </w:rPr>
        <w:t xml:space="preserve"> which</w:t>
      </w:r>
      <w:r w:rsidR="00A944CE">
        <w:rPr>
          <w:rFonts w:cs="Times New Roman"/>
        </w:rPr>
        <w:t xml:space="preserve"> pays particular attention to translation. </w:t>
      </w:r>
      <w:r w:rsidR="003B5E6A">
        <w:rPr>
          <w:rFonts w:cs="Times New Roman"/>
        </w:rPr>
        <w:t>It</w:t>
      </w:r>
      <w:r w:rsidR="001437FF">
        <w:rPr>
          <w:rFonts w:cs="Times New Roman"/>
        </w:rPr>
        <w:t xml:space="preserve"> reports that:</w:t>
      </w:r>
    </w:p>
    <w:p w14:paraId="39462D00" w14:textId="52D9374A" w:rsidR="00674910" w:rsidRDefault="001437FF" w:rsidP="00BC26E5">
      <w:pPr>
        <w:spacing w:after="360" w:line="240" w:lineRule="auto"/>
        <w:ind w:left="567"/>
        <w:rPr>
          <w:rFonts w:cs="Times New Roman"/>
        </w:rPr>
      </w:pPr>
      <w:r>
        <w:rPr>
          <w:rFonts w:cs="Times New Roman"/>
        </w:rPr>
        <w:t>… due to concerns over possible misinterpretations of IFRS in the process of translations, Korea adhered to the principle of word-for-word translation …</w:t>
      </w:r>
      <w:r w:rsidR="00363EB0">
        <w:rPr>
          <w:rFonts w:cs="Times New Roman"/>
        </w:rPr>
        <w:t xml:space="preserve"> (</w:t>
      </w:r>
      <w:r w:rsidR="003B5E6A">
        <w:rPr>
          <w:rFonts w:cs="Times New Roman"/>
        </w:rPr>
        <w:t xml:space="preserve">KASB, </w:t>
      </w:r>
      <w:r w:rsidR="00363EB0">
        <w:rPr>
          <w:rFonts w:cs="Times New Roman"/>
        </w:rPr>
        <w:t>2016, p. 111)</w:t>
      </w:r>
    </w:p>
    <w:p w14:paraId="48C68303" w14:textId="6582706A" w:rsidR="002446C6" w:rsidRPr="006C6841" w:rsidRDefault="00625071" w:rsidP="003819BD">
      <w:pPr>
        <w:ind w:firstLine="567"/>
        <w:rPr>
          <w:sz w:val="20"/>
        </w:rPr>
      </w:pPr>
      <w:r>
        <w:rPr>
          <w:rFonts w:cs="Times New Roman"/>
        </w:rPr>
        <w:t>M</w:t>
      </w:r>
      <w:r w:rsidR="00F30AB7">
        <w:rPr>
          <w:rFonts w:cs="Times New Roman"/>
        </w:rPr>
        <w:t xml:space="preserve">ost of </w:t>
      </w:r>
      <w:r w:rsidR="005B7FA4">
        <w:rPr>
          <w:rFonts w:cs="Times New Roman"/>
        </w:rPr>
        <w:t>the</w:t>
      </w:r>
      <w:r w:rsidR="00E14D19">
        <w:rPr>
          <w:rFonts w:cs="Times New Roman"/>
        </w:rPr>
        <w:t xml:space="preserve"> </w:t>
      </w:r>
      <w:r>
        <w:rPr>
          <w:rFonts w:cs="Times New Roman"/>
        </w:rPr>
        <w:t xml:space="preserve">other </w:t>
      </w:r>
      <w:r w:rsidR="00E14D19">
        <w:rPr>
          <w:rFonts w:cs="Times New Roman"/>
        </w:rPr>
        <w:t>signifiers</w:t>
      </w:r>
      <w:r w:rsidR="005B7FA4">
        <w:rPr>
          <w:rFonts w:cs="Times New Roman"/>
        </w:rPr>
        <w:t xml:space="preserve"> </w:t>
      </w:r>
      <w:r w:rsidR="00601E4B">
        <w:rPr>
          <w:rFonts w:cs="Times New Roman"/>
        </w:rPr>
        <w:t>convey</w:t>
      </w:r>
      <w:r w:rsidR="00B124D2" w:rsidRPr="00BC4AC6">
        <w:rPr>
          <w:rFonts w:cs="Times New Roman"/>
        </w:rPr>
        <w:t xml:space="preserve"> </w:t>
      </w:r>
      <w:r w:rsidR="003819BD">
        <w:rPr>
          <w:rFonts w:cs="Times New Roman"/>
        </w:rPr>
        <w:t xml:space="preserve">(at least in the everyday registers used by readers of annual reports) </w:t>
      </w:r>
      <w:r w:rsidR="00B124D2" w:rsidRPr="00BC4AC6">
        <w:rPr>
          <w:rFonts w:cs="Times New Roman"/>
        </w:rPr>
        <w:t>somet</w:t>
      </w:r>
      <w:r w:rsidR="005B7FA4">
        <w:rPr>
          <w:rFonts w:cs="Times New Roman"/>
        </w:rPr>
        <w:t>hing much wider than impairment</w:t>
      </w:r>
      <w:r w:rsidR="00F30AB7">
        <w:rPr>
          <w:rFonts w:cs="Times New Roman"/>
        </w:rPr>
        <w:t>, such</w:t>
      </w:r>
      <w:r w:rsidR="00EE5D37">
        <w:rPr>
          <w:rFonts w:cs="Times New Roman"/>
        </w:rPr>
        <w:t xml:space="preserve"> as a real loss of value or an accounting write-down</w:t>
      </w:r>
      <w:r w:rsidR="00F30AB7">
        <w:rPr>
          <w:rFonts w:cs="Times New Roman"/>
        </w:rPr>
        <w:t xml:space="preserve">. First, much </w:t>
      </w:r>
      <w:r w:rsidR="00341DF3">
        <w:rPr>
          <w:rFonts w:cs="Times New Roman"/>
        </w:rPr>
        <w:t xml:space="preserve">real </w:t>
      </w:r>
      <w:r w:rsidR="00F30AB7">
        <w:rPr>
          <w:rFonts w:cs="Times New Roman"/>
        </w:rPr>
        <w:t>loss in value is not recognised in accounting; such as when a cost-based non-current asset falls in market value but is still worth more than cost, or when such an asset suffers a temporary fall in market value even if this takes the asset below cost. Secondly, much</w:t>
      </w:r>
      <w:r w:rsidR="00B124D2" w:rsidRPr="00BC4AC6">
        <w:rPr>
          <w:rFonts w:cs="Times New Roman"/>
        </w:rPr>
        <w:t xml:space="preserve"> </w:t>
      </w:r>
      <w:r w:rsidR="00F66960" w:rsidRPr="009D09E5">
        <w:rPr>
          <w:rFonts w:cs="Times New Roman"/>
          <w:i/>
        </w:rPr>
        <w:t>recognised</w:t>
      </w:r>
      <w:r w:rsidR="00F66960">
        <w:rPr>
          <w:rFonts w:cs="Times New Roman"/>
        </w:rPr>
        <w:t xml:space="preserve"> </w:t>
      </w:r>
      <w:r w:rsidR="00B124D2" w:rsidRPr="00BC4AC6">
        <w:rPr>
          <w:rFonts w:cs="Times New Roman"/>
        </w:rPr>
        <w:t xml:space="preserve">loss of value of tangible and intangible assets is not </w:t>
      </w:r>
      <w:r w:rsidR="00335B93">
        <w:rPr>
          <w:rFonts w:cs="Times New Roman"/>
        </w:rPr>
        <w:t>“</w:t>
      </w:r>
      <w:r w:rsidR="00B124D2" w:rsidRPr="00BC4AC6">
        <w:rPr>
          <w:rFonts w:cs="Times New Roman"/>
        </w:rPr>
        <w:t>impairment</w:t>
      </w:r>
      <w:r w:rsidR="00335B93">
        <w:rPr>
          <w:rFonts w:cs="Times New Roman"/>
        </w:rPr>
        <w:t>”</w:t>
      </w:r>
      <w:r w:rsidR="00B124D2" w:rsidRPr="00BC4AC6">
        <w:rPr>
          <w:rFonts w:cs="Times New Roman"/>
        </w:rPr>
        <w:t xml:space="preserve">, being caused instead by wearing out or by the passing of time. </w:t>
      </w:r>
      <w:r w:rsidR="007075FA">
        <w:rPr>
          <w:rFonts w:cs="Times New Roman"/>
        </w:rPr>
        <w:t>For assets held at fair value (which can include tangible, intangible or financial assets)</w:t>
      </w:r>
      <w:r w:rsidR="00990C68">
        <w:rPr>
          <w:rFonts w:cs="Times New Roman"/>
        </w:rPr>
        <w:t>,</w:t>
      </w:r>
      <w:r w:rsidR="00990C68">
        <w:rPr>
          <w:rStyle w:val="FootnoteReference"/>
          <w:rFonts w:cs="Times New Roman"/>
        </w:rPr>
        <w:footnoteReference w:id="42"/>
      </w:r>
      <w:r w:rsidR="007075FA">
        <w:rPr>
          <w:rFonts w:cs="Times New Roman"/>
        </w:rPr>
        <w:t xml:space="preserve"> </w:t>
      </w:r>
      <w:r w:rsidR="00990C68">
        <w:rPr>
          <w:rFonts w:cs="Times New Roman"/>
        </w:rPr>
        <w:t xml:space="preserve">even </w:t>
      </w:r>
      <w:r w:rsidR="007075FA">
        <w:rPr>
          <w:rFonts w:cs="Times New Roman"/>
        </w:rPr>
        <w:t>much</w:t>
      </w:r>
      <w:r w:rsidR="00B124D2" w:rsidRPr="00BC4AC6">
        <w:rPr>
          <w:rFonts w:cs="Times New Roman"/>
        </w:rPr>
        <w:t xml:space="preserve"> </w:t>
      </w:r>
      <w:r w:rsidR="00601E4B">
        <w:rPr>
          <w:rFonts w:cs="Times New Roman"/>
        </w:rPr>
        <w:t xml:space="preserve">of any </w:t>
      </w:r>
      <w:r w:rsidR="00B124D2" w:rsidRPr="00BC4AC6">
        <w:rPr>
          <w:rFonts w:cs="Times New Roman"/>
        </w:rPr>
        <w:t xml:space="preserve">market-driven </w:t>
      </w:r>
      <w:r w:rsidR="00341DF3">
        <w:rPr>
          <w:rFonts w:cs="Times New Roman"/>
        </w:rPr>
        <w:t xml:space="preserve">recognised </w:t>
      </w:r>
      <w:r w:rsidR="00B124D2" w:rsidRPr="00BC4AC6">
        <w:rPr>
          <w:rFonts w:cs="Times New Roman"/>
        </w:rPr>
        <w:t xml:space="preserve">loss of value is not </w:t>
      </w:r>
      <w:r w:rsidR="00335B93">
        <w:rPr>
          <w:rFonts w:cs="Times New Roman"/>
        </w:rPr>
        <w:t>“</w:t>
      </w:r>
      <w:r w:rsidR="00B124D2" w:rsidRPr="00BC4AC6">
        <w:rPr>
          <w:rFonts w:cs="Times New Roman"/>
        </w:rPr>
        <w:t>impairment</w:t>
      </w:r>
      <w:r w:rsidR="00335B93">
        <w:rPr>
          <w:rFonts w:cs="Times New Roman"/>
        </w:rPr>
        <w:t>”</w:t>
      </w:r>
      <w:r w:rsidR="00990C68">
        <w:rPr>
          <w:rFonts w:cs="Times New Roman"/>
        </w:rPr>
        <w:t>.</w:t>
      </w:r>
      <w:r w:rsidR="007D6D81">
        <w:rPr>
          <w:rFonts w:cs="Times New Roman"/>
        </w:rPr>
        <w:t xml:space="preserve"> </w:t>
      </w:r>
      <w:r w:rsidR="0040078E">
        <w:rPr>
          <w:rFonts w:cs="Times New Roman"/>
        </w:rPr>
        <w:t xml:space="preserve">To take the example of </w:t>
      </w:r>
      <w:r w:rsidR="00341DF3">
        <w:rPr>
          <w:rFonts w:cs="Times New Roman"/>
        </w:rPr>
        <w:t xml:space="preserve">an </w:t>
      </w:r>
      <w:r w:rsidR="0040078E">
        <w:rPr>
          <w:rFonts w:cs="Times New Roman"/>
        </w:rPr>
        <w:t xml:space="preserve">available-for-sale financial asset, under IAS 39 (para. 55 (b)), the </w:t>
      </w:r>
      <w:r w:rsidR="0040078E" w:rsidRPr="009D09E5">
        <w:rPr>
          <w:rFonts w:cs="Times New Roman"/>
          <w:i/>
        </w:rPr>
        <w:t>debit</w:t>
      </w:r>
      <w:r w:rsidR="00EE5D37">
        <w:rPr>
          <w:rFonts w:cs="Times New Roman"/>
          <w:i/>
        </w:rPr>
        <w:t>s</w:t>
      </w:r>
      <w:r w:rsidR="0040078E">
        <w:rPr>
          <w:rFonts w:cs="Times New Roman"/>
        </w:rPr>
        <w:t xml:space="preserve"> </w:t>
      </w:r>
      <w:r w:rsidR="00457880">
        <w:rPr>
          <w:rFonts w:cs="Times New Roman"/>
        </w:rPr>
        <w:t>for</w:t>
      </w:r>
      <w:r w:rsidR="00341DF3">
        <w:rPr>
          <w:rFonts w:cs="Times New Roman"/>
        </w:rPr>
        <w:t xml:space="preserve"> </w:t>
      </w:r>
      <w:r w:rsidR="00EE5D37">
        <w:rPr>
          <w:rFonts w:cs="Times New Roman"/>
        </w:rPr>
        <w:t xml:space="preserve">some </w:t>
      </w:r>
      <w:r w:rsidR="0040078E">
        <w:rPr>
          <w:rFonts w:cs="Times New Roman"/>
        </w:rPr>
        <w:t>fall</w:t>
      </w:r>
      <w:r w:rsidR="00EE5D37">
        <w:rPr>
          <w:rFonts w:cs="Times New Roman"/>
        </w:rPr>
        <w:t>s</w:t>
      </w:r>
      <w:r w:rsidR="0040078E">
        <w:rPr>
          <w:rFonts w:cs="Times New Roman"/>
        </w:rPr>
        <w:t xml:space="preserve"> in value </w:t>
      </w:r>
      <w:r w:rsidR="003B5E6A">
        <w:rPr>
          <w:rFonts w:cs="Times New Roman"/>
        </w:rPr>
        <w:t>we</w:t>
      </w:r>
      <w:r w:rsidR="00EE5D37">
        <w:rPr>
          <w:rFonts w:cs="Times New Roman"/>
        </w:rPr>
        <w:t>re</w:t>
      </w:r>
      <w:r w:rsidR="0040078E">
        <w:rPr>
          <w:rFonts w:cs="Times New Roman"/>
        </w:rPr>
        <w:t xml:space="preserve"> shown in other comprehensive income</w:t>
      </w:r>
      <w:r w:rsidR="0040078E" w:rsidRPr="0040078E">
        <w:rPr>
          <w:rFonts w:cs="Times New Roman"/>
        </w:rPr>
        <w:t xml:space="preserve"> </w:t>
      </w:r>
      <w:r w:rsidR="00EE5D37">
        <w:rPr>
          <w:rFonts w:cs="Times New Roman"/>
        </w:rPr>
        <w:t>but those</w:t>
      </w:r>
      <w:r w:rsidR="0040078E">
        <w:rPr>
          <w:rFonts w:cs="Times New Roman"/>
        </w:rPr>
        <w:t xml:space="preserve"> caused by impairment </w:t>
      </w:r>
      <w:r w:rsidR="003B5E6A">
        <w:rPr>
          <w:rFonts w:cs="Times New Roman"/>
        </w:rPr>
        <w:t>we</w:t>
      </w:r>
      <w:r w:rsidR="00EE5D37">
        <w:rPr>
          <w:rFonts w:cs="Times New Roman"/>
        </w:rPr>
        <w:t xml:space="preserve">re </w:t>
      </w:r>
      <w:r w:rsidR="0040078E">
        <w:rPr>
          <w:rFonts w:cs="Times New Roman"/>
        </w:rPr>
        <w:t>shown in profit or loss.</w:t>
      </w:r>
    </w:p>
    <w:p w14:paraId="4C439ED5" w14:textId="65E61F1D" w:rsidR="008F2829" w:rsidRDefault="006662FE" w:rsidP="004F2F77">
      <w:pPr>
        <w:ind w:firstLine="567"/>
        <w:rPr>
          <w:rFonts w:cs="Times New Roman"/>
        </w:rPr>
      </w:pPr>
      <w:r>
        <w:rPr>
          <w:rFonts w:cs="Times New Roman"/>
        </w:rPr>
        <w:t>It is not only in the everyday register that confusion might arise</w:t>
      </w:r>
      <w:r w:rsidR="00B678E3">
        <w:rPr>
          <w:rFonts w:cs="Times New Roman"/>
        </w:rPr>
        <w:t xml:space="preserve"> from the use of </w:t>
      </w:r>
      <w:r w:rsidR="00546CA6">
        <w:rPr>
          <w:rFonts w:cs="Times New Roman"/>
        </w:rPr>
        <w:t>hyper</w:t>
      </w:r>
      <w:r w:rsidR="0042314C">
        <w:rPr>
          <w:rFonts w:cs="Times New Roman"/>
        </w:rPr>
        <w:t>nym</w:t>
      </w:r>
      <w:r w:rsidR="00B678E3">
        <w:rPr>
          <w:rFonts w:cs="Times New Roman"/>
        </w:rPr>
        <w:t>s</w:t>
      </w:r>
      <w:r w:rsidR="0042314C">
        <w:rPr>
          <w:rFonts w:cs="Times New Roman"/>
        </w:rPr>
        <w:t xml:space="preserve"> </w:t>
      </w:r>
      <w:r w:rsidR="00B678E3">
        <w:rPr>
          <w:rFonts w:cs="Times New Roman"/>
        </w:rPr>
        <w:t xml:space="preserve">in </w:t>
      </w:r>
      <w:r w:rsidR="00C637C8">
        <w:rPr>
          <w:rFonts w:cs="Times New Roman"/>
        </w:rPr>
        <w:t>the above translations</w:t>
      </w:r>
      <w:r>
        <w:rPr>
          <w:rFonts w:cs="Times New Roman"/>
        </w:rPr>
        <w:t xml:space="preserve">. </w:t>
      </w:r>
      <w:r w:rsidR="00A504A6">
        <w:rPr>
          <w:rFonts w:cs="Times New Roman"/>
        </w:rPr>
        <w:t>S</w:t>
      </w:r>
      <w:r w:rsidR="00B124D2" w:rsidRPr="00BC4AC6">
        <w:rPr>
          <w:rFonts w:cs="Times New Roman"/>
        </w:rPr>
        <w:t xml:space="preserve">uppose that the IASC had chosen </w:t>
      </w:r>
      <w:r w:rsidR="00335B93">
        <w:rPr>
          <w:rFonts w:cs="Times New Roman"/>
        </w:rPr>
        <w:t>“</w:t>
      </w:r>
      <w:r w:rsidR="00B678E3">
        <w:rPr>
          <w:rFonts w:cs="Times New Roman"/>
        </w:rPr>
        <w:t>Loss of</w:t>
      </w:r>
      <w:r w:rsidR="002E277F" w:rsidRPr="00BC4AC6">
        <w:rPr>
          <w:rFonts w:cs="Times New Roman"/>
        </w:rPr>
        <w:t xml:space="preserve"> Value</w:t>
      </w:r>
      <w:r w:rsidR="00D571B2">
        <w:rPr>
          <w:rFonts w:cs="Times New Roman"/>
        </w:rPr>
        <w:t xml:space="preserve"> of Assets</w:t>
      </w:r>
      <w:r w:rsidR="00335B93">
        <w:rPr>
          <w:rFonts w:cs="Times New Roman"/>
        </w:rPr>
        <w:t>”</w:t>
      </w:r>
      <w:r w:rsidR="002E277F">
        <w:rPr>
          <w:rFonts w:cs="Times New Roman"/>
        </w:rPr>
        <w:t xml:space="preserve"> as the </w:t>
      </w:r>
      <w:r w:rsidR="00B124D2" w:rsidRPr="00BC4AC6">
        <w:rPr>
          <w:rFonts w:cs="Times New Roman"/>
        </w:rPr>
        <w:t>title</w:t>
      </w:r>
      <w:r w:rsidR="002E277F">
        <w:rPr>
          <w:rFonts w:cs="Times New Roman"/>
        </w:rPr>
        <w:t xml:space="preserve"> of</w:t>
      </w:r>
      <w:r w:rsidR="00B124D2" w:rsidRPr="00BC4AC6">
        <w:rPr>
          <w:rFonts w:cs="Times New Roman"/>
        </w:rPr>
        <w:t xml:space="preserve"> IAS 36</w:t>
      </w:r>
      <w:r>
        <w:rPr>
          <w:rFonts w:cs="Times New Roman"/>
        </w:rPr>
        <w:t xml:space="preserve">, had defined that </w:t>
      </w:r>
      <w:r w:rsidR="000521D3">
        <w:rPr>
          <w:rFonts w:cs="Times New Roman"/>
        </w:rPr>
        <w:t>phrase</w:t>
      </w:r>
      <w:r>
        <w:rPr>
          <w:rFonts w:cs="Times New Roman"/>
        </w:rPr>
        <w:t xml:space="preserve"> as it currently defines impairment</w:t>
      </w:r>
      <w:r w:rsidR="00B124D2" w:rsidRPr="00BC4AC6">
        <w:rPr>
          <w:rFonts w:cs="Times New Roman"/>
        </w:rPr>
        <w:t xml:space="preserve"> </w:t>
      </w:r>
      <w:r w:rsidR="003B5E6A">
        <w:rPr>
          <w:rFonts w:cs="Times New Roman"/>
        </w:rPr>
        <w:t xml:space="preserve">loss </w:t>
      </w:r>
      <w:r w:rsidR="00B124D2" w:rsidRPr="00BC4AC6">
        <w:rPr>
          <w:rFonts w:cs="Times New Roman"/>
        </w:rPr>
        <w:t xml:space="preserve">and had used </w:t>
      </w:r>
      <w:r w:rsidR="000521D3">
        <w:rPr>
          <w:rFonts w:cs="Times New Roman"/>
        </w:rPr>
        <w:t>it thus</w:t>
      </w:r>
      <w:r w:rsidR="00B124D2" w:rsidRPr="00BC4AC6">
        <w:rPr>
          <w:rFonts w:cs="Times New Roman"/>
        </w:rPr>
        <w:t xml:space="preserve"> throughout the standard. Even accountants might then mis-communicate with each other, or need perpetually to ask whether a particular loss of value under discussion was a loss recogni</w:t>
      </w:r>
      <w:r w:rsidR="00F66960">
        <w:rPr>
          <w:rFonts w:cs="Times New Roman"/>
        </w:rPr>
        <w:t>s</w:t>
      </w:r>
      <w:r w:rsidR="00B124D2" w:rsidRPr="00BC4AC6">
        <w:rPr>
          <w:rFonts w:cs="Times New Roman"/>
        </w:rPr>
        <w:t xml:space="preserve">ed within the rules of IAS 36 or some other recorded </w:t>
      </w:r>
      <w:r w:rsidR="00367A93">
        <w:rPr>
          <w:rFonts w:cs="Times New Roman"/>
        </w:rPr>
        <w:t xml:space="preserve">or unrecorded </w:t>
      </w:r>
      <w:r w:rsidR="00B124D2" w:rsidRPr="00BC4AC6">
        <w:rPr>
          <w:rFonts w:cs="Times New Roman"/>
        </w:rPr>
        <w:t xml:space="preserve">loss of value. </w:t>
      </w:r>
      <w:r>
        <w:rPr>
          <w:rFonts w:cs="Times New Roman"/>
        </w:rPr>
        <w:t>The translations of "impairment"</w:t>
      </w:r>
      <w:r w:rsidR="00110A65">
        <w:rPr>
          <w:rFonts w:cs="Times New Roman"/>
        </w:rPr>
        <w:t xml:space="preserve"> </w:t>
      </w:r>
      <w:r w:rsidR="007E33F6">
        <w:rPr>
          <w:rFonts w:cs="Times New Roman"/>
        </w:rPr>
        <w:t xml:space="preserve">which use hypernyms </w:t>
      </w:r>
      <w:r w:rsidR="00110A65">
        <w:rPr>
          <w:rFonts w:cs="Times New Roman"/>
        </w:rPr>
        <w:t xml:space="preserve">bring the possibility of such confusion </w:t>
      </w:r>
      <w:r w:rsidR="007E33F6">
        <w:rPr>
          <w:rFonts w:cs="Times New Roman"/>
        </w:rPr>
        <w:t xml:space="preserve">even </w:t>
      </w:r>
      <w:r w:rsidR="00110A65">
        <w:rPr>
          <w:rFonts w:cs="Times New Roman"/>
        </w:rPr>
        <w:t>among</w:t>
      </w:r>
      <w:r w:rsidR="00990C68">
        <w:rPr>
          <w:rFonts w:cs="Times New Roman"/>
        </w:rPr>
        <w:t xml:space="preserve"> </w:t>
      </w:r>
      <w:r w:rsidR="00D3293B">
        <w:rPr>
          <w:rFonts w:cs="Times New Roman"/>
        </w:rPr>
        <w:t xml:space="preserve">accountants </w:t>
      </w:r>
      <w:r w:rsidR="00110A65">
        <w:rPr>
          <w:rFonts w:cs="Times New Roman"/>
        </w:rPr>
        <w:t>wh</w:t>
      </w:r>
      <w:r w:rsidR="00457880">
        <w:rPr>
          <w:rFonts w:cs="Times New Roman"/>
        </w:rPr>
        <w:t>o</w:t>
      </w:r>
      <w:r w:rsidR="00110A65">
        <w:rPr>
          <w:rFonts w:cs="Times New Roman"/>
        </w:rPr>
        <w:t xml:space="preserve"> </w:t>
      </w:r>
      <w:r w:rsidR="00B124D2" w:rsidRPr="00BC4AC6">
        <w:rPr>
          <w:rFonts w:cs="Times New Roman"/>
        </w:rPr>
        <w:t>us</w:t>
      </w:r>
      <w:r w:rsidR="00110A65">
        <w:rPr>
          <w:rFonts w:cs="Times New Roman"/>
        </w:rPr>
        <w:t>e</w:t>
      </w:r>
      <w:r w:rsidR="00B124D2" w:rsidRPr="00BC4AC6">
        <w:rPr>
          <w:rFonts w:cs="Times New Roman"/>
        </w:rPr>
        <w:t xml:space="preserve"> the accounting registers of the above languages.</w:t>
      </w:r>
    </w:p>
    <w:p w14:paraId="39567AA5" w14:textId="093131EA" w:rsidR="00927940" w:rsidRDefault="000349EA" w:rsidP="008F2829">
      <w:pPr>
        <w:ind w:firstLine="567"/>
        <w:rPr>
          <w:rFonts w:cs="Times New Roman"/>
        </w:rPr>
      </w:pPr>
      <w:r>
        <w:rPr>
          <w:rFonts w:cs="Times New Roman"/>
        </w:rPr>
        <w:t>However, t</w:t>
      </w:r>
      <w:r w:rsidR="008A01AD">
        <w:rPr>
          <w:rFonts w:cs="Times New Roman"/>
        </w:rPr>
        <w:t xml:space="preserve">he </w:t>
      </w:r>
      <w:r w:rsidR="001E458D">
        <w:rPr>
          <w:rFonts w:cs="Times New Roman"/>
        </w:rPr>
        <w:t xml:space="preserve">Dutch, Japanese, </w:t>
      </w:r>
      <w:r w:rsidR="008A01AD">
        <w:rPr>
          <w:rFonts w:cs="Times New Roman"/>
        </w:rPr>
        <w:t xml:space="preserve">EU </w:t>
      </w:r>
      <w:r w:rsidR="005F4F59">
        <w:rPr>
          <w:rFonts w:cs="Times New Roman"/>
        </w:rPr>
        <w:t>Portuguese</w:t>
      </w:r>
      <w:r w:rsidR="00F55518">
        <w:rPr>
          <w:rFonts w:cs="Times New Roman"/>
        </w:rPr>
        <w:t xml:space="preserve"> and</w:t>
      </w:r>
      <w:r w:rsidR="008A01AD">
        <w:rPr>
          <w:rFonts w:cs="Times New Roman"/>
        </w:rPr>
        <w:t xml:space="preserve"> Brazilian Portuguese</w:t>
      </w:r>
      <w:r w:rsidR="00580F4A">
        <w:rPr>
          <w:rFonts w:cs="Times New Roman"/>
        </w:rPr>
        <w:t xml:space="preserve"> </w:t>
      </w:r>
      <w:r w:rsidR="000521D3">
        <w:rPr>
          <w:rFonts w:cs="Times New Roman"/>
        </w:rPr>
        <w:t>term</w:t>
      </w:r>
      <w:r w:rsidR="008A01AD">
        <w:rPr>
          <w:rFonts w:cs="Times New Roman"/>
        </w:rPr>
        <w:t xml:space="preserve">s were new </w:t>
      </w:r>
      <w:r w:rsidR="002B5EAB">
        <w:rPr>
          <w:rFonts w:cs="Times New Roman"/>
        </w:rPr>
        <w:t xml:space="preserve">in their accounting registers </w:t>
      </w:r>
      <w:r w:rsidR="008A01AD">
        <w:rPr>
          <w:rFonts w:cs="Times New Roman"/>
        </w:rPr>
        <w:t>(</w:t>
      </w:r>
      <w:r w:rsidR="002B5EAB">
        <w:rPr>
          <w:rFonts w:cs="Times New Roman"/>
        </w:rPr>
        <w:t xml:space="preserve">the first </w:t>
      </w:r>
      <w:r w:rsidR="001E458D">
        <w:rPr>
          <w:rFonts w:cs="Times New Roman"/>
        </w:rPr>
        <w:t xml:space="preserve">two were coinages, the third </w:t>
      </w:r>
      <w:r w:rsidR="002B5EAB">
        <w:rPr>
          <w:rFonts w:cs="Times New Roman"/>
        </w:rPr>
        <w:t xml:space="preserve">a </w:t>
      </w:r>
      <w:r w:rsidR="002A2A34">
        <w:rPr>
          <w:rFonts w:cs="Times New Roman"/>
        </w:rPr>
        <w:t xml:space="preserve">misguided </w:t>
      </w:r>
      <w:r w:rsidR="003B5E6A">
        <w:rPr>
          <w:rFonts w:cs="Times New Roman"/>
        </w:rPr>
        <w:t>new technical term</w:t>
      </w:r>
      <w:r w:rsidR="002B5EAB">
        <w:rPr>
          <w:rFonts w:cs="Times New Roman"/>
        </w:rPr>
        <w:t xml:space="preserve">, </w:t>
      </w:r>
      <w:r w:rsidR="00F55518">
        <w:rPr>
          <w:rFonts w:cs="Times New Roman"/>
        </w:rPr>
        <w:t xml:space="preserve">and </w:t>
      </w:r>
      <w:r w:rsidR="002B5EAB">
        <w:rPr>
          <w:rFonts w:cs="Times New Roman"/>
        </w:rPr>
        <w:t xml:space="preserve">the </w:t>
      </w:r>
      <w:r w:rsidR="00F55518">
        <w:rPr>
          <w:rFonts w:cs="Times New Roman"/>
        </w:rPr>
        <w:t>last</w:t>
      </w:r>
      <w:r w:rsidR="002B5EAB">
        <w:rPr>
          <w:rFonts w:cs="Times New Roman"/>
        </w:rPr>
        <w:t xml:space="preserve"> a circumlocution</w:t>
      </w:r>
      <w:r w:rsidR="008A01AD">
        <w:rPr>
          <w:rFonts w:cs="Times New Roman"/>
        </w:rPr>
        <w:t xml:space="preserve">), and thus </w:t>
      </w:r>
      <w:r w:rsidR="00D571B2">
        <w:rPr>
          <w:rFonts w:cs="Times New Roman"/>
        </w:rPr>
        <w:t xml:space="preserve">the </w:t>
      </w:r>
      <w:r w:rsidR="007C3342">
        <w:rPr>
          <w:rFonts w:cs="Times New Roman"/>
        </w:rPr>
        <w:t>term</w:t>
      </w:r>
      <w:r w:rsidR="00D571B2">
        <w:rPr>
          <w:rFonts w:cs="Times New Roman"/>
        </w:rPr>
        <w:t xml:space="preserve">s </w:t>
      </w:r>
      <w:r w:rsidR="007E7C33">
        <w:rPr>
          <w:rFonts w:cs="Times New Roman"/>
        </w:rPr>
        <w:t xml:space="preserve">are </w:t>
      </w:r>
      <w:r w:rsidR="008A01AD">
        <w:rPr>
          <w:rFonts w:cs="Times New Roman"/>
        </w:rPr>
        <w:t>able to have unambiguously narrow and specific meanings</w:t>
      </w:r>
      <w:r w:rsidR="005F4F59">
        <w:rPr>
          <w:rFonts w:cs="Times New Roman"/>
        </w:rPr>
        <w:t xml:space="preserve"> related to IAS 36</w:t>
      </w:r>
      <w:r w:rsidR="008A01AD">
        <w:rPr>
          <w:rFonts w:cs="Times New Roman"/>
        </w:rPr>
        <w:t>, at least to accountants.</w:t>
      </w:r>
      <w:r w:rsidR="005F6173">
        <w:rPr>
          <w:rStyle w:val="FootnoteReference"/>
          <w:rFonts w:cs="Times New Roman"/>
        </w:rPr>
        <w:footnoteReference w:id="43"/>
      </w:r>
      <w:r w:rsidR="008A01AD">
        <w:rPr>
          <w:rFonts w:cs="Times New Roman"/>
        </w:rPr>
        <w:t xml:space="preserve"> </w:t>
      </w:r>
      <w:r w:rsidR="00F50255">
        <w:rPr>
          <w:rFonts w:cs="Times New Roman"/>
        </w:rPr>
        <w:t>In Swedish, the</w:t>
      </w:r>
      <w:r w:rsidR="00B91DD6">
        <w:rPr>
          <w:rFonts w:cs="Times New Roman"/>
        </w:rPr>
        <w:t xml:space="preserve"> </w:t>
      </w:r>
      <w:r w:rsidR="003B5E6A">
        <w:rPr>
          <w:rFonts w:cs="Times New Roman"/>
        </w:rPr>
        <w:t xml:space="preserve">practical </w:t>
      </w:r>
      <w:r w:rsidR="00B91DD6">
        <w:rPr>
          <w:rFonts w:cs="Times New Roman"/>
        </w:rPr>
        <w:t>problem is minimised by using ‘</w:t>
      </w:r>
      <w:r w:rsidR="00B91DD6" w:rsidRPr="00B06343">
        <w:rPr>
          <w:rFonts w:cs="Times New Roman"/>
          <w:i/>
        </w:rPr>
        <w:t>nedskriving</w:t>
      </w:r>
      <w:r w:rsidR="00B91DD6">
        <w:rPr>
          <w:rFonts w:cs="Times New Roman"/>
        </w:rPr>
        <w:t>’ (down-writing) for impairment but ‘</w:t>
      </w:r>
      <w:r w:rsidR="00B91DD6" w:rsidRPr="00B06343">
        <w:rPr>
          <w:rFonts w:cs="Times New Roman"/>
          <w:i/>
        </w:rPr>
        <w:t>avskriving</w:t>
      </w:r>
      <w:r w:rsidR="00B91DD6">
        <w:rPr>
          <w:rFonts w:cs="Times New Roman"/>
        </w:rPr>
        <w:t xml:space="preserve">’ (off-writing) for depreciation. </w:t>
      </w:r>
      <w:r w:rsidR="0014637A">
        <w:rPr>
          <w:rFonts w:cs="Times New Roman"/>
        </w:rPr>
        <w:t xml:space="preserve">Even for the other languages, we are not suggesting that the above problems have led to erroneous application of IAS 36. Accountants and auditors can still </w:t>
      </w:r>
      <w:r w:rsidR="00EE5D37">
        <w:rPr>
          <w:rFonts w:cs="Times New Roman"/>
        </w:rPr>
        <w:t xml:space="preserve">properly </w:t>
      </w:r>
      <w:r w:rsidR="0014637A">
        <w:rPr>
          <w:rFonts w:cs="Times New Roman"/>
        </w:rPr>
        <w:t xml:space="preserve">apply the technical rules of the standard. </w:t>
      </w:r>
      <w:r w:rsidR="00EE5D37">
        <w:rPr>
          <w:rFonts w:cs="Times New Roman"/>
        </w:rPr>
        <w:t>Furthermore,</w:t>
      </w:r>
      <w:r w:rsidR="00927940">
        <w:rPr>
          <w:rFonts w:cs="Times New Roman"/>
        </w:rPr>
        <w:t xml:space="preserve"> meanings change over time. For example, </w:t>
      </w:r>
      <w:r w:rsidR="00632ADC">
        <w:rPr>
          <w:rFonts w:cs="Times New Roman"/>
        </w:rPr>
        <w:t>although Portuguese accountants were initially bemused by “</w:t>
      </w:r>
      <w:r w:rsidR="00632ADC" w:rsidRPr="00B25EA6">
        <w:rPr>
          <w:rFonts w:cs="Times New Roman"/>
          <w:i/>
        </w:rPr>
        <w:t>imparidade</w:t>
      </w:r>
      <w:r w:rsidR="00632ADC">
        <w:rPr>
          <w:rFonts w:cs="Times New Roman"/>
        </w:rPr>
        <w:t xml:space="preserve">”, after two decades </w:t>
      </w:r>
      <w:r w:rsidR="007C3342">
        <w:rPr>
          <w:rFonts w:cs="Times New Roman"/>
        </w:rPr>
        <w:t xml:space="preserve">it </w:t>
      </w:r>
      <w:r w:rsidR="00580F4A">
        <w:rPr>
          <w:rFonts w:cs="Times New Roman"/>
        </w:rPr>
        <w:t>has become</w:t>
      </w:r>
      <w:r w:rsidR="00632ADC">
        <w:rPr>
          <w:rFonts w:cs="Times New Roman"/>
        </w:rPr>
        <w:t xml:space="preserve">, even in the everyday </w:t>
      </w:r>
      <w:r w:rsidR="003819BD">
        <w:rPr>
          <w:rFonts w:cs="Times New Roman"/>
        </w:rPr>
        <w:t>dictionaries</w:t>
      </w:r>
      <w:r w:rsidR="00D571B2">
        <w:rPr>
          <w:rFonts w:cs="Times New Roman"/>
        </w:rPr>
        <w:t>,</w:t>
      </w:r>
      <w:r w:rsidR="008718FE">
        <w:rPr>
          <w:rFonts w:cs="Times New Roman"/>
        </w:rPr>
        <w:t xml:space="preserve"> an accounting term about loss of value.</w:t>
      </w:r>
      <w:r w:rsidR="008718FE">
        <w:rPr>
          <w:rStyle w:val="FootnoteReference"/>
          <w:rFonts w:cs="Times New Roman"/>
        </w:rPr>
        <w:footnoteReference w:id="44"/>
      </w:r>
      <w:r w:rsidR="00660127">
        <w:rPr>
          <w:rFonts w:cs="Times New Roman"/>
        </w:rPr>
        <w:t xml:space="preserve"> In the accounting register in English, the expression </w:t>
      </w:r>
      <w:r w:rsidR="003819BD">
        <w:rPr>
          <w:rFonts w:cs="Times New Roman"/>
        </w:rPr>
        <w:t>“</w:t>
      </w:r>
      <w:r w:rsidR="00660127">
        <w:rPr>
          <w:rFonts w:cs="Times New Roman"/>
        </w:rPr>
        <w:t>to impair an asset</w:t>
      </w:r>
      <w:r w:rsidR="003819BD">
        <w:rPr>
          <w:rFonts w:cs="Times New Roman"/>
        </w:rPr>
        <w:t>”</w:t>
      </w:r>
      <w:r w:rsidR="00660127">
        <w:rPr>
          <w:rFonts w:cs="Times New Roman"/>
        </w:rPr>
        <w:t xml:space="preserve"> has </w:t>
      </w:r>
      <w:r w:rsidR="00457880">
        <w:rPr>
          <w:rFonts w:cs="Times New Roman"/>
        </w:rPr>
        <w:t xml:space="preserve">perhaps </w:t>
      </w:r>
      <w:r w:rsidR="00660127">
        <w:rPr>
          <w:rFonts w:cs="Times New Roman"/>
        </w:rPr>
        <w:t>come to mean to write it down according to the rules of IAS 36.</w:t>
      </w:r>
      <w:r w:rsidR="007D6D81">
        <w:rPr>
          <w:rFonts w:cs="Times New Roman"/>
        </w:rPr>
        <w:t xml:space="preserve"> That is, impairment </w:t>
      </w:r>
      <w:r w:rsidR="00457880">
        <w:rPr>
          <w:rFonts w:cs="Times New Roman"/>
        </w:rPr>
        <w:t>might</w:t>
      </w:r>
      <w:r w:rsidR="007D6D81">
        <w:rPr>
          <w:rFonts w:cs="Times New Roman"/>
        </w:rPr>
        <w:t xml:space="preserve"> no longer</w:t>
      </w:r>
      <w:r w:rsidR="003B5E6A">
        <w:rPr>
          <w:rFonts w:cs="Times New Roman"/>
        </w:rPr>
        <w:t xml:space="preserve"> </w:t>
      </w:r>
      <w:r w:rsidR="00401304">
        <w:rPr>
          <w:rFonts w:cs="Times New Roman"/>
        </w:rPr>
        <w:t xml:space="preserve">generally </w:t>
      </w:r>
      <w:r w:rsidR="00457880">
        <w:rPr>
          <w:rFonts w:cs="Times New Roman"/>
        </w:rPr>
        <w:t xml:space="preserve">be </w:t>
      </w:r>
      <w:r w:rsidR="00401304">
        <w:rPr>
          <w:rFonts w:cs="Times New Roman"/>
        </w:rPr>
        <w:t xml:space="preserve">perceived as </w:t>
      </w:r>
      <w:r w:rsidR="007D6D81">
        <w:rPr>
          <w:rFonts w:cs="Times New Roman"/>
        </w:rPr>
        <w:t xml:space="preserve">the </w:t>
      </w:r>
      <w:r w:rsidR="003B5E6A">
        <w:rPr>
          <w:rFonts w:cs="Times New Roman"/>
        </w:rPr>
        <w:t>damage</w:t>
      </w:r>
      <w:r w:rsidR="007D6D81">
        <w:rPr>
          <w:rFonts w:cs="Times New Roman"/>
        </w:rPr>
        <w:t xml:space="preserve"> or the loss of value but </w:t>
      </w:r>
      <w:r w:rsidR="003B5E6A">
        <w:rPr>
          <w:rFonts w:cs="Times New Roman"/>
        </w:rPr>
        <w:t xml:space="preserve">as </w:t>
      </w:r>
      <w:r w:rsidR="007D6D81">
        <w:rPr>
          <w:rFonts w:cs="Times New Roman"/>
        </w:rPr>
        <w:t xml:space="preserve">the action of making the accounting </w:t>
      </w:r>
      <w:r w:rsidR="007D6D81" w:rsidRPr="009D09E5">
        <w:rPr>
          <w:rFonts w:cs="Times New Roman"/>
          <w:i/>
        </w:rPr>
        <w:t xml:space="preserve">credit </w:t>
      </w:r>
      <w:r w:rsidR="007D6D81">
        <w:rPr>
          <w:rFonts w:cs="Times New Roman"/>
        </w:rPr>
        <w:t>entry.</w:t>
      </w:r>
    </w:p>
    <w:p w14:paraId="45ABE4E2" w14:textId="6C0A1751" w:rsidR="00B124D2" w:rsidRPr="00BC4AC6" w:rsidRDefault="00BC2346" w:rsidP="00D3293B">
      <w:pPr>
        <w:ind w:firstLine="567"/>
        <w:rPr>
          <w:rFonts w:cs="Times New Roman"/>
        </w:rPr>
      </w:pPr>
      <w:r>
        <w:rPr>
          <w:rFonts w:cs="Times New Roman"/>
        </w:rPr>
        <w:t>T</w:t>
      </w:r>
      <w:r w:rsidR="00D3293B">
        <w:rPr>
          <w:rFonts w:cs="Times New Roman"/>
        </w:rPr>
        <w:t xml:space="preserve">he risk </w:t>
      </w:r>
      <w:r w:rsidR="00425EF9">
        <w:rPr>
          <w:rFonts w:cs="Times New Roman"/>
        </w:rPr>
        <w:t xml:space="preserve">of poor communication </w:t>
      </w:r>
      <w:r w:rsidR="0042314C">
        <w:rPr>
          <w:rFonts w:cs="Times New Roman"/>
        </w:rPr>
        <w:t>caused by hyper</w:t>
      </w:r>
      <w:r w:rsidR="008A01AD">
        <w:rPr>
          <w:rFonts w:cs="Times New Roman"/>
        </w:rPr>
        <w:t xml:space="preserve">nyms </w:t>
      </w:r>
      <w:r w:rsidR="00342901">
        <w:rPr>
          <w:rFonts w:cs="Times New Roman"/>
        </w:rPr>
        <w:t>(as found in most of the translations</w:t>
      </w:r>
      <w:r w:rsidR="002A2A34">
        <w:rPr>
          <w:rFonts w:cs="Times New Roman"/>
        </w:rPr>
        <w:t xml:space="preserve"> of “impairment”</w:t>
      </w:r>
      <w:r w:rsidR="00342901">
        <w:rPr>
          <w:rFonts w:cs="Times New Roman"/>
        </w:rPr>
        <w:t xml:space="preserve">) </w:t>
      </w:r>
      <w:r w:rsidR="00D3293B">
        <w:rPr>
          <w:rFonts w:cs="Times New Roman"/>
        </w:rPr>
        <w:t xml:space="preserve">is </w:t>
      </w:r>
      <w:r w:rsidR="00110A65">
        <w:rPr>
          <w:rFonts w:cs="Times New Roman"/>
        </w:rPr>
        <w:t xml:space="preserve">even </w:t>
      </w:r>
      <w:r w:rsidR="00D3293B">
        <w:rPr>
          <w:rFonts w:cs="Times New Roman"/>
        </w:rPr>
        <w:t xml:space="preserve">greater under two other circumstances: (i) </w:t>
      </w:r>
      <w:r w:rsidR="00D3293B" w:rsidRPr="00BC4AC6">
        <w:rPr>
          <w:rFonts w:cs="Times New Roman"/>
        </w:rPr>
        <w:t>when investor</w:t>
      </w:r>
      <w:r w:rsidR="00D3293B">
        <w:rPr>
          <w:rFonts w:cs="Times New Roman"/>
        </w:rPr>
        <w:t xml:space="preserve">s </w:t>
      </w:r>
      <w:r w:rsidR="00425EF9">
        <w:rPr>
          <w:rFonts w:cs="Times New Roman"/>
        </w:rPr>
        <w:t>(</w:t>
      </w:r>
      <w:r w:rsidR="00F33445">
        <w:rPr>
          <w:rFonts w:cs="Times New Roman"/>
        </w:rPr>
        <w:t xml:space="preserve">those </w:t>
      </w:r>
      <w:r w:rsidR="00425EF9">
        <w:rPr>
          <w:rFonts w:cs="Times New Roman"/>
        </w:rPr>
        <w:t xml:space="preserve">who are not accountants) </w:t>
      </w:r>
      <w:r w:rsidR="00D3293B" w:rsidRPr="00BC4AC6">
        <w:rPr>
          <w:rFonts w:cs="Times New Roman"/>
        </w:rPr>
        <w:t xml:space="preserve">see the </w:t>
      </w:r>
      <w:r w:rsidR="007C3342">
        <w:rPr>
          <w:rFonts w:cs="Times New Roman"/>
        </w:rPr>
        <w:t>term</w:t>
      </w:r>
      <w:r w:rsidR="00D3293B" w:rsidRPr="00BC4AC6">
        <w:rPr>
          <w:rFonts w:cs="Times New Roman"/>
        </w:rPr>
        <w:t xml:space="preserve">s in </w:t>
      </w:r>
      <w:r w:rsidR="00B1197F">
        <w:rPr>
          <w:rFonts w:cs="Times New Roman"/>
        </w:rPr>
        <w:t xml:space="preserve">annual reports in </w:t>
      </w:r>
      <w:r w:rsidR="005F4F59">
        <w:rPr>
          <w:rFonts w:cs="Times New Roman"/>
        </w:rPr>
        <w:t>these various</w:t>
      </w:r>
      <w:r w:rsidR="00425EF9">
        <w:rPr>
          <w:rFonts w:cs="Times New Roman"/>
        </w:rPr>
        <w:t xml:space="preserve"> languages, and (ii)</w:t>
      </w:r>
      <w:r w:rsidR="00425EF9" w:rsidRPr="00425EF9">
        <w:rPr>
          <w:rFonts w:cs="Times New Roman"/>
        </w:rPr>
        <w:t xml:space="preserve"> </w:t>
      </w:r>
      <w:r w:rsidR="00425EF9">
        <w:rPr>
          <w:rFonts w:cs="Times New Roman"/>
        </w:rPr>
        <w:t>when translators (</w:t>
      </w:r>
      <w:r w:rsidR="00F33445">
        <w:rPr>
          <w:rFonts w:cs="Times New Roman"/>
        </w:rPr>
        <w:t xml:space="preserve">those </w:t>
      </w:r>
      <w:r w:rsidR="00425EF9">
        <w:rPr>
          <w:rFonts w:cs="Times New Roman"/>
        </w:rPr>
        <w:t xml:space="preserve">who are not as expert as accountants) turn </w:t>
      </w:r>
      <w:r w:rsidR="00B1197F">
        <w:rPr>
          <w:rFonts w:cs="Times New Roman"/>
        </w:rPr>
        <w:t xml:space="preserve">those </w:t>
      </w:r>
      <w:r w:rsidR="00425EF9">
        <w:rPr>
          <w:rFonts w:cs="Times New Roman"/>
        </w:rPr>
        <w:t>annual reports into English</w:t>
      </w:r>
      <w:r w:rsidR="00601E4B">
        <w:rPr>
          <w:rFonts w:cs="Times New Roman"/>
        </w:rPr>
        <w:t xml:space="preserve">. </w:t>
      </w:r>
      <w:r w:rsidR="000D40CB">
        <w:rPr>
          <w:rFonts w:cs="Times New Roman"/>
        </w:rPr>
        <w:t>Thus, e</w:t>
      </w:r>
      <w:r w:rsidR="001920F1">
        <w:rPr>
          <w:rFonts w:cs="Times New Roman"/>
        </w:rPr>
        <w:t>ven if IAS 36 is being correctly implemented despite translation problems, there might still be miscom</w:t>
      </w:r>
      <w:r w:rsidR="000D40CB">
        <w:rPr>
          <w:rFonts w:cs="Times New Roman"/>
        </w:rPr>
        <w:t>munication at a later stage</w:t>
      </w:r>
      <w:r w:rsidR="00F33445">
        <w:rPr>
          <w:rFonts w:cs="Times New Roman"/>
        </w:rPr>
        <w:t>, as we investigate in the next sections</w:t>
      </w:r>
      <w:r w:rsidR="001920F1">
        <w:rPr>
          <w:rFonts w:cs="Times New Roman"/>
        </w:rPr>
        <w:t>.</w:t>
      </w:r>
    </w:p>
    <w:p w14:paraId="6E787CE1" w14:textId="2B390C60" w:rsidR="00AE3982" w:rsidRDefault="002A2A34" w:rsidP="00B124D2">
      <w:pPr>
        <w:ind w:firstLine="567"/>
        <w:rPr>
          <w:rFonts w:cs="Times New Roman"/>
        </w:rPr>
      </w:pPr>
      <w:r>
        <w:rPr>
          <w:rFonts w:cs="Times New Roman"/>
        </w:rPr>
        <w:t>In line with our theoretical discussions earlier, w</w:t>
      </w:r>
      <w:r w:rsidR="00B124D2" w:rsidRPr="00BC4AC6">
        <w:rPr>
          <w:rFonts w:cs="Times New Roman"/>
        </w:rPr>
        <w:t xml:space="preserve">e are not suggesting that translators of international standards should </w:t>
      </w:r>
      <w:r w:rsidR="005F6173">
        <w:rPr>
          <w:rFonts w:cs="Times New Roman"/>
        </w:rPr>
        <w:t xml:space="preserve">always </w:t>
      </w:r>
      <w:r w:rsidR="00B124D2" w:rsidRPr="00BC4AC6">
        <w:rPr>
          <w:rFonts w:cs="Times New Roman"/>
        </w:rPr>
        <w:t xml:space="preserve">try to approximate the literal meaning of English accounting terms, although that might have worked </w:t>
      </w:r>
      <w:r>
        <w:rPr>
          <w:rFonts w:cs="Times New Roman"/>
        </w:rPr>
        <w:t>better</w:t>
      </w:r>
      <w:r w:rsidR="00B124D2" w:rsidRPr="00BC4AC6">
        <w:rPr>
          <w:rFonts w:cs="Times New Roman"/>
        </w:rPr>
        <w:t xml:space="preserve"> for impairment. A counter example is the </w:t>
      </w:r>
      <w:r w:rsidR="007C3342">
        <w:rPr>
          <w:rFonts w:cs="Times New Roman"/>
        </w:rPr>
        <w:t xml:space="preserve">term </w:t>
      </w:r>
      <w:r w:rsidR="00335B93">
        <w:rPr>
          <w:rFonts w:cs="Times New Roman"/>
        </w:rPr>
        <w:t>“</w:t>
      </w:r>
      <w:r w:rsidR="00B124D2" w:rsidRPr="00BC4AC6">
        <w:rPr>
          <w:rFonts w:cs="Times New Roman"/>
        </w:rPr>
        <w:t>depreciation</w:t>
      </w:r>
      <w:r w:rsidR="00335B93">
        <w:rPr>
          <w:rFonts w:cs="Times New Roman"/>
        </w:rPr>
        <w:t>”</w:t>
      </w:r>
      <w:r w:rsidR="00B124D2" w:rsidRPr="00BC4AC6">
        <w:rPr>
          <w:rFonts w:cs="Times New Roman"/>
        </w:rPr>
        <w:t xml:space="preserve"> in the accounting register in English. This </w:t>
      </w:r>
      <w:r w:rsidR="00076581">
        <w:rPr>
          <w:rFonts w:cs="Times New Roman"/>
        </w:rPr>
        <w:t xml:space="preserve">might be well understood among accountants but </w:t>
      </w:r>
      <w:r w:rsidR="00601E4B">
        <w:rPr>
          <w:rFonts w:cs="Times New Roman"/>
        </w:rPr>
        <w:t xml:space="preserve">it </w:t>
      </w:r>
      <w:r w:rsidR="00076581">
        <w:rPr>
          <w:rFonts w:cs="Times New Roman"/>
        </w:rPr>
        <w:t xml:space="preserve">might confuse readers of annual reports because </w:t>
      </w:r>
      <w:r w:rsidR="00CD78A7" w:rsidRPr="00BC4AC6">
        <w:rPr>
          <w:rFonts w:cs="Times New Roman"/>
        </w:rPr>
        <w:t>it signifies loss of value</w:t>
      </w:r>
      <w:r w:rsidR="00076581">
        <w:rPr>
          <w:rFonts w:cs="Times New Roman"/>
        </w:rPr>
        <w:t xml:space="preserve"> in</w:t>
      </w:r>
      <w:r w:rsidR="00CD78A7" w:rsidRPr="00BC4AC6">
        <w:rPr>
          <w:rFonts w:cs="Times New Roman"/>
        </w:rPr>
        <w:t xml:space="preserve"> </w:t>
      </w:r>
      <w:r w:rsidR="00076581" w:rsidRPr="00BC4AC6">
        <w:rPr>
          <w:rFonts w:cs="Times New Roman"/>
        </w:rPr>
        <w:t xml:space="preserve">the everyday register </w:t>
      </w:r>
      <w:r w:rsidR="00076581">
        <w:rPr>
          <w:rFonts w:cs="Times New Roman"/>
        </w:rPr>
        <w:t>whereas</w:t>
      </w:r>
      <w:r w:rsidR="00AE3982">
        <w:rPr>
          <w:rFonts w:cs="Times New Roman"/>
        </w:rPr>
        <w:t xml:space="preserve"> accountants </w:t>
      </w:r>
      <w:r w:rsidR="00576FF6">
        <w:rPr>
          <w:rFonts w:cs="Times New Roman"/>
        </w:rPr>
        <w:t xml:space="preserve">continue to </w:t>
      </w:r>
      <w:r w:rsidR="00AE3982">
        <w:rPr>
          <w:rFonts w:cs="Times New Roman"/>
        </w:rPr>
        <w:t xml:space="preserve">charge </w:t>
      </w:r>
      <w:r w:rsidR="00B124D2" w:rsidRPr="00BC4AC6">
        <w:rPr>
          <w:rFonts w:cs="Times New Roman"/>
        </w:rPr>
        <w:t xml:space="preserve">depreciation even when an asset </w:t>
      </w:r>
      <w:r w:rsidR="00B124D2" w:rsidRPr="00BC4AC6">
        <w:rPr>
          <w:rFonts w:cs="Times New Roman"/>
          <w:i/>
        </w:rPr>
        <w:t>rises</w:t>
      </w:r>
      <w:r w:rsidR="00B124D2" w:rsidRPr="00BC4AC6">
        <w:rPr>
          <w:rFonts w:cs="Times New Roman"/>
        </w:rPr>
        <w:t xml:space="preserve"> in value. By contrast</w:t>
      </w:r>
      <w:r w:rsidR="0004348C">
        <w:rPr>
          <w:rFonts w:cs="Times New Roman"/>
        </w:rPr>
        <w:t>,</w:t>
      </w:r>
      <w:r w:rsidR="00B124D2" w:rsidRPr="00BC4AC6">
        <w:rPr>
          <w:rFonts w:cs="Times New Roman"/>
        </w:rPr>
        <w:t xml:space="preserve"> the French </w:t>
      </w:r>
      <w:r w:rsidR="00335B93">
        <w:rPr>
          <w:rFonts w:cs="Times New Roman"/>
        </w:rPr>
        <w:t>“</w:t>
      </w:r>
      <w:r w:rsidR="00B124D2" w:rsidRPr="00BC4AC6">
        <w:rPr>
          <w:rFonts w:cs="Times New Roman"/>
          <w:i/>
        </w:rPr>
        <w:t>amortissement</w:t>
      </w:r>
      <w:r w:rsidR="00335B93">
        <w:rPr>
          <w:rFonts w:cs="Times New Roman"/>
        </w:rPr>
        <w:t>”</w:t>
      </w:r>
      <w:r w:rsidR="00B124D2" w:rsidRPr="00BC4AC6">
        <w:rPr>
          <w:rFonts w:cs="Times New Roman"/>
        </w:rPr>
        <w:t xml:space="preserve"> or the Italian </w:t>
      </w:r>
      <w:r w:rsidR="00335B93">
        <w:rPr>
          <w:rFonts w:cs="Times New Roman"/>
        </w:rPr>
        <w:t>“</w:t>
      </w:r>
      <w:r w:rsidR="00B124D2" w:rsidRPr="00BC4AC6">
        <w:rPr>
          <w:rFonts w:cs="Times New Roman"/>
          <w:i/>
        </w:rPr>
        <w:t>ammortamento</w:t>
      </w:r>
      <w:r w:rsidR="00335B93">
        <w:rPr>
          <w:rFonts w:cs="Times New Roman"/>
        </w:rPr>
        <w:t>”</w:t>
      </w:r>
      <w:r w:rsidR="00B124D2" w:rsidRPr="00BC4AC6">
        <w:rPr>
          <w:rFonts w:cs="Times New Roman"/>
        </w:rPr>
        <w:t xml:space="preserve"> are more likely to convey (to translators</w:t>
      </w:r>
      <w:r w:rsidR="00416D0A" w:rsidRPr="00416D0A">
        <w:rPr>
          <w:rFonts w:cs="Times New Roman"/>
        </w:rPr>
        <w:t xml:space="preserve"> </w:t>
      </w:r>
      <w:r w:rsidR="00416D0A">
        <w:rPr>
          <w:rFonts w:cs="Times New Roman"/>
        </w:rPr>
        <w:t>or investors</w:t>
      </w:r>
      <w:r w:rsidR="00B124D2" w:rsidRPr="00BC4AC6">
        <w:rPr>
          <w:rFonts w:cs="Times New Roman"/>
        </w:rPr>
        <w:t xml:space="preserve">) the idea </w:t>
      </w:r>
      <w:r w:rsidR="0004348C">
        <w:rPr>
          <w:rFonts w:cs="Times New Roman"/>
        </w:rPr>
        <w:t>that</w:t>
      </w:r>
      <w:r w:rsidR="00B124D2" w:rsidRPr="00BC4AC6">
        <w:rPr>
          <w:rFonts w:cs="Times New Roman"/>
        </w:rPr>
        <w:t xml:space="preserve"> the asset </w:t>
      </w:r>
      <w:r w:rsidR="0004348C">
        <w:rPr>
          <w:rFonts w:cs="Times New Roman"/>
        </w:rPr>
        <w:t xml:space="preserve">is on its way to the mortuary because of </w:t>
      </w:r>
      <w:r w:rsidR="00B124D2" w:rsidRPr="00BC4AC6">
        <w:rPr>
          <w:rFonts w:cs="Times New Roman"/>
        </w:rPr>
        <w:t>wear</w:t>
      </w:r>
      <w:r w:rsidR="0004348C">
        <w:rPr>
          <w:rFonts w:cs="Times New Roman"/>
        </w:rPr>
        <w:t xml:space="preserve"> or the passage of time</w:t>
      </w:r>
      <w:r w:rsidR="00B124D2" w:rsidRPr="00BC4AC6">
        <w:rPr>
          <w:rFonts w:cs="Times New Roman"/>
        </w:rPr>
        <w:t xml:space="preserve">. </w:t>
      </w:r>
      <w:r w:rsidR="00416D0A">
        <w:rPr>
          <w:rFonts w:cs="Times New Roman"/>
        </w:rPr>
        <w:t xml:space="preserve">These </w:t>
      </w:r>
      <w:r w:rsidR="007C3342">
        <w:rPr>
          <w:rFonts w:cs="Times New Roman"/>
        </w:rPr>
        <w:t>term</w:t>
      </w:r>
      <w:r w:rsidR="00601E4B">
        <w:rPr>
          <w:rFonts w:cs="Times New Roman"/>
        </w:rPr>
        <w:t xml:space="preserve">s </w:t>
      </w:r>
      <w:r w:rsidR="005F4F59">
        <w:rPr>
          <w:rFonts w:cs="Times New Roman"/>
        </w:rPr>
        <w:t xml:space="preserve">are also better than the </w:t>
      </w:r>
      <w:r w:rsidR="00416D0A">
        <w:rPr>
          <w:rFonts w:cs="Times New Roman"/>
        </w:rPr>
        <w:t>German</w:t>
      </w:r>
      <w:r w:rsidR="005F4F59">
        <w:rPr>
          <w:rFonts w:cs="Times New Roman"/>
        </w:rPr>
        <w:t xml:space="preserve"> hypernym</w:t>
      </w:r>
      <w:r w:rsidR="00416D0A">
        <w:rPr>
          <w:rFonts w:cs="Times New Roman"/>
        </w:rPr>
        <w:t xml:space="preserve"> </w:t>
      </w:r>
      <w:r w:rsidR="00335B93">
        <w:rPr>
          <w:rFonts w:cs="Times New Roman"/>
        </w:rPr>
        <w:t>“</w:t>
      </w:r>
      <w:r w:rsidR="00416D0A" w:rsidRPr="000337D1">
        <w:rPr>
          <w:rFonts w:cs="Times New Roman"/>
          <w:i/>
        </w:rPr>
        <w:t>Abschreibung</w:t>
      </w:r>
      <w:r w:rsidR="00335B93">
        <w:rPr>
          <w:rFonts w:cs="Times New Roman"/>
        </w:rPr>
        <w:t>”</w:t>
      </w:r>
      <w:r w:rsidR="005E3AC1">
        <w:rPr>
          <w:rFonts w:cs="Times New Roman"/>
        </w:rPr>
        <w:t xml:space="preserve"> which (if unadorned) can mean either depreciation or impairment</w:t>
      </w:r>
      <w:r w:rsidR="00416D0A">
        <w:rPr>
          <w:rFonts w:cs="Times New Roman"/>
        </w:rPr>
        <w:t>.</w:t>
      </w:r>
    </w:p>
    <w:p w14:paraId="1F5BA838" w14:textId="2F654697" w:rsidR="00B124D2" w:rsidRDefault="00AE3982" w:rsidP="00B124D2">
      <w:pPr>
        <w:ind w:firstLine="567"/>
        <w:rPr>
          <w:rFonts w:cs="Times New Roman"/>
        </w:rPr>
      </w:pPr>
      <w:r>
        <w:rPr>
          <w:rFonts w:cs="Times New Roman"/>
        </w:rPr>
        <w:t xml:space="preserve">Thus, </w:t>
      </w:r>
      <w:r w:rsidR="003D1057">
        <w:rPr>
          <w:rFonts w:cs="Times New Roman"/>
        </w:rPr>
        <w:t xml:space="preserve">the </w:t>
      </w:r>
      <w:r w:rsidR="00B124D2" w:rsidRPr="00BC4AC6">
        <w:rPr>
          <w:rFonts w:cs="Times New Roman"/>
        </w:rPr>
        <w:t xml:space="preserve">implication for translators of accounting regulations (now most commonly </w:t>
      </w:r>
      <w:r w:rsidR="00B124D2" w:rsidRPr="00BC4AC6">
        <w:rPr>
          <w:rFonts w:cs="Times New Roman"/>
          <w:i/>
        </w:rPr>
        <w:t>from</w:t>
      </w:r>
      <w:r w:rsidR="00DC2A36">
        <w:rPr>
          <w:rFonts w:cs="Times New Roman"/>
        </w:rPr>
        <w:t xml:space="preserve"> </w:t>
      </w:r>
      <w:r w:rsidR="00EB4BD3">
        <w:rPr>
          <w:rFonts w:cs="Times New Roman"/>
        </w:rPr>
        <w:t xml:space="preserve">an </w:t>
      </w:r>
      <w:r w:rsidR="00B124D2" w:rsidRPr="00BC4AC6">
        <w:rPr>
          <w:rFonts w:cs="Times New Roman"/>
        </w:rPr>
        <w:t>English</w:t>
      </w:r>
      <w:r w:rsidR="00601E4B">
        <w:rPr>
          <w:rFonts w:cs="Times New Roman"/>
        </w:rPr>
        <w:t xml:space="preserve"> source</w:t>
      </w:r>
      <w:r w:rsidR="00B124D2" w:rsidRPr="00BC4AC6">
        <w:rPr>
          <w:rFonts w:cs="Times New Roman"/>
        </w:rPr>
        <w:t xml:space="preserve">) is that they should attend to what is being signified. In the case of impairment, although any impairment is </w:t>
      </w:r>
      <w:r w:rsidR="00B124D2" w:rsidRPr="000337D1">
        <w:rPr>
          <w:rFonts w:cs="Times New Roman"/>
          <w:i/>
        </w:rPr>
        <w:t>measured</w:t>
      </w:r>
      <w:r w:rsidR="00B124D2" w:rsidRPr="00BC4AC6">
        <w:rPr>
          <w:rFonts w:cs="Times New Roman"/>
        </w:rPr>
        <w:t xml:space="preserve"> by reference to a fall in value, the economic event is damage. </w:t>
      </w:r>
      <w:r w:rsidR="00DE463F">
        <w:rPr>
          <w:rFonts w:cs="Times New Roman"/>
        </w:rPr>
        <w:t>By contrast, for</w:t>
      </w:r>
      <w:r w:rsidR="00B124D2" w:rsidRPr="00BC4AC6">
        <w:rPr>
          <w:rFonts w:cs="Times New Roman"/>
        </w:rPr>
        <w:t xml:space="preserve"> depreciation, although </w:t>
      </w:r>
      <w:r>
        <w:rPr>
          <w:rFonts w:cs="Times New Roman"/>
        </w:rPr>
        <w:t>it</w:t>
      </w:r>
      <w:r w:rsidR="00B124D2" w:rsidRPr="00BC4AC6">
        <w:rPr>
          <w:rFonts w:cs="Times New Roman"/>
        </w:rPr>
        <w:t xml:space="preserve"> is also measured by reference t</w:t>
      </w:r>
      <w:r w:rsidR="0085161E">
        <w:rPr>
          <w:rFonts w:cs="Times New Roman"/>
        </w:rPr>
        <w:t xml:space="preserve">o the eventual expected residual </w:t>
      </w:r>
      <w:r w:rsidR="00B124D2" w:rsidRPr="00BC4AC6">
        <w:rPr>
          <w:rFonts w:cs="Times New Roman"/>
        </w:rPr>
        <w:t xml:space="preserve">value, the economic event is the passing of time or the </w:t>
      </w:r>
      <w:r w:rsidR="003B5E6A">
        <w:rPr>
          <w:rFonts w:cs="Times New Roman"/>
        </w:rPr>
        <w:t xml:space="preserve">gradual </w:t>
      </w:r>
      <w:r w:rsidR="00B124D2" w:rsidRPr="00BC4AC6">
        <w:rPr>
          <w:rFonts w:cs="Times New Roman"/>
        </w:rPr>
        <w:t>wearing out.</w:t>
      </w:r>
      <w:r w:rsidR="00957D3A">
        <w:rPr>
          <w:rFonts w:cs="Times New Roman"/>
        </w:rPr>
        <w:t xml:space="preserve"> T</w:t>
      </w:r>
      <w:r w:rsidR="00416D0A">
        <w:rPr>
          <w:rFonts w:cs="Times New Roman"/>
        </w:rPr>
        <w:t xml:space="preserve">ranslators </w:t>
      </w:r>
      <w:r w:rsidR="00DE463F">
        <w:rPr>
          <w:rFonts w:cs="Times New Roman"/>
        </w:rPr>
        <w:t xml:space="preserve">of regulations </w:t>
      </w:r>
      <w:r w:rsidR="00416D0A">
        <w:rPr>
          <w:rFonts w:cs="Times New Roman"/>
        </w:rPr>
        <w:t xml:space="preserve">should </w:t>
      </w:r>
      <w:r w:rsidR="00957D3A">
        <w:rPr>
          <w:rFonts w:cs="Times New Roman"/>
        </w:rPr>
        <w:t xml:space="preserve">try to </w:t>
      </w:r>
      <w:r w:rsidR="00416D0A">
        <w:rPr>
          <w:rFonts w:cs="Times New Roman"/>
        </w:rPr>
        <w:t xml:space="preserve">maximise the chances that readers in the target language will receive the same message as that received by readers in the source </w:t>
      </w:r>
      <w:r w:rsidR="00C701B6">
        <w:rPr>
          <w:rFonts w:cs="Times New Roman"/>
        </w:rPr>
        <w:t>language.</w:t>
      </w:r>
      <w:r w:rsidR="00927940">
        <w:rPr>
          <w:rFonts w:cs="Times New Roman"/>
        </w:rPr>
        <w:t xml:space="preserve"> </w:t>
      </w:r>
      <w:r w:rsidR="00957D3A">
        <w:rPr>
          <w:rFonts w:cs="Times New Roman"/>
        </w:rPr>
        <w:t xml:space="preserve">In </w:t>
      </w:r>
      <w:r w:rsidR="003051C4">
        <w:rPr>
          <w:rFonts w:cs="Times New Roman"/>
        </w:rPr>
        <w:t>t</w:t>
      </w:r>
      <w:r w:rsidR="00957D3A">
        <w:rPr>
          <w:rFonts w:cs="Times New Roman"/>
        </w:rPr>
        <w:t>he</w:t>
      </w:r>
      <w:r w:rsidR="003051C4">
        <w:rPr>
          <w:rFonts w:cs="Times New Roman"/>
        </w:rPr>
        <w:t xml:space="preserve"> cas</w:t>
      </w:r>
      <w:r w:rsidR="00957D3A">
        <w:rPr>
          <w:rFonts w:cs="Times New Roman"/>
        </w:rPr>
        <w:t>e of “impairment”, more literal translation</w:t>
      </w:r>
      <w:r w:rsidR="00927940">
        <w:rPr>
          <w:rFonts w:cs="Times New Roman"/>
        </w:rPr>
        <w:t>s</w:t>
      </w:r>
      <w:r w:rsidR="00957D3A">
        <w:rPr>
          <w:rFonts w:cs="Times New Roman"/>
        </w:rPr>
        <w:t xml:space="preserve"> might have achieved that. </w:t>
      </w:r>
      <w:r w:rsidR="00C701B6">
        <w:rPr>
          <w:rFonts w:cs="Times New Roman"/>
        </w:rPr>
        <w:t>But we can go further: with</w:t>
      </w:r>
      <w:r w:rsidR="00416D0A">
        <w:rPr>
          <w:rFonts w:cs="Times New Roman"/>
        </w:rPr>
        <w:t xml:space="preserve"> good translation, readers in the target language can </w:t>
      </w:r>
      <w:r w:rsidR="00601E4B">
        <w:rPr>
          <w:rFonts w:cs="Times New Roman"/>
        </w:rPr>
        <w:t xml:space="preserve">sometimes </w:t>
      </w:r>
      <w:r w:rsidR="00416D0A">
        <w:rPr>
          <w:rFonts w:cs="Times New Roman"/>
        </w:rPr>
        <w:t xml:space="preserve">be </w:t>
      </w:r>
      <w:r w:rsidR="00416D0A" w:rsidRPr="000337D1">
        <w:rPr>
          <w:rFonts w:cs="Times New Roman"/>
          <w:i/>
        </w:rPr>
        <w:t>more likely</w:t>
      </w:r>
      <w:r w:rsidR="00416D0A">
        <w:rPr>
          <w:rFonts w:cs="Times New Roman"/>
        </w:rPr>
        <w:t xml:space="preserve"> </w:t>
      </w:r>
      <w:r w:rsidR="00C701B6">
        <w:rPr>
          <w:rFonts w:cs="Times New Roman"/>
        </w:rPr>
        <w:t xml:space="preserve">than readers in the source language </w:t>
      </w:r>
      <w:r w:rsidR="00416D0A">
        <w:rPr>
          <w:rFonts w:cs="Times New Roman"/>
        </w:rPr>
        <w:t xml:space="preserve">to receive the message intended by </w:t>
      </w:r>
      <w:r w:rsidR="00C701B6">
        <w:rPr>
          <w:rFonts w:cs="Times New Roman"/>
        </w:rPr>
        <w:t xml:space="preserve">the </w:t>
      </w:r>
      <w:r w:rsidR="00416D0A" w:rsidRPr="000337D1">
        <w:rPr>
          <w:rFonts w:cs="Times New Roman"/>
          <w:i/>
        </w:rPr>
        <w:t>writers</w:t>
      </w:r>
      <w:r w:rsidR="00416D0A">
        <w:rPr>
          <w:rFonts w:cs="Times New Roman"/>
        </w:rPr>
        <w:t xml:space="preserve"> in the source language.</w:t>
      </w:r>
      <w:r w:rsidR="00601E4B">
        <w:rPr>
          <w:rFonts w:cs="Times New Roman"/>
        </w:rPr>
        <w:t xml:space="preserve"> </w:t>
      </w:r>
      <w:r w:rsidR="005E3AC1">
        <w:rPr>
          <w:rFonts w:cs="Times New Roman"/>
        </w:rPr>
        <w:t>For example, this would be</w:t>
      </w:r>
      <w:r w:rsidR="00601E4B">
        <w:rPr>
          <w:rFonts w:cs="Times New Roman"/>
        </w:rPr>
        <w:t xml:space="preserve"> the case when translators </w:t>
      </w:r>
      <w:r w:rsidR="006841CF">
        <w:rPr>
          <w:rFonts w:cs="Times New Roman"/>
        </w:rPr>
        <w:t xml:space="preserve">from English </w:t>
      </w:r>
      <w:r w:rsidR="00601E4B">
        <w:rPr>
          <w:rFonts w:cs="Times New Roman"/>
        </w:rPr>
        <w:t>avoid a literal translation of “depreciation”</w:t>
      </w:r>
      <w:r w:rsidR="005F6173">
        <w:rPr>
          <w:rFonts w:cs="Times New Roman"/>
        </w:rPr>
        <w:t xml:space="preserve"> and focus </w:t>
      </w:r>
      <w:r w:rsidR="00EB7FA8">
        <w:rPr>
          <w:rFonts w:cs="Times New Roman"/>
        </w:rPr>
        <w:t xml:space="preserve">instead </w:t>
      </w:r>
      <w:r w:rsidR="005F6173">
        <w:rPr>
          <w:rFonts w:cs="Times New Roman"/>
        </w:rPr>
        <w:t xml:space="preserve">on </w:t>
      </w:r>
      <w:r w:rsidR="00EB7FA8">
        <w:rPr>
          <w:rFonts w:cs="Times New Roman"/>
        </w:rPr>
        <w:t>the process of the asset</w:t>
      </w:r>
      <w:r w:rsidR="00457880">
        <w:rPr>
          <w:rFonts w:cs="Times New Roman"/>
        </w:rPr>
        <w:t>’s</w:t>
      </w:r>
      <w:r w:rsidR="00EB7FA8">
        <w:rPr>
          <w:rFonts w:cs="Times New Roman"/>
        </w:rPr>
        <w:t xml:space="preserve"> </w:t>
      </w:r>
      <w:r w:rsidR="005F6173">
        <w:rPr>
          <w:rFonts w:cs="Times New Roman"/>
        </w:rPr>
        <w:t>dying</w:t>
      </w:r>
      <w:r w:rsidR="00601E4B">
        <w:rPr>
          <w:rFonts w:cs="Times New Roman"/>
        </w:rPr>
        <w:t>.</w:t>
      </w:r>
    </w:p>
    <w:p w14:paraId="190876F1" w14:textId="5D79A301" w:rsidR="00F63030" w:rsidRDefault="008C3040" w:rsidP="00F63030">
      <w:pPr>
        <w:pStyle w:val="Heading1"/>
        <w:rPr>
          <w:rFonts w:cs="Times New Roman"/>
          <w:szCs w:val="22"/>
          <w:lang w:eastAsia="en-GB"/>
        </w:rPr>
      </w:pPr>
      <w:r>
        <w:rPr>
          <w:rFonts w:cs="Times New Roman"/>
          <w:szCs w:val="22"/>
          <w:lang w:eastAsia="en-GB"/>
        </w:rPr>
        <w:t>4</w:t>
      </w:r>
      <w:r w:rsidR="00F63030">
        <w:rPr>
          <w:rFonts w:cs="Times New Roman"/>
          <w:szCs w:val="22"/>
          <w:lang w:eastAsia="en-GB"/>
        </w:rPr>
        <w:t xml:space="preserve">. </w:t>
      </w:r>
      <w:r w:rsidR="0092135F">
        <w:rPr>
          <w:rFonts w:cs="Times New Roman"/>
          <w:szCs w:val="22"/>
          <w:lang w:eastAsia="en-GB"/>
        </w:rPr>
        <w:t>A</w:t>
      </w:r>
      <w:r w:rsidR="00F63030">
        <w:rPr>
          <w:rFonts w:cs="Times New Roman"/>
          <w:szCs w:val="22"/>
          <w:lang w:eastAsia="en-GB"/>
        </w:rPr>
        <w:t xml:space="preserve">nnual </w:t>
      </w:r>
      <w:r w:rsidR="00F63030" w:rsidRPr="00BC4AC6">
        <w:rPr>
          <w:rFonts w:cs="Times New Roman"/>
          <w:szCs w:val="22"/>
          <w:lang w:eastAsia="en-GB"/>
        </w:rPr>
        <w:t>reports translated into English</w:t>
      </w:r>
      <w:r>
        <w:rPr>
          <w:rFonts w:cs="Times New Roman"/>
          <w:szCs w:val="22"/>
          <w:lang w:eastAsia="en-GB"/>
        </w:rPr>
        <w:t xml:space="preserve">: prior literature and </w:t>
      </w:r>
      <w:r w:rsidR="00C271C0">
        <w:rPr>
          <w:rFonts w:cs="Times New Roman"/>
          <w:szCs w:val="22"/>
          <w:lang w:eastAsia="en-GB"/>
        </w:rPr>
        <w:t>setting up our investigation</w:t>
      </w:r>
    </w:p>
    <w:p w14:paraId="22E650FA" w14:textId="70D2E077" w:rsidR="00217D5F" w:rsidRPr="00217D5F" w:rsidRDefault="00217D5F" w:rsidP="00B06343">
      <w:pPr>
        <w:pStyle w:val="Heading2"/>
      </w:pPr>
      <w:r>
        <w:t>4.1 Literature on translated annual reports</w:t>
      </w:r>
    </w:p>
    <w:p w14:paraId="2BA3987B" w14:textId="10B67018" w:rsidR="008C3040" w:rsidRDefault="008C3040" w:rsidP="008C3040">
      <w:pPr>
        <w:ind w:firstLine="720"/>
        <w:rPr>
          <w:rFonts w:cs="Times New Roman"/>
        </w:rPr>
      </w:pPr>
      <w:r w:rsidRPr="00BC4AC6">
        <w:rPr>
          <w:rFonts w:cs="Times New Roman"/>
        </w:rPr>
        <w:t xml:space="preserve">Nearly all the literature about translation and accounting concerns regulations. There has been little examination of </w:t>
      </w:r>
      <w:r w:rsidR="006841CF">
        <w:rPr>
          <w:rFonts w:cs="Times New Roman"/>
        </w:rPr>
        <w:t xml:space="preserve">the </w:t>
      </w:r>
      <w:r w:rsidRPr="00BC4AC6">
        <w:rPr>
          <w:rFonts w:cs="Times New Roman"/>
        </w:rPr>
        <w:t>translat</w:t>
      </w:r>
      <w:r>
        <w:rPr>
          <w:rFonts w:cs="Times New Roman"/>
        </w:rPr>
        <w:t>ed</w:t>
      </w:r>
      <w:r w:rsidRPr="00BC4AC6">
        <w:rPr>
          <w:rFonts w:cs="Times New Roman"/>
        </w:rPr>
        <w:t xml:space="preserve"> annual reports</w:t>
      </w:r>
      <w:r>
        <w:rPr>
          <w:rFonts w:cs="Times New Roman"/>
        </w:rPr>
        <w:t xml:space="preserve"> which</w:t>
      </w:r>
      <w:r w:rsidRPr="00BC4AC6">
        <w:rPr>
          <w:rFonts w:cs="Times New Roman"/>
        </w:rPr>
        <w:t xml:space="preserve"> </w:t>
      </w:r>
      <w:r>
        <w:rPr>
          <w:rFonts w:cs="Times New Roman"/>
        </w:rPr>
        <w:t>many firms provide</w:t>
      </w:r>
      <w:r w:rsidRPr="00BC4AC6">
        <w:rPr>
          <w:rFonts w:cs="Times New Roman"/>
        </w:rPr>
        <w:t xml:space="preserve">. </w:t>
      </w:r>
      <w:r>
        <w:rPr>
          <w:rFonts w:cs="Times New Roman"/>
        </w:rPr>
        <w:t xml:space="preserve">However, Parker (2000) </w:t>
      </w:r>
      <w:r w:rsidR="006841CF">
        <w:rPr>
          <w:rFonts w:cs="Times New Roman"/>
        </w:rPr>
        <w:t>looks at</w:t>
      </w:r>
      <w:r>
        <w:rPr>
          <w:rFonts w:cs="Times New Roman"/>
        </w:rPr>
        <w:t xml:space="preserve"> the popularity of English as a target language for annual reports</w:t>
      </w:r>
      <w:r w:rsidR="006841CF">
        <w:rPr>
          <w:rFonts w:cs="Times New Roman"/>
        </w:rPr>
        <w:t>;</w:t>
      </w:r>
      <w:r>
        <w:rPr>
          <w:rFonts w:cs="Times New Roman"/>
        </w:rPr>
        <w:t xml:space="preserve"> Jeanjean, Lesage and Stolowy (2010) explain why certain firms choose to publish </w:t>
      </w:r>
      <w:r w:rsidR="006841CF">
        <w:rPr>
          <w:rFonts w:cs="Times New Roman"/>
        </w:rPr>
        <w:t>such</w:t>
      </w:r>
      <w:r>
        <w:rPr>
          <w:rFonts w:cs="Times New Roman"/>
        </w:rPr>
        <w:t xml:space="preserve"> translations; and</w:t>
      </w:r>
      <w:r w:rsidRPr="00E44F16">
        <w:t xml:space="preserve"> </w:t>
      </w:r>
      <w:r w:rsidRPr="00763780">
        <w:t xml:space="preserve">Jeanjean, Stolowy, Erkens and Yohn (2015) find that there are economic benefits </w:t>
      </w:r>
      <w:r w:rsidRPr="00E44F16">
        <w:t xml:space="preserve">from doing </w:t>
      </w:r>
      <w:r w:rsidR="006841CF">
        <w:t>it</w:t>
      </w:r>
      <w:r w:rsidRPr="00E44F16">
        <w:rPr>
          <w:rFonts w:cs="Times New Roman"/>
        </w:rPr>
        <w:t>.</w:t>
      </w:r>
      <w:r>
        <w:rPr>
          <w:rFonts w:cs="Times New Roman"/>
        </w:rPr>
        <w:t xml:space="preserve"> None of these papers examines the </w:t>
      </w:r>
      <w:r w:rsidRPr="00F2693B">
        <w:rPr>
          <w:rFonts w:cs="Times New Roman"/>
          <w:i/>
        </w:rPr>
        <w:t xml:space="preserve">contents </w:t>
      </w:r>
      <w:r>
        <w:rPr>
          <w:rFonts w:cs="Times New Roman"/>
        </w:rPr>
        <w:t>of the translated annual reports</w:t>
      </w:r>
      <w:r w:rsidR="00096937">
        <w:rPr>
          <w:rFonts w:cs="Times New Roman"/>
        </w:rPr>
        <w:t xml:space="preserve">, </w:t>
      </w:r>
      <w:r w:rsidR="003B5E6A">
        <w:rPr>
          <w:rFonts w:cs="Times New Roman"/>
        </w:rPr>
        <w:t>though</w:t>
      </w:r>
      <w:r>
        <w:rPr>
          <w:rFonts w:cs="Times New Roman"/>
        </w:rPr>
        <w:t xml:space="preserve"> Mourier (2004) looks at problems met when translating Danish annual reports into English, referring to a few example firms.</w:t>
      </w:r>
    </w:p>
    <w:p w14:paraId="45A76017" w14:textId="66D50417" w:rsidR="009861F8" w:rsidRDefault="008C3040" w:rsidP="009861F8">
      <w:pPr>
        <w:ind w:firstLine="720"/>
        <w:rPr>
          <w:rFonts w:cs="Times New Roman"/>
        </w:rPr>
      </w:pPr>
      <w:r w:rsidRPr="00BC4AC6">
        <w:rPr>
          <w:rFonts w:cs="Times New Roman"/>
        </w:rPr>
        <w:t>Archer and McLeay (1991) studied</w:t>
      </w:r>
      <w:r>
        <w:rPr>
          <w:rFonts w:cs="Times New Roman"/>
        </w:rPr>
        <w:t xml:space="preserve"> </w:t>
      </w:r>
      <w:r w:rsidR="003B5E6A">
        <w:rPr>
          <w:rFonts w:cs="Times New Roman"/>
        </w:rPr>
        <w:t xml:space="preserve">the </w:t>
      </w:r>
      <w:r w:rsidRPr="00BC4AC6">
        <w:rPr>
          <w:rFonts w:cs="Times New Roman"/>
        </w:rPr>
        <w:t xml:space="preserve">translated </w:t>
      </w:r>
      <w:r w:rsidRPr="00896C2A">
        <w:rPr>
          <w:rFonts w:cs="Times New Roman"/>
          <w:i/>
        </w:rPr>
        <w:t>audit</w:t>
      </w:r>
      <w:r>
        <w:rPr>
          <w:rFonts w:cs="Times New Roman"/>
        </w:rPr>
        <w:t xml:space="preserve"> reports provided </w:t>
      </w:r>
      <w:r w:rsidRPr="00BC4AC6">
        <w:rPr>
          <w:rFonts w:cs="Times New Roman"/>
        </w:rPr>
        <w:t xml:space="preserve">by 206 European listed </w:t>
      </w:r>
      <w:r>
        <w:rPr>
          <w:rFonts w:cs="Times New Roman"/>
        </w:rPr>
        <w:t xml:space="preserve">firms, </w:t>
      </w:r>
      <w:r w:rsidRPr="00BC4AC6">
        <w:rPr>
          <w:rFonts w:cs="Times New Roman"/>
        </w:rPr>
        <w:t>reveal</w:t>
      </w:r>
      <w:r>
        <w:rPr>
          <w:rFonts w:cs="Times New Roman"/>
        </w:rPr>
        <w:t>ing</w:t>
      </w:r>
      <w:r w:rsidRPr="00BC4AC6">
        <w:rPr>
          <w:rFonts w:cs="Times New Roman"/>
        </w:rPr>
        <w:t xml:space="preserve"> the infelicities th</w:t>
      </w:r>
      <w:r>
        <w:rPr>
          <w:rFonts w:cs="Times New Roman"/>
        </w:rPr>
        <w:t>at result from attempting literal</w:t>
      </w:r>
      <w:r w:rsidRPr="00BC4AC6">
        <w:rPr>
          <w:rFonts w:cs="Times New Roman"/>
        </w:rPr>
        <w:t xml:space="preserve"> translation. They also conclude that there is some transnational sharing of accounting register</w:t>
      </w:r>
      <w:r>
        <w:rPr>
          <w:rFonts w:cs="Times New Roman"/>
        </w:rPr>
        <w:t>s</w:t>
      </w:r>
      <w:r w:rsidRPr="00BC4AC6">
        <w:rPr>
          <w:rFonts w:cs="Times New Roman"/>
        </w:rPr>
        <w:t xml:space="preserve"> but that it is incomplete.</w:t>
      </w:r>
      <w:r w:rsidRPr="00A47E3C">
        <w:rPr>
          <w:rFonts w:cs="Times New Roman"/>
        </w:rPr>
        <w:t xml:space="preserve"> </w:t>
      </w:r>
      <w:r>
        <w:rPr>
          <w:rFonts w:cs="Times New Roman"/>
        </w:rPr>
        <w:t xml:space="preserve">On the issue of TFV, Zeff </w:t>
      </w:r>
      <w:r w:rsidRPr="00A00317">
        <w:rPr>
          <w:rFonts w:cs="Times New Roman"/>
          <w:i/>
        </w:rPr>
        <w:t>et al.</w:t>
      </w:r>
      <w:r>
        <w:rPr>
          <w:rFonts w:cs="Times New Roman"/>
        </w:rPr>
        <w:t xml:space="preserve"> (1999</w:t>
      </w:r>
      <w:r w:rsidRPr="00BC4AC6">
        <w:rPr>
          <w:rFonts w:cs="Times New Roman"/>
        </w:rPr>
        <w:t>)</w:t>
      </w:r>
      <w:r>
        <w:rPr>
          <w:rFonts w:cs="Times New Roman"/>
        </w:rPr>
        <w:t xml:space="preserve"> explain that Dutch law retains an earlier requirement for financial statements to enable an “</w:t>
      </w:r>
      <w:r w:rsidRPr="00141A10">
        <w:rPr>
          <w:rFonts w:cs="Times New Roman"/>
          <w:i/>
        </w:rPr>
        <w:t>inzicht</w:t>
      </w:r>
      <w:r>
        <w:rPr>
          <w:rFonts w:cs="Times New Roman"/>
        </w:rPr>
        <w:t>”</w:t>
      </w:r>
      <w:r w:rsidRPr="00BC4AC6">
        <w:rPr>
          <w:rFonts w:cs="Times New Roman"/>
        </w:rPr>
        <w:t xml:space="preserve"> </w:t>
      </w:r>
      <w:r>
        <w:rPr>
          <w:rFonts w:cs="Times New Roman"/>
        </w:rPr>
        <w:t>(insight) into the firm whereas the audit report refers to “</w:t>
      </w:r>
      <w:r w:rsidRPr="00141A10">
        <w:rPr>
          <w:rFonts w:cs="Times New Roman"/>
          <w:i/>
        </w:rPr>
        <w:t>een getrouw beeld</w:t>
      </w:r>
      <w:r>
        <w:rPr>
          <w:rFonts w:cs="Times New Roman"/>
        </w:rPr>
        <w:t>”</w:t>
      </w:r>
      <w:r w:rsidRPr="00BC4AC6">
        <w:rPr>
          <w:rFonts w:cs="Times New Roman"/>
        </w:rPr>
        <w:t xml:space="preserve"> </w:t>
      </w:r>
      <w:r>
        <w:rPr>
          <w:rFonts w:cs="Times New Roman"/>
        </w:rPr>
        <w:t xml:space="preserve">(the </w:t>
      </w:r>
      <w:r w:rsidR="00096937">
        <w:rPr>
          <w:rFonts w:cs="Times New Roman"/>
        </w:rPr>
        <w:t xml:space="preserve">EU </w:t>
      </w:r>
      <w:r>
        <w:rPr>
          <w:rFonts w:cs="Times New Roman"/>
        </w:rPr>
        <w:t>Directive’s version of TFV in Dutch). They note (p. 524) that, when Dutch firms provide English translations of the reports, b</w:t>
      </w:r>
      <w:r w:rsidRPr="00BC4AC6">
        <w:rPr>
          <w:rFonts w:cs="Times New Roman"/>
        </w:rPr>
        <w:t xml:space="preserve">oth </w:t>
      </w:r>
      <w:r w:rsidR="007C3342">
        <w:rPr>
          <w:rFonts w:cs="Times New Roman"/>
        </w:rPr>
        <w:t>term</w:t>
      </w:r>
      <w:r>
        <w:rPr>
          <w:rFonts w:cs="Times New Roman"/>
        </w:rPr>
        <w:t xml:space="preserve">s are generally </w:t>
      </w:r>
      <w:r w:rsidRPr="00BC4AC6">
        <w:rPr>
          <w:rFonts w:cs="Times New Roman"/>
        </w:rPr>
        <w:t>translate</w:t>
      </w:r>
      <w:r>
        <w:rPr>
          <w:rFonts w:cs="Times New Roman"/>
        </w:rPr>
        <w:t xml:space="preserve">d </w:t>
      </w:r>
      <w:r w:rsidRPr="00BC4AC6">
        <w:rPr>
          <w:rFonts w:cs="Times New Roman"/>
        </w:rPr>
        <w:t>as TFV.</w:t>
      </w:r>
      <w:r w:rsidRPr="00E64700">
        <w:rPr>
          <w:rFonts w:cs="Times New Roman"/>
        </w:rPr>
        <w:t xml:space="preserve"> </w:t>
      </w:r>
      <w:r>
        <w:rPr>
          <w:rFonts w:cs="Times New Roman"/>
        </w:rPr>
        <w:t>Campbell, Beck and Shrives (2005) examine the voluntary environmental disclosures provided by German firms. They compare the original German with the translated English disclosures. They comment mainly on issues such as comparative word length and whether the two versions cover the same issues, rather than on the quality of the translation of particular words.</w:t>
      </w:r>
    </w:p>
    <w:p w14:paraId="6B404648" w14:textId="7C612BFA" w:rsidR="0092135F" w:rsidRPr="009861F8" w:rsidRDefault="008C3040" w:rsidP="009861F8">
      <w:pPr>
        <w:ind w:firstLine="720"/>
        <w:rPr>
          <w:rFonts w:cs="Times New Roman"/>
        </w:rPr>
      </w:pPr>
      <w:r>
        <w:rPr>
          <w:rFonts w:cs="Times New Roman"/>
        </w:rPr>
        <w:t>Thus</w:t>
      </w:r>
      <w:r w:rsidR="0092135F">
        <w:rPr>
          <w:rFonts w:cs="Times New Roman"/>
        </w:rPr>
        <w:t>,</w:t>
      </w:r>
      <w:r>
        <w:rPr>
          <w:rFonts w:cs="Times New Roman"/>
        </w:rPr>
        <w:t xml:space="preserve"> the topic of the quality of translated financial statements and related notes has been the subject of very little research,</w:t>
      </w:r>
      <w:r w:rsidRPr="008150B2">
        <w:rPr>
          <w:rFonts w:cs="Times New Roman"/>
        </w:rPr>
        <w:t xml:space="preserve"> </w:t>
      </w:r>
      <w:r>
        <w:rPr>
          <w:rFonts w:cs="Times New Roman"/>
        </w:rPr>
        <w:t xml:space="preserve">and the </w:t>
      </w:r>
      <w:r w:rsidR="003B5E6A">
        <w:rPr>
          <w:rFonts w:cs="Times New Roman"/>
        </w:rPr>
        <w:t xml:space="preserve">few </w:t>
      </w:r>
      <w:r>
        <w:rPr>
          <w:rFonts w:cs="Times New Roman"/>
        </w:rPr>
        <w:t xml:space="preserve">existing papers use </w:t>
      </w:r>
      <w:r w:rsidRPr="00896C2A">
        <w:rPr>
          <w:rFonts w:cs="Times New Roman"/>
          <w:i/>
        </w:rPr>
        <w:t>ad hoc</w:t>
      </w:r>
      <w:r>
        <w:rPr>
          <w:rFonts w:cs="Times New Roman"/>
        </w:rPr>
        <w:t xml:space="preserve"> examples rather than providing a systematic study of a substantial sample of firms. </w:t>
      </w:r>
      <w:r w:rsidR="0092135F">
        <w:rPr>
          <w:rFonts w:cs="Times New Roman"/>
        </w:rPr>
        <w:t xml:space="preserve">This is the context for </w:t>
      </w:r>
      <w:r w:rsidR="0092135F">
        <w:rPr>
          <w:rFonts w:eastAsia="Times New Roman" w:cs="Times New Roman"/>
          <w:lang w:eastAsia="en-GB"/>
        </w:rPr>
        <w:t xml:space="preserve">our </w:t>
      </w:r>
      <w:r w:rsidR="00F63030">
        <w:rPr>
          <w:rFonts w:eastAsia="Times New Roman" w:cs="Times New Roman"/>
          <w:lang w:eastAsia="en-GB"/>
        </w:rPr>
        <w:t xml:space="preserve">investigation of the </w:t>
      </w:r>
      <w:r w:rsidR="007C3342">
        <w:rPr>
          <w:rFonts w:eastAsia="Times New Roman" w:cs="Times New Roman"/>
          <w:lang w:eastAsia="en-GB"/>
        </w:rPr>
        <w:t>term</w:t>
      </w:r>
      <w:r w:rsidR="00F63030">
        <w:rPr>
          <w:rFonts w:eastAsia="Times New Roman" w:cs="Times New Roman"/>
          <w:lang w:eastAsia="en-GB"/>
        </w:rPr>
        <w:t>s used for impairment in corporate annual reports that are translated into English</w:t>
      </w:r>
      <w:r w:rsidR="0092135F">
        <w:rPr>
          <w:rFonts w:eastAsia="Times New Roman" w:cs="Times New Roman"/>
          <w:lang w:eastAsia="en-GB"/>
        </w:rPr>
        <w:t>, to which we now turn</w:t>
      </w:r>
      <w:r w:rsidR="00F63030">
        <w:rPr>
          <w:rFonts w:eastAsia="Times New Roman" w:cs="Times New Roman"/>
          <w:lang w:eastAsia="en-GB"/>
        </w:rPr>
        <w:t>.</w:t>
      </w:r>
    </w:p>
    <w:p w14:paraId="58E0CCCB" w14:textId="232DB22A" w:rsidR="0092135F" w:rsidRPr="0092135F" w:rsidRDefault="0092135F" w:rsidP="0092135F">
      <w:pPr>
        <w:pStyle w:val="Heading2"/>
      </w:pPr>
      <w:r>
        <w:t>4.2 Setting up our investigation</w:t>
      </w:r>
      <w:r w:rsidR="00DA56C1">
        <w:t>: sample and data</w:t>
      </w:r>
    </w:p>
    <w:p w14:paraId="4297996B" w14:textId="6E04BD0B" w:rsidR="009B5375" w:rsidRPr="0092135F" w:rsidRDefault="00F63030" w:rsidP="006C6841">
      <w:pPr>
        <w:ind w:firstLine="720"/>
        <w:rPr>
          <w:rFonts w:cs="Times New Roman"/>
        </w:rPr>
      </w:pPr>
      <w:r>
        <w:rPr>
          <w:rFonts w:eastAsia="Times New Roman" w:cs="Times New Roman"/>
          <w:lang w:eastAsia="en-GB"/>
        </w:rPr>
        <w:t>We study the notes related to impairment of property, plant and equipment (PPE)</w:t>
      </w:r>
      <w:r w:rsidR="0092135F">
        <w:rPr>
          <w:rFonts w:eastAsia="Times New Roman" w:cs="Times New Roman"/>
          <w:lang w:eastAsia="en-GB"/>
        </w:rPr>
        <w:t xml:space="preserve"> in</w:t>
      </w:r>
      <w:r w:rsidRPr="00BC4AC6">
        <w:rPr>
          <w:rFonts w:eastAsia="Times New Roman" w:cs="Times New Roman"/>
          <w:lang w:eastAsia="en-GB"/>
        </w:rPr>
        <w:t xml:space="preserve"> the IFRS </w:t>
      </w:r>
      <w:r>
        <w:rPr>
          <w:rFonts w:eastAsia="Times New Roman" w:cs="Times New Roman"/>
          <w:lang w:eastAsia="en-GB"/>
        </w:rPr>
        <w:t>reports</w:t>
      </w:r>
      <w:r w:rsidRPr="00BC4AC6">
        <w:rPr>
          <w:rFonts w:eastAsia="Times New Roman" w:cs="Times New Roman"/>
          <w:lang w:eastAsia="en-GB"/>
        </w:rPr>
        <w:t xml:space="preserve"> of listed firms from </w:t>
      </w:r>
      <w:r>
        <w:rPr>
          <w:rFonts w:eastAsia="Times New Roman" w:cs="Times New Roman"/>
          <w:lang w:eastAsia="en-GB"/>
        </w:rPr>
        <w:t>eleven</w:t>
      </w:r>
      <w:r w:rsidRPr="00BC4AC6">
        <w:rPr>
          <w:rFonts w:eastAsia="Times New Roman" w:cs="Times New Roman"/>
          <w:lang w:eastAsia="en-GB"/>
        </w:rPr>
        <w:t xml:space="preserve"> </w:t>
      </w:r>
      <w:r>
        <w:rPr>
          <w:rFonts w:eastAsia="Times New Roman" w:cs="Times New Roman"/>
          <w:lang w:eastAsia="en-GB"/>
        </w:rPr>
        <w:t>non-anglophone</w:t>
      </w:r>
      <w:r w:rsidRPr="00BC4AC6">
        <w:rPr>
          <w:rFonts w:eastAsia="Times New Roman" w:cs="Times New Roman"/>
          <w:lang w:eastAsia="en-GB"/>
        </w:rPr>
        <w:t xml:space="preserve"> </w:t>
      </w:r>
      <w:r w:rsidR="00A879C7">
        <w:rPr>
          <w:rFonts w:eastAsia="Times New Roman" w:cs="Times New Roman"/>
          <w:lang w:eastAsia="en-GB"/>
        </w:rPr>
        <w:t>jurisdictions (hereafter ‘</w:t>
      </w:r>
      <w:r w:rsidRPr="00BC4AC6">
        <w:rPr>
          <w:rFonts w:eastAsia="Times New Roman" w:cs="Times New Roman"/>
          <w:lang w:eastAsia="en-GB"/>
        </w:rPr>
        <w:t>countries</w:t>
      </w:r>
      <w:r w:rsidR="00A879C7">
        <w:rPr>
          <w:rFonts w:eastAsia="Times New Roman" w:cs="Times New Roman"/>
          <w:lang w:eastAsia="en-GB"/>
        </w:rPr>
        <w:t>’)</w:t>
      </w:r>
      <w:r w:rsidRPr="00BC4AC6">
        <w:rPr>
          <w:rFonts w:eastAsia="Times New Roman" w:cs="Times New Roman"/>
          <w:lang w:eastAsia="en-GB"/>
        </w:rPr>
        <w:t xml:space="preserve">: </w:t>
      </w:r>
      <w:r>
        <w:rPr>
          <w:rFonts w:eastAsia="Times New Roman" w:cs="Times New Roman"/>
          <w:lang w:eastAsia="en-GB"/>
        </w:rPr>
        <w:t xml:space="preserve">Brazil (BR), </w:t>
      </w:r>
      <w:r w:rsidRPr="00BC4AC6">
        <w:rPr>
          <w:rFonts w:cs="Times New Roman"/>
        </w:rPr>
        <w:t xml:space="preserve">Switzerland (CH), China (CN), Germany (DE), Spain (ES), France (FR), </w:t>
      </w:r>
      <w:r>
        <w:rPr>
          <w:rFonts w:cs="Times New Roman"/>
        </w:rPr>
        <w:t xml:space="preserve">Hong Kong (HK), </w:t>
      </w:r>
      <w:r w:rsidRPr="00BC4AC6">
        <w:rPr>
          <w:rFonts w:cs="Times New Roman"/>
        </w:rPr>
        <w:t>Italy (IT)</w:t>
      </w:r>
      <w:r>
        <w:rPr>
          <w:rFonts w:cs="Times New Roman"/>
        </w:rPr>
        <w:t>, Japan (JP), South Korea (KR) and</w:t>
      </w:r>
      <w:r w:rsidRPr="00BC4AC6">
        <w:rPr>
          <w:rFonts w:cs="Times New Roman"/>
        </w:rPr>
        <w:t xml:space="preserve"> Russia (RU)</w:t>
      </w:r>
      <w:r w:rsidRPr="00BC4AC6">
        <w:rPr>
          <w:rFonts w:eastAsia="Times New Roman" w:cs="Times New Roman"/>
          <w:lang w:eastAsia="en-GB"/>
        </w:rPr>
        <w:t xml:space="preserve">. </w:t>
      </w:r>
      <w:r w:rsidRPr="00BC4AC6">
        <w:rPr>
          <w:rFonts w:cs="Times New Roman"/>
        </w:rPr>
        <w:t xml:space="preserve">These are home to the largest stock markets </w:t>
      </w:r>
      <w:r>
        <w:rPr>
          <w:rFonts w:cs="Times New Roman"/>
        </w:rPr>
        <w:t xml:space="preserve">in the non-anglophone world </w:t>
      </w:r>
      <w:r w:rsidRPr="00BC4AC6">
        <w:rPr>
          <w:rFonts w:cs="Times New Roman"/>
        </w:rPr>
        <w:t>that</w:t>
      </w:r>
      <w:r w:rsidR="00DE463F">
        <w:rPr>
          <w:rFonts w:cs="Times New Roman"/>
        </w:rPr>
        <w:t>, by 2013,</w:t>
      </w:r>
      <w:r w:rsidRPr="00BC4AC6">
        <w:rPr>
          <w:rFonts w:cs="Times New Roman"/>
        </w:rPr>
        <w:t xml:space="preserve"> either </w:t>
      </w:r>
      <w:r>
        <w:rPr>
          <w:rFonts w:cs="Times New Roman"/>
        </w:rPr>
        <w:t>requir</w:t>
      </w:r>
      <w:r w:rsidRPr="00BC4AC6">
        <w:rPr>
          <w:rFonts w:cs="Times New Roman"/>
        </w:rPr>
        <w:t>ed IFRS or ha</w:t>
      </w:r>
      <w:r>
        <w:rPr>
          <w:rFonts w:cs="Times New Roman"/>
        </w:rPr>
        <w:t>d</w:t>
      </w:r>
      <w:r w:rsidRPr="00BC4AC6">
        <w:rPr>
          <w:rFonts w:cs="Times New Roman"/>
        </w:rPr>
        <w:t xml:space="preserve"> many large firms using IFRS. </w:t>
      </w:r>
      <w:r>
        <w:rPr>
          <w:rFonts w:cs="Times New Roman"/>
        </w:rPr>
        <w:t xml:space="preserve">The languages of all these countries </w:t>
      </w:r>
      <w:r w:rsidR="00C851CD">
        <w:rPr>
          <w:rFonts w:cs="Times New Roman"/>
        </w:rPr>
        <w:t>we</w:t>
      </w:r>
      <w:r>
        <w:rPr>
          <w:rFonts w:cs="Times New Roman"/>
        </w:rPr>
        <w:t xml:space="preserve">re included in our discussion of translations of IAS 36 in Section </w:t>
      </w:r>
      <w:r w:rsidR="0092135F">
        <w:rPr>
          <w:rFonts w:cs="Times New Roman"/>
        </w:rPr>
        <w:t>3</w:t>
      </w:r>
      <w:r>
        <w:rPr>
          <w:rFonts w:cs="Times New Roman"/>
        </w:rPr>
        <w:t xml:space="preserve">. </w:t>
      </w:r>
      <w:r>
        <w:rPr>
          <w:rFonts w:eastAsia="Times New Roman" w:cs="Times New Roman"/>
          <w:lang w:eastAsia="en-GB"/>
        </w:rPr>
        <w:t>For nine of the eleven countries, t</w:t>
      </w:r>
      <w:r w:rsidRPr="00BC4AC6">
        <w:rPr>
          <w:rFonts w:eastAsia="Times New Roman" w:cs="Times New Roman"/>
          <w:lang w:eastAsia="en-GB"/>
        </w:rPr>
        <w:t>he sample firms comprise the constituents of the major stock market index of the country, and therefore the number of firms per country varies.</w:t>
      </w:r>
      <w:r w:rsidRPr="00BC4AC6">
        <w:rPr>
          <w:rFonts w:eastAsia="Times New Roman" w:cs="Times New Roman"/>
          <w:vertAlign w:val="superscript"/>
          <w:lang w:eastAsia="en-GB"/>
        </w:rPr>
        <w:footnoteReference w:id="45"/>
      </w:r>
      <w:r w:rsidRPr="00BC4AC6">
        <w:rPr>
          <w:rFonts w:eastAsia="Times New Roman" w:cs="Times New Roman"/>
          <w:lang w:eastAsia="en-GB"/>
        </w:rPr>
        <w:t xml:space="preserve"> China is included by using the IFRS statements of Chinese firms listed </w:t>
      </w:r>
      <w:r w:rsidR="003D7542">
        <w:rPr>
          <w:rFonts w:eastAsia="Times New Roman" w:cs="Times New Roman"/>
          <w:lang w:eastAsia="en-GB"/>
        </w:rPr>
        <w:t xml:space="preserve">both </w:t>
      </w:r>
      <w:r w:rsidRPr="00BC4AC6">
        <w:rPr>
          <w:rFonts w:eastAsia="Times New Roman" w:cs="Times New Roman"/>
          <w:lang w:eastAsia="en-GB"/>
        </w:rPr>
        <w:t>on</w:t>
      </w:r>
      <w:r w:rsidR="003D7542">
        <w:rPr>
          <w:rFonts w:eastAsia="Times New Roman" w:cs="Times New Roman"/>
          <w:lang w:eastAsia="en-GB"/>
        </w:rPr>
        <w:t xml:space="preserve"> </w:t>
      </w:r>
      <w:r w:rsidRPr="00BC4AC6">
        <w:rPr>
          <w:rFonts w:eastAsia="Times New Roman" w:cs="Times New Roman"/>
          <w:lang w:eastAsia="en-GB"/>
        </w:rPr>
        <w:t>the Hong Kong Stock Exchange</w:t>
      </w:r>
      <w:r w:rsidR="00C11CBF">
        <w:rPr>
          <w:rFonts w:eastAsia="Times New Roman" w:cs="Times New Roman"/>
          <w:lang w:eastAsia="en-GB"/>
        </w:rPr>
        <w:t xml:space="preserve"> and in Mainland China (so-called ‘H Share companies’)</w:t>
      </w:r>
      <w:r w:rsidRPr="00BC4AC6">
        <w:rPr>
          <w:rFonts w:eastAsia="Times New Roman" w:cs="Times New Roman"/>
          <w:lang w:eastAsia="en-GB"/>
        </w:rPr>
        <w:t>.</w:t>
      </w:r>
      <w:r w:rsidR="007D5CDB">
        <w:rPr>
          <w:rStyle w:val="FootnoteReference"/>
          <w:rFonts w:eastAsia="Times New Roman" w:cs="Times New Roman"/>
          <w:lang w:eastAsia="en-GB"/>
        </w:rPr>
        <w:footnoteReference w:id="46"/>
      </w:r>
      <w:r>
        <w:rPr>
          <w:rFonts w:eastAsia="Times New Roman" w:cs="Times New Roman"/>
          <w:lang w:eastAsia="en-GB"/>
        </w:rPr>
        <w:t xml:space="preserve"> </w:t>
      </w:r>
      <w:r w:rsidRPr="00D3234C">
        <w:rPr>
          <w:rFonts w:eastAsia="Times New Roman" w:cs="Times New Roman"/>
          <w:lang w:eastAsia="en-GB"/>
        </w:rPr>
        <w:t xml:space="preserve">For Japan, we use the reports of those firms which </w:t>
      </w:r>
      <w:r>
        <w:rPr>
          <w:rFonts w:eastAsia="Times New Roman" w:cs="Times New Roman"/>
          <w:lang w:eastAsia="en-GB"/>
        </w:rPr>
        <w:t xml:space="preserve">had </w:t>
      </w:r>
      <w:r w:rsidRPr="00D3234C">
        <w:rPr>
          <w:rFonts w:eastAsia="Times New Roman" w:cs="Times New Roman"/>
          <w:lang w:eastAsia="en-GB"/>
        </w:rPr>
        <w:t>chose</w:t>
      </w:r>
      <w:r>
        <w:rPr>
          <w:rFonts w:eastAsia="Times New Roman" w:cs="Times New Roman"/>
          <w:lang w:eastAsia="en-GB"/>
        </w:rPr>
        <w:t>n</w:t>
      </w:r>
      <w:r w:rsidRPr="00D3234C">
        <w:rPr>
          <w:rFonts w:eastAsia="Times New Roman" w:cs="Times New Roman"/>
          <w:lang w:eastAsia="en-GB"/>
        </w:rPr>
        <w:t xml:space="preserve"> to use IFRS</w:t>
      </w:r>
      <w:r>
        <w:rPr>
          <w:rFonts w:eastAsia="Times New Roman" w:cs="Times New Roman"/>
          <w:lang w:eastAsia="en-GB"/>
        </w:rPr>
        <w:t xml:space="preserve"> by 2013</w:t>
      </w:r>
      <w:r w:rsidRPr="00D3234C">
        <w:rPr>
          <w:rFonts w:eastAsia="Times New Roman" w:cs="Times New Roman"/>
          <w:lang w:eastAsia="en-GB"/>
        </w:rPr>
        <w:t>.</w:t>
      </w:r>
      <w:r w:rsidRPr="00BC4AC6">
        <w:rPr>
          <w:rFonts w:eastAsia="Times New Roman" w:cs="Times New Roman"/>
          <w:lang w:eastAsia="en-GB"/>
        </w:rPr>
        <w:t xml:space="preserve"> In all cases, we analy</w:t>
      </w:r>
      <w:r w:rsidR="00894FDA">
        <w:rPr>
          <w:rFonts w:eastAsia="Times New Roman" w:cs="Times New Roman"/>
          <w:lang w:eastAsia="en-GB"/>
        </w:rPr>
        <w:t>s</w:t>
      </w:r>
      <w:r w:rsidRPr="00BC4AC6">
        <w:rPr>
          <w:rFonts w:eastAsia="Times New Roman" w:cs="Times New Roman"/>
          <w:lang w:eastAsia="en-GB"/>
        </w:rPr>
        <w:t>e firms using IFRS or versions of IFRS (e.g., EU-endorsed IFRS) which do not differ from IFRS for the issue which we investigate.</w:t>
      </w:r>
    </w:p>
    <w:p w14:paraId="74C7C654" w14:textId="4EDC9ACE" w:rsidR="00F63030" w:rsidRPr="00CF5A6E" w:rsidRDefault="00F63030" w:rsidP="00F63030">
      <w:pPr>
        <w:ind w:firstLine="567"/>
        <w:rPr>
          <w:rFonts w:cs="Times New Roman"/>
        </w:rPr>
      </w:pPr>
      <w:r w:rsidRPr="00BC4AC6">
        <w:rPr>
          <w:rFonts w:eastAsia="Times New Roman" w:cs="Times New Roman"/>
          <w:lang w:eastAsia="en-GB"/>
        </w:rPr>
        <w:t>Our sample period is 2005 to 2013</w:t>
      </w:r>
      <w:r w:rsidR="005E3AC1">
        <w:rPr>
          <w:rFonts w:eastAsia="Times New Roman" w:cs="Times New Roman"/>
          <w:lang w:eastAsia="en-GB"/>
        </w:rPr>
        <w:t>;</w:t>
      </w:r>
      <w:r w:rsidRPr="00BC4AC6">
        <w:rPr>
          <w:rFonts w:eastAsia="Times New Roman" w:cs="Times New Roman"/>
          <w:lang w:eastAsia="en-GB"/>
        </w:rPr>
        <w:t xml:space="preserve"> that is, we analy</w:t>
      </w:r>
      <w:r w:rsidR="00894FDA">
        <w:rPr>
          <w:rFonts w:eastAsia="Times New Roman" w:cs="Times New Roman"/>
          <w:lang w:eastAsia="en-GB"/>
        </w:rPr>
        <w:t>s</w:t>
      </w:r>
      <w:r w:rsidRPr="00BC4AC6">
        <w:rPr>
          <w:rFonts w:eastAsia="Times New Roman" w:cs="Times New Roman"/>
          <w:lang w:eastAsia="en-GB"/>
        </w:rPr>
        <w:t>e accounting periods ending on 31 December 2005 to those ending on 31 December 2013 or earliest thereafter.</w:t>
      </w:r>
      <w:r>
        <w:rPr>
          <w:rFonts w:eastAsia="Times New Roman" w:cs="Times New Roman"/>
          <w:lang w:eastAsia="en-GB"/>
        </w:rPr>
        <w:t xml:space="preserve"> </w:t>
      </w:r>
      <w:r w:rsidR="007D5CDB">
        <w:rPr>
          <w:rFonts w:eastAsia="Times New Roman" w:cs="Times New Roman"/>
          <w:lang w:eastAsia="en-GB"/>
        </w:rPr>
        <w:t xml:space="preserve">If a firm </w:t>
      </w:r>
      <w:r w:rsidR="0026093C">
        <w:rPr>
          <w:rFonts w:eastAsia="Times New Roman" w:cs="Times New Roman"/>
          <w:lang w:eastAsia="en-GB"/>
        </w:rPr>
        <w:t>w</w:t>
      </w:r>
      <w:r w:rsidR="007D5CDB">
        <w:rPr>
          <w:rFonts w:eastAsia="Times New Roman" w:cs="Times New Roman"/>
          <w:lang w:eastAsia="en-GB"/>
        </w:rPr>
        <w:t xml:space="preserve">as not listed by 2005 we use the first available </w:t>
      </w:r>
      <w:r w:rsidR="00C02821">
        <w:rPr>
          <w:rFonts w:eastAsia="Times New Roman" w:cs="Times New Roman"/>
          <w:lang w:eastAsia="en-GB"/>
        </w:rPr>
        <w:t>annual report</w:t>
      </w:r>
      <w:r w:rsidR="007D5CDB">
        <w:rPr>
          <w:rFonts w:eastAsia="Times New Roman" w:cs="Times New Roman"/>
          <w:lang w:eastAsia="en-GB"/>
        </w:rPr>
        <w:t xml:space="preserve">; and if a firm </w:t>
      </w:r>
      <w:r w:rsidR="00827235">
        <w:rPr>
          <w:rFonts w:eastAsia="Times New Roman" w:cs="Times New Roman"/>
          <w:lang w:eastAsia="en-GB"/>
        </w:rPr>
        <w:t>was</w:t>
      </w:r>
      <w:r w:rsidR="007D5CDB">
        <w:rPr>
          <w:rFonts w:eastAsia="Times New Roman" w:cs="Times New Roman"/>
          <w:lang w:eastAsia="en-GB"/>
        </w:rPr>
        <w:t xml:space="preserve"> delisted before 2013 we use the last available annual report.</w:t>
      </w:r>
      <w:r w:rsidR="009B5375" w:rsidRPr="009B5375">
        <w:rPr>
          <w:rFonts w:eastAsia="Times New Roman" w:cs="Times New Roman"/>
          <w:lang w:eastAsia="en-GB"/>
        </w:rPr>
        <w:t xml:space="preserve"> </w:t>
      </w:r>
      <w:r w:rsidR="009B5375">
        <w:rPr>
          <w:rFonts w:eastAsia="Times New Roman" w:cs="Times New Roman"/>
          <w:lang w:eastAsia="en-GB"/>
        </w:rPr>
        <w:t>For countries which adopted</w:t>
      </w:r>
      <w:r w:rsidR="00E87F12">
        <w:rPr>
          <w:rFonts w:eastAsia="Times New Roman" w:cs="Times New Roman"/>
          <w:lang w:eastAsia="en-GB"/>
        </w:rPr>
        <w:t xml:space="preserve"> or </w:t>
      </w:r>
      <w:r w:rsidR="00282274">
        <w:rPr>
          <w:rFonts w:eastAsia="Times New Roman" w:cs="Times New Roman"/>
          <w:lang w:eastAsia="en-GB"/>
        </w:rPr>
        <w:t>allowed</w:t>
      </w:r>
      <w:r w:rsidR="009B5375">
        <w:rPr>
          <w:rFonts w:eastAsia="Times New Roman" w:cs="Times New Roman"/>
          <w:lang w:eastAsia="en-GB"/>
        </w:rPr>
        <w:t xml:space="preserve"> IFRS </w:t>
      </w:r>
      <w:r w:rsidR="00E87F12">
        <w:rPr>
          <w:rFonts w:eastAsia="Times New Roman" w:cs="Times New Roman"/>
          <w:lang w:eastAsia="en-GB"/>
        </w:rPr>
        <w:t>later than</w:t>
      </w:r>
      <w:r w:rsidR="009B5375">
        <w:rPr>
          <w:rFonts w:eastAsia="Times New Roman" w:cs="Times New Roman"/>
          <w:lang w:eastAsia="en-GB"/>
        </w:rPr>
        <w:t xml:space="preserve"> 2005, our sample period is 2010 to 2013 for Brazil, 2011 to 2013 for South Korea and 2013 only for Japan.</w:t>
      </w:r>
    </w:p>
    <w:p w14:paraId="2F1068FF" w14:textId="2DDF9A05" w:rsidR="00F63030" w:rsidRPr="00BC4AC6" w:rsidRDefault="00F63030" w:rsidP="00F63030">
      <w:pPr>
        <w:ind w:firstLine="567"/>
        <w:rPr>
          <w:rFonts w:cs="Times New Roman"/>
        </w:rPr>
      </w:pPr>
      <w:r>
        <w:rPr>
          <w:rFonts w:eastAsia="Times New Roman" w:cs="Times New Roman"/>
          <w:lang w:eastAsia="en-GB"/>
        </w:rPr>
        <w:t xml:space="preserve">Our initial sample comprises 506 firms. </w:t>
      </w:r>
      <w:r w:rsidR="00DE463F">
        <w:rPr>
          <w:rFonts w:eastAsia="Times New Roman" w:cs="Times New Roman"/>
          <w:lang w:eastAsia="en-GB"/>
        </w:rPr>
        <w:t>However, s</w:t>
      </w:r>
      <w:r w:rsidRPr="00BC4AC6">
        <w:rPr>
          <w:rFonts w:eastAsia="Times New Roman" w:cs="Times New Roman"/>
          <w:lang w:eastAsia="en-GB"/>
        </w:rPr>
        <w:t>o that our country samples are as free as possible from foreign influence</w:t>
      </w:r>
      <w:r w:rsidRPr="00BC4AC6">
        <w:rPr>
          <w:rFonts w:cs="Times New Roman"/>
        </w:rPr>
        <w:t>, we eliminate foreign firms</w:t>
      </w:r>
      <w:r w:rsidR="009B5375">
        <w:rPr>
          <w:rFonts w:cs="Times New Roman"/>
        </w:rPr>
        <w:t xml:space="preserve"> (e.g. the Belgian Dexia </w:t>
      </w:r>
      <w:r w:rsidR="002B6285">
        <w:rPr>
          <w:rFonts w:cs="Times New Roman"/>
        </w:rPr>
        <w:t>which appeared in the French market index</w:t>
      </w:r>
      <w:r w:rsidR="009B5375">
        <w:rPr>
          <w:rFonts w:cs="Times New Roman"/>
        </w:rPr>
        <w:t>)</w:t>
      </w:r>
      <w:r w:rsidRPr="00BC4AC6">
        <w:rPr>
          <w:rFonts w:cs="Times New Roman"/>
        </w:rPr>
        <w:t>, subsidiaries of</w:t>
      </w:r>
      <w:r w:rsidR="00426BC9">
        <w:rPr>
          <w:rFonts w:cs="Times New Roman"/>
        </w:rPr>
        <w:t xml:space="preserve"> listed</w:t>
      </w:r>
      <w:r w:rsidRPr="00BC4AC6">
        <w:rPr>
          <w:rFonts w:cs="Times New Roman"/>
        </w:rPr>
        <w:t xml:space="preserve"> foreign firms</w:t>
      </w:r>
      <w:r w:rsidR="009B5375">
        <w:rPr>
          <w:rFonts w:cs="Times New Roman"/>
        </w:rPr>
        <w:t xml:space="preserve"> (e.g. Generali Deutschland</w:t>
      </w:r>
      <w:r w:rsidR="009B5375" w:rsidRPr="00857FF4">
        <w:rPr>
          <w:rFonts w:cs="Times New Roman"/>
        </w:rPr>
        <w:t xml:space="preserve"> in </w:t>
      </w:r>
      <w:r w:rsidR="009B5375">
        <w:rPr>
          <w:rFonts w:cs="Times New Roman"/>
        </w:rPr>
        <w:t>Germany</w:t>
      </w:r>
      <w:r w:rsidR="009B5375" w:rsidRPr="00857FF4">
        <w:rPr>
          <w:rFonts w:cs="Times New Roman"/>
        </w:rPr>
        <w:t xml:space="preserve"> because it is a subsidiary of the </w:t>
      </w:r>
      <w:r w:rsidR="009B5375">
        <w:rPr>
          <w:rFonts w:cs="Times New Roman"/>
        </w:rPr>
        <w:t>Italian</w:t>
      </w:r>
      <w:r w:rsidR="009B5375" w:rsidRPr="00857FF4">
        <w:rPr>
          <w:rFonts w:cs="Times New Roman"/>
        </w:rPr>
        <w:t xml:space="preserve"> </w:t>
      </w:r>
      <w:r w:rsidR="009B5375">
        <w:rPr>
          <w:rFonts w:cs="Times New Roman"/>
        </w:rPr>
        <w:t>Generali) and</w:t>
      </w:r>
      <w:r w:rsidRPr="00BC4AC6">
        <w:rPr>
          <w:rFonts w:cs="Times New Roman"/>
        </w:rPr>
        <w:t xml:space="preserve"> Hong Kong firms with Chinese ultimate parents </w:t>
      </w:r>
      <w:r w:rsidR="009B5375">
        <w:rPr>
          <w:rFonts w:cs="Times New Roman"/>
        </w:rPr>
        <w:t>(e.g. China Mobile)</w:t>
      </w:r>
      <w:r w:rsidRPr="00BC4AC6">
        <w:rPr>
          <w:rFonts w:cs="Times New Roman"/>
        </w:rPr>
        <w:t xml:space="preserve">. We also exclude subsidiaries of </w:t>
      </w:r>
      <w:r w:rsidRPr="00BC4AC6">
        <w:rPr>
          <w:rFonts w:cs="Times New Roman"/>
          <w:i/>
        </w:rPr>
        <w:t>domestic</w:t>
      </w:r>
      <w:r w:rsidRPr="00BC4AC6">
        <w:rPr>
          <w:rFonts w:cs="Times New Roman"/>
        </w:rPr>
        <w:t xml:space="preserve"> firms </w:t>
      </w:r>
      <w:r w:rsidR="0045238B">
        <w:rPr>
          <w:rFonts w:cs="Times New Roman"/>
        </w:rPr>
        <w:t xml:space="preserve">that are already </w:t>
      </w:r>
      <w:r w:rsidRPr="00BC4AC6">
        <w:rPr>
          <w:rFonts w:cs="Times New Roman"/>
        </w:rPr>
        <w:t>included in our sample</w:t>
      </w:r>
      <w:r w:rsidR="009B5375">
        <w:rPr>
          <w:rFonts w:cs="Times New Roman"/>
        </w:rPr>
        <w:t xml:space="preserve"> (e.g. </w:t>
      </w:r>
      <w:r w:rsidR="0045238B">
        <w:rPr>
          <w:rFonts w:cs="Times New Roman"/>
        </w:rPr>
        <w:t xml:space="preserve">we exclude </w:t>
      </w:r>
      <w:r w:rsidR="009B5375">
        <w:rPr>
          <w:rFonts w:cs="Times New Roman"/>
        </w:rPr>
        <w:t>Gazprom Neft in Russia because it is a subsidiary of Gazprom)</w:t>
      </w:r>
      <w:r w:rsidRPr="00BC4AC6">
        <w:rPr>
          <w:rFonts w:cs="Times New Roman"/>
        </w:rPr>
        <w:t>, so that we have independent observations. Additionally, we exclude firms</w:t>
      </w:r>
      <w:r w:rsidR="00DE463F">
        <w:rPr>
          <w:rFonts w:cs="Times New Roman"/>
        </w:rPr>
        <w:t xml:space="preserve"> </w:t>
      </w:r>
      <w:r w:rsidRPr="00BC4AC6">
        <w:rPr>
          <w:rFonts w:cs="Times New Roman"/>
        </w:rPr>
        <w:t>that use US GAAP in every year</w:t>
      </w:r>
      <w:r w:rsidR="009B5375">
        <w:rPr>
          <w:rFonts w:cs="Times New Roman"/>
        </w:rPr>
        <w:t xml:space="preserve">, firms where we cannot find </w:t>
      </w:r>
      <w:r w:rsidR="009B5375" w:rsidRPr="00BC4AC6">
        <w:rPr>
          <w:rFonts w:cs="Times New Roman"/>
        </w:rPr>
        <w:t>English language version</w:t>
      </w:r>
      <w:r w:rsidR="009B5375">
        <w:rPr>
          <w:rFonts w:cs="Times New Roman"/>
        </w:rPr>
        <w:t>s</w:t>
      </w:r>
      <w:r w:rsidR="00E87F12">
        <w:rPr>
          <w:rFonts w:cs="Times New Roman"/>
        </w:rPr>
        <w:t xml:space="preserve"> of</w:t>
      </w:r>
      <w:r w:rsidR="009B5375" w:rsidRPr="00BC4AC6">
        <w:rPr>
          <w:rFonts w:cs="Times New Roman"/>
        </w:rPr>
        <w:t xml:space="preserve"> </w:t>
      </w:r>
      <w:r w:rsidR="009B5375">
        <w:rPr>
          <w:rFonts w:cs="Times New Roman"/>
        </w:rPr>
        <w:t>their annual reports with the required data</w:t>
      </w:r>
      <w:r w:rsidRPr="00BC4AC6">
        <w:rPr>
          <w:rFonts w:cs="Times New Roman"/>
        </w:rPr>
        <w:t xml:space="preserve"> and </w:t>
      </w:r>
      <w:r w:rsidR="009B5375">
        <w:rPr>
          <w:rFonts w:cs="Times New Roman"/>
        </w:rPr>
        <w:t xml:space="preserve">firms </w:t>
      </w:r>
      <w:r>
        <w:rPr>
          <w:rFonts w:cs="Times New Roman"/>
        </w:rPr>
        <w:t>that do not have a PPE note in any of the sample years</w:t>
      </w:r>
      <w:r w:rsidRPr="00BC4AC6">
        <w:rPr>
          <w:rFonts w:cs="Times New Roman"/>
        </w:rPr>
        <w:t xml:space="preserve">. </w:t>
      </w:r>
      <w:r w:rsidR="009B5375">
        <w:rPr>
          <w:rFonts w:cs="Times New Roman"/>
        </w:rPr>
        <w:t>Finally, we exclude firms for which we have less than two years of data, except for Japan.</w:t>
      </w:r>
      <w:r w:rsidR="009B5375" w:rsidRPr="00BC4AC6">
        <w:rPr>
          <w:rFonts w:cs="Times New Roman"/>
        </w:rPr>
        <w:t xml:space="preserve"> </w:t>
      </w:r>
      <w:r w:rsidR="009B5375">
        <w:rPr>
          <w:rFonts w:cs="Times New Roman"/>
        </w:rPr>
        <w:t xml:space="preserve">The data for all of these filters is hand-collected. </w:t>
      </w:r>
      <w:r w:rsidRPr="00BC4AC6">
        <w:rPr>
          <w:rFonts w:cs="Times New Roman"/>
        </w:rPr>
        <w:t>Th</w:t>
      </w:r>
      <w:r w:rsidR="003E7C59">
        <w:rPr>
          <w:rFonts w:cs="Times New Roman"/>
        </w:rPr>
        <w:t>ese exclusions</w:t>
      </w:r>
      <w:r w:rsidRPr="00BC4AC6">
        <w:rPr>
          <w:rFonts w:cs="Times New Roman"/>
        </w:rPr>
        <w:t xml:space="preserve"> reduce our sample to </w:t>
      </w:r>
      <w:r>
        <w:rPr>
          <w:rFonts w:cs="Times New Roman"/>
        </w:rPr>
        <w:t>393</w:t>
      </w:r>
      <w:r w:rsidRPr="00BC4AC6">
        <w:rPr>
          <w:rFonts w:cs="Times New Roman"/>
        </w:rPr>
        <w:t xml:space="preserve"> firms.</w:t>
      </w:r>
    </w:p>
    <w:p w14:paraId="2398C871" w14:textId="5A33DC0C" w:rsidR="00F63030" w:rsidRPr="00BC4AC6" w:rsidRDefault="00F63030" w:rsidP="00F63030">
      <w:pPr>
        <w:ind w:firstLine="567"/>
        <w:rPr>
          <w:rFonts w:cs="Times New Roman"/>
        </w:rPr>
      </w:pPr>
      <w:r w:rsidRPr="00BC4AC6">
        <w:rPr>
          <w:rFonts w:cs="Times New Roman"/>
        </w:rPr>
        <w:t xml:space="preserve">In order to obtain data on the </w:t>
      </w:r>
      <w:r w:rsidR="007C3342">
        <w:rPr>
          <w:rFonts w:cs="Times New Roman"/>
        </w:rPr>
        <w:t>term</w:t>
      </w:r>
      <w:r w:rsidRPr="00BC4AC6">
        <w:rPr>
          <w:rFonts w:cs="Times New Roman"/>
        </w:rPr>
        <w:t>s used for impairment, we hand-collect from the English language version of the annual reports.</w:t>
      </w:r>
      <w:r>
        <w:rPr>
          <w:rFonts w:cs="Times New Roman"/>
        </w:rPr>
        <w:t xml:space="preserve"> We </w:t>
      </w:r>
      <w:r w:rsidR="00DF35AA">
        <w:rPr>
          <w:rFonts w:cs="Times New Roman"/>
        </w:rPr>
        <w:t xml:space="preserve">use </w:t>
      </w:r>
      <w:r>
        <w:rPr>
          <w:rFonts w:cs="Times New Roman"/>
        </w:rPr>
        <w:t>the first</w:t>
      </w:r>
      <w:r w:rsidR="00EC2621" w:rsidRPr="00EC2621">
        <w:rPr>
          <w:rFonts w:cs="Times New Roman"/>
        </w:rPr>
        <w:t xml:space="preserve"> </w:t>
      </w:r>
      <w:r w:rsidR="00EC2621">
        <w:rPr>
          <w:rFonts w:cs="Times New Roman"/>
        </w:rPr>
        <w:t>available annual report in our period</w:t>
      </w:r>
      <w:r>
        <w:rPr>
          <w:rFonts w:cs="Times New Roman"/>
        </w:rPr>
        <w:t xml:space="preserve"> (mostly</w:t>
      </w:r>
      <w:r w:rsidR="00DF35AA">
        <w:rPr>
          <w:rFonts w:cs="Times New Roman"/>
        </w:rPr>
        <w:t>,</w:t>
      </w:r>
      <w:r>
        <w:rPr>
          <w:rFonts w:cs="Times New Roman"/>
        </w:rPr>
        <w:t xml:space="preserve"> 2005</w:t>
      </w:r>
      <w:r w:rsidR="00EC2621">
        <w:rPr>
          <w:rFonts w:cs="Times New Roman"/>
        </w:rPr>
        <w:t xml:space="preserve"> is available</w:t>
      </w:r>
      <w:r>
        <w:rPr>
          <w:rFonts w:cs="Times New Roman"/>
        </w:rPr>
        <w:t xml:space="preserve">) and </w:t>
      </w:r>
      <w:r w:rsidR="00EC2621">
        <w:rPr>
          <w:rFonts w:cs="Times New Roman"/>
        </w:rPr>
        <w:t xml:space="preserve">from </w:t>
      </w:r>
      <w:r>
        <w:rPr>
          <w:rFonts w:cs="Times New Roman"/>
        </w:rPr>
        <w:t>the last (</w:t>
      </w:r>
      <w:r w:rsidR="00DF35AA">
        <w:rPr>
          <w:rFonts w:cs="Times New Roman"/>
        </w:rPr>
        <w:t>mostly</w:t>
      </w:r>
      <w:r w:rsidR="00EC2621">
        <w:rPr>
          <w:rFonts w:cs="Times New Roman"/>
        </w:rPr>
        <w:t xml:space="preserve">, </w:t>
      </w:r>
      <w:r>
        <w:rPr>
          <w:rFonts w:cs="Times New Roman"/>
        </w:rPr>
        <w:t>2013</w:t>
      </w:r>
      <w:r w:rsidR="00EC2621">
        <w:rPr>
          <w:rFonts w:cs="Times New Roman"/>
        </w:rPr>
        <w:t xml:space="preserve"> is </w:t>
      </w:r>
      <w:r>
        <w:rPr>
          <w:rFonts w:cs="Times New Roman"/>
        </w:rPr>
        <w:t>available</w:t>
      </w:r>
      <w:r w:rsidR="00EC2621">
        <w:rPr>
          <w:rFonts w:cs="Times New Roman"/>
        </w:rPr>
        <w:t>)</w:t>
      </w:r>
      <w:r>
        <w:rPr>
          <w:rFonts w:cs="Times New Roman"/>
        </w:rPr>
        <w:t xml:space="preserve">. </w:t>
      </w:r>
      <w:r w:rsidR="009B5375">
        <w:rPr>
          <w:rFonts w:cs="Times New Roman"/>
        </w:rPr>
        <w:t xml:space="preserve">For our statistical analyses, we use </w:t>
      </w:r>
      <w:r w:rsidR="003B5E6A">
        <w:rPr>
          <w:rFonts w:cs="Times New Roman"/>
        </w:rPr>
        <w:t xml:space="preserve">only </w:t>
      </w:r>
      <w:r w:rsidR="009B5375">
        <w:rPr>
          <w:rFonts w:cs="Times New Roman"/>
        </w:rPr>
        <w:t xml:space="preserve">a firm’s ‘first year’ and ‘last year’ but occasionally we refer to other years when discussing the findings. </w:t>
      </w:r>
      <w:r w:rsidR="008C06EF">
        <w:rPr>
          <w:rFonts w:cs="Times New Roman"/>
        </w:rPr>
        <w:t xml:space="preserve">For many firms, </w:t>
      </w:r>
      <w:r>
        <w:rPr>
          <w:rFonts w:cs="Times New Roman"/>
        </w:rPr>
        <w:t xml:space="preserve">we find different </w:t>
      </w:r>
      <w:r w:rsidR="00DF35AA">
        <w:rPr>
          <w:rFonts w:cs="Times New Roman"/>
        </w:rPr>
        <w:t>terms</w:t>
      </w:r>
      <w:r>
        <w:rPr>
          <w:rFonts w:cs="Times New Roman"/>
        </w:rPr>
        <w:t xml:space="preserve"> over time, </w:t>
      </w:r>
      <w:r w:rsidR="008C06EF">
        <w:rPr>
          <w:rFonts w:cs="Times New Roman"/>
        </w:rPr>
        <w:t xml:space="preserve">and we often </w:t>
      </w:r>
      <w:r>
        <w:rPr>
          <w:rFonts w:cs="Times New Roman"/>
        </w:rPr>
        <w:t>look at</w:t>
      </w:r>
      <w:r w:rsidR="008C06EF">
        <w:rPr>
          <w:rFonts w:cs="Times New Roman"/>
        </w:rPr>
        <w:t xml:space="preserve"> the </w:t>
      </w:r>
      <w:r>
        <w:rPr>
          <w:rFonts w:cs="Times New Roman"/>
        </w:rPr>
        <w:t>reports</w:t>
      </w:r>
      <w:r w:rsidR="00EC2621">
        <w:rPr>
          <w:rFonts w:cs="Times New Roman"/>
        </w:rPr>
        <w:t xml:space="preserve"> </w:t>
      </w:r>
      <w:r w:rsidR="008C06EF">
        <w:rPr>
          <w:rFonts w:cs="Times New Roman"/>
        </w:rPr>
        <w:t xml:space="preserve">of several years in order </w:t>
      </w:r>
      <w:r w:rsidR="00EC2621">
        <w:rPr>
          <w:rFonts w:cs="Times New Roman"/>
        </w:rPr>
        <w:t>to</w:t>
      </w:r>
      <w:r>
        <w:rPr>
          <w:rFonts w:cs="Times New Roman"/>
        </w:rPr>
        <w:t xml:space="preserve"> </w:t>
      </w:r>
      <w:r w:rsidR="00740B20">
        <w:rPr>
          <w:rFonts w:cs="Times New Roman"/>
        </w:rPr>
        <w:t>be sure whether or not</w:t>
      </w:r>
      <w:r w:rsidR="009C66D2">
        <w:rPr>
          <w:rFonts w:cs="Times New Roman"/>
        </w:rPr>
        <w:t xml:space="preserve"> a particular </w:t>
      </w:r>
      <w:r w:rsidR="007C3342">
        <w:rPr>
          <w:rFonts w:cs="Times New Roman"/>
        </w:rPr>
        <w:t xml:space="preserve">term </w:t>
      </w:r>
      <w:r w:rsidR="009C66D2">
        <w:rPr>
          <w:rFonts w:cs="Times New Roman"/>
        </w:rPr>
        <w:t>is intended to convey impairment</w:t>
      </w:r>
      <w:r>
        <w:rPr>
          <w:rFonts w:cs="Times New Roman"/>
        </w:rPr>
        <w:t xml:space="preserve">. </w:t>
      </w:r>
      <w:r w:rsidR="00EC2621">
        <w:rPr>
          <w:rFonts w:cs="Times New Roman"/>
        </w:rPr>
        <w:t>In any report, w</w:t>
      </w:r>
      <w:r>
        <w:rPr>
          <w:rFonts w:cs="Times New Roman"/>
        </w:rPr>
        <w:t>e begin by looking at the table of movements in PPE. In cases where the table does not make it clear in which line impairment is recorded, we search elsewhere in the following order: the text surrounding the table, the notes on expenses, and the general policy note</w:t>
      </w:r>
      <w:r w:rsidR="00355DE2">
        <w:rPr>
          <w:rFonts w:cs="Times New Roman"/>
        </w:rPr>
        <w:t>s</w:t>
      </w:r>
      <w:r>
        <w:rPr>
          <w:rFonts w:cs="Times New Roman"/>
        </w:rPr>
        <w:t xml:space="preserve"> on PPE</w:t>
      </w:r>
      <w:r w:rsidR="00355DE2">
        <w:rPr>
          <w:rFonts w:cs="Times New Roman"/>
        </w:rPr>
        <w:t xml:space="preserve"> or </w:t>
      </w:r>
      <w:r w:rsidR="0045238B">
        <w:rPr>
          <w:rFonts w:cs="Times New Roman"/>
        </w:rPr>
        <w:t xml:space="preserve">on </w:t>
      </w:r>
      <w:r w:rsidR="009C66D2">
        <w:rPr>
          <w:rFonts w:cs="Times New Roman"/>
        </w:rPr>
        <w:t>impairment</w:t>
      </w:r>
      <w:r>
        <w:rPr>
          <w:rFonts w:cs="Times New Roman"/>
        </w:rPr>
        <w:t>.</w:t>
      </w:r>
      <w:r w:rsidR="000745A9">
        <w:rPr>
          <w:rStyle w:val="FootnoteReference"/>
          <w:rFonts w:cs="Times New Roman"/>
        </w:rPr>
        <w:footnoteReference w:id="47"/>
      </w:r>
      <w:r>
        <w:rPr>
          <w:rFonts w:cs="Times New Roman"/>
        </w:rPr>
        <w:t xml:space="preserve"> Particularly where we find </w:t>
      </w:r>
      <w:r w:rsidR="003D1057">
        <w:rPr>
          <w:rFonts w:cs="Times New Roman"/>
        </w:rPr>
        <w:t xml:space="preserve">broad </w:t>
      </w:r>
      <w:r w:rsidR="000745A9">
        <w:rPr>
          <w:rFonts w:cs="Times New Roman"/>
        </w:rPr>
        <w:t>terms</w:t>
      </w:r>
      <w:r w:rsidR="003D1057">
        <w:rPr>
          <w:rFonts w:cs="Times New Roman"/>
        </w:rPr>
        <w:t xml:space="preserve"> (such as</w:t>
      </w:r>
      <w:r>
        <w:rPr>
          <w:rFonts w:cs="Times New Roman"/>
        </w:rPr>
        <w:t xml:space="preserve"> ‘write-off’ or ‘write-down’</w:t>
      </w:r>
      <w:r w:rsidR="003D1057">
        <w:rPr>
          <w:rFonts w:cs="Times New Roman"/>
        </w:rPr>
        <w:t>)</w:t>
      </w:r>
      <w:r>
        <w:rPr>
          <w:rFonts w:cs="Times New Roman"/>
        </w:rPr>
        <w:t xml:space="preserve"> in the PPE table, we look elsewhere to clarify the meaning. </w:t>
      </w:r>
      <w:r w:rsidR="00095054">
        <w:rPr>
          <w:rFonts w:cs="Times New Roman"/>
        </w:rPr>
        <w:t>The term ‘write-off’ is common</w:t>
      </w:r>
      <w:r w:rsidR="00DF35AA">
        <w:rPr>
          <w:rFonts w:cs="Times New Roman"/>
        </w:rPr>
        <w:t>. It</w:t>
      </w:r>
      <w:r w:rsidR="00095054">
        <w:rPr>
          <w:rFonts w:cs="Times New Roman"/>
        </w:rPr>
        <w:t xml:space="preserve"> always seems to relate to the disposal or abandonment of assets</w:t>
      </w:r>
      <w:r w:rsidR="00DF35AA">
        <w:rPr>
          <w:rFonts w:cs="Times New Roman"/>
        </w:rPr>
        <w:t xml:space="preserve"> but, to </w:t>
      </w:r>
      <w:r w:rsidR="00095054">
        <w:rPr>
          <w:rFonts w:cs="Times New Roman"/>
        </w:rPr>
        <w:t xml:space="preserve">the extent that some impairment was included, we may have understated the translation problems. </w:t>
      </w:r>
      <w:r>
        <w:rPr>
          <w:rFonts w:cs="Times New Roman"/>
        </w:rPr>
        <w:t xml:space="preserve">In many cases, we </w:t>
      </w:r>
      <w:r w:rsidR="00EC2621">
        <w:rPr>
          <w:rFonts w:cs="Times New Roman"/>
        </w:rPr>
        <w:t xml:space="preserve">also </w:t>
      </w:r>
      <w:r>
        <w:rPr>
          <w:rFonts w:cs="Times New Roman"/>
        </w:rPr>
        <w:t>look at the reports in the source languages to assist with this.</w:t>
      </w:r>
    </w:p>
    <w:p w14:paraId="374E6DAB" w14:textId="690D0025" w:rsidR="00F63030" w:rsidRDefault="008C3040" w:rsidP="00F63030">
      <w:pPr>
        <w:pStyle w:val="Heading1"/>
        <w:rPr>
          <w:lang w:eastAsia="en-GB"/>
        </w:rPr>
      </w:pPr>
      <w:r>
        <w:rPr>
          <w:lang w:eastAsia="en-GB"/>
        </w:rPr>
        <w:t>5</w:t>
      </w:r>
      <w:r w:rsidR="00F63030">
        <w:rPr>
          <w:lang w:eastAsia="en-GB"/>
        </w:rPr>
        <w:t xml:space="preserve">. </w:t>
      </w:r>
      <w:r w:rsidR="00F63030" w:rsidRPr="003051C4">
        <w:rPr>
          <w:lang w:eastAsia="en-GB"/>
        </w:rPr>
        <w:t>Findings</w:t>
      </w:r>
      <w:r w:rsidR="00660127">
        <w:rPr>
          <w:lang w:eastAsia="en-GB"/>
        </w:rPr>
        <w:t xml:space="preserve"> on translated reports</w:t>
      </w:r>
    </w:p>
    <w:p w14:paraId="66CB14AD" w14:textId="6056450E" w:rsidR="00524040" w:rsidRPr="00095B86" w:rsidRDefault="008C3040" w:rsidP="00524040">
      <w:pPr>
        <w:pStyle w:val="Heading2"/>
        <w:rPr>
          <w:rFonts w:cs="Times New Roman"/>
          <w:b/>
          <w:szCs w:val="22"/>
        </w:rPr>
      </w:pPr>
      <w:r>
        <w:rPr>
          <w:rFonts w:cs="Times New Roman"/>
          <w:szCs w:val="22"/>
        </w:rPr>
        <w:t>5</w:t>
      </w:r>
      <w:r w:rsidR="005F246D">
        <w:rPr>
          <w:rFonts w:cs="Times New Roman"/>
          <w:szCs w:val="22"/>
        </w:rPr>
        <w:t xml:space="preserve">.1 </w:t>
      </w:r>
      <w:r w:rsidR="001920F1">
        <w:rPr>
          <w:rFonts w:cs="Times New Roman"/>
          <w:szCs w:val="22"/>
        </w:rPr>
        <w:t>Non-</w:t>
      </w:r>
      <w:r w:rsidR="00003E69">
        <w:rPr>
          <w:rFonts w:cs="Times New Roman"/>
          <w:szCs w:val="22"/>
        </w:rPr>
        <w:t>proximate</w:t>
      </w:r>
      <w:r w:rsidR="005F246D">
        <w:rPr>
          <w:rFonts w:cs="Times New Roman"/>
          <w:szCs w:val="22"/>
        </w:rPr>
        <w:t xml:space="preserve"> </w:t>
      </w:r>
      <w:r w:rsidR="007C3342">
        <w:rPr>
          <w:rFonts w:cs="Times New Roman"/>
          <w:szCs w:val="22"/>
        </w:rPr>
        <w:t>term</w:t>
      </w:r>
      <w:r w:rsidR="00524040">
        <w:rPr>
          <w:rFonts w:cs="Times New Roman"/>
          <w:szCs w:val="22"/>
        </w:rPr>
        <w:t>s for impairment</w:t>
      </w:r>
    </w:p>
    <w:p w14:paraId="56D2120F" w14:textId="1A34B1BC" w:rsidR="00F63030" w:rsidRDefault="003B59D5" w:rsidP="009C6E5C">
      <w:pPr>
        <w:ind w:firstLine="567"/>
        <w:rPr>
          <w:lang w:eastAsia="en-GB"/>
        </w:rPr>
      </w:pPr>
      <w:r>
        <w:rPr>
          <w:lang w:eastAsia="en-GB"/>
        </w:rPr>
        <w:t xml:space="preserve">In </w:t>
      </w:r>
      <w:r w:rsidR="00EC2621">
        <w:rPr>
          <w:lang w:eastAsia="en-GB"/>
        </w:rPr>
        <w:t xml:space="preserve">the </w:t>
      </w:r>
      <w:r>
        <w:rPr>
          <w:lang w:eastAsia="en-GB"/>
        </w:rPr>
        <w:t xml:space="preserve">corporate annual reports </w:t>
      </w:r>
      <w:r w:rsidR="00F63030">
        <w:rPr>
          <w:lang w:eastAsia="en-GB"/>
        </w:rPr>
        <w:t xml:space="preserve">translated into target English, we find a great variety of </w:t>
      </w:r>
      <w:r w:rsidR="007C3342">
        <w:rPr>
          <w:lang w:eastAsia="en-GB"/>
        </w:rPr>
        <w:t>term</w:t>
      </w:r>
      <w:r w:rsidR="00F63030">
        <w:rPr>
          <w:lang w:eastAsia="en-GB"/>
        </w:rPr>
        <w:t xml:space="preserve">s for ‘impairment’. Some of them are unlikely to mislead the readers of the reports because they </w:t>
      </w:r>
      <w:r>
        <w:rPr>
          <w:lang w:eastAsia="en-GB"/>
        </w:rPr>
        <w:t xml:space="preserve">are phrases which </w:t>
      </w:r>
      <w:r w:rsidR="00F63030">
        <w:rPr>
          <w:lang w:eastAsia="en-GB"/>
        </w:rPr>
        <w:t>include</w:t>
      </w:r>
      <w:r w:rsidR="000B6FB8">
        <w:rPr>
          <w:lang w:eastAsia="en-GB"/>
        </w:rPr>
        <w:t xml:space="preserve"> the English term</w:t>
      </w:r>
      <w:r w:rsidR="00F63030">
        <w:rPr>
          <w:lang w:eastAsia="en-GB"/>
        </w:rPr>
        <w:t xml:space="preserve"> ‘impairment’</w:t>
      </w:r>
      <w:r w:rsidR="00EC2621">
        <w:rPr>
          <w:lang w:eastAsia="en-GB"/>
        </w:rPr>
        <w:t>, such as</w:t>
      </w:r>
      <w:r w:rsidR="004F33BE">
        <w:rPr>
          <w:lang w:eastAsia="en-GB"/>
        </w:rPr>
        <w:t xml:space="preserve"> ‘loss in the recovery value (impairment)’,</w:t>
      </w:r>
      <w:r w:rsidR="004F33BE" w:rsidRPr="004F33BE">
        <w:rPr>
          <w:lang w:eastAsia="en-GB"/>
        </w:rPr>
        <w:t xml:space="preserve"> </w:t>
      </w:r>
      <w:r w:rsidR="008C06EF">
        <w:rPr>
          <w:lang w:eastAsia="en-GB"/>
        </w:rPr>
        <w:t>‘write-downs for impairment’,</w:t>
      </w:r>
      <w:r w:rsidR="00EC2621">
        <w:rPr>
          <w:lang w:eastAsia="en-GB"/>
        </w:rPr>
        <w:t xml:space="preserve"> </w:t>
      </w:r>
      <w:r w:rsidR="00F63030">
        <w:rPr>
          <w:lang w:eastAsia="en-GB"/>
        </w:rPr>
        <w:t xml:space="preserve">‘accrual </w:t>
      </w:r>
      <w:r w:rsidR="009B5375">
        <w:rPr>
          <w:lang w:eastAsia="en-GB"/>
        </w:rPr>
        <w:t>of</w:t>
      </w:r>
      <w:r w:rsidR="00F63030">
        <w:rPr>
          <w:lang w:eastAsia="en-GB"/>
        </w:rPr>
        <w:t xml:space="preserve"> impairment provision’</w:t>
      </w:r>
      <w:r w:rsidR="008C06EF">
        <w:rPr>
          <w:lang w:eastAsia="en-GB"/>
        </w:rPr>
        <w:t xml:space="preserve"> and </w:t>
      </w:r>
      <w:r w:rsidR="00F63030">
        <w:rPr>
          <w:lang w:eastAsia="en-GB"/>
        </w:rPr>
        <w:t>‘impairment loss allowance</w:t>
      </w:r>
      <w:r w:rsidR="009B5375">
        <w:rPr>
          <w:lang w:eastAsia="en-GB"/>
        </w:rPr>
        <w:t>s</w:t>
      </w:r>
      <w:r w:rsidR="00F63030">
        <w:rPr>
          <w:lang w:eastAsia="en-GB"/>
        </w:rPr>
        <w:t>’.</w:t>
      </w:r>
      <w:r w:rsidR="00F63030" w:rsidRPr="0030476B">
        <w:rPr>
          <w:lang w:eastAsia="en-GB"/>
        </w:rPr>
        <w:t xml:space="preserve"> </w:t>
      </w:r>
      <w:r w:rsidR="00F63030">
        <w:rPr>
          <w:lang w:eastAsia="en-GB"/>
        </w:rPr>
        <w:t xml:space="preserve">Although not misleading, </w:t>
      </w:r>
      <w:r>
        <w:rPr>
          <w:lang w:eastAsia="en-GB"/>
        </w:rPr>
        <w:t xml:space="preserve">some of </w:t>
      </w:r>
      <w:r w:rsidR="00F63030">
        <w:rPr>
          <w:lang w:eastAsia="en-GB"/>
        </w:rPr>
        <w:t xml:space="preserve">these reflect the </w:t>
      </w:r>
      <w:r w:rsidR="00DF35AA">
        <w:rPr>
          <w:lang w:eastAsia="en-GB"/>
        </w:rPr>
        <w:t xml:space="preserve">terms </w:t>
      </w:r>
      <w:r>
        <w:rPr>
          <w:lang w:eastAsia="en-GB"/>
        </w:rPr>
        <w:t>for</w:t>
      </w:r>
      <w:r w:rsidR="00F63030">
        <w:rPr>
          <w:lang w:eastAsia="en-GB"/>
        </w:rPr>
        <w:t xml:space="preserve"> ‘impairment’ in </w:t>
      </w:r>
      <w:r w:rsidR="00DF35AA">
        <w:rPr>
          <w:lang w:eastAsia="en-GB"/>
        </w:rPr>
        <w:t xml:space="preserve">the </w:t>
      </w:r>
      <w:r w:rsidR="00F63030">
        <w:rPr>
          <w:lang w:eastAsia="en-GB"/>
        </w:rPr>
        <w:t>translations of IAS 36</w:t>
      </w:r>
      <w:r>
        <w:rPr>
          <w:lang w:eastAsia="en-GB"/>
        </w:rPr>
        <w:t>,</w:t>
      </w:r>
      <w:r w:rsidR="00F63030">
        <w:rPr>
          <w:lang w:eastAsia="en-GB"/>
        </w:rPr>
        <w:t xml:space="preserve"> as summarised in Table 1.</w:t>
      </w:r>
      <w:r w:rsidR="004F33BE">
        <w:rPr>
          <w:lang w:eastAsia="en-GB"/>
        </w:rPr>
        <w:t xml:space="preserve"> For example, the first</w:t>
      </w:r>
      <w:r w:rsidR="004F33BE">
        <w:rPr>
          <w:rStyle w:val="FootnoteReference"/>
          <w:lang w:eastAsia="en-GB"/>
        </w:rPr>
        <w:footnoteReference w:id="48"/>
      </w:r>
      <w:r w:rsidR="004F33BE">
        <w:rPr>
          <w:lang w:eastAsia="en-GB"/>
        </w:rPr>
        <w:t xml:space="preserve"> of the above reflect</w:t>
      </w:r>
      <w:r w:rsidR="003E7C59">
        <w:rPr>
          <w:lang w:eastAsia="en-GB"/>
        </w:rPr>
        <w:t>s</w:t>
      </w:r>
      <w:r w:rsidR="004F33BE">
        <w:rPr>
          <w:lang w:eastAsia="en-GB"/>
        </w:rPr>
        <w:t xml:space="preserve"> the Brazilian translation</w:t>
      </w:r>
      <w:r w:rsidR="008C06EF">
        <w:rPr>
          <w:lang w:eastAsia="en-GB"/>
        </w:rPr>
        <w:t xml:space="preserve">, and the </w:t>
      </w:r>
      <w:r w:rsidR="009B5375">
        <w:rPr>
          <w:lang w:eastAsia="en-GB"/>
        </w:rPr>
        <w:t>second</w:t>
      </w:r>
      <w:r w:rsidR="008C06EF">
        <w:rPr>
          <w:lang w:eastAsia="en-GB"/>
        </w:rPr>
        <w:t xml:space="preserve"> the Italian.</w:t>
      </w:r>
      <w:r w:rsidR="008C06EF">
        <w:rPr>
          <w:rStyle w:val="FootnoteReference"/>
          <w:lang w:eastAsia="en-GB"/>
        </w:rPr>
        <w:footnoteReference w:id="49"/>
      </w:r>
    </w:p>
    <w:p w14:paraId="09C6A7CA" w14:textId="35739DD0" w:rsidR="009E4D89" w:rsidRDefault="006A7ADE" w:rsidP="00AE3D10">
      <w:pPr>
        <w:ind w:firstLine="567"/>
        <w:rPr>
          <w:lang w:eastAsia="en-GB"/>
        </w:rPr>
      </w:pPr>
      <w:r>
        <w:rPr>
          <w:lang w:eastAsia="en-GB"/>
        </w:rPr>
        <w:t>However, we also found many</w:t>
      </w:r>
      <w:r w:rsidR="001920F1">
        <w:rPr>
          <w:lang w:eastAsia="en-GB"/>
        </w:rPr>
        <w:t xml:space="preserve"> </w:t>
      </w:r>
      <w:r w:rsidR="002B6285">
        <w:rPr>
          <w:lang w:eastAsia="en-GB"/>
        </w:rPr>
        <w:t>‘</w:t>
      </w:r>
      <w:r w:rsidR="00F9525F">
        <w:rPr>
          <w:lang w:eastAsia="en-GB"/>
        </w:rPr>
        <w:t>non-proximate</w:t>
      </w:r>
      <w:r w:rsidR="002B6285">
        <w:rPr>
          <w:lang w:eastAsia="en-GB"/>
        </w:rPr>
        <w:t>’</w:t>
      </w:r>
      <w:r w:rsidR="00F63030">
        <w:rPr>
          <w:lang w:eastAsia="en-GB"/>
        </w:rPr>
        <w:t xml:space="preserve"> </w:t>
      </w:r>
      <w:r w:rsidR="007C3342">
        <w:rPr>
          <w:lang w:eastAsia="en-GB"/>
        </w:rPr>
        <w:t>term</w:t>
      </w:r>
      <w:r w:rsidR="00F63030">
        <w:rPr>
          <w:lang w:eastAsia="en-GB"/>
        </w:rPr>
        <w:t>s</w:t>
      </w:r>
      <w:r>
        <w:rPr>
          <w:lang w:eastAsia="en-GB"/>
        </w:rPr>
        <w:t xml:space="preserve">, </w:t>
      </w:r>
      <w:r w:rsidR="00F63030">
        <w:rPr>
          <w:lang w:eastAsia="en-GB"/>
        </w:rPr>
        <w:t>define</w:t>
      </w:r>
      <w:r>
        <w:rPr>
          <w:lang w:eastAsia="en-GB"/>
        </w:rPr>
        <w:t>d</w:t>
      </w:r>
      <w:r w:rsidR="0024488F">
        <w:rPr>
          <w:lang w:eastAsia="en-GB"/>
        </w:rPr>
        <w:t xml:space="preserve"> </w:t>
      </w:r>
      <w:r w:rsidR="00F63030">
        <w:rPr>
          <w:lang w:eastAsia="en-GB"/>
        </w:rPr>
        <w:t>as words or phrases which do not include ‘impairment’.</w:t>
      </w:r>
      <w:r w:rsidR="001E5E80">
        <w:rPr>
          <w:rStyle w:val="FootnoteReference"/>
          <w:lang w:eastAsia="en-GB"/>
        </w:rPr>
        <w:footnoteReference w:id="50"/>
      </w:r>
      <w:r w:rsidR="00F63030">
        <w:rPr>
          <w:lang w:eastAsia="en-GB"/>
        </w:rPr>
        <w:t xml:space="preserve"> </w:t>
      </w:r>
      <w:r w:rsidR="003E7C59">
        <w:rPr>
          <w:lang w:eastAsia="en-GB"/>
        </w:rPr>
        <w:t>Examples of why this might matter to the users of</w:t>
      </w:r>
      <w:r w:rsidR="00F9525F">
        <w:rPr>
          <w:lang w:eastAsia="en-GB"/>
        </w:rPr>
        <w:t xml:space="preserve"> </w:t>
      </w:r>
      <w:r w:rsidR="003E7C59">
        <w:rPr>
          <w:lang w:eastAsia="en-GB"/>
        </w:rPr>
        <w:t xml:space="preserve">financial statements are that: (i) some </w:t>
      </w:r>
      <w:r w:rsidR="00A32CA4">
        <w:rPr>
          <w:lang w:eastAsia="en-GB"/>
        </w:rPr>
        <w:t xml:space="preserve">firms </w:t>
      </w:r>
      <w:r w:rsidR="003E7C59">
        <w:rPr>
          <w:lang w:eastAsia="en-GB"/>
        </w:rPr>
        <w:t>refer to ‘depreciation’</w:t>
      </w:r>
      <w:r w:rsidR="000B6FB8">
        <w:rPr>
          <w:lang w:eastAsia="en-GB"/>
        </w:rPr>
        <w:t>, but</w:t>
      </w:r>
      <w:r w:rsidR="003E7C59">
        <w:rPr>
          <w:lang w:eastAsia="en-GB"/>
        </w:rPr>
        <w:t xml:space="preserve"> a </w:t>
      </w:r>
      <w:r w:rsidR="000B6FB8">
        <w:rPr>
          <w:lang w:eastAsia="en-GB"/>
        </w:rPr>
        <w:t xml:space="preserve">depreciation </w:t>
      </w:r>
      <w:r w:rsidR="003E7C59">
        <w:rPr>
          <w:lang w:eastAsia="en-GB"/>
        </w:rPr>
        <w:t xml:space="preserve">number </w:t>
      </w:r>
      <w:r w:rsidR="000B6FB8">
        <w:rPr>
          <w:lang w:eastAsia="en-GB"/>
        </w:rPr>
        <w:t>has</w:t>
      </w:r>
      <w:r w:rsidR="003E7C59">
        <w:rPr>
          <w:lang w:eastAsia="en-GB"/>
        </w:rPr>
        <w:t xml:space="preserve"> little economic meaning </w:t>
      </w:r>
      <w:r w:rsidR="000B6FB8">
        <w:rPr>
          <w:lang w:eastAsia="en-GB"/>
        </w:rPr>
        <w:t xml:space="preserve">(it is just a pre-scheduled </w:t>
      </w:r>
      <w:r w:rsidR="0045238B">
        <w:rPr>
          <w:lang w:eastAsia="en-GB"/>
        </w:rPr>
        <w:t>allocation</w:t>
      </w:r>
      <w:r w:rsidR="000B6FB8">
        <w:rPr>
          <w:lang w:eastAsia="en-GB"/>
        </w:rPr>
        <w:t xml:space="preserve">) </w:t>
      </w:r>
      <w:r w:rsidR="003E7C59">
        <w:rPr>
          <w:lang w:eastAsia="en-GB"/>
        </w:rPr>
        <w:t xml:space="preserve">whereas ‘impairment’ is supposed to </w:t>
      </w:r>
      <w:r>
        <w:rPr>
          <w:lang w:eastAsia="en-GB"/>
        </w:rPr>
        <w:t>convey</w:t>
      </w:r>
      <w:r w:rsidR="003E7C59">
        <w:rPr>
          <w:lang w:eastAsia="en-GB"/>
        </w:rPr>
        <w:t xml:space="preserve"> surprising bad news, and (ii) some </w:t>
      </w:r>
      <w:r w:rsidR="00A32CA4">
        <w:rPr>
          <w:lang w:eastAsia="en-GB"/>
        </w:rPr>
        <w:t xml:space="preserve">firms </w:t>
      </w:r>
      <w:r w:rsidR="003E7C59">
        <w:rPr>
          <w:lang w:eastAsia="en-GB"/>
        </w:rPr>
        <w:t>refer to ‘write-downs’ but this</w:t>
      </w:r>
      <w:r w:rsidR="00CC63DE">
        <w:rPr>
          <w:lang w:eastAsia="en-GB"/>
        </w:rPr>
        <w:t xml:space="preserve"> could potentially</w:t>
      </w:r>
      <w:r w:rsidR="003E7C59">
        <w:rPr>
          <w:lang w:eastAsia="en-GB"/>
        </w:rPr>
        <w:t xml:space="preserve"> include some or a</w:t>
      </w:r>
      <w:r w:rsidR="006C1FF9">
        <w:rPr>
          <w:lang w:eastAsia="en-GB"/>
        </w:rPr>
        <w:t xml:space="preserve">ll of depreciation, impairment </w:t>
      </w:r>
      <w:r w:rsidR="003E7C59">
        <w:rPr>
          <w:lang w:eastAsia="en-GB"/>
        </w:rPr>
        <w:t xml:space="preserve">or abandonment of </w:t>
      </w:r>
      <w:r>
        <w:rPr>
          <w:lang w:eastAsia="en-GB"/>
        </w:rPr>
        <w:t xml:space="preserve">an </w:t>
      </w:r>
      <w:r w:rsidR="003E7C59">
        <w:rPr>
          <w:lang w:eastAsia="en-GB"/>
        </w:rPr>
        <w:t xml:space="preserve">asset. </w:t>
      </w:r>
      <w:r w:rsidR="009E4D89">
        <w:rPr>
          <w:lang w:eastAsia="en-GB"/>
        </w:rPr>
        <w:t xml:space="preserve">In our view, </w:t>
      </w:r>
      <w:r w:rsidR="00175D68">
        <w:rPr>
          <w:lang w:eastAsia="en-GB"/>
        </w:rPr>
        <w:t xml:space="preserve">the financial statements containing these </w:t>
      </w:r>
      <w:r w:rsidR="00F9525F">
        <w:rPr>
          <w:lang w:eastAsia="en-GB"/>
        </w:rPr>
        <w:t>non-proximate</w:t>
      </w:r>
      <w:r w:rsidR="00175D68">
        <w:rPr>
          <w:lang w:eastAsia="en-GB"/>
        </w:rPr>
        <w:t xml:space="preserve"> translations are not ‘comparable’ with other English-language statements (those of source English and those translated using </w:t>
      </w:r>
      <w:r w:rsidR="003B5E6A">
        <w:rPr>
          <w:lang w:eastAsia="en-GB"/>
        </w:rPr>
        <w:t>proximate</w:t>
      </w:r>
      <w:r w:rsidR="00175D68">
        <w:rPr>
          <w:lang w:eastAsia="en-GB"/>
        </w:rPr>
        <w:t xml:space="preserve"> </w:t>
      </w:r>
      <w:r w:rsidR="007C3342">
        <w:rPr>
          <w:lang w:eastAsia="en-GB"/>
        </w:rPr>
        <w:t>term</w:t>
      </w:r>
      <w:r w:rsidR="00175D68">
        <w:rPr>
          <w:lang w:eastAsia="en-GB"/>
        </w:rPr>
        <w:t>s).</w:t>
      </w:r>
    </w:p>
    <w:p w14:paraId="79EDF5A1" w14:textId="2E38FA07" w:rsidR="009B5375" w:rsidRDefault="00F63030" w:rsidP="003E7C59">
      <w:pPr>
        <w:ind w:firstLine="567"/>
        <w:rPr>
          <w:lang w:eastAsia="en-GB"/>
        </w:rPr>
      </w:pPr>
      <w:r>
        <w:rPr>
          <w:lang w:eastAsia="en-GB"/>
        </w:rPr>
        <w:t>Table 2</w:t>
      </w:r>
      <w:r w:rsidR="00531CBE">
        <w:rPr>
          <w:lang w:eastAsia="en-GB"/>
        </w:rPr>
        <w:t xml:space="preserve"> list</w:t>
      </w:r>
      <w:r w:rsidR="00406D1C">
        <w:rPr>
          <w:lang w:eastAsia="en-GB"/>
        </w:rPr>
        <w:t xml:space="preserve">s the </w:t>
      </w:r>
      <w:r w:rsidR="009B5375">
        <w:rPr>
          <w:lang w:eastAsia="en-GB"/>
        </w:rPr>
        <w:t>ten</w:t>
      </w:r>
      <w:r w:rsidR="00406D1C">
        <w:rPr>
          <w:lang w:eastAsia="en-GB"/>
        </w:rPr>
        <w:t xml:space="preserve"> </w:t>
      </w:r>
      <w:r w:rsidR="00F9525F">
        <w:rPr>
          <w:lang w:eastAsia="en-GB"/>
        </w:rPr>
        <w:t>non-proximate</w:t>
      </w:r>
      <w:r w:rsidR="00406D1C">
        <w:rPr>
          <w:lang w:eastAsia="en-GB"/>
        </w:rPr>
        <w:t xml:space="preserve"> </w:t>
      </w:r>
      <w:r w:rsidR="007C3342">
        <w:rPr>
          <w:lang w:eastAsia="en-GB"/>
        </w:rPr>
        <w:t>term</w:t>
      </w:r>
      <w:r w:rsidR="00406D1C">
        <w:rPr>
          <w:lang w:eastAsia="en-GB"/>
        </w:rPr>
        <w:t>s</w:t>
      </w:r>
      <w:r w:rsidR="002B6285">
        <w:rPr>
          <w:lang w:eastAsia="en-GB"/>
        </w:rPr>
        <w:t xml:space="preserve"> we found</w:t>
      </w:r>
      <w:r>
        <w:rPr>
          <w:lang w:eastAsia="en-GB"/>
        </w:rPr>
        <w:t xml:space="preserve">, with their </w:t>
      </w:r>
      <w:r w:rsidR="00406D1C">
        <w:rPr>
          <w:lang w:eastAsia="en-GB"/>
        </w:rPr>
        <w:t xml:space="preserve">prevalence by </w:t>
      </w:r>
      <w:r>
        <w:rPr>
          <w:lang w:eastAsia="en-GB"/>
        </w:rPr>
        <w:t>country in the ‘first year’ and ‘last year’</w:t>
      </w:r>
      <w:r w:rsidR="003B59D5">
        <w:rPr>
          <w:lang w:eastAsia="en-GB"/>
        </w:rPr>
        <w:t xml:space="preserve"> of firms</w:t>
      </w:r>
      <w:r w:rsidR="00406D1C">
        <w:rPr>
          <w:lang w:eastAsia="en-GB"/>
        </w:rPr>
        <w:t>’</w:t>
      </w:r>
      <w:r w:rsidR="003B59D5">
        <w:rPr>
          <w:lang w:eastAsia="en-GB"/>
        </w:rPr>
        <w:t xml:space="preserve"> reports</w:t>
      </w:r>
      <w:r>
        <w:rPr>
          <w:lang w:eastAsia="en-GB"/>
        </w:rPr>
        <w:t xml:space="preserve">. </w:t>
      </w:r>
      <w:r w:rsidR="00354534">
        <w:rPr>
          <w:lang w:eastAsia="en-GB"/>
        </w:rPr>
        <w:t xml:space="preserve">Table 3 reports on the overall usage of </w:t>
      </w:r>
      <w:r w:rsidR="00F9525F">
        <w:rPr>
          <w:lang w:eastAsia="en-GB"/>
        </w:rPr>
        <w:t>non-proximate</w:t>
      </w:r>
      <w:r w:rsidR="00354534">
        <w:rPr>
          <w:lang w:eastAsia="en-GB"/>
        </w:rPr>
        <w:t xml:space="preserve"> </w:t>
      </w:r>
      <w:r w:rsidR="007C3342">
        <w:rPr>
          <w:lang w:eastAsia="en-GB"/>
        </w:rPr>
        <w:t>term</w:t>
      </w:r>
      <w:r w:rsidR="00354534">
        <w:rPr>
          <w:lang w:eastAsia="en-GB"/>
        </w:rPr>
        <w:t xml:space="preserve">s for all </w:t>
      </w:r>
      <w:r w:rsidR="00576FF6">
        <w:rPr>
          <w:lang w:eastAsia="en-GB"/>
        </w:rPr>
        <w:t xml:space="preserve">our </w:t>
      </w:r>
      <w:r w:rsidR="00354534">
        <w:rPr>
          <w:lang w:eastAsia="en-GB"/>
        </w:rPr>
        <w:t xml:space="preserve">countries. </w:t>
      </w:r>
      <w:r>
        <w:rPr>
          <w:lang w:eastAsia="en-GB"/>
        </w:rPr>
        <w:t xml:space="preserve">As shown in </w:t>
      </w:r>
      <w:r w:rsidR="00531CBE">
        <w:rPr>
          <w:lang w:eastAsia="en-GB"/>
        </w:rPr>
        <w:t xml:space="preserve">the ‘TOTAL’ line of </w:t>
      </w:r>
      <w:r>
        <w:rPr>
          <w:lang w:eastAsia="en-GB"/>
        </w:rPr>
        <w:t>Table 3, in the first year, 1</w:t>
      </w:r>
      <w:r w:rsidR="009B5375">
        <w:rPr>
          <w:lang w:eastAsia="en-GB"/>
        </w:rPr>
        <w:t>3</w:t>
      </w:r>
      <w:r>
        <w:rPr>
          <w:lang w:eastAsia="en-GB"/>
        </w:rPr>
        <w:t>% of firms used</w:t>
      </w:r>
      <w:r w:rsidR="003B59D5">
        <w:rPr>
          <w:lang w:eastAsia="en-GB"/>
        </w:rPr>
        <w:t xml:space="preserve"> </w:t>
      </w:r>
      <w:r w:rsidR="00F9525F">
        <w:rPr>
          <w:lang w:eastAsia="en-GB"/>
        </w:rPr>
        <w:t>non-proximate</w:t>
      </w:r>
      <w:r>
        <w:rPr>
          <w:lang w:eastAsia="en-GB"/>
        </w:rPr>
        <w:t xml:space="preserve"> </w:t>
      </w:r>
      <w:r w:rsidR="007C3342">
        <w:rPr>
          <w:lang w:eastAsia="en-GB"/>
        </w:rPr>
        <w:t>term</w:t>
      </w:r>
      <w:r>
        <w:rPr>
          <w:lang w:eastAsia="en-GB"/>
        </w:rPr>
        <w:t>s.</w:t>
      </w:r>
      <w:r w:rsidR="005C733D">
        <w:rPr>
          <w:lang w:eastAsia="en-GB"/>
        </w:rPr>
        <w:t xml:space="preserve"> </w:t>
      </w:r>
      <w:r w:rsidR="005F246D">
        <w:rPr>
          <w:lang w:eastAsia="en-GB"/>
        </w:rPr>
        <w:t xml:space="preserve">The last line of the table reports that the international difference in the prevalence of </w:t>
      </w:r>
      <w:r w:rsidR="00F9525F">
        <w:rPr>
          <w:lang w:eastAsia="en-GB"/>
        </w:rPr>
        <w:t>non-proximate</w:t>
      </w:r>
      <w:r w:rsidR="005F246D">
        <w:rPr>
          <w:lang w:eastAsia="en-GB"/>
        </w:rPr>
        <w:t xml:space="preserve"> </w:t>
      </w:r>
      <w:r w:rsidR="007C3342">
        <w:rPr>
          <w:lang w:eastAsia="en-GB"/>
        </w:rPr>
        <w:t>term</w:t>
      </w:r>
      <w:r w:rsidR="005F246D">
        <w:rPr>
          <w:lang w:eastAsia="en-GB"/>
        </w:rPr>
        <w:t>s is highly significant in both years (based on χ² tests</w:t>
      </w:r>
      <w:r w:rsidR="005F246D" w:rsidRPr="00CA51D2">
        <w:rPr>
          <w:lang w:eastAsia="en-GB"/>
        </w:rPr>
        <w:t xml:space="preserve"> of independence</w:t>
      </w:r>
      <w:r w:rsidR="005F246D">
        <w:rPr>
          <w:lang w:eastAsia="en-GB"/>
        </w:rPr>
        <w:t>).</w:t>
      </w:r>
    </w:p>
    <w:p w14:paraId="717B8C18" w14:textId="2BB16CE2" w:rsidR="0024488F" w:rsidRPr="00EF0163" w:rsidRDefault="0024488F" w:rsidP="0024488F">
      <w:pPr>
        <w:ind w:firstLine="567"/>
        <w:rPr>
          <w:rFonts w:cs="Times New Roman"/>
        </w:rPr>
      </w:pPr>
      <w:r>
        <w:rPr>
          <w:rFonts w:cs="Times New Roman"/>
        </w:rPr>
        <w:t xml:space="preserve">Our approach is likely to understate our findings. </w:t>
      </w:r>
      <w:r w:rsidR="009B5375">
        <w:rPr>
          <w:rFonts w:cs="Times New Roman"/>
        </w:rPr>
        <w:t>First</w:t>
      </w:r>
      <w:r>
        <w:rPr>
          <w:rFonts w:cs="Times New Roman"/>
        </w:rPr>
        <w:t>, if a firm makes no mention of impairment</w:t>
      </w:r>
      <w:r w:rsidR="009B5375" w:rsidRPr="009B5375">
        <w:rPr>
          <w:rFonts w:cs="Times New Roman"/>
        </w:rPr>
        <w:t xml:space="preserve"> </w:t>
      </w:r>
      <w:r w:rsidR="009B5375">
        <w:rPr>
          <w:rFonts w:cs="Times New Roman"/>
        </w:rPr>
        <w:t>in a particular year</w:t>
      </w:r>
      <w:r>
        <w:rPr>
          <w:rFonts w:cs="Times New Roman"/>
        </w:rPr>
        <w:t>, we do not include it in our statistics, although it might have made impairments and have a hidden translation problem</w:t>
      </w:r>
      <w:r w:rsidR="009B5375">
        <w:rPr>
          <w:rFonts w:cs="Times New Roman"/>
        </w:rPr>
        <w:t xml:space="preserve">; instead, ‘first year’ and ‘last year’ in our statistics </w:t>
      </w:r>
      <w:r w:rsidR="00183C4B">
        <w:rPr>
          <w:rFonts w:cs="Times New Roman"/>
        </w:rPr>
        <w:t>include</w:t>
      </w:r>
      <w:r w:rsidR="009B5375">
        <w:rPr>
          <w:rFonts w:cs="Times New Roman"/>
        </w:rPr>
        <w:t xml:space="preserve"> only firm-years in which impairment is mentioned</w:t>
      </w:r>
      <w:r>
        <w:rPr>
          <w:rFonts w:cs="Times New Roman"/>
        </w:rPr>
        <w:t xml:space="preserve">. </w:t>
      </w:r>
      <w:r w:rsidR="009B5375">
        <w:rPr>
          <w:rFonts w:cs="Times New Roman"/>
        </w:rPr>
        <w:t>Second</w:t>
      </w:r>
      <w:r>
        <w:rPr>
          <w:rFonts w:cs="Times New Roman"/>
        </w:rPr>
        <w:t xml:space="preserve">, if a firm mentions impairment in its policy notes but not in its PPE table, it is added to the firms with </w:t>
      </w:r>
      <w:r w:rsidR="0045238B">
        <w:rPr>
          <w:rFonts w:cs="Times New Roman"/>
        </w:rPr>
        <w:t>proximate</w:t>
      </w:r>
      <w:r>
        <w:rPr>
          <w:rFonts w:cs="Times New Roman"/>
        </w:rPr>
        <w:t xml:space="preserve"> translations, but a translation problem might have affected </w:t>
      </w:r>
      <w:r w:rsidR="006A7ADE">
        <w:rPr>
          <w:rFonts w:cs="Times New Roman"/>
        </w:rPr>
        <w:t>its</w:t>
      </w:r>
      <w:r>
        <w:rPr>
          <w:rFonts w:cs="Times New Roman"/>
        </w:rPr>
        <w:t xml:space="preserve"> table. </w:t>
      </w:r>
      <w:r w:rsidR="009B5375">
        <w:rPr>
          <w:rFonts w:cs="Times New Roman"/>
        </w:rPr>
        <w:t>Third</w:t>
      </w:r>
      <w:r>
        <w:rPr>
          <w:rFonts w:cs="Times New Roman"/>
        </w:rPr>
        <w:t>, if a firm uses a</w:t>
      </w:r>
      <w:r w:rsidR="002B6285">
        <w:rPr>
          <w:rFonts w:cs="Times New Roman"/>
        </w:rPr>
        <w:t>n equivalent</w:t>
      </w:r>
      <w:r>
        <w:rPr>
          <w:rFonts w:cs="Times New Roman"/>
        </w:rPr>
        <w:t xml:space="preserve"> translation in its PPE table, we do not count </w:t>
      </w:r>
      <w:r w:rsidR="00F9525F">
        <w:rPr>
          <w:lang w:eastAsia="en-GB"/>
        </w:rPr>
        <w:t>non-proximate</w:t>
      </w:r>
      <w:r>
        <w:rPr>
          <w:rFonts w:cs="Times New Roman"/>
        </w:rPr>
        <w:t xml:space="preserve"> </w:t>
      </w:r>
      <w:r w:rsidR="007C3342">
        <w:rPr>
          <w:rFonts w:cs="Times New Roman"/>
        </w:rPr>
        <w:t>term</w:t>
      </w:r>
      <w:r>
        <w:rPr>
          <w:rFonts w:cs="Times New Roman"/>
        </w:rPr>
        <w:t xml:space="preserve">s elsewhere in its annual report. </w:t>
      </w:r>
      <w:r w:rsidR="001C762C">
        <w:rPr>
          <w:rFonts w:cs="Times New Roman"/>
        </w:rPr>
        <w:t xml:space="preserve">Fourth, although we have not systematically analysed this, we found instances </w:t>
      </w:r>
      <w:r w:rsidR="00037805">
        <w:rPr>
          <w:rFonts w:cs="Times New Roman"/>
        </w:rPr>
        <w:t xml:space="preserve">(e.g. Italy’s Prysmian or Spain’s Obrascon Huarte Lain) </w:t>
      </w:r>
      <w:r w:rsidR="001C762C">
        <w:rPr>
          <w:rFonts w:cs="Times New Roman"/>
        </w:rPr>
        <w:t>where</w:t>
      </w:r>
      <w:r w:rsidR="00037805">
        <w:rPr>
          <w:rFonts w:cs="Times New Roman"/>
        </w:rPr>
        <w:t xml:space="preserve"> </w:t>
      </w:r>
      <w:r w:rsidR="001C762C">
        <w:rPr>
          <w:rFonts w:cs="Times New Roman"/>
        </w:rPr>
        <w:t xml:space="preserve">the ‘first year’ does not show a </w:t>
      </w:r>
      <w:r w:rsidR="00F9525F">
        <w:rPr>
          <w:lang w:eastAsia="en-GB"/>
        </w:rPr>
        <w:t>non-proximate</w:t>
      </w:r>
      <w:r w:rsidR="001C762C">
        <w:rPr>
          <w:rFonts w:cs="Times New Roman"/>
        </w:rPr>
        <w:t xml:space="preserve"> </w:t>
      </w:r>
      <w:r w:rsidR="007C3342">
        <w:rPr>
          <w:rFonts w:cs="Times New Roman"/>
        </w:rPr>
        <w:t xml:space="preserve">term </w:t>
      </w:r>
      <w:r w:rsidR="001C762C">
        <w:rPr>
          <w:rFonts w:cs="Times New Roman"/>
        </w:rPr>
        <w:t xml:space="preserve">but the ‘second year’ </w:t>
      </w:r>
      <w:r w:rsidR="00037805">
        <w:rPr>
          <w:rFonts w:cs="Times New Roman"/>
        </w:rPr>
        <w:t xml:space="preserve">does </w:t>
      </w:r>
      <w:r w:rsidR="001C762C">
        <w:rPr>
          <w:rFonts w:cs="Times New Roman"/>
        </w:rPr>
        <w:t>(not reported in our tables). Lastly, since we analys</w:t>
      </w:r>
      <w:r w:rsidR="00450C70">
        <w:rPr>
          <w:rFonts w:cs="Times New Roman"/>
        </w:rPr>
        <w:t>e</w:t>
      </w:r>
      <w:r w:rsidR="001C762C">
        <w:rPr>
          <w:rFonts w:cs="Times New Roman"/>
        </w:rPr>
        <w:t xml:space="preserve"> the largest firms in the respective countries, we expect </w:t>
      </w:r>
      <w:r w:rsidR="00450C70">
        <w:rPr>
          <w:rFonts w:cs="Times New Roman"/>
        </w:rPr>
        <w:t>their reports to be the</w:t>
      </w:r>
      <w:r w:rsidR="001C762C">
        <w:rPr>
          <w:rFonts w:cs="Times New Roman"/>
        </w:rPr>
        <w:t xml:space="preserve"> least likely to </w:t>
      </w:r>
      <w:r w:rsidR="00450C70">
        <w:rPr>
          <w:rFonts w:cs="Times New Roman"/>
        </w:rPr>
        <w:t>contain</w:t>
      </w:r>
      <w:r w:rsidR="001C762C">
        <w:rPr>
          <w:rFonts w:cs="Times New Roman"/>
        </w:rPr>
        <w:t xml:space="preserve"> translation problems.</w:t>
      </w:r>
    </w:p>
    <w:p w14:paraId="540BBA97" w14:textId="6EB658F0" w:rsidR="00F63030" w:rsidRDefault="0024488F" w:rsidP="00C61056">
      <w:pPr>
        <w:ind w:firstLine="567"/>
        <w:rPr>
          <w:lang w:eastAsia="en-GB"/>
        </w:rPr>
      </w:pPr>
      <w:r>
        <w:rPr>
          <w:lang w:eastAsia="en-GB"/>
        </w:rPr>
        <w:t>As Table 3 shows</w:t>
      </w:r>
      <w:r w:rsidR="00F63030">
        <w:rPr>
          <w:lang w:eastAsia="en-GB"/>
        </w:rPr>
        <w:t xml:space="preserve">, the </w:t>
      </w:r>
      <w:r w:rsidR="00F9525F">
        <w:rPr>
          <w:lang w:eastAsia="en-GB"/>
        </w:rPr>
        <w:t>non-proximate</w:t>
      </w:r>
      <w:r>
        <w:rPr>
          <w:lang w:eastAsia="en-GB"/>
        </w:rPr>
        <w:t xml:space="preserve"> </w:t>
      </w:r>
      <w:r w:rsidR="007C3342">
        <w:rPr>
          <w:lang w:eastAsia="en-GB"/>
        </w:rPr>
        <w:t>term</w:t>
      </w:r>
      <w:r>
        <w:rPr>
          <w:lang w:eastAsia="en-GB"/>
        </w:rPr>
        <w:t>s</w:t>
      </w:r>
      <w:r w:rsidR="00F63030">
        <w:rPr>
          <w:lang w:eastAsia="en-GB"/>
        </w:rPr>
        <w:t xml:space="preserve"> were nearly all confined to four of </w:t>
      </w:r>
      <w:r>
        <w:rPr>
          <w:lang w:eastAsia="en-GB"/>
        </w:rPr>
        <w:t>our</w:t>
      </w:r>
      <w:r w:rsidR="00F63030">
        <w:rPr>
          <w:lang w:eastAsia="en-GB"/>
        </w:rPr>
        <w:t xml:space="preserve"> eleven countries, so the </w:t>
      </w:r>
      <w:r w:rsidR="00406D1C">
        <w:rPr>
          <w:lang w:eastAsia="en-GB"/>
        </w:rPr>
        <w:t>prevalence</w:t>
      </w:r>
      <w:r w:rsidR="00F63030">
        <w:rPr>
          <w:lang w:eastAsia="en-GB"/>
        </w:rPr>
        <w:t xml:space="preserve"> in those countries was much higher</w:t>
      </w:r>
      <w:r w:rsidR="00531CBE">
        <w:rPr>
          <w:lang w:eastAsia="en-GB"/>
        </w:rPr>
        <w:t xml:space="preserve"> than th</w:t>
      </w:r>
      <w:r>
        <w:rPr>
          <w:lang w:eastAsia="en-GB"/>
        </w:rPr>
        <w:t>e 1</w:t>
      </w:r>
      <w:r w:rsidR="009B5375">
        <w:rPr>
          <w:lang w:eastAsia="en-GB"/>
        </w:rPr>
        <w:t>3</w:t>
      </w:r>
      <w:r>
        <w:rPr>
          <w:lang w:eastAsia="en-GB"/>
        </w:rPr>
        <w:t>%</w:t>
      </w:r>
      <w:r w:rsidR="003B59D5">
        <w:rPr>
          <w:lang w:eastAsia="en-GB"/>
        </w:rPr>
        <w:t xml:space="preserve"> average</w:t>
      </w:r>
      <w:r w:rsidR="00F63030">
        <w:rPr>
          <w:lang w:eastAsia="en-GB"/>
        </w:rPr>
        <w:t xml:space="preserve">, peaking at </w:t>
      </w:r>
      <w:r w:rsidR="009B5375">
        <w:rPr>
          <w:lang w:eastAsia="en-GB"/>
        </w:rPr>
        <w:t>39</w:t>
      </w:r>
      <w:r w:rsidR="00F63030">
        <w:rPr>
          <w:lang w:eastAsia="en-GB"/>
        </w:rPr>
        <w:t xml:space="preserve">% for </w:t>
      </w:r>
      <w:r w:rsidR="00183C4B">
        <w:rPr>
          <w:lang w:eastAsia="en-GB"/>
        </w:rPr>
        <w:t xml:space="preserve">both </w:t>
      </w:r>
      <w:r w:rsidR="00F63030">
        <w:rPr>
          <w:lang w:eastAsia="en-GB"/>
        </w:rPr>
        <w:t>Germany</w:t>
      </w:r>
      <w:r w:rsidR="009B5375">
        <w:rPr>
          <w:lang w:eastAsia="en-GB"/>
        </w:rPr>
        <w:t xml:space="preserve"> and Italy</w:t>
      </w:r>
      <w:r w:rsidR="003D5922">
        <w:rPr>
          <w:lang w:eastAsia="en-GB"/>
        </w:rPr>
        <w:t xml:space="preserve"> in the ‘first year’</w:t>
      </w:r>
      <w:r w:rsidR="00F63030">
        <w:rPr>
          <w:lang w:eastAsia="en-GB"/>
        </w:rPr>
        <w:t xml:space="preserve">. At first sight, it is particularly surprising that Germany had the </w:t>
      </w:r>
      <w:r w:rsidR="009B5375">
        <w:rPr>
          <w:lang w:eastAsia="en-GB"/>
        </w:rPr>
        <w:t>joint-</w:t>
      </w:r>
      <w:r w:rsidR="00F63030">
        <w:rPr>
          <w:lang w:eastAsia="en-GB"/>
        </w:rPr>
        <w:t>highest score because, un</w:t>
      </w:r>
      <w:r w:rsidR="00872EAA">
        <w:rPr>
          <w:lang w:eastAsia="en-GB"/>
        </w:rPr>
        <w:t>us</w:t>
      </w:r>
      <w:r w:rsidR="008C06EF">
        <w:rPr>
          <w:lang w:eastAsia="en-GB"/>
        </w:rPr>
        <w:t>u</w:t>
      </w:r>
      <w:r w:rsidR="00872EAA">
        <w:rPr>
          <w:lang w:eastAsia="en-GB"/>
        </w:rPr>
        <w:t>al</w:t>
      </w:r>
      <w:r w:rsidR="00F63030">
        <w:rPr>
          <w:lang w:eastAsia="en-GB"/>
        </w:rPr>
        <w:t xml:space="preserve">ly among our countries, most </w:t>
      </w:r>
      <w:r w:rsidR="00406D1C">
        <w:rPr>
          <w:lang w:eastAsia="en-GB"/>
        </w:rPr>
        <w:t xml:space="preserve">of its </w:t>
      </w:r>
      <w:r w:rsidR="00F63030">
        <w:rPr>
          <w:lang w:eastAsia="en-GB"/>
        </w:rPr>
        <w:t>firms had adopted IFRS before 2005 and thus had time to refine their reporting. We return to the issue of country comparisons later</w:t>
      </w:r>
      <w:r w:rsidR="00671775">
        <w:rPr>
          <w:lang w:eastAsia="en-GB"/>
        </w:rPr>
        <w:t>.</w:t>
      </w:r>
    </w:p>
    <w:p w14:paraId="7FAD84A1" w14:textId="04A61E54" w:rsidR="00F918A6" w:rsidRDefault="00960928" w:rsidP="00F918A6">
      <w:pPr>
        <w:ind w:firstLine="567"/>
        <w:rPr>
          <w:rFonts w:cs="Times New Roman"/>
        </w:rPr>
      </w:pPr>
      <w:r>
        <w:rPr>
          <w:rFonts w:cs="Times New Roman"/>
        </w:rPr>
        <w:t xml:space="preserve">An important question is: </w:t>
      </w:r>
      <w:r w:rsidR="00E165BD">
        <w:rPr>
          <w:rFonts w:cs="Times New Roman"/>
        </w:rPr>
        <w:t xml:space="preserve">in these annual reports, </w:t>
      </w:r>
      <w:r>
        <w:rPr>
          <w:rFonts w:cs="Times New Roman"/>
        </w:rPr>
        <w:t>do</w:t>
      </w:r>
      <w:r w:rsidR="008B3356">
        <w:rPr>
          <w:rFonts w:cs="Times New Roman"/>
        </w:rPr>
        <w:t>es the use of</w:t>
      </w:r>
      <w:r>
        <w:rPr>
          <w:rFonts w:cs="Times New Roman"/>
        </w:rPr>
        <w:t xml:space="preserve"> </w:t>
      </w:r>
      <w:r w:rsidR="00F9525F">
        <w:rPr>
          <w:rFonts w:cs="Times New Roman"/>
        </w:rPr>
        <w:t>non-proximate</w:t>
      </w:r>
      <w:r>
        <w:rPr>
          <w:rFonts w:cs="Times New Roman"/>
        </w:rPr>
        <w:t xml:space="preserve"> </w:t>
      </w:r>
      <w:r w:rsidR="007C3342">
        <w:rPr>
          <w:rFonts w:cs="Times New Roman"/>
        </w:rPr>
        <w:t>term</w:t>
      </w:r>
      <w:r>
        <w:rPr>
          <w:rFonts w:cs="Times New Roman"/>
        </w:rPr>
        <w:t xml:space="preserve">s matter? </w:t>
      </w:r>
      <w:r w:rsidR="008B3356">
        <w:rPr>
          <w:rFonts w:cs="Times New Roman"/>
        </w:rPr>
        <w:t>To take the simples</w:t>
      </w:r>
      <w:r w:rsidR="00586995">
        <w:rPr>
          <w:rFonts w:cs="Times New Roman"/>
        </w:rPr>
        <w:t>t example, we suggest that</w:t>
      </w:r>
      <w:r w:rsidR="008B3356">
        <w:rPr>
          <w:rFonts w:cs="Times New Roman"/>
        </w:rPr>
        <w:t xml:space="preserve"> readers of the English translation</w:t>
      </w:r>
      <w:r w:rsidR="00586995">
        <w:rPr>
          <w:rFonts w:cs="Times New Roman"/>
        </w:rPr>
        <w:t xml:space="preserve">s of </w:t>
      </w:r>
      <w:r w:rsidR="008B3356">
        <w:rPr>
          <w:rFonts w:cs="Times New Roman"/>
        </w:rPr>
        <w:t>report</w:t>
      </w:r>
      <w:r w:rsidR="00586995">
        <w:rPr>
          <w:rFonts w:cs="Times New Roman"/>
        </w:rPr>
        <w:t xml:space="preserve">s provided by </w:t>
      </w:r>
      <w:r w:rsidR="008B3356">
        <w:rPr>
          <w:rFonts w:cs="Times New Roman"/>
        </w:rPr>
        <w:t>French firm</w:t>
      </w:r>
      <w:r w:rsidR="00586995">
        <w:rPr>
          <w:rFonts w:cs="Times New Roman"/>
        </w:rPr>
        <w:t>s</w:t>
      </w:r>
      <w:r w:rsidR="008B3356">
        <w:rPr>
          <w:rFonts w:cs="Times New Roman"/>
        </w:rPr>
        <w:t xml:space="preserve"> are l</w:t>
      </w:r>
      <w:r w:rsidR="00586995">
        <w:rPr>
          <w:rFonts w:cs="Times New Roman"/>
        </w:rPr>
        <w:t>ikely to be misled when the reports use</w:t>
      </w:r>
      <w:r w:rsidR="008B3356">
        <w:rPr>
          <w:rFonts w:cs="Times New Roman"/>
        </w:rPr>
        <w:t xml:space="preserve"> ‘depreciation’ to mean ‘impairment’. </w:t>
      </w:r>
      <w:r w:rsidR="00E165BD">
        <w:rPr>
          <w:rFonts w:cs="Times New Roman"/>
        </w:rPr>
        <w:t>Also</w:t>
      </w:r>
      <w:r w:rsidR="005F7FE7">
        <w:rPr>
          <w:rFonts w:cs="Times New Roman"/>
        </w:rPr>
        <w:t>,</w:t>
      </w:r>
      <w:r w:rsidR="00E165BD">
        <w:rPr>
          <w:rFonts w:cs="Times New Roman"/>
        </w:rPr>
        <w:t xml:space="preserve"> r</w:t>
      </w:r>
      <w:r w:rsidR="00EE31AB">
        <w:rPr>
          <w:rFonts w:cs="Times New Roman"/>
        </w:rPr>
        <w:t xml:space="preserve">eaders </w:t>
      </w:r>
      <w:r w:rsidR="00B4692E">
        <w:rPr>
          <w:rFonts w:cs="Times New Roman"/>
        </w:rPr>
        <w:t xml:space="preserve">who compare firms internationally </w:t>
      </w:r>
      <w:r w:rsidR="00EE31AB">
        <w:rPr>
          <w:rFonts w:cs="Times New Roman"/>
        </w:rPr>
        <w:t>might not cope with</w:t>
      </w:r>
      <w:r w:rsidR="00B4692E">
        <w:rPr>
          <w:rFonts w:cs="Times New Roman"/>
        </w:rPr>
        <w:t xml:space="preserve"> the variety of</w:t>
      </w:r>
      <w:r w:rsidR="00DC64C4">
        <w:rPr>
          <w:rFonts w:cs="Times New Roman"/>
        </w:rPr>
        <w:t xml:space="preserve"> </w:t>
      </w:r>
      <w:r w:rsidR="00EE31AB">
        <w:rPr>
          <w:rFonts w:cs="Times New Roman"/>
        </w:rPr>
        <w:t>terms used for impairment</w:t>
      </w:r>
      <w:r w:rsidR="00B4692E">
        <w:rPr>
          <w:rFonts w:cs="Times New Roman"/>
        </w:rPr>
        <w:t>: ten in the case of our sample</w:t>
      </w:r>
      <w:r w:rsidR="00EE31AB">
        <w:rPr>
          <w:rFonts w:cs="Times New Roman"/>
        </w:rPr>
        <w:t xml:space="preserve">. </w:t>
      </w:r>
      <w:r w:rsidR="008B358E">
        <w:rPr>
          <w:rFonts w:cs="Times New Roman"/>
        </w:rPr>
        <w:t xml:space="preserve">When researchers </w:t>
      </w:r>
      <w:r w:rsidR="00586995">
        <w:rPr>
          <w:rFonts w:cs="Times New Roman"/>
        </w:rPr>
        <w:t xml:space="preserve">use </w:t>
      </w:r>
      <w:r w:rsidR="008B358E">
        <w:rPr>
          <w:rFonts w:cs="Times New Roman"/>
        </w:rPr>
        <w:t>a database</w:t>
      </w:r>
      <w:r w:rsidR="00586995">
        <w:rPr>
          <w:rFonts w:cs="Times New Roman"/>
        </w:rPr>
        <w:t xml:space="preserve"> </w:t>
      </w:r>
      <w:r>
        <w:rPr>
          <w:rFonts w:cs="Times New Roman"/>
        </w:rPr>
        <w:t>which collect</w:t>
      </w:r>
      <w:r w:rsidR="008B358E">
        <w:rPr>
          <w:rFonts w:cs="Times New Roman"/>
        </w:rPr>
        <w:t>s</w:t>
      </w:r>
      <w:r>
        <w:rPr>
          <w:rFonts w:cs="Times New Roman"/>
        </w:rPr>
        <w:t xml:space="preserve"> </w:t>
      </w:r>
      <w:r w:rsidR="008B358E">
        <w:rPr>
          <w:rFonts w:cs="Times New Roman"/>
        </w:rPr>
        <w:t>information</w:t>
      </w:r>
      <w:r>
        <w:rPr>
          <w:rFonts w:cs="Times New Roman"/>
        </w:rPr>
        <w:t xml:space="preserve"> from annual reports</w:t>
      </w:r>
      <w:r w:rsidR="008B358E">
        <w:rPr>
          <w:rFonts w:cs="Times New Roman"/>
        </w:rPr>
        <w:t>, d</w:t>
      </w:r>
      <w:r w:rsidR="00586995">
        <w:rPr>
          <w:rFonts w:cs="Times New Roman"/>
        </w:rPr>
        <w:t>oes this type of pr</w:t>
      </w:r>
      <w:r w:rsidR="008B358E">
        <w:rPr>
          <w:rFonts w:cs="Times New Roman"/>
        </w:rPr>
        <w:t>oblem feed through</w:t>
      </w:r>
      <w:r w:rsidR="00586995">
        <w:rPr>
          <w:rFonts w:cs="Times New Roman"/>
        </w:rPr>
        <w:t xml:space="preserve">? In order to provide evidence on this, </w:t>
      </w:r>
      <w:r>
        <w:rPr>
          <w:rFonts w:cs="Times New Roman"/>
        </w:rPr>
        <w:t xml:space="preserve">we look at Worldscope, the key international database for accounting data. </w:t>
      </w:r>
      <w:r w:rsidR="00CF2D65">
        <w:rPr>
          <w:rFonts w:cs="Times New Roman"/>
        </w:rPr>
        <w:t>It</w:t>
      </w:r>
      <w:r>
        <w:rPr>
          <w:rFonts w:cs="Times New Roman"/>
        </w:rPr>
        <w:t xml:space="preserve"> has a data field for impairment of PPE (data code: WC18274). </w:t>
      </w:r>
      <w:r w:rsidR="00B457E0">
        <w:rPr>
          <w:rFonts w:cs="Times New Roman"/>
        </w:rPr>
        <w:t>W</w:t>
      </w:r>
      <w:r w:rsidR="00586995">
        <w:rPr>
          <w:rFonts w:cs="Times New Roman"/>
        </w:rPr>
        <w:t xml:space="preserve">e find </w:t>
      </w:r>
      <w:r w:rsidR="00644FCC">
        <w:rPr>
          <w:rFonts w:cs="Times New Roman"/>
        </w:rPr>
        <w:t>cases where Worldscope erroneously records a missing value</w:t>
      </w:r>
      <w:r w:rsidR="003B5E6A">
        <w:rPr>
          <w:rFonts w:cs="Times New Roman"/>
        </w:rPr>
        <w:t xml:space="preserve"> (‘NA’) </w:t>
      </w:r>
      <w:r w:rsidR="00601F99">
        <w:rPr>
          <w:rFonts w:cs="Times New Roman"/>
        </w:rPr>
        <w:t>for this field</w:t>
      </w:r>
      <w:r w:rsidR="00644FCC">
        <w:rPr>
          <w:rFonts w:cs="Times New Roman"/>
        </w:rPr>
        <w:t xml:space="preserve"> </w:t>
      </w:r>
      <w:r w:rsidR="00B939C9">
        <w:rPr>
          <w:rFonts w:cs="Times New Roman"/>
        </w:rPr>
        <w:t>whe</w:t>
      </w:r>
      <w:r w:rsidR="00644FCC">
        <w:rPr>
          <w:rFonts w:cs="Times New Roman"/>
        </w:rPr>
        <w:t>n</w:t>
      </w:r>
      <w:r w:rsidR="00B939C9">
        <w:rPr>
          <w:rFonts w:cs="Times New Roman"/>
        </w:rPr>
        <w:t xml:space="preserve"> the translated report used</w:t>
      </w:r>
      <w:r>
        <w:rPr>
          <w:rFonts w:cs="Times New Roman"/>
        </w:rPr>
        <w:t xml:space="preserve"> </w:t>
      </w:r>
      <w:r w:rsidR="00644FCC">
        <w:rPr>
          <w:rFonts w:cs="Times New Roman"/>
        </w:rPr>
        <w:t xml:space="preserve">a </w:t>
      </w:r>
      <w:r w:rsidR="00F9525F">
        <w:rPr>
          <w:rFonts w:cs="Times New Roman"/>
        </w:rPr>
        <w:t>non-proximate</w:t>
      </w:r>
      <w:r>
        <w:rPr>
          <w:rFonts w:cs="Times New Roman"/>
        </w:rPr>
        <w:t xml:space="preserve"> </w:t>
      </w:r>
      <w:r w:rsidR="007C3342">
        <w:rPr>
          <w:rFonts w:cs="Times New Roman"/>
        </w:rPr>
        <w:t>term</w:t>
      </w:r>
      <w:r w:rsidR="00601F99">
        <w:rPr>
          <w:rFonts w:cs="Times New Roman"/>
        </w:rPr>
        <w:t xml:space="preserve"> for impairment</w:t>
      </w:r>
      <w:r>
        <w:rPr>
          <w:rFonts w:cs="Times New Roman"/>
        </w:rPr>
        <w:t>.</w:t>
      </w:r>
      <w:r w:rsidR="00B939C9">
        <w:rPr>
          <w:rStyle w:val="FootnoteReference"/>
          <w:rFonts w:cs="Times New Roman"/>
        </w:rPr>
        <w:footnoteReference w:id="51"/>
      </w:r>
      <w:r>
        <w:rPr>
          <w:rFonts w:cs="Times New Roman"/>
        </w:rPr>
        <w:t xml:space="preserve"> This suggests that data analysts </w:t>
      </w:r>
      <w:r w:rsidR="00CF2D65">
        <w:rPr>
          <w:rFonts w:cs="Times New Roman"/>
        </w:rPr>
        <w:t xml:space="preserve">using Worldscope </w:t>
      </w:r>
      <w:r>
        <w:rPr>
          <w:rFonts w:cs="Times New Roman"/>
        </w:rPr>
        <w:t>have been misl</w:t>
      </w:r>
      <w:r w:rsidR="00F42709">
        <w:rPr>
          <w:rFonts w:cs="Times New Roman"/>
        </w:rPr>
        <w:t xml:space="preserve">ed by the </w:t>
      </w:r>
      <w:r w:rsidR="00F9525F">
        <w:rPr>
          <w:rFonts w:cs="Times New Roman"/>
        </w:rPr>
        <w:t>non-proximate</w:t>
      </w:r>
      <w:r w:rsidR="00F42709">
        <w:rPr>
          <w:rFonts w:cs="Times New Roman"/>
        </w:rPr>
        <w:t xml:space="preserve"> terms</w:t>
      </w:r>
      <w:r w:rsidR="00F918A6">
        <w:rPr>
          <w:rFonts w:cs="Times New Roman"/>
        </w:rPr>
        <w:t>.</w:t>
      </w:r>
    </w:p>
    <w:p w14:paraId="29C7BEF3" w14:textId="480165DF" w:rsidR="00F42709" w:rsidRPr="00C141D7" w:rsidRDefault="00F918A6" w:rsidP="00F918A6">
      <w:pPr>
        <w:ind w:firstLine="567"/>
      </w:pPr>
      <w:r w:rsidRPr="00EB2E6C">
        <w:rPr>
          <w:rFonts w:cs="Times New Roman"/>
        </w:rPr>
        <w:t xml:space="preserve">Can the problem be avoided via eXtensible Business Reporting Language (XBRL)? </w:t>
      </w:r>
      <w:r w:rsidRPr="00563537">
        <w:t xml:space="preserve">It cannot because, other than for firms registered with the Securities and </w:t>
      </w:r>
      <w:r w:rsidRPr="00A647A7">
        <w:t>Exchange Commission in the USA, XBRL is not yet mandatory for external financial reporting of consolidated financial statements. The UK and Ireland are more advanced than most European countries</w:t>
      </w:r>
      <w:r w:rsidRPr="00A647A7">
        <w:rPr>
          <w:rStyle w:val="FootnoteReference"/>
        </w:rPr>
        <w:footnoteReference w:id="52"/>
      </w:r>
      <w:r w:rsidRPr="00A647A7">
        <w:t xml:space="preserve"> in the use of XBRL but, even in those countries, XBRL is currently used only for tax filing, which involves applying XBRL tags to numbers in unconsolidated tax-relevant reports which are of little interest to investors</w:t>
      </w:r>
      <w:r w:rsidRPr="00C141D7">
        <w:t>.</w:t>
      </w:r>
    </w:p>
    <w:p w14:paraId="355F6C9E" w14:textId="1B02246D" w:rsidR="00524040" w:rsidRPr="00095B86" w:rsidRDefault="008C3040" w:rsidP="00524040">
      <w:pPr>
        <w:pStyle w:val="Heading2"/>
        <w:rPr>
          <w:rFonts w:cs="Times New Roman"/>
          <w:b/>
          <w:szCs w:val="22"/>
        </w:rPr>
      </w:pPr>
      <w:r>
        <w:rPr>
          <w:rFonts w:cs="Times New Roman"/>
          <w:szCs w:val="22"/>
        </w:rPr>
        <w:t>5</w:t>
      </w:r>
      <w:r w:rsidR="00524040">
        <w:rPr>
          <w:rFonts w:cs="Times New Roman"/>
          <w:szCs w:val="22"/>
        </w:rPr>
        <w:t xml:space="preserve">.2 </w:t>
      </w:r>
      <w:r w:rsidR="005F246D">
        <w:rPr>
          <w:rFonts w:cs="Times New Roman"/>
          <w:szCs w:val="22"/>
        </w:rPr>
        <w:t xml:space="preserve">Are the </w:t>
      </w:r>
      <w:r w:rsidR="00F9525F">
        <w:rPr>
          <w:lang w:eastAsia="en-GB"/>
        </w:rPr>
        <w:t>non-proximate</w:t>
      </w:r>
      <w:r w:rsidR="005F246D">
        <w:rPr>
          <w:rFonts w:cs="Times New Roman"/>
          <w:szCs w:val="22"/>
        </w:rPr>
        <w:t xml:space="preserve"> </w:t>
      </w:r>
      <w:r w:rsidR="007C3342">
        <w:rPr>
          <w:rFonts w:cs="Times New Roman"/>
          <w:szCs w:val="22"/>
        </w:rPr>
        <w:t>term</w:t>
      </w:r>
      <w:r w:rsidR="005F246D">
        <w:rPr>
          <w:rFonts w:cs="Times New Roman"/>
          <w:szCs w:val="22"/>
        </w:rPr>
        <w:t>s in annual reports linked to translations of IAS 36?</w:t>
      </w:r>
    </w:p>
    <w:p w14:paraId="3D139C8D" w14:textId="6B6D59F7" w:rsidR="008B3356" w:rsidRDefault="00F63030" w:rsidP="009C6E5C">
      <w:pPr>
        <w:ind w:firstLine="567"/>
        <w:rPr>
          <w:lang w:eastAsia="en-GB"/>
        </w:rPr>
      </w:pPr>
      <w:r>
        <w:rPr>
          <w:lang w:eastAsia="en-GB"/>
        </w:rPr>
        <w:t xml:space="preserve">We now connect the </w:t>
      </w:r>
      <w:r w:rsidR="00F9525F">
        <w:rPr>
          <w:lang w:eastAsia="en-GB"/>
        </w:rPr>
        <w:t>non-proximate</w:t>
      </w:r>
      <w:r>
        <w:rPr>
          <w:lang w:eastAsia="en-GB"/>
        </w:rPr>
        <w:t xml:space="preserve"> </w:t>
      </w:r>
      <w:r w:rsidR="007C3342">
        <w:rPr>
          <w:lang w:eastAsia="en-GB"/>
        </w:rPr>
        <w:t>term</w:t>
      </w:r>
      <w:r>
        <w:rPr>
          <w:lang w:eastAsia="en-GB"/>
        </w:rPr>
        <w:t xml:space="preserve">s </w:t>
      </w:r>
      <w:r w:rsidR="00630833">
        <w:rPr>
          <w:lang w:eastAsia="en-GB"/>
        </w:rPr>
        <w:t>found in annual reports (as in</w:t>
      </w:r>
      <w:r>
        <w:rPr>
          <w:lang w:eastAsia="en-GB"/>
        </w:rPr>
        <w:t xml:space="preserve"> Table 2</w:t>
      </w:r>
      <w:r w:rsidR="00630833">
        <w:rPr>
          <w:lang w:eastAsia="en-GB"/>
        </w:rPr>
        <w:t>)</w:t>
      </w:r>
      <w:r>
        <w:rPr>
          <w:lang w:eastAsia="en-GB"/>
        </w:rPr>
        <w:t xml:space="preserve"> to the </w:t>
      </w:r>
      <w:r w:rsidR="007C3342">
        <w:rPr>
          <w:lang w:eastAsia="en-GB"/>
        </w:rPr>
        <w:t>term</w:t>
      </w:r>
      <w:r w:rsidR="00630833">
        <w:rPr>
          <w:lang w:eastAsia="en-GB"/>
        </w:rPr>
        <w:t>s used for</w:t>
      </w:r>
      <w:r>
        <w:rPr>
          <w:lang w:eastAsia="en-GB"/>
        </w:rPr>
        <w:t xml:space="preserve"> </w:t>
      </w:r>
      <w:r w:rsidR="0024488F">
        <w:rPr>
          <w:lang w:eastAsia="en-GB"/>
        </w:rPr>
        <w:t>‘impairment’</w:t>
      </w:r>
      <w:r w:rsidR="006E2160">
        <w:rPr>
          <w:lang w:eastAsia="en-GB"/>
        </w:rPr>
        <w:t xml:space="preserve"> in</w:t>
      </w:r>
      <w:r w:rsidR="00630833">
        <w:rPr>
          <w:lang w:eastAsia="en-GB"/>
        </w:rPr>
        <w:t xml:space="preserve"> the translations of IAS 36 (as in</w:t>
      </w:r>
      <w:r w:rsidR="006E2160">
        <w:rPr>
          <w:lang w:eastAsia="en-GB"/>
        </w:rPr>
        <w:t xml:space="preserve"> Table 1</w:t>
      </w:r>
      <w:r w:rsidR="00630833">
        <w:rPr>
          <w:lang w:eastAsia="en-GB"/>
        </w:rPr>
        <w:t>)</w:t>
      </w:r>
      <w:r>
        <w:rPr>
          <w:lang w:eastAsia="en-GB"/>
        </w:rPr>
        <w:t xml:space="preserve">. </w:t>
      </w:r>
      <w:r w:rsidR="008B3356">
        <w:rPr>
          <w:lang w:eastAsia="en-GB"/>
        </w:rPr>
        <w:t xml:space="preserve">As explained in Section 2.2, this does not mean that we are using precise back-translation as a test of the quality of translations. In Section </w:t>
      </w:r>
      <w:r w:rsidR="007D4460">
        <w:rPr>
          <w:lang w:eastAsia="en-GB"/>
        </w:rPr>
        <w:t>5</w:t>
      </w:r>
      <w:r w:rsidR="008B3356">
        <w:rPr>
          <w:lang w:eastAsia="en-GB"/>
        </w:rPr>
        <w:t>.</w:t>
      </w:r>
      <w:r w:rsidR="00726847">
        <w:rPr>
          <w:lang w:eastAsia="en-GB"/>
        </w:rPr>
        <w:t>1</w:t>
      </w:r>
      <w:r w:rsidR="008B3356">
        <w:rPr>
          <w:lang w:eastAsia="en-GB"/>
        </w:rPr>
        <w:t>, we include</w:t>
      </w:r>
      <w:r w:rsidR="00CF2D65">
        <w:rPr>
          <w:lang w:eastAsia="en-GB"/>
        </w:rPr>
        <w:t>d</w:t>
      </w:r>
      <w:r w:rsidR="008B3356">
        <w:rPr>
          <w:lang w:eastAsia="en-GB"/>
        </w:rPr>
        <w:t xml:space="preserve"> a number of different terms as conveying </w:t>
      </w:r>
      <w:r w:rsidR="00E165BD">
        <w:rPr>
          <w:lang w:eastAsia="en-GB"/>
        </w:rPr>
        <w:t>proximate</w:t>
      </w:r>
      <w:r w:rsidR="008B3356">
        <w:rPr>
          <w:lang w:eastAsia="en-GB"/>
        </w:rPr>
        <w:t xml:space="preserve"> information to the single-word ‘impairment’.</w:t>
      </w:r>
    </w:p>
    <w:p w14:paraId="15095F21" w14:textId="36E11739" w:rsidR="00BD032E" w:rsidRDefault="003B59D5" w:rsidP="009C6E5C">
      <w:pPr>
        <w:ind w:firstLine="567"/>
        <w:rPr>
          <w:lang w:eastAsia="en-GB"/>
        </w:rPr>
      </w:pPr>
      <w:r>
        <w:rPr>
          <w:lang w:eastAsia="en-GB"/>
        </w:rPr>
        <w:t>T</w:t>
      </w:r>
      <w:r w:rsidR="00F63030">
        <w:rPr>
          <w:lang w:eastAsia="en-GB"/>
        </w:rPr>
        <w:t xml:space="preserve">he </w:t>
      </w:r>
      <w:r w:rsidR="00F9525F">
        <w:rPr>
          <w:lang w:eastAsia="en-GB"/>
        </w:rPr>
        <w:t>non-proximate</w:t>
      </w:r>
      <w:r w:rsidR="00F63030">
        <w:rPr>
          <w:lang w:eastAsia="en-GB"/>
        </w:rPr>
        <w:t xml:space="preserve"> </w:t>
      </w:r>
      <w:r w:rsidR="007C3342">
        <w:rPr>
          <w:lang w:eastAsia="en-GB"/>
        </w:rPr>
        <w:t>term</w:t>
      </w:r>
      <w:r w:rsidR="00F63030">
        <w:rPr>
          <w:lang w:eastAsia="en-GB"/>
        </w:rPr>
        <w:t>s</w:t>
      </w:r>
      <w:r w:rsidR="00630833">
        <w:rPr>
          <w:lang w:eastAsia="en-GB"/>
        </w:rPr>
        <w:t xml:space="preserve"> in German reports</w:t>
      </w:r>
      <w:r w:rsidR="00F63030">
        <w:rPr>
          <w:lang w:eastAsia="en-GB"/>
        </w:rPr>
        <w:t xml:space="preserve"> were: depreciation, unscheduled depreciation</w:t>
      </w:r>
      <w:r w:rsidR="001C762C">
        <w:rPr>
          <w:lang w:eastAsia="en-GB"/>
        </w:rPr>
        <w:t>,</w:t>
      </w:r>
      <w:r w:rsidR="00F63030">
        <w:rPr>
          <w:lang w:eastAsia="en-GB"/>
        </w:rPr>
        <w:t xml:space="preserve"> write-downs</w:t>
      </w:r>
      <w:r w:rsidR="001C762C" w:rsidRPr="001C762C">
        <w:rPr>
          <w:lang w:eastAsia="en-GB"/>
        </w:rPr>
        <w:t xml:space="preserve"> </w:t>
      </w:r>
      <w:r w:rsidR="001C762C">
        <w:rPr>
          <w:lang w:eastAsia="en-GB"/>
        </w:rPr>
        <w:t xml:space="preserve">and unscheduled </w:t>
      </w:r>
      <w:r w:rsidR="002A229B">
        <w:rPr>
          <w:lang w:eastAsia="en-GB"/>
        </w:rPr>
        <w:t>write-downs</w:t>
      </w:r>
      <w:r w:rsidR="00F63030">
        <w:rPr>
          <w:lang w:eastAsia="en-GB"/>
        </w:rPr>
        <w:t xml:space="preserve">. This is clear evidence of a translation problem but not exactly the one we anticipated in Section </w:t>
      </w:r>
      <w:r w:rsidR="00CA39E5">
        <w:rPr>
          <w:lang w:eastAsia="en-GB"/>
        </w:rPr>
        <w:t>3</w:t>
      </w:r>
      <w:r w:rsidR="00F63030">
        <w:rPr>
          <w:lang w:eastAsia="en-GB"/>
        </w:rPr>
        <w:t xml:space="preserve">. The </w:t>
      </w:r>
      <w:r w:rsidR="007C3342">
        <w:rPr>
          <w:lang w:eastAsia="en-GB"/>
        </w:rPr>
        <w:t>term</w:t>
      </w:r>
      <w:r w:rsidR="00F63030">
        <w:rPr>
          <w:lang w:eastAsia="en-GB"/>
        </w:rPr>
        <w:t>s in the translated reports are</w:t>
      </w:r>
      <w:r>
        <w:rPr>
          <w:lang w:eastAsia="en-GB"/>
        </w:rPr>
        <w:t>, indeed,</w:t>
      </w:r>
      <w:r w:rsidR="00F63030">
        <w:rPr>
          <w:lang w:eastAsia="en-GB"/>
        </w:rPr>
        <w:t xml:space="preserve"> not </w:t>
      </w:r>
      <w:r w:rsidR="00E165BD">
        <w:rPr>
          <w:lang w:eastAsia="en-GB"/>
        </w:rPr>
        <w:t>proximate</w:t>
      </w:r>
      <w:r w:rsidR="00F63030">
        <w:rPr>
          <w:lang w:eastAsia="en-GB"/>
        </w:rPr>
        <w:t xml:space="preserve"> to ‘impairment’. However, </w:t>
      </w:r>
      <w:r w:rsidR="00ED17F7">
        <w:rPr>
          <w:lang w:eastAsia="en-GB"/>
        </w:rPr>
        <w:t xml:space="preserve">none of them </w:t>
      </w:r>
      <w:r w:rsidR="00F63030">
        <w:rPr>
          <w:lang w:eastAsia="en-GB"/>
        </w:rPr>
        <w:t>result from translation of the German ‘</w:t>
      </w:r>
      <w:r w:rsidR="00F63030">
        <w:rPr>
          <w:i/>
          <w:lang w:eastAsia="en-GB"/>
        </w:rPr>
        <w:t>Wertminderung</w:t>
      </w:r>
      <w:r w:rsidR="00F63030">
        <w:rPr>
          <w:lang w:eastAsia="en-GB"/>
        </w:rPr>
        <w:t>’ (as in IAS 36) but from</w:t>
      </w:r>
      <w:r w:rsidR="006E2160">
        <w:rPr>
          <w:lang w:eastAsia="en-GB"/>
        </w:rPr>
        <w:t xml:space="preserve"> </w:t>
      </w:r>
      <w:r w:rsidR="00F63030">
        <w:rPr>
          <w:lang w:eastAsia="en-GB"/>
        </w:rPr>
        <w:t>translation</w:t>
      </w:r>
      <w:r w:rsidR="00630833">
        <w:rPr>
          <w:lang w:eastAsia="en-GB"/>
        </w:rPr>
        <w:t>s</w:t>
      </w:r>
      <w:r w:rsidR="00F63030">
        <w:rPr>
          <w:lang w:eastAsia="en-GB"/>
        </w:rPr>
        <w:t xml:space="preserve"> of </w:t>
      </w:r>
      <w:r w:rsidR="00630833">
        <w:rPr>
          <w:lang w:eastAsia="en-GB"/>
        </w:rPr>
        <w:t xml:space="preserve">the </w:t>
      </w:r>
      <w:r w:rsidR="007C3342">
        <w:rPr>
          <w:lang w:eastAsia="en-GB"/>
        </w:rPr>
        <w:t>term</w:t>
      </w:r>
      <w:r w:rsidR="003D72DB">
        <w:rPr>
          <w:lang w:eastAsia="en-GB"/>
        </w:rPr>
        <w:t xml:space="preserve"> in</w:t>
      </w:r>
      <w:r w:rsidR="00F63030">
        <w:rPr>
          <w:lang w:eastAsia="en-GB"/>
        </w:rPr>
        <w:t xml:space="preserve"> </w:t>
      </w:r>
      <w:r w:rsidR="006E2160">
        <w:rPr>
          <w:lang w:eastAsia="en-GB"/>
        </w:rPr>
        <w:t>German law</w:t>
      </w:r>
      <w:r w:rsidR="00F63030">
        <w:rPr>
          <w:lang w:eastAsia="en-GB"/>
        </w:rPr>
        <w:t xml:space="preserve"> </w:t>
      </w:r>
      <w:r w:rsidR="005F7FE7">
        <w:rPr>
          <w:lang w:eastAsia="en-GB"/>
        </w:rPr>
        <w:t>(</w:t>
      </w:r>
      <w:r w:rsidR="007F2159">
        <w:rPr>
          <w:lang w:eastAsia="en-GB"/>
        </w:rPr>
        <w:t>s</w:t>
      </w:r>
      <w:r w:rsidR="005F7FE7">
        <w:rPr>
          <w:lang w:eastAsia="en-GB"/>
        </w:rPr>
        <w:t xml:space="preserve">ee Appendix 1) </w:t>
      </w:r>
      <w:r w:rsidR="00F63030">
        <w:rPr>
          <w:lang w:eastAsia="en-GB"/>
        </w:rPr>
        <w:t xml:space="preserve">that </w:t>
      </w:r>
      <w:r w:rsidR="00CF2D65">
        <w:rPr>
          <w:lang w:eastAsia="en-GB"/>
        </w:rPr>
        <w:t>is</w:t>
      </w:r>
      <w:r w:rsidR="00F63030">
        <w:rPr>
          <w:lang w:eastAsia="en-GB"/>
        </w:rPr>
        <w:t xml:space="preserve"> still being used in German </w:t>
      </w:r>
      <w:r w:rsidR="002A229B">
        <w:rPr>
          <w:lang w:eastAsia="en-GB"/>
        </w:rPr>
        <w:t xml:space="preserve">language </w:t>
      </w:r>
      <w:r w:rsidR="00F63030">
        <w:rPr>
          <w:lang w:eastAsia="en-GB"/>
        </w:rPr>
        <w:t xml:space="preserve">IFRS reports. </w:t>
      </w:r>
      <w:r w:rsidR="00354534">
        <w:rPr>
          <w:lang w:eastAsia="en-GB"/>
        </w:rPr>
        <w:t xml:space="preserve">As explained in Section </w:t>
      </w:r>
      <w:r w:rsidR="00CA39E5">
        <w:rPr>
          <w:lang w:eastAsia="en-GB"/>
        </w:rPr>
        <w:t>3</w:t>
      </w:r>
      <w:r w:rsidR="00354534">
        <w:rPr>
          <w:lang w:eastAsia="en-GB"/>
        </w:rPr>
        <w:t>, i</w:t>
      </w:r>
      <w:r w:rsidR="00F63030">
        <w:rPr>
          <w:lang w:eastAsia="en-GB"/>
        </w:rPr>
        <w:t>n that</w:t>
      </w:r>
      <w:r w:rsidR="00354534">
        <w:rPr>
          <w:lang w:eastAsia="en-GB"/>
        </w:rPr>
        <w:t xml:space="preserve"> </w:t>
      </w:r>
      <w:r w:rsidR="006E2160">
        <w:rPr>
          <w:lang w:eastAsia="en-GB"/>
        </w:rPr>
        <w:t>legal</w:t>
      </w:r>
      <w:r w:rsidR="00F63030">
        <w:rPr>
          <w:lang w:eastAsia="en-GB"/>
        </w:rPr>
        <w:t xml:space="preserve"> terminology, impairment </w:t>
      </w:r>
      <w:r w:rsidR="006E2160">
        <w:rPr>
          <w:lang w:eastAsia="en-GB"/>
        </w:rPr>
        <w:t>is</w:t>
      </w:r>
      <w:r w:rsidR="00F63030">
        <w:rPr>
          <w:lang w:eastAsia="en-GB"/>
        </w:rPr>
        <w:t xml:space="preserve"> a type of </w:t>
      </w:r>
      <w:r w:rsidR="005B3E59">
        <w:rPr>
          <w:lang w:eastAsia="en-GB"/>
        </w:rPr>
        <w:t>off-</w:t>
      </w:r>
      <w:r w:rsidR="00F63030">
        <w:rPr>
          <w:lang w:eastAsia="en-GB"/>
        </w:rPr>
        <w:t>writ</w:t>
      </w:r>
      <w:r w:rsidR="005B3E59">
        <w:rPr>
          <w:lang w:eastAsia="en-GB"/>
        </w:rPr>
        <w:t>ing</w:t>
      </w:r>
      <w:r w:rsidR="00F63030">
        <w:rPr>
          <w:lang w:eastAsia="en-GB"/>
        </w:rPr>
        <w:t xml:space="preserve"> (</w:t>
      </w:r>
      <w:r w:rsidR="00F63030">
        <w:rPr>
          <w:i/>
          <w:lang w:eastAsia="en-GB"/>
        </w:rPr>
        <w:t>Abschreibung</w:t>
      </w:r>
      <w:r w:rsidR="00F63030">
        <w:rPr>
          <w:lang w:eastAsia="en-GB"/>
        </w:rPr>
        <w:t>)</w:t>
      </w:r>
      <w:r w:rsidR="00CE1C78">
        <w:rPr>
          <w:lang w:eastAsia="en-GB"/>
        </w:rPr>
        <w:t xml:space="preserve">, </w:t>
      </w:r>
      <w:r w:rsidR="00F63030">
        <w:rPr>
          <w:lang w:eastAsia="en-GB"/>
        </w:rPr>
        <w:t>in particular an unscheduled one (</w:t>
      </w:r>
      <w:r w:rsidR="00F63030">
        <w:rPr>
          <w:i/>
          <w:lang w:eastAsia="en-GB"/>
        </w:rPr>
        <w:t>au</w:t>
      </w:r>
      <w:r w:rsidR="003D1057" w:rsidRPr="00763780">
        <w:rPr>
          <w:i/>
        </w:rPr>
        <w:t>ß</w:t>
      </w:r>
      <w:r w:rsidR="00F63030">
        <w:rPr>
          <w:i/>
          <w:lang w:eastAsia="en-GB"/>
        </w:rPr>
        <w:t>erplanm</w:t>
      </w:r>
      <w:r w:rsidR="00F63030">
        <w:rPr>
          <w:rFonts w:cs="Times New Roman"/>
          <w:i/>
          <w:lang w:eastAsia="en-GB"/>
        </w:rPr>
        <w:t>ä</w:t>
      </w:r>
      <w:r w:rsidR="003D1057" w:rsidRPr="00763780">
        <w:rPr>
          <w:i/>
        </w:rPr>
        <w:t>ß</w:t>
      </w:r>
      <w:r w:rsidR="00F63030">
        <w:rPr>
          <w:i/>
          <w:lang w:eastAsia="en-GB"/>
        </w:rPr>
        <w:t>ige Abschreibung</w:t>
      </w:r>
      <w:r w:rsidR="00F63030">
        <w:rPr>
          <w:lang w:eastAsia="en-GB"/>
        </w:rPr>
        <w:t xml:space="preserve">). </w:t>
      </w:r>
      <w:r w:rsidR="00531CBE">
        <w:rPr>
          <w:lang w:eastAsia="en-GB"/>
        </w:rPr>
        <w:t>From before the use of IFRS, ‘</w:t>
      </w:r>
      <w:r w:rsidR="00531CBE" w:rsidRPr="00531CBE">
        <w:rPr>
          <w:i/>
          <w:lang w:eastAsia="en-GB"/>
        </w:rPr>
        <w:t>Abschreibung</w:t>
      </w:r>
      <w:r w:rsidR="00531CBE">
        <w:rPr>
          <w:i/>
          <w:lang w:eastAsia="en-GB"/>
        </w:rPr>
        <w:t>’</w:t>
      </w:r>
      <w:r w:rsidR="00F63030">
        <w:rPr>
          <w:lang w:eastAsia="en-GB"/>
        </w:rPr>
        <w:t xml:space="preserve"> ha</w:t>
      </w:r>
      <w:r w:rsidR="006E2160">
        <w:rPr>
          <w:lang w:eastAsia="en-GB"/>
        </w:rPr>
        <w:t>s</w:t>
      </w:r>
      <w:r w:rsidR="00F63030">
        <w:rPr>
          <w:lang w:eastAsia="en-GB"/>
        </w:rPr>
        <w:t xml:space="preserve"> generally been translated into English-language reports as ‘depreciation’. </w:t>
      </w:r>
      <w:r w:rsidR="00BB2CA9">
        <w:rPr>
          <w:lang w:eastAsia="en-GB"/>
        </w:rPr>
        <w:t xml:space="preserve">This has always been a misleading translation </w:t>
      </w:r>
      <w:r w:rsidR="00630833">
        <w:rPr>
          <w:lang w:eastAsia="en-GB"/>
        </w:rPr>
        <w:t xml:space="preserve">(to the extent that it includes impairment) </w:t>
      </w:r>
      <w:r w:rsidR="00BB2CA9">
        <w:rPr>
          <w:lang w:eastAsia="en-GB"/>
        </w:rPr>
        <w:t>because impairment is a form of write-</w:t>
      </w:r>
      <w:r w:rsidR="005B3E59">
        <w:rPr>
          <w:lang w:eastAsia="en-GB"/>
        </w:rPr>
        <w:t>down</w:t>
      </w:r>
      <w:r w:rsidR="00BB2CA9">
        <w:rPr>
          <w:lang w:eastAsia="en-GB"/>
        </w:rPr>
        <w:t xml:space="preserve"> but not a form of depreciation </w:t>
      </w:r>
      <w:r w:rsidR="00524040">
        <w:rPr>
          <w:lang w:eastAsia="en-GB"/>
        </w:rPr>
        <w:t>since</w:t>
      </w:r>
      <w:r w:rsidR="00BB2CA9">
        <w:rPr>
          <w:lang w:eastAsia="en-GB"/>
        </w:rPr>
        <w:t xml:space="preserve"> it is unplanned and unsystematic.</w:t>
      </w:r>
      <w:r w:rsidR="00522DB5">
        <w:rPr>
          <w:lang w:eastAsia="en-GB"/>
        </w:rPr>
        <w:t xml:space="preserve"> </w:t>
      </w:r>
      <w:r w:rsidR="00BB2CA9">
        <w:rPr>
          <w:lang w:eastAsia="en-GB"/>
        </w:rPr>
        <w:t>So, ‘</w:t>
      </w:r>
      <w:r w:rsidR="00BB2CA9" w:rsidRPr="00D2687B">
        <w:rPr>
          <w:i/>
          <w:lang w:eastAsia="en-GB"/>
        </w:rPr>
        <w:t>Abschreibung</w:t>
      </w:r>
      <w:r w:rsidR="00BB2CA9">
        <w:rPr>
          <w:i/>
          <w:lang w:eastAsia="en-GB"/>
        </w:rPr>
        <w:t>’</w:t>
      </w:r>
      <w:r w:rsidR="00BB2CA9">
        <w:rPr>
          <w:lang w:eastAsia="en-GB"/>
        </w:rPr>
        <w:t xml:space="preserve"> would be better rendered </w:t>
      </w:r>
      <w:r w:rsidR="005F7FE7">
        <w:rPr>
          <w:lang w:eastAsia="en-GB"/>
        </w:rPr>
        <w:t>as</w:t>
      </w:r>
      <w:r w:rsidR="00BB2CA9">
        <w:rPr>
          <w:lang w:eastAsia="en-GB"/>
        </w:rPr>
        <w:t xml:space="preserve"> ‘depreciation and impairment’.</w:t>
      </w:r>
    </w:p>
    <w:p w14:paraId="61021755" w14:textId="3F8D431C" w:rsidR="00F63030" w:rsidRDefault="00BB45F4" w:rsidP="00F2693B">
      <w:pPr>
        <w:ind w:firstLine="720"/>
        <w:rPr>
          <w:lang w:eastAsia="en-GB"/>
        </w:rPr>
      </w:pPr>
      <w:r>
        <w:rPr>
          <w:lang w:eastAsia="en-GB"/>
        </w:rPr>
        <w:t xml:space="preserve">We find no </w:t>
      </w:r>
      <w:r w:rsidR="002A229B">
        <w:rPr>
          <w:lang w:eastAsia="en-GB"/>
        </w:rPr>
        <w:t>use</w:t>
      </w:r>
      <w:r>
        <w:rPr>
          <w:lang w:eastAsia="en-GB"/>
        </w:rPr>
        <w:t xml:space="preserve"> of ‘write-off</w:t>
      </w:r>
      <w:r w:rsidR="001578B5">
        <w:rPr>
          <w:lang w:eastAsia="en-GB"/>
        </w:rPr>
        <w:t>s</w:t>
      </w:r>
      <w:r>
        <w:rPr>
          <w:lang w:eastAsia="en-GB"/>
        </w:rPr>
        <w:t xml:space="preserve">’ </w:t>
      </w:r>
      <w:r w:rsidR="002A229B">
        <w:rPr>
          <w:lang w:eastAsia="en-GB"/>
        </w:rPr>
        <w:t xml:space="preserve">to signify impairment </w:t>
      </w:r>
      <w:r>
        <w:rPr>
          <w:lang w:eastAsia="en-GB"/>
        </w:rPr>
        <w:t xml:space="preserve">in the translated </w:t>
      </w:r>
      <w:r w:rsidR="000E2368">
        <w:rPr>
          <w:lang w:eastAsia="en-GB"/>
        </w:rPr>
        <w:t xml:space="preserve">German </w:t>
      </w:r>
      <w:r>
        <w:rPr>
          <w:lang w:eastAsia="en-GB"/>
        </w:rPr>
        <w:t xml:space="preserve">reports. </w:t>
      </w:r>
      <w:r w:rsidR="001651E6">
        <w:rPr>
          <w:lang w:eastAsia="en-GB"/>
        </w:rPr>
        <w:t xml:space="preserve">Sometimes </w:t>
      </w:r>
      <w:r w:rsidR="00F03004">
        <w:rPr>
          <w:lang w:eastAsia="en-GB"/>
        </w:rPr>
        <w:t>there is a s</w:t>
      </w:r>
      <w:r w:rsidR="003065AA">
        <w:rPr>
          <w:lang w:eastAsia="en-GB"/>
        </w:rPr>
        <w:t>ingle heading or line for</w:t>
      </w:r>
      <w:r w:rsidR="00F03004">
        <w:rPr>
          <w:lang w:eastAsia="en-GB"/>
        </w:rPr>
        <w:t xml:space="preserve"> ‘write-downs’ which </w:t>
      </w:r>
      <w:r w:rsidR="00312F38">
        <w:rPr>
          <w:lang w:eastAsia="en-GB"/>
        </w:rPr>
        <w:t>apparently</w:t>
      </w:r>
      <w:r w:rsidR="00F03004">
        <w:rPr>
          <w:lang w:eastAsia="en-GB"/>
        </w:rPr>
        <w:t xml:space="preserve"> include</w:t>
      </w:r>
      <w:r w:rsidR="00B5629E">
        <w:rPr>
          <w:lang w:eastAsia="en-GB"/>
        </w:rPr>
        <w:t>s</w:t>
      </w:r>
      <w:r w:rsidR="00F03004">
        <w:rPr>
          <w:lang w:eastAsia="en-GB"/>
        </w:rPr>
        <w:t xml:space="preserve"> both depreciation and impairment, </w:t>
      </w:r>
      <w:r w:rsidR="003065AA">
        <w:rPr>
          <w:lang w:eastAsia="en-GB"/>
        </w:rPr>
        <w:t>but</w:t>
      </w:r>
      <w:r w:rsidR="00037805">
        <w:rPr>
          <w:lang w:eastAsia="en-GB"/>
        </w:rPr>
        <w:t xml:space="preserve"> </w:t>
      </w:r>
      <w:r w:rsidR="000B6FB8">
        <w:rPr>
          <w:lang w:eastAsia="en-GB"/>
        </w:rPr>
        <w:t>thi</w:t>
      </w:r>
      <w:r w:rsidR="00F9525F">
        <w:rPr>
          <w:lang w:eastAsia="en-GB"/>
        </w:rPr>
        <w:t>s</w:t>
      </w:r>
      <w:r w:rsidR="00E72D49" w:rsidRPr="00E72D49">
        <w:rPr>
          <w:lang w:eastAsia="en-GB"/>
        </w:rPr>
        <w:t xml:space="preserve"> </w:t>
      </w:r>
      <w:r w:rsidR="00E72D49">
        <w:rPr>
          <w:lang w:eastAsia="en-GB"/>
        </w:rPr>
        <w:t>reflects the above problem in the source German which commonly uses ‘</w:t>
      </w:r>
      <w:r w:rsidR="00E72D49" w:rsidRPr="00531CBE">
        <w:rPr>
          <w:i/>
          <w:lang w:eastAsia="en-GB"/>
        </w:rPr>
        <w:t>Abschreibung</w:t>
      </w:r>
      <w:r w:rsidR="00E72D49">
        <w:rPr>
          <w:i/>
          <w:lang w:eastAsia="en-GB"/>
        </w:rPr>
        <w:t>’</w:t>
      </w:r>
      <w:r>
        <w:rPr>
          <w:lang w:eastAsia="en-GB"/>
        </w:rPr>
        <w:t xml:space="preserve"> </w:t>
      </w:r>
      <w:r w:rsidR="00E72D49">
        <w:rPr>
          <w:lang w:eastAsia="en-GB"/>
        </w:rPr>
        <w:t xml:space="preserve">and </w:t>
      </w:r>
      <w:r>
        <w:rPr>
          <w:lang w:eastAsia="en-GB"/>
        </w:rPr>
        <w:t xml:space="preserve">is </w:t>
      </w:r>
      <w:r w:rsidR="00E72D49">
        <w:rPr>
          <w:lang w:eastAsia="en-GB"/>
        </w:rPr>
        <w:t xml:space="preserve">thus </w:t>
      </w:r>
      <w:r>
        <w:rPr>
          <w:lang w:eastAsia="en-GB"/>
        </w:rPr>
        <w:t>misleading because it is too broad</w:t>
      </w:r>
      <w:r w:rsidR="003065AA" w:rsidRPr="003065AA">
        <w:rPr>
          <w:lang w:eastAsia="en-GB"/>
        </w:rPr>
        <w:t xml:space="preserve"> </w:t>
      </w:r>
      <w:r w:rsidR="003065AA">
        <w:rPr>
          <w:lang w:eastAsia="en-GB"/>
        </w:rPr>
        <w:t>to distinguish between the two types of write-down</w:t>
      </w:r>
      <w:r>
        <w:rPr>
          <w:lang w:eastAsia="en-GB"/>
        </w:rPr>
        <w:t xml:space="preserve">. However, </w:t>
      </w:r>
      <w:r w:rsidR="001714B2">
        <w:rPr>
          <w:lang w:eastAsia="en-GB"/>
        </w:rPr>
        <w:t>even</w:t>
      </w:r>
      <w:r w:rsidR="003B59D5">
        <w:rPr>
          <w:lang w:eastAsia="en-GB"/>
        </w:rPr>
        <w:t xml:space="preserve"> whe</w:t>
      </w:r>
      <w:r w:rsidR="001714B2">
        <w:rPr>
          <w:lang w:eastAsia="en-GB"/>
        </w:rPr>
        <w:t>n</w:t>
      </w:r>
      <w:r w:rsidR="003B59D5">
        <w:rPr>
          <w:lang w:eastAsia="en-GB"/>
        </w:rPr>
        <w:t xml:space="preserve"> </w:t>
      </w:r>
      <w:r w:rsidR="001714B2">
        <w:rPr>
          <w:lang w:eastAsia="en-GB"/>
        </w:rPr>
        <w:t>a</w:t>
      </w:r>
      <w:r w:rsidR="00F63030">
        <w:rPr>
          <w:lang w:eastAsia="en-GB"/>
        </w:rPr>
        <w:t xml:space="preserve"> German IFRS report </w:t>
      </w:r>
      <w:r w:rsidR="003065AA">
        <w:rPr>
          <w:lang w:eastAsia="en-GB"/>
        </w:rPr>
        <w:t xml:space="preserve">includes </w:t>
      </w:r>
      <w:r w:rsidR="00F63030">
        <w:rPr>
          <w:lang w:eastAsia="en-GB"/>
        </w:rPr>
        <w:t>the</w:t>
      </w:r>
      <w:r>
        <w:rPr>
          <w:lang w:eastAsia="en-GB"/>
        </w:rPr>
        <w:t xml:space="preserve"> modifying</w:t>
      </w:r>
      <w:r w:rsidR="00F63030">
        <w:rPr>
          <w:lang w:eastAsia="en-GB"/>
        </w:rPr>
        <w:t xml:space="preserve"> ‘</w:t>
      </w:r>
      <w:r w:rsidR="00F63030">
        <w:rPr>
          <w:i/>
          <w:lang w:eastAsia="en-GB"/>
        </w:rPr>
        <w:t>au</w:t>
      </w:r>
      <w:r w:rsidR="003D1057" w:rsidRPr="00763780">
        <w:rPr>
          <w:i/>
        </w:rPr>
        <w:t>ß</w:t>
      </w:r>
      <w:r w:rsidR="00F63030">
        <w:rPr>
          <w:i/>
          <w:lang w:eastAsia="en-GB"/>
        </w:rPr>
        <w:t>erplanm</w:t>
      </w:r>
      <w:r w:rsidR="00F63030">
        <w:rPr>
          <w:rFonts w:cs="Times New Roman"/>
          <w:i/>
          <w:lang w:eastAsia="en-GB"/>
        </w:rPr>
        <w:t>ä</w:t>
      </w:r>
      <w:r w:rsidR="003D1057" w:rsidRPr="00763780">
        <w:rPr>
          <w:i/>
        </w:rPr>
        <w:t>ß</w:t>
      </w:r>
      <w:r w:rsidR="00F63030">
        <w:rPr>
          <w:i/>
          <w:lang w:eastAsia="en-GB"/>
        </w:rPr>
        <w:t>ig</w:t>
      </w:r>
      <w:r w:rsidR="00F63030">
        <w:rPr>
          <w:lang w:eastAsia="en-GB"/>
        </w:rPr>
        <w:t>’</w:t>
      </w:r>
      <w:r w:rsidR="003B59D5">
        <w:rPr>
          <w:lang w:eastAsia="en-GB"/>
        </w:rPr>
        <w:t xml:space="preserve">, </w:t>
      </w:r>
      <w:r w:rsidR="00F63030">
        <w:rPr>
          <w:lang w:eastAsia="en-GB"/>
        </w:rPr>
        <w:t xml:space="preserve">the English translation </w:t>
      </w:r>
      <w:r w:rsidR="003065AA">
        <w:rPr>
          <w:lang w:eastAsia="en-GB"/>
        </w:rPr>
        <w:t>still</w:t>
      </w:r>
      <w:r w:rsidR="00F63030">
        <w:rPr>
          <w:lang w:eastAsia="en-GB"/>
        </w:rPr>
        <w:t xml:space="preserve"> </w:t>
      </w:r>
      <w:r w:rsidR="001714B2">
        <w:rPr>
          <w:lang w:eastAsia="en-GB"/>
        </w:rPr>
        <w:t xml:space="preserve">sometimes </w:t>
      </w:r>
      <w:r w:rsidR="003065AA">
        <w:rPr>
          <w:lang w:eastAsia="en-GB"/>
        </w:rPr>
        <w:t>merely</w:t>
      </w:r>
      <w:r w:rsidR="001714B2" w:rsidRPr="001714B2">
        <w:rPr>
          <w:lang w:eastAsia="en-GB"/>
        </w:rPr>
        <w:t xml:space="preserve"> </w:t>
      </w:r>
      <w:r w:rsidR="001714B2">
        <w:rPr>
          <w:lang w:eastAsia="en-GB"/>
        </w:rPr>
        <w:t>says</w:t>
      </w:r>
      <w:r w:rsidR="00F63030">
        <w:rPr>
          <w:lang w:eastAsia="en-GB"/>
        </w:rPr>
        <w:t xml:space="preserve"> ‘write-down</w:t>
      </w:r>
      <w:r w:rsidR="003065AA">
        <w:rPr>
          <w:lang w:eastAsia="en-GB"/>
        </w:rPr>
        <w:t>s</w:t>
      </w:r>
      <w:r w:rsidR="00F63030">
        <w:rPr>
          <w:lang w:eastAsia="en-GB"/>
        </w:rPr>
        <w:t>’ (e.g. BASF 2005</w:t>
      </w:r>
      <w:r w:rsidR="003B59D5">
        <w:rPr>
          <w:lang w:eastAsia="en-GB"/>
        </w:rPr>
        <w:t xml:space="preserve"> and</w:t>
      </w:r>
      <w:r w:rsidR="00F63030">
        <w:rPr>
          <w:lang w:eastAsia="en-GB"/>
        </w:rPr>
        <w:t xml:space="preserve"> Bayer 2005</w:t>
      </w:r>
      <w:r w:rsidR="001C762C">
        <w:rPr>
          <w:lang w:eastAsia="en-GB"/>
        </w:rPr>
        <w:t xml:space="preserve"> to 200</w:t>
      </w:r>
      <w:r w:rsidR="00F63030">
        <w:rPr>
          <w:lang w:eastAsia="en-GB"/>
        </w:rPr>
        <w:t xml:space="preserve">9). </w:t>
      </w:r>
      <w:r w:rsidR="00BD032E">
        <w:rPr>
          <w:lang w:eastAsia="en-GB"/>
        </w:rPr>
        <w:t>In other cases, a firm</w:t>
      </w:r>
      <w:r w:rsidR="003065AA">
        <w:rPr>
          <w:lang w:eastAsia="en-GB"/>
        </w:rPr>
        <w:t xml:space="preserve">’s PPE table has a single line with </w:t>
      </w:r>
      <w:r w:rsidR="00BD032E">
        <w:rPr>
          <w:lang w:eastAsia="en-GB"/>
        </w:rPr>
        <w:t>an unadorned ‘depreciation’</w:t>
      </w:r>
      <w:r w:rsidR="003065AA">
        <w:rPr>
          <w:lang w:eastAsia="en-GB"/>
        </w:rPr>
        <w:t>, such as</w:t>
      </w:r>
      <w:r w:rsidR="00D63930">
        <w:rPr>
          <w:lang w:eastAsia="en-GB"/>
        </w:rPr>
        <w:t xml:space="preserve"> in</w:t>
      </w:r>
      <w:r w:rsidR="00BD032E">
        <w:rPr>
          <w:lang w:eastAsia="en-GB"/>
        </w:rPr>
        <w:t xml:space="preserve"> Daimler</w:t>
      </w:r>
      <w:r w:rsidR="00D63930">
        <w:rPr>
          <w:lang w:eastAsia="en-GB"/>
        </w:rPr>
        <w:t>’s reports</w:t>
      </w:r>
      <w:r w:rsidR="00BD032E">
        <w:rPr>
          <w:lang w:eastAsia="en-GB"/>
        </w:rPr>
        <w:t xml:space="preserve"> from 2007 to 2013</w:t>
      </w:r>
      <w:r w:rsidR="00E01EB2">
        <w:rPr>
          <w:lang w:eastAsia="en-GB"/>
        </w:rPr>
        <w:t>.</w:t>
      </w:r>
      <w:r w:rsidR="00226B5D">
        <w:rPr>
          <w:rStyle w:val="FootnoteReference"/>
          <w:lang w:eastAsia="en-GB"/>
        </w:rPr>
        <w:footnoteReference w:id="53"/>
      </w:r>
      <w:r w:rsidR="00BD032E">
        <w:rPr>
          <w:lang w:eastAsia="en-GB"/>
        </w:rPr>
        <w:t xml:space="preserve"> </w:t>
      </w:r>
      <w:r w:rsidR="00D71DFA">
        <w:rPr>
          <w:lang w:eastAsia="en-GB"/>
        </w:rPr>
        <w:t xml:space="preserve">We remain confident that there is a translation problem </w:t>
      </w:r>
      <w:r w:rsidR="006E2160">
        <w:rPr>
          <w:lang w:eastAsia="en-GB"/>
        </w:rPr>
        <w:t xml:space="preserve">here </w:t>
      </w:r>
      <w:r w:rsidR="00D71DFA">
        <w:rPr>
          <w:lang w:eastAsia="en-GB"/>
        </w:rPr>
        <w:t xml:space="preserve">even if the firm refers to “impairment” elsewhere, as Daimler does for example in </w:t>
      </w:r>
      <w:r w:rsidR="00D63930">
        <w:rPr>
          <w:lang w:eastAsia="en-GB"/>
        </w:rPr>
        <w:t xml:space="preserve">the </w:t>
      </w:r>
      <w:r w:rsidR="00D71DFA">
        <w:rPr>
          <w:lang w:eastAsia="en-GB"/>
        </w:rPr>
        <w:t xml:space="preserve">text beneath the PPE table in </w:t>
      </w:r>
      <w:r w:rsidR="001C762C">
        <w:rPr>
          <w:lang w:eastAsia="en-GB"/>
        </w:rPr>
        <w:t>2007</w:t>
      </w:r>
      <w:r w:rsidR="00D71DFA">
        <w:rPr>
          <w:lang w:eastAsia="en-GB"/>
        </w:rPr>
        <w:t xml:space="preserve">. </w:t>
      </w:r>
      <w:r w:rsidR="005C2699">
        <w:rPr>
          <w:lang w:eastAsia="en-GB"/>
        </w:rPr>
        <w:t xml:space="preserve">That is, we </w:t>
      </w:r>
      <w:r w:rsidR="00BC26E5">
        <w:rPr>
          <w:lang w:eastAsia="en-GB"/>
        </w:rPr>
        <w:t>infer</w:t>
      </w:r>
      <w:r w:rsidR="005C2699">
        <w:rPr>
          <w:lang w:eastAsia="en-GB"/>
        </w:rPr>
        <w:t xml:space="preserve"> that the firm has included impairment in the depreciation line of the table because the firm</w:t>
      </w:r>
      <w:r w:rsidR="006E2160">
        <w:rPr>
          <w:lang w:eastAsia="en-GB"/>
        </w:rPr>
        <w:t xml:space="preserve"> (or its translator)</w:t>
      </w:r>
      <w:r w:rsidR="005C2699">
        <w:rPr>
          <w:lang w:eastAsia="en-GB"/>
        </w:rPr>
        <w:t xml:space="preserve"> erroneously considers impairment to be a sub-category of depreciation because of the long-standing and widespread confusion discussed </w:t>
      </w:r>
      <w:r w:rsidR="001714B2">
        <w:rPr>
          <w:lang w:eastAsia="en-GB"/>
        </w:rPr>
        <w:t>above</w:t>
      </w:r>
      <w:r w:rsidR="005C2699">
        <w:rPr>
          <w:lang w:eastAsia="en-GB"/>
        </w:rPr>
        <w:t>.</w:t>
      </w:r>
    </w:p>
    <w:p w14:paraId="04DDA6D3" w14:textId="06FD0EE1" w:rsidR="00DC2CF4" w:rsidRDefault="00DC2CF4" w:rsidP="00BB45F4">
      <w:pPr>
        <w:ind w:firstLine="720"/>
        <w:rPr>
          <w:lang w:eastAsia="en-GB"/>
        </w:rPr>
      </w:pPr>
      <w:r>
        <w:rPr>
          <w:lang w:eastAsia="en-GB"/>
        </w:rPr>
        <w:t>On this type of issue, we might be understating the ‘</w:t>
      </w:r>
      <w:r w:rsidR="00F9525F">
        <w:rPr>
          <w:lang w:eastAsia="en-GB"/>
        </w:rPr>
        <w:t>non-proximate</w:t>
      </w:r>
      <w:r>
        <w:rPr>
          <w:lang w:eastAsia="en-GB"/>
        </w:rPr>
        <w:t xml:space="preserve">’ score </w:t>
      </w:r>
      <w:r w:rsidR="00E165BD">
        <w:rPr>
          <w:lang w:eastAsia="en-GB"/>
        </w:rPr>
        <w:t>for</w:t>
      </w:r>
      <w:r>
        <w:rPr>
          <w:lang w:eastAsia="en-GB"/>
        </w:rPr>
        <w:t xml:space="preserve"> </w:t>
      </w:r>
      <w:r w:rsidR="00CD2C7B">
        <w:rPr>
          <w:lang w:eastAsia="en-GB"/>
        </w:rPr>
        <w:t xml:space="preserve">some </w:t>
      </w:r>
      <w:r>
        <w:rPr>
          <w:lang w:eastAsia="en-GB"/>
        </w:rPr>
        <w:t xml:space="preserve">other countries. For example, the </w:t>
      </w:r>
      <w:r w:rsidR="00493660">
        <w:rPr>
          <w:lang w:eastAsia="en-GB"/>
        </w:rPr>
        <w:t xml:space="preserve">PPE table of the </w:t>
      </w:r>
      <w:r>
        <w:rPr>
          <w:lang w:eastAsia="en-GB"/>
        </w:rPr>
        <w:t xml:space="preserve">Spanish </w:t>
      </w:r>
      <w:r w:rsidR="00EC43F5">
        <w:rPr>
          <w:lang w:eastAsia="en-GB"/>
        </w:rPr>
        <w:t>firm</w:t>
      </w:r>
      <w:r>
        <w:rPr>
          <w:lang w:eastAsia="en-GB"/>
        </w:rPr>
        <w:t xml:space="preserve"> Abengoa </w:t>
      </w:r>
      <w:r w:rsidR="00571919">
        <w:rPr>
          <w:lang w:eastAsia="en-GB"/>
        </w:rPr>
        <w:t>(2011 report, p.</w:t>
      </w:r>
      <w:r w:rsidR="00886E84">
        <w:rPr>
          <w:lang w:eastAsia="en-GB"/>
        </w:rPr>
        <w:t xml:space="preserve"> </w:t>
      </w:r>
      <w:r w:rsidR="00571919">
        <w:rPr>
          <w:lang w:eastAsia="en-GB"/>
        </w:rPr>
        <w:t xml:space="preserve">68) </w:t>
      </w:r>
      <w:r w:rsidR="00493660">
        <w:rPr>
          <w:lang w:eastAsia="en-GB"/>
        </w:rPr>
        <w:t xml:space="preserve">is headed </w:t>
      </w:r>
      <w:r>
        <w:rPr>
          <w:lang w:eastAsia="en-GB"/>
        </w:rPr>
        <w:t>‘</w:t>
      </w:r>
      <w:r w:rsidR="00493660">
        <w:rPr>
          <w:lang w:eastAsia="en-GB"/>
        </w:rPr>
        <w:t>Accumulated D</w:t>
      </w:r>
      <w:r w:rsidR="00D63930">
        <w:rPr>
          <w:lang w:eastAsia="en-GB"/>
        </w:rPr>
        <w:t xml:space="preserve">epreciation’ </w:t>
      </w:r>
      <w:r w:rsidR="00493660">
        <w:rPr>
          <w:lang w:eastAsia="en-GB"/>
        </w:rPr>
        <w:t>(</w:t>
      </w:r>
      <w:r w:rsidR="00E01EB2">
        <w:rPr>
          <w:lang w:eastAsia="en-GB"/>
        </w:rPr>
        <w:t>‘</w:t>
      </w:r>
      <w:r w:rsidR="00493660">
        <w:rPr>
          <w:i/>
          <w:lang w:eastAsia="en-GB"/>
        </w:rPr>
        <w:t>A</w:t>
      </w:r>
      <w:r w:rsidR="00E01EB2" w:rsidRPr="00C61056">
        <w:rPr>
          <w:i/>
          <w:lang w:eastAsia="en-GB"/>
        </w:rPr>
        <w:t>mortizaci</w:t>
      </w:r>
      <w:r w:rsidR="00E01EB2" w:rsidRPr="00C61056">
        <w:rPr>
          <w:rFonts w:cs="Times New Roman"/>
          <w:i/>
          <w:lang w:eastAsia="en-GB"/>
        </w:rPr>
        <w:t>ó</w:t>
      </w:r>
      <w:r w:rsidR="00E01EB2" w:rsidRPr="00C61056">
        <w:rPr>
          <w:i/>
          <w:lang w:eastAsia="en-GB"/>
        </w:rPr>
        <w:t>n</w:t>
      </w:r>
      <w:r w:rsidR="00493660">
        <w:rPr>
          <w:i/>
          <w:lang w:eastAsia="en-GB"/>
        </w:rPr>
        <w:t xml:space="preserve"> Acumulada</w:t>
      </w:r>
      <w:r w:rsidR="00E01EB2">
        <w:rPr>
          <w:lang w:eastAsia="en-GB"/>
        </w:rPr>
        <w:t>’</w:t>
      </w:r>
      <w:r w:rsidR="00D63930">
        <w:rPr>
          <w:lang w:eastAsia="en-GB"/>
        </w:rPr>
        <w:t xml:space="preserve"> </w:t>
      </w:r>
      <w:r w:rsidR="00E01EB2">
        <w:rPr>
          <w:lang w:eastAsia="en-GB"/>
        </w:rPr>
        <w:t xml:space="preserve">in the </w:t>
      </w:r>
      <w:r w:rsidR="00905836">
        <w:rPr>
          <w:lang w:eastAsia="en-GB"/>
        </w:rPr>
        <w:t xml:space="preserve">source </w:t>
      </w:r>
      <w:r w:rsidR="00E01EB2">
        <w:rPr>
          <w:lang w:eastAsia="en-GB"/>
        </w:rPr>
        <w:t xml:space="preserve">Spanish table) </w:t>
      </w:r>
      <w:r w:rsidR="00D63930">
        <w:rPr>
          <w:lang w:eastAsia="en-GB"/>
        </w:rPr>
        <w:t>and the table shows changes in that. However</w:t>
      </w:r>
      <w:r>
        <w:rPr>
          <w:lang w:eastAsia="en-GB"/>
        </w:rPr>
        <w:t>,</w:t>
      </w:r>
      <w:r w:rsidR="00D63930">
        <w:rPr>
          <w:lang w:eastAsia="en-GB"/>
        </w:rPr>
        <w:t xml:space="preserve"> </w:t>
      </w:r>
      <w:r>
        <w:rPr>
          <w:lang w:eastAsia="en-GB"/>
        </w:rPr>
        <w:t>the text below the table states that “The decrease in the accumulated depreciation is mainly due to the reversal of an impairment</w:t>
      </w:r>
      <w:r w:rsidR="001C762C">
        <w:rPr>
          <w:lang w:eastAsia="en-GB"/>
        </w:rPr>
        <w:t>”</w:t>
      </w:r>
      <w:r w:rsidR="00493660">
        <w:rPr>
          <w:lang w:eastAsia="en-GB"/>
        </w:rPr>
        <w:t xml:space="preserve">, </w:t>
      </w:r>
      <w:r w:rsidR="00B42207">
        <w:rPr>
          <w:lang w:eastAsia="en-GB"/>
        </w:rPr>
        <w:t>suggesting</w:t>
      </w:r>
      <w:r w:rsidR="00493660">
        <w:rPr>
          <w:lang w:eastAsia="en-GB"/>
        </w:rPr>
        <w:t xml:space="preserve"> that the accumulated depreciation includes accumulated impairment</w:t>
      </w:r>
      <w:r>
        <w:rPr>
          <w:lang w:eastAsia="en-GB"/>
        </w:rPr>
        <w:t>. In</w:t>
      </w:r>
      <w:r w:rsidR="00497E88">
        <w:rPr>
          <w:lang w:eastAsia="en-GB"/>
        </w:rPr>
        <w:t>deed,</w:t>
      </w:r>
      <w:r>
        <w:rPr>
          <w:lang w:eastAsia="en-GB"/>
        </w:rPr>
        <w:t xml:space="preserve"> the source Spanish report</w:t>
      </w:r>
      <w:r w:rsidR="00497E88">
        <w:rPr>
          <w:lang w:eastAsia="en-GB"/>
        </w:rPr>
        <w:t xml:space="preserve"> says</w:t>
      </w:r>
      <w:r>
        <w:rPr>
          <w:lang w:eastAsia="en-GB"/>
        </w:rPr>
        <w:t>: “El decrement en el deteri</w:t>
      </w:r>
      <w:r w:rsidR="00493660">
        <w:rPr>
          <w:lang w:eastAsia="en-GB"/>
        </w:rPr>
        <w:t>or</w:t>
      </w:r>
      <w:r>
        <w:rPr>
          <w:lang w:eastAsia="en-GB"/>
        </w:rPr>
        <w:t>o y amortizaci</w:t>
      </w:r>
      <w:r>
        <w:rPr>
          <w:rFonts w:cs="Times New Roman"/>
          <w:lang w:eastAsia="en-GB"/>
        </w:rPr>
        <w:t>ó</w:t>
      </w:r>
      <w:r>
        <w:rPr>
          <w:lang w:eastAsia="en-GB"/>
        </w:rPr>
        <w:t xml:space="preserve">n acumulada …. la </w:t>
      </w:r>
      <w:r w:rsidR="00CD2C7B">
        <w:rPr>
          <w:lang w:eastAsia="en-GB"/>
        </w:rPr>
        <w:t>reversi</w:t>
      </w:r>
      <w:r w:rsidR="00CD2C7B">
        <w:rPr>
          <w:rFonts w:cs="Times New Roman"/>
          <w:lang w:eastAsia="en-GB"/>
        </w:rPr>
        <w:t>ó</w:t>
      </w:r>
      <w:r>
        <w:rPr>
          <w:lang w:eastAsia="en-GB"/>
        </w:rPr>
        <w:t>n del deterioro”</w:t>
      </w:r>
      <w:r w:rsidR="00CD2C7B">
        <w:rPr>
          <w:lang w:eastAsia="en-GB"/>
        </w:rPr>
        <w:t xml:space="preserve">. </w:t>
      </w:r>
      <w:r w:rsidR="00E9402C">
        <w:rPr>
          <w:lang w:eastAsia="en-GB"/>
        </w:rPr>
        <w:t>T</w:t>
      </w:r>
      <w:r w:rsidR="00CD2C7B">
        <w:rPr>
          <w:lang w:eastAsia="en-GB"/>
        </w:rPr>
        <w:t xml:space="preserve">he English translation </w:t>
      </w:r>
      <w:r w:rsidR="00D63930">
        <w:rPr>
          <w:lang w:eastAsia="en-GB"/>
        </w:rPr>
        <w:t xml:space="preserve">of the text </w:t>
      </w:r>
      <w:r w:rsidR="00CD2C7B">
        <w:rPr>
          <w:lang w:eastAsia="en-GB"/>
        </w:rPr>
        <w:t xml:space="preserve">is certainly </w:t>
      </w:r>
      <w:r w:rsidR="005139F2">
        <w:rPr>
          <w:lang w:eastAsia="en-GB"/>
        </w:rPr>
        <w:t xml:space="preserve">not </w:t>
      </w:r>
      <w:r w:rsidR="004B03CB">
        <w:rPr>
          <w:lang w:eastAsia="en-GB"/>
        </w:rPr>
        <w:t>proximate</w:t>
      </w:r>
      <w:r w:rsidR="005139F2">
        <w:rPr>
          <w:lang w:eastAsia="en-GB"/>
        </w:rPr>
        <w:t xml:space="preserve"> to the source</w:t>
      </w:r>
      <w:r w:rsidR="00CD2C7B">
        <w:rPr>
          <w:lang w:eastAsia="en-GB"/>
        </w:rPr>
        <w:t xml:space="preserve"> but </w:t>
      </w:r>
      <w:r w:rsidR="00497E88">
        <w:rPr>
          <w:lang w:eastAsia="en-GB"/>
        </w:rPr>
        <w:t xml:space="preserve">(unlike the source) </w:t>
      </w:r>
      <w:r w:rsidR="00CD2C7B">
        <w:rPr>
          <w:lang w:eastAsia="en-GB"/>
        </w:rPr>
        <w:t>it seems</w:t>
      </w:r>
      <w:r w:rsidR="0087257F" w:rsidRPr="0087257F">
        <w:rPr>
          <w:lang w:eastAsia="en-GB"/>
        </w:rPr>
        <w:t xml:space="preserve"> </w:t>
      </w:r>
      <w:r w:rsidR="0087257F">
        <w:rPr>
          <w:lang w:eastAsia="en-GB"/>
        </w:rPr>
        <w:t xml:space="preserve">to be a </w:t>
      </w:r>
      <w:r w:rsidR="00497E88">
        <w:rPr>
          <w:lang w:eastAsia="en-GB"/>
        </w:rPr>
        <w:t>proper</w:t>
      </w:r>
      <w:r w:rsidR="0087257F">
        <w:rPr>
          <w:lang w:eastAsia="en-GB"/>
        </w:rPr>
        <w:t xml:space="preserve"> reflection of the </w:t>
      </w:r>
      <w:r w:rsidR="00D63930">
        <w:rPr>
          <w:lang w:eastAsia="en-GB"/>
        </w:rPr>
        <w:t xml:space="preserve">table’s </w:t>
      </w:r>
      <w:r w:rsidR="0087257F">
        <w:rPr>
          <w:lang w:eastAsia="en-GB"/>
        </w:rPr>
        <w:t xml:space="preserve">conflated </w:t>
      </w:r>
      <w:r w:rsidR="00482351">
        <w:rPr>
          <w:lang w:eastAsia="en-GB"/>
        </w:rPr>
        <w:t>heading</w:t>
      </w:r>
      <w:r w:rsidR="00CD2C7B">
        <w:rPr>
          <w:lang w:eastAsia="en-GB"/>
        </w:rPr>
        <w:t xml:space="preserve"> rather than</w:t>
      </w:r>
      <w:r w:rsidR="00497E88">
        <w:rPr>
          <w:lang w:eastAsia="en-GB"/>
        </w:rPr>
        <w:t xml:space="preserve"> necessarily</w:t>
      </w:r>
      <w:r w:rsidR="00CD2C7B">
        <w:rPr>
          <w:lang w:eastAsia="en-GB"/>
        </w:rPr>
        <w:t xml:space="preserve"> evidencing confusion among the translators. </w:t>
      </w:r>
      <w:r w:rsidR="00E01EB2">
        <w:rPr>
          <w:lang w:eastAsia="en-GB"/>
        </w:rPr>
        <w:t xml:space="preserve">By contrast, Daimler’s </w:t>
      </w:r>
      <w:r w:rsidR="00E9402C">
        <w:rPr>
          <w:lang w:eastAsia="en-GB"/>
        </w:rPr>
        <w:t xml:space="preserve">source </w:t>
      </w:r>
      <w:r w:rsidR="00E01EB2">
        <w:rPr>
          <w:lang w:eastAsia="en-GB"/>
        </w:rPr>
        <w:t xml:space="preserve">reports </w:t>
      </w:r>
      <w:r w:rsidR="00E9402C">
        <w:rPr>
          <w:lang w:eastAsia="en-GB"/>
        </w:rPr>
        <w:t>use ‘</w:t>
      </w:r>
      <w:r w:rsidR="00E9402C" w:rsidRPr="00C61056">
        <w:rPr>
          <w:i/>
          <w:lang w:eastAsia="en-GB"/>
        </w:rPr>
        <w:t>Abschreibungen</w:t>
      </w:r>
      <w:r w:rsidR="00E9402C">
        <w:rPr>
          <w:lang w:eastAsia="en-GB"/>
        </w:rPr>
        <w:t>’ (a</w:t>
      </w:r>
      <w:r w:rsidR="005853D4">
        <w:rPr>
          <w:lang w:eastAsia="en-GB"/>
        </w:rPr>
        <w:t>n appropriate</w:t>
      </w:r>
      <w:r w:rsidR="00E9402C">
        <w:rPr>
          <w:lang w:eastAsia="en-GB"/>
        </w:rPr>
        <w:t xml:space="preserve"> hypernym) which</w:t>
      </w:r>
      <w:r w:rsidR="0087257F">
        <w:rPr>
          <w:lang w:eastAsia="en-GB"/>
        </w:rPr>
        <w:t xml:space="preserve"> becomes in</w:t>
      </w:r>
      <w:r w:rsidR="005853D4">
        <w:rPr>
          <w:lang w:eastAsia="en-GB"/>
        </w:rPr>
        <w:t>appropriate</w:t>
      </w:r>
      <w:r w:rsidR="0087257F">
        <w:rPr>
          <w:lang w:eastAsia="en-GB"/>
        </w:rPr>
        <w:t xml:space="preserve"> only on translation into English.</w:t>
      </w:r>
      <w:r w:rsidR="005139F2">
        <w:rPr>
          <w:lang w:eastAsia="en-GB"/>
        </w:rPr>
        <w:t xml:space="preserve"> In passing, we note that the</w:t>
      </w:r>
      <w:r w:rsidR="006E2160">
        <w:rPr>
          <w:lang w:eastAsia="en-GB"/>
        </w:rPr>
        <w:t xml:space="preserve"> conflation </w:t>
      </w:r>
      <w:r w:rsidR="00704159">
        <w:rPr>
          <w:lang w:eastAsia="en-GB"/>
        </w:rPr>
        <w:t xml:space="preserve">of depreciation and impairment </w:t>
      </w:r>
      <w:r w:rsidR="006E2160">
        <w:rPr>
          <w:lang w:eastAsia="en-GB"/>
        </w:rPr>
        <w:t>found in Spanish and German reports</w:t>
      </w:r>
      <w:r w:rsidR="00704159">
        <w:rPr>
          <w:lang w:eastAsia="en-GB"/>
        </w:rPr>
        <w:t xml:space="preserve"> </w:t>
      </w:r>
      <w:r w:rsidR="006E2160">
        <w:rPr>
          <w:lang w:eastAsia="en-GB"/>
        </w:rPr>
        <w:t>does not comply with IAS 36</w:t>
      </w:r>
      <w:r w:rsidR="00ED17F7">
        <w:rPr>
          <w:lang w:eastAsia="en-GB"/>
        </w:rPr>
        <w:t>’s disclosure requirements</w:t>
      </w:r>
      <w:r w:rsidR="006E2160">
        <w:rPr>
          <w:lang w:eastAsia="en-GB"/>
        </w:rPr>
        <w:t xml:space="preserve"> (assuming that </w:t>
      </w:r>
      <w:r w:rsidR="009E6D02">
        <w:rPr>
          <w:lang w:eastAsia="en-GB"/>
        </w:rPr>
        <w:t xml:space="preserve">the </w:t>
      </w:r>
      <w:r w:rsidR="006E2160">
        <w:rPr>
          <w:lang w:eastAsia="en-GB"/>
        </w:rPr>
        <w:t>amounts are material), but our topic is not compliance with IFRS.</w:t>
      </w:r>
    </w:p>
    <w:p w14:paraId="284607F9" w14:textId="35308DBA" w:rsidR="00F63030" w:rsidRDefault="00F63030" w:rsidP="009C6E5C">
      <w:pPr>
        <w:ind w:firstLine="567"/>
        <w:rPr>
          <w:lang w:eastAsia="en-GB"/>
        </w:rPr>
      </w:pPr>
      <w:r>
        <w:rPr>
          <w:lang w:eastAsia="en-GB"/>
        </w:rPr>
        <w:t xml:space="preserve">Interestingly, </w:t>
      </w:r>
      <w:r w:rsidR="00DC2CF4">
        <w:rPr>
          <w:lang w:eastAsia="en-GB"/>
        </w:rPr>
        <w:t xml:space="preserve">for </w:t>
      </w:r>
      <w:r w:rsidR="003E1961">
        <w:rPr>
          <w:lang w:eastAsia="en-GB"/>
        </w:rPr>
        <w:t xml:space="preserve">some </w:t>
      </w:r>
      <w:r w:rsidR="00DC2CF4">
        <w:rPr>
          <w:lang w:eastAsia="en-GB"/>
        </w:rPr>
        <w:t xml:space="preserve">German </w:t>
      </w:r>
      <w:r w:rsidR="00EC43F5">
        <w:rPr>
          <w:lang w:eastAsia="en-GB"/>
        </w:rPr>
        <w:t>firms</w:t>
      </w:r>
      <w:r w:rsidR="00DC2CF4">
        <w:rPr>
          <w:lang w:eastAsia="en-GB"/>
        </w:rPr>
        <w:t>,</w:t>
      </w:r>
      <w:r>
        <w:rPr>
          <w:lang w:eastAsia="en-GB"/>
        </w:rPr>
        <w:t xml:space="preserve"> the translat</w:t>
      </w:r>
      <w:r w:rsidR="00B8415D">
        <w:rPr>
          <w:lang w:eastAsia="en-GB"/>
        </w:rPr>
        <w:t xml:space="preserve">ed </w:t>
      </w:r>
      <w:r w:rsidR="007C3342">
        <w:rPr>
          <w:lang w:eastAsia="en-GB"/>
        </w:rPr>
        <w:t>term</w:t>
      </w:r>
      <w:r w:rsidR="00B8415D">
        <w:rPr>
          <w:lang w:eastAsia="en-GB"/>
        </w:rPr>
        <w:t>s</w:t>
      </w:r>
      <w:r>
        <w:rPr>
          <w:lang w:eastAsia="en-GB"/>
        </w:rPr>
        <w:t xml:space="preserve"> </w:t>
      </w:r>
      <w:r w:rsidR="00456112">
        <w:rPr>
          <w:lang w:eastAsia="en-GB"/>
        </w:rPr>
        <w:t xml:space="preserve">are </w:t>
      </w:r>
      <w:r w:rsidR="003E1961">
        <w:rPr>
          <w:lang w:eastAsia="en-GB"/>
        </w:rPr>
        <w:t>disconnected from</w:t>
      </w:r>
      <w:r>
        <w:rPr>
          <w:lang w:eastAsia="en-GB"/>
        </w:rPr>
        <w:t xml:space="preserve"> the German source documents. For example, in the case of BASF, the English translations changed from ‘write-downs’ to ‘impairment’ for 2006 onwards, whereas the German reports did not change from ‘</w:t>
      </w:r>
      <w:r w:rsidR="00531CBE">
        <w:rPr>
          <w:i/>
          <w:lang w:eastAsia="en-GB"/>
        </w:rPr>
        <w:t>a</w:t>
      </w:r>
      <w:r>
        <w:rPr>
          <w:i/>
          <w:lang w:eastAsia="en-GB"/>
        </w:rPr>
        <w:t>u</w:t>
      </w:r>
      <w:r w:rsidR="003D1057" w:rsidRPr="00763780">
        <w:rPr>
          <w:i/>
        </w:rPr>
        <w:t>ß</w:t>
      </w:r>
      <w:r>
        <w:rPr>
          <w:i/>
          <w:lang w:eastAsia="en-GB"/>
        </w:rPr>
        <w:t>erplanm</w:t>
      </w:r>
      <w:r>
        <w:rPr>
          <w:rFonts w:cs="Times New Roman"/>
          <w:i/>
          <w:lang w:eastAsia="en-GB"/>
        </w:rPr>
        <w:t>ä</w:t>
      </w:r>
      <w:r w:rsidR="003D1057" w:rsidRPr="00763780">
        <w:rPr>
          <w:i/>
        </w:rPr>
        <w:t>ß</w:t>
      </w:r>
      <w:r>
        <w:rPr>
          <w:i/>
          <w:lang w:eastAsia="en-GB"/>
        </w:rPr>
        <w:t>ige Abschreibungen</w:t>
      </w:r>
      <w:r>
        <w:rPr>
          <w:lang w:eastAsia="en-GB"/>
        </w:rPr>
        <w:t>’ to ‘</w:t>
      </w:r>
      <w:r>
        <w:rPr>
          <w:i/>
          <w:lang w:eastAsia="en-GB"/>
        </w:rPr>
        <w:t>Wertminderungen</w:t>
      </w:r>
      <w:r>
        <w:rPr>
          <w:lang w:eastAsia="en-GB"/>
        </w:rPr>
        <w:t xml:space="preserve">’ until 2008. Furthermore, </w:t>
      </w:r>
      <w:r w:rsidR="003E1961">
        <w:rPr>
          <w:lang w:eastAsia="en-GB"/>
        </w:rPr>
        <w:t xml:space="preserve">for some firms (both German and others), </w:t>
      </w:r>
      <w:r>
        <w:rPr>
          <w:lang w:eastAsia="en-GB"/>
        </w:rPr>
        <w:t>the PPE table is often disconnected from the policy note</w:t>
      </w:r>
      <w:r w:rsidR="003E1961">
        <w:rPr>
          <w:lang w:eastAsia="en-GB"/>
        </w:rPr>
        <w:t>:</w:t>
      </w:r>
      <w:r>
        <w:rPr>
          <w:lang w:eastAsia="en-GB"/>
        </w:rPr>
        <w:t xml:space="preserve"> the</w:t>
      </w:r>
      <w:r w:rsidR="00B8415D">
        <w:rPr>
          <w:lang w:eastAsia="en-GB"/>
        </w:rPr>
        <w:t xml:space="preserve"> </w:t>
      </w:r>
      <w:r>
        <w:rPr>
          <w:lang w:eastAsia="en-GB"/>
        </w:rPr>
        <w:t>firm</w:t>
      </w:r>
      <w:r w:rsidR="00B8415D">
        <w:rPr>
          <w:lang w:eastAsia="en-GB"/>
        </w:rPr>
        <w:t xml:space="preserve"> </w:t>
      </w:r>
      <w:r>
        <w:rPr>
          <w:lang w:eastAsia="en-GB"/>
        </w:rPr>
        <w:t>us</w:t>
      </w:r>
      <w:r w:rsidR="003E1961">
        <w:rPr>
          <w:lang w:eastAsia="en-GB"/>
        </w:rPr>
        <w:t>es a</w:t>
      </w:r>
      <w:r>
        <w:rPr>
          <w:lang w:eastAsia="en-GB"/>
        </w:rPr>
        <w:t xml:space="preserve"> </w:t>
      </w:r>
      <w:r w:rsidR="007C3342">
        <w:rPr>
          <w:lang w:eastAsia="en-GB"/>
        </w:rPr>
        <w:t>term</w:t>
      </w:r>
      <w:r>
        <w:rPr>
          <w:lang w:eastAsia="en-GB"/>
        </w:rPr>
        <w:t xml:space="preserve"> </w:t>
      </w:r>
      <w:r w:rsidR="003E1961">
        <w:rPr>
          <w:lang w:eastAsia="en-GB"/>
        </w:rPr>
        <w:t>of</w:t>
      </w:r>
      <w:r>
        <w:rPr>
          <w:lang w:eastAsia="en-GB"/>
        </w:rPr>
        <w:t xml:space="preserve"> Table 2 </w:t>
      </w:r>
      <w:r w:rsidR="00C04716">
        <w:rPr>
          <w:lang w:eastAsia="en-GB"/>
        </w:rPr>
        <w:t>in its PPE table</w:t>
      </w:r>
      <w:r w:rsidR="003E1961">
        <w:rPr>
          <w:lang w:eastAsia="en-GB"/>
        </w:rPr>
        <w:t xml:space="preserve"> but</w:t>
      </w:r>
      <w:r w:rsidR="00C04716">
        <w:rPr>
          <w:lang w:eastAsia="en-GB"/>
        </w:rPr>
        <w:t xml:space="preserve"> </w:t>
      </w:r>
      <w:r>
        <w:rPr>
          <w:lang w:eastAsia="en-GB"/>
        </w:rPr>
        <w:t xml:space="preserve">‘impairment’ in </w:t>
      </w:r>
      <w:r w:rsidR="003E1961">
        <w:rPr>
          <w:lang w:eastAsia="en-GB"/>
        </w:rPr>
        <w:t>its</w:t>
      </w:r>
      <w:r>
        <w:rPr>
          <w:lang w:eastAsia="en-GB"/>
        </w:rPr>
        <w:t xml:space="preserve"> </w:t>
      </w:r>
      <w:r w:rsidR="003E1961">
        <w:rPr>
          <w:lang w:eastAsia="en-GB"/>
        </w:rPr>
        <w:t xml:space="preserve">earlier </w:t>
      </w:r>
      <w:r>
        <w:rPr>
          <w:lang w:eastAsia="en-GB"/>
        </w:rPr>
        <w:t xml:space="preserve">general policy note. The explanation might be that </w:t>
      </w:r>
      <w:r w:rsidR="00EB533F">
        <w:rPr>
          <w:lang w:eastAsia="en-GB"/>
        </w:rPr>
        <w:t>t</w:t>
      </w:r>
      <w:r>
        <w:rPr>
          <w:lang w:eastAsia="en-GB"/>
        </w:rPr>
        <w:t xml:space="preserve">he policy notes are based on a </w:t>
      </w:r>
      <w:r w:rsidR="00EB533F">
        <w:rPr>
          <w:lang w:eastAsia="en-GB"/>
        </w:rPr>
        <w:t>generic</w:t>
      </w:r>
      <w:r>
        <w:rPr>
          <w:lang w:eastAsia="en-GB"/>
        </w:rPr>
        <w:t xml:space="preserve"> wording provided by the auditors whereas the PPE table is more specific to the firm.</w:t>
      </w:r>
    </w:p>
    <w:p w14:paraId="21ACAB1C" w14:textId="5347AFCC" w:rsidR="00F63030" w:rsidRDefault="00A4670A" w:rsidP="009C6E5C">
      <w:pPr>
        <w:ind w:firstLine="567"/>
        <w:rPr>
          <w:lang w:eastAsia="en-GB"/>
        </w:rPr>
      </w:pPr>
      <w:r>
        <w:rPr>
          <w:lang w:eastAsia="en-GB"/>
        </w:rPr>
        <w:t>Italy has t</w:t>
      </w:r>
      <w:r w:rsidR="00F63030">
        <w:rPr>
          <w:lang w:eastAsia="en-GB"/>
        </w:rPr>
        <w:t xml:space="preserve">he </w:t>
      </w:r>
      <w:r w:rsidR="001C762C">
        <w:rPr>
          <w:lang w:eastAsia="en-GB"/>
        </w:rPr>
        <w:t>joint-</w:t>
      </w:r>
      <w:r w:rsidR="00F63030">
        <w:rPr>
          <w:lang w:eastAsia="en-GB"/>
        </w:rPr>
        <w:t xml:space="preserve">highest occurrence of </w:t>
      </w:r>
      <w:r w:rsidR="00F9525F">
        <w:rPr>
          <w:lang w:eastAsia="en-GB"/>
        </w:rPr>
        <w:t>non-proximate</w:t>
      </w:r>
      <w:r w:rsidR="00F63030">
        <w:rPr>
          <w:lang w:eastAsia="en-GB"/>
        </w:rPr>
        <w:t xml:space="preserve"> </w:t>
      </w:r>
      <w:r w:rsidR="007C3342">
        <w:rPr>
          <w:lang w:eastAsia="en-GB"/>
        </w:rPr>
        <w:t>term</w:t>
      </w:r>
      <w:r w:rsidR="00F63030">
        <w:rPr>
          <w:lang w:eastAsia="en-GB"/>
        </w:rPr>
        <w:t>s recorded in Table 2</w:t>
      </w:r>
      <w:r w:rsidR="001C762C">
        <w:rPr>
          <w:lang w:eastAsia="en-GB"/>
        </w:rPr>
        <w:t xml:space="preserve"> </w:t>
      </w:r>
      <w:r>
        <w:rPr>
          <w:lang w:eastAsia="en-GB"/>
        </w:rPr>
        <w:t>for</w:t>
      </w:r>
      <w:r w:rsidR="001C762C">
        <w:rPr>
          <w:lang w:eastAsia="en-GB"/>
        </w:rPr>
        <w:t xml:space="preserve"> the ‘first year’</w:t>
      </w:r>
      <w:r>
        <w:rPr>
          <w:lang w:eastAsia="en-GB"/>
        </w:rPr>
        <w:t>.</w:t>
      </w:r>
      <w:r w:rsidR="00F63030">
        <w:rPr>
          <w:lang w:eastAsia="en-GB"/>
        </w:rPr>
        <w:t xml:space="preserve"> </w:t>
      </w:r>
      <w:r>
        <w:rPr>
          <w:lang w:eastAsia="en-GB"/>
        </w:rPr>
        <w:t>W</w:t>
      </w:r>
      <w:r w:rsidR="00F63030">
        <w:rPr>
          <w:lang w:eastAsia="en-GB"/>
        </w:rPr>
        <w:t xml:space="preserve">e </w:t>
      </w:r>
      <w:r>
        <w:rPr>
          <w:lang w:eastAsia="en-GB"/>
        </w:rPr>
        <w:t>find</w:t>
      </w:r>
      <w:r w:rsidR="00F63030">
        <w:rPr>
          <w:lang w:eastAsia="en-GB"/>
        </w:rPr>
        <w:t xml:space="preserve">: </w:t>
      </w:r>
      <w:r w:rsidR="00EB533F">
        <w:rPr>
          <w:lang w:eastAsia="en-GB"/>
        </w:rPr>
        <w:t>‘</w:t>
      </w:r>
      <w:r w:rsidR="00F63030">
        <w:rPr>
          <w:lang w:eastAsia="en-GB"/>
        </w:rPr>
        <w:t>write-down</w:t>
      </w:r>
      <w:r w:rsidR="00EB533F">
        <w:rPr>
          <w:lang w:eastAsia="en-GB"/>
        </w:rPr>
        <w:t>’</w:t>
      </w:r>
      <w:r w:rsidR="00F63030">
        <w:rPr>
          <w:lang w:eastAsia="en-GB"/>
        </w:rPr>
        <w:t xml:space="preserve">, </w:t>
      </w:r>
      <w:r w:rsidR="00EB533F">
        <w:rPr>
          <w:lang w:eastAsia="en-GB"/>
        </w:rPr>
        <w:t>‘</w:t>
      </w:r>
      <w:r w:rsidR="00F63030">
        <w:rPr>
          <w:lang w:eastAsia="en-GB"/>
        </w:rPr>
        <w:t>value adjustment due to deterioration</w:t>
      </w:r>
      <w:r w:rsidR="00EB533F">
        <w:rPr>
          <w:lang w:eastAsia="en-GB"/>
        </w:rPr>
        <w:t>’</w:t>
      </w:r>
      <w:r w:rsidR="001C762C">
        <w:rPr>
          <w:lang w:eastAsia="en-GB"/>
        </w:rPr>
        <w:t>,</w:t>
      </w:r>
      <w:r w:rsidR="00F63030">
        <w:rPr>
          <w:lang w:eastAsia="en-GB"/>
        </w:rPr>
        <w:t xml:space="preserve"> </w:t>
      </w:r>
      <w:r w:rsidR="00EB533F">
        <w:rPr>
          <w:lang w:eastAsia="en-GB"/>
        </w:rPr>
        <w:t>‘</w:t>
      </w:r>
      <w:r w:rsidR="00F63030">
        <w:rPr>
          <w:lang w:eastAsia="en-GB"/>
        </w:rPr>
        <w:t>decrease in fair value</w:t>
      </w:r>
      <w:r w:rsidR="00EB533F">
        <w:rPr>
          <w:lang w:eastAsia="en-GB"/>
        </w:rPr>
        <w:t>’</w:t>
      </w:r>
      <w:r w:rsidR="001C762C" w:rsidRPr="001C762C">
        <w:rPr>
          <w:lang w:eastAsia="en-GB"/>
        </w:rPr>
        <w:t xml:space="preserve"> </w:t>
      </w:r>
      <w:r w:rsidR="001C762C">
        <w:rPr>
          <w:lang w:eastAsia="en-GB"/>
        </w:rPr>
        <w:t>and ‘depreciation and write-down’</w:t>
      </w:r>
      <w:r w:rsidR="00F63030">
        <w:rPr>
          <w:lang w:eastAsia="en-GB"/>
        </w:rPr>
        <w:t xml:space="preserve">. </w:t>
      </w:r>
      <w:r w:rsidR="000E2368">
        <w:rPr>
          <w:lang w:eastAsia="en-GB"/>
        </w:rPr>
        <w:t>In the source documents, t</w:t>
      </w:r>
      <w:r w:rsidR="00F63030">
        <w:rPr>
          <w:lang w:eastAsia="en-GB"/>
        </w:rPr>
        <w:t>he ‘write-downs’ are generally ‘</w:t>
      </w:r>
      <w:r w:rsidR="00F63030">
        <w:rPr>
          <w:i/>
          <w:lang w:eastAsia="en-GB"/>
        </w:rPr>
        <w:t>svaluta</w:t>
      </w:r>
      <w:r w:rsidR="005853D4">
        <w:rPr>
          <w:i/>
          <w:lang w:eastAsia="en-GB"/>
        </w:rPr>
        <w:t>z</w:t>
      </w:r>
      <w:r w:rsidR="00F63030">
        <w:rPr>
          <w:i/>
          <w:lang w:eastAsia="en-GB"/>
        </w:rPr>
        <w:t>ioni</w:t>
      </w:r>
      <w:r w:rsidR="00F63030">
        <w:rPr>
          <w:lang w:eastAsia="en-GB"/>
        </w:rPr>
        <w:t>’ (devaluations).</w:t>
      </w:r>
      <w:r w:rsidR="00F63030">
        <w:rPr>
          <w:rStyle w:val="FootnoteReference"/>
          <w:lang w:eastAsia="en-GB"/>
        </w:rPr>
        <w:footnoteReference w:id="54"/>
      </w:r>
      <w:r w:rsidR="00F63030">
        <w:rPr>
          <w:lang w:eastAsia="en-GB"/>
        </w:rPr>
        <w:t xml:space="preserve"> Thus, the English translations reflect the Italian version of IAS 36 which refers</w:t>
      </w:r>
      <w:r w:rsidR="001310F6">
        <w:rPr>
          <w:lang w:eastAsia="en-GB"/>
        </w:rPr>
        <w:t xml:space="preserve"> to</w:t>
      </w:r>
      <w:r w:rsidR="00F63030">
        <w:rPr>
          <w:lang w:eastAsia="en-GB"/>
        </w:rPr>
        <w:t xml:space="preserve"> loss of value (see Table 1), though the</w:t>
      </w:r>
      <w:r w:rsidR="00905836">
        <w:rPr>
          <w:lang w:eastAsia="en-GB"/>
        </w:rPr>
        <w:t xml:space="preserve"> mentions of</w:t>
      </w:r>
      <w:r w:rsidR="00F63030">
        <w:rPr>
          <w:lang w:eastAsia="en-GB"/>
        </w:rPr>
        <w:t xml:space="preserve"> ‘deterioration’ hint at impairment.</w:t>
      </w:r>
    </w:p>
    <w:p w14:paraId="782D07DE" w14:textId="5D40074F" w:rsidR="00F63030" w:rsidRDefault="00F63030" w:rsidP="00B8415D">
      <w:pPr>
        <w:ind w:firstLine="720"/>
        <w:rPr>
          <w:lang w:eastAsia="en-GB"/>
        </w:rPr>
      </w:pPr>
      <w:r>
        <w:rPr>
          <w:lang w:eastAsia="en-GB"/>
        </w:rPr>
        <w:t xml:space="preserve">In the Spanish </w:t>
      </w:r>
      <w:r w:rsidR="00905836">
        <w:rPr>
          <w:lang w:eastAsia="en-GB"/>
        </w:rPr>
        <w:t xml:space="preserve">source </w:t>
      </w:r>
      <w:r>
        <w:rPr>
          <w:lang w:eastAsia="en-GB"/>
        </w:rPr>
        <w:t>reports, there is a variety of terms reflecting IAS 36</w:t>
      </w:r>
      <w:r w:rsidR="00A4670A">
        <w:rPr>
          <w:lang w:eastAsia="en-GB"/>
        </w:rPr>
        <w:t>’s</w:t>
      </w:r>
      <w:r>
        <w:rPr>
          <w:lang w:eastAsia="en-GB"/>
        </w:rPr>
        <w:t xml:space="preserve"> ‘</w:t>
      </w:r>
      <w:r w:rsidRPr="00B8415D">
        <w:rPr>
          <w:i/>
          <w:lang w:eastAsia="en-GB"/>
        </w:rPr>
        <w:t>deteri</w:t>
      </w:r>
      <w:r w:rsidR="00977485">
        <w:rPr>
          <w:i/>
          <w:lang w:eastAsia="en-GB"/>
        </w:rPr>
        <w:t>or</w:t>
      </w:r>
      <w:r w:rsidRPr="00B8415D">
        <w:rPr>
          <w:i/>
          <w:lang w:eastAsia="en-GB"/>
        </w:rPr>
        <w:t>o del valor</w:t>
      </w:r>
      <w:r>
        <w:rPr>
          <w:lang w:eastAsia="en-GB"/>
        </w:rPr>
        <w:t>’, such as: ‘</w:t>
      </w:r>
      <w:r w:rsidRPr="00B8415D">
        <w:rPr>
          <w:i/>
          <w:lang w:eastAsia="en-GB"/>
        </w:rPr>
        <w:t>p</w:t>
      </w:r>
      <w:r w:rsidRPr="00B8415D">
        <w:rPr>
          <w:rFonts w:cs="Times New Roman"/>
          <w:i/>
          <w:lang w:eastAsia="en-GB"/>
        </w:rPr>
        <w:t>é</w:t>
      </w:r>
      <w:r w:rsidRPr="00B8415D">
        <w:rPr>
          <w:i/>
          <w:lang w:eastAsia="en-GB"/>
        </w:rPr>
        <w:t>rdida de valor</w:t>
      </w:r>
      <w:r>
        <w:rPr>
          <w:lang w:eastAsia="en-GB"/>
        </w:rPr>
        <w:t>’, ‘</w:t>
      </w:r>
      <w:r w:rsidRPr="00B8415D">
        <w:rPr>
          <w:i/>
          <w:lang w:eastAsia="en-GB"/>
        </w:rPr>
        <w:t>p</w:t>
      </w:r>
      <w:r w:rsidRPr="00B8415D">
        <w:rPr>
          <w:rFonts w:cs="Times New Roman"/>
          <w:i/>
          <w:lang w:eastAsia="en-GB"/>
        </w:rPr>
        <w:t>é</w:t>
      </w:r>
      <w:r w:rsidRPr="00B8415D">
        <w:rPr>
          <w:i/>
          <w:lang w:eastAsia="en-GB"/>
        </w:rPr>
        <w:t>rdidas por deterioro’</w:t>
      </w:r>
      <w:r>
        <w:rPr>
          <w:lang w:eastAsia="en-GB"/>
        </w:rPr>
        <w:t>, ‘</w:t>
      </w:r>
      <w:r w:rsidRPr="00B8415D">
        <w:rPr>
          <w:i/>
          <w:lang w:eastAsia="en-GB"/>
        </w:rPr>
        <w:t>deterioros</w:t>
      </w:r>
      <w:r>
        <w:rPr>
          <w:lang w:eastAsia="en-GB"/>
        </w:rPr>
        <w:t>’, and the more general ‘</w:t>
      </w:r>
      <w:r w:rsidRPr="00B8415D">
        <w:rPr>
          <w:i/>
          <w:lang w:eastAsia="en-GB"/>
        </w:rPr>
        <w:t>provisiones</w:t>
      </w:r>
      <w:r>
        <w:rPr>
          <w:lang w:eastAsia="en-GB"/>
        </w:rPr>
        <w:t xml:space="preserve">’. As Table </w:t>
      </w:r>
      <w:r w:rsidR="00FD1FC9">
        <w:rPr>
          <w:lang w:eastAsia="en-GB"/>
        </w:rPr>
        <w:t>2</w:t>
      </w:r>
      <w:r>
        <w:rPr>
          <w:lang w:eastAsia="en-GB"/>
        </w:rPr>
        <w:t xml:space="preserve"> shows, </w:t>
      </w:r>
      <w:r w:rsidR="00977485">
        <w:rPr>
          <w:lang w:eastAsia="en-GB"/>
        </w:rPr>
        <w:t>in the English translation</w:t>
      </w:r>
      <w:r w:rsidR="000E2368">
        <w:rPr>
          <w:lang w:eastAsia="en-GB"/>
        </w:rPr>
        <w:t>s</w:t>
      </w:r>
      <w:r w:rsidR="00977485">
        <w:rPr>
          <w:lang w:eastAsia="en-GB"/>
        </w:rPr>
        <w:t xml:space="preserve"> </w:t>
      </w:r>
      <w:r w:rsidR="00A4670A">
        <w:rPr>
          <w:lang w:eastAsia="en-GB"/>
        </w:rPr>
        <w:t xml:space="preserve">of the reports </w:t>
      </w:r>
      <w:r>
        <w:rPr>
          <w:lang w:eastAsia="en-GB"/>
        </w:rPr>
        <w:t>th</w:t>
      </w:r>
      <w:r w:rsidR="00977485">
        <w:rPr>
          <w:lang w:eastAsia="en-GB"/>
        </w:rPr>
        <w:t>is</w:t>
      </w:r>
      <w:r w:rsidR="001C762C">
        <w:rPr>
          <w:lang w:eastAsia="en-GB"/>
        </w:rPr>
        <w:t xml:space="preserve"> </w:t>
      </w:r>
      <w:r>
        <w:rPr>
          <w:lang w:eastAsia="en-GB"/>
        </w:rPr>
        <w:t>bec</w:t>
      </w:r>
      <w:r w:rsidR="00A4670A">
        <w:rPr>
          <w:lang w:eastAsia="en-GB"/>
        </w:rPr>
        <w:t>o</w:t>
      </w:r>
      <w:r>
        <w:rPr>
          <w:lang w:eastAsia="en-GB"/>
        </w:rPr>
        <w:t>me</w:t>
      </w:r>
      <w:r w:rsidR="00A4670A">
        <w:rPr>
          <w:lang w:eastAsia="en-GB"/>
        </w:rPr>
        <w:t>s</w:t>
      </w:r>
      <w:r>
        <w:rPr>
          <w:lang w:eastAsia="en-GB"/>
        </w:rPr>
        <w:t xml:space="preserve"> ‘loss in value’</w:t>
      </w:r>
      <w:r w:rsidR="00977485">
        <w:rPr>
          <w:lang w:eastAsia="en-GB"/>
        </w:rPr>
        <w:t xml:space="preserve"> in one instance</w:t>
      </w:r>
      <w:r>
        <w:rPr>
          <w:lang w:eastAsia="en-GB"/>
        </w:rPr>
        <w:t xml:space="preserve"> but usually ‘allowance’ or ‘provision’.</w:t>
      </w:r>
    </w:p>
    <w:p w14:paraId="7293C06A" w14:textId="7C6541FB" w:rsidR="00F63030" w:rsidRDefault="00F63030" w:rsidP="009C6E5C">
      <w:pPr>
        <w:ind w:firstLine="567"/>
        <w:rPr>
          <w:lang w:eastAsia="en-GB"/>
        </w:rPr>
      </w:pPr>
      <w:r>
        <w:rPr>
          <w:lang w:eastAsia="en-GB"/>
        </w:rPr>
        <w:t>The French case is the most obvious illustration of our hypothesis</w:t>
      </w:r>
      <w:r w:rsidR="00DF66A2">
        <w:rPr>
          <w:lang w:eastAsia="en-GB"/>
        </w:rPr>
        <w:t xml:space="preserve"> that misleading annual reports result from </w:t>
      </w:r>
      <w:r w:rsidR="00F9525F">
        <w:rPr>
          <w:lang w:eastAsia="en-GB"/>
        </w:rPr>
        <w:t>non-proximate</w:t>
      </w:r>
      <w:r w:rsidR="00DF66A2">
        <w:rPr>
          <w:lang w:eastAsia="en-GB"/>
        </w:rPr>
        <w:t xml:space="preserve"> translations of IAS 36</w:t>
      </w:r>
      <w:r>
        <w:rPr>
          <w:lang w:eastAsia="en-GB"/>
        </w:rPr>
        <w:t xml:space="preserve">, because several </w:t>
      </w:r>
      <w:r w:rsidR="00DF66A2">
        <w:rPr>
          <w:lang w:eastAsia="en-GB"/>
        </w:rPr>
        <w:t xml:space="preserve">French </w:t>
      </w:r>
      <w:r w:rsidR="00EC43F5">
        <w:rPr>
          <w:lang w:eastAsia="en-GB"/>
        </w:rPr>
        <w:t xml:space="preserve">firms </w:t>
      </w:r>
      <w:r>
        <w:rPr>
          <w:lang w:eastAsia="en-GB"/>
        </w:rPr>
        <w:t>record ‘depreciation’ instead of ‘impairment’. We can be sure about the problem by looking at the French language reports which say, for example, ‘</w:t>
      </w:r>
      <w:r>
        <w:rPr>
          <w:i/>
          <w:lang w:eastAsia="en-GB"/>
        </w:rPr>
        <w:t>amortis</w:t>
      </w:r>
      <w:r w:rsidR="00DF66A2">
        <w:rPr>
          <w:i/>
          <w:lang w:eastAsia="en-GB"/>
        </w:rPr>
        <w:t>s</w:t>
      </w:r>
      <w:r>
        <w:rPr>
          <w:i/>
          <w:lang w:eastAsia="en-GB"/>
        </w:rPr>
        <w:t>ements et d</w:t>
      </w:r>
      <w:r>
        <w:rPr>
          <w:rFonts w:cs="Times New Roman"/>
          <w:i/>
          <w:lang w:eastAsia="en-GB"/>
        </w:rPr>
        <w:t>é</w:t>
      </w:r>
      <w:r>
        <w:rPr>
          <w:i/>
          <w:lang w:eastAsia="en-GB"/>
        </w:rPr>
        <w:t>pr</w:t>
      </w:r>
      <w:r>
        <w:rPr>
          <w:rFonts w:cs="Times New Roman"/>
          <w:i/>
          <w:lang w:eastAsia="en-GB"/>
        </w:rPr>
        <w:t>é</w:t>
      </w:r>
      <w:r>
        <w:rPr>
          <w:i/>
          <w:lang w:eastAsia="en-GB"/>
        </w:rPr>
        <w:t>ciations</w:t>
      </w:r>
      <w:r>
        <w:rPr>
          <w:lang w:eastAsia="en-GB"/>
        </w:rPr>
        <w:t xml:space="preserve">’ in the PPE table, </w:t>
      </w:r>
      <w:r w:rsidR="009E6D02">
        <w:rPr>
          <w:lang w:eastAsia="en-GB"/>
        </w:rPr>
        <w:t xml:space="preserve">erroneously </w:t>
      </w:r>
      <w:r>
        <w:rPr>
          <w:lang w:eastAsia="en-GB"/>
        </w:rPr>
        <w:t>translated as ‘amortization and depreciation’. To take the example of Gaz de France, a heading in the translated table is ‘Amortization and depreciation’ in 2005, then ‘Amortization and impairment’ in 2006 and 2007, and eventually ‘Depreciation and impairment’ from 2008.</w:t>
      </w:r>
      <w:r w:rsidR="001C762C">
        <w:rPr>
          <w:lang w:eastAsia="en-GB"/>
        </w:rPr>
        <w:t xml:space="preserve"> A particularly confusing example is Carrefour 2006, which uses three </w:t>
      </w:r>
      <w:r w:rsidR="007C3342">
        <w:rPr>
          <w:lang w:eastAsia="en-GB"/>
        </w:rPr>
        <w:t>term</w:t>
      </w:r>
      <w:r w:rsidR="001C762C">
        <w:rPr>
          <w:lang w:eastAsia="en-GB"/>
        </w:rPr>
        <w:t xml:space="preserve">s for impairment in a single </w:t>
      </w:r>
      <w:r w:rsidR="00704159">
        <w:rPr>
          <w:lang w:eastAsia="en-GB"/>
        </w:rPr>
        <w:t xml:space="preserve">translated </w:t>
      </w:r>
      <w:r w:rsidR="00F97C3A">
        <w:rPr>
          <w:lang w:eastAsia="en-GB"/>
        </w:rPr>
        <w:t>document</w:t>
      </w:r>
      <w:r w:rsidR="001C762C">
        <w:rPr>
          <w:lang w:eastAsia="en-GB"/>
        </w:rPr>
        <w:t xml:space="preserve"> (</w:t>
      </w:r>
      <w:r w:rsidR="000E2368">
        <w:rPr>
          <w:lang w:eastAsia="en-GB"/>
        </w:rPr>
        <w:t>its</w:t>
      </w:r>
      <w:r w:rsidR="001C762C">
        <w:rPr>
          <w:lang w:eastAsia="en-GB"/>
        </w:rPr>
        <w:t xml:space="preserve"> ‘Financial Report’): the first table in the PPE note on p.</w:t>
      </w:r>
      <w:r w:rsidR="00886E84">
        <w:rPr>
          <w:lang w:eastAsia="en-GB"/>
        </w:rPr>
        <w:t xml:space="preserve"> </w:t>
      </w:r>
      <w:r w:rsidR="001C762C">
        <w:rPr>
          <w:lang w:eastAsia="en-GB"/>
        </w:rPr>
        <w:t>96 says ‘write-down’, the tab</w:t>
      </w:r>
      <w:r w:rsidR="0015675D">
        <w:rPr>
          <w:lang w:eastAsia="en-GB"/>
        </w:rPr>
        <w:t xml:space="preserve">le </w:t>
      </w:r>
      <w:r w:rsidR="00CD7FC5">
        <w:rPr>
          <w:lang w:eastAsia="en-GB"/>
        </w:rPr>
        <w:t xml:space="preserve">on </w:t>
      </w:r>
      <w:r w:rsidR="0015675D">
        <w:rPr>
          <w:lang w:eastAsia="en-GB"/>
        </w:rPr>
        <w:t>p.</w:t>
      </w:r>
      <w:r w:rsidR="00886E84">
        <w:rPr>
          <w:lang w:eastAsia="en-GB"/>
        </w:rPr>
        <w:t xml:space="preserve"> </w:t>
      </w:r>
      <w:r w:rsidR="0015675D">
        <w:rPr>
          <w:lang w:eastAsia="en-GB"/>
        </w:rPr>
        <w:t xml:space="preserve">97 showing changes during </w:t>
      </w:r>
      <w:r w:rsidR="001C762C">
        <w:rPr>
          <w:lang w:eastAsia="en-GB"/>
        </w:rPr>
        <w:t>the year says ‘depreciation’</w:t>
      </w:r>
      <w:r w:rsidR="00F97C3A">
        <w:rPr>
          <w:lang w:eastAsia="en-GB"/>
        </w:rPr>
        <w:t>,</w:t>
      </w:r>
      <w:r w:rsidR="001C762C">
        <w:rPr>
          <w:lang w:eastAsia="en-GB"/>
        </w:rPr>
        <w:t xml:space="preserve"> and the PPE policy note on p.</w:t>
      </w:r>
      <w:r w:rsidR="00886E84">
        <w:rPr>
          <w:lang w:eastAsia="en-GB"/>
        </w:rPr>
        <w:t xml:space="preserve"> </w:t>
      </w:r>
      <w:r w:rsidR="001C762C">
        <w:rPr>
          <w:lang w:eastAsia="en-GB"/>
        </w:rPr>
        <w:t>79 says ‘loss in value’. This is despite the fact that the firm is aware of the word ‘impairment’, us</w:t>
      </w:r>
      <w:r w:rsidR="00F97C3A">
        <w:rPr>
          <w:lang w:eastAsia="en-GB"/>
        </w:rPr>
        <w:t>ing</w:t>
      </w:r>
      <w:r w:rsidR="001C762C">
        <w:rPr>
          <w:lang w:eastAsia="en-GB"/>
        </w:rPr>
        <w:t xml:space="preserve"> </w:t>
      </w:r>
      <w:r w:rsidR="00F97C3A">
        <w:rPr>
          <w:lang w:eastAsia="en-GB"/>
        </w:rPr>
        <w:t xml:space="preserve">it </w:t>
      </w:r>
      <w:r w:rsidR="001C762C">
        <w:rPr>
          <w:lang w:eastAsia="en-GB"/>
        </w:rPr>
        <w:t xml:space="preserve">in </w:t>
      </w:r>
      <w:r w:rsidR="00A4670A">
        <w:rPr>
          <w:lang w:eastAsia="en-GB"/>
        </w:rPr>
        <w:t>a</w:t>
      </w:r>
      <w:r w:rsidR="001C762C">
        <w:rPr>
          <w:lang w:eastAsia="en-GB"/>
        </w:rPr>
        <w:t xml:space="preserve"> policy note on p.</w:t>
      </w:r>
      <w:r w:rsidR="00886E84">
        <w:rPr>
          <w:lang w:eastAsia="en-GB"/>
        </w:rPr>
        <w:t xml:space="preserve"> </w:t>
      </w:r>
      <w:r w:rsidR="001C762C">
        <w:rPr>
          <w:lang w:eastAsia="en-GB"/>
        </w:rPr>
        <w:t xml:space="preserve">79. This is </w:t>
      </w:r>
      <w:r w:rsidR="00A4670A">
        <w:rPr>
          <w:lang w:eastAsia="en-GB"/>
        </w:rPr>
        <w:t xml:space="preserve">all </w:t>
      </w:r>
      <w:r w:rsidR="00FD1FC9">
        <w:rPr>
          <w:lang w:eastAsia="en-GB"/>
        </w:rPr>
        <w:t>the</w:t>
      </w:r>
      <w:r w:rsidR="001C762C">
        <w:rPr>
          <w:lang w:eastAsia="en-GB"/>
        </w:rPr>
        <w:t xml:space="preserve"> more surprising given that the French version of the report uses “impairment” (which is not a French word) in </w:t>
      </w:r>
      <w:r w:rsidR="009E6D02">
        <w:rPr>
          <w:lang w:eastAsia="en-GB"/>
        </w:rPr>
        <w:t>its</w:t>
      </w:r>
      <w:r w:rsidR="001C762C">
        <w:rPr>
          <w:lang w:eastAsia="en-GB"/>
        </w:rPr>
        <w:t xml:space="preserve"> PPE tables.</w:t>
      </w:r>
    </w:p>
    <w:p w14:paraId="38F18CDC" w14:textId="00A28D43" w:rsidR="00524040" w:rsidRPr="00095B86" w:rsidRDefault="008C3040" w:rsidP="00524040">
      <w:pPr>
        <w:pStyle w:val="Heading2"/>
        <w:rPr>
          <w:rFonts w:cs="Times New Roman"/>
          <w:b/>
          <w:szCs w:val="22"/>
        </w:rPr>
      </w:pPr>
      <w:r>
        <w:rPr>
          <w:rFonts w:cs="Times New Roman"/>
          <w:szCs w:val="22"/>
        </w:rPr>
        <w:t>5</w:t>
      </w:r>
      <w:r w:rsidR="00524040">
        <w:rPr>
          <w:rFonts w:cs="Times New Roman"/>
          <w:szCs w:val="22"/>
        </w:rPr>
        <w:t xml:space="preserve">.3 </w:t>
      </w:r>
      <w:r w:rsidR="00504393">
        <w:rPr>
          <w:rFonts w:cs="Times New Roman"/>
          <w:szCs w:val="22"/>
        </w:rPr>
        <w:t xml:space="preserve">Other </w:t>
      </w:r>
      <w:r w:rsidR="00911272">
        <w:rPr>
          <w:rFonts w:cs="Times New Roman"/>
          <w:szCs w:val="22"/>
        </w:rPr>
        <w:t>finding</w:t>
      </w:r>
      <w:r w:rsidR="00504393">
        <w:rPr>
          <w:rFonts w:cs="Times New Roman"/>
          <w:szCs w:val="22"/>
        </w:rPr>
        <w:t xml:space="preserve">s: change over time, language distance and </w:t>
      </w:r>
      <w:r w:rsidR="007C3342">
        <w:rPr>
          <w:rFonts w:cs="Times New Roman"/>
          <w:szCs w:val="22"/>
        </w:rPr>
        <w:t>term</w:t>
      </w:r>
      <w:r w:rsidR="00504393">
        <w:rPr>
          <w:rFonts w:cs="Times New Roman"/>
          <w:szCs w:val="22"/>
        </w:rPr>
        <w:t>s for impairment reversal</w:t>
      </w:r>
    </w:p>
    <w:p w14:paraId="29498A96" w14:textId="53A123AF" w:rsidR="00F63030" w:rsidRDefault="00F63030" w:rsidP="00504393">
      <w:pPr>
        <w:ind w:firstLine="567"/>
        <w:rPr>
          <w:lang w:eastAsia="en-GB"/>
        </w:rPr>
      </w:pPr>
      <w:r>
        <w:rPr>
          <w:lang w:eastAsia="en-GB"/>
        </w:rPr>
        <w:t>T</w:t>
      </w:r>
      <w:r w:rsidR="00504393">
        <w:rPr>
          <w:lang w:eastAsia="en-GB"/>
        </w:rPr>
        <w:t>he t</w:t>
      </w:r>
      <w:r>
        <w:rPr>
          <w:lang w:eastAsia="en-GB"/>
        </w:rPr>
        <w:t>ranslat</w:t>
      </w:r>
      <w:r w:rsidR="00AB7251">
        <w:rPr>
          <w:lang w:eastAsia="en-GB"/>
        </w:rPr>
        <w:t>ed reports</w:t>
      </w:r>
      <w:r>
        <w:rPr>
          <w:lang w:eastAsia="en-GB"/>
        </w:rPr>
        <w:t xml:space="preserve"> have generally improved over time. Table 3</w:t>
      </w:r>
      <w:r w:rsidR="001C762C">
        <w:rPr>
          <w:lang w:eastAsia="en-GB"/>
        </w:rPr>
        <w:t xml:space="preserve"> shows that</w:t>
      </w:r>
      <w:r>
        <w:rPr>
          <w:lang w:eastAsia="en-GB"/>
        </w:rPr>
        <w:t xml:space="preserve"> the percentage of </w:t>
      </w:r>
      <w:r w:rsidR="00F9525F">
        <w:rPr>
          <w:lang w:eastAsia="en-GB"/>
        </w:rPr>
        <w:t>non-proximate</w:t>
      </w:r>
      <w:r>
        <w:rPr>
          <w:lang w:eastAsia="en-GB"/>
        </w:rPr>
        <w:t xml:space="preserve"> </w:t>
      </w:r>
      <w:r w:rsidR="007C3342">
        <w:rPr>
          <w:lang w:eastAsia="en-GB"/>
        </w:rPr>
        <w:t>term</w:t>
      </w:r>
      <w:r>
        <w:rPr>
          <w:lang w:eastAsia="en-GB"/>
        </w:rPr>
        <w:t xml:space="preserve">s falls </w:t>
      </w:r>
      <w:r w:rsidR="001C762C">
        <w:rPr>
          <w:lang w:eastAsia="en-GB"/>
        </w:rPr>
        <w:t>from 13% to 5%</w:t>
      </w:r>
      <w:r>
        <w:rPr>
          <w:lang w:eastAsia="en-GB"/>
        </w:rPr>
        <w:t xml:space="preserve"> from ‘first year’ to ‘last year’ (generally from 2005 to 2013). </w:t>
      </w:r>
      <w:r w:rsidR="00546901">
        <w:rPr>
          <w:lang w:eastAsia="en-GB"/>
        </w:rPr>
        <w:t>A two-sample test of proportions</w:t>
      </w:r>
      <w:r w:rsidR="009E6D02" w:rsidRPr="009E6D02">
        <w:rPr>
          <w:lang w:eastAsia="en-GB"/>
        </w:rPr>
        <w:t xml:space="preserve"> </w:t>
      </w:r>
      <w:r w:rsidR="009E6D02">
        <w:rPr>
          <w:lang w:eastAsia="en-GB"/>
        </w:rPr>
        <w:t>shows that this improvement is statistically significant</w:t>
      </w:r>
      <w:r w:rsidR="00FD4D80">
        <w:rPr>
          <w:lang w:eastAsia="en-GB"/>
        </w:rPr>
        <w:t xml:space="preserve"> at the 1% level</w:t>
      </w:r>
      <w:r w:rsidR="009E6D02">
        <w:rPr>
          <w:lang w:eastAsia="en-GB"/>
        </w:rPr>
        <w:t>.</w:t>
      </w:r>
      <w:r w:rsidR="00AB7251">
        <w:rPr>
          <w:rStyle w:val="FootnoteReference"/>
          <w:lang w:eastAsia="en-GB"/>
        </w:rPr>
        <w:footnoteReference w:id="55"/>
      </w:r>
      <w:r w:rsidR="00546901">
        <w:rPr>
          <w:lang w:eastAsia="en-GB"/>
        </w:rPr>
        <w:t xml:space="preserve"> </w:t>
      </w:r>
      <w:r>
        <w:rPr>
          <w:lang w:eastAsia="en-GB"/>
        </w:rPr>
        <w:t>Of the four countries discussed above, Germany remains the most conspicuous</w:t>
      </w:r>
      <w:r w:rsidR="00EB533F">
        <w:rPr>
          <w:lang w:eastAsia="en-GB"/>
        </w:rPr>
        <w:t>,</w:t>
      </w:r>
      <w:r>
        <w:rPr>
          <w:lang w:eastAsia="en-GB"/>
        </w:rPr>
        <w:t xml:space="preserve"> and it shows the least improvement over time</w:t>
      </w:r>
      <w:r w:rsidR="00F30588">
        <w:rPr>
          <w:lang w:eastAsia="en-GB"/>
        </w:rPr>
        <w:t xml:space="preserve"> in relative terms</w:t>
      </w:r>
      <w:r>
        <w:rPr>
          <w:lang w:eastAsia="en-GB"/>
        </w:rPr>
        <w:t xml:space="preserve">, perhaps because 2005 was not generally the year of first </w:t>
      </w:r>
      <w:r w:rsidR="00DF66A2">
        <w:rPr>
          <w:lang w:eastAsia="en-GB"/>
        </w:rPr>
        <w:t xml:space="preserve">IFRS </w:t>
      </w:r>
      <w:r>
        <w:rPr>
          <w:lang w:eastAsia="en-GB"/>
        </w:rPr>
        <w:t>adoption. The big improvement</w:t>
      </w:r>
      <w:r w:rsidR="00AB7251">
        <w:rPr>
          <w:lang w:eastAsia="en-GB"/>
        </w:rPr>
        <w:t>s</w:t>
      </w:r>
      <w:r>
        <w:rPr>
          <w:lang w:eastAsia="en-GB"/>
        </w:rPr>
        <w:t xml:space="preserve"> in France and Spain from first adoption in 2005 suggest ‘learning’ among </w:t>
      </w:r>
      <w:r w:rsidR="00EC43F5">
        <w:rPr>
          <w:lang w:eastAsia="en-GB"/>
        </w:rPr>
        <w:t xml:space="preserve">firms </w:t>
      </w:r>
      <w:r>
        <w:rPr>
          <w:lang w:eastAsia="en-GB"/>
        </w:rPr>
        <w:t xml:space="preserve">and auditors, as </w:t>
      </w:r>
      <w:r w:rsidR="00D165D2">
        <w:rPr>
          <w:lang w:eastAsia="en-GB"/>
        </w:rPr>
        <w:t>propos</w:t>
      </w:r>
      <w:r>
        <w:rPr>
          <w:lang w:eastAsia="en-GB"/>
        </w:rPr>
        <w:t xml:space="preserve">ed by Kvaal and Nobes (2012) for IFRS policy choice in those </w:t>
      </w:r>
      <w:r w:rsidR="00FD1FC9">
        <w:rPr>
          <w:lang w:eastAsia="en-GB"/>
        </w:rPr>
        <w:t xml:space="preserve">two </w:t>
      </w:r>
      <w:r>
        <w:rPr>
          <w:lang w:eastAsia="en-GB"/>
        </w:rPr>
        <w:t>countries.</w:t>
      </w:r>
      <w:r w:rsidR="00F30588">
        <w:rPr>
          <w:lang w:eastAsia="en-GB"/>
        </w:rPr>
        <w:t xml:space="preserve"> Using</w:t>
      </w:r>
      <w:r w:rsidR="00ED3956">
        <w:rPr>
          <w:lang w:eastAsia="en-GB"/>
        </w:rPr>
        <w:t xml:space="preserve"> </w:t>
      </w:r>
      <w:r w:rsidR="00F30588">
        <w:rPr>
          <w:lang w:eastAsia="en-GB"/>
        </w:rPr>
        <w:t>one-sided two-sample tests of proportions, we find that the improvement</w:t>
      </w:r>
      <w:r w:rsidR="00ED3956">
        <w:rPr>
          <w:lang w:eastAsia="en-GB"/>
        </w:rPr>
        <w:t>s</w:t>
      </w:r>
      <w:r w:rsidR="00F30588">
        <w:rPr>
          <w:lang w:eastAsia="en-GB"/>
        </w:rPr>
        <w:t xml:space="preserve"> in Spain, Italy, Germany and France </w:t>
      </w:r>
      <w:r w:rsidR="00ED3956">
        <w:rPr>
          <w:lang w:eastAsia="en-GB"/>
        </w:rPr>
        <w:t>are</w:t>
      </w:r>
      <w:r w:rsidR="0082658D">
        <w:rPr>
          <w:lang w:eastAsia="en-GB"/>
        </w:rPr>
        <w:t xml:space="preserve"> </w:t>
      </w:r>
      <w:r w:rsidR="00911272">
        <w:rPr>
          <w:lang w:eastAsia="en-GB"/>
        </w:rPr>
        <w:t xml:space="preserve">all </w:t>
      </w:r>
      <w:r w:rsidR="0082658D">
        <w:rPr>
          <w:lang w:eastAsia="en-GB"/>
        </w:rPr>
        <w:t>statistically</w:t>
      </w:r>
      <w:r w:rsidR="00F30588">
        <w:rPr>
          <w:lang w:eastAsia="en-GB"/>
        </w:rPr>
        <w:t xml:space="preserve"> significant</w:t>
      </w:r>
      <w:r w:rsidR="00911272">
        <w:rPr>
          <w:lang w:eastAsia="en-GB"/>
        </w:rPr>
        <w:t>;</w:t>
      </w:r>
      <w:r w:rsidR="00F30588">
        <w:rPr>
          <w:lang w:eastAsia="en-GB"/>
        </w:rPr>
        <w:t xml:space="preserve"> at the 1%, 1%, 5% and 10%</w:t>
      </w:r>
      <w:r w:rsidR="00ED3956">
        <w:rPr>
          <w:lang w:eastAsia="en-GB"/>
        </w:rPr>
        <w:t xml:space="preserve"> level</w:t>
      </w:r>
      <w:r w:rsidR="00F30588">
        <w:rPr>
          <w:lang w:eastAsia="en-GB"/>
        </w:rPr>
        <w:t>, respectively.</w:t>
      </w:r>
      <w:r w:rsidR="009E6D02">
        <w:rPr>
          <w:rStyle w:val="FootnoteReference"/>
          <w:lang w:eastAsia="en-GB"/>
        </w:rPr>
        <w:footnoteReference w:id="56"/>
      </w:r>
      <w:r w:rsidR="00F30588">
        <w:rPr>
          <w:lang w:eastAsia="en-GB"/>
        </w:rPr>
        <w:t xml:space="preserve"> T</w:t>
      </w:r>
      <w:r w:rsidR="00911272">
        <w:rPr>
          <w:lang w:eastAsia="en-GB"/>
        </w:rPr>
        <w:t>hat t</w:t>
      </w:r>
      <w:r w:rsidR="00F30588">
        <w:rPr>
          <w:lang w:eastAsia="en-GB"/>
        </w:rPr>
        <w:t xml:space="preserve">he </w:t>
      </w:r>
      <w:r w:rsidR="00911272">
        <w:rPr>
          <w:lang w:eastAsia="en-GB"/>
        </w:rPr>
        <w:t xml:space="preserve">large </w:t>
      </w:r>
      <w:r w:rsidR="00EF167A">
        <w:rPr>
          <w:lang w:eastAsia="en-GB"/>
        </w:rPr>
        <w:t>improvement in</w:t>
      </w:r>
      <w:r w:rsidR="00F30588">
        <w:rPr>
          <w:lang w:eastAsia="en-GB"/>
        </w:rPr>
        <w:t xml:space="preserve"> France</w:t>
      </w:r>
      <w:r w:rsidR="00611899">
        <w:rPr>
          <w:lang w:eastAsia="en-GB"/>
        </w:rPr>
        <w:t xml:space="preserve"> is </w:t>
      </w:r>
      <w:r w:rsidR="00911272">
        <w:rPr>
          <w:lang w:eastAsia="en-GB"/>
        </w:rPr>
        <w:t xml:space="preserve">the </w:t>
      </w:r>
      <w:r w:rsidR="00611899">
        <w:rPr>
          <w:lang w:eastAsia="en-GB"/>
        </w:rPr>
        <w:t>le</w:t>
      </w:r>
      <w:r w:rsidR="00911272">
        <w:rPr>
          <w:lang w:eastAsia="en-GB"/>
        </w:rPr>
        <w:t>ast</w:t>
      </w:r>
      <w:r w:rsidR="00611899">
        <w:rPr>
          <w:lang w:eastAsia="en-GB"/>
        </w:rPr>
        <w:t xml:space="preserve"> significant</w:t>
      </w:r>
      <w:r w:rsidR="00911272">
        <w:rPr>
          <w:lang w:eastAsia="en-GB"/>
        </w:rPr>
        <w:t xml:space="preserve"> </w:t>
      </w:r>
      <w:r w:rsidR="005357D6">
        <w:rPr>
          <w:lang w:eastAsia="en-GB"/>
        </w:rPr>
        <w:t xml:space="preserve">can be explained by the fact that </w:t>
      </w:r>
      <w:r w:rsidR="00ED3956">
        <w:rPr>
          <w:lang w:eastAsia="en-GB"/>
        </w:rPr>
        <w:t xml:space="preserve">it had </w:t>
      </w:r>
      <w:r w:rsidR="00F30588">
        <w:rPr>
          <w:lang w:eastAsia="en-GB"/>
        </w:rPr>
        <w:t xml:space="preserve">fewer </w:t>
      </w:r>
      <w:r w:rsidR="00F9525F">
        <w:rPr>
          <w:lang w:eastAsia="en-GB"/>
        </w:rPr>
        <w:t>non-proximate</w:t>
      </w:r>
      <w:r w:rsidR="00F30588">
        <w:rPr>
          <w:lang w:eastAsia="en-GB"/>
        </w:rPr>
        <w:t xml:space="preserve"> </w:t>
      </w:r>
      <w:r w:rsidR="007C3342">
        <w:rPr>
          <w:lang w:eastAsia="en-GB"/>
        </w:rPr>
        <w:t>term</w:t>
      </w:r>
      <w:r w:rsidR="00F30588">
        <w:rPr>
          <w:lang w:eastAsia="en-GB"/>
        </w:rPr>
        <w:t xml:space="preserve">s in </w:t>
      </w:r>
      <w:r w:rsidR="00ED3956">
        <w:rPr>
          <w:lang w:eastAsia="en-GB"/>
        </w:rPr>
        <w:t>the ‘first year’ and therefore the power of the test is lower.</w:t>
      </w:r>
    </w:p>
    <w:p w14:paraId="6911BE9B" w14:textId="50B3D0BE" w:rsidR="00D165D2" w:rsidRDefault="00D165D2" w:rsidP="009C6E5C">
      <w:pPr>
        <w:ind w:firstLine="567"/>
        <w:rPr>
          <w:lang w:eastAsia="en-GB"/>
        </w:rPr>
      </w:pPr>
      <w:r>
        <w:rPr>
          <w:lang w:eastAsia="en-GB"/>
        </w:rPr>
        <w:t xml:space="preserve">A further </w:t>
      </w:r>
      <w:r w:rsidR="00F63030">
        <w:rPr>
          <w:lang w:eastAsia="en-GB"/>
        </w:rPr>
        <w:t>observation</w:t>
      </w:r>
      <w:r>
        <w:rPr>
          <w:lang w:eastAsia="en-GB"/>
        </w:rPr>
        <w:t xml:space="preserve"> is that</w:t>
      </w:r>
      <w:r w:rsidR="001D5EDC">
        <w:rPr>
          <w:lang w:eastAsia="en-GB"/>
        </w:rPr>
        <w:t>, with the exception of Switzerland,</w:t>
      </w:r>
      <w:r w:rsidR="00F63030">
        <w:rPr>
          <w:lang w:eastAsia="en-GB"/>
        </w:rPr>
        <w:t xml:space="preserve"> the proportion of </w:t>
      </w:r>
      <w:r w:rsidR="00F9525F">
        <w:rPr>
          <w:lang w:eastAsia="en-GB"/>
        </w:rPr>
        <w:t>non-proximate</w:t>
      </w:r>
      <w:r w:rsidR="00F63030">
        <w:rPr>
          <w:lang w:eastAsia="en-GB"/>
        </w:rPr>
        <w:t xml:space="preserve"> </w:t>
      </w:r>
      <w:r w:rsidR="007C3342">
        <w:rPr>
          <w:lang w:eastAsia="en-GB"/>
        </w:rPr>
        <w:t>term</w:t>
      </w:r>
      <w:r w:rsidR="00B8415D">
        <w:rPr>
          <w:lang w:eastAsia="en-GB"/>
        </w:rPr>
        <w:t>s</w:t>
      </w:r>
      <w:r w:rsidR="00F63030">
        <w:rPr>
          <w:lang w:eastAsia="en-GB"/>
        </w:rPr>
        <w:t xml:space="preserve"> bears an inverse relationship to language distance from English. A simple measure of language distance can be based on a classification of languages (e.g. </w:t>
      </w:r>
      <w:r w:rsidR="00F63030">
        <w:t>Dow and Karunaratna, 2006, Appendix B</w:t>
      </w:r>
      <w:r w:rsidR="00F63030">
        <w:rPr>
          <w:lang w:eastAsia="en-GB"/>
        </w:rPr>
        <w:t xml:space="preserve">). According to this, </w:t>
      </w:r>
      <w:r>
        <w:rPr>
          <w:lang w:eastAsia="en-GB"/>
        </w:rPr>
        <w:t xml:space="preserve">since </w:t>
      </w:r>
      <w:r w:rsidR="00F63030">
        <w:rPr>
          <w:lang w:eastAsia="en-GB"/>
        </w:rPr>
        <w:t xml:space="preserve">English </w:t>
      </w:r>
      <w:r>
        <w:rPr>
          <w:lang w:eastAsia="en-GB"/>
        </w:rPr>
        <w:t>is</w:t>
      </w:r>
      <w:r w:rsidR="00F63030">
        <w:rPr>
          <w:lang w:eastAsia="en-GB"/>
        </w:rPr>
        <w:t xml:space="preserve"> a Germanic Indo-European language</w:t>
      </w:r>
      <w:r>
        <w:rPr>
          <w:lang w:eastAsia="en-GB"/>
        </w:rPr>
        <w:t>, it</w:t>
      </w:r>
      <w:r w:rsidR="00F63030">
        <w:rPr>
          <w:lang w:eastAsia="en-GB"/>
        </w:rPr>
        <w:t xml:space="preserve"> is closest to German, of the languages used in the countries of Table </w:t>
      </w:r>
      <w:r w:rsidR="00DF66A2">
        <w:rPr>
          <w:lang w:eastAsia="en-GB"/>
        </w:rPr>
        <w:t>3</w:t>
      </w:r>
      <w:r w:rsidR="00F63030">
        <w:rPr>
          <w:lang w:eastAsia="en-GB"/>
        </w:rPr>
        <w:t>. Other Indo-European languages are next closest</w:t>
      </w:r>
      <w:r>
        <w:rPr>
          <w:lang w:eastAsia="en-GB"/>
        </w:rPr>
        <w:t xml:space="preserve"> to English</w:t>
      </w:r>
      <w:r w:rsidR="00F63030">
        <w:rPr>
          <w:lang w:eastAsia="en-GB"/>
        </w:rPr>
        <w:t xml:space="preserve"> and, given the influence of French (and ultimately Latin) on English vocabulary, perhaps the Romance languages (French, Italian, Portuguese and Spanish) are closer than Russian (a Slavic language with a different alphabet). Chinese, Japanese and Korean</w:t>
      </w:r>
      <w:r>
        <w:rPr>
          <w:lang w:eastAsia="en-GB"/>
        </w:rPr>
        <w:t>,</w:t>
      </w:r>
      <w:r w:rsidR="00F63030">
        <w:rPr>
          <w:lang w:eastAsia="en-GB"/>
        </w:rPr>
        <w:t xml:space="preserve"> </w:t>
      </w:r>
      <w:r>
        <w:rPr>
          <w:lang w:eastAsia="en-GB"/>
        </w:rPr>
        <w:t>since they are not</w:t>
      </w:r>
      <w:r w:rsidR="00F63030">
        <w:rPr>
          <w:lang w:eastAsia="en-GB"/>
        </w:rPr>
        <w:t xml:space="preserve"> Indo-European languages</w:t>
      </w:r>
      <w:r>
        <w:rPr>
          <w:lang w:eastAsia="en-GB"/>
        </w:rPr>
        <w:t>,</w:t>
      </w:r>
      <w:r w:rsidR="00F63030">
        <w:rPr>
          <w:lang w:eastAsia="en-GB"/>
        </w:rPr>
        <w:t xml:space="preserve"> are at the greatest distance from English.</w:t>
      </w:r>
    </w:p>
    <w:p w14:paraId="57841767" w14:textId="67E2C0D2" w:rsidR="00F63030" w:rsidRDefault="00F63030" w:rsidP="00D165D2">
      <w:pPr>
        <w:ind w:firstLine="720"/>
        <w:rPr>
          <w:lang w:eastAsia="en-GB"/>
        </w:rPr>
      </w:pPr>
      <w:r>
        <w:rPr>
          <w:lang w:eastAsia="en-GB"/>
        </w:rPr>
        <w:t xml:space="preserve">Table </w:t>
      </w:r>
      <w:r w:rsidR="00D165D2">
        <w:rPr>
          <w:lang w:eastAsia="en-GB"/>
        </w:rPr>
        <w:t>3</w:t>
      </w:r>
      <w:r w:rsidR="001C762C">
        <w:rPr>
          <w:lang w:eastAsia="en-GB"/>
        </w:rPr>
        <w:t xml:space="preserve"> shows that</w:t>
      </w:r>
      <w:r>
        <w:rPr>
          <w:lang w:eastAsia="en-GB"/>
        </w:rPr>
        <w:t xml:space="preserve"> </w:t>
      </w:r>
      <w:r w:rsidR="00FD1FC9">
        <w:rPr>
          <w:lang w:eastAsia="en-GB"/>
        </w:rPr>
        <w:t xml:space="preserve">none of the </w:t>
      </w:r>
      <w:r w:rsidR="00905836">
        <w:rPr>
          <w:lang w:eastAsia="en-GB"/>
        </w:rPr>
        <w:t>firms based in</w:t>
      </w:r>
      <w:r w:rsidR="00230A7E">
        <w:rPr>
          <w:lang w:eastAsia="en-GB"/>
        </w:rPr>
        <w:t xml:space="preserve"> the</w:t>
      </w:r>
      <w:r>
        <w:rPr>
          <w:lang w:eastAsia="en-GB"/>
        </w:rPr>
        <w:t xml:space="preserve"> </w:t>
      </w:r>
      <w:r w:rsidR="001D5EDC">
        <w:rPr>
          <w:lang w:eastAsia="en-GB"/>
        </w:rPr>
        <w:t xml:space="preserve">three </w:t>
      </w:r>
      <w:r>
        <w:rPr>
          <w:lang w:eastAsia="en-GB"/>
        </w:rPr>
        <w:t>most distant countries</w:t>
      </w:r>
      <w:r w:rsidR="00230A7E">
        <w:rPr>
          <w:lang w:eastAsia="en-GB"/>
        </w:rPr>
        <w:t xml:space="preserve"> used </w:t>
      </w:r>
      <w:r w:rsidR="00FD1FC9">
        <w:rPr>
          <w:lang w:eastAsia="en-GB"/>
        </w:rPr>
        <w:t xml:space="preserve">any </w:t>
      </w:r>
      <w:r w:rsidR="00F9525F">
        <w:rPr>
          <w:lang w:eastAsia="en-GB"/>
        </w:rPr>
        <w:t>non-proximate</w:t>
      </w:r>
      <w:r w:rsidR="00230A7E">
        <w:rPr>
          <w:lang w:eastAsia="en-GB"/>
        </w:rPr>
        <w:t xml:space="preserve"> </w:t>
      </w:r>
      <w:r w:rsidR="007C3342">
        <w:rPr>
          <w:lang w:eastAsia="en-GB"/>
        </w:rPr>
        <w:t>term</w:t>
      </w:r>
      <w:r w:rsidR="00230A7E">
        <w:rPr>
          <w:lang w:eastAsia="en-GB"/>
        </w:rPr>
        <w:t>s</w:t>
      </w:r>
      <w:r>
        <w:rPr>
          <w:lang w:eastAsia="en-GB"/>
        </w:rPr>
        <w:t>. T</w:t>
      </w:r>
      <w:r w:rsidR="001D5EDC">
        <w:rPr>
          <w:lang w:eastAsia="en-GB"/>
        </w:rPr>
        <w:t>wo factors help to explain t</w:t>
      </w:r>
      <w:r>
        <w:rPr>
          <w:lang w:eastAsia="en-GB"/>
        </w:rPr>
        <w:t>his counter-intuitive result</w:t>
      </w:r>
      <w:r w:rsidR="001D5EDC">
        <w:rPr>
          <w:lang w:eastAsia="en-GB"/>
        </w:rPr>
        <w:t xml:space="preserve">. First, as </w:t>
      </w:r>
      <w:r w:rsidR="00230A7E">
        <w:rPr>
          <w:lang w:eastAsia="en-GB"/>
        </w:rPr>
        <w:t xml:space="preserve">partly </w:t>
      </w:r>
      <w:r w:rsidR="001D5EDC">
        <w:rPr>
          <w:lang w:eastAsia="en-GB"/>
        </w:rPr>
        <w:t xml:space="preserve">shown in Table 1 </w:t>
      </w:r>
      <w:r w:rsidR="00230A7E">
        <w:rPr>
          <w:lang w:eastAsia="en-GB"/>
        </w:rPr>
        <w:t xml:space="preserve">and discussed in detail in Section </w:t>
      </w:r>
      <w:r w:rsidR="007D4460">
        <w:rPr>
          <w:lang w:eastAsia="en-GB"/>
        </w:rPr>
        <w:t>3</w:t>
      </w:r>
      <w:r w:rsidR="00230A7E">
        <w:rPr>
          <w:lang w:eastAsia="en-GB"/>
        </w:rPr>
        <w:t>, the signifiers used for “impairment” or “impairment loss” in Chinese</w:t>
      </w:r>
      <w:r w:rsidR="009C7E6A">
        <w:rPr>
          <w:lang w:eastAsia="en-GB"/>
        </w:rPr>
        <w:t xml:space="preserve"> and</w:t>
      </w:r>
      <w:r w:rsidR="00230A7E">
        <w:rPr>
          <w:lang w:eastAsia="en-GB"/>
        </w:rPr>
        <w:t xml:space="preserve"> Japanese are coinages which translators would tend to seek help with. The second factor is the nature of </w:t>
      </w:r>
      <w:r>
        <w:rPr>
          <w:lang w:eastAsia="en-GB"/>
        </w:rPr>
        <w:t xml:space="preserve">the translators, who may fall into three types: (i) </w:t>
      </w:r>
      <w:r w:rsidR="00FD1E64">
        <w:rPr>
          <w:lang w:eastAsia="en-GB"/>
        </w:rPr>
        <w:t xml:space="preserve">accountants in the firm, (ii) </w:t>
      </w:r>
      <w:r>
        <w:rPr>
          <w:lang w:eastAsia="en-GB"/>
        </w:rPr>
        <w:t xml:space="preserve">auditors of the firm, or (iii) translation agencies. </w:t>
      </w:r>
      <w:r w:rsidR="00BC26E5">
        <w:rPr>
          <w:lang w:eastAsia="en-GB"/>
        </w:rPr>
        <w:t>G</w:t>
      </w:r>
      <w:r w:rsidR="009C7754">
        <w:rPr>
          <w:lang w:eastAsia="en-GB"/>
        </w:rPr>
        <w:t xml:space="preserve">reater language distance may increase the likelihood that the firm </w:t>
      </w:r>
      <w:r w:rsidR="00FD1E64">
        <w:rPr>
          <w:lang w:eastAsia="en-GB"/>
        </w:rPr>
        <w:t>will seek</w:t>
      </w:r>
      <w:r w:rsidR="009C7754">
        <w:rPr>
          <w:lang w:eastAsia="en-GB"/>
        </w:rPr>
        <w:t xml:space="preserve"> help </w:t>
      </w:r>
      <w:r w:rsidR="00FD1E64">
        <w:rPr>
          <w:lang w:eastAsia="en-GB"/>
        </w:rPr>
        <w:t>with translation</w:t>
      </w:r>
      <w:r w:rsidR="009C7754">
        <w:rPr>
          <w:lang w:eastAsia="en-GB"/>
        </w:rPr>
        <w:t xml:space="preserve">. </w:t>
      </w:r>
      <w:r w:rsidR="00AB7251">
        <w:rPr>
          <w:lang w:eastAsia="en-GB"/>
        </w:rPr>
        <w:t>I</w:t>
      </w:r>
      <w:r>
        <w:rPr>
          <w:lang w:eastAsia="en-GB"/>
        </w:rPr>
        <w:t xml:space="preserve">f the reports are translated by international auditors, the reports are more likely to reflect the </w:t>
      </w:r>
      <w:r w:rsidR="00AB7251">
        <w:rPr>
          <w:lang w:eastAsia="en-GB"/>
        </w:rPr>
        <w:t xml:space="preserve">source </w:t>
      </w:r>
      <w:r>
        <w:rPr>
          <w:lang w:eastAsia="en-GB"/>
        </w:rPr>
        <w:t>English of IAS 36. We have not investigated this issue in detail, but</w:t>
      </w:r>
      <w:r w:rsidR="004D6D30">
        <w:rPr>
          <w:lang w:eastAsia="en-GB"/>
        </w:rPr>
        <w:t xml:space="preserve"> it </w:t>
      </w:r>
      <w:r w:rsidR="008223ED">
        <w:rPr>
          <w:lang w:eastAsia="en-GB"/>
        </w:rPr>
        <w:t>appears</w:t>
      </w:r>
      <w:r w:rsidR="004D6D30">
        <w:rPr>
          <w:lang w:eastAsia="en-GB"/>
        </w:rPr>
        <w:t xml:space="preserve"> that big-4 audit firms have supervised the translations</w:t>
      </w:r>
      <w:r w:rsidR="008223ED">
        <w:rPr>
          <w:lang w:eastAsia="en-GB"/>
        </w:rPr>
        <w:t xml:space="preserve"> of Korean reports: the English language version of the consolidated financial statements is often called ‘audit report’ on the firm</w:t>
      </w:r>
      <w:r w:rsidR="00647FF6">
        <w:rPr>
          <w:lang w:eastAsia="en-GB"/>
        </w:rPr>
        <w:t>’</w:t>
      </w:r>
      <w:r w:rsidR="008223ED">
        <w:rPr>
          <w:lang w:eastAsia="en-GB"/>
        </w:rPr>
        <w:t xml:space="preserve">s website and the name of the auditor is shown </w:t>
      </w:r>
      <w:r w:rsidR="00FD1E64">
        <w:rPr>
          <w:lang w:eastAsia="en-GB"/>
        </w:rPr>
        <w:t xml:space="preserve">prominently </w:t>
      </w:r>
      <w:r w:rsidR="008223ED">
        <w:rPr>
          <w:lang w:eastAsia="en-GB"/>
        </w:rPr>
        <w:t>on the front page of some of these</w:t>
      </w:r>
      <w:r w:rsidR="004D6D30">
        <w:rPr>
          <w:lang w:eastAsia="en-GB"/>
        </w:rPr>
        <w:t xml:space="preserve">. </w:t>
      </w:r>
      <w:r w:rsidR="00625675">
        <w:rPr>
          <w:lang w:eastAsia="en-GB"/>
        </w:rPr>
        <w:t xml:space="preserve">This factor may also explain the lack of problems among Russian firms. Switzerland is a special case because of its longest history of IFRS use and the unusually high use of British accountants in its very large </w:t>
      </w:r>
      <w:r w:rsidR="00FD4D80">
        <w:rPr>
          <w:lang w:eastAsia="en-GB"/>
        </w:rPr>
        <w:t>companies</w:t>
      </w:r>
      <w:r w:rsidR="00625675">
        <w:rPr>
          <w:lang w:eastAsia="en-GB"/>
        </w:rPr>
        <w:t>.</w:t>
      </w:r>
      <w:r w:rsidR="00625675">
        <w:rPr>
          <w:rStyle w:val="FootnoteReference"/>
          <w:lang w:eastAsia="en-GB"/>
        </w:rPr>
        <w:footnoteReference w:id="57"/>
      </w:r>
      <w:r w:rsidR="00625675">
        <w:rPr>
          <w:lang w:eastAsia="en-GB"/>
        </w:rPr>
        <w:t xml:space="preserve"> </w:t>
      </w:r>
      <w:r w:rsidR="004D6D30">
        <w:rPr>
          <w:lang w:eastAsia="en-GB"/>
        </w:rPr>
        <w:t>O</w:t>
      </w:r>
      <w:r>
        <w:rPr>
          <w:lang w:eastAsia="en-GB"/>
        </w:rPr>
        <w:t>ther</w:t>
      </w:r>
      <w:r w:rsidR="004D6D30">
        <w:rPr>
          <w:lang w:eastAsia="en-GB"/>
        </w:rPr>
        <w:t xml:space="preserve"> researchers</w:t>
      </w:r>
      <w:r>
        <w:rPr>
          <w:lang w:eastAsia="en-GB"/>
        </w:rPr>
        <w:t xml:space="preserve"> might wish to </w:t>
      </w:r>
      <w:r w:rsidR="004D6D30">
        <w:rPr>
          <w:lang w:eastAsia="en-GB"/>
        </w:rPr>
        <w:t>take th</w:t>
      </w:r>
      <w:r w:rsidR="00F2693B">
        <w:rPr>
          <w:lang w:eastAsia="en-GB"/>
        </w:rPr>
        <w:t>e</w:t>
      </w:r>
      <w:r w:rsidR="00DF66A2">
        <w:rPr>
          <w:lang w:eastAsia="en-GB"/>
        </w:rPr>
        <w:t xml:space="preserve"> topic</w:t>
      </w:r>
      <w:r w:rsidR="004D6D30">
        <w:rPr>
          <w:lang w:eastAsia="en-GB"/>
        </w:rPr>
        <w:t xml:space="preserve"> </w:t>
      </w:r>
      <w:r w:rsidR="00F2693B">
        <w:rPr>
          <w:lang w:eastAsia="en-GB"/>
        </w:rPr>
        <w:t xml:space="preserve">of this paragraph </w:t>
      </w:r>
      <w:r w:rsidR="004D6D30">
        <w:rPr>
          <w:lang w:eastAsia="en-GB"/>
        </w:rPr>
        <w:t>further</w:t>
      </w:r>
      <w:r>
        <w:rPr>
          <w:lang w:eastAsia="en-GB"/>
        </w:rPr>
        <w:t>.</w:t>
      </w:r>
    </w:p>
    <w:p w14:paraId="0EA3E89A" w14:textId="4E201ADB" w:rsidR="004D6D30" w:rsidRPr="00F63030" w:rsidRDefault="004D6D30" w:rsidP="009C6E5C">
      <w:pPr>
        <w:ind w:firstLine="567"/>
        <w:rPr>
          <w:lang w:eastAsia="en-GB"/>
        </w:rPr>
      </w:pPr>
      <w:r>
        <w:rPr>
          <w:lang w:eastAsia="en-GB"/>
        </w:rPr>
        <w:t xml:space="preserve">We finish our report of findings </w:t>
      </w:r>
      <w:r w:rsidR="00504393">
        <w:rPr>
          <w:lang w:eastAsia="en-GB"/>
        </w:rPr>
        <w:t xml:space="preserve">concerning translated IFRS annual reports </w:t>
      </w:r>
      <w:r>
        <w:rPr>
          <w:lang w:eastAsia="en-GB"/>
        </w:rPr>
        <w:t xml:space="preserve">by referring to the </w:t>
      </w:r>
      <w:r w:rsidR="007C3342">
        <w:rPr>
          <w:lang w:eastAsia="en-GB"/>
        </w:rPr>
        <w:t>term</w:t>
      </w:r>
      <w:r>
        <w:rPr>
          <w:lang w:eastAsia="en-GB"/>
        </w:rPr>
        <w:t xml:space="preserve">s used for reversals of impairment. </w:t>
      </w:r>
      <w:r w:rsidR="00226B5D">
        <w:rPr>
          <w:lang w:eastAsia="en-GB"/>
        </w:rPr>
        <w:t xml:space="preserve">Our data collection followed the same procedures as for impairments. </w:t>
      </w:r>
      <w:r w:rsidR="00FD1E64">
        <w:rPr>
          <w:lang w:eastAsia="en-GB"/>
        </w:rPr>
        <w:t xml:space="preserve">There is plenty of evidence of </w:t>
      </w:r>
      <w:r w:rsidR="00F9525F">
        <w:rPr>
          <w:lang w:eastAsia="en-GB"/>
        </w:rPr>
        <w:t>non-proximate</w:t>
      </w:r>
      <w:r w:rsidR="00FD1E64">
        <w:rPr>
          <w:lang w:eastAsia="en-GB"/>
        </w:rPr>
        <w:t xml:space="preserve"> </w:t>
      </w:r>
      <w:r w:rsidR="008B1817">
        <w:rPr>
          <w:lang w:eastAsia="en-GB"/>
        </w:rPr>
        <w:t>term</w:t>
      </w:r>
      <w:r w:rsidR="00FD1E64">
        <w:rPr>
          <w:lang w:eastAsia="en-GB"/>
        </w:rPr>
        <w:t xml:space="preserve">s for impairment reversal in the annual reports but </w:t>
      </w:r>
      <w:r w:rsidR="00226B5D">
        <w:rPr>
          <w:lang w:eastAsia="en-GB"/>
        </w:rPr>
        <w:t>we do not</w:t>
      </w:r>
      <w:r>
        <w:rPr>
          <w:lang w:eastAsia="en-GB"/>
        </w:rPr>
        <w:t xml:space="preserve"> present tables on this because reversals (or at least </w:t>
      </w:r>
      <w:r w:rsidR="00DF66A2">
        <w:rPr>
          <w:lang w:eastAsia="en-GB"/>
        </w:rPr>
        <w:t>disclosure</w:t>
      </w:r>
      <w:r>
        <w:rPr>
          <w:lang w:eastAsia="en-GB"/>
        </w:rPr>
        <w:t xml:space="preserve">s about them) are much rarer than impairments. </w:t>
      </w:r>
      <w:r w:rsidR="00DB10B5">
        <w:rPr>
          <w:lang w:eastAsia="en-GB"/>
        </w:rPr>
        <w:t xml:space="preserve">Again, German and Italian firms provide </w:t>
      </w:r>
      <w:r w:rsidR="00000EB4">
        <w:rPr>
          <w:lang w:eastAsia="en-GB"/>
        </w:rPr>
        <w:t>the most</w:t>
      </w:r>
      <w:r w:rsidR="00FD1E64">
        <w:rPr>
          <w:lang w:eastAsia="en-GB"/>
        </w:rPr>
        <w:t xml:space="preserve"> evidence</w:t>
      </w:r>
      <w:r w:rsidR="00000EB4">
        <w:rPr>
          <w:lang w:eastAsia="en-GB"/>
        </w:rPr>
        <w:t>, particularly</w:t>
      </w:r>
      <w:r w:rsidR="00DB10B5">
        <w:rPr>
          <w:lang w:eastAsia="en-GB"/>
        </w:rPr>
        <w:t xml:space="preserve"> by using</w:t>
      </w:r>
      <w:r w:rsidR="00000EB4">
        <w:rPr>
          <w:lang w:eastAsia="en-GB"/>
        </w:rPr>
        <w:t xml:space="preserve"> ‘write-back’ and ‘write-up’ without reference to impairment or to reversal.</w:t>
      </w:r>
      <w:r w:rsidR="00000EB4">
        <w:rPr>
          <w:rStyle w:val="FootnoteReference"/>
          <w:lang w:eastAsia="en-GB"/>
        </w:rPr>
        <w:footnoteReference w:id="58"/>
      </w:r>
      <w:r w:rsidR="00000EB4">
        <w:rPr>
          <w:lang w:eastAsia="en-GB"/>
        </w:rPr>
        <w:t xml:space="preserve"> Other </w:t>
      </w:r>
      <w:r w:rsidR="00DB10B5">
        <w:rPr>
          <w:lang w:eastAsia="en-GB"/>
        </w:rPr>
        <w:t xml:space="preserve">potentially misleading </w:t>
      </w:r>
      <w:r w:rsidR="008B1817">
        <w:rPr>
          <w:lang w:eastAsia="en-GB"/>
        </w:rPr>
        <w:t>term</w:t>
      </w:r>
      <w:r w:rsidR="00000EB4">
        <w:rPr>
          <w:lang w:eastAsia="en-GB"/>
        </w:rPr>
        <w:t>s included ‘</w:t>
      </w:r>
      <w:r w:rsidR="00DB10B5">
        <w:rPr>
          <w:lang w:eastAsia="en-GB"/>
        </w:rPr>
        <w:t>recoveries</w:t>
      </w:r>
      <w:r w:rsidR="00000EB4">
        <w:rPr>
          <w:lang w:eastAsia="en-GB"/>
        </w:rPr>
        <w:t>’</w:t>
      </w:r>
      <w:r w:rsidR="00DB10B5">
        <w:rPr>
          <w:lang w:eastAsia="en-GB"/>
        </w:rPr>
        <w:t xml:space="preserve"> and ‘reinstatement of value’</w:t>
      </w:r>
      <w:r w:rsidR="00000EB4">
        <w:rPr>
          <w:lang w:eastAsia="en-GB"/>
        </w:rPr>
        <w:t>.</w:t>
      </w:r>
      <w:r w:rsidR="00000EB4">
        <w:rPr>
          <w:rStyle w:val="FootnoteReference"/>
          <w:lang w:eastAsia="en-GB"/>
        </w:rPr>
        <w:footnoteReference w:id="59"/>
      </w:r>
    </w:p>
    <w:p w14:paraId="6E0193F6" w14:textId="100104C3" w:rsidR="008830F0" w:rsidRPr="00BC4AC6" w:rsidRDefault="008C3040" w:rsidP="000E5225">
      <w:pPr>
        <w:pStyle w:val="Heading1"/>
        <w:rPr>
          <w:rFonts w:cs="Times New Roman"/>
          <w:szCs w:val="22"/>
        </w:rPr>
      </w:pPr>
      <w:r>
        <w:rPr>
          <w:rFonts w:cs="Times New Roman"/>
          <w:szCs w:val="22"/>
          <w:lang w:eastAsia="en-GB"/>
        </w:rPr>
        <w:t>6</w:t>
      </w:r>
      <w:r w:rsidR="00B7675E">
        <w:rPr>
          <w:rFonts w:cs="Times New Roman"/>
          <w:szCs w:val="22"/>
          <w:lang w:eastAsia="en-GB"/>
        </w:rPr>
        <w:t xml:space="preserve">. </w:t>
      </w:r>
      <w:r w:rsidR="0070109B" w:rsidRPr="00BC4AC6">
        <w:rPr>
          <w:rFonts w:cs="Times New Roman"/>
          <w:szCs w:val="22"/>
          <w:lang w:eastAsia="en-GB"/>
        </w:rPr>
        <w:t>Conclusions</w:t>
      </w:r>
      <w:r w:rsidR="00583907" w:rsidRPr="00BC4AC6">
        <w:rPr>
          <w:rFonts w:cs="Times New Roman"/>
          <w:szCs w:val="22"/>
          <w:lang w:eastAsia="en-GB"/>
        </w:rPr>
        <w:t xml:space="preserve"> and policy implications</w:t>
      </w:r>
    </w:p>
    <w:p w14:paraId="68348228" w14:textId="7444B3DB" w:rsidR="00FD4D80" w:rsidRDefault="0016424E" w:rsidP="00E72D49">
      <w:pPr>
        <w:ind w:firstLine="567"/>
        <w:rPr>
          <w:rFonts w:cs="Times New Roman"/>
        </w:rPr>
      </w:pPr>
      <w:r>
        <w:rPr>
          <w:rFonts w:cs="Times New Roman"/>
        </w:rPr>
        <w:t xml:space="preserve">In an accounting world increasingly dominated by IFRS, translation is </w:t>
      </w:r>
      <w:r w:rsidR="00FF4073">
        <w:rPr>
          <w:rFonts w:cs="Times New Roman"/>
        </w:rPr>
        <w:t xml:space="preserve">of major importance. </w:t>
      </w:r>
      <w:r w:rsidR="00E72D49">
        <w:rPr>
          <w:rFonts w:cs="Times New Roman"/>
        </w:rPr>
        <w:t xml:space="preserve">Nearly all prior study of translations of accounting documents has concentrated on regulations rather than financial statements, and most of it concerns English as the source language. We extend such work by investigating translations of the IFRS term “impairment” into many target languages. However, we then enter a new field: empirical research on the translation of IFRS financial statements </w:t>
      </w:r>
      <w:r w:rsidR="00E72D49" w:rsidRPr="00FF4073">
        <w:rPr>
          <w:rFonts w:cs="Times New Roman"/>
          <w:i/>
        </w:rPr>
        <w:t>into</w:t>
      </w:r>
      <w:r w:rsidR="00E72D49">
        <w:rPr>
          <w:rFonts w:cs="Times New Roman"/>
        </w:rPr>
        <w:t xml:space="preserve"> target English. By combining the two aspects of our research, we are able to follow “impairment” from source English, into many translations of IAS 36, and then back into the target English of translated annual reports.</w:t>
      </w:r>
    </w:p>
    <w:p w14:paraId="2F887089" w14:textId="41722B19" w:rsidR="00E21D5F" w:rsidRDefault="00F579AF" w:rsidP="005F6CA4">
      <w:pPr>
        <w:ind w:firstLine="567"/>
        <w:rPr>
          <w:rFonts w:cs="Times New Roman"/>
        </w:rPr>
      </w:pPr>
      <w:r>
        <w:rPr>
          <w:rFonts w:cs="Times New Roman"/>
        </w:rPr>
        <w:t xml:space="preserve">The </w:t>
      </w:r>
      <w:r w:rsidR="008B1817">
        <w:rPr>
          <w:rFonts w:cs="Times New Roman"/>
        </w:rPr>
        <w:t>term</w:t>
      </w:r>
      <w:r>
        <w:rPr>
          <w:rFonts w:cs="Times New Roman"/>
        </w:rPr>
        <w:t xml:space="preserve">s used in accounting documents can create problems in a source language, </w:t>
      </w:r>
      <w:r w:rsidR="00E21D5F">
        <w:rPr>
          <w:rFonts w:cs="Times New Roman"/>
        </w:rPr>
        <w:t xml:space="preserve">even </w:t>
      </w:r>
      <w:r>
        <w:rPr>
          <w:rFonts w:cs="Times New Roman"/>
        </w:rPr>
        <w:t xml:space="preserve">before any translation. For example, the accounting register might borrow a </w:t>
      </w:r>
      <w:r w:rsidR="008B1817">
        <w:rPr>
          <w:rFonts w:cs="Times New Roman"/>
        </w:rPr>
        <w:t xml:space="preserve">term </w:t>
      </w:r>
      <w:r>
        <w:rPr>
          <w:rFonts w:cs="Times New Roman"/>
        </w:rPr>
        <w:t>from the everyday register but define it more narrowly</w:t>
      </w:r>
      <w:r w:rsidR="00E21D5F">
        <w:rPr>
          <w:rFonts w:cs="Times New Roman"/>
        </w:rPr>
        <w:t xml:space="preserve"> (e.g. ‘liability’) or completely differently (e.g. ‘depreciation’)</w:t>
      </w:r>
      <w:r>
        <w:rPr>
          <w:rFonts w:cs="Times New Roman"/>
        </w:rPr>
        <w:t>.</w:t>
      </w:r>
      <w:r w:rsidR="009861F8">
        <w:rPr>
          <w:rFonts w:cs="Times New Roman"/>
        </w:rPr>
        <w:t xml:space="preserve"> </w:t>
      </w:r>
      <w:r w:rsidR="007919E1">
        <w:rPr>
          <w:rFonts w:cs="Times New Roman"/>
        </w:rPr>
        <w:t>T</w:t>
      </w:r>
      <w:r>
        <w:rPr>
          <w:rFonts w:cs="Times New Roman"/>
        </w:rPr>
        <w:t xml:space="preserve">his </w:t>
      </w:r>
      <w:r w:rsidR="007919E1">
        <w:rPr>
          <w:rFonts w:cs="Times New Roman"/>
        </w:rPr>
        <w:t>could</w:t>
      </w:r>
      <w:r w:rsidR="009861F8">
        <w:rPr>
          <w:rFonts w:cs="Times New Roman"/>
        </w:rPr>
        <w:t xml:space="preserve"> </w:t>
      </w:r>
      <w:r w:rsidR="00E21D5F">
        <w:rPr>
          <w:rFonts w:cs="Times New Roman"/>
        </w:rPr>
        <w:t xml:space="preserve">mislead </w:t>
      </w:r>
      <w:r>
        <w:rPr>
          <w:rFonts w:cs="Times New Roman"/>
        </w:rPr>
        <w:t>non-expert readers of accounting reports.</w:t>
      </w:r>
    </w:p>
    <w:p w14:paraId="0D2BC2B1" w14:textId="1E9C84D3" w:rsidR="002911CC" w:rsidRDefault="00FF4073" w:rsidP="00387FA5">
      <w:pPr>
        <w:ind w:firstLine="567"/>
        <w:rPr>
          <w:rFonts w:cs="Times New Roman"/>
        </w:rPr>
      </w:pPr>
      <w:r>
        <w:rPr>
          <w:rFonts w:cs="Times New Roman"/>
        </w:rPr>
        <w:t xml:space="preserve">In our </w:t>
      </w:r>
      <w:r w:rsidR="007C1E9A">
        <w:rPr>
          <w:rFonts w:cs="Times New Roman"/>
        </w:rPr>
        <w:t>study</w:t>
      </w:r>
      <w:r>
        <w:rPr>
          <w:rFonts w:cs="Times New Roman"/>
        </w:rPr>
        <w:t xml:space="preserve"> of </w:t>
      </w:r>
      <w:r w:rsidR="00A7071A">
        <w:rPr>
          <w:rFonts w:cs="Times New Roman"/>
        </w:rPr>
        <w:t>19</w:t>
      </w:r>
      <w:r w:rsidR="007D7F40">
        <w:rPr>
          <w:rFonts w:cs="Times New Roman"/>
        </w:rPr>
        <w:t xml:space="preserve"> </w:t>
      </w:r>
      <w:r w:rsidR="00A90421">
        <w:rPr>
          <w:rFonts w:cs="Times New Roman"/>
        </w:rPr>
        <w:t>translations of IAS 36</w:t>
      </w:r>
      <w:r w:rsidR="008241CA">
        <w:rPr>
          <w:rFonts w:cs="Times New Roman"/>
        </w:rPr>
        <w:t>’s</w:t>
      </w:r>
      <w:r w:rsidR="008B1817">
        <w:rPr>
          <w:rFonts w:cs="Times New Roman"/>
        </w:rPr>
        <w:t xml:space="preserve"> </w:t>
      </w:r>
      <w:r w:rsidR="008241CA">
        <w:rPr>
          <w:rFonts w:cs="Times New Roman"/>
        </w:rPr>
        <w:t>“impairment”</w:t>
      </w:r>
      <w:r w:rsidR="00410660">
        <w:rPr>
          <w:rFonts w:cs="Times New Roman"/>
        </w:rPr>
        <w:t xml:space="preserve">, we find that </w:t>
      </w:r>
      <w:r w:rsidR="000C6B5C">
        <w:rPr>
          <w:rFonts w:cs="Times New Roman"/>
        </w:rPr>
        <w:t xml:space="preserve">only </w:t>
      </w:r>
      <w:r w:rsidR="00410660">
        <w:rPr>
          <w:rFonts w:cs="Times New Roman"/>
        </w:rPr>
        <w:t xml:space="preserve">one </w:t>
      </w:r>
      <w:r w:rsidR="000C6B5C">
        <w:rPr>
          <w:rFonts w:cs="Times New Roman"/>
        </w:rPr>
        <w:t>(</w:t>
      </w:r>
      <w:r w:rsidR="000E0D17">
        <w:rPr>
          <w:rFonts w:cs="Times New Roman"/>
        </w:rPr>
        <w:t xml:space="preserve">the </w:t>
      </w:r>
      <w:r w:rsidR="000C6B5C">
        <w:rPr>
          <w:rFonts w:cs="Times New Roman"/>
        </w:rPr>
        <w:t xml:space="preserve">Korean) </w:t>
      </w:r>
      <w:r w:rsidR="00410660">
        <w:rPr>
          <w:rFonts w:cs="Times New Roman"/>
        </w:rPr>
        <w:t>use</w:t>
      </w:r>
      <w:r>
        <w:rPr>
          <w:rFonts w:cs="Times New Roman"/>
        </w:rPr>
        <w:t>s</w:t>
      </w:r>
      <w:r w:rsidR="00410660">
        <w:rPr>
          <w:rFonts w:cs="Times New Roman"/>
        </w:rPr>
        <w:t xml:space="preserve"> a </w:t>
      </w:r>
      <w:r w:rsidR="007D7F40">
        <w:rPr>
          <w:rFonts w:cs="Times New Roman"/>
        </w:rPr>
        <w:t>signifier</w:t>
      </w:r>
      <w:r w:rsidR="007C1E9A">
        <w:rPr>
          <w:rFonts w:cs="Times New Roman"/>
        </w:rPr>
        <w:t xml:space="preserve"> </w:t>
      </w:r>
      <w:r w:rsidR="00410660">
        <w:rPr>
          <w:rFonts w:cs="Times New Roman"/>
        </w:rPr>
        <w:t>which</w:t>
      </w:r>
      <w:r>
        <w:rPr>
          <w:rFonts w:cs="Times New Roman"/>
        </w:rPr>
        <w:t xml:space="preserve"> in the everyday register </w:t>
      </w:r>
      <w:r w:rsidR="007D7F40">
        <w:rPr>
          <w:rFonts w:cs="Times New Roman"/>
        </w:rPr>
        <w:t>would convey the concept of</w:t>
      </w:r>
      <w:r w:rsidR="00410660">
        <w:rPr>
          <w:rFonts w:cs="Times New Roman"/>
        </w:rPr>
        <w:t xml:space="preserve"> dam</w:t>
      </w:r>
      <w:r>
        <w:rPr>
          <w:rFonts w:cs="Times New Roman"/>
        </w:rPr>
        <w:t>age</w:t>
      </w:r>
      <w:r w:rsidR="000C6B5C">
        <w:rPr>
          <w:rFonts w:cs="Times New Roman"/>
        </w:rPr>
        <w:t>, though another (</w:t>
      </w:r>
      <w:r w:rsidR="000E0D17">
        <w:rPr>
          <w:rFonts w:cs="Times New Roman"/>
        </w:rPr>
        <w:t xml:space="preserve">the </w:t>
      </w:r>
      <w:r w:rsidR="000C6B5C">
        <w:rPr>
          <w:rFonts w:cs="Times New Roman"/>
        </w:rPr>
        <w:t>Chinese) conveys this in its signifier for impairment loss</w:t>
      </w:r>
      <w:r>
        <w:rPr>
          <w:rFonts w:cs="Times New Roman"/>
        </w:rPr>
        <w:t xml:space="preserve">. </w:t>
      </w:r>
      <w:r w:rsidR="007E7C33">
        <w:rPr>
          <w:rFonts w:cs="Times New Roman"/>
        </w:rPr>
        <w:t>The Dutch has</w:t>
      </w:r>
      <w:r w:rsidR="00753884">
        <w:rPr>
          <w:rFonts w:cs="Times New Roman"/>
        </w:rPr>
        <w:t xml:space="preserve"> a coinage which refers to exceptional loss of value. </w:t>
      </w:r>
      <w:r w:rsidR="000C6B5C">
        <w:rPr>
          <w:rFonts w:cs="Times New Roman"/>
        </w:rPr>
        <w:t xml:space="preserve">The Japanese </w:t>
      </w:r>
      <w:r w:rsidR="001C1DD6">
        <w:rPr>
          <w:rFonts w:cs="Times New Roman"/>
        </w:rPr>
        <w:t xml:space="preserve">is </w:t>
      </w:r>
      <w:r w:rsidR="000C6B5C">
        <w:rPr>
          <w:rFonts w:cs="Times New Roman"/>
        </w:rPr>
        <w:t xml:space="preserve">a coinage referring to decreasing/losing. </w:t>
      </w:r>
      <w:r w:rsidR="00753884">
        <w:rPr>
          <w:rFonts w:cs="Times New Roman"/>
        </w:rPr>
        <w:t xml:space="preserve">The EU Portuguese has </w:t>
      </w:r>
      <w:r w:rsidR="00410660">
        <w:rPr>
          <w:rFonts w:cs="Times New Roman"/>
        </w:rPr>
        <w:t xml:space="preserve">a </w:t>
      </w:r>
      <w:r w:rsidR="005853D4">
        <w:rPr>
          <w:rFonts w:cs="Times New Roman"/>
        </w:rPr>
        <w:t>term which was new to</w:t>
      </w:r>
      <w:r w:rsidR="00753884">
        <w:rPr>
          <w:rFonts w:cs="Times New Roman"/>
        </w:rPr>
        <w:t xml:space="preserve"> its</w:t>
      </w:r>
      <w:r w:rsidR="00410660">
        <w:rPr>
          <w:rFonts w:cs="Times New Roman"/>
        </w:rPr>
        <w:t xml:space="preserve"> accounting register: “</w:t>
      </w:r>
      <w:r w:rsidR="00410660">
        <w:rPr>
          <w:rFonts w:cs="Times New Roman"/>
          <w:i/>
        </w:rPr>
        <w:t>imparidade”</w:t>
      </w:r>
      <w:r w:rsidR="00753884">
        <w:rPr>
          <w:rFonts w:cs="Times New Roman"/>
        </w:rPr>
        <w:t xml:space="preserve">, which </w:t>
      </w:r>
      <w:r w:rsidR="00546CA6">
        <w:rPr>
          <w:rFonts w:cs="Times New Roman"/>
        </w:rPr>
        <w:t>signifie</w:t>
      </w:r>
      <w:r w:rsidR="000C0328">
        <w:rPr>
          <w:rFonts w:cs="Times New Roman"/>
        </w:rPr>
        <w:t>d</w:t>
      </w:r>
      <w:r w:rsidR="00546CA6">
        <w:rPr>
          <w:rFonts w:cs="Times New Roman"/>
        </w:rPr>
        <w:t xml:space="preserve"> something </w:t>
      </w:r>
      <w:r w:rsidR="00567BA0">
        <w:rPr>
          <w:rFonts w:cs="Times New Roman"/>
        </w:rPr>
        <w:t>else</w:t>
      </w:r>
      <w:r w:rsidR="00546CA6">
        <w:rPr>
          <w:rFonts w:cs="Times New Roman"/>
        </w:rPr>
        <w:t xml:space="preserve"> in the everyday register and seem</w:t>
      </w:r>
      <w:r w:rsidR="0085161E">
        <w:rPr>
          <w:rFonts w:cs="Times New Roman"/>
        </w:rPr>
        <w:t xml:space="preserve">s to have been </w:t>
      </w:r>
      <w:r w:rsidR="00546CA6">
        <w:rPr>
          <w:rFonts w:cs="Times New Roman"/>
          <w:i/>
        </w:rPr>
        <w:t>un faux ami</w:t>
      </w:r>
      <w:r>
        <w:rPr>
          <w:rFonts w:cs="Times New Roman"/>
        </w:rPr>
        <w:t xml:space="preserve"> </w:t>
      </w:r>
      <w:r w:rsidR="00A15D3C">
        <w:rPr>
          <w:rFonts w:cs="Times New Roman"/>
        </w:rPr>
        <w:t>for the translators. T</w:t>
      </w:r>
      <w:r w:rsidR="00753884">
        <w:rPr>
          <w:rFonts w:cs="Times New Roman"/>
        </w:rPr>
        <w:t>he Brazilian Portuguese has a translation of the accounting effect rather than the damage that caused it. I</w:t>
      </w:r>
      <w:r w:rsidR="00546CA6">
        <w:rPr>
          <w:rFonts w:cs="Times New Roman"/>
        </w:rPr>
        <w:t>n the accounting register</w:t>
      </w:r>
      <w:r w:rsidR="00753884">
        <w:rPr>
          <w:rFonts w:cs="Times New Roman"/>
        </w:rPr>
        <w:t>s of these languages</w:t>
      </w:r>
      <w:r w:rsidR="00387FA5">
        <w:rPr>
          <w:rFonts w:cs="Times New Roman"/>
        </w:rPr>
        <w:t>, the terms can</w:t>
      </w:r>
      <w:r w:rsidR="00753884">
        <w:rPr>
          <w:rFonts w:cs="Times New Roman"/>
        </w:rPr>
        <w:t xml:space="preserve"> </w:t>
      </w:r>
      <w:r w:rsidR="00A15D3C">
        <w:rPr>
          <w:rFonts w:cs="Times New Roman"/>
        </w:rPr>
        <w:t xml:space="preserve">now </w:t>
      </w:r>
      <w:r w:rsidR="00753884">
        <w:rPr>
          <w:rFonts w:cs="Times New Roman"/>
        </w:rPr>
        <w:t>be understood</w:t>
      </w:r>
      <w:r w:rsidR="00C22E38">
        <w:rPr>
          <w:rFonts w:cs="Times New Roman"/>
        </w:rPr>
        <w:t>,</w:t>
      </w:r>
      <w:r w:rsidR="00546CA6">
        <w:rPr>
          <w:rFonts w:cs="Times New Roman"/>
        </w:rPr>
        <w:t xml:space="preserve"> </w:t>
      </w:r>
      <w:r w:rsidR="00C22E38">
        <w:rPr>
          <w:rFonts w:cs="Times New Roman"/>
        </w:rPr>
        <w:t xml:space="preserve">by accountants at least, </w:t>
      </w:r>
      <w:r w:rsidR="00546CA6">
        <w:rPr>
          <w:rFonts w:cs="Times New Roman"/>
        </w:rPr>
        <w:t>as specifically referring to impairments under IAS 36</w:t>
      </w:r>
      <w:r w:rsidR="002911CC">
        <w:rPr>
          <w:rFonts w:cs="Times New Roman"/>
        </w:rPr>
        <w:t>.</w:t>
      </w:r>
    </w:p>
    <w:p w14:paraId="5C71BB0C" w14:textId="1AFD526D" w:rsidR="002911CC" w:rsidRDefault="002911CC" w:rsidP="00FE35A6">
      <w:pPr>
        <w:ind w:firstLine="567"/>
        <w:rPr>
          <w:rFonts w:cs="Times New Roman"/>
        </w:rPr>
      </w:pPr>
      <w:r>
        <w:rPr>
          <w:rFonts w:cs="Times New Roman"/>
        </w:rPr>
        <w:t xml:space="preserve">However, </w:t>
      </w:r>
      <w:r w:rsidR="0085161E">
        <w:rPr>
          <w:rFonts w:cs="Times New Roman"/>
        </w:rPr>
        <w:t>there can be no confidence</w:t>
      </w:r>
      <w:r w:rsidR="00387FA5">
        <w:rPr>
          <w:rFonts w:cs="Times New Roman"/>
        </w:rPr>
        <w:t xml:space="preserve"> that</w:t>
      </w:r>
      <w:r w:rsidR="0042314C">
        <w:rPr>
          <w:rFonts w:cs="Times New Roman"/>
        </w:rPr>
        <w:t xml:space="preserve"> this is the case for</w:t>
      </w:r>
      <w:r w:rsidR="00E72D49">
        <w:rPr>
          <w:rFonts w:cs="Times New Roman"/>
        </w:rPr>
        <w:t xml:space="preserve"> </w:t>
      </w:r>
      <w:r w:rsidR="00387FA5">
        <w:rPr>
          <w:rFonts w:cs="Times New Roman"/>
        </w:rPr>
        <w:t>the other</w:t>
      </w:r>
      <w:r w:rsidR="0085161E">
        <w:rPr>
          <w:rFonts w:cs="Times New Roman"/>
        </w:rPr>
        <w:t xml:space="preserve"> </w:t>
      </w:r>
      <w:r>
        <w:rPr>
          <w:rFonts w:cs="Times New Roman"/>
        </w:rPr>
        <w:t>1</w:t>
      </w:r>
      <w:r w:rsidR="00FD1FC9">
        <w:rPr>
          <w:rFonts w:cs="Times New Roman"/>
        </w:rPr>
        <w:t>3</w:t>
      </w:r>
      <w:r>
        <w:rPr>
          <w:rFonts w:cs="Times New Roman"/>
        </w:rPr>
        <w:t xml:space="preserve"> </w:t>
      </w:r>
      <w:r w:rsidR="00B80D7A">
        <w:rPr>
          <w:rFonts w:cs="Times New Roman"/>
        </w:rPr>
        <w:t>translations</w:t>
      </w:r>
      <w:r>
        <w:rPr>
          <w:rFonts w:cs="Times New Roman"/>
        </w:rPr>
        <w:t xml:space="preserve"> of ‘impairment’, which are hypernyms</w:t>
      </w:r>
      <w:r w:rsidR="00FE35A6">
        <w:rPr>
          <w:rFonts w:cs="Times New Roman"/>
        </w:rPr>
        <w:t xml:space="preserve"> (see the discussion in Section 2)</w:t>
      </w:r>
      <w:r w:rsidR="00546CA6">
        <w:rPr>
          <w:rFonts w:cs="Times New Roman"/>
        </w:rPr>
        <w:t>.</w:t>
      </w:r>
      <w:r>
        <w:rPr>
          <w:rFonts w:cs="Times New Roman"/>
        </w:rPr>
        <w:t xml:space="preserve"> </w:t>
      </w:r>
      <w:r>
        <w:t xml:space="preserve">The problem may have been caused because the translators were confused by the somewhat obscure English word and because IAS 36 was remiss in not including a definition of impairment. Instead, the translators focused on the economic result (loss of value) or </w:t>
      </w:r>
      <w:r w:rsidR="00E72D49">
        <w:t xml:space="preserve">on </w:t>
      </w:r>
      <w:r>
        <w:t xml:space="preserve">the accounting action (writing </w:t>
      </w:r>
      <w:r w:rsidR="000C0328">
        <w:t>down</w:t>
      </w:r>
      <w:r>
        <w:t xml:space="preserve">). </w:t>
      </w:r>
      <w:r w:rsidR="00FE35A6">
        <w:t xml:space="preserve">We do not think that the problem was </w:t>
      </w:r>
      <w:r>
        <w:t>mainly caused by there being no suitable words. For example, the German translators could have used</w:t>
      </w:r>
      <w:r w:rsidR="00FE35A6">
        <w:t xml:space="preserve"> words connected to damage, such as</w:t>
      </w:r>
      <w:r>
        <w:t xml:space="preserve"> ‘</w:t>
      </w:r>
      <w:r w:rsidRPr="00D93B07">
        <w:rPr>
          <w:i/>
        </w:rPr>
        <w:t>Wertschaden</w:t>
      </w:r>
      <w:r>
        <w:t>’ or ‘</w:t>
      </w:r>
      <w:r w:rsidRPr="00D93B07">
        <w:rPr>
          <w:i/>
        </w:rPr>
        <w:t>Wertminderungsschaden</w:t>
      </w:r>
      <w:r>
        <w:t>’.</w:t>
      </w:r>
      <w:r w:rsidR="00FE35A6">
        <w:t xml:space="preserve"> The French translators could have used ‘</w:t>
      </w:r>
      <w:r w:rsidR="00FE35A6" w:rsidRPr="00D93B07">
        <w:rPr>
          <w:i/>
        </w:rPr>
        <w:t>détérioration</w:t>
      </w:r>
      <w:r w:rsidR="00FE35A6">
        <w:t>’ or ‘</w:t>
      </w:r>
      <w:r w:rsidR="00FE35A6" w:rsidRPr="00D93B07">
        <w:rPr>
          <w:i/>
        </w:rPr>
        <w:t>dégradation</w:t>
      </w:r>
      <w:r w:rsidR="000C5B66">
        <w:rPr>
          <w:i/>
        </w:rPr>
        <w:t>’</w:t>
      </w:r>
      <w:r w:rsidR="00FE35A6">
        <w:t>.</w:t>
      </w:r>
      <w:r w:rsidR="005371AE">
        <w:rPr>
          <w:rStyle w:val="FootnoteReference"/>
        </w:rPr>
        <w:footnoteReference w:id="60"/>
      </w:r>
      <w:r w:rsidR="00FE35A6">
        <w:rPr>
          <w:rFonts w:cs="Times New Roman"/>
        </w:rPr>
        <w:t xml:space="preserve"> </w:t>
      </w:r>
      <w:r>
        <w:t xml:space="preserve">As evidence that the problem is not a lack of proximate terms, </w:t>
      </w:r>
      <w:r w:rsidR="00FE35A6">
        <w:t xml:space="preserve">arguably </w:t>
      </w:r>
      <w:r>
        <w:t>the least cognate language</w:t>
      </w:r>
      <w:r w:rsidR="00FE35A6">
        <w:t xml:space="preserve"> to English</w:t>
      </w:r>
      <w:r>
        <w:t>, Korean, managed to find</w:t>
      </w:r>
      <w:r w:rsidR="00FE35A6">
        <w:t xml:space="preserve"> a term conveying</w:t>
      </w:r>
      <w:r>
        <w:t xml:space="preserve"> damage</w:t>
      </w:r>
      <w:r w:rsidR="00FE35A6">
        <w:t>. One possible explanation is that the KASB was trying harder than other translators (see Section 3.2)</w:t>
      </w:r>
      <w:r>
        <w:t>.</w:t>
      </w:r>
    </w:p>
    <w:p w14:paraId="2D4B026D" w14:textId="4DBBB777" w:rsidR="00546CA6" w:rsidRDefault="00A15D3C" w:rsidP="00387FA5">
      <w:pPr>
        <w:ind w:firstLine="567"/>
        <w:rPr>
          <w:rFonts w:cs="Times New Roman"/>
        </w:rPr>
      </w:pPr>
      <w:r>
        <w:rPr>
          <w:rFonts w:cs="Times New Roman"/>
        </w:rPr>
        <w:t>T</w:t>
      </w:r>
      <w:r w:rsidR="007E7C33">
        <w:rPr>
          <w:rFonts w:cs="Times New Roman"/>
        </w:rPr>
        <w:t>he</w:t>
      </w:r>
      <w:r w:rsidR="00546CA6">
        <w:rPr>
          <w:rFonts w:cs="Times New Roman"/>
        </w:rPr>
        <w:t xml:space="preserve"> hypernyms are </w:t>
      </w:r>
      <w:r w:rsidR="009C7E6A">
        <w:rPr>
          <w:rFonts w:cs="Times New Roman"/>
        </w:rPr>
        <w:t xml:space="preserve">even </w:t>
      </w:r>
      <w:r w:rsidR="00387FA5">
        <w:rPr>
          <w:rFonts w:cs="Times New Roman"/>
        </w:rPr>
        <w:t xml:space="preserve">more </w:t>
      </w:r>
      <w:r w:rsidR="00546CA6">
        <w:rPr>
          <w:rFonts w:cs="Times New Roman"/>
        </w:rPr>
        <w:t>likely to be dangerous for readers of annu</w:t>
      </w:r>
      <w:r w:rsidR="0085161E">
        <w:rPr>
          <w:rFonts w:cs="Times New Roman"/>
        </w:rPr>
        <w:t>al reports than for accountants</w:t>
      </w:r>
      <w:r w:rsidR="00FF4073">
        <w:rPr>
          <w:rFonts w:cs="Times New Roman"/>
        </w:rPr>
        <w:t xml:space="preserve">. </w:t>
      </w:r>
      <w:r w:rsidR="00546CA6">
        <w:rPr>
          <w:rFonts w:cs="Times New Roman"/>
        </w:rPr>
        <w:t xml:space="preserve">Furthermore, on translation of annual reports into English (which is common), the use of hypernyms or </w:t>
      </w:r>
      <w:r w:rsidR="0042314C">
        <w:rPr>
          <w:rFonts w:cs="Times New Roman"/>
        </w:rPr>
        <w:t xml:space="preserve">the use of </w:t>
      </w:r>
      <w:r w:rsidR="008B1817">
        <w:rPr>
          <w:rFonts w:cs="Times New Roman"/>
        </w:rPr>
        <w:t>term</w:t>
      </w:r>
      <w:r w:rsidR="00546CA6">
        <w:rPr>
          <w:rFonts w:cs="Times New Roman"/>
        </w:rPr>
        <w:t xml:space="preserve">s which </w:t>
      </w:r>
      <w:r w:rsidR="0085161E">
        <w:rPr>
          <w:rFonts w:cs="Times New Roman"/>
        </w:rPr>
        <w:t xml:space="preserve">otherwise </w:t>
      </w:r>
      <w:r w:rsidR="00546CA6">
        <w:rPr>
          <w:rFonts w:cs="Times New Roman"/>
        </w:rPr>
        <w:t>mean something different in the everyday register is likely</w:t>
      </w:r>
      <w:r w:rsidR="00FF4073">
        <w:rPr>
          <w:rFonts w:cs="Times New Roman"/>
        </w:rPr>
        <w:t xml:space="preserve"> to be particularly dangerous. </w:t>
      </w:r>
      <w:r w:rsidR="00546CA6">
        <w:rPr>
          <w:rFonts w:cs="Times New Roman"/>
        </w:rPr>
        <w:t>Our empirical research investigate</w:t>
      </w:r>
      <w:r w:rsidR="000C5B66">
        <w:rPr>
          <w:rFonts w:cs="Times New Roman"/>
        </w:rPr>
        <w:t>d</w:t>
      </w:r>
      <w:r w:rsidR="00546CA6">
        <w:rPr>
          <w:rFonts w:cs="Times New Roman"/>
        </w:rPr>
        <w:t xml:space="preserve"> this.</w:t>
      </w:r>
    </w:p>
    <w:p w14:paraId="667C0FA2" w14:textId="0AB4C3B6" w:rsidR="0006264F" w:rsidRDefault="009E418B" w:rsidP="00AC19B2">
      <w:pPr>
        <w:ind w:firstLine="567"/>
        <w:rPr>
          <w:rFonts w:cs="Times New Roman"/>
        </w:rPr>
      </w:pPr>
      <w:r>
        <w:rPr>
          <w:rFonts w:cs="Times New Roman"/>
        </w:rPr>
        <w:t xml:space="preserve">We examined the translated annual reports of 393 firms from 11 countries over the period 2005 to 2013. We found a wide variety of </w:t>
      </w:r>
      <w:r w:rsidR="008B1817">
        <w:rPr>
          <w:rFonts w:cs="Times New Roman"/>
        </w:rPr>
        <w:t>term</w:t>
      </w:r>
      <w:r>
        <w:rPr>
          <w:rFonts w:cs="Times New Roman"/>
        </w:rPr>
        <w:t>s for impairment. In firms’ first reports in our sample</w:t>
      </w:r>
      <w:r w:rsidR="00B80D7A">
        <w:rPr>
          <w:rFonts w:cs="Times New Roman"/>
        </w:rPr>
        <w:t>,</w:t>
      </w:r>
      <w:r>
        <w:rPr>
          <w:rFonts w:cs="Times New Roman"/>
        </w:rPr>
        <w:t xml:space="preserve"> 1</w:t>
      </w:r>
      <w:r w:rsidR="008223ED">
        <w:rPr>
          <w:rFonts w:cs="Times New Roman"/>
        </w:rPr>
        <w:t>3</w:t>
      </w:r>
      <w:r>
        <w:rPr>
          <w:rFonts w:cs="Times New Roman"/>
        </w:rPr>
        <w:t xml:space="preserve">% of the </w:t>
      </w:r>
      <w:r w:rsidR="008B1817">
        <w:rPr>
          <w:rFonts w:cs="Times New Roman"/>
        </w:rPr>
        <w:t>term</w:t>
      </w:r>
      <w:r>
        <w:rPr>
          <w:rFonts w:cs="Times New Roman"/>
        </w:rPr>
        <w:t>s were</w:t>
      </w:r>
      <w:r w:rsidR="00A013E1">
        <w:rPr>
          <w:lang w:eastAsia="en-GB"/>
        </w:rPr>
        <w:t xml:space="preserve"> ‘</w:t>
      </w:r>
      <w:r w:rsidR="00F9525F">
        <w:rPr>
          <w:lang w:eastAsia="en-GB"/>
        </w:rPr>
        <w:t>non-proximate</w:t>
      </w:r>
      <w:r w:rsidR="0087553F">
        <w:rPr>
          <w:lang w:eastAsia="en-GB"/>
        </w:rPr>
        <w:t>’</w:t>
      </w:r>
      <w:r>
        <w:rPr>
          <w:rFonts w:cs="Times New Roman"/>
        </w:rPr>
        <w:t xml:space="preserve"> in that they did not include ‘impairment’ but mostly referred to write-down</w:t>
      </w:r>
      <w:r w:rsidR="008223ED">
        <w:rPr>
          <w:rFonts w:cs="Times New Roman"/>
        </w:rPr>
        <w:t>, depreciation or provision</w:t>
      </w:r>
      <w:r>
        <w:rPr>
          <w:rFonts w:cs="Times New Roman"/>
        </w:rPr>
        <w:t xml:space="preserve">. </w:t>
      </w:r>
      <w:r w:rsidR="008B3356">
        <w:rPr>
          <w:rFonts w:cs="Times New Roman"/>
        </w:rPr>
        <w:t>This leads to errors in international databases</w:t>
      </w:r>
      <w:r w:rsidR="008D1CB1">
        <w:rPr>
          <w:rFonts w:cs="Times New Roman"/>
        </w:rPr>
        <w:t xml:space="preserve"> which record this information</w:t>
      </w:r>
      <w:r w:rsidR="008B3356">
        <w:rPr>
          <w:rFonts w:cs="Times New Roman"/>
        </w:rPr>
        <w:t xml:space="preserve">. </w:t>
      </w:r>
      <w:r>
        <w:rPr>
          <w:rFonts w:cs="Times New Roman"/>
        </w:rPr>
        <w:t>This problem was not equally spread across countries: nearly all related to Germany (</w:t>
      </w:r>
      <w:r w:rsidR="008223ED">
        <w:rPr>
          <w:rFonts w:cs="Times New Roman"/>
        </w:rPr>
        <w:t>39</w:t>
      </w:r>
      <w:r>
        <w:rPr>
          <w:rFonts w:cs="Times New Roman"/>
        </w:rPr>
        <w:t xml:space="preserve">% </w:t>
      </w:r>
      <w:r w:rsidR="00F9525F">
        <w:rPr>
          <w:lang w:eastAsia="en-GB"/>
        </w:rPr>
        <w:t>non-proximate</w:t>
      </w:r>
      <w:r>
        <w:rPr>
          <w:rFonts w:cs="Times New Roman"/>
        </w:rPr>
        <w:t xml:space="preserve">), Italy (39%), Spain (27%) </w:t>
      </w:r>
      <w:r w:rsidR="0063230E">
        <w:rPr>
          <w:rFonts w:cs="Times New Roman"/>
        </w:rPr>
        <w:t>or</w:t>
      </w:r>
      <w:r>
        <w:rPr>
          <w:rFonts w:cs="Times New Roman"/>
        </w:rPr>
        <w:t xml:space="preserve"> France (15%). By contrast, we found no </w:t>
      </w:r>
      <w:r w:rsidR="00F9525F">
        <w:rPr>
          <w:lang w:eastAsia="en-GB"/>
        </w:rPr>
        <w:t>non-proximate</w:t>
      </w:r>
      <w:r>
        <w:rPr>
          <w:rFonts w:cs="Times New Roman"/>
        </w:rPr>
        <w:t xml:space="preserve"> </w:t>
      </w:r>
      <w:r w:rsidR="008B1817">
        <w:rPr>
          <w:rFonts w:cs="Times New Roman"/>
        </w:rPr>
        <w:t>term</w:t>
      </w:r>
      <w:r>
        <w:rPr>
          <w:rFonts w:cs="Times New Roman"/>
        </w:rPr>
        <w:t>s in reports from several countries</w:t>
      </w:r>
      <w:r w:rsidR="000D0CDD">
        <w:rPr>
          <w:rFonts w:cs="Times New Roman"/>
        </w:rPr>
        <w:t>. These</w:t>
      </w:r>
      <w:r>
        <w:rPr>
          <w:rFonts w:cs="Times New Roman"/>
        </w:rPr>
        <w:t xml:space="preserve"> includ</w:t>
      </w:r>
      <w:r w:rsidR="000D0CDD">
        <w:rPr>
          <w:rFonts w:cs="Times New Roman"/>
        </w:rPr>
        <w:t>e</w:t>
      </w:r>
      <w:r>
        <w:rPr>
          <w:rFonts w:cs="Times New Roman"/>
        </w:rPr>
        <w:t xml:space="preserve"> China, </w:t>
      </w:r>
      <w:r w:rsidR="000C6B5C">
        <w:rPr>
          <w:rFonts w:cs="Times New Roman"/>
        </w:rPr>
        <w:t>Japan</w:t>
      </w:r>
      <w:r w:rsidR="000D0CDD">
        <w:rPr>
          <w:rFonts w:cs="Times New Roman"/>
        </w:rPr>
        <w:t xml:space="preserve"> and </w:t>
      </w:r>
      <w:r>
        <w:rPr>
          <w:rFonts w:cs="Times New Roman"/>
        </w:rPr>
        <w:t>South Korea</w:t>
      </w:r>
      <w:r w:rsidR="000D0CDD">
        <w:rPr>
          <w:rFonts w:cs="Times New Roman"/>
        </w:rPr>
        <w:t>;</w:t>
      </w:r>
      <w:r>
        <w:rPr>
          <w:rFonts w:cs="Times New Roman"/>
        </w:rPr>
        <w:t xml:space="preserve"> and </w:t>
      </w:r>
      <w:r w:rsidR="000D0CDD">
        <w:rPr>
          <w:rFonts w:cs="Times New Roman"/>
        </w:rPr>
        <w:t>t</w:t>
      </w:r>
      <w:r w:rsidR="000C6B5C">
        <w:rPr>
          <w:rFonts w:cs="Times New Roman"/>
        </w:rPr>
        <w:t>his may be related to the special nature of the</w:t>
      </w:r>
      <w:r w:rsidR="000D0CDD">
        <w:rPr>
          <w:rFonts w:cs="Times New Roman"/>
        </w:rPr>
        <w:t xml:space="preserve"> three</w:t>
      </w:r>
      <w:r w:rsidR="000C6B5C">
        <w:rPr>
          <w:rFonts w:cs="Times New Roman"/>
        </w:rPr>
        <w:t xml:space="preserve"> translations, which contain the implication of damage or are coinages. </w:t>
      </w:r>
      <w:r>
        <w:rPr>
          <w:rFonts w:cs="Times New Roman"/>
        </w:rPr>
        <w:t xml:space="preserve">We </w:t>
      </w:r>
      <w:r w:rsidR="000C6B5C">
        <w:rPr>
          <w:rFonts w:cs="Times New Roman"/>
        </w:rPr>
        <w:t xml:space="preserve">also </w:t>
      </w:r>
      <w:r w:rsidR="00116C70">
        <w:rPr>
          <w:rFonts w:cs="Times New Roman"/>
        </w:rPr>
        <w:t>suggest</w:t>
      </w:r>
      <w:r>
        <w:rPr>
          <w:rFonts w:cs="Times New Roman"/>
        </w:rPr>
        <w:t>ed that greater language distance from English led to greater reliance on international auditors, who would</w:t>
      </w:r>
      <w:r w:rsidR="00AC19B2">
        <w:rPr>
          <w:rFonts w:cs="Times New Roman"/>
        </w:rPr>
        <w:t xml:space="preserve"> </w:t>
      </w:r>
      <w:r w:rsidR="0063230E">
        <w:rPr>
          <w:rFonts w:cs="Times New Roman"/>
        </w:rPr>
        <w:t>be familiar with</w:t>
      </w:r>
      <w:r w:rsidR="00AC19B2">
        <w:rPr>
          <w:rFonts w:cs="Times New Roman"/>
        </w:rPr>
        <w:t xml:space="preserve"> source IAS 36 terminology. </w:t>
      </w:r>
      <w:r>
        <w:rPr>
          <w:rFonts w:cs="Times New Roman"/>
        </w:rPr>
        <w:t xml:space="preserve">Over time, the prevalence of </w:t>
      </w:r>
      <w:r w:rsidR="00F9525F">
        <w:rPr>
          <w:lang w:eastAsia="en-GB"/>
        </w:rPr>
        <w:t>non-proximate</w:t>
      </w:r>
      <w:r>
        <w:rPr>
          <w:rFonts w:cs="Times New Roman"/>
        </w:rPr>
        <w:t xml:space="preserve"> </w:t>
      </w:r>
      <w:r w:rsidR="008B1817">
        <w:rPr>
          <w:rFonts w:cs="Times New Roman"/>
        </w:rPr>
        <w:t>term</w:t>
      </w:r>
      <w:r>
        <w:rPr>
          <w:rFonts w:cs="Times New Roman"/>
        </w:rPr>
        <w:t xml:space="preserve">s reduced, though not by as much in Germany and Italy as in Spain and France. The reduction may be due to learning from other firms. </w:t>
      </w:r>
      <w:r w:rsidR="00AC19B2">
        <w:rPr>
          <w:rFonts w:cs="Times New Roman"/>
        </w:rPr>
        <w:t xml:space="preserve">We </w:t>
      </w:r>
      <w:r w:rsidR="0063230E">
        <w:rPr>
          <w:rFonts w:cs="Times New Roman"/>
        </w:rPr>
        <w:t xml:space="preserve">also found </w:t>
      </w:r>
      <w:r w:rsidR="00F9525F">
        <w:rPr>
          <w:lang w:eastAsia="en-GB"/>
        </w:rPr>
        <w:t>non-proximate</w:t>
      </w:r>
      <w:r w:rsidR="00AC19B2">
        <w:rPr>
          <w:rFonts w:cs="Times New Roman"/>
        </w:rPr>
        <w:t xml:space="preserve"> </w:t>
      </w:r>
      <w:r w:rsidR="008B1817">
        <w:rPr>
          <w:rFonts w:cs="Times New Roman"/>
        </w:rPr>
        <w:t>term</w:t>
      </w:r>
      <w:r w:rsidR="00AC19B2">
        <w:rPr>
          <w:rFonts w:cs="Times New Roman"/>
        </w:rPr>
        <w:t>s used by firms for reversal of impairment.</w:t>
      </w:r>
    </w:p>
    <w:p w14:paraId="34F6E30E" w14:textId="034FDA45" w:rsidR="007E7C33" w:rsidRDefault="00AC19B2" w:rsidP="007A4DA9">
      <w:pPr>
        <w:ind w:firstLine="567"/>
        <w:rPr>
          <w:rFonts w:eastAsia="Times New Roman" w:cs="Times New Roman"/>
          <w:lang w:eastAsia="en-GB"/>
        </w:rPr>
      </w:pPr>
      <w:r>
        <w:rPr>
          <w:rFonts w:eastAsia="Times New Roman" w:cs="Times New Roman"/>
          <w:lang w:eastAsia="en-GB"/>
        </w:rPr>
        <w:t xml:space="preserve">From all this, several policy implications arise. First, </w:t>
      </w:r>
      <w:r w:rsidR="001E208F" w:rsidRPr="00BC4AC6">
        <w:rPr>
          <w:rFonts w:eastAsia="Times New Roman" w:cs="Times New Roman"/>
          <w:lang w:eastAsia="en-GB"/>
        </w:rPr>
        <w:t xml:space="preserve">the IASB </w:t>
      </w:r>
      <w:r w:rsidR="00490A31">
        <w:rPr>
          <w:rFonts w:eastAsia="Times New Roman" w:cs="Times New Roman"/>
          <w:lang w:eastAsia="en-GB"/>
        </w:rPr>
        <w:t>should choose</w:t>
      </w:r>
      <w:r w:rsidR="0085161E">
        <w:rPr>
          <w:rFonts w:eastAsia="Times New Roman" w:cs="Times New Roman"/>
          <w:lang w:eastAsia="en-GB"/>
        </w:rPr>
        <w:t xml:space="preserve"> </w:t>
      </w:r>
      <w:r w:rsidR="008B1817">
        <w:rPr>
          <w:rFonts w:eastAsia="Times New Roman" w:cs="Times New Roman"/>
          <w:lang w:eastAsia="en-GB"/>
        </w:rPr>
        <w:t>term</w:t>
      </w:r>
      <w:r w:rsidR="001E208F" w:rsidRPr="00BC4AC6">
        <w:rPr>
          <w:rFonts w:eastAsia="Times New Roman" w:cs="Times New Roman"/>
          <w:lang w:eastAsia="en-GB"/>
        </w:rPr>
        <w:t xml:space="preserve">s </w:t>
      </w:r>
      <w:r w:rsidR="00490A31">
        <w:rPr>
          <w:rFonts w:eastAsia="Times New Roman" w:cs="Times New Roman"/>
          <w:lang w:eastAsia="en-GB"/>
        </w:rPr>
        <w:t>which are either coinages or</w:t>
      </w:r>
      <w:r w:rsidR="0094709E">
        <w:rPr>
          <w:rFonts w:eastAsia="Times New Roman" w:cs="Times New Roman"/>
          <w:lang w:eastAsia="en-GB"/>
        </w:rPr>
        <w:t xml:space="preserve"> </w:t>
      </w:r>
      <w:r w:rsidR="001E208F" w:rsidRPr="00BC4AC6">
        <w:rPr>
          <w:rFonts w:eastAsia="Times New Roman" w:cs="Times New Roman"/>
          <w:lang w:eastAsia="en-GB"/>
        </w:rPr>
        <w:t>correspond to the use of</w:t>
      </w:r>
      <w:r w:rsidR="00490A31">
        <w:rPr>
          <w:rFonts w:eastAsia="Times New Roman" w:cs="Times New Roman"/>
          <w:lang w:eastAsia="en-GB"/>
        </w:rPr>
        <w:t xml:space="preserve"> the</w:t>
      </w:r>
      <w:r w:rsidR="001E208F" w:rsidRPr="00BC4AC6">
        <w:rPr>
          <w:rFonts w:eastAsia="Times New Roman" w:cs="Times New Roman"/>
          <w:lang w:eastAsia="en-GB"/>
        </w:rPr>
        <w:t xml:space="preserve"> </w:t>
      </w:r>
      <w:r w:rsidR="008B1817">
        <w:rPr>
          <w:rFonts w:eastAsia="Times New Roman" w:cs="Times New Roman"/>
          <w:lang w:eastAsia="en-GB"/>
        </w:rPr>
        <w:t>term</w:t>
      </w:r>
      <w:r w:rsidR="001E208F" w:rsidRPr="00BC4AC6">
        <w:rPr>
          <w:rFonts w:eastAsia="Times New Roman" w:cs="Times New Roman"/>
          <w:lang w:eastAsia="en-GB"/>
        </w:rPr>
        <w:t>s in the everyday register</w:t>
      </w:r>
      <w:r w:rsidR="00490A31">
        <w:rPr>
          <w:rFonts w:eastAsia="Times New Roman" w:cs="Times New Roman"/>
          <w:lang w:eastAsia="en-GB"/>
        </w:rPr>
        <w:t>.</w:t>
      </w:r>
      <w:r w:rsidR="00F32D7B" w:rsidRPr="00BC4AC6">
        <w:rPr>
          <w:rFonts w:eastAsia="Times New Roman" w:cs="Times New Roman"/>
          <w:lang w:eastAsia="en-GB"/>
        </w:rPr>
        <w:t xml:space="preserve"> </w:t>
      </w:r>
      <w:r w:rsidR="0094709E">
        <w:rPr>
          <w:rFonts w:eastAsia="Times New Roman" w:cs="Times New Roman"/>
          <w:lang w:eastAsia="en-GB"/>
        </w:rPr>
        <w:t>In particular</w:t>
      </w:r>
      <w:r w:rsidR="00E2765F">
        <w:rPr>
          <w:rFonts w:eastAsia="Times New Roman" w:cs="Times New Roman"/>
          <w:lang w:eastAsia="en-GB"/>
        </w:rPr>
        <w:t xml:space="preserve">, </w:t>
      </w:r>
      <w:r w:rsidR="00E2765F" w:rsidRPr="00BC4AC6">
        <w:rPr>
          <w:rFonts w:eastAsia="Times New Roman" w:cs="Times New Roman"/>
          <w:lang w:eastAsia="en-GB"/>
        </w:rPr>
        <w:t>pre</w:t>
      </w:r>
      <w:r w:rsidR="005F2194">
        <w:rPr>
          <w:rFonts w:eastAsia="Times New Roman" w:cs="Times New Roman"/>
          <w:lang w:eastAsia="en-GB"/>
        </w:rPr>
        <w:t xml:space="preserve">cise concepts </w:t>
      </w:r>
      <w:r w:rsidR="00E2765F">
        <w:rPr>
          <w:rFonts w:eastAsia="Times New Roman" w:cs="Times New Roman"/>
          <w:lang w:eastAsia="en-GB"/>
        </w:rPr>
        <w:t xml:space="preserve">should not be given </w:t>
      </w:r>
      <w:r w:rsidR="00E2765F" w:rsidRPr="00BC4AC6">
        <w:rPr>
          <w:rFonts w:eastAsia="Times New Roman" w:cs="Times New Roman"/>
          <w:lang w:eastAsia="en-GB"/>
        </w:rPr>
        <w:t xml:space="preserve">broad </w:t>
      </w:r>
      <w:r w:rsidR="008B1817">
        <w:rPr>
          <w:rFonts w:eastAsia="Times New Roman" w:cs="Times New Roman"/>
          <w:lang w:eastAsia="en-GB"/>
        </w:rPr>
        <w:t>term</w:t>
      </w:r>
      <w:r w:rsidR="00E2765F" w:rsidRPr="00BC4AC6">
        <w:rPr>
          <w:rFonts w:eastAsia="Times New Roman" w:cs="Times New Roman"/>
          <w:lang w:eastAsia="en-GB"/>
        </w:rPr>
        <w:t>s</w:t>
      </w:r>
      <w:r w:rsidR="005F2194">
        <w:rPr>
          <w:rFonts w:eastAsia="Times New Roman" w:cs="Times New Roman"/>
          <w:lang w:eastAsia="en-GB"/>
        </w:rPr>
        <w:t xml:space="preserve"> </w:t>
      </w:r>
      <w:r w:rsidR="0094709E">
        <w:rPr>
          <w:rFonts w:eastAsia="Times New Roman" w:cs="Times New Roman"/>
          <w:lang w:eastAsia="en-GB"/>
        </w:rPr>
        <w:t>(</w:t>
      </w:r>
      <w:r w:rsidR="005F2194">
        <w:rPr>
          <w:rFonts w:eastAsia="Times New Roman" w:cs="Times New Roman"/>
          <w:lang w:eastAsia="en-GB"/>
        </w:rPr>
        <w:t>hypernyms</w:t>
      </w:r>
      <w:r w:rsidR="0094709E">
        <w:rPr>
          <w:rFonts w:eastAsia="Times New Roman" w:cs="Times New Roman"/>
          <w:lang w:eastAsia="en-GB"/>
        </w:rPr>
        <w:t>)</w:t>
      </w:r>
      <w:r w:rsidR="005F2194">
        <w:rPr>
          <w:rFonts w:eastAsia="Times New Roman" w:cs="Times New Roman"/>
          <w:lang w:eastAsia="en-GB"/>
        </w:rPr>
        <w:t xml:space="preserve"> </w:t>
      </w:r>
      <w:r w:rsidR="0094709E">
        <w:rPr>
          <w:rFonts w:eastAsia="Times New Roman" w:cs="Times New Roman"/>
          <w:lang w:eastAsia="en-GB"/>
        </w:rPr>
        <w:t xml:space="preserve">which </w:t>
      </w:r>
      <w:r w:rsidR="005F2194">
        <w:rPr>
          <w:rFonts w:eastAsia="Times New Roman" w:cs="Times New Roman"/>
          <w:lang w:eastAsia="en-GB"/>
        </w:rPr>
        <w:t xml:space="preserve">are already in use in the </w:t>
      </w:r>
      <w:r w:rsidR="0094709E">
        <w:rPr>
          <w:rFonts w:eastAsia="Times New Roman" w:cs="Times New Roman"/>
          <w:lang w:eastAsia="en-GB"/>
        </w:rPr>
        <w:t>everyday</w:t>
      </w:r>
      <w:r w:rsidR="005F2194">
        <w:rPr>
          <w:rFonts w:eastAsia="Times New Roman" w:cs="Times New Roman"/>
          <w:lang w:eastAsia="en-GB"/>
        </w:rPr>
        <w:t xml:space="preserve"> reg</w:t>
      </w:r>
      <w:r w:rsidR="00346215">
        <w:rPr>
          <w:rFonts w:eastAsia="Times New Roman" w:cs="Times New Roman"/>
          <w:lang w:eastAsia="en-GB"/>
        </w:rPr>
        <w:t xml:space="preserve">ister. </w:t>
      </w:r>
      <w:r w:rsidR="00D169B0">
        <w:rPr>
          <w:rFonts w:eastAsia="Times New Roman" w:cs="Times New Roman"/>
          <w:lang w:eastAsia="en-GB"/>
        </w:rPr>
        <w:t>In the case of “impairment”, the choice of this relatively obscure</w:t>
      </w:r>
      <w:r w:rsidR="008B1817">
        <w:rPr>
          <w:rFonts w:eastAsia="Times New Roman" w:cs="Times New Roman"/>
          <w:lang w:eastAsia="en-GB"/>
        </w:rPr>
        <w:t xml:space="preserve"> term</w:t>
      </w:r>
      <w:r w:rsidR="00D169B0">
        <w:rPr>
          <w:rFonts w:eastAsia="Times New Roman" w:cs="Times New Roman"/>
          <w:lang w:eastAsia="en-GB"/>
        </w:rPr>
        <w:t xml:space="preserve"> with approximately its everyday meaning seems suitable</w:t>
      </w:r>
      <w:r w:rsidR="00A013E1">
        <w:rPr>
          <w:rFonts w:eastAsia="Times New Roman" w:cs="Times New Roman"/>
          <w:lang w:eastAsia="en-GB"/>
        </w:rPr>
        <w:t>,</w:t>
      </w:r>
      <w:r w:rsidR="00A013E1" w:rsidRPr="00A013E1">
        <w:rPr>
          <w:rFonts w:eastAsia="Times New Roman" w:cs="Times New Roman"/>
          <w:lang w:eastAsia="en-GB"/>
        </w:rPr>
        <w:t xml:space="preserve"> </w:t>
      </w:r>
      <w:r w:rsidR="00A013E1">
        <w:rPr>
          <w:rFonts w:eastAsia="Times New Roman" w:cs="Times New Roman"/>
          <w:lang w:eastAsia="en-GB"/>
        </w:rPr>
        <w:t>at least for the English accounting register</w:t>
      </w:r>
      <w:r w:rsidR="00D169B0">
        <w:rPr>
          <w:rFonts w:eastAsia="Times New Roman" w:cs="Times New Roman"/>
          <w:lang w:eastAsia="en-GB"/>
        </w:rPr>
        <w:t xml:space="preserve">. </w:t>
      </w:r>
      <w:r w:rsidR="00E56772">
        <w:rPr>
          <w:rFonts w:eastAsia="Times New Roman" w:cs="Times New Roman"/>
          <w:lang w:eastAsia="en-GB"/>
        </w:rPr>
        <w:t xml:space="preserve">However, the failure to define “impairment” </w:t>
      </w:r>
      <w:r w:rsidR="000C5B66">
        <w:rPr>
          <w:rFonts w:eastAsia="Times New Roman" w:cs="Times New Roman"/>
          <w:lang w:eastAsia="en-GB"/>
        </w:rPr>
        <w:t xml:space="preserve">in IAS 36 probably </w:t>
      </w:r>
      <w:r w:rsidR="00E56772">
        <w:rPr>
          <w:rFonts w:eastAsia="Times New Roman" w:cs="Times New Roman"/>
          <w:lang w:eastAsia="en-GB"/>
        </w:rPr>
        <w:t>contributed to the poor translations. Thi</w:t>
      </w:r>
      <w:r w:rsidR="000C5B66">
        <w:rPr>
          <w:rFonts w:eastAsia="Times New Roman" w:cs="Times New Roman"/>
          <w:lang w:eastAsia="en-GB"/>
        </w:rPr>
        <w:t>s was not the only occasion on which</w:t>
      </w:r>
      <w:r w:rsidR="00E56772">
        <w:rPr>
          <w:rFonts w:eastAsia="Times New Roman" w:cs="Times New Roman"/>
          <w:lang w:eastAsia="en-GB"/>
        </w:rPr>
        <w:t xml:space="preserve"> th</w:t>
      </w:r>
      <w:r w:rsidR="00A013E1">
        <w:rPr>
          <w:rFonts w:eastAsia="Times New Roman" w:cs="Times New Roman"/>
          <w:lang w:eastAsia="en-GB"/>
        </w:rPr>
        <w:t>e international standard-setter has</w:t>
      </w:r>
      <w:r w:rsidR="00E56772">
        <w:rPr>
          <w:rFonts w:eastAsia="Times New Roman" w:cs="Times New Roman"/>
          <w:lang w:eastAsia="en-GB"/>
        </w:rPr>
        <w:t xml:space="preserve"> not defined the key term when preparing an accounting standard.</w:t>
      </w:r>
      <w:r w:rsidR="00E56772">
        <w:rPr>
          <w:rStyle w:val="FootnoteReference"/>
          <w:rFonts w:eastAsia="Times New Roman" w:cs="Times New Roman"/>
          <w:lang w:eastAsia="en-GB"/>
        </w:rPr>
        <w:footnoteReference w:id="61"/>
      </w:r>
      <w:r w:rsidR="00E56772">
        <w:rPr>
          <w:rFonts w:eastAsia="Times New Roman" w:cs="Times New Roman"/>
          <w:lang w:eastAsia="en-GB"/>
        </w:rPr>
        <w:t xml:space="preserve"> </w:t>
      </w:r>
      <w:r w:rsidR="00C5291D">
        <w:rPr>
          <w:rFonts w:eastAsia="Times New Roman" w:cs="Times New Roman"/>
          <w:lang w:eastAsia="en-GB"/>
        </w:rPr>
        <w:t xml:space="preserve">If the IASB </w:t>
      </w:r>
      <w:r w:rsidR="00A013E1">
        <w:rPr>
          <w:rFonts w:eastAsia="Times New Roman" w:cs="Times New Roman"/>
          <w:lang w:eastAsia="en-GB"/>
        </w:rPr>
        <w:t xml:space="preserve">were </w:t>
      </w:r>
      <w:r w:rsidR="00D169B0">
        <w:rPr>
          <w:rFonts w:eastAsia="Times New Roman" w:cs="Times New Roman"/>
          <w:lang w:eastAsia="en-GB"/>
        </w:rPr>
        <w:t xml:space="preserve">generally </w:t>
      </w:r>
      <w:r w:rsidR="00A013E1">
        <w:rPr>
          <w:rFonts w:eastAsia="Times New Roman" w:cs="Times New Roman"/>
          <w:lang w:eastAsia="en-GB"/>
        </w:rPr>
        <w:t xml:space="preserve">to </w:t>
      </w:r>
      <w:r w:rsidR="00C5291D">
        <w:rPr>
          <w:rFonts w:eastAsia="Times New Roman" w:cs="Times New Roman"/>
          <w:lang w:eastAsia="en-GB"/>
        </w:rPr>
        <w:t>take account of th</w:t>
      </w:r>
      <w:r w:rsidR="000C5B66">
        <w:rPr>
          <w:rFonts w:eastAsia="Times New Roman" w:cs="Times New Roman"/>
          <w:lang w:eastAsia="en-GB"/>
        </w:rPr>
        <w:t>ese points</w:t>
      </w:r>
      <w:r w:rsidR="00C5291D">
        <w:rPr>
          <w:rFonts w:eastAsia="Times New Roman" w:cs="Times New Roman"/>
          <w:lang w:eastAsia="en-GB"/>
        </w:rPr>
        <w:t xml:space="preserve">, it </w:t>
      </w:r>
      <w:r w:rsidR="0094709E">
        <w:rPr>
          <w:rFonts w:eastAsia="Times New Roman" w:cs="Times New Roman"/>
          <w:lang w:eastAsia="en-GB"/>
        </w:rPr>
        <w:t>m</w:t>
      </w:r>
      <w:r w:rsidR="00A013E1">
        <w:rPr>
          <w:rFonts w:eastAsia="Times New Roman" w:cs="Times New Roman"/>
          <w:lang w:eastAsia="en-GB"/>
        </w:rPr>
        <w:t>ight</w:t>
      </w:r>
      <w:r w:rsidR="0094709E">
        <w:rPr>
          <w:rFonts w:eastAsia="Times New Roman" w:cs="Times New Roman"/>
          <w:lang w:eastAsia="en-GB"/>
        </w:rPr>
        <w:t xml:space="preserve"> help accountants</w:t>
      </w:r>
      <w:r w:rsidR="0094709E" w:rsidRPr="00BC4AC6">
        <w:rPr>
          <w:rFonts w:eastAsia="Times New Roman" w:cs="Times New Roman"/>
          <w:lang w:eastAsia="en-GB"/>
        </w:rPr>
        <w:t xml:space="preserve"> </w:t>
      </w:r>
      <w:r w:rsidR="00B80D7A">
        <w:rPr>
          <w:rFonts w:eastAsia="Times New Roman" w:cs="Times New Roman"/>
          <w:lang w:eastAsia="en-GB"/>
        </w:rPr>
        <w:t>and</w:t>
      </w:r>
      <w:r w:rsidR="00E7760B">
        <w:rPr>
          <w:rFonts w:eastAsia="Times New Roman" w:cs="Times New Roman"/>
          <w:lang w:eastAsia="en-GB"/>
        </w:rPr>
        <w:t xml:space="preserve"> it</w:t>
      </w:r>
      <w:r w:rsidR="0094709E">
        <w:rPr>
          <w:rFonts w:eastAsia="Times New Roman" w:cs="Times New Roman"/>
          <w:lang w:eastAsia="en-GB"/>
        </w:rPr>
        <w:t xml:space="preserve"> </w:t>
      </w:r>
      <w:r w:rsidR="00A013E1">
        <w:rPr>
          <w:rFonts w:eastAsia="Times New Roman" w:cs="Times New Roman"/>
          <w:lang w:eastAsia="en-GB"/>
        </w:rPr>
        <w:t>would be</w:t>
      </w:r>
      <w:r w:rsidR="0094709E">
        <w:rPr>
          <w:rFonts w:eastAsia="Times New Roman" w:cs="Times New Roman"/>
          <w:lang w:eastAsia="en-GB"/>
        </w:rPr>
        <w:t xml:space="preserve"> particularly likely to help the readers of </w:t>
      </w:r>
      <w:r w:rsidR="0094709E" w:rsidRPr="00BC4AC6">
        <w:rPr>
          <w:rFonts w:eastAsia="Times New Roman" w:cs="Times New Roman"/>
          <w:lang w:eastAsia="en-GB"/>
        </w:rPr>
        <w:t xml:space="preserve">financial statements </w:t>
      </w:r>
      <w:r w:rsidR="0094709E">
        <w:rPr>
          <w:rFonts w:eastAsia="Times New Roman" w:cs="Times New Roman"/>
          <w:lang w:eastAsia="en-GB"/>
        </w:rPr>
        <w:t xml:space="preserve">who </w:t>
      </w:r>
      <w:r w:rsidR="0094709E" w:rsidRPr="00BC4AC6">
        <w:rPr>
          <w:rFonts w:eastAsia="Times New Roman" w:cs="Times New Roman"/>
          <w:lang w:eastAsia="en-GB"/>
        </w:rPr>
        <w:t>are not</w:t>
      </w:r>
      <w:r w:rsidR="0094709E">
        <w:rPr>
          <w:rFonts w:eastAsia="Times New Roman" w:cs="Times New Roman"/>
          <w:lang w:eastAsia="en-GB"/>
        </w:rPr>
        <w:t xml:space="preserve"> accountants.</w:t>
      </w:r>
      <w:r w:rsidR="005F2194">
        <w:rPr>
          <w:rFonts w:eastAsia="Times New Roman" w:cs="Times New Roman"/>
          <w:lang w:eastAsia="en-GB"/>
        </w:rPr>
        <w:t xml:space="preserve"> </w:t>
      </w:r>
      <w:r w:rsidR="007A4DA9">
        <w:rPr>
          <w:rFonts w:eastAsia="Times New Roman" w:cs="Times New Roman"/>
          <w:lang w:eastAsia="en-GB"/>
        </w:rPr>
        <w:t xml:space="preserve">This recommendation applies </w:t>
      </w:r>
      <w:r w:rsidR="0094709E">
        <w:rPr>
          <w:rFonts w:eastAsia="Times New Roman" w:cs="Times New Roman"/>
          <w:lang w:eastAsia="en-GB"/>
        </w:rPr>
        <w:t xml:space="preserve">even before considering the need to </w:t>
      </w:r>
      <w:r w:rsidR="0094709E" w:rsidRPr="00F2693B">
        <w:rPr>
          <w:rFonts w:eastAsia="Times New Roman" w:cs="Times New Roman"/>
          <w:i/>
          <w:lang w:eastAsia="en-GB"/>
        </w:rPr>
        <w:t xml:space="preserve">translate </w:t>
      </w:r>
      <w:r w:rsidR="007A4DA9">
        <w:rPr>
          <w:rFonts w:eastAsia="Times New Roman" w:cs="Times New Roman"/>
          <w:lang w:eastAsia="en-GB"/>
        </w:rPr>
        <w:t xml:space="preserve">IFRS, but we agree with the </w:t>
      </w:r>
      <w:r w:rsidR="00CD2FA5">
        <w:rPr>
          <w:rFonts w:eastAsia="Times New Roman" w:cs="Times New Roman"/>
          <w:lang w:eastAsia="en-GB"/>
        </w:rPr>
        <w:t xml:space="preserve">Australian and Korean standard setters </w:t>
      </w:r>
      <w:r w:rsidR="001F557E">
        <w:rPr>
          <w:rFonts w:eastAsia="Times New Roman" w:cs="Times New Roman"/>
          <w:lang w:eastAsia="en-GB"/>
        </w:rPr>
        <w:t>that</w:t>
      </w:r>
      <w:r w:rsidR="007A4DA9">
        <w:rPr>
          <w:rFonts w:eastAsia="Times New Roman" w:cs="Times New Roman"/>
          <w:lang w:eastAsia="en-GB"/>
        </w:rPr>
        <w:t xml:space="preserve"> the IASB</w:t>
      </w:r>
      <w:r w:rsidR="001F557E">
        <w:rPr>
          <w:rFonts w:eastAsia="Times New Roman" w:cs="Times New Roman"/>
          <w:lang w:eastAsia="en-GB"/>
        </w:rPr>
        <w:t xml:space="preserve"> should specifically consider </w:t>
      </w:r>
      <w:r w:rsidR="00983F13">
        <w:rPr>
          <w:rFonts w:eastAsia="Times New Roman" w:cs="Times New Roman"/>
          <w:lang w:eastAsia="en-GB"/>
        </w:rPr>
        <w:t xml:space="preserve">the </w:t>
      </w:r>
      <w:r w:rsidR="001F557E">
        <w:rPr>
          <w:rFonts w:eastAsia="Times New Roman" w:cs="Times New Roman"/>
          <w:lang w:eastAsia="en-GB"/>
        </w:rPr>
        <w:t>translation issues</w:t>
      </w:r>
      <w:r w:rsidR="00A013E1" w:rsidRPr="00A013E1">
        <w:rPr>
          <w:rFonts w:eastAsia="Times New Roman" w:cs="Times New Roman"/>
          <w:lang w:eastAsia="en-GB"/>
        </w:rPr>
        <w:t xml:space="preserve"> </w:t>
      </w:r>
      <w:r w:rsidR="00A013E1">
        <w:rPr>
          <w:rFonts w:eastAsia="Times New Roman" w:cs="Times New Roman"/>
          <w:lang w:eastAsia="en-GB"/>
        </w:rPr>
        <w:t>of this paragraph</w:t>
      </w:r>
      <w:r w:rsidR="001F557E">
        <w:rPr>
          <w:rFonts w:eastAsia="Times New Roman" w:cs="Times New Roman"/>
          <w:lang w:eastAsia="en-GB"/>
        </w:rPr>
        <w:t xml:space="preserve"> when drafting standards</w:t>
      </w:r>
      <w:r w:rsidR="0063230E" w:rsidRPr="0063230E">
        <w:rPr>
          <w:rFonts w:eastAsia="Times New Roman" w:cs="Times New Roman"/>
          <w:lang w:eastAsia="en-GB"/>
        </w:rPr>
        <w:t xml:space="preserve"> </w:t>
      </w:r>
      <w:r w:rsidR="00CD2FA5">
        <w:rPr>
          <w:rFonts w:eastAsia="Times New Roman" w:cs="Times New Roman"/>
          <w:lang w:eastAsia="en-GB"/>
        </w:rPr>
        <w:t xml:space="preserve">(AASB/KASB, </w:t>
      </w:r>
      <w:r w:rsidR="0063230E">
        <w:rPr>
          <w:rFonts w:eastAsia="Times New Roman" w:cs="Times New Roman"/>
          <w:lang w:eastAsia="en-GB"/>
        </w:rPr>
        <w:t>2016, p. 40)</w:t>
      </w:r>
      <w:r w:rsidR="00CD2FA5">
        <w:rPr>
          <w:rFonts w:eastAsia="Times New Roman" w:cs="Times New Roman"/>
          <w:lang w:eastAsia="en-GB"/>
        </w:rPr>
        <w:t xml:space="preserve">. </w:t>
      </w:r>
      <w:r w:rsidR="00FC29DE">
        <w:rPr>
          <w:rFonts w:eastAsia="Times New Roman" w:cs="Times New Roman"/>
          <w:lang w:eastAsia="en-GB"/>
        </w:rPr>
        <w:t>Perhaps, following the example of Microsoft (mentioned in Section 2.1), the IASB should create an urtext which is designed to be the source for translations, including into various dialects of English.</w:t>
      </w:r>
    </w:p>
    <w:p w14:paraId="30DACFED" w14:textId="29754529" w:rsidR="00A013E1" w:rsidRPr="00A013E1" w:rsidRDefault="00A013E1" w:rsidP="00A013E1">
      <w:pPr>
        <w:ind w:firstLine="567"/>
        <w:rPr>
          <w:rFonts w:cs="Times New Roman"/>
        </w:rPr>
      </w:pPr>
      <w:r>
        <w:rPr>
          <w:rFonts w:cs="Times New Roman"/>
        </w:rPr>
        <w:t xml:space="preserve">We propose that a </w:t>
      </w:r>
      <w:r w:rsidRPr="00A647A7">
        <w:rPr>
          <w:rFonts w:cs="Times New Roman"/>
          <w:i/>
        </w:rPr>
        <w:t>translator</w:t>
      </w:r>
      <w:r>
        <w:rPr>
          <w:rFonts w:cs="Times New Roman"/>
        </w:rPr>
        <w:t xml:space="preserve"> of accounting regulations should strive for ‘proximate’ translations which convey the source message</w:t>
      </w:r>
      <w:r w:rsidR="004D68E7">
        <w:rPr>
          <w:rFonts w:cs="Times New Roman"/>
        </w:rPr>
        <w:t xml:space="preserve"> and do so as unambiguously as possible</w:t>
      </w:r>
      <w:r>
        <w:rPr>
          <w:rFonts w:cs="Times New Roman"/>
        </w:rPr>
        <w:t xml:space="preserve">. We arrive at this conclusion even after assessing </w:t>
      </w:r>
      <w:r>
        <w:rPr>
          <w:rFonts w:cs="Times New Roman"/>
          <w:i/>
        </w:rPr>
        <w:t>skopos</w:t>
      </w:r>
      <w:r>
        <w:rPr>
          <w:rFonts w:cs="Times New Roman"/>
        </w:rPr>
        <w:t xml:space="preserve"> theory because, according to the international regulators, the aim of the translation is ‘equivalence’.</w:t>
      </w:r>
    </w:p>
    <w:p w14:paraId="5DE2D2D3" w14:textId="4A9DC170" w:rsidR="00B124D2" w:rsidRPr="00BC4AC6" w:rsidRDefault="009B4A15" w:rsidP="00B124D2">
      <w:pPr>
        <w:ind w:firstLine="567"/>
        <w:rPr>
          <w:rFonts w:cs="Times New Roman"/>
        </w:rPr>
      </w:pPr>
      <w:r>
        <w:rPr>
          <w:rFonts w:cs="Times New Roman"/>
        </w:rPr>
        <w:t xml:space="preserve">Given that </w:t>
      </w:r>
      <w:r w:rsidR="00C04716">
        <w:rPr>
          <w:rFonts w:cs="Times New Roman"/>
        </w:rPr>
        <w:t>some</w:t>
      </w:r>
      <w:r>
        <w:rPr>
          <w:rFonts w:cs="Times New Roman"/>
        </w:rPr>
        <w:t xml:space="preserve"> translations of IFRS are not </w:t>
      </w:r>
      <w:r w:rsidR="0087553F">
        <w:rPr>
          <w:rFonts w:cs="Times New Roman"/>
        </w:rPr>
        <w:t>proximate</w:t>
      </w:r>
      <w:r>
        <w:rPr>
          <w:rFonts w:cs="Times New Roman"/>
        </w:rPr>
        <w:t xml:space="preserve"> to the source text, this affect</w:t>
      </w:r>
      <w:r w:rsidR="00A013E1">
        <w:rPr>
          <w:rFonts w:cs="Times New Roman"/>
        </w:rPr>
        <w:t>s</w:t>
      </w:r>
      <w:r>
        <w:rPr>
          <w:rFonts w:cs="Times New Roman"/>
        </w:rPr>
        <w:t xml:space="preserve"> the words selected by preparers of non-English annual reports, as we have shown. </w:t>
      </w:r>
      <w:r w:rsidR="00B124D2" w:rsidRPr="00BC4AC6">
        <w:rPr>
          <w:rFonts w:cs="Times New Roman"/>
        </w:rPr>
        <w:t>Th</w:t>
      </w:r>
      <w:r>
        <w:rPr>
          <w:rFonts w:cs="Times New Roman"/>
        </w:rPr>
        <w:t>is has a</w:t>
      </w:r>
      <w:r w:rsidR="00EC6CBD">
        <w:rPr>
          <w:rFonts w:cs="Times New Roman"/>
        </w:rPr>
        <w:t>n important</w:t>
      </w:r>
      <w:r>
        <w:rPr>
          <w:rFonts w:cs="Times New Roman"/>
        </w:rPr>
        <w:t xml:space="preserve"> </w:t>
      </w:r>
      <w:r w:rsidR="00B124D2" w:rsidRPr="00BC4AC6">
        <w:rPr>
          <w:rFonts w:cs="Times New Roman"/>
        </w:rPr>
        <w:t xml:space="preserve">implication for translators of </w:t>
      </w:r>
      <w:r w:rsidR="00CD2FA5">
        <w:rPr>
          <w:rFonts w:cs="Times New Roman"/>
        </w:rPr>
        <w:t>those reports</w:t>
      </w:r>
      <w:r w:rsidR="00B124D2" w:rsidRPr="00BC4AC6">
        <w:rPr>
          <w:rFonts w:cs="Times New Roman"/>
        </w:rPr>
        <w:t xml:space="preserve"> (most commonly </w:t>
      </w:r>
      <w:r w:rsidR="00B124D2" w:rsidRPr="00BC4AC6">
        <w:rPr>
          <w:rFonts w:cs="Times New Roman"/>
          <w:i/>
        </w:rPr>
        <w:t>into</w:t>
      </w:r>
      <w:r w:rsidR="00B124D2" w:rsidRPr="00BC4AC6">
        <w:rPr>
          <w:rFonts w:cs="Times New Roman"/>
        </w:rPr>
        <w:t xml:space="preserve"> </w:t>
      </w:r>
      <w:r w:rsidR="00E00321">
        <w:rPr>
          <w:rFonts w:cs="Times New Roman"/>
        </w:rPr>
        <w:t xml:space="preserve">target </w:t>
      </w:r>
      <w:r w:rsidR="00B124D2" w:rsidRPr="00BC4AC6">
        <w:rPr>
          <w:rFonts w:cs="Times New Roman"/>
        </w:rPr>
        <w:t>English)</w:t>
      </w:r>
      <w:r>
        <w:rPr>
          <w:rFonts w:cs="Times New Roman"/>
        </w:rPr>
        <w:t xml:space="preserve">: the translators should not necessarily strive for </w:t>
      </w:r>
      <w:r w:rsidR="0087553F">
        <w:rPr>
          <w:rFonts w:cs="Times New Roman"/>
        </w:rPr>
        <w:t>proximate translation</w:t>
      </w:r>
      <w:r>
        <w:rPr>
          <w:rFonts w:cs="Times New Roman"/>
        </w:rPr>
        <w:t xml:space="preserve"> </w:t>
      </w:r>
      <w:r w:rsidR="0087553F">
        <w:rPr>
          <w:rFonts w:cs="Times New Roman"/>
        </w:rPr>
        <w:t>of</w:t>
      </w:r>
      <w:r>
        <w:rPr>
          <w:rFonts w:cs="Times New Roman"/>
        </w:rPr>
        <w:t xml:space="preserve"> the source reports but should consider the </w:t>
      </w:r>
      <w:r w:rsidR="00FA66F9">
        <w:rPr>
          <w:rFonts w:cs="Times New Roman"/>
        </w:rPr>
        <w:t>term</w:t>
      </w:r>
      <w:r>
        <w:rPr>
          <w:rFonts w:cs="Times New Roman"/>
        </w:rPr>
        <w:t>s i</w:t>
      </w:r>
      <w:r w:rsidR="00490A31">
        <w:rPr>
          <w:rFonts w:cs="Times New Roman"/>
        </w:rPr>
        <w:t xml:space="preserve">n the more distant </w:t>
      </w:r>
      <w:r w:rsidR="00663B9F">
        <w:rPr>
          <w:rFonts w:cs="Times New Roman"/>
        </w:rPr>
        <w:t>source</w:t>
      </w:r>
      <w:r w:rsidR="00490A31">
        <w:rPr>
          <w:rFonts w:cs="Times New Roman"/>
        </w:rPr>
        <w:t xml:space="preserve"> IFRS regulation</w:t>
      </w:r>
      <w:r>
        <w:rPr>
          <w:rFonts w:cs="Times New Roman"/>
        </w:rPr>
        <w:t xml:space="preserve">. </w:t>
      </w:r>
      <w:r w:rsidR="00CD2FA5">
        <w:rPr>
          <w:rFonts w:cs="Times New Roman"/>
        </w:rPr>
        <w:t>T</w:t>
      </w:r>
      <w:r w:rsidR="004100C1">
        <w:rPr>
          <w:rFonts w:cs="Times New Roman"/>
        </w:rPr>
        <w:t>he firms have deliberately chosen to translate their reports into English but t</w:t>
      </w:r>
      <w:r w:rsidR="00B124D2" w:rsidRPr="00BC4AC6">
        <w:rPr>
          <w:rFonts w:cs="Times New Roman"/>
        </w:rPr>
        <w:t>erm</w:t>
      </w:r>
      <w:r w:rsidR="00CD2FA5">
        <w:rPr>
          <w:rFonts w:cs="Times New Roman"/>
        </w:rPr>
        <w:t>s</w:t>
      </w:r>
      <w:r w:rsidR="00B124D2" w:rsidRPr="00BC4AC6">
        <w:rPr>
          <w:rFonts w:cs="Times New Roman"/>
        </w:rPr>
        <w:t xml:space="preserve"> such as </w:t>
      </w:r>
      <w:r w:rsidR="00335B93">
        <w:rPr>
          <w:rFonts w:cs="Times New Roman"/>
        </w:rPr>
        <w:t>“</w:t>
      </w:r>
      <w:r w:rsidR="00B124D2" w:rsidRPr="00BC4AC6">
        <w:rPr>
          <w:rFonts w:cs="Times New Roman"/>
        </w:rPr>
        <w:t>loss of value</w:t>
      </w:r>
      <w:r w:rsidR="00335B93">
        <w:rPr>
          <w:rFonts w:cs="Times New Roman"/>
        </w:rPr>
        <w:t>”</w:t>
      </w:r>
      <w:r w:rsidR="00B124D2" w:rsidRPr="00BC4AC6">
        <w:rPr>
          <w:rFonts w:cs="Times New Roman"/>
        </w:rPr>
        <w:t xml:space="preserve"> </w:t>
      </w:r>
      <w:r w:rsidR="00CD2FA5">
        <w:rPr>
          <w:rFonts w:cs="Times New Roman"/>
        </w:rPr>
        <w:t>and</w:t>
      </w:r>
      <w:r w:rsidR="00B124D2" w:rsidRPr="00BC4AC6">
        <w:rPr>
          <w:rFonts w:cs="Times New Roman"/>
        </w:rPr>
        <w:t xml:space="preserve"> </w:t>
      </w:r>
      <w:r w:rsidR="00335B93">
        <w:rPr>
          <w:rFonts w:cs="Times New Roman"/>
        </w:rPr>
        <w:t>“</w:t>
      </w:r>
      <w:r w:rsidR="00B124D2" w:rsidRPr="00BC4AC6">
        <w:rPr>
          <w:rFonts w:cs="Times New Roman"/>
        </w:rPr>
        <w:t>write-down</w:t>
      </w:r>
      <w:r w:rsidR="00335B93">
        <w:rPr>
          <w:rFonts w:cs="Times New Roman"/>
        </w:rPr>
        <w:t>”</w:t>
      </w:r>
      <w:r w:rsidR="00B124D2" w:rsidRPr="00BC4AC6">
        <w:rPr>
          <w:rFonts w:cs="Times New Roman"/>
        </w:rPr>
        <w:t xml:space="preserve"> will not necessarily convey </w:t>
      </w:r>
      <w:r w:rsidR="00335B93">
        <w:rPr>
          <w:rFonts w:cs="Times New Roman"/>
        </w:rPr>
        <w:t>“</w:t>
      </w:r>
      <w:r w:rsidR="00B124D2" w:rsidRPr="00BC4AC6">
        <w:rPr>
          <w:rFonts w:cs="Times New Roman"/>
        </w:rPr>
        <w:t>impairment</w:t>
      </w:r>
      <w:r w:rsidR="00335B93">
        <w:rPr>
          <w:rFonts w:cs="Times New Roman"/>
        </w:rPr>
        <w:t>”</w:t>
      </w:r>
      <w:r w:rsidR="00B124D2" w:rsidRPr="00BC4AC6">
        <w:rPr>
          <w:rFonts w:cs="Times New Roman"/>
        </w:rPr>
        <w:t xml:space="preserve"> to the readers of financial statements</w:t>
      </w:r>
      <w:r w:rsidR="00387FA5">
        <w:rPr>
          <w:rFonts w:cs="Times New Roman"/>
        </w:rPr>
        <w:t xml:space="preserve"> in English</w:t>
      </w:r>
      <w:r w:rsidR="00B124D2" w:rsidRPr="00BC4AC6">
        <w:rPr>
          <w:rFonts w:cs="Times New Roman"/>
        </w:rPr>
        <w:t xml:space="preserve">. </w:t>
      </w:r>
      <w:r w:rsidR="00490A31">
        <w:rPr>
          <w:rFonts w:cs="Times New Roman"/>
        </w:rPr>
        <w:t>More simply, t</w:t>
      </w:r>
      <w:r w:rsidR="00B124D2" w:rsidRPr="00BC4AC6">
        <w:rPr>
          <w:rFonts w:cs="Times New Roman"/>
        </w:rPr>
        <w:t>he French term for impairment (</w:t>
      </w:r>
      <w:r w:rsidR="00335B93">
        <w:rPr>
          <w:rFonts w:cs="Times New Roman"/>
        </w:rPr>
        <w:t>“</w:t>
      </w:r>
      <w:r w:rsidR="00B124D2" w:rsidRPr="00BC4AC6">
        <w:rPr>
          <w:rFonts w:cs="Times New Roman"/>
          <w:i/>
        </w:rPr>
        <w:t>dépr</w:t>
      </w:r>
      <w:r w:rsidR="005819AC" w:rsidRPr="00BC4AC6">
        <w:rPr>
          <w:rFonts w:cs="Times New Roman"/>
          <w:i/>
        </w:rPr>
        <w:t>é</w:t>
      </w:r>
      <w:r w:rsidR="00B124D2" w:rsidRPr="00BC4AC6">
        <w:rPr>
          <w:rFonts w:cs="Times New Roman"/>
          <w:i/>
        </w:rPr>
        <w:t>ciation</w:t>
      </w:r>
      <w:r w:rsidR="00335B93">
        <w:rPr>
          <w:rFonts w:cs="Times New Roman"/>
        </w:rPr>
        <w:t>”</w:t>
      </w:r>
      <w:r w:rsidR="00B124D2" w:rsidRPr="00BC4AC6">
        <w:rPr>
          <w:rFonts w:cs="Times New Roman"/>
        </w:rPr>
        <w:t xml:space="preserve">) is obviously </w:t>
      </w:r>
      <w:r w:rsidR="00387FA5">
        <w:rPr>
          <w:rFonts w:cs="Times New Roman"/>
        </w:rPr>
        <w:t>a trap for translators</w:t>
      </w:r>
      <w:r w:rsidR="00490A31">
        <w:rPr>
          <w:rFonts w:cs="Times New Roman"/>
        </w:rPr>
        <w:t xml:space="preserve"> of reports</w:t>
      </w:r>
      <w:r w:rsidR="00387FA5">
        <w:rPr>
          <w:rFonts w:cs="Times New Roman"/>
        </w:rPr>
        <w:t>.</w:t>
      </w:r>
      <w:r w:rsidR="00504F90">
        <w:rPr>
          <w:rFonts w:cs="Times New Roman"/>
        </w:rPr>
        <w:t xml:space="preserve"> Consulting the English </w:t>
      </w:r>
      <w:r w:rsidR="00A013E1">
        <w:rPr>
          <w:rFonts w:cs="Times New Roman"/>
        </w:rPr>
        <w:t xml:space="preserve">terms in </w:t>
      </w:r>
      <w:r w:rsidR="00663B9F">
        <w:rPr>
          <w:rFonts w:cs="Times New Roman"/>
        </w:rPr>
        <w:t>source</w:t>
      </w:r>
      <w:r w:rsidR="00504F90">
        <w:rPr>
          <w:rFonts w:cs="Times New Roman"/>
        </w:rPr>
        <w:t xml:space="preserve"> IAS 36 would be useful.</w:t>
      </w:r>
    </w:p>
    <w:p w14:paraId="61BEC14A" w14:textId="6A442D71" w:rsidR="00B124D2" w:rsidRDefault="00B124D2" w:rsidP="00546CA6">
      <w:pPr>
        <w:ind w:firstLine="567"/>
        <w:rPr>
          <w:rFonts w:cs="Times New Roman"/>
        </w:rPr>
      </w:pPr>
      <w:r w:rsidRPr="00BC4AC6">
        <w:rPr>
          <w:rFonts w:cs="Times New Roman"/>
        </w:rPr>
        <w:t xml:space="preserve">There are also implications for analysts and for researchers. </w:t>
      </w:r>
      <w:r w:rsidR="003E7531" w:rsidRPr="00BC4AC6">
        <w:rPr>
          <w:rFonts w:eastAsia="Times New Roman" w:cs="Times New Roman"/>
          <w:lang w:eastAsia="en-GB"/>
        </w:rPr>
        <w:t xml:space="preserve">Analysts </w:t>
      </w:r>
      <w:r w:rsidR="00A013E1">
        <w:rPr>
          <w:rFonts w:eastAsia="Times New Roman" w:cs="Times New Roman"/>
          <w:lang w:eastAsia="en-GB"/>
        </w:rPr>
        <w:t>who read non-English</w:t>
      </w:r>
      <w:r w:rsidR="003E7531">
        <w:rPr>
          <w:rFonts w:eastAsia="Times New Roman" w:cs="Times New Roman"/>
          <w:lang w:eastAsia="en-GB"/>
        </w:rPr>
        <w:t xml:space="preserve"> reports </w:t>
      </w:r>
      <w:r w:rsidR="00C22E38">
        <w:rPr>
          <w:rFonts w:eastAsia="Times New Roman" w:cs="Times New Roman"/>
          <w:lang w:eastAsia="en-GB"/>
        </w:rPr>
        <w:t>prepared under</w:t>
      </w:r>
      <w:r w:rsidR="003E7531">
        <w:rPr>
          <w:rFonts w:eastAsia="Times New Roman" w:cs="Times New Roman"/>
          <w:lang w:eastAsia="en-GB"/>
        </w:rPr>
        <w:t xml:space="preserve"> </w:t>
      </w:r>
      <w:r w:rsidR="000C5B66">
        <w:rPr>
          <w:rFonts w:eastAsia="Times New Roman" w:cs="Times New Roman"/>
          <w:lang w:eastAsia="en-GB"/>
        </w:rPr>
        <w:t>translated</w:t>
      </w:r>
      <w:r w:rsidR="003E7531">
        <w:rPr>
          <w:rFonts w:eastAsia="Times New Roman" w:cs="Times New Roman"/>
          <w:lang w:eastAsia="en-GB"/>
        </w:rPr>
        <w:t xml:space="preserve"> IFRS </w:t>
      </w:r>
      <w:r w:rsidR="003E7531" w:rsidRPr="00BC4AC6">
        <w:rPr>
          <w:rFonts w:eastAsia="Times New Roman" w:cs="Times New Roman"/>
          <w:lang w:eastAsia="en-GB"/>
        </w:rPr>
        <w:t xml:space="preserve">need to be aware </w:t>
      </w:r>
      <w:r w:rsidR="003E7531">
        <w:rPr>
          <w:rFonts w:eastAsia="Times New Roman" w:cs="Times New Roman"/>
          <w:lang w:eastAsia="en-GB"/>
        </w:rPr>
        <w:t>that terminology may be</w:t>
      </w:r>
      <w:r w:rsidR="003E7531" w:rsidRPr="00BC4AC6">
        <w:rPr>
          <w:rFonts w:eastAsia="Times New Roman" w:cs="Times New Roman"/>
          <w:lang w:eastAsia="en-GB"/>
        </w:rPr>
        <w:t xml:space="preserve"> misleading.</w:t>
      </w:r>
      <w:r w:rsidR="003E7531" w:rsidRPr="00BC4AC6">
        <w:rPr>
          <w:rFonts w:cs="Times New Roman"/>
        </w:rPr>
        <w:t xml:space="preserve"> </w:t>
      </w:r>
      <w:r w:rsidRPr="00BC4AC6">
        <w:rPr>
          <w:rFonts w:cs="Times New Roman"/>
        </w:rPr>
        <w:t>Analysts</w:t>
      </w:r>
      <w:r w:rsidR="003E7531">
        <w:rPr>
          <w:rFonts w:cs="Times New Roman"/>
        </w:rPr>
        <w:t xml:space="preserve"> of reports translated into English</w:t>
      </w:r>
      <w:r w:rsidRPr="00BC4AC6">
        <w:rPr>
          <w:rFonts w:cs="Times New Roman"/>
        </w:rPr>
        <w:t xml:space="preserve"> should be aware that many different term</w:t>
      </w:r>
      <w:r w:rsidR="00387FA5">
        <w:rPr>
          <w:rFonts w:cs="Times New Roman"/>
        </w:rPr>
        <w:t xml:space="preserve">s for impairment and its </w:t>
      </w:r>
      <w:r w:rsidRPr="00BC4AC6">
        <w:rPr>
          <w:rFonts w:cs="Times New Roman"/>
        </w:rPr>
        <w:t xml:space="preserve">reversal are in use. </w:t>
      </w:r>
      <w:r w:rsidR="00956D4B">
        <w:rPr>
          <w:rFonts w:cs="Times New Roman"/>
        </w:rPr>
        <w:t>A</w:t>
      </w:r>
      <w:r w:rsidR="00960928">
        <w:rPr>
          <w:rFonts w:cs="Times New Roman"/>
        </w:rPr>
        <w:t>nalysts and r</w:t>
      </w:r>
      <w:r w:rsidRPr="00BC4AC6">
        <w:rPr>
          <w:rFonts w:cs="Times New Roman"/>
        </w:rPr>
        <w:t xml:space="preserve">esearchers </w:t>
      </w:r>
      <w:r w:rsidR="00960928">
        <w:rPr>
          <w:rFonts w:cs="Times New Roman"/>
        </w:rPr>
        <w:t xml:space="preserve">should note </w:t>
      </w:r>
      <w:r w:rsidRPr="00BC4AC6">
        <w:rPr>
          <w:rFonts w:cs="Times New Roman"/>
        </w:rPr>
        <w:t xml:space="preserve">that </w:t>
      </w:r>
      <w:r w:rsidR="008B3356">
        <w:rPr>
          <w:rFonts w:cs="Times New Roman"/>
        </w:rPr>
        <w:t xml:space="preserve">the </w:t>
      </w:r>
      <w:r w:rsidR="00956D4B">
        <w:rPr>
          <w:rFonts w:cs="Times New Roman"/>
        </w:rPr>
        <w:t xml:space="preserve">information </w:t>
      </w:r>
      <w:r w:rsidR="008B3356">
        <w:rPr>
          <w:rFonts w:cs="Times New Roman"/>
        </w:rPr>
        <w:t xml:space="preserve">related to impairment in </w:t>
      </w:r>
      <w:r w:rsidRPr="00BC4AC6">
        <w:rPr>
          <w:rFonts w:cs="Times New Roman"/>
        </w:rPr>
        <w:t xml:space="preserve">international databases </w:t>
      </w:r>
      <w:r w:rsidR="00C21297">
        <w:rPr>
          <w:rFonts w:cs="Times New Roman"/>
        </w:rPr>
        <w:t>is</w:t>
      </w:r>
      <w:r w:rsidR="00647FF6">
        <w:rPr>
          <w:rFonts w:cs="Times New Roman"/>
        </w:rPr>
        <w:t xml:space="preserve"> likely to</w:t>
      </w:r>
      <w:r w:rsidRPr="00BC4AC6">
        <w:rPr>
          <w:rFonts w:cs="Times New Roman"/>
        </w:rPr>
        <w:t xml:space="preserve"> </w:t>
      </w:r>
      <w:r w:rsidR="004D6EB7">
        <w:rPr>
          <w:rFonts w:cs="Times New Roman"/>
        </w:rPr>
        <w:t>contain errors</w:t>
      </w:r>
      <w:r w:rsidRPr="00BC4AC6">
        <w:rPr>
          <w:rFonts w:cs="Times New Roman"/>
        </w:rPr>
        <w:t xml:space="preserve">, and </w:t>
      </w:r>
      <w:r w:rsidR="004D6EB7">
        <w:rPr>
          <w:rFonts w:cs="Times New Roman"/>
        </w:rPr>
        <w:t>we recommend</w:t>
      </w:r>
      <w:r w:rsidRPr="00BC4AC6">
        <w:rPr>
          <w:rFonts w:cs="Times New Roman"/>
        </w:rPr>
        <w:t xml:space="preserve"> that data should be hand-collected and then carefully checked by experts.</w:t>
      </w:r>
    </w:p>
    <w:p w14:paraId="7E79C274" w14:textId="0A85840D" w:rsidR="00BD032E" w:rsidRPr="00BC4AC6" w:rsidRDefault="00124683" w:rsidP="00124683">
      <w:pPr>
        <w:ind w:firstLine="567"/>
        <w:rPr>
          <w:rFonts w:cs="Times New Roman"/>
        </w:rPr>
      </w:pPr>
      <w:r>
        <w:rPr>
          <w:rFonts w:cs="Times New Roman"/>
        </w:rPr>
        <w:t xml:space="preserve">We acknowledge that it was necessary for us to exercise judgement on many matters above. We obtained much expert help, </w:t>
      </w:r>
      <w:r w:rsidR="00983F13">
        <w:rPr>
          <w:rFonts w:cs="Times New Roman"/>
        </w:rPr>
        <w:t xml:space="preserve">but </w:t>
      </w:r>
      <w:r>
        <w:rPr>
          <w:rFonts w:cs="Times New Roman"/>
        </w:rPr>
        <w:t xml:space="preserve">other researchers might come to different conclusions on some issues. </w:t>
      </w:r>
      <w:r w:rsidR="00BD032E">
        <w:rPr>
          <w:rFonts w:cs="Times New Roman"/>
        </w:rPr>
        <w:t>Opportunities for further research include</w:t>
      </w:r>
      <w:r w:rsidR="00B7683B">
        <w:rPr>
          <w:rFonts w:cs="Times New Roman"/>
        </w:rPr>
        <w:t xml:space="preserve"> studies of compliance with IFRS disclosure requirements relating to impairment. </w:t>
      </w:r>
      <w:r w:rsidR="00B7683B" w:rsidRPr="00F2693B">
        <w:rPr>
          <w:rFonts w:cs="Times New Roman"/>
          <w:i/>
        </w:rPr>
        <w:t>Prima facie</w:t>
      </w:r>
      <w:r w:rsidR="00B7683B">
        <w:rPr>
          <w:rFonts w:cs="Times New Roman"/>
        </w:rPr>
        <w:t>, compliance is lax</w:t>
      </w:r>
      <w:r w:rsidR="00D165D2">
        <w:rPr>
          <w:rFonts w:cs="Times New Roman"/>
        </w:rPr>
        <w:t>: impairment is often conflated with depreciation, and impairment</w:t>
      </w:r>
      <w:r w:rsidR="004405A0">
        <w:rPr>
          <w:rFonts w:cs="Times New Roman"/>
        </w:rPr>
        <w:t>s</w:t>
      </w:r>
      <w:r w:rsidR="00D165D2">
        <w:rPr>
          <w:rFonts w:cs="Times New Roman"/>
        </w:rPr>
        <w:t xml:space="preserve"> are often shown net of reversals</w:t>
      </w:r>
      <w:r w:rsidR="00B7683B">
        <w:rPr>
          <w:rFonts w:cs="Times New Roman"/>
        </w:rPr>
        <w:t xml:space="preserve">. It would also be interesting to investigate who translates </w:t>
      </w:r>
      <w:r w:rsidR="00D165D2">
        <w:rPr>
          <w:rFonts w:cs="Times New Roman"/>
        </w:rPr>
        <w:t xml:space="preserve">corporate annual </w:t>
      </w:r>
      <w:r w:rsidR="00B7683B">
        <w:rPr>
          <w:rFonts w:cs="Times New Roman"/>
        </w:rPr>
        <w:t xml:space="preserve">reports (or different parts of </w:t>
      </w:r>
      <w:r w:rsidR="00D165D2">
        <w:rPr>
          <w:rFonts w:cs="Times New Roman"/>
        </w:rPr>
        <w:t xml:space="preserve">the </w:t>
      </w:r>
      <w:r w:rsidR="00B7683B">
        <w:rPr>
          <w:rFonts w:cs="Times New Roman"/>
        </w:rPr>
        <w:t>reports) in order to confirm or deny our intuitions on this.</w:t>
      </w:r>
    </w:p>
    <w:p w14:paraId="17CDA98E" w14:textId="77777777" w:rsidR="008830F0" w:rsidRPr="003066F7" w:rsidRDefault="008830F0" w:rsidP="000E5225">
      <w:pPr>
        <w:pStyle w:val="Heading1"/>
        <w:pageBreakBefore/>
        <w:rPr>
          <w:rFonts w:cs="Times New Roman"/>
          <w:szCs w:val="22"/>
        </w:rPr>
      </w:pPr>
      <w:r w:rsidRPr="003066F7">
        <w:rPr>
          <w:rFonts w:cs="Times New Roman"/>
          <w:szCs w:val="22"/>
        </w:rPr>
        <w:t>References</w:t>
      </w:r>
    </w:p>
    <w:p w14:paraId="47EE74E4" w14:textId="2664910D" w:rsidR="002C678B" w:rsidRDefault="002C678B" w:rsidP="00BC1B1A">
      <w:pPr>
        <w:pStyle w:val="References"/>
      </w:pPr>
      <w:r>
        <w:t>AASB/KASB (201</w:t>
      </w:r>
      <w:r w:rsidR="00764649">
        <w:t>6</w:t>
      </w:r>
      <w:r>
        <w:t xml:space="preserve">) </w:t>
      </w:r>
      <w:r w:rsidRPr="001E1D65">
        <w:rPr>
          <w:i/>
        </w:rPr>
        <w:t xml:space="preserve">Accounting Judgments on Terms of Likelihood in IFRS: </w:t>
      </w:r>
      <w:r w:rsidR="001F557E" w:rsidRPr="001E1D65">
        <w:rPr>
          <w:i/>
        </w:rPr>
        <w:t>Korea and Australia</w:t>
      </w:r>
      <w:r w:rsidR="001F557E">
        <w:t xml:space="preserve">, </w:t>
      </w:r>
      <w:r w:rsidR="002419A0">
        <w:t xml:space="preserve">AASB Research Report No.2, </w:t>
      </w:r>
      <w:r w:rsidR="001F557E">
        <w:t>Australian Accounting Standards Board, Melbourne.</w:t>
      </w:r>
    </w:p>
    <w:p w14:paraId="22073389" w14:textId="77777777" w:rsidR="00E35556" w:rsidRPr="003066F7" w:rsidRDefault="00E35556" w:rsidP="00BC1B1A">
      <w:pPr>
        <w:pStyle w:val="References"/>
      </w:pPr>
      <w:r w:rsidRPr="003066F7">
        <w:t>Aisbitt, S. and Nobes, C.W. (2001)</w:t>
      </w:r>
      <w:r w:rsidR="00C96A58" w:rsidRPr="003066F7">
        <w:t>, “</w:t>
      </w:r>
      <w:r w:rsidRPr="003066F7">
        <w:t xml:space="preserve">The true and fair view requirement in </w:t>
      </w:r>
      <w:r w:rsidR="00C96A58" w:rsidRPr="003066F7">
        <w:t>recent national implementations”</w:t>
      </w:r>
      <w:r w:rsidRPr="003066F7">
        <w:t xml:space="preserve">, </w:t>
      </w:r>
      <w:r w:rsidRPr="003066F7">
        <w:rPr>
          <w:i/>
        </w:rPr>
        <w:t>Accounting and Business Research</w:t>
      </w:r>
      <w:r w:rsidRPr="003066F7">
        <w:t xml:space="preserve">, </w:t>
      </w:r>
      <w:r w:rsidR="00C96A58" w:rsidRPr="003066F7">
        <w:t>Vol. 31</w:t>
      </w:r>
      <w:r w:rsidRPr="003066F7">
        <w:t xml:space="preserve"> No. 2, pp</w:t>
      </w:r>
      <w:r w:rsidR="00C96A58" w:rsidRPr="003066F7">
        <w:t>.</w:t>
      </w:r>
      <w:r w:rsidRPr="003066F7">
        <w:t xml:space="preserve"> 83-90.</w:t>
      </w:r>
    </w:p>
    <w:p w14:paraId="0950C70B" w14:textId="50B77885" w:rsidR="00E35556" w:rsidRDefault="00C96A58" w:rsidP="00BC1B1A">
      <w:pPr>
        <w:pStyle w:val="References"/>
      </w:pPr>
      <w:r w:rsidRPr="00BC4AC6">
        <w:t>Alexander, D. (1993), “A European true and fair view?”</w:t>
      </w:r>
      <w:r w:rsidR="00E35556" w:rsidRPr="00BC4AC6">
        <w:t xml:space="preserve">, </w:t>
      </w:r>
      <w:r w:rsidR="00E35556" w:rsidRPr="00BC4AC6">
        <w:rPr>
          <w:i/>
        </w:rPr>
        <w:t>European Accounting Review</w:t>
      </w:r>
      <w:r w:rsidRPr="00BC4AC6">
        <w:t>, Vol. 2</w:t>
      </w:r>
      <w:r w:rsidR="00E35556" w:rsidRPr="00BC4AC6">
        <w:t xml:space="preserve"> No. 1, pp. </w:t>
      </w:r>
      <w:r w:rsidR="00CC2462">
        <w:t>59</w:t>
      </w:r>
      <w:r w:rsidR="00E35556" w:rsidRPr="00BC4AC6">
        <w:t>-</w:t>
      </w:r>
      <w:r w:rsidR="00CC2462">
        <w:t>80</w:t>
      </w:r>
      <w:r w:rsidR="00E35556" w:rsidRPr="00BC4AC6">
        <w:t>.</w:t>
      </w:r>
    </w:p>
    <w:p w14:paraId="29977476" w14:textId="6CE63F87" w:rsidR="00887E8F" w:rsidRPr="00BC4AC6" w:rsidRDefault="00887E8F" w:rsidP="00BC1B1A">
      <w:pPr>
        <w:pStyle w:val="References"/>
      </w:pPr>
      <w:r>
        <w:t xml:space="preserve">Arden, M. </w:t>
      </w:r>
      <w:r w:rsidR="00366AD2">
        <w:t xml:space="preserve">(1993), </w:t>
      </w:r>
      <w:r w:rsidR="00366AD2" w:rsidRPr="00414AA1">
        <w:rPr>
          <w:i/>
        </w:rPr>
        <w:t>The True and Fair Requirement Opinion</w:t>
      </w:r>
      <w:r w:rsidR="00366AD2">
        <w:t xml:space="preserve">, originally part of the </w:t>
      </w:r>
      <w:r w:rsidR="00366AD2" w:rsidRPr="00414AA1">
        <w:rPr>
          <w:i/>
        </w:rPr>
        <w:t>Foreword to Accounting Standards</w:t>
      </w:r>
      <w:r w:rsidR="00366AD2">
        <w:rPr>
          <w:i/>
        </w:rPr>
        <w:t xml:space="preserve"> </w:t>
      </w:r>
      <w:r w:rsidR="00366AD2" w:rsidRPr="00414AA1">
        <w:t>of the Accounting Standards Board; now available at: https://www.frc.org.uk/FRC-Documents/FRC/True-and-Fair-Opinion,-Arden,-21-April-1993.pdf (accessed 22.12.2016).</w:t>
      </w:r>
    </w:p>
    <w:p w14:paraId="7D834BE1" w14:textId="0B995974" w:rsidR="00004494" w:rsidRPr="00BC4AC6" w:rsidRDefault="00004494" w:rsidP="00BC1B1A">
      <w:pPr>
        <w:pStyle w:val="References"/>
      </w:pPr>
      <w:r w:rsidRPr="00BC4AC6">
        <w:t>Arc</w:t>
      </w:r>
      <w:r w:rsidR="00C96A58" w:rsidRPr="00BC4AC6">
        <w:t>her, S. and McLeay, S. (1991), “</w:t>
      </w:r>
      <w:r w:rsidRPr="00BC4AC6">
        <w:t>Issues in transnational financial reporting: a</w:t>
      </w:r>
      <w:r w:rsidR="00E66D28">
        <w:t xml:space="preserve"> </w:t>
      </w:r>
      <w:r w:rsidR="00C96A58" w:rsidRPr="00BC4AC6">
        <w:t xml:space="preserve">linguistic analysis”, </w:t>
      </w:r>
      <w:r w:rsidRPr="00BC4AC6">
        <w:rPr>
          <w:i/>
          <w:iCs/>
        </w:rPr>
        <w:t>Journal of Multi-Lingual and Multicultural Development</w:t>
      </w:r>
      <w:r w:rsidRPr="00BC4AC6">
        <w:t>,</w:t>
      </w:r>
      <w:r w:rsidR="00E66D28">
        <w:t xml:space="preserve"> </w:t>
      </w:r>
      <w:r w:rsidR="00C96A58" w:rsidRPr="00BC4AC6">
        <w:t>Vol. 12 No. 5</w:t>
      </w:r>
      <w:r w:rsidRPr="00BC4AC6">
        <w:t>, pp. 347-361.</w:t>
      </w:r>
    </w:p>
    <w:p w14:paraId="5972112D" w14:textId="15098046" w:rsidR="00E35556" w:rsidRPr="003066F7" w:rsidRDefault="00E35556" w:rsidP="00BC1B1A">
      <w:pPr>
        <w:pStyle w:val="References"/>
      </w:pPr>
      <w:r w:rsidRPr="003066F7">
        <w:t>Baskerville, R. and Evan</w:t>
      </w:r>
      <w:r w:rsidR="00C82AEF">
        <w:t>s, L. (2011),</w:t>
      </w:r>
      <w:r w:rsidRPr="003066F7">
        <w:t xml:space="preserve"> </w:t>
      </w:r>
      <w:r w:rsidRPr="003066F7">
        <w:rPr>
          <w:i/>
          <w:iCs/>
        </w:rPr>
        <w:t>The Darkeni</w:t>
      </w:r>
      <w:r w:rsidR="00C82AEF">
        <w:rPr>
          <w:i/>
          <w:iCs/>
        </w:rPr>
        <w:t>ng Glass:</w:t>
      </w:r>
      <w:r w:rsidR="006509EA">
        <w:rPr>
          <w:i/>
          <w:iCs/>
        </w:rPr>
        <w:t xml:space="preserve"> </w:t>
      </w:r>
      <w:r w:rsidRPr="003066F7">
        <w:rPr>
          <w:i/>
          <w:iCs/>
        </w:rPr>
        <w:t>Issues for Translation of IFRS</w:t>
      </w:r>
      <w:r w:rsidRPr="003066F7">
        <w:t>. The Institute of Chartered Accountants of Scotland</w:t>
      </w:r>
      <w:r w:rsidR="00C82AEF">
        <w:t>,</w:t>
      </w:r>
      <w:r w:rsidR="00C82AEF" w:rsidRPr="00C82AEF">
        <w:t xml:space="preserve"> </w:t>
      </w:r>
      <w:r w:rsidR="00C82AEF">
        <w:t>Edinburgh</w:t>
      </w:r>
      <w:r w:rsidRPr="003066F7">
        <w:t>.</w:t>
      </w:r>
    </w:p>
    <w:p w14:paraId="1A4C0520" w14:textId="12EB034D" w:rsidR="000009AE" w:rsidRDefault="000009AE" w:rsidP="00BC1B1A">
      <w:pPr>
        <w:pStyle w:val="References"/>
      </w:pPr>
      <w:r>
        <w:t xml:space="preserve">Ballwieser, W. (2001), “Germany – Individual accounts” in D. Ordelheide and KPMG, </w:t>
      </w:r>
      <w:r w:rsidRPr="00B06343">
        <w:rPr>
          <w:i/>
        </w:rPr>
        <w:t>Transnational Accounting</w:t>
      </w:r>
      <w:r>
        <w:t>, Palgrave, Basingstoke, pp. 1217-1351.</w:t>
      </w:r>
    </w:p>
    <w:p w14:paraId="4AE84532" w14:textId="48081C01" w:rsidR="00643F10" w:rsidRPr="00C61056" w:rsidRDefault="00643F10" w:rsidP="00BC1B1A">
      <w:pPr>
        <w:pStyle w:val="References"/>
      </w:pPr>
      <w:r w:rsidRPr="00EF0163">
        <w:t>Camfferman, K., and S.A. Zeff.</w:t>
      </w:r>
      <w:r w:rsidRPr="000D70CE">
        <w:t xml:space="preserve"> </w:t>
      </w:r>
      <w:r>
        <w:t>(</w:t>
      </w:r>
      <w:r w:rsidRPr="000D70CE">
        <w:t>2007),</w:t>
      </w:r>
      <w:r w:rsidRPr="00EF0163">
        <w:t xml:space="preserve"> </w:t>
      </w:r>
      <w:r w:rsidRPr="000D70CE">
        <w:rPr>
          <w:i/>
        </w:rPr>
        <w:t>Financial R</w:t>
      </w:r>
      <w:r w:rsidRPr="00EF0163">
        <w:rPr>
          <w:i/>
        </w:rPr>
        <w:t xml:space="preserve">eporting and </w:t>
      </w:r>
      <w:r w:rsidRPr="000D70CE">
        <w:rPr>
          <w:i/>
        </w:rPr>
        <w:t>Global Capital M</w:t>
      </w:r>
      <w:r w:rsidRPr="00EF0163">
        <w:rPr>
          <w:i/>
        </w:rPr>
        <w:t>arkets</w:t>
      </w:r>
      <w:r w:rsidRPr="000D70CE">
        <w:rPr>
          <w:i/>
        </w:rPr>
        <w:t>: A H</w:t>
      </w:r>
      <w:r w:rsidRPr="00EF0163">
        <w:rPr>
          <w:i/>
        </w:rPr>
        <w:t>istory of the International Accounting Standards Committee, 1973-2000</w:t>
      </w:r>
      <w:r w:rsidRPr="00432478">
        <w:t>,</w:t>
      </w:r>
      <w:r w:rsidRPr="00EF0163">
        <w:t xml:space="preserve"> Oxford University Press</w:t>
      </w:r>
      <w:r>
        <w:t>, Oxford</w:t>
      </w:r>
      <w:r w:rsidRPr="00EF0163">
        <w:t>.</w:t>
      </w:r>
    </w:p>
    <w:p w14:paraId="42F9B08E" w14:textId="4BC2ACB5" w:rsidR="00FB0CC1" w:rsidRDefault="0065547B" w:rsidP="00BC1B1A">
      <w:pPr>
        <w:pStyle w:val="References"/>
      </w:pPr>
      <w:r>
        <w:t>Campbell, D., Beck, A.</w:t>
      </w:r>
      <w:r w:rsidR="00264BC4">
        <w:t>C.</w:t>
      </w:r>
      <w:r>
        <w:t xml:space="preserve"> and Shrives, P. (2005), “A note on comparative language</w:t>
      </w:r>
      <w:r w:rsidR="00E66D28">
        <w:t xml:space="preserve"> </w:t>
      </w:r>
      <w:r>
        <w:t xml:space="preserve">interrogation for content analysis: The example of English vs. German”, </w:t>
      </w:r>
      <w:r w:rsidR="00F47AB5" w:rsidRPr="00B25EA6">
        <w:rPr>
          <w:i/>
        </w:rPr>
        <w:t>British Accounting Review</w:t>
      </w:r>
      <w:r>
        <w:t xml:space="preserve">, </w:t>
      </w:r>
      <w:r w:rsidR="00901024">
        <w:t>Vol. 37</w:t>
      </w:r>
      <w:r>
        <w:t xml:space="preserve"> </w:t>
      </w:r>
      <w:r w:rsidR="00901024">
        <w:t xml:space="preserve">No. 3, </w:t>
      </w:r>
      <w:r>
        <w:t>pp.</w:t>
      </w:r>
      <w:r w:rsidR="00901024">
        <w:t xml:space="preserve"> </w:t>
      </w:r>
      <w:r>
        <w:t>339-350.</w:t>
      </w:r>
    </w:p>
    <w:p w14:paraId="7FF709A1" w14:textId="77777777" w:rsidR="00FB0CC1" w:rsidRDefault="00C952CC" w:rsidP="00BC1B1A">
      <w:pPr>
        <w:pStyle w:val="References"/>
      </w:pPr>
      <w:r w:rsidRPr="00C952CC">
        <w:t xml:space="preserve">Chau, </w:t>
      </w:r>
      <w:r>
        <w:t xml:space="preserve">Simon </w:t>
      </w:r>
      <w:r w:rsidRPr="00C952CC">
        <w:t>S.C. (1984)</w:t>
      </w:r>
      <w:r>
        <w:t>,</w:t>
      </w:r>
      <w:r w:rsidRPr="00C952CC">
        <w:t xml:space="preserve"> “</w:t>
      </w:r>
      <w:r w:rsidR="00F47AB5" w:rsidRPr="00B25EA6">
        <w:t>Hermeneutics</w:t>
      </w:r>
      <w:r>
        <w:t xml:space="preserve"> and the translator: the ontological dimension of t</w:t>
      </w:r>
      <w:r w:rsidRPr="00C952CC">
        <w:t>ranslating</w:t>
      </w:r>
      <w:r>
        <w:t xml:space="preserve">”, </w:t>
      </w:r>
      <w:r w:rsidR="00F47AB5" w:rsidRPr="00B25EA6">
        <w:rPr>
          <w:i/>
        </w:rPr>
        <w:t>Multilingua</w:t>
      </w:r>
      <w:r>
        <w:t>, Vol. 3 No. 2, pp. 71-77.</w:t>
      </w:r>
    </w:p>
    <w:p w14:paraId="227BB11D" w14:textId="7A273903" w:rsidR="007951E5" w:rsidRPr="00C61056" w:rsidRDefault="007951E5" w:rsidP="00BC1B1A">
      <w:pPr>
        <w:pStyle w:val="References"/>
      </w:pPr>
      <w:r>
        <w:t>Cooper, D.</w:t>
      </w:r>
      <w:r w:rsidR="007167C8">
        <w:t>J.</w:t>
      </w:r>
      <w:r>
        <w:t xml:space="preserve"> and Robson, K. (2006), “Accounting, professions and regulation: locating the sites of professionalization”, </w:t>
      </w:r>
      <w:r w:rsidRPr="00E83310">
        <w:rPr>
          <w:i/>
        </w:rPr>
        <w:t>Accounting, Organizations and Society</w:t>
      </w:r>
      <w:r>
        <w:t>, Vol. 31 No. 4-5, pp. 41</w:t>
      </w:r>
      <w:r w:rsidR="007167C8">
        <w:t>5</w:t>
      </w:r>
      <w:r>
        <w:t>-444.</w:t>
      </w:r>
    </w:p>
    <w:p w14:paraId="0B66AFFB" w14:textId="4DC32272" w:rsidR="00D607D4" w:rsidRPr="00392115" w:rsidRDefault="00D607D4" w:rsidP="00BC1B1A">
      <w:pPr>
        <w:pStyle w:val="References"/>
      </w:pPr>
      <w:r w:rsidRPr="00392115">
        <w:t>Dahlgren, J. and Nilsson</w:t>
      </w:r>
      <w:r>
        <w:t>, S.-A. (2012),</w:t>
      </w:r>
      <w:r w:rsidRPr="00392115">
        <w:t xml:space="preserve"> </w:t>
      </w:r>
      <w:r>
        <w:t>“</w:t>
      </w:r>
      <w:r w:rsidRPr="00392115">
        <w:t>Can translations achieve comparability? The case of translating IFRSs into Swedish</w:t>
      </w:r>
      <w:r>
        <w:t xml:space="preserve">”, </w:t>
      </w:r>
      <w:r w:rsidRPr="00392115">
        <w:rPr>
          <w:i/>
        </w:rPr>
        <w:t>Accounting in Europe</w:t>
      </w:r>
      <w:r>
        <w:t xml:space="preserve">, Vol. 9 No. 1, pp. </w:t>
      </w:r>
      <w:r w:rsidRPr="00392115">
        <w:t>39</w:t>
      </w:r>
      <w:r w:rsidR="00FA3BE2">
        <w:t>-</w:t>
      </w:r>
      <w:r w:rsidRPr="00392115">
        <w:t>59.</w:t>
      </w:r>
    </w:p>
    <w:p w14:paraId="660D13B5" w14:textId="14BD2204" w:rsidR="00BD4E9A" w:rsidRPr="00392115" w:rsidRDefault="00BD4E9A" w:rsidP="00BC1B1A">
      <w:pPr>
        <w:pStyle w:val="References"/>
      </w:pPr>
      <w:r>
        <w:t xml:space="preserve">Douglas, S.P. and Craig, C.S. (2007), “Collaborative and iterative translation: an alternative approach to back translation”, </w:t>
      </w:r>
      <w:r w:rsidRPr="00896C2A">
        <w:rPr>
          <w:i/>
        </w:rPr>
        <w:t>Journal of International Marketing</w:t>
      </w:r>
      <w:r>
        <w:t>, Vol. 15 No. 1, pp. 30-43.</w:t>
      </w:r>
    </w:p>
    <w:p w14:paraId="28A83069" w14:textId="57091259" w:rsidR="003A11A4" w:rsidRPr="003A11A4" w:rsidRDefault="003A11A4" w:rsidP="00BC1B1A">
      <w:pPr>
        <w:pStyle w:val="References"/>
      </w:pPr>
      <w:r w:rsidRPr="003A11A4">
        <w:t>Dow, D. and Karunaratna, A. (2006)</w:t>
      </w:r>
      <w:r>
        <w:t>,</w:t>
      </w:r>
      <w:r w:rsidRPr="003A11A4">
        <w:t xml:space="preserve"> </w:t>
      </w:r>
      <w:r>
        <w:t>“</w:t>
      </w:r>
      <w:r w:rsidRPr="003A11A4">
        <w:t>Developing a multidimensional instrument to measure p</w:t>
      </w:r>
      <w:r w:rsidR="00264BC4">
        <w:t>syc</w:t>
      </w:r>
      <w:r w:rsidRPr="003A11A4">
        <w:t>hic distance stimuli</w:t>
      </w:r>
      <w:r>
        <w:t>”,</w:t>
      </w:r>
      <w:r w:rsidRPr="003A11A4">
        <w:t xml:space="preserve"> </w:t>
      </w:r>
      <w:r w:rsidRPr="003A11A4">
        <w:rPr>
          <w:i/>
          <w:iCs/>
        </w:rPr>
        <w:t>Journal of International Business Studies</w:t>
      </w:r>
      <w:r w:rsidRPr="003A11A4">
        <w:t xml:space="preserve">, </w:t>
      </w:r>
      <w:r>
        <w:t xml:space="preserve">Vol. </w:t>
      </w:r>
      <w:r w:rsidRPr="003A11A4">
        <w:t>37</w:t>
      </w:r>
      <w:r>
        <w:t xml:space="preserve"> No. 5</w:t>
      </w:r>
      <w:r w:rsidRPr="003A11A4">
        <w:t xml:space="preserve">, </w:t>
      </w:r>
      <w:r>
        <w:t xml:space="preserve">pp. </w:t>
      </w:r>
      <w:r w:rsidRPr="003A11A4">
        <w:t>578</w:t>
      </w:r>
      <w:r w:rsidR="00FA3BE2">
        <w:t>-</w:t>
      </w:r>
      <w:r w:rsidRPr="003A11A4">
        <w:t>602.</w:t>
      </w:r>
    </w:p>
    <w:p w14:paraId="43C9EE0C" w14:textId="3D261B85" w:rsidR="00C056E8" w:rsidRPr="00047165" w:rsidRDefault="00C056E8" w:rsidP="00BC1B1A">
      <w:pPr>
        <w:pStyle w:val="References"/>
      </w:pPr>
      <w:r>
        <w:t>Dunne, K.J.</w:t>
      </w:r>
      <w:r w:rsidR="00047165">
        <w:t xml:space="preserve"> (2006),</w:t>
      </w:r>
      <w:r w:rsidR="00E538A6">
        <w:t xml:space="preserve"> ‘A Copernican revolution’ in K.J. Dunne (ed.),</w:t>
      </w:r>
      <w:r w:rsidR="00047165">
        <w:t xml:space="preserve"> </w:t>
      </w:r>
      <w:r w:rsidR="00047165">
        <w:rPr>
          <w:i/>
        </w:rPr>
        <w:t>Perspectives on Localization</w:t>
      </w:r>
      <w:r w:rsidR="00047165">
        <w:t xml:space="preserve">, </w:t>
      </w:r>
      <w:r w:rsidR="00E538A6">
        <w:t xml:space="preserve">John </w:t>
      </w:r>
      <w:r w:rsidR="002323A4">
        <w:t>Benjamins</w:t>
      </w:r>
      <w:r w:rsidR="00E538A6">
        <w:t xml:space="preserve"> Publishing</w:t>
      </w:r>
      <w:r w:rsidR="002323A4">
        <w:t xml:space="preserve">, </w:t>
      </w:r>
      <w:r w:rsidR="00047165">
        <w:t>Amsterdam and Philadelphia</w:t>
      </w:r>
      <w:r w:rsidR="00E538A6">
        <w:t>, pp</w:t>
      </w:r>
      <w:r w:rsidR="00FA3BE2">
        <w:t>.</w:t>
      </w:r>
      <w:r w:rsidR="00E538A6">
        <w:t xml:space="preserve"> 1-11</w:t>
      </w:r>
      <w:r w:rsidR="00047165">
        <w:t>.</w:t>
      </w:r>
    </w:p>
    <w:p w14:paraId="7DFEAEAB" w14:textId="6574D0C0" w:rsidR="00D607D4" w:rsidRPr="00392115" w:rsidRDefault="00D607D4" w:rsidP="00BC1B1A">
      <w:pPr>
        <w:pStyle w:val="References"/>
      </w:pPr>
      <w:r w:rsidRPr="00392115">
        <w:t xml:space="preserve">Evans, L. </w:t>
      </w:r>
      <w:r>
        <w:t>(2004),</w:t>
      </w:r>
      <w:r w:rsidRPr="00392115">
        <w:t xml:space="preserve"> </w:t>
      </w:r>
      <w:r>
        <w:t>“</w:t>
      </w:r>
      <w:r w:rsidRPr="00392115">
        <w:t>Language, translation and the problem of interna</w:t>
      </w:r>
      <w:r>
        <w:t>tional accounting communication”,</w:t>
      </w:r>
      <w:r w:rsidRPr="00392115">
        <w:t xml:space="preserve"> </w:t>
      </w:r>
      <w:r w:rsidRPr="00392115">
        <w:rPr>
          <w:i/>
        </w:rPr>
        <w:t>Accounting, Auditing and Accountability Journal</w:t>
      </w:r>
      <w:r>
        <w:t xml:space="preserve">, Vol. 17 No. 2, pp. </w:t>
      </w:r>
      <w:r w:rsidRPr="00392115">
        <w:t>210</w:t>
      </w:r>
      <w:r w:rsidR="00FA3BE2">
        <w:t>-</w:t>
      </w:r>
      <w:r w:rsidR="000337D1">
        <w:t>2</w:t>
      </w:r>
      <w:r w:rsidRPr="00392115">
        <w:t>48.</w:t>
      </w:r>
    </w:p>
    <w:p w14:paraId="2E7FCD69" w14:textId="4BBB4B0C" w:rsidR="00D607D4" w:rsidRDefault="00D607D4" w:rsidP="00BC1B1A">
      <w:pPr>
        <w:pStyle w:val="References"/>
      </w:pPr>
      <w:r w:rsidRPr="00392115">
        <w:t>Evans, L., Baskerville,</w:t>
      </w:r>
      <w:r>
        <w:t xml:space="preserve"> </w:t>
      </w:r>
      <w:r w:rsidRPr="00392115">
        <w:t>R. and Nara</w:t>
      </w:r>
      <w:r>
        <w:t>, K.</w:t>
      </w:r>
      <w:r w:rsidRPr="00392115">
        <w:t xml:space="preserve"> </w:t>
      </w:r>
      <w:r>
        <w:t>(2015),</w:t>
      </w:r>
      <w:r w:rsidRPr="00392115">
        <w:t xml:space="preserve"> </w:t>
      </w:r>
      <w:r>
        <w:t>“</w:t>
      </w:r>
      <w:r w:rsidRPr="00392115">
        <w:t>Colliding worlds: issues relating to language translation in accounting and some lessons from other disciplines</w:t>
      </w:r>
      <w:r>
        <w:t>”,</w:t>
      </w:r>
      <w:r w:rsidRPr="00392115">
        <w:t xml:space="preserve"> </w:t>
      </w:r>
      <w:r w:rsidRPr="00392115">
        <w:rPr>
          <w:i/>
        </w:rPr>
        <w:t>Abacus</w:t>
      </w:r>
      <w:r>
        <w:t>,</w:t>
      </w:r>
      <w:r w:rsidRPr="00392115">
        <w:t xml:space="preserve"> </w:t>
      </w:r>
      <w:r>
        <w:t xml:space="preserve">Vol. </w:t>
      </w:r>
      <w:r w:rsidRPr="00392115">
        <w:t xml:space="preserve">51 </w:t>
      </w:r>
      <w:r>
        <w:t>No. 1, pp.</w:t>
      </w:r>
      <w:r w:rsidRPr="00392115">
        <w:t xml:space="preserve"> 1</w:t>
      </w:r>
      <w:r w:rsidR="00C64E0D">
        <w:t>-</w:t>
      </w:r>
      <w:r w:rsidRPr="00392115">
        <w:t>36.</w:t>
      </w:r>
    </w:p>
    <w:p w14:paraId="1B33C568" w14:textId="395067F2" w:rsidR="008B7A99" w:rsidRPr="00392115" w:rsidRDefault="008B7A99" w:rsidP="00BC1B1A">
      <w:pPr>
        <w:pStyle w:val="References"/>
      </w:pPr>
      <w:r>
        <w:t xml:space="preserve">Fuertes-Olivera, P.A. and Nielsen, S. (2011), “The dynamics of terms in accounting. What the construction of </w:t>
      </w:r>
      <w:r w:rsidR="001A273E">
        <w:t xml:space="preserve">the </w:t>
      </w:r>
      <w:r>
        <w:t xml:space="preserve">accounting dictionaries reveals about metaphorical terms in culture-bound subject fields”, </w:t>
      </w:r>
      <w:r w:rsidRPr="00B06343">
        <w:rPr>
          <w:i/>
        </w:rPr>
        <w:t>Terminol</w:t>
      </w:r>
      <w:r>
        <w:rPr>
          <w:i/>
        </w:rPr>
        <w:t>o</w:t>
      </w:r>
      <w:r w:rsidRPr="00B06343">
        <w:rPr>
          <w:i/>
        </w:rPr>
        <w:t>gy</w:t>
      </w:r>
      <w:r>
        <w:t>, Vol. 17 No. 1, pp. 157-180</w:t>
      </w:r>
      <w:r w:rsidR="000D098D">
        <w:t>.</w:t>
      </w:r>
    </w:p>
    <w:p w14:paraId="7DA0E20D" w14:textId="77777777" w:rsidR="00B25EA6" w:rsidRDefault="00047165" w:rsidP="00BC1B1A">
      <w:pPr>
        <w:pStyle w:val="References"/>
      </w:pPr>
      <w:r>
        <w:t xml:space="preserve">Heidegger, M. (1957), </w:t>
      </w:r>
      <w:r>
        <w:rPr>
          <w:i/>
        </w:rPr>
        <w:t>Der Satz vom Grund</w:t>
      </w:r>
      <w:r w:rsidRPr="00047165">
        <w:t xml:space="preserve">, </w:t>
      </w:r>
      <w:r>
        <w:t>Neske</w:t>
      </w:r>
      <w:r w:rsidR="002323A4">
        <w:t>,</w:t>
      </w:r>
      <w:r w:rsidR="002323A4" w:rsidRPr="002323A4">
        <w:t xml:space="preserve"> </w:t>
      </w:r>
      <w:r w:rsidR="002323A4" w:rsidRPr="006F334A">
        <w:t>Pfullingen</w:t>
      </w:r>
      <w:r w:rsidR="002323A4">
        <w:t>.</w:t>
      </w:r>
    </w:p>
    <w:p w14:paraId="200CFB3F" w14:textId="755C623B" w:rsidR="00612260" w:rsidRDefault="00612260" w:rsidP="00BC1B1A">
      <w:pPr>
        <w:pStyle w:val="References"/>
      </w:pPr>
      <w:r>
        <w:t xml:space="preserve">Hoffmann, S. and Detzen, D. (2013), “The regulation of asset valuation in Germany”, </w:t>
      </w:r>
      <w:r w:rsidRPr="00612260">
        <w:rPr>
          <w:i/>
        </w:rPr>
        <w:t>Accounting History</w:t>
      </w:r>
      <w:r>
        <w:t>, Vol. 18 No. 3, pp. 367-389.</w:t>
      </w:r>
    </w:p>
    <w:p w14:paraId="7431638C" w14:textId="5CEA5D70" w:rsidR="00A67575" w:rsidRPr="00A67575" w:rsidRDefault="00A67575" w:rsidP="00A647A7">
      <w:pPr>
        <w:pStyle w:val="References"/>
      </w:pPr>
      <w:r>
        <w:t xml:space="preserve">Huerta, E., Petrides, Y. and Braun, G.P. (2013), “Translation of IFRS: language as a barrier to comparability”, </w:t>
      </w:r>
      <w:r>
        <w:rPr>
          <w:i/>
          <w:iCs/>
        </w:rPr>
        <w:t>Research in Accounting Regulation</w:t>
      </w:r>
      <w:r>
        <w:t>, Vol. 25 No. 1, pp. 1</w:t>
      </w:r>
      <w:r w:rsidR="002A5EEF" w:rsidRPr="00392115">
        <w:t>-</w:t>
      </w:r>
      <w:r>
        <w:t>12.</w:t>
      </w:r>
    </w:p>
    <w:p w14:paraId="1468FC31" w14:textId="773093D3" w:rsidR="001B670B" w:rsidRDefault="001B670B" w:rsidP="00BC1B1A">
      <w:pPr>
        <w:pStyle w:val="References"/>
      </w:pPr>
      <w:r>
        <w:t xml:space="preserve">IFRS Foundation (2013), </w:t>
      </w:r>
      <w:r w:rsidRPr="00C61056">
        <w:rPr>
          <w:i/>
        </w:rPr>
        <w:t>Translation, Adoption &amp; Copyright Policy</w:t>
      </w:r>
      <w:r>
        <w:t>, IFRS Foundation, London.</w:t>
      </w:r>
    </w:p>
    <w:p w14:paraId="3F8AEDA1" w14:textId="1A9F9555" w:rsidR="00D607D4" w:rsidRPr="00392115" w:rsidRDefault="00D607D4" w:rsidP="00BC1B1A">
      <w:pPr>
        <w:pStyle w:val="References"/>
      </w:pPr>
      <w:r w:rsidRPr="00392115">
        <w:t>IFRS Foundation (2016)</w:t>
      </w:r>
      <w:r>
        <w:t>,</w:t>
      </w:r>
      <w:r w:rsidRPr="00392115">
        <w:t xml:space="preserve"> </w:t>
      </w:r>
      <w:r w:rsidRPr="00534EC2">
        <w:rPr>
          <w:i/>
        </w:rPr>
        <w:t>IFRS Translation Policy</w:t>
      </w:r>
      <w:r>
        <w:t xml:space="preserve">. </w:t>
      </w:r>
      <w:r w:rsidRPr="00392115">
        <w:t>IFRS Foundation</w:t>
      </w:r>
      <w:r>
        <w:t>, London</w:t>
      </w:r>
      <w:r w:rsidRPr="00392115">
        <w:t xml:space="preserve">. Available at: </w:t>
      </w:r>
      <w:hyperlink r:id="rId8" w:history="1">
        <w:r w:rsidRPr="00392115">
          <w:rPr>
            <w:rStyle w:val="Hyperlink"/>
            <w:szCs w:val="22"/>
          </w:rPr>
          <w:t>http://www.ifrs.org/Use-around-the-world/IFRS-translations/Pages/IFRS-translations.aspx</w:t>
        </w:r>
      </w:hyperlink>
      <w:r w:rsidRPr="00392115">
        <w:t xml:space="preserve"> (accessed on 7.7.2016).</w:t>
      </w:r>
    </w:p>
    <w:p w14:paraId="3E54FC4E" w14:textId="77777777" w:rsidR="00D607D4" w:rsidRDefault="00D607D4" w:rsidP="00BC1B1A">
      <w:pPr>
        <w:pStyle w:val="References"/>
      </w:pPr>
      <w:r w:rsidRPr="00392115">
        <w:t>Jeanjean, T., Lesage, C. and Stolowy</w:t>
      </w:r>
      <w:r>
        <w:t>, H. (2010),</w:t>
      </w:r>
      <w:r w:rsidRPr="00392115">
        <w:t xml:space="preserve"> </w:t>
      </w:r>
      <w:r>
        <w:t>“</w:t>
      </w:r>
      <w:r w:rsidRPr="00392115">
        <w:t>Why do you speak English (in your annual report)?</w:t>
      </w:r>
      <w:r>
        <w:t xml:space="preserve">”, </w:t>
      </w:r>
      <w:r w:rsidRPr="00392115">
        <w:rPr>
          <w:i/>
        </w:rPr>
        <w:t>International Journal of Accounting</w:t>
      </w:r>
      <w:r w:rsidRPr="00392115">
        <w:t xml:space="preserve">, </w:t>
      </w:r>
      <w:r>
        <w:t>Vol. 45 No. 2</w:t>
      </w:r>
      <w:r w:rsidRPr="00392115">
        <w:t xml:space="preserve">, </w:t>
      </w:r>
      <w:r>
        <w:t xml:space="preserve">pp. </w:t>
      </w:r>
      <w:r w:rsidRPr="00392115">
        <w:t>200-223.</w:t>
      </w:r>
    </w:p>
    <w:p w14:paraId="5D6021DD" w14:textId="77777777" w:rsidR="00E44F16" w:rsidRDefault="00E44F16" w:rsidP="00BC1B1A">
      <w:pPr>
        <w:pStyle w:val="References"/>
      </w:pPr>
      <w:r w:rsidRPr="00763780">
        <w:t>Jeanjean, T., Stolowy, H., Erkens, M.H.R. &amp; Yohn</w:t>
      </w:r>
      <w:r w:rsidRPr="00E44F16">
        <w:t>, T.L. (2015),</w:t>
      </w:r>
      <w:r w:rsidRPr="00763780">
        <w:t xml:space="preserve"> </w:t>
      </w:r>
      <w:r>
        <w:t>“</w:t>
      </w:r>
      <w:r w:rsidRPr="00763780">
        <w:t>International evidence on the impact of adopting English as</w:t>
      </w:r>
      <w:r w:rsidRPr="00E44F16">
        <w:t xml:space="preserve"> an external reporting language</w:t>
      </w:r>
      <w:r>
        <w:t>”,</w:t>
      </w:r>
      <w:r w:rsidRPr="00763780">
        <w:t xml:space="preserve"> </w:t>
      </w:r>
      <w:r w:rsidRPr="00763780">
        <w:rPr>
          <w:i/>
        </w:rPr>
        <w:t>Journal of International Business Studies</w:t>
      </w:r>
      <w:r w:rsidRPr="00763780">
        <w:t xml:space="preserve">, </w:t>
      </w:r>
      <w:r>
        <w:t xml:space="preserve">Vol. </w:t>
      </w:r>
      <w:r w:rsidRPr="00E44F16">
        <w:t>46 No. 2</w:t>
      </w:r>
      <w:r w:rsidRPr="00763780">
        <w:t xml:space="preserve">, </w:t>
      </w:r>
      <w:r>
        <w:t xml:space="preserve">pp. </w:t>
      </w:r>
      <w:r w:rsidRPr="00763780">
        <w:t>180-205</w:t>
      </w:r>
      <w:r>
        <w:t>.</w:t>
      </w:r>
    </w:p>
    <w:p w14:paraId="7D4F50CC" w14:textId="1361A3A4" w:rsidR="001437FF" w:rsidRDefault="001437FF" w:rsidP="001437FF">
      <w:pPr>
        <w:pStyle w:val="References"/>
      </w:pPr>
      <w:r>
        <w:t xml:space="preserve">KASB (2016), </w:t>
      </w:r>
      <w:r w:rsidRPr="00EB2A6E">
        <w:rPr>
          <w:i/>
        </w:rPr>
        <w:t>IFRS Adoption in Korea – 5 Years’ Experience and Lessons</w:t>
      </w:r>
      <w:r>
        <w:t>, Korean Accounting Standards Board, Seoul.</w:t>
      </w:r>
    </w:p>
    <w:p w14:paraId="31D7C964" w14:textId="2F2353C4" w:rsidR="0060597F" w:rsidRDefault="0060597F" w:rsidP="00BC1B1A">
      <w:pPr>
        <w:pStyle w:val="References"/>
      </w:pPr>
      <w:r>
        <w:t xml:space="preserve">Kettunen, J. (2017), “Interlingual translation of the International Financial Reporting Standards as institutional work”, </w:t>
      </w:r>
      <w:r w:rsidRPr="00C61056">
        <w:rPr>
          <w:i/>
        </w:rPr>
        <w:t>Accounting, Organizations and Society</w:t>
      </w:r>
      <w:r>
        <w:t xml:space="preserve">, </w:t>
      </w:r>
      <w:r w:rsidR="00231D68">
        <w:t>Vol. 56, pp. 38-54</w:t>
      </w:r>
      <w:r>
        <w:t>.</w:t>
      </w:r>
    </w:p>
    <w:p w14:paraId="7EEB6810" w14:textId="60966AC2" w:rsidR="00643F10" w:rsidRPr="00C61056" w:rsidRDefault="00643F10" w:rsidP="00BC1B1A">
      <w:pPr>
        <w:pStyle w:val="References"/>
        <w:rPr>
          <w:lang w:eastAsia="en-GB"/>
        </w:rPr>
      </w:pPr>
      <w:r>
        <w:t xml:space="preserve">Kirsch, R.J. (2006), </w:t>
      </w:r>
      <w:r w:rsidRPr="009F7680">
        <w:rPr>
          <w:i/>
        </w:rPr>
        <w:t>The International Accounting Standards Committee: A Political History</w:t>
      </w:r>
      <w:r>
        <w:t>, Wolters Kluwer, Kingston-upon-Thames.</w:t>
      </w:r>
    </w:p>
    <w:p w14:paraId="4BFFF9D8" w14:textId="77777777" w:rsidR="00D607D4" w:rsidRPr="00392115" w:rsidRDefault="00D607D4" w:rsidP="00BC1B1A">
      <w:pPr>
        <w:pStyle w:val="References"/>
      </w:pPr>
      <w:r w:rsidRPr="00392115">
        <w:t>Kosmala, K. (2005)</w:t>
      </w:r>
      <w:r>
        <w:t>, “</w:t>
      </w:r>
      <w:r w:rsidRPr="00392115">
        <w:t xml:space="preserve">True and fair view or </w:t>
      </w:r>
      <w:r w:rsidRPr="00392115">
        <w:rPr>
          <w:i/>
        </w:rPr>
        <w:t>rzetelny i jasny obraz</w:t>
      </w:r>
      <w:r w:rsidRPr="00392115">
        <w:t>? A</w:t>
      </w:r>
      <w:r>
        <w:t xml:space="preserve"> survey of Polish practitioners”</w:t>
      </w:r>
      <w:r w:rsidRPr="00392115">
        <w:t xml:space="preserve">, </w:t>
      </w:r>
      <w:r w:rsidRPr="00392115">
        <w:rPr>
          <w:i/>
        </w:rPr>
        <w:t>European Accounting Review</w:t>
      </w:r>
      <w:r>
        <w:t>, Vol. 14</w:t>
      </w:r>
      <w:r w:rsidRPr="00392115">
        <w:t xml:space="preserve"> No. 3, pp. 579-602.</w:t>
      </w:r>
    </w:p>
    <w:p w14:paraId="3620B626" w14:textId="49E1F331" w:rsidR="00D607D4" w:rsidRPr="00EB533F" w:rsidRDefault="00D607D4" w:rsidP="00BC1B1A">
      <w:pPr>
        <w:pStyle w:val="References"/>
        <w:rPr>
          <w:rFonts w:asciiTheme="minorHAnsi" w:hAnsiTheme="minorHAnsi"/>
          <w:sz w:val="24"/>
        </w:rPr>
      </w:pPr>
      <w:r w:rsidRPr="00392115">
        <w:t>Kosmala-MacLullich, K. (2003)</w:t>
      </w:r>
      <w:r>
        <w:t>, “</w:t>
      </w:r>
      <w:r w:rsidRPr="00392115">
        <w:t>The true and fair view construct in the context of the Polish transiti</w:t>
      </w:r>
      <w:r>
        <w:t>on economy: some local insights”</w:t>
      </w:r>
      <w:r w:rsidRPr="00392115">
        <w:t xml:space="preserve">, </w:t>
      </w:r>
      <w:r w:rsidRPr="00392115">
        <w:rPr>
          <w:i/>
        </w:rPr>
        <w:t>European Accounting Review</w:t>
      </w:r>
      <w:r w:rsidRPr="00392115">
        <w:t xml:space="preserve">, Vol. </w:t>
      </w:r>
      <w:r>
        <w:t>12</w:t>
      </w:r>
      <w:r w:rsidRPr="00392115">
        <w:t xml:space="preserve"> No. 3, pp. 56</w:t>
      </w:r>
      <w:r w:rsidR="00264BC4">
        <w:t>5</w:t>
      </w:r>
      <w:r w:rsidRPr="00392115">
        <w:t>-</w:t>
      </w:r>
      <w:r w:rsidR="00FA3BE2">
        <w:t>5</w:t>
      </w:r>
      <w:r w:rsidRPr="00392115">
        <w:t>87.</w:t>
      </w:r>
    </w:p>
    <w:p w14:paraId="1D5856E2" w14:textId="6785B5A1" w:rsidR="00EB533F" w:rsidRPr="00EB533F" w:rsidRDefault="00EB533F" w:rsidP="00BC1B1A">
      <w:pPr>
        <w:pStyle w:val="References"/>
      </w:pPr>
      <w:r w:rsidRPr="00EB533F">
        <w:t xml:space="preserve">Kvaal, E. and Nobes, C.W. </w:t>
      </w:r>
      <w:r>
        <w:t>(</w:t>
      </w:r>
      <w:r w:rsidRPr="00EB533F">
        <w:t>2012</w:t>
      </w:r>
      <w:r>
        <w:t>),</w:t>
      </w:r>
      <w:r w:rsidRPr="00EB533F">
        <w:t xml:space="preserve"> </w:t>
      </w:r>
      <w:r>
        <w:t>“</w:t>
      </w:r>
      <w:r w:rsidRPr="00EB533F">
        <w:t>IFRS policy changes and the continuation of national patterns of IFRS practice</w:t>
      </w:r>
      <w:r>
        <w:t>”,</w:t>
      </w:r>
      <w:r w:rsidRPr="00EB533F">
        <w:t xml:space="preserve"> </w:t>
      </w:r>
      <w:r w:rsidRPr="00EB533F">
        <w:rPr>
          <w:i/>
        </w:rPr>
        <w:t>European Accounting Review</w:t>
      </w:r>
      <w:r w:rsidR="00D165D2">
        <w:t xml:space="preserve">, Vol. </w:t>
      </w:r>
      <w:r w:rsidRPr="00EB533F">
        <w:t>21</w:t>
      </w:r>
      <w:r w:rsidR="00D165D2">
        <w:t xml:space="preserve"> No. </w:t>
      </w:r>
      <w:r w:rsidRPr="00EB533F">
        <w:t>2</w:t>
      </w:r>
      <w:r w:rsidR="00D165D2">
        <w:t>, pp.</w:t>
      </w:r>
      <w:r w:rsidRPr="00EB533F">
        <w:t xml:space="preserve"> 343-</w:t>
      </w:r>
      <w:r w:rsidR="00FA3BE2">
        <w:t>3</w:t>
      </w:r>
      <w:r w:rsidRPr="00EB533F">
        <w:t>71.</w:t>
      </w:r>
    </w:p>
    <w:p w14:paraId="22D5C200" w14:textId="77777777" w:rsidR="00125FEA" w:rsidRDefault="00125FEA" w:rsidP="00BC1B1A">
      <w:pPr>
        <w:pStyle w:val="References"/>
      </w:pPr>
      <w:r>
        <w:t xml:space="preserve">Moore, M. (2008), </w:t>
      </w:r>
      <w:r w:rsidRPr="00125FEA">
        <w:rPr>
          <w:i/>
        </w:rPr>
        <w:t>The True and Fair Requirement Revisited</w:t>
      </w:r>
      <w:r>
        <w:t>, Financial Reporting Council, London.</w:t>
      </w:r>
    </w:p>
    <w:p w14:paraId="19815C48" w14:textId="7CE6D2B5" w:rsidR="00AD1C76" w:rsidRDefault="00AD1C76" w:rsidP="00BC1B1A">
      <w:pPr>
        <w:pStyle w:val="References"/>
      </w:pPr>
      <w:r>
        <w:t xml:space="preserve">Mourier, L. (2004), “Communicating financial reporting across continents”, </w:t>
      </w:r>
      <w:r w:rsidRPr="00896C2A">
        <w:rPr>
          <w:i/>
        </w:rPr>
        <w:t>Hermes Journal of Linguistics</w:t>
      </w:r>
      <w:r>
        <w:t xml:space="preserve">, </w:t>
      </w:r>
      <w:r w:rsidR="00BD663F">
        <w:t xml:space="preserve">Vol. </w:t>
      </w:r>
      <w:r>
        <w:t>32, pp. 145-165.</w:t>
      </w:r>
    </w:p>
    <w:p w14:paraId="3E3FDABC" w14:textId="77777777" w:rsidR="00D607D4" w:rsidRPr="00392115" w:rsidRDefault="00D607D4" w:rsidP="00BC1B1A">
      <w:pPr>
        <w:pStyle w:val="References"/>
      </w:pPr>
      <w:r w:rsidRPr="00392115">
        <w:t>Nobes, C.W. (1993)</w:t>
      </w:r>
      <w:r>
        <w:t>, “</w:t>
      </w:r>
      <w:r w:rsidRPr="00392115">
        <w:t>The true and fair view requirement: impact on and of the fourth Directi</w:t>
      </w:r>
      <w:r>
        <w:t>ve”</w:t>
      </w:r>
      <w:r w:rsidRPr="00392115">
        <w:t xml:space="preserve">, </w:t>
      </w:r>
      <w:r w:rsidRPr="00392115">
        <w:rPr>
          <w:i/>
        </w:rPr>
        <w:t>Accounting and Business Research</w:t>
      </w:r>
      <w:r>
        <w:t>, Vol. 24</w:t>
      </w:r>
      <w:r w:rsidRPr="00392115">
        <w:t xml:space="preserve"> No. 93, pp.</w:t>
      </w:r>
      <w:r>
        <w:t xml:space="preserve"> </w:t>
      </w:r>
      <w:r w:rsidRPr="00392115">
        <w:t>35-48.</w:t>
      </w:r>
    </w:p>
    <w:p w14:paraId="2AC54A74" w14:textId="0EB2D2B9" w:rsidR="00643F10" w:rsidRDefault="00D607D4" w:rsidP="00BC1B1A">
      <w:pPr>
        <w:pStyle w:val="References"/>
      </w:pPr>
      <w:r w:rsidRPr="00392115">
        <w:t xml:space="preserve">Nobes, C.W. </w:t>
      </w:r>
      <w:r>
        <w:t>(2006),</w:t>
      </w:r>
      <w:r w:rsidRPr="00392115">
        <w:t xml:space="preserve"> </w:t>
      </w:r>
      <w:r>
        <w:t>“</w:t>
      </w:r>
      <w:r w:rsidRPr="00392115">
        <w:t xml:space="preserve">The survival of international differences under </w:t>
      </w:r>
      <w:r>
        <w:t xml:space="preserve">IFRS: towards a research agenda”, </w:t>
      </w:r>
      <w:r w:rsidRPr="00392115">
        <w:rPr>
          <w:i/>
        </w:rPr>
        <w:t>Accounting and Business Research</w:t>
      </w:r>
      <w:r>
        <w:rPr>
          <w:i/>
        </w:rPr>
        <w:t xml:space="preserve">, </w:t>
      </w:r>
      <w:r>
        <w:t xml:space="preserve">Vol. </w:t>
      </w:r>
      <w:r w:rsidRPr="00392115">
        <w:t xml:space="preserve">36 </w:t>
      </w:r>
      <w:r>
        <w:t xml:space="preserve">No. 3, pp. </w:t>
      </w:r>
      <w:r w:rsidRPr="00392115">
        <w:t>233</w:t>
      </w:r>
      <w:r w:rsidR="00FA3BE2">
        <w:t>-2</w:t>
      </w:r>
      <w:r w:rsidRPr="00392115">
        <w:t>45.</w:t>
      </w:r>
    </w:p>
    <w:p w14:paraId="028809C9" w14:textId="2EF990FA" w:rsidR="00FC0265" w:rsidRDefault="00FC0265" w:rsidP="00BC1B1A">
      <w:pPr>
        <w:pStyle w:val="References"/>
      </w:pPr>
      <w:r>
        <w:t xml:space="preserve">Nobes, C.W. (2012), “On the definitions of income and revenue in IFRS”, </w:t>
      </w:r>
      <w:r w:rsidRPr="00D93B07">
        <w:rPr>
          <w:i/>
        </w:rPr>
        <w:t>Accounting in Europe</w:t>
      </w:r>
      <w:r>
        <w:t>, Vol. 9 No. 1, pp. 85-94.</w:t>
      </w:r>
    </w:p>
    <w:p w14:paraId="1A67A775" w14:textId="7D63A051" w:rsidR="00D607D4" w:rsidRDefault="00D607D4" w:rsidP="00BC1B1A">
      <w:pPr>
        <w:pStyle w:val="References"/>
      </w:pPr>
      <w:r w:rsidRPr="00392115">
        <w:t xml:space="preserve">Nobes, C.W. and Parker, R.H. (2010), </w:t>
      </w:r>
      <w:r w:rsidRPr="00392115">
        <w:rPr>
          <w:i/>
        </w:rPr>
        <w:t>Comparative International Accounting</w:t>
      </w:r>
      <w:r>
        <w:t>.</w:t>
      </w:r>
      <w:r w:rsidRPr="00392115">
        <w:t xml:space="preserve"> 11</w:t>
      </w:r>
      <w:r w:rsidRPr="00392115">
        <w:rPr>
          <w:vertAlign w:val="superscript"/>
        </w:rPr>
        <w:t>th</w:t>
      </w:r>
      <w:r w:rsidRPr="00392115">
        <w:t xml:space="preserve"> edition, Pearson, Harlow.</w:t>
      </w:r>
    </w:p>
    <w:p w14:paraId="4E85A6DF" w14:textId="77777777" w:rsidR="006A5CE3" w:rsidRDefault="006A5CE3" w:rsidP="00BC1B1A">
      <w:pPr>
        <w:pStyle w:val="References"/>
      </w:pPr>
      <w:r>
        <w:t xml:space="preserve">Ordelheide, D. (1990), ‘Soft-transformations of accounting rules of the 4th Directive in Germany’, </w:t>
      </w:r>
      <w:r w:rsidR="00F47AB5" w:rsidRPr="00B25EA6">
        <w:rPr>
          <w:i/>
        </w:rPr>
        <w:t>Les Cahiers Internationaux de la Comptabilit</w:t>
      </w:r>
      <w:r>
        <w:rPr>
          <w:i/>
        </w:rPr>
        <w:t>é</w:t>
      </w:r>
      <w:r>
        <w:t>, Editions Comptables Malesherbes, No. 3, pp. 1-15.</w:t>
      </w:r>
    </w:p>
    <w:p w14:paraId="03FF18FA" w14:textId="74A0217B" w:rsidR="00AE7159" w:rsidRPr="00392115" w:rsidRDefault="00AE7159" w:rsidP="00BC1B1A">
      <w:pPr>
        <w:pStyle w:val="References"/>
      </w:pPr>
      <w:r>
        <w:t>Parker, R.H. (</w:t>
      </w:r>
      <w:r w:rsidRPr="00AE7159">
        <w:t>1994</w:t>
      </w:r>
      <w:r>
        <w:t>),</w:t>
      </w:r>
      <w:r w:rsidRPr="00AE7159">
        <w:t xml:space="preserve"> </w:t>
      </w:r>
      <w:r>
        <w:t>“</w:t>
      </w:r>
      <w:r w:rsidRPr="00AE7159">
        <w:t xml:space="preserve">Finding English words to </w:t>
      </w:r>
      <w:r>
        <w:t xml:space="preserve">talk about accounting concepts”, </w:t>
      </w:r>
      <w:r w:rsidRPr="00AE7159">
        <w:rPr>
          <w:i/>
        </w:rPr>
        <w:t>Accounting, Auditing &amp; Accountability Journal</w:t>
      </w:r>
      <w:r w:rsidRPr="00AE7159">
        <w:t xml:space="preserve">, </w:t>
      </w:r>
      <w:r>
        <w:t>Vol. 7 No. 2</w:t>
      </w:r>
      <w:r w:rsidRPr="00AE7159">
        <w:t xml:space="preserve">, </w:t>
      </w:r>
      <w:r>
        <w:t xml:space="preserve">pp. </w:t>
      </w:r>
      <w:r w:rsidRPr="00AE7159">
        <w:t>70</w:t>
      </w:r>
      <w:r w:rsidR="00FA3BE2">
        <w:t>-</w:t>
      </w:r>
      <w:r w:rsidRPr="00AE7159">
        <w:t>85.</w:t>
      </w:r>
    </w:p>
    <w:p w14:paraId="4EBD4D36" w14:textId="760E4B7E" w:rsidR="00D607D4" w:rsidRDefault="00D607D4" w:rsidP="00BC1B1A">
      <w:pPr>
        <w:pStyle w:val="References"/>
      </w:pPr>
      <w:r w:rsidRPr="009425EB">
        <w:rPr>
          <w:rFonts w:eastAsia="Times New Roman"/>
        </w:rPr>
        <w:t>Parker, R.H. (2000)</w:t>
      </w:r>
      <w:r w:rsidR="009425EB" w:rsidRPr="009425EB">
        <w:rPr>
          <w:rFonts w:eastAsia="Times New Roman"/>
        </w:rPr>
        <w:t xml:space="preserve">, </w:t>
      </w:r>
      <w:r w:rsidR="009425EB" w:rsidRPr="009425EB">
        <w:t xml:space="preserve">“English and other languages of account”, </w:t>
      </w:r>
      <w:r w:rsidR="009425EB" w:rsidRPr="009425EB">
        <w:rPr>
          <w:i/>
        </w:rPr>
        <w:t>English Today</w:t>
      </w:r>
      <w:r w:rsidR="009425EB" w:rsidRPr="009425EB">
        <w:t>, Vol. 16 No. 2,</w:t>
      </w:r>
      <w:r w:rsidR="009425EB">
        <w:t xml:space="preserve"> </w:t>
      </w:r>
      <w:r w:rsidR="009425EB" w:rsidRPr="009425EB">
        <w:t>pp. 43-56.</w:t>
      </w:r>
    </w:p>
    <w:p w14:paraId="01D9823A" w14:textId="7B5157EA" w:rsidR="00D57FB2" w:rsidRDefault="00E56D9B" w:rsidP="00BC1B1A">
      <w:pPr>
        <w:pStyle w:val="References"/>
      </w:pPr>
      <w:r>
        <w:t>Power, M. (2010</w:t>
      </w:r>
      <w:r w:rsidR="00D57FB2">
        <w:t xml:space="preserve">), </w:t>
      </w:r>
      <w:r>
        <w:t xml:space="preserve">“Fair value accounting, financial economics and the transformation of reliability”, </w:t>
      </w:r>
      <w:r w:rsidRPr="00C61056">
        <w:rPr>
          <w:i/>
        </w:rPr>
        <w:t>Accounting and Business Research</w:t>
      </w:r>
      <w:r>
        <w:t>, Vol. 40 No. 3, pp. 197-210.</w:t>
      </w:r>
    </w:p>
    <w:p w14:paraId="4F47F4F2" w14:textId="77777777" w:rsidR="00FB0CC1" w:rsidRDefault="0075476B" w:rsidP="00BC1B1A">
      <w:pPr>
        <w:pStyle w:val="References"/>
      </w:pPr>
      <w:r>
        <w:t xml:space="preserve">Pym, A. (2014), </w:t>
      </w:r>
      <w:r w:rsidR="00F47AB5" w:rsidRPr="00B25EA6">
        <w:rPr>
          <w:i/>
        </w:rPr>
        <w:t>Exploring Translation Theories</w:t>
      </w:r>
      <w:r>
        <w:t xml:space="preserve">, </w:t>
      </w:r>
      <w:r w:rsidR="0049737E">
        <w:t>Routledge, London.</w:t>
      </w:r>
    </w:p>
    <w:p w14:paraId="168CCA13" w14:textId="77777777" w:rsidR="00FB0CC1" w:rsidRDefault="00F54848" w:rsidP="00BC1B1A">
      <w:pPr>
        <w:pStyle w:val="References"/>
      </w:pPr>
      <w:r>
        <w:t xml:space="preserve">Quine, W.V.O. (1969), “Linguistics and philosophy”, in S. Hook (ed.), </w:t>
      </w:r>
      <w:r>
        <w:rPr>
          <w:i/>
        </w:rPr>
        <w:t>Language and Philosophy: A Symposium</w:t>
      </w:r>
      <w:r>
        <w:t xml:space="preserve">, New York University Press, </w:t>
      </w:r>
      <w:r w:rsidR="002323A4">
        <w:t xml:space="preserve">New York, </w:t>
      </w:r>
      <w:r>
        <w:t>pp. 95-98.</w:t>
      </w:r>
    </w:p>
    <w:p w14:paraId="3230EC6E" w14:textId="045450C9" w:rsidR="00D607D4" w:rsidRDefault="00D607D4" w:rsidP="00BC1B1A">
      <w:pPr>
        <w:pStyle w:val="References"/>
      </w:pPr>
      <w:r w:rsidRPr="00392115">
        <w:t xml:space="preserve">Rutherford, B.A. </w:t>
      </w:r>
      <w:r>
        <w:t>(1983),</w:t>
      </w:r>
      <w:r w:rsidRPr="00392115">
        <w:t xml:space="preserve"> </w:t>
      </w:r>
      <w:r>
        <w:t>“</w:t>
      </w:r>
      <w:r w:rsidRPr="00392115">
        <w:t>Spoilt beauty: the true and fair view doctrine in translation</w:t>
      </w:r>
      <w:r>
        <w:t>”,</w:t>
      </w:r>
      <w:r w:rsidRPr="00392115">
        <w:t xml:space="preserve"> </w:t>
      </w:r>
      <w:r w:rsidRPr="00392115">
        <w:rPr>
          <w:i/>
        </w:rPr>
        <w:t xml:space="preserve">British Accounting Review </w:t>
      </w:r>
      <w:r w:rsidRPr="00392115">
        <w:t xml:space="preserve">(then called </w:t>
      </w:r>
      <w:r w:rsidRPr="00392115">
        <w:rPr>
          <w:i/>
        </w:rPr>
        <w:t>AUTA Review)</w:t>
      </w:r>
      <w:r>
        <w:t>,</w:t>
      </w:r>
      <w:r w:rsidRPr="00392115">
        <w:rPr>
          <w:i/>
        </w:rPr>
        <w:t xml:space="preserve"> </w:t>
      </w:r>
      <w:r>
        <w:t xml:space="preserve">Vol. </w:t>
      </w:r>
      <w:r w:rsidRPr="00392115">
        <w:t xml:space="preserve">15 </w:t>
      </w:r>
      <w:r>
        <w:t>No. 1, pp.</w:t>
      </w:r>
      <w:r w:rsidRPr="00392115">
        <w:t xml:space="preserve"> 33</w:t>
      </w:r>
      <w:r w:rsidR="00FA3BE2">
        <w:t>-</w:t>
      </w:r>
      <w:r>
        <w:t>3</w:t>
      </w:r>
      <w:r w:rsidRPr="00392115">
        <w:t>6.</w:t>
      </w:r>
    </w:p>
    <w:p w14:paraId="31ABD9A8" w14:textId="472B869A" w:rsidR="00DA5084" w:rsidRPr="00392115" w:rsidRDefault="00DA5084" w:rsidP="00BC1B1A">
      <w:pPr>
        <w:pStyle w:val="References"/>
        <w:rPr>
          <w:rFonts w:eastAsia="Times New Roman"/>
        </w:rPr>
      </w:pPr>
      <w:r>
        <w:t xml:space="preserve">Rutherford, B.A. (1985), “The true and fair view doctrine: a search for explication”, </w:t>
      </w:r>
      <w:r w:rsidRPr="00722839">
        <w:rPr>
          <w:i/>
        </w:rPr>
        <w:t>Journal of Business Finance and Accounting</w:t>
      </w:r>
      <w:r>
        <w:t>, Vol. 12 No. 4, pp</w:t>
      </w:r>
      <w:r w:rsidR="00D75B07">
        <w:t>.</w:t>
      </w:r>
      <w:r>
        <w:t xml:space="preserve"> 484-494.</w:t>
      </w:r>
    </w:p>
    <w:p w14:paraId="19EB1446" w14:textId="77777777" w:rsidR="00D607D4" w:rsidRPr="00392115" w:rsidRDefault="00D607D4" w:rsidP="00BC1B1A">
      <w:pPr>
        <w:pStyle w:val="References"/>
      </w:pPr>
      <w:r w:rsidRPr="00392115">
        <w:t xml:space="preserve">Saussure, F. de. </w:t>
      </w:r>
      <w:r>
        <w:t>(</w:t>
      </w:r>
      <w:r w:rsidRPr="00392115">
        <w:t>19</w:t>
      </w:r>
      <w:r w:rsidR="001A214F">
        <w:t>10</w:t>
      </w:r>
      <w:r>
        <w:t>),</w:t>
      </w:r>
      <w:r w:rsidRPr="00392115">
        <w:rPr>
          <w:i/>
        </w:rPr>
        <w:t xml:space="preserve"> </w:t>
      </w:r>
      <w:r w:rsidR="001A214F">
        <w:rPr>
          <w:i/>
        </w:rPr>
        <w:t>Troisième</w:t>
      </w:r>
      <w:r w:rsidR="008941CB">
        <w:rPr>
          <w:i/>
        </w:rPr>
        <w:t xml:space="preserve"> </w:t>
      </w:r>
      <w:r w:rsidRPr="00392115">
        <w:rPr>
          <w:i/>
        </w:rPr>
        <w:t xml:space="preserve">Cours de </w:t>
      </w:r>
      <w:r w:rsidR="008941CB">
        <w:rPr>
          <w:i/>
        </w:rPr>
        <w:t>L</w:t>
      </w:r>
      <w:r w:rsidRPr="00392115">
        <w:rPr>
          <w:i/>
        </w:rPr>
        <w:t xml:space="preserve">inguistique </w:t>
      </w:r>
      <w:r w:rsidR="008941CB">
        <w:rPr>
          <w:i/>
        </w:rPr>
        <w:t>G</w:t>
      </w:r>
      <w:r w:rsidRPr="00392115">
        <w:rPr>
          <w:i/>
        </w:rPr>
        <w:t>énérale</w:t>
      </w:r>
      <w:r w:rsidR="00DE6E9A">
        <w:rPr>
          <w:i/>
        </w:rPr>
        <w:t xml:space="preserve"> (1910-1911)</w:t>
      </w:r>
      <w:r>
        <w:t xml:space="preserve">. </w:t>
      </w:r>
      <w:r w:rsidR="008941CB">
        <w:t xml:space="preserve">As edited and </w:t>
      </w:r>
      <w:r w:rsidRPr="00392115">
        <w:t xml:space="preserve">translated </w:t>
      </w:r>
      <w:r w:rsidR="008941CB">
        <w:t xml:space="preserve">by E. Komatsu and </w:t>
      </w:r>
      <w:r w:rsidR="001A214F">
        <w:t>R. Harris</w:t>
      </w:r>
      <w:r w:rsidR="008941CB">
        <w:t xml:space="preserve"> </w:t>
      </w:r>
      <w:r w:rsidRPr="00392115">
        <w:t xml:space="preserve">as </w:t>
      </w:r>
      <w:r w:rsidR="008941CB" w:rsidRPr="00CB50B3">
        <w:rPr>
          <w:i/>
        </w:rPr>
        <w:t xml:space="preserve">Saussure’s </w:t>
      </w:r>
      <w:r w:rsidR="001A214F" w:rsidRPr="00CB50B3">
        <w:rPr>
          <w:i/>
        </w:rPr>
        <w:t>Third</w:t>
      </w:r>
      <w:r w:rsidR="008941CB">
        <w:t xml:space="preserve"> </w:t>
      </w:r>
      <w:r w:rsidRPr="00392115">
        <w:rPr>
          <w:i/>
        </w:rPr>
        <w:t xml:space="preserve">Course </w:t>
      </w:r>
      <w:r w:rsidR="008941CB">
        <w:rPr>
          <w:i/>
        </w:rPr>
        <w:t>of Lectures on</w:t>
      </w:r>
      <w:r w:rsidRPr="00392115">
        <w:rPr>
          <w:i/>
        </w:rPr>
        <w:t xml:space="preserve"> </w:t>
      </w:r>
      <w:r w:rsidR="008941CB">
        <w:rPr>
          <w:i/>
        </w:rPr>
        <w:t>G</w:t>
      </w:r>
      <w:r w:rsidRPr="00392115">
        <w:rPr>
          <w:i/>
        </w:rPr>
        <w:t xml:space="preserve">eneral </w:t>
      </w:r>
      <w:r w:rsidR="008941CB">
        <w:rPr>
          <w:i/>
        </w:rPr>
        <w:t>L</w:t>
      </w:r>
      <w:r w:rsidRPr="00392115">
        <w:rPr>
          <w:i/>
        </w:rPr>
        <w:t>inguistics</w:t>
      </w:r>
      <w:r>
        <w:t xml:space="preserve">. </w:t>
      </w:r>
      <w:r w:rsidR="00D33AEA">
        <w:t xml:space="preserve">Pergamon, London, </w:t>
      </w:r>
      <w:r w:rsidR="008941CB">
        <w:t>199</w:t>
      </w:r>
      <w:r w:rsidR="001A214F">
        <w:t>3</w:t>
      </w:r>
      <w:r w:rsidRPr="00392115">
        <w:t>.</w:t>
      </w:r>
    </w:p>
    <w:p w14:paraId="3B908639" w14:textId="09F34A8E" w:rsidR="00381DF4" w:rsidRDefault="00381DF4" w:rsidP="00BC1B1A">
      <w:pPr>
        <w:pStyle w:val="References"/>
      </w:pPr>
      <w:r w:rsidRPr="00381DF4">
        <w:t xml:space="preserve">Schäffner, C. (2001), </w:t>
      </w:r>
      <w:r w:rsidR="00335B93">
        <w:t>“</w:t>
      </w:r>
      <w:r w:rsidRPr="00381DF4">
        <w:t>Skopos Theory</w:t>
      </w:r>
      <w:r w:rsidR="00335B93">
        <w:t>”</w:t>
      </w:r>
      <w:r w:rsidRPr="00381DF4">
        <w:t xml:space="preserve">, in M. Baker (ed.), </w:t>
      </w:r>
      <w:r w:rsidRPr="00381DF4">
        <w:rPr>
          <w:i/>
          <w:iCs/>
        </w:rPr>
        <w:t>Routledge Encyclopedia of Translation Studies</w:t>
      </w:r>
      <w:r>
        <w:t>, Routledge, London</w:t>
      </w:r>
      <w:r w:rsidRPr="00381DF4">
        <w:t>, pp. 235</w:t>
      </w:r>
      <w:r w:rsidR="00FA3BE2">
        <w:t>-2</w:t>
      </w:r>
      <w:r w:rsidRPr="00381DF4">
        <w:t>38.</w:t>
      </w:r>
    </w:p>
    <w:p w14:paraId="2EC18AC0" w14:textId="17C7E6BF" w:rsidR="007A7EFD" w:rsidRDefault="00BC1B44" w:rsidP="00BC1B1A">
      <w:pPr>
        <w:pStyle w:val="References"/>
      </w:pPr>
      <w:r>
        <w:t xml:space="preserve">Vermeer, H.J. (2012), “Skopos and commission in translation </w:t>
      </w:r>
      <w:r w:rsidR="007A7EFD">
        <w:t>theory</w:t>
      </w:r>
      <w:r>
        <w:t xml:space="preserve">” in L. Venuti (ed.), </w:t>
      </w:r>
      <w:r>
        <w:rPr>
          <w:i/>
        </w:rPr>
        <w:t>The Translation Studies Reader</w:t>
      </w:r>
      <w:r>
        <w:t xml:space="preserve">, third edition, </w:t>
      </w:r>
      <w:r w:rsidR="002323A4">
        <w:t xml:space="preserve">Routledge, </w:t>
      </w:r>
      <w:r>
        <w:t>London and New York, pp. 191-202.</w:t>
      </w:r>
    </w:p>
    <w:p w14:paraId="6D3C30D5" w14:textId="51F4B959" w:rsidR="00D607D4" w:rsidRDefault="00D607D4" w:rsidP="00BC1B1A">
      <w:pPr>
        <w:pStyle w:val="References"/>
      </w:pPr>
      <w:r w:rsidRPr="00392115">
        <w:t xml:space="preserve">Walton, P. </w:t>
      </w:r>
      <w:r>
        <w:t>(1991),</w:t>
      </w:r>
      <w:r w:rsidR="000337D1">
        <w:rPr>
          <w:i/>
        </w:rPr>
        <w:t xml:space="preserve"> The True and Fair View: A Shifting C</w:t>
      </w:r>
      <w:r w:rsidRPr="00392115">
        <w:rPr>
          <w:i/>
        </w:rPr>
        <w:t xml:space="preserve">oncept. </w:t>
      </w:r>
      <w:r w:rsidRPr="00392115">
        <w:t xml:space="preserve">Occasional Paper No. 7, Association of </w:t>
      </w:r>
      <w:r>
        <w:t>Chartered Certified Accountants,</w:t>
      </w:r>
      <w:r w:rsidRPr="003C0205">
        <w:t xml:space="preserve"> </w:t>
      </w:r>
      <w:r>
        <w:t>London.</w:t>
      </w:r>
    </w:p>
    <w:p w14:paraId="392A4D6C" w14:textId="77777777" w:rsidR="00D607D4" w:rsidRPr="00392115" w:rsidRDefault="00D607D4" w:rsidP="00BC1B1A">
      <w:pPr>
        <w:pStyle w:val="References"/>
      </w:pPr>
      <w:r>
        <w:t>Zeff, S.A.</w:t>
      </w:r>
      <w:r w:rsidRPr="00392115">
        <w:t xml:space="preserve"> </w:t>
      </w:r>
      <w:r>
        <w:t>(2007),</w:t>
      </w:r>
      <w:r w:rsidRPr="00392115">
        <w:t xml:space="preserve"> </w:t>
      </w:r>
      <w:r>
        <w:t>“</w:t>
      </w:r>
      <w:r w:rsidRPr="00392115">
        <w:t>Some obstacles to global financial reporting comparability and converg</w:t>
      </w:r>
      <w:r>
        <w:t>ence at a high level of quality”,</w:t>
      </w:r>
      <w:r w:rsidRPr="00392115">
        <w:t xml:space="preserve"> </w:t>
      </w:r>
      <w:r w:rsidRPr="00392115">
        <w:rPr>
          <w:i/>
        </w:rPr>
        <w:t>British Accounting Review</w:t>
      </w:r>
      <w:r>
        <w:t>, Vol. 39</w:t>
      </w:r>
      <w:r w:rsidRPr="00392115">
        <w:t xml:space="preserve"> No. 4, pp. 290-302.</w:t>
      </w:r>
    </w:p>
    <w:p w14:paraId="26E8ED65" w14:textId="4FC4D40C" w:rsidR="00D607D4" w:rsidRDefault="00D607D4" w:rsidP="00BC1B1A">
      <w:pPr>
        <w:pStyle w:val="References"/>
      </w:pPr>
      <w:r w:rsidRPr="00392115">
        <w:t>Zeff, S.A., Buijink, W. and Camfferman, K. (1999)</w:t>
      </w:r>
      <w:r>
        <w:t>,</w:t>
      </w:r>
      <w:r w:rsidR="00086D63">
        <w:rPr>
          <w:color w:val="231F20"/>
        </w:rPr>
        <w:t xml:space="preserve"> </w:t>
      </w:r>
      <w:r w:rsidR="00086D63" w:rsidRPr="005950C1">
        <w:t>“</w:t>
      </w:r>
      <w:r w:rsidR="00264BC4">
        <w:t>‘</w:t>
      </w:r>
      <w:r w:rsidRPr="005950C1">
        <w:t>True and f</w:t>
      </w:r>
      <w:r w:rsidR="00086D63" w:rsidRPr="005950C1">
        <w:t>air</w:t>
      </w:r>
      <w:r w:rsidR="00264BC4">
        <w:t>’</w:t>
      </w:r>
      <w:r w:rsidRPr="005950C1">
        <w:t xml:space="preserve"> in the Netherlands: inzicht or getrouw beeld?”, </w:t>
      </w:r>
      <w:r w:rsidRPr="005950C1">
        <w:rPr>
          <w:i/>
        </w:rPr>
        <w:t>European Accounting Review</w:t>
      </w:r>
      <w:r w:rsidRPr="005950C1">
        <w:t>, Vol. 8 No. 3, pp. 523</w:t>
      </w:r>
      <w:r w:rsidR="00FA3BE2">
        <w:t>-</w:t>
      </w:r>
      <w:r w:rsidRPr="005950C1">
        <w:t>548.</w:t>
      </w:r>
    </w:p>
    <w:p w14:paraId="578594A6" w14:textId="450A4F54" w:rsidR="00CE7A18" w:rsidRPr="005950C1" w:rsidRDefault="00CE7A18" w:rsidP="00BC1B1A">
      <w:pPr>
        <w:pStyle w:val="References"/>
      </w:pPr>
      <w:r>
        <w:t xml:space="preserve">Zucca, L.J. and Campbell, D.R. (1992), “A closer look at discretionary writedowns of impaired assets”, </w:t>
      </w:r>
      <w:r w:rsidRPr="00B06343">
        <w:rPr>
          <w:i/>
        </w:rPr>
        <w:t>Accounting Horizons</w:t>
      </w:r>
      <w:r>
        <w:t>, Vol. 6 No. 3, pp. 30-41.</w:t>
      </w:r>
    </w:p>
    <w:p w14:paraId="702FB724" w14:textId="0EC47F45" w:rsidR="00E60E0A" w:rsidRPr="00C61056" w:rsidRDefault="00E60E0A" w:rsidP="00502971">
      <w:pPr>
        <w:pageBreakBefore/>
        <w:spacing w:after="0" w:line="240" w:lineRule="auto"/>
        <w:rPr>
          <w:b/>
        </w:rPr>
      </w:pPr>
      <w:r w:rsidRPr="00C61056">
        <w:rPr>
          <w:b/>
        </w:rPr>
        <w:t>Appendix</w:t>
      </w:r>
      <w:r w:rsidR="00CB0428" w:rsidRPr="00C61056">
        <w:rPr>
          <w:b/>
        </w:rPr>
        <w:t xml:space="preserve"> 1</w:t>
      </w:r>
    </w:p>
    <w:p w14:paraId="7191C90D" w14:textId="3BF8650C" w:rsidR="00E60E0A" w:rsidRPr="00CB0428" w:rsidRDefault="00FA66F9" w:rsidP="00E60E0A">
      <w:pPr>
        <w:spacing w:after="0" w:line="240" w:lineRule="auto"/>
        <w:rPr>
          <w:lang w:eastAsia="en-GB"/>
        </w:rPr>
      </w:pPr>
      <w:r>
        <w:rPr>
          <w:lang w:eastAsia="en-GB"/>
        </w:rPr>
        <w:t>Term</w:t>
      </w:r>
      <w:r w:rsidR="00E60E0A" w:rsidRPr="00C61056">
        <w:rPr>
          <w:lang w:eastAsia="en-GB"/>
        </w:rPr>
        <w:t xml:space="preserve">s used for ‘impairment’ in translations of </w:t>
      </w:r>
      <w:r w:rsidR="00B84FF6">
        <w:rPr>
          <w:lang w:eastAsia="en-GB"/>
        </w:rPr>
        <w:t xml:space="preserve">the title of </w:t>
      </w:r>
      <w:r w:rsidR="00E60E0A" w:rsidRPr="00C61056">
        <w:rPr>
          <w:lang w:eastAsia="en-GB"/>
        </w:rPr>
        <w:t xml:space="preserve">IAS 36 and </w:t>
      </w:r>
      <w:r w:rsidR="00B84FF6">
        <w:rPr>
          <w:lang w:eastAsia="en-GB"/>
        </w:rPr>
        <w:t xml:space="preserve">in </w:t>
      </w:r>
      <w:r w:rsidR="00E60E0A" w:rsidRPr="00C61056">
        <w:rPr>
          <w:lang w:eastAsia="en-GB"/>
        </w:rPr>
        <w:t>German law</w:t>
      </w:r>
      <w:r w:rsidR="00456112" w:rsidRPr="00C61056">
        <w:rPr>
          <w:lang w:eastAsia="en-GB"/>
        </w:rPr>
        <w:t xml:space="preserve"> (in</w:t>
      </w:r>
      <w:r w:rsidR="00375C43">
        <w:rPr>
          <w:lang w:eastAsia="en-GB"/>
        </w:rPr>
        <w:t xml:space="preserve"> alphabetical </w:t>
      </w:r>
      <w:r w:rsidR="00456112" w:rsidRPr="00C61056">
        <w:rPr>
          <w:lang w:eastAsia="en-GB"/>
        </w:rPr>
        <w:t>order)</w:t>
      </w:r>
    </w:p>
    <w:p w14:paraId="00DAE400" w14:textId="77777777" w:rsidR="00E60E0A" w:rsidRPr="0026093C" w:rsidRDefault="00E60E0A" w:rsidP="00E60E0A">
      <w:pPr>
        <w:spacing w:after="0" w:line="240" w:lineRule="auto"/>
        <w:rPr>
          <w:lang w:eastAsia="en-GB"/>
        </w:rPr>
      </w:pP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5407"/>
      </w:tblGrid>
      <w:tr w:rsidR="001F784F" w:rsidRPr="00F63030" w14:paraId="4D0F0E29" w14:textId="77777777" w:rsidTr="00FF178D">
        <w:trPr>
          <w:trHeight w:val="227"/>
        </w:trPr>
        <w:tc>
          <w:tcPr>
            <w:tcW w:w="2963" w:type="dxa"/>
            <w:tcBorders>
              <w:top w:val="single" w:sz="4" w:space="0" w:color="auto"/>
            </w:tcBorders>
            <w:shd w:val="clear" w:color="auto" w:fill="auto"/>
            <w:tcMar>
              <w:top w:w="57" w:type="dxa"/>
              <w:left w:w="0" w:type="dxa"/>
              <w:bottom w:w="57" w:type="dxa"/>
              <w:right w:w="0" w:type="dxa"/>
            </w:tcMar>
          </w:tcPr>
          <w:p w14:paraId="322349E2" w14:textId="77777777" w:rsidR="001F784F" w:rsidRPr="00F63030" w:rsidRDefault="001F784F" w:rsidP="00F24FC1">
            <w:pPr>
              <w:spacing w:line="240" w:lineRule="auto"/>
              <w:rPr>
                <w:i/>
                <w:lang w:eastAsia="en-GB"/>
              </w:rPr>
            </w:pPr>
            <w:r w:rsidRPr="00C61056">
              <w:rPr>
                <w:b/>
                <w:lang w:eastAsia="en-GB"/>
              </w:rPr>
              <w:t>Language</w:t>
            </w:r>
          </w:p>
        </w:tc>
        <w:tc>
          <w:tcPr>
            <w:tcW w:w="5407" w:type="dxa"/>
            <w:tcBorders>
              <w:top w:val="single" w:sz="4" w:space="0" w:color="auto"/>
            </w:tcBorders>
            <w:shd w:val="clear" w:color="auto" w:fill="auto"/>
            <w:tcMar>
              <w:top w:w="57" w:type="dxa"/>
              <w:left w:w="0" w:type="dxa"/>
              <w:bottom w:w="57" w:type="dxa"/>
              <w:right w:w="0" w:type="dxa"/>
            </w:tcMar>
          </w:tcPr>
          <w:p w14:paraId="0ED64483" w14:textId="77777777" w:rsidR="001F784F" w:rsidRDefault="001F784F" w:rsidP="00F24FC1">
            <w:pPr>
              <w:spacing w:line="240" w:lineRule="auto"/>
              <w:rPr>
                <w:lang w:eastAsia="en-GB"/>
              </w:rPr>
            </w:pPr>
            <w:r>
              <w:rPr>
                <w:rFonts w:eastAsia="Malgun Gothic" w:cs="Times New Roman"/>
                <w:b/>
              </w:rPr>
              <w:t>Term</w:t>
            </w:r>
          </w:p>
        </w:tc>
      </w:tr>
      <w:tr w:rsidR="001F784F" w:rsidRPr="00F63030" w14:paraId="3BD5FEB9" w14:textId="77777777" w:rsidTr="00FF178D">
        <w:trPr>
          <w:trHeight w:val="227"/>
        </w:trPr>
        <w:tc>
          <w:tcPr>
            <w:tcW w:w="2963" w:type="dxa"/>
            <w:shd w:val="clear" w:color="auto" w:fill="auto"/>
            <w:tcMar>
              <w:top w:w="57" w:type="dxa"/>
              <w:left w:w="0" w:type="dxa"/>
              <w:bottom w:w="57" w:type="dxa"/>
              <w:right w:w="0" w:type="dxa"/>
            </w:tcMar>
          </w:tcPr>
          <w:p w14:paraId="559F1A0D" w14:textId="77777777" w:rsidR="001F784F" w:rsidRPr="00C61056" w:rsidRDefault="001F784F" w:rsidP="00F24FC1">
            <w:pPr>
              <w:spacing w:line="240" w:lineRule="auto"/>
              <w:rPr>
                <w:lang w:eastAsia="en-GB"/>
              </w:rPr>
            </w:pPr>
            <w:r w:rsidRPr="00C61056">
              <w:rPr>
                <w:lang w:eastAsia="en-GB"/>
              </w:rPr>
              <w:t>Arabic</w:t>
            </w:r>
          </w:p>
        </w:tc>
        <w:tc>
          <w:tcPr>
            <w:tcW w:w="5407" w:type="dxa"/>
            <w:shd w:val="clear" w:color="auto" w:fill="auto"/>
            <w:tcMar>
              <w:top w:w="57" w:type="dxa"/>
              <w:left w:w="0" w:type="dxa"/>
              <w:bottom w:w="57" w:type="dxa"/>
              <w:right w:w="0" w:type="dxa"/>
            </w:tcMar>
          </w:tcPr>
          <w:p w14:paraId="53B758C9" w14:textId="77777777" w:rsidR="001F784F" w:rsidRPr="004A0D23" w:rsidRDefault="001F784F" w:rsidP="00731F4C">
            <w:pPr>
              <w:spacing w:line="240" w:lineRule="auto"/>
              <w:rPr>
                <w:rFonts w:cs="Times New Roman"/>
                <w:bCs/>
                <w:i/>
                <w:iCs/>
              </w:rPr>
            </w:pPr>
            <w:r w:rsidRPr="009C4028">
              <w:rPr>
                <w:rFonts w:cs="Times New Roman"/>
              </w:rPr>
              <w:t>إنخفاض قيمة</w:t>
            </w:r>
          </w:p>
        </w:tc>
      </w:tr>
      <w:tr w:rsidR="001F784F" w:rsidRPr="00F63030" w14:paraId="5D00C568" w14:textId="77777777" w:rsidTr="00FF178D">
        <w:trPr>
          <w:trHeight w:val="227"/>
        </w:trPr>
        <w:tc>
          <w:tcPr>
            <w:tcW w:w="2963" w:type="dxa"/>
            <w:shd w:val="clear" w:color="auto" w:fill="auto"/>
            <w:tcMar>
              <w:top w:w="57" w:type="dxa"/>
              <w:left w:w="0" w:type="dxa"/>
              <w:bottom w:w="57" w:type="dxa"/>
              <w:right w:w="0" w:type="dxa"/>
            </w:tcMar>
          </w:tcPr>
          <w:p w14:paraId="1B99C1AC" w14:textId="77777777" w:rsidR="001F784F" w:rsidRPr="00F63030" w:rsidRDefault="001F784F" w:rsidP="00F24FC1">
            <w:pPr>
              <w:spacing w:line="240" w:lineRule="auto"/>
              <w:rPr>
                <w:i/>
                <w:lang w:eastAsia="en-GB"/>
              </w:rPr>
            </w:pPr>
            <w:r w:rsidRPr="00C61056">
              <w:rPr>
                <w:lang w:eastAsia="en-GB"/>
              </w:rPr>
              <w:t>Chinese</w:t>
            </w:r>
          </w:p>
        </w:tc>
        <w:tc>
          <w:tcPr>
            <w:tcW w:w="5407" w:type="dxa"/>
            <w:shd w:val="clear" w:color="auto" w:fill="auto"/>
            <w:tcMar>
              <w:top w:w="57" w:type="dxa"/>
              <w:left w:w="0" w:type="dxa"/>
              <w:bottom w:w="57" w:type="dxa"/>
              <w:right w:w="0" w:type="dxa"/>
            </w:tcMar>
          </w:tcPr>
          <w:p w14:paraId="74A79B61" w14:textId="77777777" w:rsidR="001F784F" w:rsidRDefault="001F784F" w:rsidP="00F24FC1">
            <w:pPr>
              <w:spacing w:line="240" w:lineRule="auto"/>
              <w:rPr>
                <w:lang w:eastAsia="en-GB"/>
              </w:rPr>
            </w:pPr>
            <w:r w:rsidRPr="00BC4AC6">
              <w:rPr>
                <w:rFonts w:eastAsia="SimSun" w:cs="Times New Roman"/>
              </w:rPr>
              <w:t>减值</w:t>
            </w:r>
            <w:r>
              <w:rPr>
                <w:rFonts w:cs="Times New Roman"/>
              </w:rPr>
              <w:t xml:space="preserve"> (pinyin: </w:t>
            </w:r>
            <w:r w:rsidRPr="00BB341B">
              <w:rPr>
                <w:rFonts w:cs="Times New Roman"/>
              </w:rPr>
              <w:t>jiănzhí</w:t>
            </w:r>
            <w:r>
              <w:rPr>
                <w:rFonts w:cs="Times New Roman"/>
              </w:rPr>
              <w:t>)</w:t>
            </w:r>
          </w:p>
        </w:tc>
      </w:tr>
      <w:tr w:rsidR="001F784F" w:rsidRPr="00F63030" w14:paraId="29FB9433" w14:textId="77777777" w:rsidTr="00FF178D">
        <w:trPr>
          <w:trHeight w:val="227"/>
        </w:trPr>
        <w:tc>
          <w:tcPr>
            <w:tcW w:w="2963" w:type="dxa"/>
            <w:shd w:val="clear" w:color="auto" w:fill="auto"/>
            <w:tcMar>
              <w:top w:w="57" w:type="dxa"/>
              <w:left w:w="0" w:type="dxa"/>
              <w:bottom w:w="57" w:type="dxa"/>
              <w:right w:w="0" w:type="dxa"/>
            </w:tcMar>
          </w:tcPr>
          <w:p w14:paraId="01A219A7" w14:textId="77777777" w:rsidR="001F784F" w:rsidRPr="00F63030" w:rsidRDefault="001F784F" w:rsidP="00F24FC1">
            <w:pPr>
              <w:spacing w:line="240" w:lineRule="auto"/>
              <w:rPr>
                <w:i/>
                <w:lang w:eastAsia="en-GB"/>
              </w:rPr>
            </w:pPr>
            <w:r w:rsidRPr="00C61056">
              <w:rPr>
                <w:lang w:eastAsia="en-GB"/>
              </w:rPr>
              <w:t>Danish</w:t>
            </w:r>
          </w:p>
        </w:tc>
        <w:tc>
          <w:tcPr>
            <w:tcW w:w="5407" w:type="dxa"/>
            <w:shd w:val="clear" w:color="auto" w:fill="auto"/>
            <w:tcMar>
              <w:top w:w="57" w:type="dxa"/>
              <w:left w:w="0" w:type="dxa"/>
              <w:bottom w:w="57" w:type="dxa"/>
              <w:right w:w="0" w:type="dxa"/>
            </w:tcMar>
          </w:tcPr>
          <w:p w14:paraId="42BEBA3D" w14:textId="77777777" w:rsidR="001F784F" w:rsidRDefault="001F784F" w:rsidP="00F24FC1">
            <w:pPr>
              <w:spacing w:line="240" w:lineRule="auto"/>
              <w:rPr>
                <w:lang w:eastAsia="en-GB"/>
              </w:rPr>
            </w:pPr>
            <w:r>
              <w:rPr>
                <w:i/>
              </w:rPr>
              <w:t>vaerdiforringelse</w:t>
            </w:r>
          </w:p>
        </w:tc>
      </w:tr>
      <w:tr w:rsidR="001F784F" w:rsidRPr="00F63030" w14:paraId="015DE03B" w14:textId="77777777" w:rsidTr="00FF178D">
        <w:trPr>
          <w:trHeight w:val="227"/>
        </w:trPr>
        <w:tc>
          <w:tcPr>
            <w:tcW w:w="2963" w:type="dxa"/>
            <w:shd w:val="clear" w:color="auto" w:fill="auto"/>
            <w:tcMar>
              <w:top w:w="57" w:type="dxa"/>
              <w:left w:w="0" w:type="dxa"/>
              <w:bottom w:w="57" w:type="dxa"/>
              <w:right w:w="0" w:type="dxa"/>
            </w:tcMar>
          </w:tcPr>
          <w:p w14:paraId="337125E5" w14:textId="2629BBC9" w:rsidR="001F784F" w:rsidRPr="00F63030" w:rsidRDefault="0050345C" w:rsidP="00F24FC1">
            <w:pPr>
              <w:spacing w:line="240" w:lineRule="auto"/>
              <w:rPr>
                <w:i/>
                <w:lang w:eastAsia="en-GB"/>
              </w:rPr>
            </w:pPr>
            <w:r>
              <w:rPr>
                <w:lang w:eastAsia="en-GB"/>
              </w:rPr>
              <w:t>Du</w:t>
            </w:r>
            <w:r w:rsidR="001F784F" w:rsidRPr="00C61056">
              <w:rPr>
                <w:lang w:eastAsia="en-GB"/>
              </w:rPr>
              <w:t>tch</w:t>
            </w:r>
          </w:p>
        </w:tc>
        <w:tc>
          <w:tcPr>
            <w:tcW w:w="5407" w:type="dxa"/>
            <w:shd w:val="clear" w:color="auto" w:fill="auto"/>
            <w:tcMar>
              <w:top w:w="57" w:type="dxa"/>
              <w:left w:w="0" w:type="dxa"/>
              <w:bottom w:w="57" w:type="dxa"/>
              <w:right w:w="0" w:type="dxa"/>
            </w:tcMar>
          </w:tcPr>
          <w:p w14:paraId="16C792F8" w14:textId="77777777" w:rsidR="001F784F" w:rsidRDefault="001F784F" w:rsidP="00F24FC1">
            <w:pPr>
              <w:spacing w:line="240" w:lineRule="auto"/>
              <w:rPr>
                <w:lang w:eastAsia="en-GB"/>
              </w:rPr>
            </w:pPr>
            <w:r w:rsidRPr="00760745">
              <w:rPr>
                <w:rFonts w:cs="Times New Roman"/>
                <w:i/>
                <w:iCs/>
              </w:rPr>
              <w:t>bijzonder</w:t>
            </w:r>
            <w:r>
              <w:rPr>
                <w:rFonts w:cs="Times New Roman"/>
                <w:i/>
                <w:iCs/>
              </w:rPr>
              <w:t>e</w:t>
            </w:r>
            <w:r w:rsidRPr="00760745">
              <w:rPr>
                <w:rFonts w:cs="Times New Roman"/>
                <w:i/>
                <w:iCs/>
              </w:rPr>
              <w:t xml:space="preserve"> waardevermindering</w:t>
            </w:r>
          </w:p>
        </w:tc>
      </w:tr>
      <w:tr w:rsidR="001F784F" w:rsidRPr="00F63030" w14:paraId="2C0C2915" w14:textId="77777777" w:rsidTr="00FF178D">
        <w:trPr>
          <w:trHeight w:val="227"/>
        </w:trPr>
        <w:tc>
          <w:tcPr>
            <w:tcW w:w="2963" w:type="dxa"/>
            <w:shd w:val="clear" w:color="auto" w:fill="auto"/>
            <w:tcMar>
              <w:top w:w="57" w:type="dxa"/>
              <w:left w:w="0" w:type="dxa"/>
              <w:bottom w:w="57" w:type="dxa"/>
              <w:right w:w="0" w:type="dxa"/>
            </w:tcMar>
          </w:tcPr>
          <w:p w14:paraId="096FEA63" w14:textId="77777777" w:rsidR="001F784F" w:rsidRPr="00F63030" w:rsidRDefault="001F784F" w:rsidP="00F24FC1">
            <w:pPr>
              <w:spacing w:line="240" w:lineRule="auto"/>
              <w:rPr>
                <w:i/>
                <w:lang w:eastAsia="en-GB"/>
              </w:rPr>
            </w:pPr>
            <w:r>
              <w:rPr>
                <w:lang w:eastAsia="en-GB"/>
              </w:rPr>
              <w:t>Finnish</w:t>
            </w:r>
          </w:p>
        </w:tc>
        <w:tc>
          <w:tcPr>
            <w:tcW w:w="5407" w:type="dxa"/>
            <w:shd w:val="clear" w:color="auto" w:fill="auto"/>
            <w:tcMar>
              <w:top w:w="57" w:type="dxa"/>
              <w:left w:w="0" w:type="dxa"/>
              <w:bottom w:w="57" w:type="dxa"/>
              <w:right w:w="0" w:type="dxa"/>
            </w:tcMar>
          </w:tcPr>
          <w:p w14:paraId="257F9F3A" w14:textId="77777777" w:rsidR="001F784F" w:rsidRDefault="001F784F" w:rsidP="00F24FC1">
            <w:pPr>
              <w:spacing w:line="240" w:lineRule="auto"/>
              <w:rPr>
                <w:lang w:eastAsia="en-GB"/>
              </w:rPr>
            </w:pPr>
            <w:r w:rsidRPr="003D12C6">
              <w:rPr>
                <w:i/>
              </w:rPr>
              <w:t>arvon alentuminen</w:t>
            </w:r>
          </w:p>
        </w:tc>
      </w:tr>
      <w:tr w:rsidR="001F784F" w:rsidRPr="00F63030" w14:paraId="5D4FCD74" w14:textId="77777777" w:rsidTr="00FF178D">
        <w:trPr>
          <w:trHeight w:val="227"/>
        </w:trPr>
        <w:tc>
          <w:tcPr>
            <w:tcW w:w="2963" w:type="dxa"/>
            <w:shd w:val="clear" w:color="auto" w:fill="auto"/>
            <w:tcMar>
              <w:top w:w="57" w:type="dxa"/>
              <w:left w:w="0" w:type="dxa"/>
              <w:bottom w:w="57" w:type="dxa"/>
              <w:right w:w="0" w:type="dxa"/>
            </w:tcMar>
          </w:tcPr>
          <w:p w14:paraId="6990E4E1" w14:textId="77777777" w:rsidR="001F784F" w:rsidRPr="00F63030" w:rsidRDefault="001F784F" w:rsidP="00F24FC1">
            <w:pPr>
              <w:spacing w:line="240" w:lineRule="auto"/>
              <w:rPr>
                <w:i/>
                <w:lang w:eastAsia="en-GB"/>
              </w:rPr>
            </w:pPr>
            <w:r w:rsidRPr="00C61056">
              <w:rPr>
                <w:lang w:eastAsia="en-GB"/>
              </w:rPr>
              <w:t>French</w:t>
            </w:r>
            <w:r>
              <w:rPr>
                <w:lang w:eastAsia="en-GB"/>
              </w:rPr>
              <w:t xml:space="preserve"> (EU and Canadian)</w:t>
            </w:r>
          </w:p>
        </w:tc>
        <w:tc>
          <w:tcPr>
            <w:tcW w:w="5407" w:type="dxa"/>
            <w:shd w:val="clear" w:color="auto" w:fill="auto"/>
            <w:tcMar>
              <w:top w:w="57" w:type="dxa"/>
              <w:left w:w="0" w:type="dxa"/>
              <w:bottom w:w="57" w:type="dxa"/>
              <w:right w:w="0" w:type="dxa"/>
            </w:tcMar>
          </w:tcPr>
          <w:p w14:paraId="76A9708D" w14:textId="77777777" w:rsidR="001F784F" w:rsidRDefault="001F784F" w:rsidP="00F24FC1">
            <w:pPr>
              <w:spacing w:line="240" w:lineRule="auto"/>
              <w:rPr>
                <w:lang w:eastAsia="en-GB"/>
              </w:rPr>
            </w:pPr>
            <w:r w:rsidRPr="00BC4AC6">
              <w:rPr>
                <w:rFonts w:cs="Times New Roman"/>
                <w:i/>
              </w:rPr>
              <w:t>dépréciation</w:t>
            </w:r>
          </w:p>
        </w:tc>
      </w:tr>
      <w:tr w:rsidR="001F784F" w:rsidRPr="00F63030" w14:paraId="6AF0B3C3" w14:textId="77777777" w:rsidTr="00FF178D">
        <w:trPr>
          <w:trHeight w:val="227"/>
        </w:trPr>
        <w:tc>
          <w:tcPr>
            <w:tcW w:w="2963" w:type="dxa"/>
            <w:shd w:val="clear" w:color="auto" w:fill="auto"/>
            <w:tcMar>
              <w:top w:w="57" w:type="dxa"/>
              <w:left w:w="0" w:type="dxa"/>
              <w:bottom w:w="57" w:type="dxa"/>
              <w:right w:w="0" w:type="dxa"/>
            </w:tcMar>
          </w:tcPr>
          <w:p w14:paraId="5989BB46" w14:textId="77777777" w:rsidR="001F784F" w:rsidRPr="00F63030" w:rsidRDefault="001F784F" w:rsidP="00F24FC1">
            <w:pPr>
              <w:spacing w:line="240" w:lineRule="auto"/>
              <w:rPr>
                <w:i/>
                <w:lang w:eastAsia="en-GB"/>
              </w:rPr>
            </w:pPr>
            <w:r w:rsidRPr="00C61056">
              <w:rPr>
                <w:lang w:eastAsia="en-GB"/>
              </w:rPr>
              <w:t>German</w:t>
            </w:r>
          </w:p>
        </w:tc>
        <w:tc>
          <w:tcPr>
            <w:tcW w:w="5407" w:type="dxa"/>
            <w:shd w:val="clear" w:color="auto" w:fill="auto"/>
            <w:tcMar>
              <w:top w:w="57" w:type="dxa"/>
              <w:left w:w="0" w:type="dxa"/>
              <w:bottom w:w="57" w:type="dxa"/>
              <w:right w:w="0" w:type="dxa"/>
            </w:tcMar>
          </w:tcPr>
          <w:p w14:paraId="13E247FF" w14:textId="77777777" w:rsidR="001F784F" w:rsidRDefault="001F784F" w:rsidP="00F24FC1">
            <w:pPr>
              <w:spacing w:line="240" w:lineRule="auto"/>
              <w:rPr>
                <w:lang w:eastAsia="en-GB"/>
              </w:rPr>
            </w:pPr>
            <w:r w:rsidRPr="00BC4AC6">
              <w:rPr>
                <w:rFonts w:cs="Times New Roman"/>
                <w:i/>
              </w:rPr>
              <w:t>Wertminderung</w:t>
            </w:r>
          </w:p>
        </w:tc>
      </w:tr>
      <w:tr w:rsidR="001F784F" w:rsidRPr="00F63030" w14:paraId="61E8C984" w14:textId="77777777" w:rsidTr="00FF178D">
        <w:trPr>
          <w:trHeight w:val="227"/>
        </w:trPr>
        <w:tc>
          <w:tcPr>
            <w:tcW w:w="2963" w:type="dxa"/>
            <w:shd w:val="clear" w:color="auto" w:fill="auto"/>
            <w:tcMar>
              <w:top w:w="57" w:type="dxa"/>
              <w:left w:w="0" w:type="dxa"/>
              <w:bottom w:w="57" w:type="dxa"/>
              <w:right w:w="0" w:type="dxa"/>
            </w:tcMar>
          </w:tcPr>
          <w:p w14:paraId="2F2D2D89" w14:textId="77777777" w:rsidR="001F784F" w:rsidRPr="00F63030" w:rsidRDefault="001F784F" w:rsidP="00F24FC1">
            <w:pPr>
              <w:spacing w:line="240" w:lineRule="auto"/>
              <w:rPr>
                <w:i/>
                <w:lang w:eastAsia="en-GB"/>
              </w:rPr>
            </w:pPr>
            <w:r w:rsidRPr="00C61056">
              <w:rPr>
                <w:lang w:eastAsia="en-GB"/>
              </w:rPr>
              <w:t>German law</w:t>
            </w:r>
          </w:p>
        </w:tc>
        <w:tc>
          <w:tcPr>
            <w:tcW w:w="5407" w:type="dxa"/>
            <w:shd w:val="clear" w:color="auto" w:fill="auto"/>
            <w:tcMar>
              <w:top w:w="57" w:type="dxa"/>
              <w:left w:w="0" w:type="dxa"/>
              <w:bottom w:w="57" w:type="dxa"/>
              <w:right w:w="0" w:type="dxa"/>
            </w:tcMar>
          </w:tcPr>
          <w:p w14:paraId="7338B79C" w14:textId="77777777" w:rsidR="001F784F" w:rsidRDefault="001F784F" w:rsidP="00F24FC1">
            <w:pPr>
              <w:spacing w:line="240" w:lineRule="auto"/>
              <w:rPr>
                <w:lang w:eastAsia="en-GB"/>
              </w:rPr>
            </w:pPr>
            <w:r w:rsidRPr="00763780">
              <w:rPr>
                <w:i/>
              </w:rPr>
              <w:t>außerplanmäßige Abschreibungen</w:t>
            </w:r>
          </w:p>
        </w:tc>
      </w:tr>
      <w:tr w:rsidR="001F784F" w:rsidRPr="00F63030" w14:paraId="19A49915" w14:textId="77777777" w:rsidTr="00FF178D">
        <w:trPr>
          <w:trHeight w:val="227"/>
        </w:trPr>
        <w:tc>
          <w:tcPr>
            <w:tcW w:w="2963" w:type="dxa"/>
            <w:shd w:val="clear" w:color="auto" w:fill="auto"/>
            <w:tcMar>
              <w:top w:w="57" w:type="dxa"/>
              <w:left w:w="0" w:type="dxa"/>
              <w:bottom w:w="57" w:type="dxa"/>
              <w:right w:w="0" w:type="dxa"/>
            </w:tcMar>
          </w:tcPr>
          <w:p w14:paraId="3A87B1E2" w14:textId="77777777" w:rsidR="001F784F" w:rsidRPr="00F63030" w:rsidRDefault="001F784F" w:rsidP="00F24FC1">
            <w:pPr>
              <w:spacing w:line="240" w:lineRule="auto"/>
              <w:rPr>
                <w:i/>
                <w:lang w:eastAsia="en-GB"/>
              </w:rPr>
            </w:pPr>
            <w:r w:rsidRPr="00C61056">
              <w:rPr>
                <w:lang w:eastAsia="en-GB"/>
              </w:rPr>
              <w:t>Italian</w:t>
            </w:r>
          </w:p>
        </w:tc>
        <w:tc>
          <w:tcPr>
            <w:tcW w:w="5407" w:type="dxa"/>
            <w:shd w:val="clear" w:color="auto" w:fill="auto"/>
            <w:tcMar>
              <w:top w:w="57" w:type="dxa"/>
              <w:left w:w="0" w:type="dxa"/>
              <w:bottom w:w="57" w:type="dxa"/>
              <w:right w:w="0" w:type="dxa"/>
            </w:tcMar>
          </w:tcPr>
          <w:p w14:paraId="02BFF848" w14:textId="77777777" w:rsidR="001F784F" w:rsidRDefault="001F784F" w:rsidP="00F24FC1">
            <w:pPr>
              <w:spacing w:line="240" w:lineRule="auto"/>
              <w:rPr>
                <w:lang w:eastAsia="en-GB"/>
              </w:rPr>
            </w:pPr>
            <w:r w:rsidRPr="00BC4AC6">
              <w:rPr>
                <w:rFonts w:cs="Times New Roman"/>
                <w:i/>
              </w:rPr>
              <w:t>riduzione di valore</w:t>
            </w:r>
          </w:p>
        </w:tc>
      </w:tr>
      <w:tr w:rsidR="001F784F" w:rsidRPr="00F63030" w14:paraId="72F99963" w14:textId="77777777" w:rsidTr="00FF178D">
        <w:trPr>
          <w:trHeight w:val="227"/>
        </w:trPr>
        <w:tc>
          <w:tcPr>
            <w:tcW w:w="2963" w:type="dxa"/>
            <w:shd w:val="clear" w:color="auto" w:fill="auto"/>
            <w:tcMar>
              <w:top w:w="57" w:type="dxa"/>
              <w:left w:w="0" w:type="dxa"/>
              <w:bottom w:w="57" w:type="dxa"/>
              <w:right w:w="0" w:type="dxa"/>
            </w:tcMar>
          </w:tcPr>
          <w:p w14:paraId="5A917393" w14:textId="77777777" w:rsidR="001F784F" w:rsidRPr="00F63030" w:rsidRDefault="001F784F" w:rsidP="00F24FC1">
            <w:pPr>
              <w:spacing w:line="240" w:lineRule="auto"/>
              <w:rPr>
                <w:i/>
                <w:lang w:eastAsia="en-GB"/>
              </w:rPr>
            </w:pPr>
            <w:r w:rsidRPr="00C61056">
              <w:rPr>
                <w:lang w:eastAsia="en-GB"/>
              </w:rPr>
              <w:t>Japanese</w:t>
            </w:r>
          </w:p>
        </w:tc>
        <w:tc>
          <w:tcPr>
            <w:tcW w:w="5407" w:type="dxa"/>
            <w:shd w:val="clear" w:color="auto" w:fill="auto"/>
            <w:tcMar>
              <w:top w:w="57" w:type="dxa"/>
              <w:left w:w="0" w:type="dxa"/>
              <w:bottom w:w="57" w:type="dxa"/>
              <w:right w:w="0" w:type="dxa"/>
            </w:tcMar>
          </w:tcPr>
          <w:p w14:paraId="190BC10C" w14:textId="77777777" w:rsidR="001F784F" w:rsidRPr="00B34484" w:rsidRDefault="001F784F" w:rsidP="00F24FC1">
            <w:pPr>
              <w:spacing w:line="240" w:lineRule="auto"/>
              <w:rPr>
                <w:rFonts w:cs="Times New Roman"/>
                <w:lang w:eastAsia="en-GB"/>
              </w:rPr>
            </w:pPr>
            <w:r w:rsidRPr="009C4028">
              <w:rPr>
                <w:rFonts w:asciiTheme="minorEastAsia" w:eastAsiaTheme="minorEastAsia" w:hAnsiTheme="minorEastAsia" w:cs="Times New Roman" w:hint="eastAsia"/>
              </w:rPr>
              <w:t>減</w:t>
            </w:r>
            <w:r w:rsidRPr="009C4028">
              <w:rPr>
                <w:rFonts w:ascii="SimSun" w:eastAsia="SimSun" w:hAnsi="SimSun" w:cs="SimSun" w:hint="eastAsia"/>
              </w:rPr>
              <w:t>損</w:t>
            </w:r>
          </w:p>
        </w:tc>
      </w:tr>
      <w:tr w:rsidR="001F784F" w:rsidRPr="00F63030" w14:paraId="4C401287" w14:textId="77777777" w:rsidTr="00FF178D">
        <w:trPr>
          <w:trHeight w:val="227"/>
        </w:trPr>
        <w:tc>
          <w:tcPr>
            <w:tcW w:w="2963" w:type="dxa"/>
            <w:shd w:val="clear" w:color="auto" w:fill="auto"/>
            <w:tcMar>
              <w:top w:w="57" w:type="dxa"/>
              <w:left w:w="0" w:type="dxa"/>
              <w:bottom w:w="57" w:type="dxa"/>
              <w:right w:w="0" w:type="dxa"/>
            </w:tcMar>
          </w:tcPr>
          <w:p w14:paraId="6C7E555C" w14:textId="77777777" w:rsidR="001F784F" w:rsidRPr="00F63030" w:rsidRDefault="001F784F" w:rsidP="00F24FC1">
            <w:pPr>
              <w:spacing w:line="240" w:lineRule="auto"/>
              <w:rPr>
                <w:i/>
                <w:lang w:eastAsia="en-GB"/>
              </w:rPr>
            </w:pPr>
            <w:r w:rsidRPr="00C61056">
              <w:rPr>
                <w:lang w:eastAsia="en-GB"/>
              </w:rPr>
              <w:t>Korean</w:t>
            </w:r>
          </w:p>
        </w:tc>
        <w:tc>
          <w:tcPr>
            <w:tcW w:w="5407" w:type="dxa"/>
            <w:shd w:val="clear" w:color="auto" w:fill="auto"/>
            <w:tcMar>
              <w:top w:w="57" w:type="dxa"/>
              <w:left w:w="0" w:type="dxa"/>
              <w:bottom w:w="57" w:type="dxa"/>
              <w:right w:w="0" w:type="dxa"/>
            </w:tcMar>
          </w:tcPr>
          <w:p w14:paraId="459DA7ED" w14:textId="77777777" w:rsidR="001F784F" w:rsidRPr="009C4028" w:rsidRDefault="001F784F" w:rsidP="00F24FC1">
            <w:pPr>
              <w:spacing w:line="240" w:lineRule="auto"/>
              <w:rPr>
                <w:rFonts w:asciiTheme="minorEastAsia" w:eastAsiaTheme="minorEastAsia" w:hAnsiTheme="minorEastAsia" w:cs="Times New Roman"/>
                <w:lang w:eastAsia="en-GB"/>
              </w:rPr>
            </w:pPr>
            <w:r w:rsidRPr="009C4028">
              <w:rPr>
                <w:rFonts w:ascii="Malgun Gothic" w:eastAsiaTheme="minorEastAsia" w:hAnsi="Malgun Gothic" w:cs="Malgun Gothic"/>
              </w:rPr>
              <w:t>손상</w:t>
            </w:r>
          </w:p>
        </w:tc>
      </w:tr>
      <w:tr w:rsidR="001F784F" w:rsidRPr="00F63030" w14:paraId="1E61023E" w14:textId="77777777" w:rsidTr="00FF178D">
        <w:trPr>
          <w:trHeight w:val="227"/>
        </w:trPr>
        <w:tc>
          <w:tcPr>
            <w:tcW w:w="2963" w:type="dxa"/>
            <w:shd w:val="clear" w:color="auto" w:fill="auto"/>
            <w:tcMar>
              <w:top w:w="57" w:type="dxa"/>
              <w:left w:w="0" w:type="dxa"/>
              <w:bottom w:w="57" w:type="dxa"/>
              <w:right w:w="0" w:type="dxa"/>
            </w:tcMar>
          </w:tcPr>
          <w:p w14:paraId="5113A04E" w14:textId="77777777" w:rsidR="001F784F" w:rsidRPr="00F63030" w:rsidRDefault="001F784F" w:rsidP="00F24FC1">
            <w:pPr>
              <w:spacing w:line="240" w:lineRule="auto"/>
              <w:rPr>
                <w:i/>
                <w:lang w:eastAsia="en-GB"/>
              </w:rPr>
            </w:pPr>
            <w:r w:rsidRPr="00C61056">
              <w:rPr>
                <w:lang w:eastAsia="en-GB"/>
              </w:rPr>
              <w:t>Norwegian</w:t>
            </w:r>
          </w:p>
        </w:tc>
        <w:tc>
          <w:tcPr>
            <w:tcW w:w="5407" w:type="dxa"/>
            <w:shd w:val="clear" w:color="auto" w:fill="auto"/>
            <w:tcMar>
              <w:top w:w="57" w:type="dxa"/>
              <w:left w:w="0" w:type="dxa"/>
              <w:bottom w:w="57" w:type="dxa"/>
              <w:right w:w="0" w:type="dxa"/>
            </w:tcMar>
          </w:tcPr>
          <w:p w14:paraId="78F9B350" w14:textId="77777777" w:rsidR="001F784F" w:rsidRDefault="001F784F" w:rsidP="00F24FC1">
            <w:pPr>
              <w:spacing w:line="240" w:lineRule="auto"/>
              <w:rPr>
                <w:lang w:eastAsia="en-GB"/>
              </w:rPr>
            </w:pPr>
            <w:r w:rsidRPr="00B25EA6">
              <w:rPr>
                <w:i/>
              </w:rPr>
              <w:t>verdifall</w:t>
            </w:r>
          </w:p>
        </w:tc>
      </w:tr>
      <w:tr w:rsidR="001F784F" w:rsidRPr="00F63030" w14:paraId="1466FB75" w14:textId="77777777" w:rsidTr="00FF178D">
        <w:trPr>
          <w:trHeight w:val="227"/>
        </w:trPr>
        <w:tc>
          <w:tcPr>
            <w:tcW w:w="2963" w:type="dxa"/>
            <w:shd w:val="clear" w:color="auto" w:fill="auto"/>
            <w:tcMar>
              <w:top w:w="57" w:type="dxa"/>
              <w:left w:w="0" w:type="dxa"/>
              <w:bottom w:w="57" w:type="dxa"/>
              <w:right w:w="0" w:type="dxa"/>
            </w:tcMar>
          </w:tcPr>
          <w:p w14:paraId="0A9FD9DF" w14:textId="77777777" w:rsidR="001F784F" w:rsidRPr="00F63030" w:rsidRDefault="001F784F" w:rsidP="00F24FC1">
            <w:pPr>
              <w:spacing w:line="240" w:lineRule="auto"/>
              <w:rPr>
                <w:i/>
                <w:lang w:eastAsia="en-GB"/>
              </w:rPr>
            </w:pPr>
            <w:r w:rsidRPr="00C61056">
              <w:rPr>
                <w:lang w:eastAsia="en-GB"/>
              </w:rPr>
              <w:t>Polish</w:t>
            </w:r>
          </w:p>
        </w:tc>
        <w:tc>
          <w:tcPr>
            <w:tcW w:w="5407" w:type="dxa"/>
            <w:shd w:val="clear" w:color="auto" w:fill="auto"/>
            <w:tcMar>
              <w:top w:w="57" w:type="dxa"/>
              <w:left w:w="0" w:type="dxa"/>
              <w:bottom w:w="57" w:type="dxa"/>
              <w:right w:w="0" w:type="dxa"/>
            </w:tcMar>
          </w:tcPr>
          <w:p w14:paraId="3175EF38" w14:textId="77777777" w:rsidR="001F784F" w:rsidRDefault="001F784F" w:rsidP="00F24FC1">
            <w:pPr>
              <w:spacing w:line="240" w:lineRule="auto"/>
              <w:rPr>
                <w:lang w:eastAsia="en-GB"/>
              </w:rPr>
            </w:pPr>
            <w:r w:rsidRPr="005950C1">
              <w:rPr>
                <w:i/>
              </w:rPr>
              <w:t>utrata wartości</w:t>
            </w:r>
          </w:p>
        </w:tc>
      </w:tr>
      <w:tr w:rsidR="001F784F" w:rsidRPr="00F63030" w14:paraId="62E76EB7" w14:textId="77777777" w:rsidTr="009C4028">
        <w:trPr>
          <w:trHeight w:val="227"/>
        </w:trPr>
        <w:tc>
          <w:tcPr>
            <w:tcW w:w="2963" w:type="dxa"/>
            <w:shd w:val="clear" w:color="auto" w:fill="auto"/>
            <w:tcMar>
              <w:top w:w="57" w:type="dxa"/>
              <w:left w:w="0" w:type="dxa"/>
              <w:bottom w:w="57" w:type="dxa"/>
              <w:right w:w="0" w:type="dxa"/>
            </w:tcMar>
          </w:tcPr>
          <w:p w14:paraId="4DC96F40" w14:textId="77777777" w:rsidR="001F784F" w:rsidRPr="00F63030" w:rsidRDefault="001F784F" w:rsidP="00F24FC1">
            <w:pPr>
              <w:spacing w:line="240" w:lineRule="auto"/>
              <w:rPr>
                <w:i/>
                <w:lang w:eastAsia="en-GB"/>
              </w:rPr>
            </w:pPr>
            <w:r w:rsidRPr="00C61056">
              <w:rPr>
                <w:lang w:eastAsia="en-GB"/>
              </w:rPr>
              <w:t>Portuguese (Brazilian)</w:t>
            </w:r>
          </w:p>
        </w:tc>
        <w:tc>
          <w:tcPr>
            <w:tcW w:w="5407" w:type="dxa"/>
            <w:shd w:val="clear" w:color="auto" w:fill="auto"/>
            <w:tcMar>
              <w:top w:w="57" w:type="dxa"/>
              <w:left w:w="0" w:type="dxa"/>
              <w:bottom w:w="57" w:type="dxa"/>
              <w:right w:w="0" w:type="dxa"/>
            </w:tcMar>
          </w:tcPr>
          <w:p w14:paraId="43BDC97C" w14:textId="77777777" w:rsidR="001F784F" w:rsidRDefault="001F784F" w:rsidP="00F24FC1">
            <w:pPr>
              <w:spacing w:line="240" w:lineRule="auto"/>
              <w:rPr>
                <w:lang w:eastAsia="en-GB"/>
              </w:rPr>
            </w:pPr>
            <w:r w:rsidRPr="006C0F47">
              <w:rPr>
                <w:rFonts w:cs="Times New Roman"/>
                <w:bCs/>
                <w:i/>
                <w:iCs/>
              </w:rPr>
              <w:t>redução ao valor recuperável</w:t>
            </w:r>
          </w:p>
        </w:tc>
      </w:tr>
      <w:tr w:rsidR="001F784F" w:rsidRPr="00F63030" w14:paraId="5BC3390B" w14:textId="77777777" w:rsidTr="009C4028">
        <w:trPr>
          <w:trHeight w:val="227"/>
        </w:trPr>
        <w:tc>
          <w:tcPr>
            <w:tcW w:w="2963" w:type="dxa"/>
            <w:shd w:val="clear" w:color="auto" w:fill="auto"/>
            <w:tcMar>
              <w:top w:w="57" w:type="dxa"/>
              <w:left w:w="0" w:type="dxa"/>
              <w:bottom w:w="57" w:type="dxa"/>
              <w:right w:w="0" w:type="dxa"/>
            </w:tcMar>
          </w:tcPr>
          <w:p w14:paraId="638F460F" w14:textId="77777777" w:rsidR="001F784F" w:rsidRPr="00F63030" w:rsidRDefault="001F784F" w:rsidP="00F24FC1">
            <w:pPr>
              <w:spacing w:line="240" w:lineRule="auto"/>
              <w:rPr>
                <w:i/>
                <w:lang w:eastAsia="en-GB"/>
              </w:rPr>
            </w:pPr>
            <w:r w:rsidRPr="00C61056">
              <w:rPr>
                <w:lang w:eastAsia="en-GB"/>
              </w:rPr>
              <w:t>Portuguese (EU)</w:t>
            </w:r>
          </w:p>
        </w:tc>
        <w:tc>
          <w:tcPr>
            <w:tcW w:w="5407" w:type="dxa"/>
            <w:shd w:val="clear" w:color="auto" w:fill="auto"/>
            <w:tcMar>
              <w:top w:w="57" w:type="dxa"/>
              <w:left w:w="0" w:type="dxa"/>
              <w:bottom w:w="57" w:type="dxa"/>
              <w:right w:w="0" w:type="dxa"/>
            </w:tcMar>
          </w:tcPr>
          <w:p w14:paraId="0A7F96A7" w14:textId="77777777" w:rsidR="001F784F" w:rsidRPr="00F63030" w:rsidRDefault="001F784F" w:rsidP="00F24FC1">
            <w:pPr>
              <w:spacing w:line="240" w:lineRule="auto"/>
              <w:rPr>
                <w:lang w:eastAsia="en-GB"/>
              </w:rPr>
            </w:pPr>
            <w:r w:rsidRPr="00B25EA6">
              <w:rPr>
                <w:rFonts w:cs="Times New Roman"/>
                <w:i/>
              </w:rPr>
              <w:t>imparidade</w:t>
            </w:r>
          </w:p>
        </w:tc>
      </w:tr>
      <w:tr w:rsidR="001F784F" w:rsidRPr="00F63030" w14:paraId="4EECFED5" w14:textId="77777777" w:rsidTr="009C4028">
        <w:trPr>
          <w:trHeight w:val="227"/>
        </w:trPr>
        <w:tc>
          <w:tcPr>
            <w:tcW w:w="2963" w:type="dxa"/>
            <w:shd w:val="clear" w:color="auto" w:fill="auto"/>
            <w:tcMar>
              <w:top w:w="57" w:type="dxa"/>
              <w:left w:w="0" w:type="dxa"/>
              <w:bottom w:w="57" w:type="dxa"/>
              <w:right w:w="0" w:type="dxa"/>
            </w:tcMar>
          </w:tcPr>
          <w:p w14:paraId="6B70338F" w14:textId="77777777" w:rsidR="001F784F" w:rsidRPr="00F63030" w:rsidRDefault="001F784F" w:rsidP="00F24FC1">
            <w:pPr>
              <w:spacing w:line="240" w:lineRule="auto"/>
              <w:rPr>
                <w:i/>
                <w:lang w:eastAsia="en-GB"/>
              </w:rPr>
            </w:pPr>
            <w:r w:rsidRPr="00C61056">
              <w:rPr>
                <w:lang w:eastAsia="en-GB"/>
              </w:rPr>
              <w:t>Russian</w:t>
            </w:r>
          </w:p>
        </w:tc>
        <w:tc>
          <w:tcPr>
            <w:tcW w:w="5407" w:type="dxa"/>
            <w:shd w:val="clear" w:color="auto" w:fill="auto"/>
            <w:tcMar>
              <w:top w:w="57" w:type="dxa"/>
              <w:left w:w="0" w:type="dxa"/>
              <w:bottom w:w="57" w:type="dxa"/>
              <w:right w:w="0" w:type="dxa"/>
            </w:tcMar>
          </w:tcPr>
          <w:p w14:paraId="4A76E99D" w14:textId="77777777" w:rsidR="001F784F" w:rsidRDefault="001F784F" w:rsidP="00F24FC1">
            <w:pPr>
              <w:spacing w:line="240" w:lineRule="auto"/>
              <w:rPr>
                <w:lang w:eastAsia="en-GB"/>
              </w:rPr>
            </w:pPr>
            <w:r w:rsidRPr="00EE714F">
              <w:rPr>
                <w:bCs/>
                <w:i/>
                <w:iCs/>
              </w:rPr>
              <w:t>обесценени</w:t>
            </w:r>
            <w:r>
              <w:rPr>
                <w:bCs/>
                <w:i/>
                <w:iCs/>
              </w:rPr>
              <w:t>e</w:t>
            </w:r>
          </w:p>
        </w:tc>
      </w:tr>
      <w:tr w:rsidR="001F784F" w:rsidRPr="00F63030" w14:paraId="2EFFE5FE" w14:textId="77777777" w:rsidTr="009C4028">
        <w:trPr>
          <w:trHeight w:val="227"/>
        </w:trPr>
        <w:tc>
          <w:tcPr>
            <w:tcW w:w="2963" w:type="dxa"/>
            <w:shd w:val="clear" w:color="auto" w:fill="auto"/>
            <w:tcMar>
              <w:top w:w="57" w:type="dxa"/>
              <w:left w:w="0" w:type="dxa"/>
              <w:bottom w:w="57" w:type="dxa"/>
              <w:right w:w="0" w:type="dxa"/>
            </w:tcMar>
          </w:tcPr>
          <w:p w14:paraId="74F90033" w14:textId="77777777" w:rsidR="001F784F" w:rsidRPr="00F63030" w:rsidRDefault="001F784F" w:rsidP="00F24FC1">
            <w:pPr>
              <w:spacing w:line="240" w:lineRule="auto"/>
              <w:rPr>
                <w:i/>
                <w:lang w:eastAsia="en-GB"/>
              </w:rPr>
            </w:pPr>
            <w:r w:rsidRPr="00C61056">
              <w:rPr>
                <w:lang w:eastAsia="en-GB"/>
              </w:rPr>
              <w:t>Spanish</w:t>
            </w:r>
            <w:r>
              <w:rPr>
                <w:lang w:eastAsia="en-GB"/>
              </w:rPr>
              <w:t xml:space="preserve"> (EU and Argentinian)</w:t>
            </w:r>
          </w:p>
        </w:tc>
        <w:tc>
          <w:tcPr>
            <w:tcW w:w="5407" w:type="dxa"/>
            <w:shd w:val="clear" w:color="auto" w:fill="auto"/>
            <w:tcMar>
              <w:top w:w="57" w:type="dxa"/>
              <w:left w:w="0" w:type="dxa"/>
              <w:bottom w:w="57" w:type="dxa"/>
              <w:right w:w="0" w:type="dxa"/>
            </w:tcMar>
          </w:tcPr>
          <w:p w14:paraId="0F89A808" w14:textId="77777777" w:rsidR="001F784F" w:rsidRDefault="001F784F" w:rsidP="00F24FC1">
            <w:pPr>
              <w:spacing w:line="240" w:lineRule="auto"/>
              <w:rPr>
                <w:lang w:eastAsia="en-GB"/>
              </w:rPr>
            </w:pPr>
            <w:r w:rsidRPr="00BC4AC6">
              <w:rPr>
                <w:rFonts w:cs="Times New Roman"/>
                <w:i/>
              </w:rPr>
              <w:t>deterioro del valor</w:t>
            </w:r>
          </w:p>
        </w:tc>
      </w:tr>
      <w:tr w:rsidR="001F784F" w:rsidRPr="00F63030" w14:paraId="54CC5CCE" w14:textId="77777777" w:rsidTr="009C4028">
        <w:trPr>
          <w:trHeight w:val="227"/>
        </w:trPr>
        <w:tc>
          <w:tcPr>
            <w:tcW w:w="2963" w:type="dxa"/>
            <w:tcBorders>
              <w:bottom w:val="single" w:sz="4" w:space="0" w:color="auto"/>
            </w:tcBorders>
            <w:shd w:val="clear" w:color="auto" w:fill="auto"/>
            <w:tcMar>
              <w:top w:w="57" w:type="dxa"/>
              <w:left w:w="0" w:type="dxa"/>
              <w:bottom w:w="57" w:type="dxa"/>
              <w:right w:w="0" w:type="dxa"/>
            </w:tcMar>
          </w:tcPr>
          <w:p w14:paraId="2A2705C2" w14:textId="77777777" w:rsidR="001F784F" w:rsidRPr="00F63030" w:rsidRDefault="001F784F" w:rsidP="00F24FC1">
            <w:pPr>
              <w:spacing w:line="240" w:lineRule="auto"/>
              <w:rPr>
                <w:i/>
                <w:lang w:eastAsia="en-GB"/>
              </w:rPr>
            </w:pPr>
            <w:r w:rsidRPr="00C61056">
              <w:rPr>
                <w:lang w:eastAsia="en-GB"/>
              </w:rPr>
              <w:t>Swedish</w:t>
            </w:r>
          </w:p>
        </w:tc>
        <w:tc>
          <w:tcPr>
            <w:tcW w:w="5407" w:type="dxa"/>
            <w:tcBorders>
              <w:bottom w:val="single" w:sz="4" w:space="0" w:color="auto"/>
            </w:tcBorders>
            <w:shd w:val="clear" w:color="auto" w:fill="auto"/>
            <w:tcMar>
              <w:top w:w="57" w:type="dxa"/>
              <w:left w:w="0" w:type="dxa"/>
              <w:bottom w:w="57" w:type="dxa"/>
              <w:right w:w="0" w:type="dxa"/>
            </w:tcMar>
          </w:tcPr>
          <w:p w14:paraId="3614BE11" w14:textId="77777777" w:rsidR="001F784F" w:rsidRDefault="001F784F" w:rsidP="00F24FC1">
            <w:pPr>
              <w:spacing w:line="240" w:lineRule="auto"/>
              <w:rPr>
                <w:lang w:eastAsia="en-GB"/>
              </w:rPr>
            </w:pPr>
            <w:r w:rsidRPr="00EE588D">
              <w:rPr>
                <w:rFonts w:cs="Times New Roman"/>
                <w:i/>
              </w:rPr>
              <w:t>nedskrivning</w:t>
            </w:r>
          </w:p>
        </w:tc>
      </w:tr>
    </w:tbl>
    <w:p w14:paraId="27DCA10A" w14:textId="37075584" w:rsidR="003C5807" w:rsidRDefault="003C5807" w:rsidP="00BC1B1A">
      <w:pPr>
        <w:spacing w:after="0" w:line="240" w:lineRule="auto"/>
      </w:pPr>
    </w:p>
    <w:p w14:paraId="61F318ED" w14:textId="0169F43F" w:rsidR="00B1635C" w:rsidRPr="00F24FC1" w:rsidRDefault="003C5807" w:rsidP="00414AA1">
      <w:pPr>
        <w:spacing w:line="240" w:lineRule="auto"/>
        <w:rPr>
          <w:lang w:eastAsia="en-GB"/>
        </w:rPr>
      </w:pPr>
      <w:r w:rsidRPr="00BC1B1A">
        <w:t>Note</w:t>
      </w:r>
      <w:r w:rsidR="00F85699" w:rsidRPr="00BC1B1A">
        <w:t>s</w:t>
      </w:r>
      <w:r w:rsidRPr="00BC1B1A">
        <w:t xml:space="preserve">: </w:t>
      </w:r>
      <w:r w:rsidRPr="00BC1B1A">
        <w:rPr>
          <w:lang w:eastAsia="en-GB"/>
        </w:rPr>
        <w:t xml:space="preserve">Apart from the </w:t>
      </w:r>
      <w:r w:rsidR="001F784F">
        <w:rPr>
          <w:lang w:eastAsia="en-GB"/>
        </w:rPr>
        <w:t>‘German law’</w:t>
      </w:r>
      <w:r w:rsidRPr="00BC1B1A">
        <w:rPr>
          <w:lang w:eastAsia="en-GB"/>
        </w:rPr>
        <w:t xml:space="preserve"> line, </w:t>
      </w:r>
      <w:r w:rsidR="00E87F12" w:rsidRPr="00BC1B1A">
        <w:rPr>
          <w:lang w:eastAsia="en-GB"/>
        </w:rPr>
        <w:t xml:space="preserve">the </w:t>
      </w:r>
      <w:r w:rsidR="00FA66F9">
        <w:rPr>
          <w:lang w:eastAsia="en-GB"/>
        </w:rPr>
        <w:t>term</w:t>
      </w:r>
      <w:r w:rsidR="00AD5160" w:rsidRPr="00BC1B1A">
        <w:rPr>
          <w:lang w:eastAsia="en-GB"/>
        </w:rPr>
        <w:t xml:space="preserve">s are those in the title of IAS 36 </w:t>
      </w:r>
      <w:r w:rsidRPr="00BC1B1A">
        <w:rPr>
          <w:lang w:eastAsia="en-GB"/>
        </w:rPr>
        <w:t xml:space="preserve">in </w:t>
      </w:r>
      <w:r w:rsidR="00F85699" w:rsidRPr="00BC1B1A">
        <w:rPr>
          <w:lang w:eastAsia="en-GB"/>
        </w:rPr>
        <w:t>official translation</w:t>
      </w:r>
      <w:r w:rsidR="00AD5160" w:rsidRPr="00BC1B1A">
        <w:rPr>
          <w:lang w:eastAsia="en-GB"/>
        </w:rPr>
        <w:t>s</w:t>
      </w:r>
      <w:r w:rsidRPr="00BC1B1A">
        <w:rPr>
          <w:lang w:eastAsia="en-GB"/>
        </w:rPr>
        <w:t xml:space="preserve">. </w:t>
      </w:r>
      <w:r w:rsidR="00B1635C" w:rsidRPr="00BC1B1A">
        <w:rPr>
          <w:lang w:eastAsia="en-GB"/>
        </w:rPr>
        <w:t xml:space="preserve">Most of the </w:t>
      </w:r>
      <w:r w:rsidR="00E87F12" w:rsidRPr="00BC1B1A">
        <w:rPr>
          <w:lang w:eastAsia="en-GB"/>
        </w:rPr>
        <w:t xml:space="preserve">translations </w:t>
      </w:r>
      <w:r w:rsidR="00B1635C" w:rsidRPr="00BC1B1A">
        <w:rPr>
          <w:lang w:eastAsia="en-GB"/>
        </w:rPr>
        <w:t xml:space="preserve">of IAS 36 </w:t>
      </w:r>
      <w:r w:rsidR="00E87F12" w:rsidRPr="00BC1B1A">
        <w:rPr>
          <w:lang w:eastAsia="en-GB"/>
        </w:rPr>
        <w:t xml:space="preserve">are </w:t>
      </w:r>
      <w:r w:rsidR="00B1635C" w:rsidRPr="00BC1B1A">
        <w:rPr>
          <w:lang w:eastAsia="en-GB"/>
        </w:rPr>
        <w:t xml:space="preserve">those approved by the IFRS Foundation. </w:t>
      </w:r>
      <w:r w:rsidR="00AD5160" w:rsidRPr="00BC1B1A">
        <w:rPr>
          <w:lang w:eastAsia="en-GB"/>
        </w:rPr>
        <w:t xml:space="preserve">For </w:t>
      </w:r>
      <w:r w:rsidR="00B1635C" w:rsidRPr="00BC1B1A">
        <w:rPr>
          <w:lang w:eastAsia="en-GB"/>
        </w:rPr>
        <w:t xml:space="preserve">many </w:t>
      </w:r>
      <w:r w:rsidR="00AD5160" w:rsidRPr="00BC1B1A">
        <w:rPr>
          <w:lang w:eastAsia="en-GB"/>
        </w:rPr>
        <w:t>European countries</w:t>
      </w:r>
      <w:r w:rsidR="00B1635C" w:rsidRPr="00BC1B1A">
        <w:rPr>
          <w:lang w:eastAsia="en-GB"/>
        </w:rPr>
        <w:t xml:space="preserve">, these are also </w:t>
      </w:r>
      <w:r w:rsidR="00E87F12" w:rsidRPr="00BC1B1A">
        <w:rPr>
          <w:lang w:eastAsia="en-GB"/>
        </w:rPr>
        <w:t xml:space="preserve">the </w:t>
      </w:r>
      <w:r w:rsidR="00B1635C" w:rsidRPr="00BC1B1A">
        <w:rPr>
          <w:lang w:eastAsia="en-GB"/>
        </w:rPr>
        <w:t xml:space="preserve">official </w:t>
      </w:r>
      <w:r w:rsidR="00E87F12" w:rsidRPr="00BC1B1A">
        <w:rPr>
          <w:lang w:eastAsia="en-GB"/>
        </w:rPr>
        <w:t xml:space="preserve">EU versions </w:t>
      </w:r>
      <w:r w:rsidR="00F85699" w:rsidRPr="00BC1B1A">
        <w:rPr>
          <w:lang w:eastAsia="en-GB"/>
        </w:rPr>
        <w:t xml:space="preserve">as </w:t>
      </w:r>
      <w:r w:rsidR="00E87F12" w:rsidRPr="00BC1B1A">
        <w:rPr>
          <w:lang w:eastAsia="en-GB"/>
        </w:rPr>
        <w:t>attached to</w:t>
      </w:r>
      <w:r w:rsidR="00B1635C" w:rsidRPr="00F24FC1">
        <w:t xml:space="preserve"> </w:t>
      </w:r>
      <w:r w:rsidR="00B1635C" w:rsidRPr="00BC1B1A">
        <w:t>EU Regulation 1606/2002</w:t>
      </w:r>
      <w:r w:rsidR="00B1635C" w:rsidRPr="00BC1B1A">
        <w:rPr>
          <w:lang w:eastAsia="en-GB"/>
        </w:rPr>
        <w:t xml:space="preserve">. </w:t>
      </w:r>
      <w:r w:rsidR="00F85699" w:rsidRPr="00BC1B1A">
        <w:rPr>
          <w:lang w:eastAsia="en-GB"/>
        </w:rPr>
        <w:t xml:space="preserve">In a few cases (e.g. Italian and Swedish), there is no IFRS Foundation version, so we use the EU version. </w:t>
      </w:r>
      <w:r w:rsidR="008C6EC4" w:rsidRPr="00BC1B1A">
        <w:rPr>
          <w:lang w:eastAsia="en-GB"/>
        </w:rPr>
        <w:t xml:space="preserve">For the </w:t>
      </w:r>
      <w:r w:rsidR="001F784F">
        <w:rPr>
          <w:lang w:eastAsia="en-GB"/>
        </w:rPr>
        <w:t>‘German law’</w:t>
      </w:r>
      <w:r w:rsidR="008C6EC4" w:rsidRPr="00BC1B1A">
        <w:rPr>
          <w:lang w:eastAsia="en-GB"/>
        </w:rPr>
        <w:t xml:space="preserve"> line, we translate </w:t>
      </w:r>
      <w:r w:rsidR="008C6EC4" w:rsidRPr="00C33B35">
        <w:rPr>
          <w:i/>
        </w:rPr>
        <w:t>Handelsgesetzbuch</w:t>
      </w:r>
      <w:r w:rsidR="008C6EC4" w:rsidRPr="00BC1B1A">
        <w:t xml:space="preserve"> </w:t>
      </w:r>
      <w:r w:rsidR="008C6EC4" w:rsidRPr="00BC1B1A">
        <w:rPr>
          <w:rFonts w:cs="Times New Roman"/>
        </w:rPr>
        <w:t>§</w:t>
      </w:r>
      <w:r w:rsidR="008C6EC4" w:rsidRPr="00BC1B1A">
        <w:t xml:space="preserve"> 253(3)</w:t>
      </w:r>
      <w:r w:rsidR="008C6EC4" w:rsidRPr="00BC1B1A">
        <w:rPr>
          <w:rFonts w:cs="Times New Roman"/>
          <w:lang w:eastAsia="en-GB"/>
        </w:rPr>
        <w:t>.</w:t>
      </w:r>
      <w:r w:rsidR="008C6EC4">
        <w:rPr>
          <w:rFonts w:cs="Times New Roman"/>
          <w:lang w:eastAsia="en-GB"/>
        </w:rPr>
        <w:t xml:space="preserve"> </w:t>
      </w:r>
      <w:r w:rsidR="00B1635C" w:rsidRPr="00BC1B1A">
        <w:t xml:space="preserve">For the Canadian French, see </w:t>
      </w:r>
      <w:hyperlink r:id="rId9" w:history="1">
        <w:r w:rsidR="00B1635C" w:rsidRPr="00BC1B1A">
          <w:rPr>
            <w:color w:val="0000FF" w:themeColor="hyperlink"/>
            <w:u w:val="single"/>
          </w:rPr>
          <w:t>http://www.nifccanada.ca/normes-internationales-dinformation-financiere/ressources/normes-ifrs-proprement-dites/item45642.pdf</w:t>
        </w:r>
      </w:hyperlink>
      <w:r w:rsidR="00B1635C" w:rsidRPr="00BC1B1A">
        <w:t xml:space="preserve"> (accessed 7.11.2016). For the Argentinian Spanish, see </w:t>
      </w:r>
      <w:hyperlink r:id="rId10" w:history="1">
        <w:r w:rsidR="00774835" w:rsidRPr="001B2DA5">
          <w:rPr>
            <w:rStyle w:val="Hyperlink"/>
          </w:rPr>
          <w:t>http://www.facpce.org.ar:8080/miniportal/archivos/2012/NIC/NIC%2036.pdf</w:t>
        </w:r>
      </w:hyperlink>
      <w:r w:rsidR="00B1635C" w:rsidRPr="00BC1B1A">
        <w:t xml:space="preserve"> (accessed 7.11.2016).</w:t>
      </w:r>
    </w:p>
    <w:p w14:paraId="7A592E27" w14:textId="5F1E6981" w:rsidR="0080710F" w:rsidRDefault="00F63030" w:rsidP="00BC1B1A">
      <w:pPr>
        <w:pageBreakBefore/>
        <w:spacing w:after="0" w:line="240" w:lineRule="auto"/>
        <w:rPr>
          <w:b/>
          <w:lang w:eastAsia="en-GB"/>
        </w:rPr>
      </w:pPr>
      <w:r w:rsidRPr="00F63030">
        <w:rPr>
          <w:b/>
          <w:lang w:eastAsia="en-GB"/>
        </w:rPr>
        <w:t>Table 1</w:t>
      </w:r>
      <w:r w:rsidR="00CB0428">
        <w:rPr>
          <w:b/>
          <w:lang w:eastAsia="en-GB"/>
        </w:rPr>
        <w:t>.</w:t>
      </w:r>
    </w:p>
    <w:p w14:paraId="22CE59AB" w14:textId="1E77CD54" w:rsidR="00F63030" w:rsidRPr="0080710F" w:rsidRDefault="00F63030" w:rsidP="00BC1B1A">
      <w:pPr>
        <w:spacing w:after="0" w:line="240" w:lineRule="auto"/>
        <w:rPr>
          <w:b/>
          <w:lang w:eastAsia="en-GB"/>
        </w:rPr>
      </w:pPr>
      <w:r w:rsidRPr="00C61056">
        <w:rPr>
          <w:lang w:eastAsia="en-GB"/>
        </w:rPr>
        <w:t>Literal meaning</w:t>
      </w:r>
      <w:r w:rsidR="00B7683B" w:rsidRPr="00C61056">
        <w:rPr>
          <w:lang w:eastAsia="en-GB"/>
        </w:rPr>
        <w:t>s</w:t>
      </w:r>
      <w:r w:rsidRPr="00C61056">
        <w:rPr>
          <w:lang w:eastAsia="en-GB"/>
        </w:rPr>
        <w:t xml:space="preserve"> of </w:t>
      </w:r>
      <w:r w:rsidR="00FA66F9">
        <w:rPr>
          <w:lang w:eastAsia="en-GB"/>
        </w:rPr>
        <w:t>term</w:t>
      </w:r>
      <w:r w:rsidRPr="00C61056">
        <w:rPr>
          <w:lang w:eastAsia="en-GB"/>
        </w:rPr>
        <w:t xml:space="preserve">s for ‘impairment’ in translations of </w:t>
      </w:r>
      <w:r w:rsidR="00B84FF6">
        <w:rPr>
          <w:lang w:eastAsia="en-GB"/>
        </w:rPr>
        <w:t xml:space="preserve">the title of </w:t>
      </w:r>
      <w:r w:rsidRPr="00C61056">
        <w:rPr>
          <w:lang w:eastAsia="en-GB"/>
        </w:rPr>
        <w:t xml:space="preserve">IAS 36 and </w:t>
      </w:r>
      <w:r w:rsidR="00B84FF6">
        <w:rPr>
          <w:lang w:eastAsia="en-GB"/>
        </w:rPr>
        <w:t xml:space="preserve">in </w:t>
      </w:r>
      <w:r w:rsidRPr="00C61056">
        <w:rPr>
          <w:lang w:eastAsia="en-GB"/>
        </w:rPr>
        <w:t>German law</w:t>
      </w:r>
    </w:p>
    <w:p w14:paraId="256A7104" w14:textId="77777777" w:rsidR="006D6011" w:rsidRPr="00906E2D" w:rsidRDefault="006D6011" w:rsidP="0026093C">
      <w:pPr>
        <w:spacing w:after="0" w:line="240" w:lineRule="auto"/>
        <w:rPr>
          <w:lang w:eastAsia="en-GB"/>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4605"/>
      </w:tblGrid>
      <w:tr w:rsidR="00F63030" w:rsidRPr="00F63030" w14:paraId="01376C1E" w14:textId="77777777" w:rsidTr="00BC1B1A">
        <w:trPr>
          <w:trHeight w:val="227"/>
        </w:trPr>
        <w:tc>
          <w:tcPr>
            <w:tcW w:w="3333" w:type="dxa"/>
            <w:tcBorders>
              <w:top w:val="single" w:sz="4" w:space="0" w:color="auto"/>
            </w:tcBorders>
            <w:shd w:val="clear" w:color="auto" w:fill="auto"/>
            <w:tcMar>
              <w:top w:w="57" w:type="dxa"/>
              <w:left w:w="0" w:type="dxa"/>
              <w:bottom w:w="57" w:type="dxa"/>
              <w:right w:w="0" w:type="dxa"/>
            </w:tcMar>
          </w:tcPr>
          <w:p w14:paraId="3C9BF5ED" w14:textId="790676C1" w:rsidR="00F63030" w:rsidRPr="00F63030" w:rsidRDefault="00E60E0A" w:rsidP="00F63030">
            <w:pPr>
              <w:spacing w:line="240" w:lineRule="auto"/>
              <w:rPr>
                <w:i/>
                <w:lang w:eastAsia="en-GB"/>
              </w:rPr>
            </w:pPr>
            <w:r>
              <w:rPr>
                <w:i/>
                <w:lang w:eastAsia="en-GB"/>
              </w:rPr>
              <w:t>Impairment/damage</w:t>
            </w:r>
          </w:p>
        </w:tc>
        <w:tc>
          <w:tcPr>
            <w:tcW w:w="4605" w:type="dxa"/>
            <w:tcBorders>
              <w:top w:val="single" w:sz="4" w:space="0" w:color="auto"/>
            </w:tcBorders>
            <w:shd w:val="clear" w:color="auto" w:fill="auto"/>
            <w:tcMar>
              <w:top w:w="57" w:type="dxa"/>
              <w:left w:w="0" w:type="dxa"/>
              <w:bottom w:w="57" w:type="dxa"/>
              <w:right w:w="0" w:type="dxa"/>
            </w:tcMar>
          </w:tcPr>
          <w:p w14:paraId="06763E0F" w14:textId="5F36874A" w:rsidR="00F63030" w:rsidRPr="00F63030" w:rsidRDefault="00E60E0A" w:rsidP="00F63030">
            <w:pPr>
              <w:spacing w:line="240" w:lineRule="auto"/>
              <w:rPr>
                <w:lang w:eastAsia="en-GB"/>
              </w:rPr>
            </w:pPr>
            <w:r>
              <w:rPr>
                <w:lang w:eastAsia="en-GB"/>
              </w:rPr>
              <w:t>Korean</w:t>
            </w:r>
          </w:p>
        </w:tc>
      </w:tr>
      <w:tr w:rsidR="00F24FC1" w:rsidRPr="00F63030" w14:paraId="7BE6D43B" w14:textId="77777777" w:rsidTr="00BC1B1A">
        <w:trPr>
          <w:trHeight w:val="227"/>
        </w:trPr>
        <w:tc>
          <w:tcPr>
            <w:tcW w:w="3333" w:type="dxa"/>
            <w:shd w:val="clear" w:color="auto" w:fill="auto"/>
            <w:tcMar>
              <w:top w:w="57" w:type="dxa"/>
              <w:left w:w="0" w:type="dxa"/>
              <w:bottom w:w="57" w:type="dxa"/>
              <w:right w:w="0" w:type="dxa"/>
            </w:tcMar>
          </w:tcPr>
          <w:p w14:paraId="7F7DDBBC" w14:textId="088C4989" w:rsidR="00F24FC1" w:rsidRPr="00F63030" w:rsidRDefault="00F24FC1" w:rsidP="00F63030">
            <w:pPr>
              <w:spacing w:line="240" w:lineRule="auto"/>
              <w:rPr>
                <w:i/>
                <w:lang w:eastAsia="en-GB"/>
              </w:rPr>
            </w:pPr>
            <w:r>
              <w:rPr>
                <w:i/>
                <w:lang w:eastAsia="en-GB"/>
              </w:rPr>
              <w:t>Decreasing-losing</w:t>
            </w:r>
          </w:p>
        </w:tc>
        <w:tc>
          <w:tcPr>
            <w:tcW w:w="4605" w:type="dxa"/>
            <w:shd w:val="clear" w:color="auto" w:fill="auto"/>
            <w:tcMar>
              <w:top w:w="57" w:type="dxa"/>
              <w:left w:w="0" w:type="dxa"/>
              <w:bottom w:w="57" w:type="dxa"/>
              <w:right w:w="0" w:type="dxa"/>
            </w:tcMar>
          </w:tcPr>
          <w:p w14:paraId="1A63A613" w14:textId="24383C27" w:rsidR="00F24FC1" w:rsidRPr="00F63030" w:rsidRDefault="00F24FC1" w:rsidP="00F63030">
            <w:pPr>
              <w:spacing w:line="240" w:lineRule="auto"/>
              <w:rPr>
                <w:lang w:eastAsia="en-GB"/>
              </w:rPr>
            </w:pPr>
            <w:r>
              <w:rPr>
                <w:lang w:eastAsia="en-GB"/>
              </w:rPr>
              <w:t>Japanese</w:t>
            </w:r>
          </w:p>
        </w:tc>
      </w:tr>
      <w:tr w:rsidR="00F24FC1" w:rsidRPr="00F63030" w14:paraId="789FEE79" w14:textId="77777777" w:rsidTr="00BC1B1A">
        <w:trPr>
          <w:trHeight w:val="227"/>
        </w:trPr>
        <w:tc>
          <w:tcPr>
            <w:tcW w:w="3333" w:type="dxa"/>
            <w:shd w:val="clear" w:color="auto" w:fill="auto"/>
            <w:tcMar>
              <w:top w:w="57" w:type="dxa"/>
              <w:left w:w="0" w:type="dxa"/>
              <w:bottom w:w="57" w:type="dxa"/>
              <w:right w:w="0" w:type="dxa"/>
            </w:tcMar>
          </w:tcPr>
          <w:p w14:paraId="17CC96DF" w14:textId="450EBD65" w:rsidR="00F24FC1" w:rsidRPr="00F63030" w:rsidRDefault="00F24FC1" w:rsidP="00F63030">
            <w:pPr>
              <w:spacing w:line="240" w:lineRule="auto"/>
              <w:rPr>
                <w:i/>
                <w:lang w:eastAsia="en-GB"/>
              </w:rPr>
            </w:pPr>
            <w:r w:rsidRPr="00F63030">
              <w:rPr>
                <w:i/>
                <w:lang w:eastAsia="en-GB"/>
              </w:rPr>
              <w:t>Fall in value</w:t>
            </w:r>
          </w:p>
        </w:tc>
        <w:tc>
          <w:tcPr>
            <w:tcW w:w="4605" w:type="dxa"/>
            <w:shd w:val="clear" w:color="auto" w:fill="auto"/>
            <w:tcMar>
              <w:top w:w="57" w:type="dxa"/>
              <w:left w:w="0" w:type="dxa"/>
              <w:bottom w:w="57" w:type="dxa"/>
              <w:right w:w="0" w:type="dxa"/>
            </w:tcMar>
          </w:tcPr>
          <w:p w14:paraId="1EC4A2A2" w14:textId="2A32BB33" w:rsidR="00F24FC1" w:rsidRPr="00F63030" w:rsidRDefault="00F24FC1" w:rsidP="00F63030">
            <w:pPr>
              <w:spacing w:line="240" w:lineRule="auto"/>
              <w:rPr>
                <w:lang w:eastAsia="en-GB"/>
              </w:rPr>
            </w:pPr>
            <w:r w:rsidRPr="00F63030">
              <w:rPr>
                <w:lang w:eastAsia="en-GB"/>
              </w:rPr>
              <w:t xml:space="preserve">Chinese, Danish, </w:t>
            </w:r>
            <w:r>
              <w:rPr>
                <w:lang w:eastAsia="en-GB"/>
              </w:rPr>
              <w:t xml:space="preserve">Finnish, </w:t>
            </w:r>
            <w:r w:rsidRPr="00F63030">
              <w:rPr>
                <w:lang w:eastAsia="en-GB"/>
              </w:rPr>
              <w:t>French (EU and Canadian), German, Italian, Norwegian, Polish, Russian, Spanish (EU and Argentinian)</w:t>
            </w:r>
          </w:p>
        </w:tc>
      </w:tr>
      <w:tr w:rsidR="00F63030" w:rsidRPr="00F63030" w14:paraId="50AD5373" w14:textId="77777777" w:rsidTr="00BC1B1A">
        <w:trPr>
          <w:trHeight w:val="227"/>
        </w:trPr>
        <w:tc>
          <w:tcPr>
            <w:tcW w:w="3333" w:type="dxa"/>
            <w:shd w:val="clear" w:color="auto" w:fill="auto"/>
            <w:tcMar>
              <w:top w:w="57" w:type="dxa"/>
              <w:left w:w="0" w:type="dxa"/>
              <w:bottom w:w="57" w:type="dxa"/>
              <w:right w:w="0" w:type="dxa"/>
            </w:tcMar>
          </w:tcPr>
          <w:p w14:paraId="463B63E2" w14:textId="77777777" w:rsidR="00F63030" w:rsidRPr="00F63030" w:rsidRDefault="00F63030" w:rsidP="00F63030">
            <w:pPr>
              <w:spacing w:line="240" w:lineRule="auto"/>
              <w:rPr>
                <w:i/>
                <w:lang w:eastAsia="en-GB"/>
              </w:rPr>
            </w:pPr>
            <w:r w:rsidRPr="00F63030">
              <w:rPr>
                <w:i/>
                <w:lang w:eastAsia="en-GB"/>
              </w:rPr>
              <w:t>Exceptional fall in value</w:t>
            </w:r>
          </w:p>
        </w:tc>
        <w:tc>
          <w:tcPr>
            <w:tcW w:w="4605" w:type="dxa"/>
            <w:shd w:val="clear" w:color="auto" w:fill="auto"/>
            <w:tcMar>
              <w:top w:w="57" w:type="dxa"/>
              <w:left w:w="0" w:type="dxa"/>
              <w:bottom w:w="57" w:type="dxa"/>
              <w:right w:w="0" w:type="dxa"/>
            </w:tcMar>
          </w:tcPr>
          <w:p w14:paraId="46193905" w14:textId="49F106BC" w:rsidR="00F63030" w:rsidRPr="00F63030" w:rsidRDefault="00F63030" w:rsidP="00F63030">
            <w:pPr>
              <w:spacing w:line="240" w:lineRule="auto"/>
              <w:rPr>
                <w:lang w:eastAsia="en-GB"/>
              </w:rPr>
            </w:pPr>
            <w:r w:rsidRPr="00F63030">
              <w:rPr>
                <w:lang w:eastAsia="en-GB"/>
              </w:rPr>
              <w:t>Dutch</w:t>
            </w:r>
          </w:p>
        </w:tc>
      </w:tr>
      <w:tr w:rsidR="006D6011" w:rsidRPr="00F63030" w14:paraId="2F2AB994" w14:textId="77777777" w:rsidTr="00BC1B1A">
        <w:trPr>
          <w:trHeight w:val="227"/>
        </w:trPr>
        <w:tc>
          <w:tcPr>
            <w:tcW w:w="3333" w:type="dxa"/>
            <w:shd w:val="clear" w:color="auto" w:fill="auto"/>
            <w:tcMar>
              <w:top w:w="57" w:type="dxa"/>
              <w:left w:w="0" w:type="dxa"/>
              <w:bottom w:w="57" w:type="dxa"/>
              <w:right w:w="0" w:type="dxa"/>
            </w:tcMar>
          </w:tcPr>
          <w:p w14:paraId="3ED5D5BC" w14:textId="40BC4C7B" w:rsidR="007C3A3F" w:rsidRPr="00F63030" w:rsidRDefault="006D6011" w:rsidP="00F63030">
            <w:pPr>
              <w:spacing w:line="240" w:lineRule="auto"/>
              <w:rPr>
                <w:i/>
                <w:lang w:eastAsia="en-GB"/>
              </w:rPr>
            </w:pPr>
            <w:r w:rsidRPr="00F63030">
              <w:rPr>
                <w:i/>
                <w:lang w:eastAsia="en-GB"/>
              </w:rPr>
              <w:t>Reduction in recoverable value</w:t>
            </w:r>
          </w:p>
        </w:tc>
        <w:tc>
          <w:tcPr>
            <w:tcW w:w="4605" w:type="dxa"/>
            <w:shd w:val="clear" w:color="auto" w:fill="auto"/>
            <w:tcMar>
              <w:top w:w="57" w:type="dxa"/>
              <w:left w:w="0" w:type="dxa"/>
              <w:bottom w:w="57" w:type="dxa"/>
              <w:right w:w="0" w:type="dxa"/>
            </w:tcMar>
          </w:tcPr>
          <w:p w14:paraId="2C756830" w14:textId="0B32F3CC" w:rsidR="007C3A3F" w:rsidRPr="00F63030" w:rsidRDefault="006D6011" w:rsidP="00F63030">
            <w:pPr>
              <w:spacing w:line="240" w:lineRule="auto"/>
              <w:rPr>
                <w:lang w:eastAsia="en-GB"/>
              </w:rPr>
            </w:pPr>
            <w:r w:rsidRPr="00F63030">
              <w:rPr>
                <w:lang w:eastAsia="en-GB"/>
              </w:rPr>
              <w:t>Portuguese (Brazilian)</w:t>
            </w:r>
          </w:p>
        </w:tc>
      </w:tr>
      <w:tr w:rsidR="00731F4C" w:rsidRPr="00F63030" w14:paraId="22E48210" w14:textId="77777777" w:rsidTr="00BC1B1A">
        <w:trPr>
          <w:trHeight w:val="227"/>
        </w:trPr>
        <w:tc>
          <w:tcPr>
            <w:tcW w:w="3333" w:type="dxa"/>
            <w:shd w:val="clear" w:color="auto" w:fill="auto"/>
            <w:tcMar>
              <w:top w:w="57" w:type="dxa"/>
              <w:left w:w="0" w:type="dxa"/>
              <w:bottom w:w="57" w:type="dxa"/>
              <w:right w:w="0" w:type="dxa"/>
            </w:tcMar>
          </w:tcPr>
          <w:p w14:paraId="04D66CB8" w14:textId="6BA106E2" w:rsidR="00731F4C" w:rsidRPr="00F63030" w:rsidRDefault="00731F4C" w:rsidP="00F63030">
            <w:pPr>
              <w:spacing w:line="240" w:lineRule="auto"/>
              <w:rPr>
                <w:i/>
                <w:lang w:eastAsia="en-GB"/>
              </w:rPr>
            </w:pPr>
            <w:r>
              <w:rPr>
                <w:i/>
                <w:lang w:eastAsia="en-GB"/>
              </w:rPr>
              <w:t>Reduction in recorded amount</w:t>
            </w:r>
          </w:p>
        </w:tc>
        <w:tc>
          <w:tcPr>
            <w:tcW w:w="4605" w:type="dxa"/>
            <w:shd w:val="clear" w:color="auto" w:fill="auto"/>
            <w:tcMar>
              <w:top w:w="57" w:type="dxa"/>
              <w:left w:w="0" w:type="dxa"/>
              <w:bottom w:w="57" w:type="dxa"/>
              <w:right w:w="0" w:type="dxa"/>
            </w:tcMar>
          </w:tcPr>
          <w:p w14:paraId="31158D8F" w14:textId="7515DFEA" w:rsidR="00731F4C" w:rsidRPr="00F63030" w:rsidRDefault="00731F4C" w:rsidP="00F63030">
            <w:pPr>
              <w:spacing w:line="240" w:lineRule="auto"/>
              <w:rPr>
                <w:lang w:eastAsia="en-GB"/>
              </w:rPr>
            </w:pPr>
            <w:r>
              <w:rPr>
                <w:lang w:eastAsia="en-GB"/>
              </w:rPr>
              <w:t>Arabic</w:t>
            </w:r>
          </w:p>
        </w:tc>
      </w:tr>
      <w:tr w:rsidR="006D6011" w:rsidRPr="00F63030" w14:paraId="6EFC0F59" w14:textId="77777777" w:rsidTr="00BC1B1A">
        <w:trPr>
          <w:trHeight w:val="227"/>
        </w:trPr>
        <w:tc>
          <w:tcPr>
            <w:tcW w:w="3333" w:type="dxa"/>
            <w:shd w:val="clear" w:color="auto" w:fill="auto"/>
            <w:tcMar>
              <w:top w:w="57" w:type="dxa"/>
              <w:left w:w="0" w:type="dxa"/>
              <w:bottom w:w="57" w:type="dxa"/>
              <w:right w:w="0" w:type="dxa"/>
            </w:tcMar>
          </w:tcPr>
          <w:p w14:paraId="3FAF41BB" w14:textId="750CD0A0" w:rsidR="006D6011" w:rsidRPr="00F63030" w:rsidRDefault="006D6011" w:rsidP="00F63030">
            <w:pPr>
              <w:spacing w:line="240" w:lineRule="auto"/>
              <w:rPr>
                <w:i/>
                <w:lang w:eastAsia="en-GB"/>
              </w:rPr>
            </w:pPr>
            <w:r w:rsidRPr="00F63030">
              <w:rPr>
                <w:i/>
                <w:lang w:eastAsia="en-GB"/>
              </w:rPr>
              <w:t>Writ</w:t>
            </w:r>
            <w:r w:rsidR="005B3E59">
              <w:rPr>
                <w:i/>
                <w:lang w:eastAsia="en-GB"/>
              </w:rPr>
              <w:t>ing</w:t>
            </w:r>
            <w:r w:rsidRPr="00F63030">
              <w:rPr>
                <w:i/>
                <w:lang w:eastAsia="en-GB"/>
              </w:rPr>
              <w:t>-down</w:t>
            </w:r>
          </w:p>
        </w:tc>
        <w:tc>
          <w:tcPr>
            <w:tcW w:w="4605" w:type="dxa"/>
            <w:shd w:val="clear" w:color="auto" w:fill="auto"/>
            <w:tcMar>
              <w:top w:w="57" w:type="dxa"/>
              <w:left w:w="0" w:type="dxa"/>
              <w:bottom w:w="57" w:type="dxa"/>
              <w:right w:w="0" w:type="dxa"/>
            </w:tcMar>
          </w:tcPr>
          <w:p w14:paraId="41798BFC" w14:textId="6D54EAF9" w:rsidR="006D6011" w:rsidRPr="00F63030" w:rsidRDefault="006D6011" w:rsidP="00F63030">
            <w:pPr>
              <w:spacing w:line="240" w:lineRule="auto"/>
              <w:rPr>
                <w:lang w:eastAsia="en-GB"/>
              </w:rPr>
            </w:pPr>
            <w:r w:rsidRPr="00F63030">
              <w:rPr>
                <w:lang w:eastAsia="en-GB"/>
              </w:rPr>
              <w:t>Swedish</w:t>
            </w:r>
          </w:p>
        </w:tc>
      </w:tr>
      <w:tr w:rsidR="006D6011" w:rsidRPr="00F63030" w14:paraId="4AE56637" w14:textId="77777777" w:rsidTr="00BC1B1A">
        <w:trPr>
          <w:trHeight w:val="227"/>
        </w:trPr>
        <w:tc>
          <w:tcPr>
            <w:tcW w:w="3333" w:type="dxa"/>
            <w:shd w:val="clear" w:color="auto" w:fill="auto"/>
            <w:tcMar>
              <w:top w:w="57" w:type="dxa"/>
              <w:left w:w="0" w:type="dxa"/>
              <w:bottom w:w="57" w:type="dxa"/>
              <w:right w:w="0" w:type="dxa"/>
            </w:tcMar>
          </w:tcPr>
          <w:p w14:paraId="50B62D9C" w14:textId="07AC8469" w:rsidR="006D6011" w:rsidRPr="00F63030" w:rsidRDefault="006D6011" w:rsidP="00F63030">
            <w:pPr>
              <w:spacing w:line="240" w:lineRule="auto"/>
              <w:rPr>
                <w:i/>
                <w:lang w:eastAsia="en-GB"/>
              </w:rPr>
            </w:pPr>
            <w:r w:rsidRPr="00F63030">
              <w:rPr>
                <w:i/>
                <w:lang w:eastAsia="en-GB"/>
              </w:rPr>
              <w:t xml:space="preserve">Unscheduled </w:t>
            </w:r>
            <w:r w:rsidR="005B3E59">
              <w:rPr>
                <w:i/>
                <w:lang w:eastAsia="en-GB"/>
              </w:rPr>
              <w:t>off-</w:t>
            </w:r>
            <w:r w:rsidRPr="00F63030">
              <w:rPr>
                <w:i/>
                <w:lang w:eastAsia="en-GB"/>
              </w:rPr>
              <w:t>writ</w:t>
            </w:r>
            <w:r w:rsidR="005B3E59">
              <w:rPr>
                <w:i/>
                <w:lang w:eastAsia="en-GB"/>
              </w:rPr>
              <w:t>ing</w:t>
            </w:r>
          </w:p>
        </w:tc>
        <w:tc>
          <w:tcPr>
            <w:tcW w:w="4605" w:type="dxa"/>
            <w:shd w:val="clear" w:color="auto" w:fill="auto"/>
            <w:tcMar>
              <w:top w:w="57" w:type="dxa"/>
              <w:left w:w="0" w:type="dxa"/>
              <w:bottom w:w="57" w:type="dxa"/>
              <w:right w:w="0" w:type="dxa"/>
            </w:tcMar>
          </w:tcPr>
          <w:p w14:paraId="78009F1F" w14:textId="10E94418" w:rsidR="006D6011" w:rsidRPr="00F63030" w:rsidRDefault="006D6011" w:rsidP="00F63030">
            <w:pPr>
              <w:spacing w:line="240" w:lineRule="auto"/>
              <w:rPr>
                <w:lang w:eastAsia="en-GB"/>
              </w:rPr>
            </w:pPr>
            <w:r w:rsidRPr="00F63030">
              <w:rPr>
                <w:lang w:eastAsia="en-GB"/>
              </w:rPr>
              <w:t>German law</w:t>
            </w:r>
          </w:p>
        </w:tc>
      </w:tr>
      <w:tr w:rsidR="00F63030" w:rsidRPr="00F63030" w14:paraId="399DDEC8" w14:textId="77777777" w:rsidTr="00BC1B1A">
        <w:trPr>
          <w:trHeight w:val="227"/>
        </w:trPr>
        <w:tc>
          <w:tcPr>
            <w:tcW w:w="3333" w:type="dxa"/>
            <w:tcBorders>
              <w:bottom w:val="single" w:sz="4" w:space="0" w:color="auto"/>
            </w:tcBorders>
            <w:tcMar>
              <w:top w:w="57" w:type="dxa"/>
              <w:left w:w="0" w:type="dxa"/>
              <w:bottom w:w="57" w:type="dxa"/>
              <w:right w:w="0" w:type="dxa"/>
            </w:tcMar>
          </w:tcPr>
          <w:p w14:paraId="2D086F25" w14:textId="06A8A79C" w:rsidR="00F2693B" w:rsidRPr="00F63030" w:rsidRDefault="00F63030" w:rsidP="00F63030">
            <w:pPr>
              <w:spacing w:line="240" w:lineRule="auto"/>
              <w:rPr>
                <w:i/>
                <w:lang w:eastAsia="en-GB"/>
              </w:rPr>
            </w:pPr>
            <w:r w:rsidRPr="00F63030">
              <w:rPr>
                <w:i/>
                <w:lang w:eastAsia="en-GB"/>
              </w:rPr>
              <w:t>Imparity</w:t>
            </w:r>
          </w:p>
        </w:tc>
        <w:tc>
          <w:tcPr>
            <w:tcW w:w="4605" w:type="dxa"/>
            <w:tcBorders>
              <w:bottom w:val="single" w:sz="4" w:space="0" w:color="auto"/>
            </w:tcBorders>
            <w:tcMar>
              <w:top w:w="57" w:type="dxa"/>
              <w:left w:w="0" w:type="dxa"/>
              <w:bottom w:w="57" w:type="dxa"/>
              <w:right w:w="0" w:type="dxa"/>
            </w:tcMar>
          </w:tcPr>
          <w:p w14:paraId="5BDFF3EE" w14:textId="5FE61639" w:rsidR="00F63030" w:rsidRPr="00F63030" w:rsidRDefault="00F63030" w:rsidP="00F63030">
            <w:pPr>
              <w:spacing w:line="240" w:lineRule="auto"/>
              <w:rPr>
                <w:lang w:eastAsia="en-GB"/>
              </w:rPr>
            </w:pPr>
            <w:r w:rsidRPr="00F63030">
              <w:rPr>
                <w:lang w:eastAsia="en-GB"/>
              </w:rPr>
              <w:t>Portuguese (EU)</w:t>
            </w:r>
          </w:p>
        </w:tc>
      </w:tr>
    </w:tbl>
    <w:p w14:paraId="1E01CF1E" w14:textId="77777777" w:rsidR="006D6011" w:rsidRDefault="006D6011" w:rsidP="0026093C">
      <w:pPr>
        <w:spacing w:after="0" w:line="240" w:lineRule="auto"/>
        <w:rPr>
          <w:lang w:eastAsia="en-GB"/>
        </w:rPr>
      </w:pPr>
    </w:p>
    <w:p w14:paraId="78787904" w14:textId="25C71E80" w:rsidR="00F63030" w:rsidRPr="00F24FC1" w:rsidRDefault="00F63030" w:rsidP="00B7683B">
      <w:pPr>
        <w:spacing w:line="240" w:lineRule="auto"/>
        <w:rPr>
          <w:lang w:eastAsia="en-GB"/>
        </w:rPr>
      </w:pPr>
      <w:r w:rsidRPr="00BC1B1A">
        <w:rPr>
          <w:lang w:eastAsia="en-GB"/>
        </w:rPr>
        <w:t xml:space="preserve">Note: </w:t>
      </w:r>
      <w:r w:rsidR="00B7683B" w:rsidRPr="00BC1B1A">
        <w:rPr>
          <w:lang w:eastAsia="en-GB"/>
        </w:rPr>
        <w:t>These are the authors</w:t>
      </w:r>
      <w:r w:rsidR="000B6DFF" w:rsidRPr="00BC1B1A">
        <w:rPr>
          <w:lang w:eastAsia="en-GB"/>
        </w:rPr>
        <w:t>’</w:t>
      </w:r>
      <w:r w:rsidR="00B7683B" w:rsidRPr="00BC1B1A">
        <w:rPr>
          <w:lang w:eastAsia="en-GB"/>
        </w:rPr>
        <w:t xml:space="preserve"> own literal translations</w:t>
      </w:r>
      <w:r w:rsidR="00A009E4" w:rsidRPr="00BC1B1A">
        <w:rPr>
          <w:lang w:eastAsia="en-GB"/>
        </w:rPr>
        <w:t xml:space="preserve"> of the </w:t>
      </w:r>
      <w:r w:rsidR="00FA66F9">
        <w:rPr>
          <w:lang w:eastAsia="en-GB"/>
        </w:rPr>
        <w:t>term</w:t>
      </w:r>
      <w:r w:rsidR="00A009E4" w:rsidRPr="00BC1B1A">
        <w:rPr>
          <w:lang w:eastAsia="en-GB"/>
        </w:rPr>
        <w:t>s in Appendix 1</w:t>
      </w:r>
      <w:r w:rsidR="00B7683B" w:rsidRPr="00BC1B1A">
        <w:rPr>
          <w:lang w:eastAsia="en-GB"/>
        </w:rPr>
        <w:t xml:space="preserve">, as assisted by </w:t>
      </w:r>
      <w:r w:rsidR="00983F13">
        <w:rPr>
          <w:lang w:eastAsia="en-GB"/>
        </w:rPr>
        <w:t xml:space="preserve">the </w:t>
      </w:r>
      <w:r w:rsidR="00B7683B" w:rsidRPr="00BC1B1A">
        <w:rPr>
          <w:lang w:eastAsia="en-GB"/>
        </w:rPr>
        <w:t>colleagues noted throughout this paper.</w:t>
      </w:r>
    </w:p>
    <w:p w14:paraId="40C790E7" w14:textId="33BB39FD" w:rsidR="00F63030" w:rsidRPr="00F63030" w:rsidRDefault="00F63030" w:rsidP="00F63030">
      <w:pPr>
        <w:pageBreakBefore/>
        <w:spacing w:after="0" w:line="240" w:lineRule="auto"/>
        <w:rPr>
          <w:b/>
          <w:szCs w:val="20"/>
        </w:rPr>
      </w:pPr>
      <w:r w:rsidRPr="00F63030">
        <w:rPr>
          <w:b/>
          <w:szCs w:val="20"/>
        </w:rPr>
        <w:t>Table 2</w:t>
      </w:r>
      <w:r w:rsidR="00CB0428">
        <w:rPr>
          <w:b/>
          <w:szCs w:val="20"/>
        </w:rPr>
        <w:t>.</w:t>
      </w:r>
    </w:p>
    <w:p w14:paraId="430ED0E6" w14:textId="3B4124F7" w:rsidR="00F63030" w:rsidRPr="00C61056" w:rsidRDefault="00F63030" w:rsidP="00F63030">
      <w:pPr>
        <w:spacing w:after="0" w:line="240" w:lineRule="auto"/>
        <w:rPr>
          <w:szCs w:val="20"/>
        </w:rPr>
      </w:pPr>
      <w:r w:rsidRPr="00C61056">
        <w:rPr>
          <w:szCs w:val="20"/>
        </w:rPr>
        <w:t xml:space="preserve">List of </w:t>
      </w:r>
      <w:r w:rsidR="00F9525F">
        <w:rPr>
          <w:szCs w:val="20"/>
        </w:rPr>
        <w:t>non-proximate</w:t>
      </w:r>
      <w:r w:rsidRPr="00C61056">
        <w:rPr>
          <w:szCs w:val="20"/>
        </w:rPr>
        <w:t xml:space="preserve"> </w:t>
      </w:r>
      <w:r w:rsidR="00FA66F9">
        <w:rPr>
          <w:szCs w:val="20"/>
        </w:rPr>
        <w:t>term</w:t>
      </w:r>
      <w:r w:rsidRPr="00C61056">
        <w:rPr>
          <w:szCs w:val="20"/>
        </w:rPr>
        <w:t xml:space="preserve">s for </w:t>
      </w:r>
      <w:r w:rsidR="00CB0428" w:rsidRPr="00C61056">
        <w:rPr>
          <w:szCs w:val="20"/>
        </w:rPr>
        <w:t>i</w:t>
      </w:r>
      <w:r w:rsidRPr="00C61056">
        <w:rPr>
          <w:szCs w:val="20"/>
        </w:rPr>
        <w:t xml:space="preserve">mpairment found in </w:t>
      </w:r>
      <w:r w:rsidR="00CB0428" w:rsidRPr="00C61056">
        <w:rPr>
          <w:szCs w:val="20"/>
        </w:rPr>
        <w:t>a</w:t>
      </w:r>
      <w:r w:rsidRPr="00C61056">
        <w:rPr>
          <w:szCs w:val="20"/>
        </w:rPr>
        <w:t xml:space="preserve">nnual </w:t>
      </w:r>
      <w:r w:rsidR="00CB0428" w:rsidRPr="00C61056">
        <w:rPr>
          <w:szCs w:val="20"/>
        </w:rPr>
        <w:t>r</w:t>
      </w:r>
      <w:r w:rsidRPr="00C61056">
        <w:rPr>
          <w:szCs w:val="20"/>
        </w:rPr>
        <w:t>eports</w:t>
      </w:r>
      <w:r w:rsidR="00406D1C" w:rsidRPr="00C61056">
        <w:rPr>
          <w:szCs w:val="20"/>
        </w:rPr>
        <w:t xml:space="preserve"> </w:t>
      </w:r>
      <w:r w:rsidR="001E2E42">
        <w:rPr>
          <w:szCs w:val="20"/>
        </w:rPr>
        <w:t xml:space="preserve">translated into English </w:t>
      </w:r>
      <w:r w:rsidR="00406D1C" w:rsidRPr="00C61056">
        <w:rPr>
          <w:szCs w:val="20"/>
        </w:rPr>
        <w:t xml:space="preserve">in </w:t>
      </w:r>
      <w:r w:rsidR="00A009E4">
        <w:rPr>
          <w:szCs w:val="20"/>
        </w:rPr>
        <w:t xml:space="preserve">the </w:t>
      </w:r>
      <w:r w:rsidR="00CB0428" w:rsidRPr="00C61056">
        <w:rPr>
          <w:szCs w:val="20"/>
        </w:rPr>
        <w:t>f</w:t>
      </w:r>
      <w:r w:rsidR="00406D1C" w:rsidRPr="00C61056">
        <w:rPr>
          <w:szCs w:val="20"/>
        </w:rPr>
        <w:t>irst/</w:t>
      </w:r>
      <w:r w:rsidR="00CB0428" w:rsidRPr="00C61056">
        <w:rPr>
          <w:szCs w:val="20"/>
        </w:rPr>
        <w:t>l</w:t>
      </w:r>
      <w:r w:rsidR="00406D1C" w:rsidRPr="00C61056">
        <w:rPr>
          <w:szCs w:val="20"/>
        </w:rPr>
        <w:t xml:space="preserve">ast </w:t>
      </w:r>
      <w:r w:rsidR="00CB0428" w:rsidRPr="00C61056">
        <w:rPr>
          <w:szCs w:val="20"/>
        </w:rPr>
        <w:t>y</w:t>
      </w:r>
      <w:r w:rsidR="00406D1C" w:rsidRPr="00C61056">
        <w:rPr>
          <w:szCs w:val="20"/>
        </w:rPr>
        <w:t>ear</w:t>
      </w:r>
    </w:p>
    <w:p w14:paraId="2A70DF5F" w14:textId="77777777" w:rsidR="00F63030" w:rsidRPr="00F63030" w:rsidRDefault="00F63030" w:rsidP="00F63030">
      <w:pPr>
        <w:spacing w:after="0" w:line="240" w:lineRule="auto"/>
        <w:rPr>
          <w:szCs w:val="20"/>
        </w:rPr>
      </w:pPr>
    </w:p>
    <w:tbl>
      <w:tblPr>
        <w:tblW w:w="7938" w:type="dxa"/>
        <w:tblLayout w:type="fixed"/>
        <w:tblCellMar>
          <w:left w:w="0" w:type="dxa"/>
          <w:right w:w="0" w:type="dxa"/>
        </w:tblCellMar>
        <w:tblLook w:val="00A0" w:firstRow="1" w:lastRow="0" w:firstColumn="1" w:lastColumn="0" w:noHBand="0" w:noVBand="0"/>
      </w:tblPr>
      <w:tblGrid>
        <w:gridCol w:w="3686"/>
        <w:gridCol w:w="708"/>
        <w:gridCol w:w="709"/>
        <w:gridCol w:w="709"/>
        <w:gridCol w:w="708"/>
        <w:gridCol w:w="709"/>
        <w:gridCol w:w="709"/>
      </w:tblGrid>
      <w:tr w:rsidR="00F63030" w:rsidRPr="00F63030" w14:paraId="5709D39B" w14:textId="77777777" w:rsidTr="00F63030">
        <w:tc>
          <w:tcPr>
            <w:tcW w:w="3686" w:type="dxa"/>
            <w:tcBorders>
              <w:top w:val="single" w:sz="4" w:space="0" w:color="auto"/>
              <w:bottom w:val="single" w:sz="4" w:space="0" w:color="auto"/>
            </w:tcBorders>
            <w:vAlign w:val="center"/>
          </w:tcPr>
          <w:p w14:paraId="473614DB" w14:textId="77777777" w:rsidR="00F63030" w:rsidRPr="00F63030" w:rsidRDefault="00F63030" w:rsidP="00F63030">
            <w:pPr>
              <w:spacing w:after="0" w:line="240" w:lineRule="auto"/>
              <w:rPr>
                <w:rFonts w:eastAsia="Calibri" w:cs="Times New Roman"/>
                <w:b/>
                <w:bCs/>
              </w:rPr>
            </w:pPr>
          </w:p>
        </w:tc>
        <w:tc>
          <w:tcPr>
            <w:tcW w:w="708" w:type="dxa"/>
            <w:tcBorders>
              <w:top w:val="single" w:sz="4" w:space="0" w:color="auto"/>
              <w:bottom w:val="single" w:sz="4" w:space="0" w:color="auto"/>
            </w:tcBorders>
            <w:vAlign w:val="center"/>
          </w:tcPr>
          <w:p w14:paraId="00CAEB22"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BR</w:t>
            </w:r>
          </w:p>
        </w:tc>
        <w:tc>
          <w:tcPr>
            <w:tcW w:w="709" w:type="dxa"/>
            <w:tcBorders>
              <w:top w:val="single" w:sz="4" w:space="0" w:color="auto"/>
              <w:bottom w:val="single" w:sz="4" w:space="0" w:color="auto"/>
            </w:tcBorders>
            <w:vAlign w:val="center"/>
          </w:tcPr>
          <w:p w14:paraId="03AB151A"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DE</w:t>
            </w:r>
          </w:p>
        </w:tc>
        <w:tc>
          <w:tcPr>
            <w:tcW w:w="709" w:type="dxa"/>
            <w:tcBorders>
              <w:top w:val="single" w:sz="4" w:space="0" w:color="auto"/>
              <w:bottom w:val="single" w:sz="4" w:space="0" w:color="auto"/>
            </w:tcBorders>
            <w:vAlign w:val="center"/>
          </w:tcPr>
          <w:p w14:paraId="55553E31"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ES</w:t>
            </w:r>
          </w:p>
        </w:tc>
        <w:tc>
          <w:tcPr>
            <w:tcW w:w="708" w:type="dxa"/>
            <w:tcBorders>
              <w:top w:val="single" w:sz="4" w:space="0" w:color="auto"/>
              <w:bottom w:val="single" w:sz="4" w:space="0" w:color="auto"/>
            </w:tcBorders>
            <w:vAlign w:val="center"/>
          </w:tcPr>
          <w:p w14:paraId="423FC888"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FR</w:t>
            </w:r>
          </w:p>
        </w:tc>
        <w:tc>
          <w:tcPr>
            <w:tcW w:w="709" w:type="dxa"/>
            <w:tcBorders>
              <w:top w:val="single" w:sz="4" w:space="0" w:color="auto"/>
              <w:bottom w:val="single" w:sz="4" w:space="0" w:color="auto"/>
            </w:tcBorders>
            <w:vAlign w:val="center"/>
          </w:tcPr>
          <w:p w14:paraId="23FCE51F"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HK</w:t>
            </w:r>
          </w:p>
        </w:tc>
        <w:tc>
          <w:tcPr>
            <w:tcW w:w="709" w:type="dxa"/>
            <w:tcBorders>
              <w:top w:val="single" w:sz="4" w:space="0" w:color="auto"/>
              <w:bottom w:val="single" w:sz="4" w:space="0" w:color="auto"/>
            </w:tcBorders>
            <w:vAlign w:val="center"/>
          </w:tcPr>
          <w:p w14:paraId="37EE9654"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IT</w:t>
            </w:r>
          </w:p>
        </w:tc>
      </w:tr>
      <w:tr w:rsidR="00F63030" w:rsidRPr="00F63030" w14:paraId="6A5C0846" w14:textId="77777777" w:rsidTr="00F63030">
        <w:tc>
          <w:tcPr>
            <w:tcW w:w="3686" w:type="dxa"/>
            <w:tcBorders>
              <w:top w:val="single" w:sz="4" w:space="0" w:color="auto"/>
            </w:tcBorders>
            <w:vAlign w:val="center"/>
          </w:tcPr>
          <w:p w14:paraId="2F07B8E7" w14:textId="77777777" w:rsidR="00F63030" w:rsidRPr="00F63030" w:rsidRDefault="00F63030" w:rsidP="00F63030">
            <w:pPr>
              <w:spacing w:after="0" w:line="240" w:lineRule="auto"/>
              <w:rPr>
                <w:rFonts w:eastAsia="Calibri" w:cs="Times New Roman"/>
                <w:bCs/>
              </w:rPr>
            </w:pPr>
          </w:p>
        </w:tc>
        <w:tc>
          <w:tcPr>
            <w:tcW w:w="708" w:type="dxa"/>
            <w:tcBorders>
              <w:top w:val="single" w:sz="4" w:space="0" w:color="auto"/>
            </w:tcBorders>
            <w:vAlign w:val="center"/>
          </w:tcPr>
          <w:p w14:paraId="564D365B" w14:textId="77777777" w:rsidR="00F63030" w:rsidRPr="00F63030" w:rsidRDefault="00F63030" w:rsidP="00F63030">
            <w:pPr>
              <w:spacing w:after="0" w:line="240" w:lineRule="auto"/>
              <w:rPr>
                <w:rFonts w:eastAsia="Calibri" w:cs="Times New Roman"/>
                <w:bCs/>
              </w:rPr>
            </w:pPr>
          </w:p>
        </w:tc>
        <w:tc>
          <w:tcPr>
            <w:tcW w:w="709" w:type="dxa"/>
            <w:tcBorders>
              <w:top w:val="single" w:sz="4" w:space="0" w:color="auto"/>
            </w:tcBorders>
            <w:vAlign w:val="center"/>
          </w:tcPr>
          <w:p w14:paraId="6B2B22FD" w14:textId="77777777" w:rsidR="00F63030" w:rsidRPr="00F63030" w:rsidRDefault="00F63030" w:rsidP="00F63030">
            <w:pPr>
              <w:spacing w:after="0" w:line="240" w:lineRule="auto"/>
              <w:rPr>
                <w:rFonts w:eastAsia="Calibri" w:cs="Times New Roman"/>
                <w:bCs/>
              </w:rPr>
            </w:pPr>
          </w:p>
        </w:tc>
        <w:tc>
          <w:tcPr>
            <w:tcW w:w="709" w:type="dxa"/>
            <w:tcBorders>
              <w:top w:val="single" w:sz="4" w:space="0" w:color="auto"/>
            </w:tcBorders>
            <w:vAlign w:val="center"/>
          </w:tcPr>
          <w:p w14:paraId="70EA2D42" w14:textId="77777777" w:rsidR="00F63030" w:rsidRPr="00F63030" w:rsidRDefault="00F63030" w:rsidP="00F63030">
            <w:pPr>
              <w:spacing w:after="0" w:line="240" w:lineRule="auto"/>
              <w:rPr>
                <w:rFonts w:eastAsia="Calibri" w:cs="Times New Roman"/>
                <w:bCs/>
              </w:rPr>
            </w:pPr>
          </w:p>
        </w:tc>
        <w:tc>
          <w:tcPr>
            <w:tcW w:w="708" w:type="dxa"/>
            <w:tcBorders>
              <w:top w:val="single" w:sz="4" w:space="0" w:color="auto"/>
            </w:tcBorders>
            <w:vAlign w:val="center"/>
          </w:tcPr>
          <w:p w14:paraId="62D725CD" w14:textId="77777777" w:rsidR="00F63030" w:rsidRPr="00F63030" w:rsidRDefault="00F63030" w:rsidP="00F63030">
            <w:pPr>
              <w:spacing w:after="0" w:line="240" w:lineRule="auto"/>
              <w:rPr>
                <w:rFonts w:eastAsia="Calibri" w:cs="Times New Roman"/>
                <w:bCs/>
              </w:rPr>
            </w:pPr>
          </w:p>
        </w:tc>
        <w:tc>
          <w:tcPr>
            <w:tcW w:w="709" w:type="dxa"/>
            <w:tcBorders>
              <w:top w:val="single" w:sz="4" w:space="0" w:color="auto"/>
            </w:tcBorders>
            <w:vAlign w:val="center"/>
          </w:tcPr>
          <w:p w14:paraId="72D207CE" w14:textId="77777777" w:rsidR="00F63030" w:rsidRPr="00F63030" w:rsidRDefault="00F63030" w:rsidP="00F63030">
            <w:pPr>
              <w:spacing w:after="0" w:line="240" w:lineRule="auto"/>
              <w:rPr>
                <w:rFonts w:eastAsia="Calibri" w:cs="Times New Roman"/>
                <w:bCs/>
              </w:rPr>
            </w:pPr>
          </w:p>
        </w:tc>
        <w:tc>
          <w:tcPr>
            <w:tcW w:w="709" w:type="dxa"/>
            <w:tcBorders>
              <w:top w:val="single" w:sz="4" w:space="0" w:color="auto"/>
            </w:tcBorders>
            <w:vAlign w:val="center"/>
          </w:tcPr>
          <w:p w14:paraId="7E825DF9" w14:textId="77777777" w:rsidR="00F63030" w:rsidRPr="00F63030" w:rsidRDefault="00F63030" w:rsidP="00F63030">
            <w:pPr>
              <w:spacing w:after="0" w:line="240" w:lineRule="auto"/>
              <w:rPr>
                <w:rFonts w:eastAsia="Calibri" w:cs="Times New Roman"/>
                <w:bCs/>
              </w:rPr>
            </w:pPr>
          </w:p>
        </w:tc>
      </w:tr>
      <w:tr w:rsidR="00F63030" w:rsidRPr="00F63030" w14:paraId="213DEB8A" w14:textId="77777777" w:rsidTr="00F63030">
        <w:tc>
          <w:tcPr>
            <w:tcW w:w="3686" w:type="dxa"/>
            <w:vAlign w:val="bottom"/>
          </w:tcPr>
          <w:p w14:paraId="67B65825" w14:textId="77777777" w:rsidR="00F63030" w:rsidRPr="00F63030" w:rsidRDefault="00F63030" w:rsidP="00F63030">
            <w:pPr>
              <w:spacing w:after="0" w:line="240" w:lineRule="auto"/>
              <w:rPr>
                <w:rFonts w:eastAsia="Calibri" w:cs="Times New Roman"/>
                <w:bCs/>
              </w:rPr>
            </w:pPr>
            <w:r w:rsidRPr="00F63030">
              <w:rPr>
                <w:rFonts w:eastAsia="Calibri" w:cs="Times New Roman"/>
                <w:bCs/>
              </w:rPr>
              <w:t>allowance</w:t>
            </w:r>
          </w:p>
        </w:tc>
        <w:tc>
          <w:tcPr>
            <w:tcW w:w="708" w:type="dxa"/>
            <w:vAlign w:val="bottom"/>
          </w:tcPr>
          <w:p w14:paraId="596060CD"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16E7EC0"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7016344"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3/0</w:t>
            </w:r>
          </w:p>
        </w:tc>
        <w:tc>
          <w:tcPr>
            <w:tcW w:w="708" w:type="dxa"/>
            <w:vAlign w:val="bottom"/>
          </w:tcPr>
          <w:p w14:paraId="3B4A0789"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220FF8D3"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59C97943" w14:textId="77777777" w:rsidR="00F63030" w:rsidRPr="00F63030" w:rsidRDefault="00F63030" w:rsidP="00F63030">
            <w:pPr>
              <w:spacing w:after="0" w:line="240" w:lineRule="auto"/>
              <w:jc w:val="center"/>
              <w:rPr>
                <w:rFonts w:eastAsia="Calibri" w:cs="Times New Roman"/>
                <w:bCs/>
              </w:rPr>
            </w:pPr>
          </w:p>
        </w:tc>
      </w:tr>
      <w:tr w:rsidR="00F63030" w:rsidRPr="00F63030" w14:paraId="691516E5" w14:textId="77777777" w:rsidTr="00F63030">
        <w:tc>
          <w:tcPr>
            <w:tcW w:w="3686" w:type="dxa"/>
            <w:vAlign w:val="bottom"/>
          </w:tcPr>
          <w:p w14:paraId="5F81CBB2" w14:textId="77777777" w:rsidR="00F63030" w:rsidRPr="00F63030" w:rsidRDefault="00F63030" w:rsidP="00F63030">
            <w:pPr>
              <w:spacing w:after="0" w:line="240" w:lineRule="auto"/>
              <w:rPr>
                <w:rFonts w:eastAsia="Calibri" w:cs="Times New Roman"/>
                <w:bCs/>
              </w:rPr>
            </w:pPr>
            <w:r w:rsidRPr="00F63030">
              <w:rPr>
                <w:rFonts w:eastAsia="Calibri" w:cs="Times New Roman"/>
                <w:bCs/>
              </w:rPr>
              <w:t>decrease in fair value</w:t>
            </w:r>
          </w:p>
        </w:tc>
        <w:tc>
          <w:tcPr>
            <w:tcW w:w="708" w:type="dxa"/>
            <w:vAlign w:val="bottom"/>
          </w:tcPr>
          <w:p w14:paraId="11705F35"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1F012B2E"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0AE23CA9" w14:textId="77777777" w:rsidR="00F63030" w:rsidRPr="00F63030" w:rsidRDefault="00F63030" w:rsidP="00F63030">
            <w:pPr>
              <w:spacing w:after="0" w:line="240" w:lineRule="auto"/>
              <w:jc w:val="center"/>
              <w:rPr>
                <w:rFonts w:eastAsia="Calibri" w:cs="Times New Roman"/>
                <w:bCs/>
              </w:rPr>
            </w:pPr>
          </w:p>
        </w:tc>
        <w:tc>
          <w:tcPr>
            <w:tcW w:w="708" w:type="dxa"/>
            <w:vAlign w:val="bottom"/>
          </w:tcPr>
          <w:p w14:paraId="243DD4AC"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73148394"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7508AE56"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1/0</w:t>
            </w:r>
          </w:p>
        </w:tc>
      </w:tr>
      <w:tr w:rsidR="00F63030" w:rsidRPr="00F63030" w14:paraId="0DC3F44B" w14:textId="77777777" w:rsidTr="00F63030">
        <w:tc>
          <w:tcPr>
            <w:tcW w:w="3686" w:type="dxa"/>
            <w:vAlign w:val="bottom"/>
          </w:tcPr>
          <w:p w14:paraId="691C408E" w14:textId="77777777" w:rsidR="00F63030" w:rsidRPr="00F63030" w:rsidRDefault="00F63030" w:rsidP="00F63030">
            <w:pPr>
              <w:spacing w:after="0" w:line="240" w:lineRule="auto"/>
              <w:rPr>
                <w:rFonts w:eastAsia="Calibri" w:cs="Times New Roman"/>
                <w:bCs/>
              </w:rPr>
            </w:pPr>
            <w:r w:rsidRPr="00F63030">
              <w:rPr>
                <w:rFonts w:eastAsia="Calibri" w:cs="Times New Roman"/>
                <w:bCs/>
              </w:rPr>
              <w:t>depreciation</w:t>
            </w:r>
          </w:p>
        </w:tc>
        <w:tc>
          <w:tcPr>
            <w:tcW w:w="708" w:type="dxa"/>
            <w:vAlign w:val="bottom"/>
          </w:tcPr>
          <w:p w14:paraId="7BE580F7"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2E918DD3" w14:textId="4D4CE192" w:rsidR="00F63030" w:rsidRPr="00F63030" w:rsidRDefault="00FA3BE2" w:rsidP="00F63030">
            <w:pPr>
              <w:spacing w:after="0" w:line="240" w:lineRule="auto"/>
              <w:jc w:val="center"/>
              <w:rPr>
                <w:rFonts w:eastAsia="Calibri" w:cs="Times New Roman"/>
                <w:bCs/>
              </w:rPr>
            </w:pPr>
            <w:r>
              <w:rPr>
                <w:rFonts w:eastAsia="Calibri" w:cs="Times New Roman"/>
                <w:bCs/>
              </w:rPr>
              <w:t>5</w:t>
            </w:r>
            <w:r w:rsidR="00F63030" w:rsidRPr="00F63030">
              <w:rPr>
                <w:rFonts w:eastAsia="Calibri" w:cs="Times New Roman"/>
                <w:bCs/>
              </w:rPr>
              <w:t>/</w:t>
            </w:r>
            <w:r>
              <w:rPr>
                <w:rFonts w:eastAsia="Calibri" w:cs="Times New Roman"/>
                <w:bCs/>
              </w:rPr>
              <w:t>4</w:t>
            </w:r>
          </w:p>
        </w:tc>
        <w:tc>
          <w:tcPr>
            <w:tcW w:w="709" w:type="dxa"/>
            <w:vAlign w:val="bottom"/>
          </w:tcPr>
          <w:p w14:paraId="20FAA881"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1/0</w:t>
            </w:r>
          </w:p>
        </w:tc>
        <w:tc>
          <w:tcPr>
            <w:tcW w:w="708" w:type="dxa"/>
            <w:vAlign w:val="bottom"/>
          </w:tcPr>
          <w:p w14:paraId="4B1F0FF7"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5/1</w:t>
            </w:r>
          </w:p>
        </w:tc>
        <w:tc>
          <w:tcPr>
            <w:tcW w:w="709" w:type="dxa"/>
            <w:vAlign w:val="bottom"/>
          </w:tcPr>
          <w:p w14:paraId="01B44BEE"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7CD18ABA" w14:textId="19767868" w:rsidR="00F63030" w:rsidRPr="00F63030" w:rsidRDefault="00F63030" w:rsidP="00F63030">
            <w:pPr>
              <w:spacing w:after="0" w:line="240" w:lineRule="auto"/>
              <w:jc w:val="center"/>
              <w:rPr>
                <w:rFonts w:eastAsia="Calibri" w:cs="Times New Roman"/>
                <w:bCs/>
              </w:rPr>
            </w:pPr>
          </w:p>
        </w:tc>
      </w:tr>
      <w:tr w:rsidR="00FA3BE2" w:rsidRPr="00F63030" w14:paraId="3ED61049" w14:textId="77777777" w:rsidTr="00F63030">
        <w:tc>
          <w:tcPr>
            <w:tcW w:w="3686" w:type="dxa"/>
            <w:vAlign w:val="bottom"/>
          </w:tcPr>
          <w:p w14:paraId="1A57DFB6" w14:textId="46CBDD2E" w:rsidR="00FA3BE2" w:rsidRPr="00F63030" w:rsidRDefault="00FA3BE2" w:rsidP="00F63030">
            <w:pPr>
              <w:spacing w:after="0" w:line="240" w:lineRule="auto"/>
              <w:rPr>
                <w:rFonts w:eastAsia="Calibri" w:cs="Times New Roman"/>
                <w:bCs/>
              </w:rPr>
            </w:pPr>
            <w:r>
              <w:rPr>
                <w:rFonts w:eastAsia="Calibri" w:cs="Times New Roman"/>
                <w:bCs/>
              </w:rPr>
              <w:t>depreciation and write-down</w:t>
            </w:r>
          </w:p>
        </w:tc>
        <w:tc>
          <w:tcPr>
            <w:tcW w:w="708" w:type="dxa"/>
            <w:vAlign w:val="bottom"/>
          </w:tcPr>
          <w:p w14:paraId="382E0AC1" w14:textId="77777777" w:rsidR="00FA3BE2" w:rsidRPr="00F63030" w:rsidRDefault="00FA3BE2" w:rsidP="00F63030">
            <w:pPr>
              <w:spacing w:after="0" w:line="240" w:lineRule="auto"/>
              <w:jc w:val="center"/>
              <w:rPr>
                <w:rFonts w:eastAsia="Calibri" w:cs="Times New Roman"/>
                <w:bCs/>
              </w:rPr>
            </w:pPr>
          </w:p>
        </w:tc>
        <w:tc>
          <w:tcPr>
            <w:tcW w:w="709" w:type="dxa"/>
            <w:vAlign w:val="bottom"/>
          </w:tcPr>
          <w:p w14:paraId="595F6C72" w14:textId="77777777" w:rsidR="00FA3BE2" w:rsidRDefault="00FA3BE2" w:rsidP="00F63030">
            <w:pPr>
              <w:spacing w:after="0" w:line="240" w:lineRule="auto"/>
              <w:jc w:val="center"/>
              <w:rPr>
                <w:rFonts w:eastAsia="Calibri" w:cs="Times New Roman"/>
                <w:bCs/>
              </w:rPr>
            </w:pPr>
          </w:p>
        </w:tc>
        <w:tc>
          <w:tcPr>
            <w:tcW w:w="709" w:type="dxa"/>
            <w:vAlign w:val="bottom"/>
          </w:tcPr>
          <w:p w14:paraId="3CD0458E" w14:textId="77777777" w:rsidR="00FA3BE2" w:rsidRPr="00F63030" w:rsidRDefault="00FA3BE2" w:rsidP="00F63030">
            <w:pPr>
              <w:spacing w:after="0" w:line="240" w:lineRule="auto"/>
              <w:jc w:val="center"/>
              <w:rPr>
                <w:rFonts w:eastAsia="Calibri" w:cs="Times New Roman"/>
                <w:bCs/>
              </w:rPr>
            </w:pPr>
          </w:p>
        </w:tc>
        <w:tc>
          <w:tcPr>
            <w:tcW w:w="708" w:type="dxa"/>
            <w:vAlign w:val="bottom"/>
          </w:tcPr>
          <w:p w14:paraId="1D0920E5" w14:textId="77777777" w:rsidR="00FA3BE2" w:rsidRPr="00F63030" w:rsidRDefault="00FA3BE2" w:rsidP="00F63030">
            <w:pPr>
              <w:spacing w:after="0" w:line="240" w:lineRule="auto"/>
              <w:jc w:val="center"/>
              <w:rPr>
                <w:rFonts w:eastAsia="Calibri" w:cs="Times New Roman"/>
                <w:bCs/>
              </w:rPr>
            </w:pPr>
          </w:p>
        </w:tc>
        <w:tc>
          <w:tcPr>
            <w:tcW w:w="709" w:type="dxa"/>
            <w:vAlign w:val="bottom"/>
          </w:tcPr>
          <w:p w14:paraId="023FAF89" w14:textId="77777777" w:rsidR="00FA3BE2" w:rsidRPr="00F63030" w:rsidRDefault="00FA3BE2" w:rsidP="00F63030">
            <w:pPr>
              <w:spacing w:after="0" w:line="240" w:lineRule="auto"/>
              <w:jc w:val="center"/>
              <w:rPr>
                <w:rFonts w:eastAsia="Calibri" w:cs="Times New Roman"/>
                <w:bCs/>
              </w:rPr>
            </w:pPr>
          </w:p>
        </w:tc>
        <w:tc>
          <w:tcPr>
            <w:tcW w:w="709" w:type="dxa"/>
            <w:vAlign w:val="bottom"/>
          </w:tcPr>
          <w:p w14:paraId="603DD30A" w14:textId="086BA23F" w:rsidR="00FA3BE2" w:rsidRDefault="00FA3BE2" w:rsidP="00F63030">
            <w:pPr>
              <w:spacing w:after="0" w:line="240" w:lineRule="auto"/>
              <w:jc w:val="center"/>
              <w:rPr>
                <w:rFonts w:eastAsia="Calibri" w:cs="Times New Roman"/>
                <w:bCs/>
              </w:rPr>
            </w:pPr>
            <w:r>
              <w:rPr>
                <w:rFonts w:eastAsia="Calibri" w:cs="Times New Roman"/>
                <w:bCs/>
              </w:rPr>
              <w:t>1/1</w:t>
            </w:r>
          </w:p>
        </w:tc>
      </w:tr>
      <w:tr w:rsidR="00F63030" w:rsidRPr="00F63030" w14:paraId="721FBDBB" w14:textId="77777777" w:rsidTr="00F63030">
        <w:tc>
          <w:tcPr>
            <w:tcW w:w="3686" w:type="dxa"/>
            <w:vAlign w:val="bottom"/>
          </w:tcPr>
          <w:p w14:paraId="317F88E2" w14:textId="77777777" w:rsidR="00F63030" w:rsidRPr="00F63030" w:rsidRDefault="00F63030" w:rsidP="00F63030">
            <w:pPr>
              <w:spacing w:after="0" w:line="240" w:lineRule="auto"/>
              <w:rPr>
                <w:rFonts w:eastAsia="Calibri" w:cs="Times New Roman"/>
                <w:bCs/>
              </w:rPr>
            </w:pPr>
            <w:r w:rsidRPr="00F63030">
              <w:rPr>
                <w:rFonts w:eastAsia="Calibri" w:cs="Times New Roman"/>
                <w:bCs/>
              </w:rPr>
              <w:t>loss in value</w:t>
            </w:r>
          </w:p>
        </w:tc>
        <w:tc>
          <w:tcPr>
            <w:tcW w:w="708" w:type="dxa"/>
            <w:vAlign w:val="bottom"/>
          </w:tcPr>
          <w:p w14:paraId="04B32351"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75E8C67"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313D2B2D"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1/0</w:t>
            </w:r>
          </w:p>
        </w:tc>
        <w:tc>
          <w:tcPr>
            <w:tcW w:w="708" w:type="dxa"/>
            <w:vAlign w:val="bottom"/>
          </w:tcPr>
          <w:p w14:paraId="12AE3C6F"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4151350F"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36D45E8" w14:textId="77777777" w:rsidR="00F63030" w:rsidRPr="00F63030" w:rsidRDefault="00F63030" w:rsidP="00F63030">
            <w:pPr>
              <w:spacing w:after="0" w:line="240" w:lineRule="auto"/>
              <w:jc w:val="center"/>
              <w:rPr>
                <w:rFonts w:eastAsia="Calibri" w:cs="Times New Roman"/>
                <w:bCs/>
              </w:rPr>
            </w:pPr>
          </w:p>
        </w:tc>
      </w:tr>
      <w:tr w:rsidR="00F63030" w:rsidRPr="00F63030" w14:paraId="1C58D9A7" w14:textId="77777777" w:rsidTr="00F63030">
        <w:tc>
          <w:tcPr>
            <w:tcW w:w="3686" w:type="dxa"/>
            <w:vAlign w:val="bottom"/>
          </w:tcPr>
          <w:p w14:paraId="46BE90B7" w14:textId="77777777" w:rsidR="00F63030" w:rsidRPr="00F63030" w:rsidRDefault="00F63030" w:rsidP="00F63030">
            <w:pPr>
              <w:spacing w:after="0" w:line="240" w:lineRule="auto"/>
              <w:rPr>
                <w:rFonts w:eastAsia="Calibri" w:cs="Times New Roman"/>
                <w:bCs/>
              </w:rPr>
            </w:pPr>
            <w:r w:rsidRPr="00F63030">
              <w:rPr>
                <w:rFonts w:eastAsia="Calibri" w:cs="Times New Roman"/>
                <w:bCs/>
              </w:rPr>
              <w:t>provision</w:t>
            </w:r>
          </w:p>
        </w:tc>
        <w:tc>
          <w:tcPr>
            <w:tcW w:w="708" w:type="dxa"/>
            <w:vAlign w:val="bottom"/>
          </w:tcPr>
          <w:p w14:paraId="17C297F8"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0/1</w:t>
            </w:r>
          </w:p>
        </w:tc>
        <w:tc>
          <w:tcPr>
            <w:tcW w:w="709" w:type="dxa"/>
            <w:vAlign w:val="bottom"/>
          </w:tcPr>
          <w:p w14:paraId="1F4CD69E"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1D236D9"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5/1</w:t>
            </w:r>
          </w:p>
        </w:tc>
        <w:tc>
          <w:tcPr>
            <w:tcW w:w="708" w:type="dxa"/>
            <w:vAlign w:val="bottom"/>
          </w:tcPr>
          <w:p w14:paraId="588F1FA9"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1/1</w:t>
            </w:r>
          </w:p>
        </w:tc>
        <w:tc>
          <w:tcPr>
            <w:tcW w:w="709" w:type="dxa"/>
            <w:vAlign w:val="bottom"/>
          </w:tcPr>
          <w:p w14:paraId="05BE87C4"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1/1</w:t>
            </w:r>
          </w:p>
        </w:tc>
        <w:tc>
          <w:tcPr>
            <w:tcW w:w="709" w:type="dxa"/>
            <w:vAlign w:val="bottom"/>
          </w:tcPr>
          <w:p w14:paraId="796B16DB" w14:textId="77777777" w:rsidR="00F63030" w:rsidRPr="00F63030" w:rsidRDefault="00F63030" w:rsidP="00F63030">
            <w:pPr>
              <w:spacing w:after="0" w:line="240" w:lineRule="auto"/>
              <w:jc w:val="center"/>
              <w:rPr>
                <w:rFonts w:eastAsia="Calibri" w:cs="Times New Roman"/>
                <w:bCs/>
              </w:rPr>
            </w:pPr>
          </w:p>
        </w:tc>
      </w:tr>
      <w:tr w:rsidR="00F63030" w:rsidRPr="00F63030" w14:paraId="63F3204C" w14:textId="77777777" w:rsidTr="00F63030">
        <w:tc>
          <w:tcPr>
            <w:tcW w:w="3686" w:type="dxa"/>
            <w:vAlign w:val="bottom"/>
          </w:tcPr>
          <w:p w14:paraId="17A2AC85" w14:textId="77777777" w:rsidR="00F63030" w:rsidRPr="00F63030" w:rsidRDefault="00F63030" w:rsidP="00F63030">
            <w:pPr>
              <w:spacing w:after="0" w:line="240" w:lineRule="auto"/>
              <w:rPr>
                <w:rFonts w:eastAsia="Calibri" w:cs="Times New Roman"/>
                <w:bCs/>
              </w:rPr>
            </w:pPr>
            <w:r w:rsidRPr="00F63030">
              <w:rPr>
                <w:rFonts w:eastAsia="Calibri" w:cs="Times New Roman"/>
                <w:bCs/>
              </w:rPr>
              <w:t>unscheduled depreciation</w:t>
            </w:r>
          </w:p>
        </w:tc>
        <w:tc>
          <w:tcPr>
            <w:tcW w:w="708" w:type="dxa"/>
            <w:vAlign w:val="bottom"/>
          </w:tcPr>
          <w:p w14:paraId="56C11D6B"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49926710" w14:textId="70F5E381" w:rsidR="00F63030" w:rsidRPr="00F63030" w:rsidRDefault="001073D2" w:rsidP="00FA3BE2">
            <w:pPr>
              <w:spacing w:after="0" w:line="240" w:lineRule="auto"/>
              <w:jc w:val="center"/>
              <w:rPr>
                <w:rFonts w:eastAsia="Calibri" w:cs="Times New Roman"/>
                <w:bCs/>
              </w:rPr>
            </w:pPr>
            <w:r>
              <w:rPr>
                <w:rFonts w:eastAsia="Calibri" w:cs="Times New Roman"/>
                <w:bCs/>
              </w:rPr>
              <w:t>4</w:t>
            </w:r>
            <w:r w:rsidR="00F63030" w:rsidRPr="00F63030">
              <w:rPr>
                <w:rFonts w:eastAsia="Calibri" w:cs="Times New Roman"/>
                <w:bCs/>
              </w:rPr>
              <w:t>/</w:t>
            </w:r>
            <w:r w:rsidR="00FA3BE2">
              <w:rPr>
                <w:rFonts w:eastAsia="Calibri" w:cs="Times New Roman"/>
                <w:bCs/>
              </w:rPr>
              <w:t>2</w:t>
            </w:r>
          </w:p>
        </w:tc>
        <w:tc>
          <w:tcPr>
            <w:tcW w:w="709" w:type="dxa"/>
            <w:vAlign w:val="bottom"/>
          </w:tcPr>
          <w:p w14:paraId="1088BECF" w14:textId="77777777" w:rsidR="00F63030" w:rsidRPr="00F63030" w:rsidRDefault="00F63030" w:rsidP="00F63030">
            <w:pPr>
              <w:spacing w:after="0" w:line="240" w:lineRule="auto"/>
              <w:jc w:val="center"/>
              <w:rPr>
                <w:rFonts w:eastAsia="Calibri" w:cs="Times New Roman"/>
                <w:bCs/>
              </w:rPr>
            </w:pPr>
          </w:p>
        </w:tc>
        <w:tc>
          <w:tcPr>
            <w:tcW w:w="708" w:type="dxa"/>
            <w:vAlign w:val="bottom"/>
          </w:tcPr>
          <w:p w14:paraId="690CD78D"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2CB61996"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61004F68" w14:textId="77777777" w:rsidR="00F63030" w:rsidRPr="00F63030" w:rsidRDefault="00F63030" w:rsidP="00F63030">
            <w:pPr>
              <w:spacing w:after="0" w:line="240" w:lineRule="auto"/>
              <w:jc w:val="center"/>
              <w:rPr>
                <w:rFonts w:eastAsia="Calibri" w:cs="Times New Roman"/>
                <w:bCs/>
              </w:rPr>
            </w:pPr>
          </w:p>
        </w:tc>
      </w:tr>
      <w:tr w:rsidR="00F63030" w:rsidRPr="00F63030" w14:paraId="3C519625" w14:textId="77777777" w:rsidTr="00F63030">
        <w:tc>
          <w:tcPr>
            <w:tcW w:w="3686" w:type="dxa"/>
            <w:vAlign w:val="bottom"/>
          </w:tcPr>
          <w:p w14:paraId="012AE372" w14:textId="77777777" w:rsidR="00F63030" w:rsidRPr="00F63030" w:rsidRDefault="00F63030" w:rsidP="00F63030">
            <w:pPr>
              <w:spacing w:after="0" w:line="240" w:lineRule="auto"/>
              <w:rPr>
                <w:rFonts w:eastAsia="Calibri" w:cs="Times New Roman"/>
                <w:bCs/>
              </w:rPr>
            </w:pPr>
            <w:r w:rsidRPr="00F63030">
              <w:rPr>
                <w:rFonts w:eastAsia="Calibri" w:cs="Times New Roman"/>
                <w:bCs/>
              </w:rPr>
              <w:t>unscheduled write-down</w:t>
            </w:r>
          </w:p>
        </w:tc>
        <w:tc>
          <w:tcPr>
            <w:tcW w:w="708" w:type="dxa"/>
            <w:vAlign w:val="bottom"/>
          </w:tcPr>
          <w:p w14:paraId="65644C1A"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53C86A6C" w14:textId="54AE8C6A" w:rsidR="00F63030" w:rsidRPr="00F63030" w:rsidRDefault="00FA3BE2" w:rsidP="00F63030">
            <w:pPr>
              <w:spacing w:after="0" w:line="240" w:lineRule="auto"/>
              <w:jc w:val="center"/>
              <w:rPr>
                <w:rFonts w:eastAsia="Calibri" w:cs="Times New Roman"/>
                <w:bCs/>
              </w:rPr>
            </w:pPr>
            <w:r>
              <w:rPr>
                <w:rFonts w:eastAsia="Calibri" w:cs="Times New Roman"/>
                <w:bCs/>
              </w:rPr>
              <w:t>0</w:t>
            </w:r>
            <w:r w:rsidR="00F63030" w:rsidRPr="00F63030">
              <w:rPr>
                <w:rFonts w:eastAsia="Calibri" w:cs="Times New Roman"/>
                <w:bCs/>
              </w:rPr>
              <w:t>/</w:t>
            </w:r>
            <w:r>
              <w:rPr>
                <w:rFonts w:eastAsia="Calibri" w:cs="Times New Roman"/>
                <w:bCs/>
              </w:rPr>
              <w:t>2</w:t>
            </w:r>
          </w:p>
        </w:tc>
        <w:tc>
          <w:tcPr>
            <w:tcW w:w="709" w:type="dxa"/>
            <w:vAlign w:val="bottom"/>
          </w:tcPr>
          <w:p w14:paraId="4AA78288" w14:textId="77777777" w:rsidR="00F63030" w:rsidRPr="00F63030" w:rsidRDefault="00F63030" w:rsidP="00F63030">
            <w:pPr>
              <w:spacing w:after="0" w:line="240" w:lineRule="auto"/>
              <w:jc w:val="center"/>
              <w:rPr>
                <w:rFonts w:eastAsia="Calibri" w:cs="Times New Roman"/>
                <w:bCs/>
              </w:rPr>
            </w:pPr>
          </w:p>
        </w:tc>
        <w:tc>
          <w:tcPr>
            <w:tcW w:w="708" w:type="dxa"/>
            <w:vAlign w:val="bottom"/>
          </w:tcPr>
          <w:p w14:paraId="17477852"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2BDF9E42"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3CC713DB" w14:textId="77777777" w:rsidR="00F63030" w:rsidRPr="00F63030" w:rsidRDefault="00F63030" w:rsidP="00F63030">
            <w:pPr>
              <w:spacing w:after="0" w:line="240" w:lineRule="auto"/>
              <w:jc w:val="center"/>
              <w:rPr>
                <w:rFonts w:eastAsia="Calibri" w:cs="Times New Roman"/>
                <w:bCs/>
              </w:rPr>
            </w:pPr>
          </w:p>
        </w:tc>
      </w:tr>
      <w:tr w:rsidR="00F63030" w:rsidRPr="00F63030" w14:paraId="3278C877" w14:textId="77777777" w:rsidTr="00F63030">
        <w:tc>
          <w:tcPr>
            <w:tcW w:w="3686" w:type="dxa"/>
            <w:vAlign w:val="bottom"/>
          </w:tcPr>
          <w:p w14:paraId="20F9DE43" w14:textId="5572BA94" w:rsidR="00F63030" w:rsidRPr="00F63030" w:rsidRDefault="00F63030" w:rsidP="00F63030">
            <w:pPr>
              <w:spacing w:after="0" w:line="240" w:lineRule="auto"/>
              <w:rPr>
                <w:rFonts w:eastAsia="Calibri" w:cs="Times New Roman"/>
                <w:bCs/>
              </w:rPr>
            </w:pPr>
            <w:r w:rsidRPr="00F63030">
              <w:rPr>
                <w:rFonts w:eastAsia="Calibri" w:cs="Times New Roman"/>
                <w:bCs/>
              </w:rPr>
              <w:t>value adjustment due to deterioration</w:t>
            </w:r>
          </w:p>
        </w:tc>
        <w:tc>
          <w:tcPr>
            <w:tcW w:w="708" w:type="dxa"/>
            <w:vAlign w:val="bottom"/>
          </w:tcPr>
          <w:p w14:paraId="2CD07B7F"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551E71BB"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0BFDEE6D" w14:textId="77777777" w:rsidR="00F63030" w:rsidRPr="00F63030" w:rsidRDefault="00F63030" w:rsidP="00F63030">
            <w:pPr>
              <w:spacing w:after="0" w:line="240" w:lineRule="auto"/>
              <w:jc w:val="center"/>
              <w:rPr>
                <w:rFonts w:eastAsia="Calibri" w:cs="Times New Roman"/>
                <w:bCs/>
              </w:rPr>
            </w:pPr>
          </w:p>
        </w:tc>
        <w:tc>
          <w:tcPr>
            <w:tcW w:w="708" w:type="dxa"/>
            <w:vAlign w:val="bottom"/>
          </w:tcPr>
          <w:p w14:paraId="27B076C2"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37C8BBEE"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2ADE6FEE" w14:textId="77777777" w:rsidR="00F63030" w:rsidRPr="00F63030" w:rsidRDefault="00F63030" w:rsidP="00F63030">
            <w:pPr>
              <w:spacing w:after="0" w:line="240" w:lineRule="auto"/>
              <w:jc w:val="center"/>
              <w:rPr>
                <w:rFonts w:eastAsia="Calibri" w:cs="Times New Roman"/>
                <w:bCs/>
              </w:rPr>
            </w:pPr>
            <w:r w:rsidRPr="00F63030">
              <w:rPr>
                <w:rFonts w:eastAsia="Calibri" w:cs="Times New Roman"/>
                <w:bCs/>
              </w:rPr>
              <w:t>2/0</w:t>
            </w:r>
          </w:p>
        </w:tc>
      </w:tr>
      <w:tr w:rsidR="00F63030" w:rsidRPr="00F63030" w14:paraId="769E67E1" w14:textId="77777777" w:rsidTr="00F63030">
        <w:tc>
          <w:tcPr>
            <w:tcW w:w="3686" w:type="dxa"/>
            <w:vAlign w:val="bottom"/>
          </w:tcPr>
          <w:p w14:paraId="5EAF5040" w14:textId="77777777" w:rsidR="00F63030" w:rsidRPr="00F63030" w:rsidRDefault="00F63030" w:rsidP="00F63030">
            <w:pPr>
              <w:spacing w:after="0" w:line="240" w:lineRule="auto"/>
              <w:rPr>
                <w:rFonts w:eastAsia="Calibri" w:cs="Times New Roman"/>
                <w:bCs/>
              </w:rPr>
            </w:pPr>
            <w:r w:rsidRPr="00F63030">
              <w:rPr>
                <w:rFonts w:eastAsia="Calibri" w:cs="Times New Roman"/>
                <w:bCs/>
              </w:rPr>
              <w:t>write-down</w:t>
            </w:r>
          </w:p>
        </w:tc>
        <w:tc>
          <w:tcPr>
            <w:tcW w:w="708" w:type="dxa"/>
            <w:vAlign w:val="bottom"/>
          </w:tcPr>
          <w:p w14:paraId="06A68AFC"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3E2E8FF5" w14:textId="474D97F9" w:rsidR="00F63030" w:rsidRPr="00F63030" w:rsidRDefault="00FA3BE2" w:rsidP="00F63030">
            <w:pPr>
              <w:spacing w:after="0" w:line="240" w:lineRule="auto"/>
              <w:jc w:val="center"/>
              <w:rPr>
                <w:rFonts w:eastAsia="Calibri" w:cs="Times New Roman"/>
                <w:bCs/>
              </w:rPr>
            </w:pPr>
            <w:r>
              <w:rPr>
                <w:rFonts w:eastAsia="Calibri" w:cs="Times New Roman"/>
                <w:bCs/>
              </w:rPr>
              <w:t>7</w:t>
            </w:r>
            <w:r w:rsidR="00F63030" w:rsidRPr="00F63030">
              <w:rPr>
                <w:rFonts w:eastAsia="Calibri" w:cs="Times New Roman"/>
                <w:bCs/>
              </w:rPr>
              <w:t>/1</w:t>
            </w:r>
          </w:p>
        </w:tc>
        <w:tc>
          <w:tcPr>
            <w:tcW w:w="709" w:type="dxa"/>
            <w:vAlign w:val="bottom"/>
          </w:tcPr>
          <w:p w14:paraId="1B557C81" w14:textId="77777777" w:rsidR="00F63030" w:rsidRPr="00F63030" w:rsidRDefault="00F63030" w:rsidP="00F63030">
            <w:pPr>
              <w:spacing w:after="0" w:line="240" w:lineRule="auto"/>
              <w:jc w:val="center"/>
              <w:rPr>
                <w:rFonts w:eastAsia="Calibri" w:cs="Times New Roman"/>
                <w:bCs/>
              </w:rPr>
            </w:pPr>
          </w:p>
        </w:tc>
        <w:tc>
          <w:tcPr>
            <w:tcW w:w="708" w:type="dxa"/>
            <w:vAlign w:val="bottom"/>
          </w:tcPr>
          <w:p w14:paraId="399613D1"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4D83002F" w14:textId="77777777" w:rsidR="00F63030" w:rsidRPr="00F63030" w:rsidRDefault="00F63030" w:rsidP="00F63030">
            <w:pPr>
              <w:spacing w:after="0" w:line="240" w:lineRule="auto"/>
              <w:jc w:val="center"/>
              <w:rPr>
                <w:rFonts w:eastAsia="Calibri" w:cs="Times New Roman"/>
                <w:bCs/>
              </w:rPr>
            </w:pPr>
          </w:p>
        </w:tc>
        <w:tc>
          <w:tcPr>
            <w:tcW w:w="709" w:type="dxa"/>
            <w:vAlign w:val="bottom"/>
          </w:tcPr>
          <w:p w14:paraId="35AADAF3" w14:textId="26E88860" w:rsidR="00F63030" w:rsidRPr="00F63030" w:rsidRDefault="00F63030" w:rsidP="00F63030">
            <w:pPr>
              <w:spacing w:after="0" w:line="240" w:lineRule="auto"/>
              <w:jc w:val="center"/>
              <w:rPr>
                <w:rFonts w:eastAsia="Calibri" w:cs="Times New Roman"/>
                <w:bCs/>
              </w:rPr>
            </w:pPr>
            <w:r w:rsidRPr="00F63030">
              <w:rPr>
                <w:rFonts w:eastAsia="Calibri" w:cs="Times New Roman"/>
                <w:bCs/>
              </w:rPr>
              <w:t>1</w:t>
            </w:r>
            <w:r w:rsidR="001073D2">
              <w:rPr>
                <w:rFonts w:eastAsia="Calibri" w:cs="Times New Roman"/>
                <w:bCs/>
              </w:rPr>
              <w:t>2</w:t>
            </w:r>
            <w:r w:rsidRPr="00F63030">
              <w:rPr>
                <w:rFonts w:eastAsia="Calibri" w:cs="Times New Roman"/>
                <w:bCs/>
              </w:rPr>
              <w:t>/</w:t>
            </w:r>
            <w:r w:rsidR="001073D2">
              <w:rPr>
                <w:rFonts w:eastAsia="Calibri" w:cs="Times New Roman"/>
                <w:bCs/>
              </w:rPr>
              <w:t>5</w:t>
            </w:r>
          </w:p>
        </w:tc>
      </w:tr>
      <w:tr w:rsidR="00F63030" w:rsidRPr="00F63030" w14:paraId="58D7CFDA" w14:textId="77777777" w:rsidTr="00F63030">
        <w:tc>
          <w:tcPr>
            <w:tcW w:w="3686" w:type="dxa"/>
            <w:tcBorders>
              <w:bottom w:val="single" w:sz="4" w:space="0" w:color="auto"/>
            </w:tcBorders>
            <w:vAlign w:val="center"/>
          </w:tcPr>
          <w:p w14:paraId="36040725" w14:textId="77777777" w:rsidR="00F63030" w:rsidRPr="00F63030" w:rsidRDefault="00F63030" w:rsidP="00F63030">
            <w:pPr>
              <w:spacing w:after="0" w:line="240" w:lineRule="auto"/>
              <w:rPr>
                <w:rFonts w:eastAsia="Calibri" w:cs="Times New Roman"/>
                <w:bCs/>
              </w:rPr>
            </w:pPr>
          </w:p>
        </w:tc>
        <w:tc>
          <w:tcPr>
            <w:tcW w:w="708" w:type="dxa"/>
            <w:tcBorders>
              <w:bottom w:val="single" w:sz="4" w:space="0" w:color="auto"/>
            </w:tcBorders>
            <w:vAlign w:val="center"/>
          </w:tcPr>
          <w:p w14:paraId="5392D934" w14:textId="77777777" w:rsidR="00F63030" w:rsidRPr="00F63030" w:rsidRDefault="00F63030" w:rsidP="00F63030">
            <w:pPr>
              <w:spacing w:after="0" w:line="240" w:lineRule="auto"/>
              <w:rPr>
                <w:rFonts w:eastAsia="Calibri" w:cs="Times New Roman"/>
                <w:bCs/>
              </w:rPr>
            </w:pPr>
          </w:p>
        </w:tc>
        <w:tc>
          <w:tcPr>
            <w:tcW w:w="709" w:type="dxa"/>
            <w:tcBorders>
              <w:bottom w:val="single" w:sz="4" w:space="0" w:color="auto"/>
            </w:tcBorders>
            <w:vAlign w:val="center"/>
          </w:tcPr>
          <w:p w14:paraId="43A373A9" w14:textId="77777777" w:rsidR="00F63030" w:rsidRPr="00F63030" w:rsidRDefault="00F63030" w:rsidP="00F63030">
            <w:pPr>
              <w:spacing w:after="0" w:line="240" w:lineRule="auto"/>
              <w:rPr>
                <w:rFonts w:eastAsia="Calibri" w:cs="Times New Roman"/>
                <w:bCs/>
              </w:rPr>
            </w:pPr>
          </w:p>
        </w:tc>
        <w:tc>
          <w:tcPr>
            <w:tcW w:w="709" w:type="dxa"/>
            <w:tcBorders>
              <w:bottom w:val="single" w:sz="4" w:space="0" w:color="auto"/>
            </w:tcBorders>
            <w:vAlign w:val="center"/>
          </w:tcPr>
          <w:p w14:paraId="7098F714" w14:textId="77777777" w:rsidR="00F63030" w:rsidRPr="00F63030" w:rsidRDefault="00F63030" w:rsidP="00F63030">
            <w:pPr>
              <w:spacing w:after="0" w:line="240" w:lineRule="auto"/>
              <w:rPr>
                <w:rFonts w:eastAsia="Calibri" w:cs="Times New Roman"/>
                <w:bCs/>
              </w:rPr>
            </w:pPr>
          </w:p>
        </w:tc>
        <w:tc>
          <w:tcPr>
            <w:tcW w:w="708" w:type="dxa"/>
            <w:tcBorders>
              <w:bottom w:val="single" w:sz="4" w:space="0" w:color="auto"/>
            </w:tcBorders>
            <w:vAlign w:val="center"/>
          </w:tcPr>
          <w:p w14:paraId="374BAE8E" w14:textId="77777777" w:rsidR="00F63030" w:rsidRPr="00F63030" w:rsidRDefault="00F63030" w:rsidP="00F63030">
            <w:pPr>
              <w:spacing w:after="0" w:line="240" w:lineRule="auto"/>
              <w:rPr>
                <w:rFonts w:eastAsia="Calibri" w:cs="Times New Roman"/>
                <w:bCs/>
              </w:rPr>
            </w:pPr>
          </w:p>
        </w:tc>
        <w:tc>
          <w:tcPr>
            <w:tcW w:w="709" w:type="dxa"/>
            <w:tcBorders>
              <w:bottom w:val="single" w:sz="4" w:space="0" w:color="auto"/>
            </w:tcBorders>
            <w:vAlign w:val="center"/>
          </w:tcPr>
          <w:p w14:paraId="6D7453D3" w14:textId="77777777" w:rsidR="00F63030" w:rsidRPr="00F63030" w:rsidRDefault="00F63030" w:rsidP="00F63030">
            <w:pPr>
              <w:spacing w:after="0" w:line="240" w:lineRule="auto"/>
              <w:rPr>
                <w:rFonts w:eastAsia="Calibri" w:cs="Times New Roman"/>
                <w:bCs/>
              </w:rPr>
            </w:pPr>
          </w:p>
        </w:tc>
        <w:tc>
          <w:tcPr>
            <w:tcW w:w="709" w:type="dxa"/>
            <w:tcBorders>
              <w:bottom w:val="single" w:sz="4" w:space="0" w:color="auto"/>
            </w:tcBorders>
            <w:vAlign w:val="center"/>
          </w:tcPr>
          <w:p w14:paraId="22C0C87B" w14:textId="77777777" w:rsidR="00F63030" w:rsidRPr="00F63030" w:rsidRDefault="00F63030" w:rsidP="00F63030">
            <w:pPr>
              <w:spacing w:after="0" w:line="240" w:lineRule="auto"/>
              <w:rPr>
                <w:rFonts w:eastAsia="Calibri" w:cs="Times New Roman"/>
                <w:bCs/>
              </w:rPr>
            </w:pPr>
          </w:p>
        </w:tc>
      </w:tr>
    </w:tbl>
    <w:p w14:paraId="6A4DCEBC" w14:textId="77777777" w:rsidR="00F63030" w:rsidRPr="00F63030" w:rsidRDefault="00F63030" w:rsidP="00F63030">
      <w:pPr>
        <w:spacing w:after="0" w:line="240" w:lineRule="auto"/>
        <w:rPr>
          <w:szCs w:val="20"/>
        </w:rPr>
      </w:pPr>
    </w:p>
    <w:p w14:paraId="2EC705D0" w14:textId="6C0DA253" w:rsidR="00F63030" w:rsidRPr="00F63030" w:rsidRDefault="00F63030" w:rsidP="00BC1B1A">
      <w:pPr>
        <w:spacing w:after="0" w:line="240" w:lineRule="auto"/>
        <w:rPr>
          <w:b/>
          <w:lang w:eastAsia="en-GB"/>
        </w:rPr>
      </w:pPr>
      <w:r w:rsidRPr="00F63030">
        <w:rPr>
          <w:szCs w:val="20"/>
        </w:rPr>
        <w:t xml:space="preserve">Notes: </w:t>
      </w:r>
      <w:r w:rsidR="0077140E" w:rsidRPr="0077140E">
        <w:rPr>
          <w:szCs w:val="20"/>
        </w:rPr>
        <w:t xml:space="preserve">We define </w:t>
      </w:r>
      <w:r w:rsidR="0077140E">
        <w:rPr>
          <w:szCs w:val="20"/>
        </w:rPr>
        <w:t>‘</w:t>
      </w:r>
      <w:r w:rsidR="00F9525F">
        <w:rPr>
          <w:szCs w:val="20"/>
        </w:rPr>
        <w:t>non-proximate</w:t>
      </w:r>
      <w:r w:rsidR="0077140E">
        <w:rPr>
          <w:szCs w:val="20"/>
        </w:rPr>
        <w:t xml:space="preserve">’ </w:t>
      </w:r>
      <w:r w:rsidR="00FA66F9">
        <w:rPr>
          <w:szCs w:val="20"/>
        </w:rPr>
        <w:t>term</w:t>
      </w:r>
      <w:r w:rsidR="0077140E">
        <w:rPr>
          <w:szCs w:val="20"/>
        </w:rPr>
        <w:t xml:space="preserve">s </w:t>
      </w:r>
      <w:r w:rsidR="0077140E" w:rsidRPr="0077140E">
        <w:rPr>
          <w:szCs w:val="20"/>
        </w:rPr>
        <w:t>as words or phrases which do not include ‘impairment’.</w:t>
      </w:r>
      <w:r w:rsidR="0077140E">
        <w:rPr>
          <w:szCs w:val="20"/>
        </w:rPr>
        <w:t xml:space="preserve"> </w:t>
      </w:r>
      <w:r w:rsidR="00A17D71" w:rsidRPr="00B8480D">
        <w:t xml:space="preserve">The </w:t>
      </w:r>
      <w:r w:rsidR="00A17D71">
        <w:t xml:space="preserve">countries are Brazil (BR), </w:t>
      </w:r>
      <w:r w:rsidR="00A17D71" w:rsidRPr="00B8480D">
        <w:t>Germany (DE), Spain (ES</w:t>
      </w:r>
      <w:r w:rsidR="00A17D71">
        <w:t xml:space="preserve">), France (FR), </w:t>
      </w:r>
      <w:r w:rsidR="00A17D71" w:rsidRPr="00B8480D">
        <w:t xml:space="preserve">Hong </w:t>
      </w:r>
      <w:r w:rsidR="00A17D71">
        <w:t>Kong (HK) and Italy (IT)</w:t>
      </w:r>
      <w:r w:rsidR="00A17D71" w:rsidRPr="00B8480D">
        <w:t>.</w:t>
      </w:r>
      <w:r w:rsidRPr="00F63030">
        <w:rPr>
          <w:szCs w:val="20"/>
        </w:rPr>
        <w:t>The first number for any country relates to our ‘first year’ and the second to our ‘last year’</w:t>
      </w:r>
      <w:r w:rsidR="00FA3BE2">
        <w:rPr>
          <w:szCs w:val="20"/>
        </w:rPr>
        <w:t xml:space="preserve"> (mostly 2005 and 2013, respectively)</w:t>
      </w:r>
      <w:r w:rsidRPr="00F63030">
        <w:rPr>
          <w:szCs w:val="20"/>
        </w:rPr>
        <w:t xml:space="preserve">. The line for ‘unscheduled depreciation’ includes instances of ‘non-scheduled depreciation’ and ‘non-regular depreciation’; </w:t>
      </w:r>
      <w:r w:rsidR="00FA3BE2">
        <w:rPr>
          <w:szCs w:val="20"/>
        </w:rPr>
        <w:t>‘unscheduled write-down’ includes ‘non-scheduled write-down’;</w:t>
      </w:r>
      <w:r w:rsidR="00FA3BE2" w:rsidRPr="00F63030">
        <w:rPr>
          <w:szCs w:val="20"/>
        </w:rPr>
        <w:t xml:space="preserve"> </w:t>
      </w:r>
      <w:r w:rsidRPr="00F63030">
        <w:rPr>
          <w:szCs w:val="20"/>
        </w:rPr>
        <w:t>‘depreciation’ includes ‘net depreciation’</w:t>
      </w:r>
      <w:r w:rsidR="00FA3BE2">
        <w:rPr>
          <w:szCs w:val="20"/>
        </w:rPr>
        <w:t>; and ‘write-down’ includes ‘write down’ and ‘writedown’</w:t>
      </w:r>
      <w:r w:rsidRPr="00F63030">
        <w:rPr>
          <w:szCs w:val="20"/>
        </w:rPr>
        <w:t xml:space="preserve">. We report singulars (e.g. </w:t>
      </w:r>
      <w:r w:rsidR="00FA3BE2">
        <w:rPr>
          <w:szCs w:val="20"/>
        </w:rPr>
        <w:t>allowance</w:t>
      </w:r>
      <w:r w:rsidRPr="00F63030">
        <w:rPr>
          <w:szCs w:val="20"/>
        </w:rPr>
        <w:t xml:space="preserve">) in the table even though many firms use plurals (e.g. </w:t>
      </w:r>
      <w:r w:rsidR="00FA3BE2">
        <w:rPr>
          <w:szCs w:val="20"/>
        </w:rPr>
        <w:t>allowances</w:t>
      </w:r>
      <w:r w:rsidRPr="00F63030">
        <w:rPr>
          <w:szCs w:val="20"/>
        </w:rPr>
        <w:t>)</w:t>
      </w:r>
      <w:r w:rsidR="00FA3BE2">
        <w:rPr>
          <w:szCs w:val="20"/>
        </w:rPr>
        <w:t>; in particular, the plural is used in all but one</w:t>
      </w:r>
      <w:r w:rsidR="00F85699">
        <w:rPr>
          <w:szCs w:val="20"/>
        </w:rPr>
        <w:t xml:space="preserve"> of the instances of</w:t>
      </w:r>
      <w:r w:rsidR="00FA3BE2">
        <w:rPr>
          <w:szCs w:val="20"/>
        </w:rPr>
        <w:t xml:space="preserve"> ‘write-down’</w:t>
      </w:r>
      <w:r w:rsidRPr="00F63030">
        <w:rPr>
          <w:szCs w:val="20"/>
        </w:rPr>
        <w:t>.</w:t>
      </w:r>
    </w:p>
    <w:p w14:paraId="2436C937" w14:textId="77777777" w:rsidR="00F63030" w:rsidRPr="00F63030" w:rsidRDefault="00F63030" w:rsidP="00F63030">
      <w:pPr>
        <w:rPr>
          <w:b/>
          <w:lang w:eastAsia="en-GB"/>
        </w:rPr>
      </w:pPr>
    </w:p>
    <w:p w14:paraId="64D215D9" w14:textId="2D1B0358" w:rsidR="00F63030" w:rsidRPr="00F63030" w:rsidRDefault="00F63030" w:rsidP="00F63030">
      <w:pPr>
        <w:pageBreakBefore/>
        <w:spacing w:after="0" w:line="240" w:lineRule="auto"/>
        <w:rPr>
          <w:b/>
          <w:szCs w:val="20"/>
        </w:rPr>
      </w:pPr>
      <w:r w:rsidRPr="00F63030">
        <w:rPr>
          <w:b/>
          <w:szCs w:val="20"/>
        </w:rPr>
        <w:t>Table 3</w:t>
      </w:r>
      <w:r w:rsidR="00CB0428">
        <w:rPr>
          <w:b/>
          <w:szCs w:val="20"/>
        </w:rPr>
        <w:t>.</w:t>
      </w:r>
      <w:r w:rsidRPr="00F63030">
        <w:rPr>
          <w:b/>
          <w:szCs w:val="20"/>
        </w:rPr>
        <w:t xml:space="preserve"> </w:t>
      </w:r>
      <w:r w:rsidRPr="00F63030">
        <w:rPr>
          <w:b/>
          <w:szCs w:val="20"/>
        </w:rPr>
        <w:br/>
      </w:r>
      <w:r w:rsidRPr="00C61056">
        <w:rPr>
          <w:szCs w:val="20"/>
        </w:rPr>
        <w:t xml:space="preserve">Frequency of </w:t>
      </w:r>
      <w:r w:rsidR="00F9525F">
        <w:rPr>
          <w:lang w:eastAsia="en-GB"/>
        </w:rPr>
        <w:t>non-proximate</w:t>
      </w:r>
      <w:r w:rsidRPr="00C61056">
        <w:rPr>
          <w:szCs w:val="20"/>
        </w:rPr>
        <w:t xml:space="preserve"> </w:t>
      </w:r>
      <w:r w:rsidR="00FA66F9">
        <w:rPr>
          <w:szCs w:val="20"/>
        </w:rPr>
        <w:t>term</w:t>
      </w:r>
      <w:r w:rsidRPr="00C61056">
        <w:rPr>
          <w:szCs w:val="20"/>
        </w:rPr>
        <w:t>s</w:t>
      </w:r>
      <w:r w:rsidR="00617552">
        <w:rPr>
          <w:szCs w:val="20"/>
        </w:rPr>
        <w:t xml:space="preserve"> for impairment found</w:t>
      </w:r>
      <w:r w:rsidRPr="00C61056">
        <w:rPr>
          <w:szCs w:val="20"/>
        </w:rPr>
        <w:t xml:space="preserve"> in </w:t>
      </w:r>
      <w:r w:rsidR="00CB0428" w:rsidRPr="00C61056">
        <w:rPr>
          <w:szCs w:val="20"/>
        </w:rPr>
        <w:t>a</w:t>
      </w:r>
      <w:r w:rsidRPr="00C61056">
        <w:rPr>
          <w:szCs w:val="20"/>
        </w:rPr>
        <w:t xml:space="preserve">nnual </w:t>
      </w:r>
      <w:r w:rsidR="00CB0428" w:rsidRPr="00C61056">
        <w:rPr>
          <w:szCs w:val="20"/>
        </w:rPr>
        <w:t>r</w:t>
      </w:r>
      <w:r w:rsidRPr="00C61056">
        <w:rPr>
          <w:szCs w:val="20"/>
        </w:rPr>
        <w:t>eports</w:t>
      </w:r>
      <w:r w:rsidR="001E2E42" w:rsidRPr="001E2E42">
        <w:rPr>
          <w:szCs w:val="20"/>
        </w:rPr>
        <w:t xml:space="preserve"> </w:t>
      </w:r>
      <w:r w:rsidR="001E2E42">
        <w:rPr>
          <w:szCs w:val="20"/>
        </w:rPr>
        <w:t>translated into English</w:t>
      </w:r>
    </w:p>
    <w:p w14:paraId="6A9D21FC" w14:textId="77777777" w:rsidR="00F63030" w:rsidRPr="00F63030" w:rsidRDefault="00F63030" w:rsidP="00F63030">
      <w:pPr>
        <w:spacing w:after="0" w:line="240" w:lineRule="auto"/>
        <w:rPr>
          <w:szCs w:val="20"/>
        </w:rPr>
      </w:pPr>
    </w:p>
    <w:tbl>
      <w:tblPr>
        <w:tblW w:w="7938" w:type="dxa"/>
        <w:tblLayout w:type="fixed"/>
        <w:tblCellMar>
          <w:left w:w="0" w:type="dxa"/>
          <w:right w:w="0" w:type="dxa"/>
        </w:tblCellMar>
        <w:tblLook w:val="00A0" w:firstRow="1" w:lastRow="0" w:firstColumn="1" w:lastColumn="0" w:noHBand="0" w:noVBand="0"/>
      </w:tblPr>
      <w:tblGrid>
        <w:gridCol w:w="882"/>
        <w:gridCol w:w="252"/>
        <w:gridCol w:w="993"/>
        <w:gridCol w:w="1275"/>
        <w:gridCol w:w="1008"/>
        <w:gridCol w:w="268"/>
        <w:gridCol w:w="992"/>
        <w:gridCol w:w="1276"/>
        <w:gridCol w:w="992"/>
      </w:tblGrid>
      <w:tr w:rsidR="00F63030" w:rsidRPr="00F63030" w14:paraId="01B5A933" w14:textId="77777777" w:rsidTr="00F63030">
        <w:tc>
          <w:tcPr>
            <w:tcW w:w="882" w:type="dxa"/>
            <w:tcBorders>
              <w:top w:val="single" w:sz="4" w:space="0" w:color="auto"/>
            </w:tcBorders>
            <w:vAlign w:val="center"/>
          </w:tcPr>
          <w:p w14:paraId="292DBFED" w14:textId="77777777" w:rsidR="00F63030" w:rsidRPr="00F63030" w:rsidRDefault="00F63030" w:rsidP="00F63030">
            <w:pPr>
              <w:spacing w:after="0" w:line="240" w:lineRule="auto"/>
              <w:rPr>
                <w:rFonts w:eastAsia="Calibri" w:cs="Times New Roman"/>
                <w:b/>
                <w:bCs/>
              </w:rPr>
            </w:pPr>
          </w:p>
        </w:tc>
        <w:tc>
          <w:tcPr>
            <w:tcW w:w="252" w:type="dxa"/>
            <w:tcBorders>
              <w:top w:val="single" w:sz="4" w:space="0" w:color="auto"/>
            </w:tcBorders>
            <w:vAlign w:val="center"/>
          </w:tcPr>
          <w:p w14:paraId="5B28B8D8" w14:textId="77777777" w:rsidR="00F63030" w:rsidRPr="00F63030" w:rsidRDefault="00F63030" w:rsidP="00F63030">
            <w:pPr>
              <w:spacing w:after="0" w:line="240" w:lineRule="auto"/>
              <w:rPr>
                <w:rFonts w:eastAsia="Calibri" w:cs="Times New Roman"/>
                <w:b/>
                <w:bCs/>
              </w:rPr>
            </w:pPr>
          </w:p>
        </w:tc>
        <w:tc>
          <w:tcPr>
            <w:tcW w:w="993" w:type="dxa"/>
            <w:tcBorders>
              <w:top w:val="single" w:sz="4" w:space="0" w:color="auto"/>
            </w:tcBorders>
            <w:vAlign w:val="center"/>
          </w:tcPr>
          <w:p w14:paraId="444816D4" w14:textId="77777777" w:rsidR="00F63030" w:rsidRPr="00F63030" w:rsidRDefault="00F63030" w:rsidP="00F63030">
            <w:pPr>
              <w:spacing w:after="0" w:line="240" w:lineRule="auto"/>
              <w:rPr>
                <w:rFonts w:eastAsia="Calibri" w:cs="Times New Roman"/>
                <w:b/>
                <w:bCs/>
              </w:rPr>
            </w:pPr>
          </w:p>
        </w:tc>
        <w:tc>
          <w:tcPr>
            <w:tcW w:w="1275" w:type="dxa"/>
            <w:tcBorders>
              <w:top w:val="single" w:sz="4" w:space="0" w:color="auto"/>
            </w:tcBorders>
            <w:vAlign w:val="center"/>
          </w:tcPr>
          <w:p w14:paraId="1CA08D1F"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First Year</w:t>
            </w:r>
          </w:p>
        </w:tc>
        <w:tc>
          <w:tcPr>
            <w:tcW w:w="1008" w:type="dxa"/>
            <w:tcBorders>
              <w:top w:val="single" w:sz="4" w:space="0" w:color="auto"/>
            </w:tcBorders>
            <w:vAlign w:val="center"/>
          </w:tcPr>
          <w:p w14:paraId="5652AA63" w14:textId="77777777" w:rsidR="00F63030" w:rsidRPr="00F63030" w:rsidRDefault="00F63030" w:rsidP="00F63030">
            <w:pPr>
              <w:spacing w:after="0" w:line="240" w:lineRule="auto"/>
              <w:rPr>
                <w:rFonts w:eastAsia="Calibri" w:cs="Times New Roman"/>
                <w:b/>
                <w:bCs/>
              </w:rPr>
            </w:pPr>
          </w:p>
        </w:tc>
        <w:tc>
          <w:tcPr>
            <w:tcW w:w="268" w:type="dxa"/>
            <w:tcBorders>
              <w:top w:val="single" w:sz="4" w:space="0" w:color="auto"/>
            </w:tcBorders>
            <w:vAlign w:val="center"/>
          </w:tcPr>
          <w:p w14:paraId="3C5F86C9" w14:textId="77777777" w:rsidR="00F63030" w:rsidRPr="00F63030" w:rsidRDefault="00F63030" w:rsidP="00F63030">
            <w:pPr>
              <w:spacing w:after="0" w:line="240" w:lineRule="auto"/>
              <w:rPr>
                <w:rFonts w:eastAsia="Calibri" w:cs="Times New Roman"/>
                <w:b/>
                <w:bCs/>
              </w:rPr>
            </w:pPr>
          </w:p>
        </w:tc>
        <w:tc>
          <w:tcPr>
            <w:tcW w:w="992" w:type="dxa"/>
            <w:tcBorders>
              <w:top w:val="single" w:sz="4" w:space="0" w:color="auto"/>
            </w:tcBorders>
            <w:vAlign w:val="center"/>
          </w:tcPr>
          <w:p w14:paraId="37C2994C" w14:textId="77777777" w:rsidR="00F63030" w:rsidRPr="00F63030" w:rsidRDefault="00F63030" w:rsidP="00F63030">
            <w:pPr>
              <w:spacing w:after="0" w:line="240" w:lineRule="auto"/>
              <w:rPr>
                <w:rFonts w:eastAsia="Calibri" w:cs="Times New Roman"/>
                <w:b/>
                <w:bCs/>
              </w:rPr>
            </w:pPr>
          </w:p>
        </w:tc>
        <w:tc>
          <w:tcPr>
            <w:tcW w:w="1276" w:type="dxa"/>
            <w:tcBorders>
              <w:top w:val="single" w:sz="4" w:space="0" w:color="auto"/>
              <w:bottom w:val="single" w:sz="4" w:space="0" w:color="auto"/>
            </w:tcBorders>
            <w:vAlign w:val="center"/>
          </w:tcPr>
          <w:p w14:paraId="3F7FCF01" w14:textId="77777777" w:rsidR="00F63030" w:rsidRPr="00F63030" w:rsidRDefault="00F63030" w:rsidP="00F63030">
            <w:pPr>
              <w:spacing w:after="0" w:line="240" w:lineRule="auto"/>
              <w:jc w:val="center"/>
              <w:rPr>
                <w:rFonts w:eastAsia="Calibri" w:cs="Times New Roman"/>
                <w:b/>
                <w:bCs/>
              </w:rPr>
            </w:pPr>
            <w:r w:rsidRPr="00F63030">
              <w:rPr>
                <w:rFonts w:eastAsia="Calibri" w:cs="Times New Roman"/>
                <w:b/>
                <w:bCs/>
              </w:rPr>
              <w:t>Last Year</w:t>
            </w:r>
          </w:p>
        </w:tc>
        <w:tc>
          <w:tcPr>
            <w:tcW w:w="992" w:type="dxa"/>
            <w:tcBorders>
              <w:top w:val="single" w:sz="4" w:space="0" w:color="auto"/>
              <w:bottom w:val="single" w:sz="4" w:space="0" w:color="auto"/>
            </w:tcBorders>
            <w:vAlign w:val="center"/>
          </w:tcPr>
          <w:p w14:paraId="25351D66" w14:textId="77777777" w:rsidR="00F63030" w:rsidRPr="00F63030" w:rsidRDefault="00F63030" w:rsidP="00F63030">
            <w:pPr>
              <w:spacing w:after="0" w:line="240" w:lineRule="auto"/>
              <w:rPr>
                <w:rFonts w:eastAsia="Calibri" w:cs="Times New Roman"/>
                <w:b/>
                <w:bCs/>
              </w:rPr>
            </w:pPr>
          </w:p>
        </w:tc>
      </w:tr>
      <w:tr w:rsidR="00F63030" w:rsidRPr="00F63030" w14:paraId="45DD05EF" w14:textId="77777777" w:rsidTr="00F63030">
        <w:tc>
          <w:tcPr>
            <w:tcW w:w="882" w:type="dxa"/>
            <w:tcBorders>
              <w:bottom w:val="single" w:sz="4" w:space="0" w:color="auto"/>
            </w:tcBorders>
            <w:vAlign w:val="center"/>
          </w:tcPr>
          <w:p w14:paraId="3128C685" w14:textId="77777777" w:rsidR="00F63030" w:rsidRPr="00F63030" w:rsidRDefault="00F63030" w:rsidP="00F63030">
            <w:pPr>
              <w:spacing w:after="0" w:line="240" w:lineRule="auto"/>
              <w:rPr>
                <w:rFonts w:eastAsia="Calibri" w:cs="Times New Roman"/>
                <w:b/>
                <w:bCs/>
              </w:rPr>
            </w:pPr>
            <w:r w:rsidRPr="00F63030">
              <w:rPr>
                <w:rFonts w:eastAsia="Calibri" w:cs="Times New Roman"/>
                <w:b/>
                <w:bCs/>
              </w:rPr>
              <w:t>Country</w:t>
            </w:r>
          </w:p>
        </w:tc>
        <w:tc>
          <w:tcPr>
            <w:tcW w:w="252" w:type="dxa"/>
            <w:vAlign w:val="center"/>
          </w:tcPr>
          <w:p w14:paraId="0454B09E" w14:textId="77777777" w:rsidR="00F63030" w:rsidRPr="00F63030" w:rsidRDefault="00F63030" w:rsidP="00F63030">
            <w:pPr>
              <w:spacing w:after="0" w:line="240" w:lineRule="auto"/>
              <w:rPr>
                <w:rFonts w:eastAsia="Calibri" w:cs="Times New Roman"/>
                <w:b/>
                <w:bCs/>
              </w:rPr>
            </w:pPr>
          </w:p>
        </w:tc>
        <w:tc>
          <w:tcPr>
            <w:tcW w:w="993" w:type="dxa"/>
            <w:tcBorders>
              <w:top w:val="single" w:sz="4" w:space="0" w:color="auto"/>
            </w:tcBorders>
            <w:vAlign w:val="center"/>
          </w:tcPr>
          <w:p w14:paraId="40084EC7" w14:textId="77777777"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Firms</w:t>
            </w:r>
          </w:p>
        </w:tc>
        <w:tc>
          <w:tcPr>
            <w:tcW w:w="1275" w:type="dxa"/>
            <w:tcBorders>
              <w:top w:val="single" w:sz="4" w:space="0" w:color="auto"/>
            </w:tcBorders>
            <w:vAlign w:val="center"/>
          </w:tcPr>
          <w:p w14:paraId="19C2F6AC" w14:textId="21EBC2BA"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 xml:space="preserve"># </w:t>
            </w:r>
            <w:r w:rsidR="008B1817">
              <w:rPr>
                <w:rFonts w:eastAsia="Calibri" w:cs="Times New Roman"/>
                <w:b/>
                <w:bCs/>
              </w:rPr>
              <w:t>Term</w:t>
            </w:r>
            <w:r w:rsidRPr="00F63030">
              <w:rPr>
                <w:rFonts w:eastAsia="Calibri" w:cs="Times New Roman"/>
                <w:b/>
                <w:bCs/>
              </w:rPr>
              <w:t>s</w:t>
            </w:r>
          </w:p>
        </w:tc>
        <w:tc>
          <w:tcPr>
            <w:tcW w:w="1008" w:type="dxa"/>
            <w:tcBorders>
              <w:top w:val="single" w:sz="4" w:space="0" w:color="auto"/>
            </w:tcBorders>
            <w:vAlign w:val="center"/>
          </w:tcPr>
          <w:p w14:paraId="677DD7CF" w14:textId="77777777"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in %</w:t>
            </w:r>
          </w:p>
        </w:tc>
        <w:tc>
          <w:tcPr>
            <w:tcW w:w="268" w:type="dxa"/>
            <w:vAlign w:val="center"/>
          </w:tcPr>
          <w:p w14:paraId="61CD0A4C" w14:textId="77777777" w:rsidR="00F63030" w:rsidRPr="00F63030" w:rsidRDefault="00F63030" w:rsidP="00F63030">
            <w:pPr>
              <w:spacing w:after="0" w:line="240" w:lineRule="auto"/>
              <w:rPr>
                <w:rFonts w:eastAsia="Calibri" w:cs="Times New Roman"/>
                <w:b/>
                <w:bCs/>
              </w:rPr>
            </w:pPr>
          </w:p>
        </w:tc>
        <w:tc>
          <w:tcPr>
            <w:tcW w:w="992" w:type="dxa"/>
            <w:tcBorders>
              <w:top w:val="single" w:sz="4" w:space="0" w:color="auto"/>
            </w:tcBorders>
            <w:vAlign w:val="center"/>
          </w:tcPr>
          <w:p w14:paraId="1210E73E" w14:textId="77777777"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Firms</w:t>
            </w:r>
          </w:p>
        </w:tc>
        <w:tc>
          <w:tcPr>
            <w:tcW w:w="1276" w:type="dxa"/>
            <w:tcBorders>
              <w:top w:val="single" w:sz="4" w:space="0" w:color="auto"/>
              <w:bottom w:val="single" w:sz="4" w:space="0" w:color="auto"/>
            </w:tcBorders>
            <w:vAlign w:val="center"/>
          </w:tcPr>
          <w:p w14:paraId="2D840300" w14:textId="6C9A1E47"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 xml:space="preserve"># </w:t>
            </w:r>
            <w:r w:rsidR="008B1817">
              <w:rPr>
                <w:rFonts w:eastAsia="Calibri" w:cs="Times New Roman"/>
                <w:b/>
                <w:bCs/>
              </w:rPr>
              <w:t>Term</w:t>
            </w:r>
            <w:r w:rsidRPr="00F63030">
              <w:rPr>
                <w:rFonts w:eastAsia="Calibri" w:cs="Times New Roman"/>
                <w:b/>
                <w:bCs/>
              </w:rPr>
              <w:t>s</w:t>
            </w:r>
          </w:p>
        </w:tc>
        <w:tc>
          <w:tcPr>
            <w:tcW w:w="992" w:type="dxa"/>
            <w:tcBorders>
              <w:top w:val="single" w:sz="4" w:space="0" w:color="auto"/>
              <w:bottom w:val="single" w:sz="4" w:space="0" w:color="auto"/>
            </w:tcBorders>
            <w:vAlign w:val="center"/>
          </w:tcPr>
          <w:p w14:paraId="3C73E9CC" w14:textId="77777777" w:rsidR="00F63030" w:rsidRPr="00F63030" w:rsidRDefault="00F63030" w:rsidP="00F63030">
            <w:pPr>
              <w:spacing w:after="0" w:line="240" w:lineRule="auto"/>
              <w:jc w:val="right"/>
              <w:rPr>
                <w:rFonts w:eastAsia="Calibri" w:cs="Times New Roman"/>
                <w:b/>
                <w:bCs/>
              </w:rPr>
            </w:pPr>
            <w:r w:rsidRPr="00F63030">
              <w:rPr>
                <w:rFonts w:eastAsia="Calibri" w:cs="Times New Roman"/>
                <w:b/>
                <w:bCs/>
              </w:rPr>
              <w:t>in %</w:t>
            </w:r>
          </w:p>
        </w:tc>
      </w:tr>
      <w:tr w:rsidR="00F63030" w:rsidRPr="00F63030" w14:paraId="19468BC2" w14:textId="77777777" w:rsidTr="00F63030">
        <w:tc>
          <w:tcPr>
            <w:tcW w:w="882" w:type="dxa"/>
            <w:tcBorders>
              <w:top w:val="single" w:sz="4" w:space="0" w:color="auto"/>
            </w:tcBorders>
            <w:vAlign w:val="center"/>
          </w:tcPr>
          <w:p w14:paraId="4B397EF6" w14:textId="77777777" w:rsidR="00F63030" w:rsidRPr="00F63030" w:rsidRDefault="00F63030" w:rsidP="00F63030">
            <w:pPr>
              <w:spacing w:after="0" w:line="240" w:lineRule="auto"/>
              <w:rPr>
                <w:rFonts w:eastAsia="Calibri" w:cs="Times New Roman"/>
                <w:bCs/>
              </w:rPr>
            </w:pPr>
          </w:p>
        </w:tc>
        <w:tc>
          <w:tcPr>
            <w:tcW w:w="252" w:type="dxa"/>
            <w:vAlign w:val="center"/>
          </w:tcPr>
          <w:p w14:paraId="77C874BC" w14:textId="77777777" w:rsidR="00F63030" w:rsidRPr="00F63030" w:rsidRDefault="00F63030" w:rsidP="00F63030">
            <w:pPr>
              <w:spacing w:after="0" w:line="240" w:lineRule="auto"/>
              <w:rPr>
                <w:rFonts w:eastAsia="Calibri" w:cs="Times New Roman"/>
                <w:bCs/>
              </w:rPr>
            </w:pPr>
          </w:p>
        </w:tc>
        <w:tc>
          <w:tcPr>
            <w:tcW w:w="993" w:type="dxa"/>
            <w:tcBorders>
              <w:top w:val="single" w:sz="4" w:space="0" w:color="auto"/>
            </w:tcBorders>
            <w:vAlign w:val="center"/>
          </w:tcPr>
          <w:p w14:paraId="60335A8A" w14:textId="77777777" w:rsidR="00F63030" w:rsidRPr="00F63030" w:rsidRDefault="00F63030" w:rsidP="00F63030">
            <w:pPr>
              <w:spacing w:after="0" w:line="240" w:lineRule="auto"/>
              <w:rPr>
                <w:rFonts w:eastAsia="Calibri" w:cs="Times New Roman"/>
                <w:bCs/>
              </w:rPr>
            </w:pPr>
          </w:p>
        </w:tc>
        <w:tc>
          <w:tcPr>
            <w:tcW w:w="1275" w:type="dxa"/>
            <w:tcBorders>
              <w:top w:val="single" w:sz="4" w:space="0" w:color="auto"/>
            </w:tcBorders>
            <w:vAlign w:val="center"/>
          </w:tcPr>
          <w:p w14:paraId="2D253EEB" w14:textId="77777777" w:rsidR="00F63030" w:rsidRPr="00F63030" w:rsidRDefault="00F63030" w:rsidP="00F63030">
            <w:pPr>
              <w:spacing w:after="0" w:line="240" w:lineRule="auto"/>
              <w:rPr>
                <w:rFonts w:eastAsia="Calibri" w:cs="Times New Roman"/>
                <w:bCs/>
              </w:rPr>
            </w:pPr>
          </w:p>
        </w:tc>
        <w:tc>
          <w:tcPr>
            <w:tcW w:w="1008" w:type="dxa"/>
            <w:tcBorders>
              <w:top w:val="single" w:sz="4" w:space="0" w:color="auto"/>
            </w:tcBorders>
            <w:vAlign w:val="center"/>
          </w:tcPr>
          <w:p w14:paraId="08EB8E99" w14:textId="77777777" w:rsidR="00F63030" w:rsidRPr="00F63030" w:rsidRDefault="00F63030" w:rsidP="00F63030">
            <w:pPr>
              <w:spacing w:after="0" w:line="240" w:lineRule="auto"/>
              <w:rPr>
                <w:rFonts w:eastAsia="Calibri" w:cs="Times New Roman"/>
                <w:bCs/>
              </w:rPr>
            </w:pPr>
          </w:p>
        </w:tc>
        <w:tc>
          <w:tcPr>
            <w:tcW w:w="268" w:type="dxa"/>
            <w:vAlign w:val="center"/>
          </w:tcPr>
          <w:p w14:paraId="4FCA3329" w14:textId="77777777" w:rsidR="00F63030" w:rsidRPr="00F63030" w:rsidRDefault="00F63030" w:rsidP="00F63030">
            <w:pPr>
              <w:spacing w:after="0" w:line="240" w:lineRule="auto"/>
              <w:rPr>
                <w:rFonts w:eastAsia="Calibri" w:cs="Times New Roman"/>
                <w:bCs/>
              </w:rPr>
            </w:pPr>
          </w:p>
        </w:tc>
        <w:tc>
          <w:tcPr>
            <w:tcW w:w="992" w:type="dxa"/>
            <w:tcBorders>
              <w:top w:val="single" w:sz="4" w:space="0" w:color="auto"/>
            </w:tcBorders>
            <w:vAlign w:val="center"/>
          </w:tcPr>
          <w:p w14:paraId="1B1992D9" w14:textId="77777777" w:rsidR="00F63030" w:rsidRPr="00F63030" w:rsidRDefault="00F63030" w:rsidP="00F63030">
            <w:pPr>
              <w:spacing w:after="0" w:line="240" w:lineRule="auto"/>
              <w:rPr>
                <w:rFonts w:eastAsia="Calibri" w:cs="Times New Roman"/>
                <w:bCs/>
              </w:rPr>
            </w:pPr>
          </w:p>
        </w:tc>
        <w:tc>
          <w:tcPr>
            <w:tcW w:w="1276" w:type="dxa"/>
            <w:tcBorders>
              <w:top w:val="single" w:sz="4" w:space="0" w:color="auto"/>
            </w:tcBorders>
            <w:vAlign w:val="center"/>
          </w:tcPr>
          <w:p w14:paraId="3F235856" w14:textId="77777777" w:rsidR="00F63030" w:rsidRPr="00F63030" w:rsidRDefault="00F63030" w:rsidP="00F63030">
            <w:pPr>
              <w:spacing w:after="0" w:line="240" w:lineRule="auto"/>
              <w:rPr>
                <w:rFonts w:eastAsia="Calibri" w:cs="Times New Roman"/>
                <w:bCs/>
              </w:rPr>
            </w:pPr>
          </w:p>
        </w:tc>
        <w:tc>
          <w:tcPr>
            <w:tcW w:w="992" w:type="dxa"/>
            <w:tcBorders>
              <w:top w:val="single" w:sz="4" w:space="0" w:color="auto"/>
            </w:tcBorders>
            <w:vAlign w:val="center"/>
          </w:tcPr>
          <w:p w14:paraId="4A00BC59" w14:textId="77777777" w:rsidR="00F63030" w:rsidRPr="00F63030" w:rsidRDefault="00F63030" w:rsidP="00F63030">
            <w:pPr>
              <w:spacing w:after="0" w:line="240" w:lineRule="auto"/>
              <w:rPr>
                <w:rFonts w:eastAsia="Calibri" w:cs="Times New Roman"/>
                <w:bCs/>
              </w:rPr>
            </w:pPr>
          </w:p>
        </w:tc>
      </w:tr>
      <w:tr w:rsidR="00F63030" w:rsidRPr="00F63030" w14:paraId="67879B5D" w14:textId="77777777" w:rsidTr="00F63030">
        <w:tc>
          <w:tcPr>
            <w:tcW w:w="882" w:type="dxa"/>
            <w:vAlign w:val="bottom"/>
          </w:tcPr>
          <w:p w14:paraId="426C5AC2" w14:textId="77777777" w:rsidR="00F63030" w:rsidRPr="00F63030" w:rsidRDefault="00F63030" w:rsidP="00F63030">
            <w:pPr>
              <w:spacing w:after="0" w:line="240" w:lineRule="auto"/>
              <w:rPr>
                <w:rFonts w:eastAsia="Calibri" w:cs="Times New Roman"/>
                <w:bCs/>
              </w:rPr>
            </w:pPr>
            <w:r w:rsidRPr="00F63030">
              <w:rPr>
                <w:rFonts w:eastAsia="Calibri" w:cs="Times New Roman"/>
                <w:bCs/>
              </w:rPr>
              <w:t>BR</w:t>
            </w:r>
          </w:p>
        </w:tc>
        <w:tc>
          <w:tcPr>
            <w:tcW w:w="252" w:type="dxa"/>
            <w:vAlign w:val="bottom"/>
          </w:tcPr>
          <w:p w14:paraId="51E290AE" w14:textId="77777777" w:rsidR="00F63030" w:rsidRPr="00F63030" w:rsidRDefault="00F63030" w:rsidP="00F63030">
            <w:pPr>
              <w:spacing w:after="0" w:line="240" w:lineRule="auto"/>
              <w:rPr>
                <w:rFonts w:eastAsia="Calibri" w:cs="Times New Roman"/>
                <w:bCs/>
              </w:rPr>
            </w:pPr>
          </w:p>
        </w:tc>
        <w:tc>
          <w:tcPr>
            <w:tcW w:w="993" w:type="dxa"/>
            <w:vAlign w:val="bottom"/>
          </w:tcPr>
          <w:p w14:paraId="7BD532A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36</w:t>
            </w:r>
          </w:p>
        </w:tc>
        <w:tc>
          <w:tcPr>
            <w:tcW w:w="1275" w:type="dxa"/>
            <w:vAlign w:val="bottom"/>
          </w:tcPr>
          <w:p w14:paraId="3D045F5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1008" w:type="dxa"/>
            <w:vAlign w:val="bottom"/>
          </w:tcPr>
          <w:p w14:paraId="6BCB965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268" w:type="dxa"/>
            <w:vAlign w:val="bottom"/>
          </w:tcPr>
          <w:p w14:paraId="7C53E889"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3A0CDB1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36</w:t>
            </w:r>
          </w:p>
        </w:tc>
        <w:tc>
          <w:tcPr>
            <w:tcW w:w="1276" w:type="dxa"/>
            <w:vAlign w:val="bottom"/>
          </w:tcPr>
          <w:p w14:paraId="1A3CC211"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w:t>
            </w:r>
          </w:p>
        </w:tc>
        <w:tc>
          <w:tcPr>
            <w:tcW w:w="992" w:type="dxa"/>
            <w:vAlign w:val="bottom"/>
          </w:tcPr>
          <w:p w14:paraId="27EDC411"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w:t>
            </w:r>
          </w:p>
        </w:tc>
      </w:tr>
      <w:tr w:rsidR="00F63030" w:rsidRPr="00F63030" w14:paraId="109904E6" w14:textId="77777777" w:rsidTr="00F63030">
        <w:tc>
          <w:tcPr>
            <w:tcW w:w="882" w:type="dxa"/>
            <w:vAlign w:val="bottom"/>
          </w:tcPr>
          <w:p w14:paraId="58601ACC" w14:textId="77777777" w:rsidR="00F63030" w:rsidRPr="00F63030" w:rsidRDefault="00F63030" w:rsidP="00F63030">
            <w:pPr>
              <w:spacing w:after="0" w:line="240" w:lineRule="auto"/>
              <w:rPr>
                <w:rFonts w:eastAsia="Calibri" w:cs="Times New Roman"/>
                <w:bCs/>
              </w:rPr>
            </w:pPr>
            <w:r w:rsidRPr="00F63030">
              <w:rPr>
                <w:rFonts w:eastAsia="Calibri" w:cs="Times New Roman"/>
                <w:bCs/>
              </w:rPr>
              <w:t>CH</w:t>
            </w:r>
          </w:p>
        </w:tc>
        <w:tc>
          <w:tcPr>
            <w:tcW w:w="252" w:type="dxa"/>
            <w:vAlign w:val="bottom"/>
          </w:tcPr>
          <w:p w14:paraId="79F0E00B" w14:textId="77777777" w:rsidR="00F63030" w:rsidRPr="00F63030" w:rsidRDefault="00F63030" w:rsidP="00F63030">
            <w:pPr>
              <w:spacing w:after="0" w:line="240" w:lineRule="auto"/>
              <w:rPr>
                <w:rFonts w:eastAsia="Calibri" w:cs="Times New Roman"/>
                <w:bCs/>
              </w:rPr>
            </w:pPr>
          </w:p>
        </w:tc>
        <w:tc>
          <w:tcPr>
            <w:tcW w:w="993" w:type="dxa"/>
            <w:vAlign w:val="bottom"/>
          </w:tcPr>
          <w:p w14:paraId="28D00154"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20</w:t>
            </w:r>
          </w:p>
        </w:tc>
        <w:tc>
          <w:tcPr>
            <w:tcW w:w="1275" w:type="dxa"/>
            <w:vAlign w:val="bottom"/>
          </w:tcPr>
          <w:p w14:paraId="4ECFCCC1"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1008" w:type="dxa"/>
            <w:vAlign w:val="bottom"/>
          </w:tcPr>
          <w:p w14:paraId="14EEEEC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268" w:type="dxa"/>
            <w:vAlign w:val="bottom"/>
          </w:tcPr>
          <w:p w14:paraId="2D4AA933"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2449D4C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20</w:t>
            </w:r>
          </w:p>
        </w:tc>
        <w:tc>
          <w:tcPr>
            <w:tcW w:w="1276" w:type="dxa"/>
            <w:vAlign w:val="bottom"/>
          </w:tcPr>
          <w:p w14:paraId="3F73D80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992" w:type="dxa"/>
            <w:vAlign w:val="bottom"/>
          </w:tcPr>
          <w:p w14:paraId="5A33CEF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r>
      <w:tr w:rsidR="00F63030" w:rsidRPr="00F63030" w14:paraId="017499F6" w14:textId="77777777" w:rsidTr="00F63030">
        <w:tc>
          <w:tcPr>
            <w:tcW w:w="882" w:type="dxa"/>
            <w:vAlign w:val="bottom"/>
          </w:tcPr>
          <w:p w14:paraId="595DB37C" w14:textId="77777777" w:rsidR="00F63030" w:rsidRPr="00F63030" w:rsidRDefault="00F63030" w:rsidP="00F63030">
            <w:pPr>
              <w:spacing w:after="0" w:line="240" w:lineRule="auto"/>
              <w:rPr>
                <w:rFonts w:eastAsia="Calibri" w:cs="Times New Roman"/>
                <w:bCs/>
              </w:rPr>
            </w:pPr>
            <w:r w:rsidRPr="00F63030">
              <w:rPr>
                <w:rFonts w:eastAsia="Calibri" w:cs="Times New Roman"/>
                <w:bCs/>
              </w:rPr>
              <w:t>CN</w:t>
            </w:r>
          </w:p>
        </w:tc>
        <w:tc>
          <w:tcPr>
            <w:tcW w:w="252" w:type="dxa"/>
            <w:vAlign w:val="bottom"/>
          </w:tcPr>
          <w:p w14:paraId="7ABB8445" w14:textId="77777777" w:rsidR="00F63030" w:rsidRPr="00F63030" w:rsidRDefault="00F63030" w:rsidP="00F63030">
            <w:pPr>
              <w:spacing w:after="0" w:line="240" w:lineRule="auto"/>
              <w:rPr>
                <w:rFonts w:eastAsia="Calibri" w:cs="Times New Roman"/>
                <w:bCs/>
              </w:rPr>
            </w:pPr>
          </w:p>
        </w:tc>
        <w:tc>
          <w:tcPr>
            <w:tcW w:w="993" w:type="dxa"/>
            <w:vAlign w:val="bottom"/>
          </w:tcPr>
          <w:p w14:paraId="06CE3E4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55</w:t>
            </w:r>
          </w:p>
        </w:tc>
        <w:tc>
          <w:tcPr>
            <w:tcW w:w="1275" w:type="dxa"/>
            <w:vAlign w:val="bottom"/>
          </w:tcPr>
          <w:p w14:paraId="31391E43"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1008" w:type="dxa"/>
            <w:vAlign w:val="bottom"/>
          </w:tcPr>
          <w:p w14:paraId="774AC7B4"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268" w:type="dxa"/>
            <w:vAlign w:val="bottom"/>
          </w:tcPr>
          <w:p w14:paraId="0ADC3CA7"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3E0F9AA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55</w:t>
            </w:r>
          </w:p>
        </w:tc>
        <w:tc>
          <w:tcPr>
            <w:tcW w:w="1276" w:type="dxa"/>
            <w:vAlign w:val="bottom"/>
          </w:tcPr>
          <w:p w14:paraId="77ADA7A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992" w:type="dxa"/>
            <w:vAlign w:val="bottom"/>
          </w:tcPr>
          <w:p w14:paraId="5C0686F7"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r>
      <w:tr w:rsidR="00F63030" w:rsidRPr="00F63030" w14:paraId="2B9C940E" w14:textId="77777777" w:rsidTr="00F63030">
        <w:tc>
          <w:tcPr>
            <w:tcW w:w="882" w:type="dxa"/>
            <w:vAlign w:val="bottom"/>
          </w:tcPr>
          <w:p w14:paraId="714318E1" w14:textId="77777777" w:rsidR="00F63030" w:rsidRPr="00F63030" w:rsidRDefault="00F63030" w:rsidP="00F63030">
            <w:pPr>
              <w:spacing w:after="0" w:line="240" w:lineRule="auto"/>
              <w:rPr>
                <w:rFonts w:eastAsia="Calibri" w:cs="Times New Roman"/>
                <w:bCs/>
              </w:rPr>
            </w:pPr>
            <w:r w:rsidRPr="00F63030">
              <w:rPr>
                <w:rFonts w:eastAsia="Calibri" w:cs="Times New Roman"/>
                <w:bCs/>
              </w:rPr>
              <w:t>DE</w:t>
            </w:r>
          </w:p>
        </w:tc>
        <w:tc>
          <w:tcPr>
            <w:tcW w:w="252" w:type="dxa"/>
            <w:vAlign w:val="bottom"/>
          </w:tcPr>
          <w:p w14:paraId="361E5784" w14:textId="77777777" w:rsidR="00F63030" w:rsidRPr="00F63030" w:rsidRDefault="00F63030" w:rsidP="00F63030">
            <w:pPr>
              <w:spacing w:after="0" w:line="240" w:lineRule="auto"/>
              <w:rPr>
                <w:rFonts w:eastAsia="Calibri" w:cs="Times New Roman"/>
                <w:bCs/>
              </w:rPr>
            </w:pPr>
          </w:p>
        </w:tc>
        <w:tc>
          <w:tcPr>
            <w:tcW w:w="993" w:type="dxa"/>
            <w:vAlign w:val="bottom"/>
          </w:tcPr>
          <w:p w14:paraId="451037F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41</w:t>
            </w:r>
          </w:p>
        </w:tc>
        <w:tc>
          <w:tcPr>
            <w:tcW w:w="1275" w:type="dxa"/>
            <w:vAlign w:val="bottom"/>
          </w:tcPr>
          <w:p w14:paraId="1A4111B3" w14:textId="7D754982" w:rsidR="00F63030" w:rsidRPr="00F63030" w:rsidRDefault="00F63030" w:rsidP="00FA3BE2">
            <w:pPr>
              <w:spacing w:after="0" w:line="240" w:lineRule="auto"/>
              <w:jc w:val="right"/>
              <w:rPr>
                <w:rFonts w:eastAsia="Calibri" w:cs="Times New Roman"/>
                <w:bCs/>
              </w:rPr>
            </w:pPr>
            <w:r w:rsidRPr="00F63030">
              <w:rPr>
                <w:rFonts w:eastAsia="Calibri" w:cs="Times New Roman"/>
                <w:bCs/>
              </w:rPr>
              <w:t>1</w:t>
            </w:r>
            <w:r w:rsidR="00FA3BE2">
              <w:rPr>
                <w:rFonts w:eastAsia="Calibri" w:cs="Times New Roman"/>
                <w:bCs/>
              </w:rPr>
              <w:t>6</w:t>
            </w:r>
          </w:p>
        </w:tc>
        <w:tc>
          <w:tcPr>
            <w:tcW w:w="1008" w:type="dxa"/>
            <w:vAlign w:val="bottom"/>
          </w:tcPr>
          <w:p w14:paraId="4D50AE42" w14:textId="17920CDF" w:rsidR="00F63030" w:rsidRPr="00F63030" w:rsidRDefault="00FA3BE2" w:rsidP="00F63030">
            <w:pPr>
              <w:spacing w:after="0" w:line="240" w:lineRule="auto"/>
              <w:jc w:val="right"/>
              <w:rPr>
                <w:rFonts w:eastAsia="Calibri" w:cs="Times New Roman"/>
                <w:bCs/>
              </w:rPr>
            </w:pPr>
            <w:r>
              <w:rPr>
                <w:rFonts w:eastAsia="Calibri" w:cs="Times New Roman"/>
                <w:bCs/>
              </w:rPr>
              <w:t>39</w:t>
            </w:r>
            <w:r w:rsidR="00F63030" w:rsidRPr="00F63030">
              <w:rPr>
                <w:rFonts w:eastAsia="Calibri" w:cs="Times New Roman"/>
                <w:bCs/>
              </w:rPr>
              <w:t>%</w:t>
            </w:r>
          </w:p>
        </w:tc>
        <w:tc>
          <w:tcPr>
            <w:tcW w:w="268" w:type="dxa"/>
            <w:vAlign w:val="bottom"/>
          </w:tcPr>
          <w:p w14:paraId="2B39F697"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69B5C5C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41</w:t>
            </w:r>
          </w:p>
        </w:tc>
        <w:tc>
          <w:tcPr>
            <w:tcW w:w="1276" w:type="dxa"/>
            <w:vAlign w:val="bottom"/>
          </w:tcPr>
          <w:p w14:paraId="7D7296EC" w14:textId="5904783D" w:rsidR="00F63030" w:rsidRPr="00F63030" w:rsidRDefault="00FA3BE2" w:rsidP="00F63030">
            <w:pPr>
              <w:spacing w:after="0" w:line="240" w:lineRule="auto"/>
              <w:jc w:val="right"/>
              <w:rPr>
                <w:rFonts w:eastAsia="Calibri" w:cs="Times New Roman"/>
                <w:bCs/>
              </w:rPr>
            </w:pPr>
            <w:r>
              <w:rPr>
                <w:rFonts w:eastAsia="Calibri" w:cs="Times New Roman"/>
                <w:bCs/>
              </w:rPr>
              <w:t>9</w:t>
            </w:r>
          </w:p>
        </w:tc>
        <w:tc>
          <w:tcPr>
            <w:tcW w:w="992" w:type="dxa"/>
            <w:vAlign w:val="bottom"/>
          </w:tcPr>
          <w:p w14:paraId="3014DE30" w14:textId="1B85A2F7" w:rsidR="00F63030" w:rsidRPr="00F63030" w:rsidRDefault="00F63030" w:rsidP="00FA3BE2">
            <w:pPr>
              <w:spacing w:after="0" w:line="240" w:lineRule="auto"/>
              <w:jc w:val="right"/>
              <w:rPr>
                <w:rFonts w:eastAsia="Calibri" w:cs="Times New Roman"/>
                <w:bCs/>
              </w:rPr>
            </w:pPr>
            <w:r w:rsidRPr="00F63030">
              <w:rPr>
                <w:rFonts w:eastAsia="Calibri" w:cs="Times New Roman"/>
                <w:bCs/>
              </w:rPr>
              <w:t>2</w:t>
            </w:r>
            <w:r w:rsidR="00FA3BE2">
              <w:rPr>
                <w:rFonts w:eastAsia="Calibri" w:cs="Times New Roman"/>
                <w:bCs/>
              </w:rPr>
              <w:t>2</w:t>
            </w:r>
            <w:r w:rsidRPr="00F63030">
              <w:rPr>
                <w:rFonts w:eastAsia="Calibri" w:cs="Times New Roman"/>
                <w:bCs/>
              </w:rPr>
              <w:t>%</w:t>
            </w:r>
          </w:p>
        </w:tc>
      </w:tr>
      <w:tr w:rsidR="00F63030" w:rsidRPr="00F63030" w14:paraId="471FAD6F" w14:textId="77777777" w:rsidTr="00F63030">
        <w:tc>
          <w:tcPr>
            <w:tcW w:w="882" w:type="dxa"/>
            <w:vAlign w:val="bottom"/>
          </w:tcPr>
          <w:p w14:paraId="30E8B4E7" w14:textId="77777777" w:rsidR="00F63030" w:rsidRPr="00F63030" w:rsidRDefault="00F63030" w:rsidP="00F63030">
            <w:pPr>
              <w:spacing w:after="0" w:line="240" w:lineRule="auto"/>
              <w:rPr>
                <w:rFonts w:eastAsia="Calibri" w:cs="Times New Roman"/>
                <w:bCs/>
              </w:rPr>
            </w:pPr>
            <w:r w:rsidRPr="00F63030">
              <w:rPr>
                <w:rFonts w:eastAsia="Calibri" w:cs="Times New Roman"/>
                <w:bCs/>
              </w:rPr>
              <w:t>ES</w:t>
            </w:r>
          </w:p>
        </w:tc>
        <w:tc>
          <w:tcPr>
            <w:tcW w:w="252" w:type="dxa"/>
            <w:vAlign w:val="bottom"/>
          </w:tcPr>
          <w:p w14:paraId="6A70D742" w14:textId="77777777" w:rsidR="00F63030" w:rsidRPr="00F63030" w:rsidRDefault="00F63030" w:rsidP="00F63030">
            <w:pPr>
              <w:spacing w:after="0" w:line="240" w:lineRule="auto"/>
              <w:rPr>
                <w:rFonts w:eastAsia="Calibri" w:cs="Times New Roman"/>
                <w:bCs/>
              </w:rPr>
            </w:pPr>
          </w:p>
        </w:tc>
        <w:tc>
          <w:tcPr>
            <w:tcW w:w="993" w:type="dxa"/>
            <w:vAlign w:val="bottom"/>
          </w:tcPr>
          <w:p w14:paraId="05FEFAE9"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37</w:t>
            </w:r>
          </w:p>
        </w:tc>
        <w:tc>
          <w:tcPr>
            <w:tcW w:w="1275" w:type="dxa"/>
            <w:vAlign w:val="bottom"/>
          </w:tcPr>
          <w:p w14:paraId="21EC80C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10</w:t>
            </w:r>
          </w:p>
        </w:tc>
        <w:tc>
          <w:tcPr>
            <w:tcW w:w="1008" w:type="dxa"/>
            <w:vAlign w:val="bottom"/>
          </w:tcPr>
          <w:p w14:paraId="09144A3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27%</w:t>
            </w:r>
          </w:p>
        </w:tc>
        <w:tc>
          <w:tcPr>
            <w:tcW w:w="268" w:type="dxa"/>
            <w:vAlign w:val="bottom"/>
          </w:tcPr>
          <w:p w14:paraId="6A704BF0"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711E3138"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37</w:t>
            </w:r>
          </w:p>
        </w:tc>
        <w:tc>
          <w:tcPr>
            <w:tcW w:w="1276" w:type="dxa"/>
            <w:vAlign w:val="bottom"/>
          </w:tcPr>
          <w:p w14:paraId="2E5314E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w:t>
            </w:r>
          </w:p>
        </w:tc>
        <w:tc>
          <w:tcPr>
            <w:tcW w:w="992" w:type="dxa"/>
            <w:vAlign w:val="bottom"/>
          </w:tcPr>
          <w:p w14:paraId="44568B0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w:t>
            </w:r>
          </w:p>
        </w:tc>
      </w:tr>
      <w:tr w:rsidR="00F63030" w:rsidRPr="00F63030" w14:paraId="2286F870" w14:textId="77777777" w:rsidTr="00F63030">
        <w:tc>
          <w:tcPr>
            <w:tcW w:w="882" w:type="dxa"/>
            <w:vAlign w:val="bottom"/>
          </w:tcPr>
          <w:p w14:paraId="254D4FC5" w14:textId="77777777" w:rsidR="00F63030" w:rsidRPr="00F63030" w:rsidRDefault="00F63030" w:rsidP="00F63030">
            <w:pPr>
              <w:spacing w:after="0" w:line="240" w:lineRule="auto"/>
              <w:rPr>
                <w:rFonts w:eastAsia="Calibri" w:cs="Times New Roman"/>
                <w:bCs/>
              </w:rPr>
            </w:pPr>
            <w:r w:rsidRPr="00F63030">
              <w:rPr>
                <w:rFonts w:eastAsia="Calibri" w:cs="Times New Roman"/>
                <w:bCs/>
              </w:rPr>
              <w:t>FR</w:t>
            </w:r>
          </w:p>
        </w:tc>
        <w:tc>
          <w:tcPr>
            <w:tcW w:w="252" w:type="dxa"/>
            <w:vAlign w:val="bottom"/>
          </w:tcPr>
          <w:p w14:paraId="21FA073E" w14:textId="77777777" w:rsidR="00F63030" w:rsidRPr="00F63030" w:rsidRDefault="00F63030" w:rsidP="00F63030">
            <w:pPr>
              <w:spacing w:after="0" w:line="240" w:lineRule="auto"/>
              <w:rPr>
                <w:rFonts w:eastAsia="Calibri" w:cs="Times New Roman"/>
                <w:bCs/>
              </w:rPr>
            </w:pPr>
          </w:p>
        </w:tc>
        <w:tc>
          <w:tcPr>
            <w:tcW w:w="993" w:type="dxa"/>
            <w:vAlign w:val="bottom"/>
          </w:tcPr>
          <w:p w14:paraId="0FF4A4B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40</w:t>
            </w:r>
          </w:p>
        </w:tc>
        <w:tc>
          <w:tcPr>
            <w:tcW w:w="1275" w:type="dxa"/>
            <w:vAlign w:val="bottom"/>
          </w:tcPr>
          <w:p w14:paraId="376026D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6</w:t>
            </w:r>
          </w:p>
        </w:tc>
        <w:tc>
          <w:tcPr>
            <w:tcW w:w="1008" w:type="dxa"/>
            <w:vAlign w:val="bottom"/>
          </w:tcPr>
          <w:p w14:paraId="7EBE296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15%</w:t>
            </w:r>
          </w:p>
        </w:tc>
        <w:tc>
          <w:tcPr>
            <w:tcW w:w="268" w:type="dxa"/>
            <w:vAlign w:val="bottom"/>
          </w:tcPr>
          <w:p w14:paraId="6047D39F"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3E8E6E6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40</w:t>
            </w:r>
          </w:p>
        </w:tc>
        <w:tc>
          <w:tcPr>
            <w:tcW w:w="1276" w:type="dxa"/>
            <w:vAlign w:val="bottom"/>
          </w:tcPr>
          <w:p w14:paraId="792D3D2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w:t>
            </w:r>
          </w:p>
        </w:tc>
        <w:tc>
          <w:tcPr>
            <w:tcW w:w="992" w:type="dxa"/>
            <w:vAlign w:val="bottom"/>
          </w:tcPr>
          <w:p w14:paraId="578EF62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5%</w:t>
            </w:r>
          </w:p>
        </w:tc>
      </w:tr>
      <w:tr w:rsidR="00F63030" w:rsidRPr="00F63030" w14:paraId="7E98859C" w14:textId="77777777" w:rsidTr="00F63030">
        <w:tc>
          <w:tcPr>
            <w:tcW w:w="882" w:type="dxa"/>
            <w:vAlign w:val="bottom"/>
          </w:tcPr>
          <w:p w14:paraId="2EF59D3B" w14:textId="77777777" w:rsidR="00F63030" w:rsidRPr="00F63030" w:rsidRDefault="00F63030" w:rsidP="00F63030">
            <w:pPr>
              <w:spacing w:after="0" w:line="240" w:lineRule="auto"/>
              <w:rPr>
                <w:rFonts w:eastAsia="Calibri" w:cs="Times New Roman"/>
                <w:bCs/>
              </w:rPr>
            </w:pPr>
            <w:r w:rsidRPr="00F63030">
              <w:rPr>
                <w:rFonts w:eastAsia="Calibri" w:cs="Times New Roman"/>
                <w:bCs/>
              </w:rPr>
              <w:t>HK</w:t>
            </w:r>
          </w:p>
        </w:tc>
        <w:tc>
          <w:tcPr>
            <w:tcW w:w="252" w:type="dxa"/>
            <w:vAlign w:val="bottom"/>
          </w:tcPr>
          <w:p w14:paraId="1F9DB149" w14:textId="77777777" w:rsidR="00F63030" w:rsidRPr="00F63030" w:rsidRDefault="00F63030" w:rsidP="00F63030">
            <w:pPr>
              <w:spacing w:after="0" w:line="240" w:lineRule="auto"/>
              <w:rPr>
                <w:rFonts w:eastAsia="Calibri" w:cs="Times New Roman"/>
                <w:bCs/>
              </w:rPr>
            </w:pPr>
          </w:p>
        </w:tc>
        <w:tc>
          <w:tcPr>
            <w:tcW w:w="993" w:type="dxa"/>
            <w:vAlign w:val="bottom"/>
          </w:tcPr>
          <w:p w14:paraId="7FA6F09E"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23</w:t>
            </w:r>
          </w:p>
        </w:tc>
        <w:tc>
          <w:tcPr>
            <w:tcW w:w="1275" w:type="dxa"/>
            <w:vAlign w:val="bottom"/>
          </w:tcPr>
          <w:p w14:paraId="4269D8F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w:t>
            </w:r>
          </w:p>
        </w:tc>
        <w:tc>
          <w:tcPr>
            <w:tcW w:w="1008" w:type="dxa"/>
            <w:vAlign w:val="bottom"/>
          </w:tcPr>
          <w:p w14:paraId="71B4F6B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w:t>
            </w:r>
          </w:p>
        </w:tc>
        <w:tc>
          <w:tcPr>
            <w:tcW w:w="268" w:type="dxa"/>
            <w:vAlign w:val="bottom"/>
          </w:tcPr>
          <w:p w14:paraId="46697770"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5717DCE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23</w:t>
            </w:r>
          </w:p>
        </w:tc>
        <w:tc>
          <w:tcPr>
            <w:tcW w:w="1276" w:type="dxa"/>
            <w:vAlign w:val="bottom"/>
          </w:tcPr>
          <w:p w14:paraId="498356C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w:t>
            </w:r>
          </w:p>
        </w:tc>
        <w:tc>
          <w:tcPr>
            <w:tcW w:w="992" w:type="dxa"/>
            <w:vAlign w:val="bottom"/>
          </w:tcPr>
          <w:p w14:paraId="4EA3D7BE"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w:t>
            </w:r>
          </w:p>
        </w:tc>
      </w:tr>
      <w:tr w:rsidR="00F63030" w:rsidRPr="00F63030" w14:paraId="579F5AA4" w14:textId="77777777" w:rsidTr="00F63030">
        <w:tc>
          <w:tcPr>
            <w:tcW w:w="882" w:type="dxa"/>
            <w:vAlign w:val="bottom"/>
          </w:tcPr>
          <w:p w14:paraId="3C4ABFF6" w14:textId="77777777" w:rsidR="00F63030" w:rsidRPr="00F63030" w:rsidRDefault="00F63030" w:rsidP="00F63030">
            <w:pPr>
              <w:spacing w:after="0" w:line="240" w:lineRule="auto"/>
              <w:rPr>
                <w:rFonts w:eastAsia="Calibri" w:cs="Times New Roman"/>
                <w:bCs/>
              </w:rPr>
            </w:pPr>
            <w:r w:rsidRPr="00F63030">
              <w:rPr>
                <w:rFonts w:eastAsia="Calibri" w:cs="Times New Roman"/>
                <w:bCs/>
              </w:rPr>
              <w:t>IT</w:t>
            </w:r>
          </w:p>
        </w:tc>
        <w:tc>
          <w:tcPr>
            <w:tcW w:w="252" w:type="dxa"/>
            <w:vAlign w:val="bottom"/>
          </w:tcPr>
          <w:p w14:paraId="1AB317D0" w14:textId="77777777" w:rsidR="00F63030" w:rsidRPr="00F63030" w:rsidRDefault="00F63030" w:rsidP="00F63030">
            <w:pPr>
              <w:spacing w:after="0" w:line="240" w:lineRule="auto"/>
              <w:rPr>
                <w:rFonts w:eastAsia="Calibri" w:cs="Times New Roman"/>
                <w:bCs/>
              </w:rPr>
            </w:pPr>
          </w:p>
        </w:tc>
        <w:tc>
          <w:tcPr>
            <w:tcW w:w="993" w:type="dxa"/>
            <w:vAlign w:val="bottom"/>
          </w:tcPr>
          <w:p w14:paraId="63A5391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41</w:t>
            </w:r>
          </w:p>
        </w:tc>
        <w:tc>
          <w:tcPr>
            <w:tcW w:w="1275" w:type="dxa"/>
            <w:vAlign w:val="bottom"/>
          </w:tcPr>
          <w:p w14:paraId="548B04FC"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16</w:t>
            </w:r>
          </w:p>
        </w:tc>
        <w:tc>
          <w:tcPr>
            <w:tcW w:w="1008" w:type="dxa"/>
            <w:vAlign w:val="bottom"/>
          </w:tcPr>
          <w:p w14:paraId="744B202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39%</w:t>
            </w:r>
          </w:p>
        </w:tc>
        <w:tc>
          <w:tcPr>
            <w:tcW w:w="268" w:type="dxa"/>
            <w:vAlign w:val="bottom"/>
          </w:tcPr>
          <w:p w14:paraId="011D1B2A"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54A7C724"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41</w:t>
            </w:r>
          </w:p>
        </w:tc>
        <w:tc>
          <w:tcPr>
            <w:tcW w:w="1276" w:type="dxa"/>
            <w:vAlign w:val="bottom"/>
          </w:tcPr>
          <w:p w14:paraId="438F825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6</w:t>
            </w:r>
          </w:p>
        </w:tc>
        <w:tc>
          <w:tcPr>
            <w:tcW w:w="992" w:type="dxa"/>
            <w:vAlign w:val="bottom"/>
          </w:tcPr>
          <w:p w14:paraId="73888691"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15%</w:t>
            </w:r>
          </w:p>
        </w:tc>
      </w:tr>
      <w:tr w:rsidR="00F63030" w:rsidRPr="00F63030" w14:paraId="3433E944" w14:textId="77777777" w:rsidTr="00F63030">
        <w:tc>
          <w:tcPr>
            <w:tcW w:w="882" w:type="dxa"/>
            <w:vAlign w:val="bottom"/>
          </w:tcPr>
          <w:p w14:paraId="17652A0F" w14:textId="77777777" w:rsidR="00F63030" w:rsidRPr="00F63030" w:rsidRDefault="00F63030" w:rsidP="00F63030">
            <w:pPr>
              <w:spacing w:after="0" w:line="240" w:lineRule="auto"/>
              <w:rPr>
                <w:rFonts w:eastAsia="Calibri" w:cs="Times New Roman"/>
                <w:bCs/>
              </w:rPr>
            </w:pPr>
            <w:r w:rsidRPr="00F63030">
              <w:rPr>
                <w:rFonts w:eastAsia="Calibri" w:cs="Times New Roman"/>
                <w:bCs/>
              </w:rPr>
              <w:t>JP</w:t>
            </w:r>
          </w:p>
        </w:tc>
        <w:tc>
          <w:tcPr>
            <w:tcW w:w="252" w:type="dxa"/>
            <w:vAlign w:val="bottom"/>
          </w:tcPr>
          <w:p w14:paraId="1F0B4B2E" w14:textId="77777777" w:rsidR="00F63030" w:rsidRPr="00F63030" w:rsidRDefault="00F63030" w:rsidP="00F63030">
            <w:pPr>
              <w:spacing w:after="0" w:line="240" w:lineRule="auto"/>
              <w:rPr>
                <w:rFonts w:eastAsia="Calibri" w:cs="Times New Roman"/>
                <w:bCs/>
              </w:rPr>
            </w:pPr>
          </w:p>
        </w:tc>
        <w:tc>
          <w:tcPr>
            <w:tcW w:w="993" w:type="dxa"/>
            <w:vAlign w:val="bottom"/>
          </w:tcPr>
          <w:p w14:paraId="0F4FF35D" w14:textId="1F565B4C" w:rsidR="00F63030" w:rsidRPr="00F63030" w:rsidRDefault="009B65A9" w:rsidP="00F63030">
            <w:pPr>
              <w:spacing w:after="0" w:line="240" w:lineRule="auto"/>
              <w:jc w:val="right"/>
              <w:rPr>
                <w:rFonts w:eastAsia="Calibri" w:cs="Times New Roman"/>
                <w:bCs/>
              </w:rPr>
            </w:pPr>
            <w:r>
              <w:rPr>
                <w:rFonts w:eastAsia="Calibri" w:cs="Times New Roman"/>
                <w:bCs/>
              </w:rPr>
              <w:t>-</w:t>
            </w:r>
          </w:p>
        </w:tc>
        <w:tc>
          <w:tcPr>
            <w:tcW w:w="1275" w:type="dxa"/>
            <w:vAlign w:val="bottom"/>
          </w:tcPr>
          <w:p w14:paraId="0937ED7D" w14:textId="2860A994" w:rsidR="00F63030" w:rsidRPr="00F63030" w:rsidRDefault="009B65A9" w:rsidP="00F63030">
            <w:pPr>
              <w:spacing w:after="0" w:line="240" w:lineRule="auto"/>
              <w:jc w:val="right"/>
              <w:rPr>
                <w:rFonts w:eastAsia="Calibri" w:cs="Times New Roman"/>
                <w:bCs/>
              </w:rPr>
            </w:pPr>
            <w:r>
              <w:rPr>
                <w:rFonts w:eastAsia="Calibri" w:cs="Times New Roman"/>
                <w:bCs/>
              </w:rPr>
              <w:t>-</w:t>
            </w:r>
          </w:p>
        </w:tc>
        <w:tc>
          <w:tcPr>
            <w:tcW w:w="1008" w:type="dxa"/>
            <w:vAlign w:val="bottom"/>
          </w:tcPr>
          <w:p w14:paraId="419E7873" w14:textId="35AC26FE" w:rsidR="00F63030" w:rsidRPr="00F63030" w:rsidRDefault="009B65A9" w:rsidP="00F63030">
            <w:pPr>
              <w:spacing w:after="0" w:line="240" w:lineRule="auto"/>
              <w:jc w:val="right"/>
              <w:rPr>
                <w:rFonts w:eastAsia="Calibri" w:cs="Times New Roman"/>
                <w:bCs/>
              </w:rPr>
            </w:pPr>
            <w:r>
              <w:rPr>
                <w:rFonts w:eastAsia="Calibri" w:cs="Times New Roman"/>
                <w:bCs/>
              </w:rPr>
              <w:t>-</w:t>
            </w:r>
          </w:p>
        </w:tc>
        <w:tc>
          <w:tcPr>
            <w:tcW w:w="268" w:type="dxa"/>
            <w:vAlign w:val="bottom"/>
          </w:tcPr>
          <w:p w14:paraId="777FBBC6"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7A539FA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24</w:t>
            </w:r>
          </w:p>
        </w:tc>
        <w:tc>
          <w:tcPr>
            <w:tcW w:w="1276" w:type="dxa"/>
            <w:vAlign w:val="bottom"/>
          </w:tcPr>
          <w:p w14:paraId="751FB156"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992" w:type="dxa"/>
            <w:vAlign w:val="bottom"/>
          </w:tcPr>
          <w:p w14:paraId="5BE325F4"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r>
      <w:tr w:rsidR="00F63030" w:rsidRPr="00F63030" w14:paraId="6A2E0A6A" w14:textId="77777777" w:rsidTr="00F63030">
        <w:tc>
          <w:tcPr>
            <w:tcW w:w="882" w:type="dxa"/>
            <w:vAlign w:val="bottom"/>
          </w:tcPr>
          <w:p w14:paraId="4688B78F" w14:textId="77777777" w:rsidR="00F63030" w:rsidRPr="00F63030" w:rsidRDefault="00F63030" w:rsidP="00F63030">
            <w:pPr>
              <w:spacing w:after="0" w:line="240" w:lineRule="auto"/>
              <w:rPr>
                <w:rFonts w:eastAsia="Calibri" w:cs="Times New Roman"/>
                <w:bCs/>
              </w:rPr>
            </w:pPr>
            <w:r w:rsidRPr="00F63030">
              <w:rPr>
                <w:rFonts w:eastAsia="Calibri" w:cs="Times New Roman"/>
                <w:bCs/>
              </w:rPr>
              <w:t>KR</w:t>
            </w:r>
          </w:p>
        </w:tc>
        <w:tc>
          <w:tcPr>
            <w:tcW w:w="252" w:type="dxa"/>
            <w:vAlign w:val="bottom"/>
          </w:tcPr>
          <w:p w14:paraId="05F6CB55" w14:textId="77777777" w:rsidR="00F63030" w:rsidRPr="00F63030" w:rsidRDefault="00F63030" w:rsidP="00F63030">
            <w:pPr>
              <w:spacing w:after="0" w:line="240" w:lineRule="auto"/>
              <w:rPr>
                <w:rFonts w:eastAsia="Calibri" w:cs="Times New Roman"/>
                <w:bCs/>
              </w:rPr>
            </w:pPr>
          </w:p>
        </w:tc>
        <w:tc>
          <w:tcPr>
            <w:tcW w:w="993" w:type="dxa"/>
            <w:vAlign w:val="bottom"/>
          </w:tcPr>
          <w:p w14:paraId="67E3424F"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43</w:t>
            </w:r>
          </w:p>
        </w:tc>
        <w:tc>
          <w:tcPr>
            <w:tcW w:w="1275" w:type="dxa"/>
            <w:vAlign w:val="bottom"/>
          </w:tcPr>
          <w:p w14:paraId="1473C704"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1008" w:type="dxa"/>
            <w:vAlign w:val="bottom"/>
          </w:tcPr>
          <w:p w14:paraId="38A690A9"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268" w:type="dxa"/>
            <w:vAlign w:val="bottom"/>
          </w:tcPr>
          <w:p w14:paraId="690883AD"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06B06D5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43</w:t>
            </w:r>
          </w:p>
        </w:tc>
        <w:tc>
          <w:tcPr>
            <w:tcW w:w="1276" w:type="dxa"/>
            <w:vAlign w:val="bottom"/>
          </w:tcPr>
          <w:p w14:paraId="395FBF9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992" w:type="dxa"/>
            <w:vAlign w:val="bottom"/>
          </w:tcPr>
          <w:p w14:paraId="29457F36"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r>
      <w:tr w:rsidR="00F63030" w:rsidRPr="00F63030" w14:paraId="15E01953" w14:textId="77777777" w:rsidTr="00F63030">
        <w:tc>
          <w:tcPr>
            <w:tcW w:w="882" w:type="dxa"/>
            <w:vAlign w:val="bottom"/>
          </w:tcPr>
          <w:p w14:paraId="03526F82" w14:textId="77777777" w:rsidR="00F63030" w:rsidRPr="00F63030" w:rsidRDefault="00F63030" w:rsidP="00F63030">
            <w:pPr>
              <w:spacing w:after="0" w:line="240" w:lineRule="auto"/>
              <w:rPr>
                <w:rFonts w:eastAsia="Calibri" w:cs="Times New Roman"/>
                <w:bCs/>
              </w:rPr>
            </w:pPr>
            <w:r w:rsidRPr="00F63030">
              <w:rPr>
                <w:rFonts w:eastAsia="Calibri" w:cs="Times New Roman"/>
                <w:bCs/>
              </w:rPr>
              <w:t>RU</w:t>
            </w:r>
          </w:p>
        </w:tc>
        <w:tc>
          <w:tcPr>
            <w:tcW w:w="252" w:type="dxa"/>
            <w:vAlign w:val="bottom"/>
          </w:tcPr>
          <w:p w14:paraId="0C8C9064" w14:textId="77777777" w:rsidR="00F63030" w:rsidRPr="00F63030" w:rsidRDefault="00F63030" w:rsidP="00F63030">
            <w:pPr>
              <w:spacing w:after="0" w:line="240" w:lineRule="auto"/>
              <w:rPr>
                <w:rFonts w:eastAsia="Calibri" w:cs="Times New Roman"/>
                <w:bCs/>
              </w:rPr>
            </w:pPr>
          </w:p>
        </w:tc>
        <w:tc>
          <w:tcPr>
            <w:tcW w:w="993" w:type="dxa"/>
            <w:vAlign w:val="bottom"/>
          </w:tcPr>
          <w:p w14:paraId="078C0EB9"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33</w:t>
            </w:r>
          </w:p>
        </w:tc>
        <w:tc>
          <w:tcPr>
            <w:tcW w:w="1275" w:type="dxa"/>
            <w:vAlign w:val="bottom"/>
          </w:tcPr>
          <w:p w14:paraId="231D70C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1008" w:type="dxa"/>
            <w:vAlign w:val="bottom"/>
          </w:tcPr>
          <w:p w14:paraId="3B7BE82C"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268" w:type="dxa"/>
            <w:vAlign w:val="bottom"/>
          </w:tcPr>
          <w:p w14:paraId="1B86B22F"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196E7285"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33</w:t>
            </w:r>
          </w:p>
        </w:tc>
        <w:tc>
          <w:tcPr>
            <w:tcW w:w="1276" w:type="dxa"/>
            <w:vAlign w:val="bottom"/>
          </w:tcPr>
          <w:p w14:paraId="3D2C09B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c>
          <w:tcPr>
            <w:tcW w:w="992" w:type="dxa"/>
            <w:vAlign w:val="bottom"/>
          </w:tcPr>
          <w:p w14:paraId="5D7CC00A"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w:t>
            </w:r>
          </w:p>
        </w:tc>
      </w:tr>
      <w:tr w:rsidR="00F63030" w:rsidRPr="00F63030" w14:paraId="0B031390" w14:textId="77777777" w:rsidTr="00F63030">
        <w:tc>
          <w:tcPr>
            <w:tcW w:w="882" w:type="dxa"/>
            <w:vAlign w:val="bottom"/>
          </w:tcPr>
          <w:p w14:paraId="513848E3" w14:textId="77777777" w:rsidR="00F63030" w:rsidRPr="00F63030" w:rsidRDefault="00F63030" w:rsidP="00F63030">
            <w:pPr>
              <w:spacing w:after="0" w:line="240" w:lineRule="auto"/>
              <w:rPr>
                <w:rFonts w:eastAsia="Calibri" w:cs="Times New Roman"/>
                <w:bCs/>
              </w:rPr>
            </w:pPr>
          </w:p>
        </w:tc>
        <w:tc>
          <w:tcPr>
            <w:tcW w:w="252" w:type="dxa"/>
            <w:vAlign w:val="bottom"/>
          </w:tcPr>
          <w:p w14:paraId="77510E18" w14:textId="77777777" w:rsidR="00F63030" w:rsidRPr="00F63030" w:rsidRDefault="00F63030" w:rsidP="00F63030">
            <w:pPr>
              <w:spacing w:after="0" w:line="240" w:lineRule="auto"/>
              <w:rPr>
                <w:rFonts w:eastAsia="Calibri" w:cs="Times New Roman"/>
                <w:bCs/>
              </w:rPr>
            </w:pPr>
          </w:p>
        </w:tc>
        <w:tc>
          <w:tcPr>
            <w:tcW w:w="993" w:type="dxa"/>
            <w:vAlign w:val="bottom"/>
          </w:tcPr>
          <w:p w14:paraId="7B96A28E" w14:textId="77777777" w:rsidR="00F63030" w:rsidRPr="00F63030" w:rsidRDefault="00F63030" w:rsidP="00F63030">
            <w:pPr>
              <w:spacing w:after="0" w:line="240" w:lineRule="auto"/>
              <w:jc w:val="right"/>
              <w:rPr>
                <w:rFonts w:eastAsia="Calibri" w:cs="Times New Roman"/>
                <w:bCs/>
              </w:rPr>
            </w:pPr>
          </w:p>
        </w:tc>
        <w:tc>
          <w:tcPr>
            <w:tcW w:w="1275" w:type="dxa"/>
            <w:vAlign w:val="bottom"/>
          </w:tcPr>
          <w:p w14:paraId="5CE71AE5" w14:textId="77777777" w:rsidR="00F63030" w:rsidRPr="00F63030" w:rsidRDefault="00F63030" w:rsidP="00F63030">
            <w:pPr>
              <w:spacing w:after="0" w:line="240" w:lineRule="auto"/>
              <w:jc w:val="right"/>
              <w:rPr>
                <w:rFonts w:eastAsia="Calibri" w:cs="Times New Roman"/>
                <w:bCs/>
              </w:rPr>
            </w:pPr>
          </w:p>
        </w:tc>
        <w:tc>
          <w:tcPr>
            <w:tcW w:w="1008" w:type="dxa"/>
            <w:vAlign w:val="bottom"/>
          </w:tcPr>
          <w:p w14:paraId="28FFA007" w14:textId="77777777" w:rsidR="00F63030" w:rsidRPr="00F63030" w:rsidRDefault="00F63030" w:rsidP="00F63030">
            <w:pPr>
              <w:spacing w:after="0" w:line="240" w:lineRule="auto"/>
              <w:jc w:val="right"/>
              <w:rPr>
                <w:rFonts w:eastAsia="Calibri" w:cs="Times New Roman"/>
                <w:bCs/>
              </w:rPr>
            </w:pPr>
          </w:p>
        </w:tc>
        <w:tc>
          <w:tcPr>
            <w:tcW w:w="268" w:type="dxa"/>
            <w:vAlign w:val="bottom"/>
          </w:tcPr>
          <w:p w14:paraId="71AB0867"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496E4BC8" w14:textId="77777777" w:rsidR="00F63030" w:rsidRPr="00F63030" w:rsidRDefault="00F63030" w:rsidP="00F63030">
            <w:pPr>
              <w:spacing w:after="0" w:line="240" w:lineRule="auto"/>
              <w:jc w:val="right"/>
              <w:rPr>
                <w:rFonts w:eastAsia="Calibri" w:cs="Times New Roman"/>
                <w:bCs/>
              </w:rPr>
            </w:pPr>
          </w:p>
        </w:tc>
        <w:tc>
          <w:tcPr>
            <w:tcW w:w="1276" w:type="dxa"/>
            <w:vAlign w:val="bottom"/>
          </w:tcPr>
          <w:p w14:paraId="275E14F2"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5F5640DC" w14:textId="77777777" w:rsidR="00F63030" w:rsidRPr="00F63030" w:rsidRDefault="00F63030" w:rsidP="00F63030">
            <w:pPr>
              <w:spacing w:after="0" w:line="240" w:lineRule="auto"/>
              <w:jc w:val="right"/>
              <w:rPr>
                <w:rFonts w:eastAsia="Calibri" w:cs="Times New Roman"/>
                <w:bCs/>
              </w:rPr>
            </w:pPr>
          </w:p>
        </w:tc>
      </w:tr>
      <w:tr w:rsidR="00F63030" w:rsidRPr="00F63030" w14:paraId="685A04F6" w14:textId="77777777" w:rsidTr="00F63030">
        <w:tc>
          <w:tcPr>
            <w:tcW w:w="882" w:type="dxa"/>
            <w:vAlign w:val="bottom"/>
          </w:tcPr>
          <w:p w14:paraId="10123469" w14:textId="77777777" w:rsidR="00F63030" w:rsidRPr="00F63030" w:rsidRDefault="00F63030" w:rsidP="00F63030">
            <w:pPr>
              <w:spacing w:after="0" w:line="240" w:lineRule="auto"/>
              <w:rPr>
                <w:rFonts w:eastAsia="Calibri" w:cs="Times New Roman"/>
                <w:bCs/>
              </w:rPr>
            </w:pPr>
            <w:r w:rsidRPr="00F63030">
              <w:rPr>
                <w:rFonts w:eastAsia="Calibri" w:cs="Times New Roman"/>
                <w:bCs/>
              </w:rPr>
              <w:t>TOTAL</w:t>
            </w:r>
          </w:p>
        </w:tc>
        <w:tc>
          <w:tcPr>
            <w:tcW w:w="252" w:type="dxa"/>
            <w:vAlign w:val="bottom"/>
          </w:tcPr>
          <w:p w14:paraId="2571635B" w14:textId="77777777" w:rsidR="00F63030" w:rsidRPr="00F63030" w:rsidRDefault="00F63030" w:rsidP="00F63030">
            <w:pPr>
              <w:spacing w:after="0" w:line="240" w:lineRule="auto"/>
              <w:rPr>
                <w:rFonts w:eastAsia="Calibri" w:cs="Times New Roman"/>
                <w:bCs/>
              </w:rPr>
            </w:pPr>
          </w:p>
        </w:tc>
        <w:tc>
          <w:tcPr>
            <w:tcW w:w="993" w:type="dxa"/>
            <w:vAlign w:val="bottom"/>
          </w:tcPr>
          <w:p w14:paraId="09FD7147"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369</w:t>
            </w:r>
          </w:p>
        </w:tc>
        <w:tc>
          <w:tcPr>
            <w:tcW w:w="1275" w:type="dxa"/>
            <w:vAlign w:val="bottom"/>
          </w:tcPr>
          <w:p w14:paraId="5AEF74C0" w14:textId="70C9994C" w:rsidR="00F63030" w:rsidRPr="00F63030" w:rsidRDefault="00FA3BE2" w:rsidP="00F63030">
            <w:pPr>
              <w:spacing w:after="0" w:line="240" w:lineRule="auto"/>
              <w:jc w:val="right"/>
              <w:rPr>
                <w:rFonts w:eastAsia="Calibri" w:cs="Times New Roman"/>
                <w:bCs/>
              </w:rPr>
            </w:pPr>
            <w:r>
              <w:rPr>
                <w:rFonts w:eastAsia="Calibri" w:cs="Times New Roman"/>
                <w:bCs/>
              </w:rPr>
              <w:t>49</w:t>
            </w:r>
          </w:p>
        </w:tc>
        <w:tc>
          <w:tcPr>
            <w:tcW w:w="1008" w:type="dxa"/>
            <w:vAlign w:val="bottom"/>
          </w:tcPr>
          <w:p w14:paraId="2F5EE04A" w14:textId="010AE1F6" w:rsidR="00F63030" w:rsidRPr="00F63030" w:rsidRDefault="00F63030" w:rsidP="00F63030">
            <w:pPr>
              <w:spacing w:after="0" w:line="240" w:lineRule="auto"/>
              <w:jc w:val="right"/>
              <w:rPr>
                <w:rFonts w:eastAsia="Calibri" w:cs="Times New Roman"/>
                <w:bCs/>
              </w:rPr>
            </w:pPr>
            <w:r w:rsidRPr="00F63030">
              <w:rPr>
                <w:rFonts w:eastAsia="Calibri" w:cs="Times New Roman"/>
                <w:bCs/>
              </w:rPr>
              <w:t>1</w:t>
            </w:r>
            <w:r w:rsidR="00FA3BE2">
              <w:rPr>
                <w:rFonts w:eastAsia="Calibri" w:cs="Times New Roman"/>
                <w:bCs/>
              </w:rPr>
              <w:t>3</w:t>
            </w:r>
            <w:r w:rsidRPr="00F63030">
              <w:rPr>
                <w:rFonts w:eastAsia="Calibri" w:cs="Times New Roman"/>
                <w:bCs/>
              </w:rPr>
              <w:t>%</w:t>
            </w:r>
          </w:p>
        </w:tc>
        <w:tc>
          <w:tcPr>
            <w:tcW w:w="268" w:type="dxa"/>
            <w:vAlign w:val="bottom"/>
          </w:tcPr>
          <w:p w14:paraId="65CF37FE"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59A4058E"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393</w:t>
            </w:r>
          </w:p>
        </w:tc>
        <w:tc>
          <w:tcPr>
            <w:tcW w:w="1276" w:type="dxa"/>
            <w:vAlign w:val="bottom"/>
          </w:tcPr>
          <w:p w14:paraId="04760336" w14:textId="198B5CD5" w:rsidR="00F63030" w:rsidRPr="00F63030" w:rsidRDefault="00F63030" w:rsidP="00FA3BE2">
            <w:pPr>
              <w:spacing w:after="0" w:line="240" w:lineRule="auto"/>
              <w:jc w:val="right"/>
              <w:rPr>
                <w:rFonts w:eastAsia="Calibri" w:cs="Times New Roman"/>
                <w:bCs/>
              </w:rPr>
            </w:pPr>
            <w:r w:rsidRPr="00F63030">
              <w:rPr>
                <w:rFonts w:eastAsia="Calibri" w:cs="Times New Roman"/>
                <w:bCs/>
              </w:rPr>
              <w:t>2</w:t>
            </w:r>
            <w:r w:rsidR="00FA3BE2">
              <w:rPr>
                <w:rFonts w:eastAsia="Calibri" w:cs="Times New Roman"/>
                <w:bCs/>
              </w:rPr>
              <w:t>0</w:t>
            </w:r>
          </w:p>
        </w:tc>
        <w:tc>
          <w:tcPr>
            <w:tcW w:w="992" w:type="dxa"/>
            <w:vAlign w:val="bottom"/>
          </w:tcPr>
          <w:p w14:paraId="3E65F44D"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5%</w:t>
            </w:r>
          </w:p>
        </w:tc>
      </w:tr>
      <w:tr w:rsidR="00F63030" w:rsidRPr="00F63030" w14:paraId="2428091F" w14:textId="77777777" w:rsidTr="00F63030">
        <w:tc>
          <w:tcPr>
            <w:tcW w:w="882" w:type="dxa"/>
            <w:vAlign w:val="bottom"/>
          </w:tcPr>
          <w:p w14:paraId="607D4D26" w14:textId="77777777" w:rsidR="00F63030" w:rsidRPr="00F63030" w:rsidRDefault="00F63030" w:rsidP="00F63030">
            <w:pPr>
              <w:spacing w:after="0" w:line="240" w:lineRule="auto"/>
              <w:rPr>
                <w:rFonts w:eastAsia="Calibri" w:cs="Times New Roman"/>
                <w:bCs/>
              </w:rPr>
            </w:pPr>
          </w:p>
        </w:tc>
        <w:tc>
          <w:tcPr>
            <w:tcW w:w="252" w:type="dxa"/>
            <w:vAlign w:val="bottom"/>
          </w:tcPr>
          <w:p w14:paraId="42058757" w14:textId="77777777" w:rsidR="00F63030" w:rsidRPr="00F63030" w:rsidRDefault="00F63030" w:rsidP="00F63030">
            <w:pPr>
              <w:spacing w:after="0" w:line="240" w:lineRule="auto"/>
              <w:rPr>
                <w:rFonts w:eastAsia="Calibri" w:cs="Times New Roman"/>
                <w:bCs/>
              </w:rPr>
            </w:pPr>
          </w:p>
        </w:tc>
        <w:tc>
          <w:tcPr>
            <w:tcW w:w="993" w:type="dxa"/>
            <w:vAlign w:val="bottom"/>
          </w:tcPr>
          <w:p w14:paraId="6925FAF5" w14:textId="77777777" w:rsidR="00F63030" w:rsidRPr="00F63030" w:rsidRDefault="00F63030" w:rsidP="00F63030">
            <w:pPr>
              <w:spacing w:after="0" w:line="240" w:lineRule="auto"/>
              <w:jc w:val="right"/>
              <w:rPr>
                <w:rFonts w:eastAsia="Calibri" w:cs="Times New Roman"/>
                <w:bCs/>
              </w:rPr>
            </w:pPr>
          </w:p>
        </w:tc>
        <w:tc>
          <w:tcPr>
            <w:tcW w:w="1275" w:type="dxa"/>
            <w:vAlign w:val="bottom"/>
          </w:tcPr>
          <w:p w14:paraId="7119677C" w14:textId="77777777" w:rsidR="00F63030" w:rsidRPr="00F63030" w:rsidRDefault="00F63030" w:rsidP="00F63030">
            <w:pPr>
              <w:spacing w:after="0" w:line="240" w:lineRule="auto"/>
              <w:jc w:val="right"/>
              <w:rPr>
                <w:rFonts w:eastAsia="Calibri" w:cs="Times New Roman"/>
                <w:bCs/>
              </w:rPr>
            </w:pPr>
          </w:p>
        </w:tc>
        <w:tc>
          <w:tcPr>
            <w:tcW w:w="1008" w:type="dxa"/>
            <w:vAlign w:val="bottom"/>
          </w:tcPr>
          <w:p w14:paraId="76A4021F" w14:textId="77777777" w:rsidR="00F63030" w:rsidRPr="00F63030" w:rsidRDefault="00F63030" w:rsidP="00F63030">
            <w:pPr>
              <w:spacing w:after="0" w:line="240" w:lineRule="auto"/>
              <w:jc w:val="right"/>
              <w:rPr>
                <w:rFonts w:eastAsia="Calibri" w:cs="Times New Roman"/>
                <w:bCs/>
              </w:rPr>
            </w:pPr>
          </w:p>
        </w:tc>
        <w:tc>
          <w:tcPr>
            <w:tcW w:w="268" w:type="dxa"/>
            <w:vAlign w:val="bottom"/>
          </w:tcPr>
          <w:p w14:paraId="0CF245B1"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45685677" w14:textId="77777777" w:rsidR="00F63030" w:rsidRPr="00F63030" w:rsidRDefault="00F63030" w:rsidP="00F63030">
            <w:pPr>
              <w:spacing w:after="0" w:line="240" w:lineRule="auto"/>
              <w:jc w:val="right"/>
              <w:rPr>
                <w:rFonts w:eastAsia="Calibri" w:cs="Times New Roman"/>
                <w:bCs/>
              </w:rPr>
            </w:pPr>
          </w:p>
        </w:tc>
        <w:tc>
          <w:tcPr>
            <w:tcW w:w="1276" w:type="dxa"/>
            <w:vAlign w:val="bottom"/>
          </w:tcPr>
          <w:p w14:paraId="4EC9F1CA"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344DB510" w14:textId="77777777" w:rsidR="00F63030" w:rsidRPr="00F63030" w:rsidRDefault="00F63030" w:rsidP="00F63030">
            <w:pPr>
              <w:spacing w:after="0" w:line="240" w:lineRule="auto"/>
              <w:jc w:val="right"/>
              <w:rPr>
                <w:rFonts w:eastAsia="Calibri" w:cs="Times New Roman"/>
                <w:bCs/>
              </w:rPr>
            </w:pPr>
          </w:p>
        </w:tc>
      </w:tr>
      <w:tr w:rsidR="00F63030" w:rsidRPr="00F63030" w14:paraId="29C2C7EB" w14:textId="77777777" w:rsidTr="00F63030">
        <w:tc>
          <w:tcPr>
            <w:tcW w:w="882" w:type="dxa"/>
            <w:vAlign w:val="center"/>
          </w:tcPr>
          <w:p w14:paraId="2EF2A9BA" w14:textId="77777777" w:rsidR="00F63030" w:rsidRPr="00F63030" w:rsidRDefault="00F63030" w:rsidP="00F63030">
            <w:pPr>
              <w:spacing w:after="0" w:line="240" w:lineRule="auto"/>
              <w:rPr>
                <w:rFonts w:eastAsia="Calibri" w:cs="Times New Roman"/>
                <w:bCs/>
              </w:rPr>
            </w:pPr>
            <w:r w:rsidRPr="00F63030">
              <w:rPr>
                <w:rFonts w:eastAsia="Calibri" w:cs="Times New Roman"/>
                <w:bCs/>
              </w:rPr>
              <w:t>χ²</w:t>
            </w:r>
          </w:p>
        </w:tc>
        <w:tc>
          <w:tcPr>
            <w:tcW w:w="252" w:type="dxa"/>
            <w:vAlign w:val="bottom"/>
          </w:tcPr>
          <w:p w14:paraId="2E6618A4" w14:textId="77777777" w:rsidR="00F63030" w:rsidRPr="00F63030" w:rsidRDefault="00F63030" w:rsidP="00F63030">
            <w:pPr>
              <w:spacing w:after="0" w:line="240" w:lineRule="auto"/>
              <w:rPr>
                <w:rFonts w:eastAsia="Calibri" w:cs="Times New Roman"/>
                <w:bCs/>
              </w:rPr>
            </w:pPr>
          </w:p>
        </w:tc>
        <w:tc>
          <w:tcPr>
            <w:tcW w:w="993" w:type="dxa"/>
            <w:vAlign w:val="bottom"/>
          </w:tcPr>
          <w:p w14:paraId="1DCC1DC7" w14:textId="77777777" w:rsidR="00F63030" w:rsidRPr="00F63030" w:rsidRDefault="00F63030" w:rsidP="00F63030">
            <w:pPr>
              <w:spacing w:after="0" w:line="240" w:lineRule="auto"/>
              <w:jc w:val="right"/>
              <w:rPr>
                <w:rFonts w:eastAsia="Calibri" w:cs="Times New Roman"/>
                <w:bCs/>
              </w:rPr>
            </w:pPr>
          </w:p>
        </w:tc>
        <w:tc>
          <w:tcPr>
            <w:tcW w:w="1275" w:type="dxa"/>
            <w:vAlign w:val="bottom"/>
          </w:tcPr>
          <w:p w14:paraId="3A9F18BC" w14:textId="77777777" w:rsidR="00F63030" w:rsidRPr="00F63030" w:rsidRDefault="00F63030" w:rsidP="00F63030">
            <w:pPr>
              <w:spacing w:after="0" w:line="240" w:lineRule="auto"/>
              <w:jc w:val="right"/>
              <w:rPr>
                <w:rFonts w:eastAsia="Calibri" w:cs="Times New Roman"/>
                <w:bCs/>
              </w:rPr>
            </w:pPr>
          </w:p>
        </w:tc>
        <w:tc>
          <w:tcPr>
            <w:tcW w:w="1008" w:type="dxa"/>
            <w:vAlign w:val="bottom"/>
          </w:tcPr>
          <w:p w14:paraId="0484BC0B" w14:textId="12750F48" w:rsidR="00F63030" w:rsidRPr="00F63030" w:rsidRDefault="00FA3BE2" w:rsidP="00F63030">
            <w:pPr>
              <w:spacing w:after="0" w:line="240" w:lineRule="auto"/>
              <w:jc w:val="right"/>
              <w:rPr>
                <w:rFonts w:eastAsia="Calibri" w:cs="Times New Roman"/>
                <w:bCs/>
              </w:rPr>
            </w:pPr>
            <w:r w:rsidRPr="00F63030">
              <w:rPr>
                <w:rFonts w:eastAsia="Calibri" w:cs="Times New Roman"/>
                <w:bCs/>
              </w:rPr>
              <w:t>8</w:t>
            </w:r>
            <w:r>
              <w:rPr>
                <w:rFonts w:eastAsia="Calibri" w:cs="Times New Roman"/>
                <w:bCs/>
              </w:rPr>
              <w:t>3</w:t>
            </w:r>
            <w:r w:rsidRPr="00F63030">
              <w:rPr>
                <w:rFonts w:eastAsia="Calibri" w:cs="Times New Roman"/>
                <w:bCs/>
              </w:rPr>
              <w:t>.</w:t>
            </w:r>
            <w:r>
              <w:rPr>
                <w:rFonts w:eastAsia="Calibri" w:cs="Times New Roman"/>
                <w:bCs/>
              </w:rPr>
              <w:t>60</w:t>
            </w:r>
          </w:p>
        </w:tc>
        <w:tc>
          <w:tcPr>
            <w:tcW w:w="268" w:type="dxa"/>
            <w:vAlign w:val="bottom"/>
          </w:tcPr>
          <w:p w14:paraId="732E9A01"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5DD7186A" w14:textId="77777777" w:rsidR="00F63030" w:rsidRPr="00F63030" w:rsidRDefault="00F63030" w:rsidP="00F63030">
            <w:pPr>
              <w:spacing w:after="0" w:line="240" w:lineRule="auto"/>
              <w:jc w:val="right"/>
              <w:rPr>
                <w:rFonts w:eastAsia="Calibri" w:cs="Times New Roman"/>
                <w:bCs/>
              </w:rPr>
            </w:pPr>
          </w:p>
        </w:tc>
        <w:tc>
          <w:tcPr>
            <w:tcW w:w="1276" w:type="dxa"/>
            <w:vAlign w:val="bottom"/>
          </w:tcPr>
          <w:p w14:paraId="1FD084AF"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1D7EEFD0" w14:textId="2FD7E91A" w:rsidR="00F63030" w:rsidRPr="00F63030" w:rsidRDefault="00FA3BE2" w:rsidP="00F63030">
            <w:pPr>
              <w:spacing w:after="0" w:line="240" w:lineRule="auto"/>
              <w:jc w:val="right"/>
              <w:rPr>
                <w:rFonts w:eastAsia="Calibri" w:cs="Times New Roman"/>
                <w:bCs/>
              </w:rPr>
            </w:pPr>
            <w:r w:rsidRPr="00F63030">
              <w:rPr>
                <w:rFonts w:eastAsia="Calibri" w:cs="Times New Roman"/>
                <w:bCs/>
              </w:rPr>
              <w:t>4</w:t>
            </w:r>
            <w:r>
              <w:rPr>
                <w:rFonts w:eastAsia="Calibri" w:cs="Times New Roman"/>
                <w:bCs/>
              </w:rPr>
              <w:t>2</w:t>
            </w:r>
            <w:r w:rsidRPr="00F63030">
              <w:rPr>
                <w:rFonts w:eastAsia="Calibri" w:cs="Times New Roman"/>
                <w:bCs/>
              </w:rPr>
              <w:t>.1</w:t>
            </w:r>
            <w:r>
              <w:rPr>
                <w:rFonts w:eastAsia="Calibri" w:cs="Times New Roman"/>
                <w:bCs/>
              </w:rPr>
              <w:t>1</w:t>
            </w:r>
          </w:p>
        </w:tc>
      </w:tr>
      <w:tr w:rsidR="00F63030" w:rsidRPr="00F63030" w14:paraId="5EFF54BB" w14:textId="77777777" w:rsidTr="00F63030">
        <w:tc>
          <w:tcPr>
            <w:tcW w:w="882" w:type="dxa"/>
            <w:vAlign w:val="center"/>
          </w:tcPr>
          <w:p w14:paraId="307C558B" w14:textId="77777777" w:rsidR="00F63030" w:rsidRPr="00F63030" w:rsidRDefault="00F63030" w:rsidP="00F63030">
            <w:pPr>
              <w:spacing w:after="0" w:line="240" w:lineRule="auto"/>
              <w:rPr>
                <w:rFonts w:eastAsia="Calibri" w:cs="Times New Roman"/>
                <w:bCs/>
              </w:rPr>
            </w:pPr>
            <w:r w:rsidRPr="00F63030">
              <w:rPr>
                <w:rFonts w:eastAsia="Calibri" w:cs="Times New Roman"/>
                <w:bCs/>
              </w:rPr>
              <w:t>p-value</w:t>
            </w:r>
          </w:p>
        </w:tc>
        <w:tc>
          <w:tcPr>
            <w:tcW w:w="252" w:type="dxa"/>
            <w:vAlign w:val="bottom"/>
          </w:tcPr>
          <w:p w14:paraId="2CEA80CD" w14:textId="77777777" w:rsidR="00F63030" w:rsidRPr="00F63030" w:rsidRDefault="00F63030" w:rsidP="00F63030">
            <w:pPr>
              <w:spacing w:after="0" w:line="240" w:lineRule="auto"/>
              <w:rPr>
                <w:rFonts w:eastAsia="Calibri" w:cs="Times New Roman"/>
                <w:bCs/>
              </w:rPr>
            </w:pPr>
          </w:p>
        </w:tc>
        <w:tc>
          <w:tcPr>
            <w:tcW w:w="993" w:type="dxa"/>
            <w:vAlign w:val="bottom"/>
          </w:tcPr>
          <w:p w14:paraId="3B5C0101" w14:textId="77777777" w:rsidR="00F63030" w:rsidRPr="00F63030" w:rsidRDefault="00F63030" w:rsidP="00F63030">
            <w:pPr>
              <w:spacing w:after="0" w:line="240" w:lineRule="auto"/>
              <w:jc w:val="right"/>
              <w:rPr>
                <w:rFonts w:eastAsia="Calibri" w:cs="Times New Roman"/>
                <w:bCs/>
              </w:rPr>
            </w:pPr>
          </w:p>
        </w:tc>
        <w:tc>
          <w:tcPr>
            <w:tcW w:w="1275" w:type="dxa"/>
            <w:vAlign w:val="bottom"/>
          </w:tcPr>
          <w:p w14:paraId="539F569C" w14:textId="77777777" w:rsidR="00F63030" w:rsidRPr="00F63030" w:rsidRDefault="00F63030" w:rsidP="00F63030">
            <w:pPr>
              <w:spacing w:after="0" w:line="240" w:lineRule="auto"/>
              <w:jc w:val="right"/>
              <w:rPr>
                <w:rFonts w:eastAsia="Calibri" w:cs="Times New Roman"/>
                <w:bCs/>
              </w:rPr>
            </w:pPr>
          </w:p>
        </w:tc>
        <w:tc>
          <w:tcPr>
            <w:tcW w:w="1008" w:type="dxa"/>
            <w:vAlign w:val="bottom"/>
          </w:tcPr>
          <w:p w14:paraId="22CA70F2"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0.000</w:t>
            </w:r>
          </w:p>
        </w:tc>
        <w:tc>
          <w:tcPr>
            <w:tcW w:w="268" w:type="dxa"/>
            <w:vAlign w:val="bottom"/>
          </w:tcPr>
          <w:p w14:paraId="4B5BB853"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18BB1BC6" w14:textId="77777777" w:rsidR="00F63030" w:rsidRPr="00F63030" w:rsidRDefault="00F63030" w:rsidP="00F63030">
            <w:pPr>
              <w:spacing w:after="0" w:line="240" w:lineRule="auto"/>
              <w:jc w:val="right"/>
              <w:rPr>
                <w:rFonts w:eastAsia="Calibri" w:cs="Times New Roman"/>
                <w:bCs/>
              </w:rPr>
            </w:pPr>
          </w:p>
        </w:tc>
        <w:tc>
          <w:tcPr>
            <w:tcW w:w="1276" w:type="dxa"/>
            <w:vAlign w:val="bottom"/>
          </w:tcPr>
          <w:p w14:paraId="5D2549AE" w14:textId="77777777" w:rsidR="00F63030" w:rsidRPr="00F63030" w:rsidRDefault="00F63030" w:rsidP="00F63030">
            <w:pPr>
              <w:spacing w:after="0" w:line="240" w:lineRule="auto"/>
              <w:jc w:val="right"/>
              <w:rPr>
                <w:rFonts w:eastAsia="Calibri" w:cs="Times New Roman"/>
                <w:bCs/>
              </w:rPr>
            </w:pPr>
          </w:p>
        </w:tc>
        <w:tc>
          <w:tcPr>
            <w:tcW w:w="992" w:type="dxa"/>
            <w:vAlign w:val="bottom"/>
          </w:tcPr>
          <w:p w14:paraId="7A886E60" w14:textId="77777777" w:rsidR="00F63030" w:rsidRPr="00F63030" w:rsidRDefault="00F63030" w:rsidP="00F63030">
            <w:pPr>
              <w:spacing w:after="0" w:line="240" w:lineRule="auto"/>
              <w:jc w:val="right"/>
              <w:rPr>
                <w:rFonts w:eastAsia="Calibri" w:cs="Times New Roman"/>
                <w:bCs/>
              </w:rPr>
            </w:pPr>
            <w:r w:rsidRPr="00F63030">
              <w:rPr>
                <w:rFonts w:eastAsia="Calibri" w:cs="Times New Roman"/>
                <w:bCs/>
              </w:rPr>
              <w:t>0.000</w:t>
            </w:r>
          </w:p>
        </w:tc>
      </w:tr>
      <w:tr w:rsidR="00F63030" w:rsidRPr="00F63030" w14:paraId="2DA74987" w14:textId="77777777" w:rsidTr="00F63030">
        <w:tc>
          <w:tcPr>
            <w:tcW w:w="882" w:type="dxa"/>
            <w:tcBorders>
              <w:bottom w:val="single" w:sz="4" w:space="0" w:color="auto"/>
            </w:tcBorders>
            <w:vAlign w:val="center"/>
          </w:tcPr>
          <w:p w14:paraId="04626D84" w14:textId="77777777" w:rsidR="00F63030" w:rsidRPr="00F63030" w:rsidRDefault="00F63030" w:rsidP="00F63030">
            <w:pPr>
              <w:spacing w:after="0" w:line="240" w:lineRule="auto"/>
              <w:rPr>
                <w:rFonts w:eastAsia="Calibri" w:cs="Times New Roman"/>
                <w:bCs/>
              </w:rPr>
            </w:pPr>
          </w:p>
        </w:tc>
        <w:tc>
          <w:tcPr>
            <w:tcW w:w="252" w:type="dxa"/>
            <w:tcBorders>
              <w:bottom w:val="single" w:sz="4" w:space="0" w:color="auto"/>
            </w:tcBorders>
            <w:vAlign w:val="center"/>
          </w:tcPr>
          <w:p w14:paraId="4F1023CA" w14:textId="77777777" w:rsidR="00F63030" w:rsidRPr="00F63030" w:rsidRDefault="00F63030" w:rsidP="00F63030">
            <w:pPr>
              <w:spacing w:after="0" w:line="240" w:lineRule="auto"/>
              <w:rPr>
                <w:rFonts w:eastAsia="Calibri" w:cs="Times New Roman"/>
                <w:bCs/>
              </w:rPr>
            </w:pPr>
          </w:p>
        </w:tc>
        <w:tc>
          <w:tcPr>
            <w:tcW w:w="993" w:type="dxa"/>
            <w:tcBorders>
              <w:bottom w:val="single" w:sz="4" w:space="0" w:color="auto"/>
            </w:tcBorders>
            <w:vAlign w:val="center"/>
          </w:tcPr>
          <w:p w14:paraId="3939D71F" w14:textId="77777777" w:rsidR="00F63030" w:rsidRPr="00F63030" w:rsidRDefault="00F63030" w:rsidP="00F63030">
            <w:pPr>
              <w:spacing w:after="0" w:line="240" w:lineRule="auto"/>
              <w:rPr>
                <w:rFonts w:eastAsia="Calibri" w:cs="Times New Roman"/>
                <w:bCs/>
              </w:rPr>
            </w:pPr>
          </w:p>
        </w:tc>
        <w:tc>
          <w:tcPr>
            <w:tcW w:w="1275" w:type="dxa"/>
            <w:tcBorders>
              <w:bottom w:val="single" w:sz="4" w:space="0" w:color="auto"/>
            </w:tcBorders>
            <w:vAlign w:val="center"/>
          </w:tcPr>
          <w:p w14:paraId="7AFE98D3" w14:textId="77777777" w:rsidR="00F63030" w:rsidRPr="00F63030" w:rsidRDefault="00F63030" w:rsidP="00F63030">
            <w:pPr>
              <w:spacing w:after="0" w:line="240" w:lineRule="auto"/>
              <w:rPr>
                <w:rFonts w:eastAsia="Calibri" w:cs="Times New Roman"/>
                <w:bCs/>
              </w:rPr>
            </w:pPr>
          </w:p>
        </w:tc>
        <w:tc>
          <w:tcPr>
            <w:tcW w:w="1008" w:type="dxa"/>
            <w:tcBorders>
              <w:bottom w:val="single" w:sz="4" w:space="0" w:color="auto"/>
            </w:tcBorders>
            <w:vAlign w:val="center"/>
          </w:tcPr>
          <w:p w14:paraId="1439CB52" w14:textId="77777777" w:rsidR="00F63030" w:rsidRPr="00F63030" w:rsidRDefault="00F63030" w:rsidP="00F63030">
            <w:pPr>
              <w:spacing w:after="0" w:line="240" w:lineRule="auto"/>
              <w:rPr>
                <w:rFonts w:eastAsia="Calibri" w:cs="Times New Roman"/>
                <w:bCs/>
              </w:rPr>
            </w:pPr>
          </w:p>
        </w:tc>
        <w:tc>
          <w:tcPr>
            <w:tcW w:w="268" w:type="dxa"/>
            <w:tcBorders>
              <w:bottom w:val="single" w:sz="4" w:space="0" w:color="auto"/>
            </w:tcBorders>
            <w:vAlign w:val="center"/>
          </w:tcPr>
          <w:p w14:paraId="0839B53A" w14:textId="77777777" w:rsidR="00F63030" w:rsidRPr="00F63030" w:rsidRDefault="00F63030" w:rsidP="00F63030">
            <w:pPr>
              <w:spacing w:after="0" w:line="240" w:lineRule="auto"/>
              <w:rPr>
                <w:rFonts w:eastAsia="Calibri" w:cs="Times New Roman"/>
                <w:bCs/>
              </w:rPr>
            </w:pPr>
          </w:p>
        </w:tc>
        <w:tc>
          <w:tcPr>
            <w:tcW w:w="992" w:type="dxa"/>
            <w:tcBorders>
              <w:bottom w:val="single" w:sz="4" w:space="0" w:color="auto"/>
            </w:tcBorders>
            <w:vAlign w:val="center"/>
          </w:tcPr>
          <w:p w14:paraId="28EA1A89" w14:textId="77777777" w:rsidR="00F63030" w:rsidRPr="00F63030" w:rsidRDefault="00F63030" w:rsidP="00F63030">
            <w:pPr>
              <w:spacing w:after="0" w:line="240" w:lineRule="auto"/>
              <w:rPr>
                <w:rFonts w:eastAsia="Calibri" w:cs="Times New Roman"/>
                <w:bCs/>
              </w:rPr>
            </w:pPr>
          </w:p>
        </w:tc>
        <w:tc>
          <w:tcPr>
            <w:tcW w:w="1276" w:type="dxa"/>
            <w:tcBorders>
              <w:bottom w:val="single" w:sz="4" w:space="0" w:color="auto"/>
            </w:tcBorders>
            <w:vAlign w:val="center"/>
          </w:tcPr>
          <w:p w14:paraId="3808B08B" w14:textId="77777777" w:rsidR="00F63030" w:rsidRPr="00F63030" w:rsidRDefault="00F63030" w:rsidP="00F63030">
            <w:pPr>
              <w:spacing w:after="0" w:line="240" w:lineRule="auto"/>
              <w:rPr>
                <w:rFonts w:eastAsia="Calibri" w:cs="Times New Roman"/>
                <w:bCs/>
              </w:rPr>
            </w:pPr>
          </w:p>
        </w:tc>
        <w:tc>
          <w:tcPr>
            <w:tcW w:w="992" w:type="dxa"/>
            <w:tcBorders>
              <w:bottom w:val="single" w:sz="4" w:space="0" w:color="auto"/>
            </w:tcBorders>
            <w:vAlign w:val="center"/>
          </w:tcPr>
          <w:p w14:paraId="406995DE" w14:textId="77777777" w:rsidR="00F63030" w:rsidRPr="00F63030" w:rsidRDefault="00F63030" w:rsidP="00F63030">
            <w:pPr>
              <w:spacing w:after="0" w:line="240" w:lineRule="auto"/>
              <w:rPr>
                <w:rFonts w:eastAsia="Calibri" w:cs="Times New Roman"/>
                <w:bCs/>
              </w:rPr>
            </w:pPr>
          </w:p>
        </w:tc>
      </w:tr>
    </w:tbl>
    <w:p w14:paraId="05BC9EC2" w14:textId="77777777" w:rsidR="00F63030" w:rsidRPr="00F63030" w:rsidRDefault="00F63030" w:rsidP="00F63030">
      <w:pPr>
        <w:spacing w:after="0" w:line="240" w:lineRule="auto"/>
        <w:rPr>
          <w:szCs w:val="20"/>
        </w:rPr>
      </w:pPr>
    </w:p>
    <w:p w14:paraId="3C9FA1FC" w14:textId="7E1B6440" w:rsidR="00F63030" w:rsidRDefault="00F63030" w:rsidP="00BC1B1A">
      <w:pPr>
        <w:spacing w:after="0" w:line="240" w:lineRule="auto"/>
      </w:pPr>
      <w:r w:rsidRPr="00F63030">
        <w:rPr>
          <w:szCs w:val="20"/>
        </w:rPr>
        <w:t xml:space="preserve">Notes: </w:t>
      </w:r>
      <w:r w:rsidR="0077140E" w:rsidRPr="0077140E">
        <w:rPr>
          <w:szCs w:val="20"/>
        </w:rPr>
        <w:t xml:space="preserve">We define </w:t>
      </w:r>
      <w:r w:rsidR="0077140E">
        <w:rPr>
          <w:szCs w:val="20"/>
        </w:rPr>
        <w:t>‘</w:t>
      </w:r>
      <w:r w:rsidR="00F9525F">
        <w:rPr>
          <w:szCs w:val="20"/>
        </w:rPr>
        <w:t>non-proximate</w:t>
      </w:r>
      <w:r w:rsidR="0077140E">
        <w:rPr>
          <w:szCs w:val="20"/>
        </w:rPr>
        <w:t xml:space="preserve">’ </w:t>
      </w:r>
      <w:r w:rsidR="00FA66F9">
        <w:rPr>
          <w:szCs w:val="20"/>
        </w:rPr>
        <w:t>term</w:t>
      </w:r>
      <w:r w:rsidR="0077140E">
        <w:rPr>
          <w:szCs w:val="20"/>
        </w:rPr>
        <w:t xml:space="preserve">s </w:t>
      </w:r>
      <w:r w:rsidR="0077140E" w:rsidRPr="0077140E">
        <w:rPr>
          <w:szCs w:val="20"/>
        </w:rPr>
        <w:t>as words or phrases which do not include ‘impairment’.</w:t>
      </w:r>
      <w:r w:rsidR="0077140E">
        <w:rPr>
          <w:szCs w:val="20"/>
        </w:rPr>
        <w:t xml:space="preserve"> </w:t>
      </w:r>
      <w:r w:rsidR="002F49C9" w:rsidRPr="00B8480D">
        <w:t xml:space="preserve">The </w:t>
      </w:r>
      <w:r w:rsidR="002F49C9">
        <w:t>countries are</w:t>
      </w:r>
      <w:r w:rsidR="00217D5F">
        <w:t xml:space="preserve"> </w:t>
      </w:r>
      <w:r w:rsidR="002F49C9">
        <w:t xml:space="preserve">Brazil (BR), </w:t>
      </w:r>
      <w:r w:rsidR="002F49C9" w:rsidRPr="00B8480D">
        <w:t>Switzerland (CH), China (CN), Germany (DE), Spain (ES</w:t>
      </w:r>
      <w:r w:rsidR="002F49C9">
        <w:t xml:space="preserve">), France (FR), </w:t>
      </w:r>
      <w:r w:rsidR="002F49C9" w:rsidRPr="00B8480D">
        <w:t xml:space="preserve">Hong </w:t>
      </w:r>
      <w:r w:rsidR="002F49C9">
        <w:t>Kong (HK), Italy (IT), Japan (JP), South Korea (KR) and Russia (RU)</w:t>
      </w:r>
      <w:r w:rsidR="002F49C9" w:rsidRPr="00B8480D">
        <w:t xml:space="preserve">. </w:t>
      </w:r>
      <w:r w:rsidRPr="00F63030">
        <w:rPr>
          <w:szCs w:val="20"/>
        </w:rPr>
        <w:t>‘χ²’ and ‘p</w:t>
      </w:r>
      <w:r w:rsidRPr="00F63030">
        <w:rPr>
          <w:szCs w:val="20"/>
        </w:rPr>
        <w:noBreakHyphen/>
        <w:t>value’ report the χ² test statistic and the corresponding p</w:t>
      </w:r>
      <w:r w:rsidRPr="00F63030">
        <w:rPr>
          <w:szCs w:val="20"/>
        </w:rPr>
        <w:noBreakHyphen/>
        <w:t>value for χ² tests of independence, respectively. For Japan, only ‘Last Year’ data are reported because we only use 2013 data for that country.</w:t>
      </w:r>
    </w:p>
    <w:sectPr w:rsidR="00F63030" w:rsidSect="006509EA">
      <w:headerReference w:type="default" r:id="rId11"/>
      <w:footerReference w:type="default" r:id="rId12"/>
      <w:pgSz w:w="12242" w:h="15842" w:code="1"/>
      <w:pgMar w:top="2160" w:right="2160" w:bottom="2160" w:left="21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84D41" w16cid:durableId="1EC3E799"/>
  <w16cid:commentId w16cid:paraId="4D5AE0D5" w16cid:durableId="1EC37CCC"/>
  <w16cid:commentId w16cid:paraId="15E0883B" w16cid:durableId="1EC379F6"/>
  <w16cid:commentId w16cid:paraId="4C2C730C" w16cid:durableId="1EC379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2D4D" w14:textId="77777777" w:rsidR="006739F1" w:rsidRDefault="006739F1" w:rsidP="009773E1">
      <w:pPr>
        <w:spacing w:after="0" w:line="240" w:lineRule="auto"/>
      </w:pPr>
      <w:r>
        <w:separator/>
      </w:r>
    </w:p>
  </w:endnote>
  <w:endnote w:type="continuationSeparator" w:id="0">
    <w:p w14:paraId="0D7358F2" w14:textId="77777777" w:rsidR="006739F1" w:rsidRDefault="006739F1" w:rsidP="009773E1">
      <w:pPr>
        <w:spacing w:after="0" w:line="240" w:lineRule="auto"/>
      </w:pPr>
      <w:r>
        <w:continuationSeparator/>
      </w:r>
    </w:p>
  </w:endnote>
  <w:endnote w:type="continuationNotice" w:id="1">
    <w:p w14:paraId="200F0164" w14:textId="77777777" w:rsidR="006739F1" w:rsidRDefault="0067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25543"/>
      <w:docPartObj>
        <w:docPartGallery w:val="Page Numbers (Bottom of Page)"/>
        <w:docPartUnique/>
      </w:docPartObj>
    </w:sdtPr>
    <w:sdtEndPr>
      <w:rPr>
        <w:noProof/>
      </w:rPr>
    </w:sdtEndPr>
    <w:sdtContent>
      <w:p w14:paraId="505708A7" w14:textId="567CB464" w:rsidR="008C2B8A" w:rsidRDefault="008C2B8A">
        <w:pPr>
          <w:pStyle w:val="Footer"/>
          <w:jc w:val="center"/>
        </w:pPr>
        <w:r>
          <w:fldChar w:fldCharType="begin"/>
        </w:r>
        <w:r>
          <w:instrText xml:space="preserve"> PAGE   \* MERGEFORMAT </w:instrText>
        </w:r>
        <w:r>
          <w:fldChar w:fldCharType="separate"/>
        </w:r>
        <w:r w:rsidR="007950C9">
          <w:rPr>
            <w:noProof/>
          </w:rPr>
          <w:t>1</w:t>
        </w:r>
        <w:r>
          <w:rPr>
            <w:noProof/>
          </w:rPr>
          <w:fldChar w:fldCharType="end"/>
        </w:r>
      </w:p>
    </w:sdtContent>
  </w:sdt>
  <w:p w14:paraId="35F3D253" w14:textId="77777777" w:rsidR="008C2B8A" w:rsidRDefault="008C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1A71" w14:textId="77777777" w:rsidR="006739F1" w:rsidRDefault="006739F1" w:rsidP="009773E1">
      <w:pPr>
        <w:spacing w:after="0" w:line="240" w:lineRule="auto"/>
      </w:pPr>
      <w:r>
        <w:separator/>
      </w:r>
    </w:p>
  </w:footnote>
  <w:footnote w:type="continuationSeparator" w:id="0">
    <w:p w14:paraId="7DCD0206" w14:textId="77777777" w:rsidR="006739F1" w:rsidRDefault="006739F1" w:rsidP="009773E1">
      <w:pPr>
        <w:spacing w:after="0" w:line="240" w:lineRule="auto"/>
      </w:pPr>
      <w:r>
        <w:continuationSeparator/>
      </w:r>
    </w:p>
  </w:footnote>
  <w:footnote w:type="continuationNotice" w:id="1">
    <w:p w14:paraId="1EF31362" w14:textId="77777777" w:rsidR="006739F1" w:rsidRDefault="006739F1">
      <w:pPr>
        <w:spacing w:after="0" w:line="240" w:lineRule="auto"/>
      </w:pPr>
    </w:p>
  </w:footnote>
  <w:footnote w:id="2">
    <w:p w14:paraId="2795842C" w14:textId="4465B9F9" w:rsidR="008C2B8A" w:rsidRPr="00C61056" w:rsidRDefault="008C2B8A">
      <w:pPr>
        <w:pStyle w:val="FootnoteText"/>
        <w:rPr>
          <w:lang w:val="en-AU"/>
        </w:rPr>
      </w:pPr>
      <w:r>
        <w:rPr>
          <w:rStyle w:val="FootnoteReference"/>
        </w:rPr>
        <w:footnoteRef/>
      </w:r>
      <w:r>
        <w:t xml:space="preserve"> </w:t>
      </w:r>
      <w:r>
        <w:tab/>
      </w:r>
      <w:r w:rsidRPr="00C61056">
        <w:rPr>
          <w:lang w:val="en-AU"/>
        </w:rPr>
        <w:t>Roy Harris, one of the translators of Saussure, suggests that “signifying element” and “signified element” are better translations of Saussure’s French “</w:t>
      </w:r>
      <w:r w:rsidRPr="00C61056">
        <w:rPr>
          <w:i/>
          <w:lang w:val="en-AU"/>
        </w:rPr>
        <w:t>signifiant</w:t>
      </w:r>
      <w:r w:rsidRPr="00C61056">
        <w:rPr>
          <w:lang w:val="en-AU"/>
        </w:rPr>
        <w:t>” and “</w:t>
      </w:r>
      <w:r w:rsidRPr="00C61056">
        <w:rPr>
          <w:i/>
          <w:lang w:val="en-AU"/>
        </w:rPr>
        <w:t>signifi</w:t>
      </w:r>
      <w:r w:rsidRPr="00C61056">
        <w:rPr>
          <w:rFonts w:cs="Times New Roman"/>
          <w:i/>
          <w:lang w:val="en-AU"/>
        </w:rPr>
        <w:t>é</w:t>
      </w:r>
      <w:r w:rsidRPr="00C61056">
        <w:rPr>
          <w:lang w:val="en-AU"/>
        </w:rPr>
        <w:t>” (see Saussure, 1910, p. xix).</w:t>
      </w:r>
    </w:p>
  </w:footnote>
  <w:footnote w:id="3">
    <w:p w14:paraId="7B791454" w14:textId="6DDD5F7C" w:rsidR="008C2B8A" w:rsidRPr="00C61056" w:rsidRDefault="008C2B8A">
      <w:pPr>
        <w:pStyle w:val="FootnoteText"/>
      </w:pPr>
      <w:r>
        <w:rPr>
          <w:rStyle w:val="FootnoteReference"/>
        </w:rPr>
        <w:footnoteRef/>
      </w:r>
      <w:r>
        <w:t xml:space="preserve"> </w:t>
      </w:r>
      <w:r>
        <w:tab/>
      </w:r>
      <w:r w:rsidRPr="00C61056">
        <w:t xml:space="preserve">A register </w:t>
      </w:r>
      <w:r>
        <w:t>can be</w:t>
      </w:r>
      <w:r w:rsidRPr="00C61056">
        <w:t xml:space="preserve"> </w:t>
      </w:r>
      <w:r>
        <w:t>related to the concept of</w:t>
      </w:r>
      <w:r w:rsidRPr="00C61056">
        <w:t xml:space="preserve"> a </w:t>
      </w:r>
      <w:r>
        <w:t>‘l</w:t>
      </w:r>
      <w:r w:rsidRPr="00C61056">
        <w:t>anguage</w:t>
      </w:r>
      <w:r>
        <w:t xml:space="preserve"> </w:t>
      </w:r>
      <w:r w:rsidRPr="00C61056">
        <w:t xml:space="preserve">for </w:t>
      </w:r>
      <w:r>
        <w:t>s</w:t>
      </w:r>
      <w:r w:rsidRPr="00C61056">
        <w:t xml:space="preserve">pecific </w:t>
      </w:r>
      <w:r>
        <w:t>p</w:t>
      </w:r>
      <w:r w:rsidRPr="00C61056">
        <w:t>urpose</w:t>
      </w:r>
      <w:r>
        <w:t>s’</w:t>
      </w:r>
      <w:r w:rsidRPr="00C61056">
        <w:t xml:space="preserve"> (LSP).</w:t>
      </w:r>
      <w:r>
        <w:t xml:space="preserve"> Some writers use ‘LSP’ to mean a variety of language used by members of a specific subject field. Others use LSP with the more technical meaning of an applied approach to teaching a foreign language in a particular field (e.g. Fuertes-Olivera and Nielsen, 2011).</w:t>
      </w:r>
    </w:p>
  </w:footnote>
  <w:footnote w:id="4">
    <w:p w14:paraId="5BA7F4A2" w14:textId="6A06A2E7" w:rsidR="008C2B8A" w:rsidRDefault="008C2B8A" w:rsidP="00FA66F9">
      <w:pPr>
        <w:pStyle w:val="FootnoteText"/>
      </w:pPr>
      <w:r>
        <w:rPr>
          <w:rStyle w:val="FootnoteReference"/>
        </w:rPr>
        <w:footnoteRef/>
      </w:r>
      <w:r>
        <w:t xml:space="preserve"> </w:t>
      </w:r>
      <w:r>
        <w:tab/>
        <w:t>From here on, we generally use ‘term’ instead of ‘signifier’.</w:t>
      </w:r>
    </w:p>
  </w:footnote>
  <w:footnote w:id="5">
    <w:p w14:paraId="2DFC4A1A" w14:textId="77777777" w:rsidR="008C2B8A" w:rsidRPr="00C61056" w:rsidRDefault="008C2B8A">
      <w:pPr>
        <w:pStyle w:val="FootnoteText"/>
      </w:pPr>
      <w:r>
        <w:rPr>
          <w:rStyle w:val="FootnoteReference"/>
        </w:rPr>
        <w:footnoteRef/>
      </w:r>
      <w:r>
        <w:t xml:space="preserve"> </w:t>
      </w:r>
      <w:r w:rsidRPr="00C61056">
        <w:tab/>
        <w:t>Moore (2008, para. 7) uses this description in a later legal opinion.</w:t>
      </w:r>
    </w:p>
  </w:footnote>
  <w:footnote w:id="6">
    <w:p w14:paraId="42B3912D" w14:textId="7BE1F890" w:rsidR="008C2B8A" w:rsidRPr="00C61056" w:rsidRDefault="008C2B8A">
      <w:pPr>
        <w:pStyle w:val="FootnoteText"/>
      </w:pPr>
      <w:r w:rsidRPr="00C61056">
        <w:rPr>
          <w:rStyle w:val="FootnoteReference"/>
        </w:rPr>
        <w:footnoteRef/>
      </w:r>
      <w:r w:rsidRPr="00C61056">
        <w:t xml:space="preserve"> </w:t>
      </w:r>
      <w:r w:rsidRPr="00C61056">
        <w:tab/>
        <w:t>A hypernym signifies a category to which words with more specific meanings are subordinate. For example, ‘colour’ is a hypernym which includes ‘</w:t>
      </w:r>
      <w:r>
        <w:t>green</w:t>
      </w:r>
      <w:r w:rsidRPr="00C61056">
        <w:t>’.</w:t>
      </w:r>
    </w:p>
  </w:footnote>
  <w:footnote w:id="7">
    <w:p w14:paraId="0FC40E96" w14:textId="724E4D53" w:rsidR="008C2B8A" w:rsidRPr="00C61056" w:rsidRDefault="008C2B8A" w:rsidP="00E16278">
      <w:pPr>
        <w:pStyle w:val="FootnoteText"/>
      </w:pPr>
      <w:r>
        <w:rPr>
          <w:rStyle w:val="FootnoteReference"/>
        </w:rPr>
        <w:footnoteRef/>
      </w:r>
      <w:r>
        <w:t xml:space="preserve"> </w:t>
      </w:r>
      <w:r>
        <w:tab/>
      </w:r>
      <w:r w:rsidRPr="00C61056">
        <w:t>Some writers prefer “start text” (e.g. Pym, 2014, p.</w:t>
      </w:r>
      <w:r>
        <w:t xml:space="preserve"> </w:t>
      </w:r>
      <w:r w:rsidRPr="00C61056">
        <w:t>2) because the start text itself might be a translation. In the context of this paper the start texts, such as accounting standards, are clearly</w:t>
      </w:r>
      <w:r>
        <w:t xml:space="preserve"> also</w:t>
      </w:r>
      <w:r w:rsidRPr="00C61056">
        <w:t xml:space="preserve"> source texts.</w:t>
      </w:r>
    </w:p>
  </w:footnote>
  <w:footnote w:id="8">
    <w:p w14:paraId="0FF21033" w14:textId="53C4C6DA" w:rsidR="008C2B8A" w:rsidRPr="00D93B07" w:rsidRDefault="008C2B8A">
      <w:pPr>
        <w:pStyle w:val="FootnoteText"/>
        <w:rPr>
          <w:lang w:val="en-US"/>
        </w:rPr>
      </w:pPr>
      <w:r>
        <w:rPr>
          <w:rStyle w:val="FootnoteReference"/>
        </w:rPr>
        <w:footnoteRef/>
      </w:r>
      <w:r>
        <w:t xml:space="preserve"> </w:t>
      </w:r>
      <w:r>
        <w:rPr>
          <w:lang w:val="en-US"/>
        </w:rPr>
        <w:tab/>
        <w:t>Evans (2004, pp. 240-241) discuss</w:t>
      </w:r>
      <w:r w:rsidR="00BF5EC2">
        <w:rPr>
          <w:lang w:val="en-US"/>
        </w:rPr>
        <w:t>es</w:t>
      </w:r>
      <w:r>
        <w:rPr>
          <w:lang w:val="en-US"/>
        </w:rPr>
        <w:t xml:space="preserve"> the translation of terms for colours.</w:t>
      </w:r>
    </w:p>
  </w:footnote>
  <w:footnote w:id="9">
    <w:p w14:paraId="02A46A14" w14:textId="77777777" w:rsidR="008C2B8A" w:rsidRDefault="008C2B8A" w:rsidP="005F1F17">
      <w:pPr>
        <w:pStyle w:val="FootnoteText"/>
      </w:pPr>
      <w:r>
        <w:rPr>
          <w:rStyle w:val="FootnoteReference"/>
        </w:rPr>
        <w:footnoteRef/>
      </w:r>
      <w:r>
        <w:t xml:space="preserve"> </w:t>
      </w:r>
      <w:r>
        <w:tab/>
        <w:t>See, for example, Nobes (1993).</w:t>
      </w:r>
    </w:p>
  </w:footnote>
  <w:footnote w:id="10">
    <w:p w14:paraId="78863DF4" w14:textId="77777777" w:rsidR="008C2B8A" w:rsidRPr="00C61056" w:rsidRDefault="008C2B8A" w:rsidP="005F1F17">
      <w:pPr>
        <w:pStyle w:val="FootnoteText"/>
      </w:pPr>
      <w:r>
        <w:rPr>
          <w:rStyle w:val="FootnoteReference"/>
        </w:rPr>
        <w:footnoteRef/>
      </w:r>
      <w:r>
        <w:t xml:space="preserve"> </w:t>
      </w:r>
      <w:r w:rsidRPr="00C61056">
        <w:tab/>
        <w:t>This is unlike the EU’s translation of the Directive which had ‘</w:t>
      </w:r>
      <w:r w:rsidRPr="00C61056">
        <w:rPr>
          <w:i/>
        </w:rPr>
        <w:t>una imagen fiel</w:t>
      </w:r>
      <w:r w:rsidRPr="00C61056">
        <w:t>’.</w:t>
      </w:r>
    </w:p>
  </w:footnote>
  <w:footnote w:id="11">
    <w:p w14:paraId="5103BECA" w14:textId="77777777" w:rsidR="008C2B8A" w:rsidRDefault="008C2B8A" w:rsidP="005F1F17">
      <w:pPr>
        <w:pStyle w:val="FootnoteText"/>
      </w:pPr>
      <w:r>
        <w:rPr>
          <w:rStyle w:val="FootnoteReference"/>
        </w:rPr>
        <w:footnoteRef/>
      </w:r>
      <w:r>
        <w:t xml:space="preserve"> </w:t>
      </w:r>
      <w:r>
        <w:tab/>
        <w:t xml:space="preserve">This is unlike the EU’s </w:t>
      </w:r>
      <w:r w:rsidRPr="00C61056">
        <w:t>translat</w:t>
      </w:r>
      <w:r>
        <w:t xml:space="preserve">ion of the Directive which had one adjective </w:t>
      </w:r>
      <w:r w:rsidRPr="00A97686">
        <w:rPr>
          <w:i/>
        </w:rPr>
        <w:t>‘fedele’</w:t>
      </w:r>
      <w:r w:rsidRPr="00C61056">
        <w:t>.</w:t>
      </w:r>
    </w:p>
  </w:footnote>
  <w:footnote w:id="12">
    <w:p w14:paraId="17BB339C" w14:textId="7395ED0F" w:rsidR="008C2B8A" w:rsidRPr="00B25EA6" w:rsidRDefault="008C2B8A" w:rsidP="005F1F17">
      <w:pPr>
        <w:pStyle w:val="FootnoteText"/>
      </w:pPr>
      <w:r w:rsidRPr="00C61056">
        <w:rPr>
          <w:rStyle w:val="FootnoteReference"/>
        </w:rPr>
        <w:footnoteRef/>
      </w:r>
      <w:r w:rsidRPr="00C61056">
        <w:t xml:space="preserve"> </w:t>
      </w:r>
      <w:r w:rsidRPr="00C61056">
        <w:tab/>
        <w:t>This might be translated as “in compliance with accepted accounting principles, a picture in accordance with the facts”.</w:t>
      </w:r>
    </w:p>
  </w:footnote>
  <w:footnote w:id="13">
    <w:p w14:paraId="2CD9AFEF" w14:textId="77777777" w:rsidR="008C2B8A" w:rsidRPr="00C61056" w:rsidRDefault="008C2B8A" w:rsidP="005F1F17">
      <w:pPr>
        <w:pStyle w:val="FootnoteText"/>
      </w:pPr>
      <w:r>
        <w:rPr>
          <w:rStyle w:val="FootnoteReference"/>
        </w:rPr>
        <w:footnoteRef/>
      </w:r>
      <w:r>
        <w:t xml:space="preserve"> </w:t>
      </w:r>
      <w:r>
        <w:tab/>
      </w:r>
      <w:r w:rsidRPr="00C61056">
        <w:t>Nobes (1993, Table 2) examines this. For example, the EU’s Spanish translation contained the indefinite article.</w:t>
      </w:r>
    </w:p>
  </w:footnote>
  <w:footnote w:id="14">
    <w:p w14:paraId="0F1115DF" w14:textId="432C3CB0" w:rsidR="008C2B8A" w:rsidRDefault="008C2B8A">
      <w:pPr>
        <w:pStyle w:val="FootnoteText"/>
      </w:pPr>
      <w:r>
        <w:rPr>
          <w:rStyle w:val="FootnoteReference"/>
        </w:rPr>
        <w:footnoteRef/>
      </w:r>
      <w:r>
        <w:t xml:space="preserve"> </w:t>
      </w:r>
      <w:r>
        <w:tab/>
        <w:t>The 1974 published draft of the Directive contained the apparently equivalent “</w:t>
      </w:r>
      <w:r w:rsidRPr="00896C2A">
        <w:rPr>
          <w:i/>
        </w:rPr>
        <w:t>einen getreuen Einblick</w:t>
      </w:r>
      <w:r>
        <w:t>” instead of the lengthy wording of German law quoted above. The second half of the new wording is in the Directive (perhaps by negotiation with the German government); the first phrase was added in Germany.</w:t>
      </w:r>
    </w:p>
  </w:footnote>
  <w:footnote w:id="15">
    <w:p w14:paraId="5E6EBAAF" w14:textId="36B971E5" w:rsidR="008C2B8A" w:rsidRDefault="008C2B8A">
      <w:pPr>
        <w:pStyle w:val="FootnoteText"/>
      </w:pPr>
      <w:r>
        <w:rPr>
          <w:rStyle w:val="FootnoteReference"/>
        </w:rPr>
        <w:footnoteRef/>
      </w:r>
      <w:r>
        <w:t xml:space="preserve"> </w:t>
      </w:r>
      <w:r>
        <w:tab/>
        <w:t>See footnote 9.</w:t>
      </w:r>
    </w:p>
  </w:footnote>
  <w:footnote w:id="16">
    <w:p w14:paraId="113B26EA" w14:textId="5B19BCCE" w:rsidR="008C2B8A" w:rsidRPr="00C61056" w:rsidRDefault="008C2B8A" w:rsidP="00BA33FB">
      <w:pPr>
        <w:pStyle w:val="FootnoteText"/>
      </w:pPr>
      <w:r>
        <w:rPr>
          <w:rStyle w:val="FootnoteReference"/>
        </w:rPr>
        <w:footnoteRef/>
      </w:r>
      <w:r>
        <w:t xml:space="preserve"> </w:t>
      </w:r>
      <w:r>
        <w:tab/>
      </w:r>
      <w:r>
        <w:rPr>
          <w:rFonts w:cs="Times New Roman"/>
        </w:rPr>
        <w:t>Some EU translations (such as the Finnish and the German) are also approved by the IFRS Foundation, whereas other EU translations (such as the Italian and the Swedish) are not</w:t>
      </w:r>
      <w:r w:rsidRPr="00C61056">
        <w:t xml:space="preserve"> </w:t>
      </w:r>
      <w:r>
        <w:t xml:space="preserve">(see IFRS Foundation, </w:t>
      </w:r>
      <w:r w:rsidRPr="00C61056">
        <w:t>2017, section on ‘Available translations’).</w:t>
      </w:r>
    </w:p>
    <w:p w14:paraId="5321068F" w14:textId="30F7105A" w:rsidR="008C2B8A" w:rsidRDefault="008C2B8A">
      <w:pPr>
        <w:pStyle w:val="FootnoteText"/>
      </w:pPr>
    </w:p>
  </w:footnote>
  <w:footnote w:id="17">
    <w:p w14:paraId="692EF0CC" w14:textId="77777777" w:rsidR="008C2B8A" w:rsidRPr="00C61056" w:rsidRDefault="008C2B8A" w:rsidP="00B179E1">
      <w:pPr>
        <w:pStyle w:val="FootnoteText"/>
      </w:pPr>
      <w:r>
        <w:rPr>
          <w:rStyle w:val="FootnoteReference"/>
        </w:rPr>
        <w:footnoteRef/>
      </w:r>
      <w:r>
        <w:t xml:space="preserve"> </w:t>
      </w:r>
      <w:r>
        <w:tab/>
      </w:r>
      <w:r w:rsidRPr="00C61056">
        <w:t>IAS 1, para. BC 16.</w:t>
      </w:r>
    </w:p>
  </w:footnote>
  <w:footnote w:id="18">
    <w:p w14:paraId="5BED7CB0" w14:textId="6E14C010" w:rsidR="008C2B8A" w:rsidRDefault="008C2B8A" w:rsidP="00F50255">
      <w:pPr>
        <w:pStyle w:val="FootnoteText"/>
      </w:pPr>
      <w:r>
        <w:rPr>
          <w:rStyle w:val="FootnoteReference"/>
        </w:rPr>
        <w:footnoteRef/>
      </w:r>
      <w:r>
        <w:t xml:space="preserve"> </w:t>
      </w:r>
      <w:r>
        <w:tab/>
        <w:t>We are grateful to Sven-Arne Nilsson for suggesting that, in Sweden and Finland, there are reasons related to accounting theory for preferring ‘</w:t>
      </w:r>
      <w:r w:rsidRPr="00B06343">
        <w:rPr>
          <w:i/>
        </w:rPr>
        <w:t>v</w:t>
      </w:r>
      <w:r w:rsidRPr="00B06343">
        <w:rPr>
          <w:rFonts w:cs="Times New Roman"/>
          <w:i/>
        </w:rPr>
        <w:t>ä</w:t>
      </w:r>
      <w:r w:rsidRPr="00B06343">
        <w:rPr>
          <w:i/>
        </w:rPr>
        <w:t>rdering</w:t>
      </w:r>
      <w:r>
        <w:t>’ (valuation) (letter to the authors of 25.8.2017).</w:t>
      </w:r>
    </w:p>
  </w:footnote>
  <w:footnote w:id="19">
    <w:p w14:paraId="3BFB9CD7" w14:textId="40067D48" w:rsidR="008C2B8A" w:rsidRPr="00C61056" w:rsidRDefault="008C2B8A">
      <w:pPr>
        <w:pStyle w:val="FootnoteText"/>
      </w:pPr>
      <w:r>
        <w:rPr>
          <w:rStyle w:val="FootnoteReference"/>
        </w:rPr>
        <w:footnoteRef/>
      </w:r>
      <w:r>
        <w:t xml:space="preserve"> </w:t>
      </w:r>
      <w:r>
        <w:tab/>
      </w:r>
      <w:r w:rsidRPr="00C61056">
        <w:t>This can be inferred from Article 73 of the Treaty of Rome and the Regulation 1606/2002</w:t>
      </w:r>
      <w:r>
        <w:t xml:space="preserve"> (Preamble paragraphs 1, 2, 5, 7 and 11)</w:t>
      </w:r>
      <w:r w:rsidRPr="00C61056">
        <w:t xml:space="preserve">. It </w:t>
      </w:r>
      <w:r w:rsidRPr="006611A1">
        <w:t xml:space="preserve">can </w:t>
      </w:r>
      <w:r w:rsidRPr="00C61056">
        <w:t xml:space="preserve">also be seen in paragraph 6 of the IASB’s </w:t>
      </w:r>
      <w:r w:rsidRPr="00C61056">
        <w:rPr>
          <w:i/>
        </w:rPr>
        <w:t>Preface to International Financial Reporting Standards</w:t>
      </w:r>
      <w:r w:rsidRPr="00C61056">
        <w:t>, as revised in 2010.</w:t>
      </w:r>
    </w:p>
  </w:footnote>
  <w:footnote w:id="20">
    <w:p w14:paraId="777D947D" w14:textId="760E3B78" w:rsidR="008C2B8A" w:rsidRDefault="008C2B8A" w:rsidP="007A462E">
      <w:pPr>
        <w:pStyle w:val="FootnoteText"/>
      </w:pPr>
      <w:r w:rsidRPr="00414AA1">
        <w:rPr>
          <w:rStyle w:val="FootnoteReference"/>
        </w:rPr>
        <w:footnoteRef/>
      </w:r>
      <w:r>
        <w:t xml:space="preserve"> </w:t>
      </w:r>
      <w:r>
        <w:tab/>
      </w:r>
      <w:r w:rsidRPr="000745A9">
        <w:t xml:space="preserve">This </w:t>
      </w:r>
      <w:r w:rsidRPr="00414AA1">
        <w:t xml:space="preserve">was partially dismantled by the </w:t>
      </w:r>
      <w:r w:rsidRPr="00414AA1">
        <w:rPr>
          <w:i/>
        </w:rPr>
        <w:t>Bilanzrechtsmodernisierungsgesetz</w:t>
      </w:r>
      <w:r w:rsidRPr="00414AA1">
        <w:t xml:space="preserve"> </w:t>
      </w:r>
      <w:r w:rsidRPr="00C61056">
        <w:t>(Accounting Law Modernization Act)</w:t>
      </w:r>
      <w:r>
        <w:t xml:space="preserve"> </w:t>
      </w:r>
      <w:r w:rsidRPr="00414AA1">
        <w:t>of 20</w:t>
      </w:r>
      <w:r w:rsidRPr="000745A9">
        <w:t>09</w:t>
      </w:r>
      <w:r w:rsidRPr="00414AA1">
        <w:t xml:space="preserve"> </w:t>
      </w:r>
      <w:r w:rsidRPr="004E1A86">
        <w:t>(Hoffmann and Detzen, 2013, p. 379)</w:t>
      </w:r>
      <w:r>
        <w:t>.</w:t>
      </w:r>
    </w:p>
  </w:footnote>
  <w:footnote w:id="21">
    <w:p w14:paraId="2FC7C19D" w14:textId="0459FAFB" w:rsidR="008C2B8A" w:rsidRPr="00C61056" w:rsidRDefault="008C2B8A">
      <w:pPr>
        <w:pStyle w:val="FootnoteText"/>
      </w:pPr>
      <w:r>
        <w:rPr>
          <w:rStyle w:val="FootnoteReference"/>
        </w:rPr>
        <w:footnoteRef/>
      </w:r>
      <w:r>
        <w:t xml:space="preserve"> </w:t>
      </w:r>
      <w:r>
        <w:tab/>
        <w:t>This definition is from the Cambridge English Dictionary; s</w:t>
      </w:r>
      <w:r w:rsidRPr="00C61056">
        <w:t xml:space="preserve">ee </w:t>
      </w:r>
      <w:hyperlink r:id="rId1" w:history="1">
        <w:r w:rsidRPr="00C61056">
          <w:rPr>
            <w:rStyle w:val="Hyperlink"/>
          </w:rPr>
          <w:t>http://dictionary.cambridge.org/dictionary/english/impair</w:t>
        </w:r>
      </w:hyperlink>
      <w:r w:rsidRPr="00C61056">
        <w:t>; accessed 11.10.2016. The Oxford English Dictionary has this meaning, and also “To make worse, less valuable, or weaker”.</w:t>
      </w:r>
      <w:r>
        <w:t xml:space="preserve"> Chambers Dictionary has: “to damage or weaken something, especially in terms of its quality or strength”.</w:t>
      </w:r>
    </w:p>
  </w:footnote>
  <w:footnote w:id="22">
    <w:p w14:paraId="1D5B739D" w14:textId="6B3AE51F" w:rsidR="008C2B8A" w:rsidRPr="00C61056" w:rsidRDefault="008C2B8A" w:rsidP="0081551B">
      <w:pPr>
        <w:pStyle w:val="FootnoteText"/>
      </w:pPr>
      <w:r w:rsidRPr="00C61056">
        <w:rPr>
          <w:rStyle w:val="FootnoteReference"/>
        </w:rPr>
        <w:footnoteRef/>
      </w:r>
      <w:r w:rsidRPr="00C61056">
        <w:t xml:space="preserve"> </w:t>
      </w:r>
      <w:r w:rsidRPr="00C61056">
        <w:tab/>
        <w:t>SFAS 121 (Appendix A, para.s 39</w:t>
      </w:r>
      <w:r>
        <w:rPr>
          <w:rFonts w:cs="Times New Roman"/>
        </w:rPr>
        <w:t>-</w:t>
      </w:r>
      <w:r w:rsidRPr="00C61056">
        <w:t>41) reports documents of 1980: one sent to the FASB by the American Institute of Certified Public Accountants, and one discussed by the FASB’s Financial Accounting Advisory Council.</w:t>
      </w:r>
    </w:p>
  </w:footnote>
  <w:footnote w:id="23">
    <w:p w14:paraId="586EFDC3" w14:textId="77777777" w:rsidR="008C2B8A" w:rsidRPr="00C61056" w:rsidRDefault="008C2B8A" w:rsidP="0081551B">
      <w:pPr>
        <w:pStyle w:val="FootnoteText"/>
      </w:pPr>
      <w:r>
        <w:rPr>
          <w:rStyle w:val="FootnoteReference"/>
        </w:rPr>
        <w:footnoteRef/>
      </w:r>
      <w:r>
        <w:t xml:space="preserve"> </w:t>
      </w:r>
      <w:r>
        <w:tab/>
      </w:r>
      <w:r w:rsidRPr="00C61056">
        <w:t>SFAS 114 (</w:t>
      </w:r>
      <w:r w:rsidRPr="00C61056">
        <w:rPr>
          <w:i/>
        </w:rPr>
        <w:t>Accounting by Creditors for Impairment of a Loan</w:t>
      </w:r>
      <w:r w:rsidRPr="00C61056">
        <w:t>) of May 1993, and SFAS 121 of March 1995.</w:t>
      </w:r>
    </w:p>
  </w:footnote>
  <w:footnote w:id="24">
    <w:p w14:paraId="350A16BB" w14:textId="77777777" w:rsidR="008C2B8A" w:rsidRPr="00C61056" w:rsidRDefault="008C2B8A">
      <w:pPr>
        <w:pStyle w:val="FootnoteText"/>
      </w:pPr>
      <w:r>
        <w:rPr>
          <w:rStyle w:val="FootnoteReference"/>
        </w:rPr>
        <w:footnoteRef/>
      </w:r>
      <w:r>
        <w:t xml:space="preserve"> </w:t>
      </w:r>
      <w:r>
        <w:tab/>
      </w:r>
      <w:r w:rsidRPr="00C61056">
        <w:t>In the UK, at least since the Companies Act 1981.</w:t>
      </w:r>
    </w:p>
  </w:footnote>
  <w:footnote w:id="25">
    <w:p w14:paraId="7EE9A46A" w14:textId="3550329D" w:rsidR="008C2B8A" w:rsidRDefault="008C2B8A">
      <w:pPr>
        <w:pStyle w:val="FootnoteText"/>
      </w:pPr>
      <w:r>
        <w:rPr>
          <w:rStyle w:val="FootnoteReference"/>
        </w:rPr>
        <w:footnoteRef/>
      </w:r>
      <w:r>
        <w:t xml:space="preserve"> </w:t>
      </w:r>
      <w:r>
        <w:tab/>
        <w:t>This paper is written in late 2017, before any changes to UK law resulting from leaving the EU.</w:t>
      </w:r>
    </w:p>
  </w:footnote>
  <w:footnote w:id="26">
    <w:p w14:paraId="4F3DDC68" w14:textId="66C3FEF1" w:rsidR="008C2B8A" w:rsidRDefault="008C2B8A" w:rsidP="00A647A7">
      <w:pPr>
        <w:pStyle w:val="FootnoteText"/>
      </w:pPr>
      <w:r>
        <w:rPr>
          <w:rStyle w:val="FootnoteReference"/>
        </w:rPr>
        <w:footnoteRef/>
      </w:r>
      <w:r>
        <w:t xml:space="preserve"> </w:t>
      </w:r>
      <w:r>
        <w:tab/>
      </w:r>
      <w:r w:rsidRPr="006C6841">
        <w:t>SFAS 121 (</w:t>
      </w:r>
      <w:r w:rsidRPr="006C6841">
        <w:rPr>
          <w:i/>
        </w:rPr>
        <w:t>Accounting for the Impairment of Long-lived Assets</w:t>
      </w:r>
      <w:r w:rsidRPr="006C6841">
        <w:t xml:space="preserve"> </w:t>
      </w:r>
      <w:r w:rsidRPr="006C6841">
        <w:rPr>
          <w:i/>
        </w:rPr>
        <w:t xml:space="preserve">and for Long-lived Assets to be Disposed of) </w:t>
      </w:r>
      <w:r w:rsidRPr="00156197">
        <w:t>was</w:t>
      </w:r>
      <w:r w:rsidRPr="006C6841">
        <w:t xml:space="preserve"> issued in 1995</w:t>
      </w:r>
      <w:r w:rsidRPr="00156197">
        <w:t xml:space="preserve"> and is</w:t>
      </w:r>
      <w:r w:rsidRPr="006C6841">
        <w:t xml:space="preserve"> now part of the Accounting Standards Codification 36-10-35.</w:t>
      </w:r>
      <w:r w:rsidRPr="00156197">
        <w:t xml:space="preserve"> It</w:t>
      </w:r>
      <w:r w:rsidRPr="00156197">
        <w:rPr>
          <w:rFonts w:cs="Times New Roman"/>
        </w:rPr>
        <w:t xml:space="preserve"> </w:t>
      </w:r>
      <w:r>
        <w:rPr>
          <w:rFonts w:cs="Times New Roman"/>
        </w:rPr>
        <w:t>does not allow reversals of impairment whereas IAS 36 (para. 10) requires them where appropriate.</w:t>
      </w:r>
    </w:p>
  </w:footnote>
  <w:footnote w:id="27">
    <w:p w14:paraId="0797F106" w14:textId="2CFCDC08" w:rsidR="008C2B8A" w:rsidRDefault="008C2B8A" w:rsidP="00777671">
      <w:pPr>
        <w:pStyle w:val="FootnoteText"/>
      </w:pPr>
      <w:r>
        <w:rPr>
          <w:rStyle w:val="FootnoteReference"/>
        </w:rPr>
        <w:footnoteRef/>
      </w:r>
      <w:r>
        <w:t xml:space="preserve"> </w:t>
      </w:r>
      <w:r>
        <w:tab/>
        <w:t xml:space="preserve">The </w:t>
      </w:r>
      <w:r w:rsidRPr="00C61056">
        <w:t>English language report as published by Daimler-Benz AG for 1995, p.</w:t>
      </w:r>
      <w:r>
        <w:t xml:space="preserve"> </w:t>
      </w:r>
      <w:r w:rsidRPr="00C61056">
        <w:t>54. From 1996 to 2006, Daimler provided US GAAP consolidated statements, after which it provided IFRS statements.</w:t>
      </w:r>
    </w:p>
  </w:footnote>
  <w:footnote w:id="28">
    <w:p w14:paraId="6B062F32" w14:textId="5E6CDDAE" w:rsidR="008C2B8A" w:rsidRPr="00C61056" w:rsidRDefault="008C2B8A" w:rsidP="003315BD">
      <w:pPr>
        <w:pStyle w:val="FootnoteText"/>
      </w:pPr>
      <w:r>
        <w:rPr>
          <w:rStyle w:val="FootnoteReference"/>
        </w:rPr>
        <w:footnoteRef/>
      </w:r>
      <w:r>
        <w:t xml:space="preserve"> </w:t>
      </w:r>
      <w:r>
        <w:tab/>
      </w:r>
      <w:r w:rsidRPr="00C61056">
        <w:t xml:space="preserve">Handelsgesetzbuch, </w:t>
      </w:r>
      <w:r w:rsidRPr="00C61056">
        <w:rPr>
          <w:rFonts w:cs="Times New Roman"/>
        </w:rPr>
        <w:t>§</w:t>
      </w:r>
      <w:r w:rsidRPr="00C61056">
        <w:t xml:space="preserve"> 253(2) before and </w:t>
      </w:r>
      <w:r w:rsidRPr="00C61056">
        <w:rPr>
          <w:rFonts w:cs="Times New Roman"/>
        </w:rPr>
        <w:t>§</w:t>
      </w:r>
      <w:r w:rsidRPr="00C61056">
        <w:t xml:space="preserve"> 253(3) after the </w:t>
      </w:r>
      <w:r w:rsidRPr="00C61056">
        <w:rPr>
          <w:i/>
        </w:rPr>
        <w:t>Bilanzrechtsmodernisierungsgesetz</w:t>
      </w:r>
      <w:r w:rsidRPr="00C61056">
        <w:t xml:space="preserve"> of 2009.</w:t>
      </w:r>
      <w:r w:rsidRPr="002045B6">
        <w:t xml:space="preserve"> </w:t>
      </w:r>
      <w:r>
        <w:t>I</w:t>
      </w:r>
      <w:r w:rsidRPr="00B50E37">
        <w:t>n the equivalent UK law</w:t>
      </w:r>
      <w:r>
        <w:t>, the term for</w:t>
      </w:r>
      <w:r w:rsidRPr="00B50E37">
        <w:t xml:space="preserve"> “</w:t>
      </w:r>
      <w:r w:rsidRPr="00F1006C">
        <w:rPr>
          <w:i/>
        </w:rPr>
        <w:t>Wertminderung</w:t>
      </w:r>
      <w:r w:rsidRPr="00B50E37">
        <w:t xml:space="preserve">” </w:t>
      </w:r>
      <w:r>
        <w:t>is</w:t>
      </w:r>
      <w:r w:rsidRPr="00B50E37">
        <w:t xml:space="preserve"> “diminution in value”</w:t>
      </w:r>
      <w:r>
        <w:t xml:space="preserve"> (</w:t>
      </w:r>
      <w:r w:rsidRPr="00C61056">
        <w:t>Companies Act 2006, Regulations 2008, Schedule 1, para. 19 (2)</w:t>
      </w:r>
      <w:r>
        <w:t>)</w:t>
      </w:r>
      <w:r w:rsidRPr="00C61056">
        <w:t>.</w:t>
      </w:r>
    </w:p>
  </w:footnote>
  <w:footnote w:id="29">
    <w:p w14:paraId="363C529F" w14:textId="0AB795E5" w:rsidR="008C2B8A" w:rsidRDefault="008C2B8A">
      <w:pPr>
        <w:pStyle w:val="FootnoteText"/>
      </w:pPr>
      <w:r>
        <w:rPr>
          <w:rStyle w:val="FootnoteReference"/>
        </w:rPr>
        <w:footnoteRef/>
      </w:r>
      <w:r>
        <w:t xml:space="preserve"> </w:t>
      </w:r>
      <w:r>
        <w:tab/>
        <w:t>See Continental 2013 and Henkel 2013.</w:t>
      </w:r>
    </w:p>
  </w:footnote>
  <w:footnote w:id="30">
    <w:p w14:paraId="22E61651" w14:textId="77777777" w:rsidR="008C2B8A" w:rsidRPr="00C61056" w:rsidRDefault="008C2B8A">
      <w:pPr>
        <w:pStyle w:val="FootnoteText"/>
        <w:rPr>
          <w:rFonts w:cs="Times New Roman"/>
        </w:rPr>
      </w:pPr>
      <w:r>
        <w:rPr>
          <w:rStyle w:val="FootnoteReference"/>
        </w:rPr>
        <w:footnoteRef/>
      </w:r>
      <w:r>
        <w:t xml:space="preserve"> </w:t>
      </w:r>
      <w:r>
        <w:tab/>
      </w:r>
      <w:r w:rsidRPr="00C61056">
        <w:rPr>
          <w:rFonts w:cs="Times New Roman"/>
        </w:rPr>
        <w:t>Other terms, such as “</w:t>
      </w:r>
      <w:r w:rsidRPr="00C61056">
        <w:rPr>
          <w:rFonts w:cs="Times New Roman"/>
          <w:i/>
        </w:rPr>
        <w:t>buitengewoon</w:t>
      </w:r>
      <w:r w:rsidRPr="00C61056">
        <w:rPr>
          <w:rFonts w:cs="Times New Roman"/>
        </w:rPr>
        <w:t>” (extraordinary) were used in earlier law based on Article 35 of the Fourth Directive. We are grateful for assistance from Geert Wognum of PwC.</w:t>
      </w:r>
    </w:p>
  </w:footnote>
  <w:footnote w:id="31">
    <w:p w14:paraId="6FF2F3FF" w14:textId="77777777" w:rsidR="008C2B8A" w:rsidRPr="00C61056" w:rsidRDefault="008C2B8A">
      <w:pPr>
        <w:pStyle w:val="FootnoteText"/>
      </w:pPr>
      <w:r w:rsidRPr="00C61056">
        <w:rPr>
          <w:rStyle w:val="FootnoteReference"/>
        </w:rPr>
        <w:footnoteRef/>
      </w:r>
      <w:r w:rsidRPr="00C61056">
        <w:t xml:space="preserve"> </w:t>
      </w:r>
      <w:r w:rsidRPr="00C61056">
        <w:tab/>
        <w:t>Letter from Jörgen Dahlgren to the authors of 29.8.2016.</w:t>
      </w:r>
    </w:p>
  </w:footnote>
  <w:footnote w:id="32">
    <w:p w14:paraId="004F3190" w14:textId="77777777" w:rsidR="008C2B8A" w:rsidRPr="00C61056" w:rsidRDefault="008C2B8A" w:rsidP="007C3A3F">
      <w:pPr>
        <w:pStyle w:val="FootnoteText"/>
      </w:pPr>
      <w:r w:rsidRPr="00C61056">
        <w:rPr>
          <w:rStyle w:val="FootnoteReference"/>
        </w:rPr>
        <w:footnoteRef/>
      </w:r>
      <w:r w:rsidRPr="00C61056">
        <w:t xml:space="preserve"> </w:t>
      </w:r>
      <w:r w:rsidRPr="00C61056">
        <w:tab/>
        <w:t>The translation into English results from correspondence with Abdullah Almulhim of King Faisal University (13.9.2016), Aysha AlSalih of Princess Noura Bint Abdulrahmin University (14.9.2016), and Mohammed Alomair of Royal Holloway (19.7.2016).</w:t>
      </w:r>
    </w:p>
  </w:footnote>
  <w:footnote w:id="33">
    <w:p w14:paraId="7C45E4D1" w14:textId="19EA4880" w:rsidR="008C2B8A" w:rsidRPr="00C61056" w:rsidRDefault="008C2B8A" w:rsidP="009344C7">
      <w:pPr>
        <w:pStyle w:val="FootnoteText"/>
      </w:pPr>
      <w:r>
        <w:rPr>
          <w:rStyle w:val="FootnoteReference"/>
        </w:rPr>
        <w:footnoteRef/>
      </w:r>
      <w:r>
        <w:t xml:space="preserve"> </w:t>
      </w:r>
      <w:r>
        <w:tab/>
      </w:r>
      <w:r w:rsidRPr="00C61056">
        <w:t xml:space="preserve">According to the Michaelis Dictionary, the </w:t>
      </w:r>
      <w:r>
        <w:t>word</w:t>
      </w:r>
      <w:r w:rsidRPr="00C61056">
        <w:t xml:space="preserve"> means 1. imparity; 2. inequality, disproportion; 3. quantitative or numerical unevenness (</w:t>
      </w:r>
      <w:hyperlink r:id="rId2" w:history="1">
        <w:r w:rsidRPr="00C61056">
          <w:rPr>
            <w:rStyle w:val="Hyperlink"/>
          </w:rPr>
          <w:t>http://michaelis.uol.com.br/busca?r=1&amp;f=0&amp;t=1&amp;palavra=imparidade</w:t>
        </w:r>
      </w:hyperlink>
      <w:r w:rsidRPr="00C61056">
        <w:t>; accessed on 11.10.2016)</w:t>
      </w:r>
      <w:r>
        <w:t>.</w:t>
      </w:r>
    </w:p>
  </w:footnote>
  <w:footnote w:id="34">
    <w:p w14:paraId="20681426" w14:textId="77777777" w:rsidR="008C2B8A" w:rsidRPr="00C61056" w:rsidRDefault="008C2B8A" w:rsidP="009344C7">
      <w:pPr>
        <w:pStyle w:val="FootnoteText"/>
      </w:pPr>
      <w:r w:rsidRPr="00C61056">
        <w:rPr>
          <w:rStyle w:val="FootnoteReference"/>
        </w:rPr>
        <w:footnoteRef/>
      </w:r>
      <w:r w:rsidRPr="00C61056">
        <w:t xml:space="preserve"> </w:t>
      </w:r>
      <w:r w:rsidRPr="00C61056">
        <w:tab/>
        <w:t>Letter to the authors of 14.7.2016.</w:t>
      </w:r>
    </w:p>
  </w:footnote>
  <w:footnote w:id="35">
    <w:p w14:paraId="56875DEB" w14:textId="229B292A" w:rsidR="008C2B8A" w:rsidRPr="00C61056" w:rsidRDefault="008C2B8A">
      <w:pPr>
        <w:pStyle w:val="FootnoteText"/>
      </w:pPr>
      <w:r w:rsidRPr="00C61056">
        <w:rPr>
          <w:rStyle w:val="FootnoteReference"/>
        </w:rPr>
        <w:footnoteRef/>
      </w:r>
      <w:r w:rsidRPr="00C61056">
        <w:t xml:space="preserve"> </w:t>
      </w:r>
      <w:r>
        <w:tab/>
      </w:r>
      <w:r w:rsidRPr="00C61056">
        <w:t>The translation into English results from correspondence with Piotr Zegarlinski of PwC (14.7.2016).</w:t>
      </w:r>
    </w:p>
  </w:footnote>
  <w:footnote w:id="36">
    <w:p w14:paraId="222AE9F2" w14:textId="4E7885D0" w:rsidR="008C2B8A" w:rsidRPr="00C61056" w:rsidRDefault="008C2B8A" w:rsidP="00B678E3">
      <w:pPr>
        <w:pStyle w:val="FootnoteText"/>
      </w:pPr>
      <w:r>
        <w:rPr>
          <w:rStyle w:val="FootnoteReference"/>
        </w:rPr>
        <w:footnoteRef/>
      </w:r>
      <w:r>
        <w:t xml:space="preserve"> </w:t>
      </w:r>
      <w:r>
        <w:tab/>
      </w:r>
      <w:r w:rsidRPr="00C61056">
        <w:t>The translation into English results from correspondence with Satenik Vanyan of PwC (14.7.2016).</w:t>
      </w:r>
    </w:p>
  </w:footnote>
  <w:footnote w:id="37">
    <w:p w14:paraId="5B627843" w14:textId="2D6C957C" w:rsidR="008C2B8A" w:rsidRDefault="008C2B8A">
      <w:pPr>
        <w:pStyle w:val="FootnoteText"/>
      </w:pPr>
      <w:r>
        <w:rPr>
          <w:rStyle w:val="FootnoteReference"/>
        </w:rPr>
        <w:footnoteRef/>
      </w:r>
      <w:r>
        <w:t xml:space="preserve"> </w:t>
      </w:r>
      <w:r>
        <w:tab/>
        <w:t>We are grateful to Na Zhao for assistance with the translation of the Chinese characters. The third character also has other connotations, but we are informed that “damage” is the most obvious one.</w:t>
      </w:r>
    </w:p>
  </w:footnote>
  <w:footnote w:id="38">
    <w:p w14:paraId="6CEE6719" w14:textId="25651E00" w:rsidR="008C2B8A" w:rsidRDefault="008C2B8A">
      <w:pPr>
        <w:pStyle w:val="FootnoteText"/>
      </w:pPr>
      <w:r>
        <w:rPr>
          <w:rStyle w:val="FootnoteReference"/>
        </w:rPr>
        <w:footnoteRef/>
      </w:r>
      <w:r>
        <w:t xml:space="preserve"> </w:t>
      </w:r>
      <w:r>
        <w:tab/>
        <w:t xml:space="preserve">In the Chinese for “impairment loss”, </w:t>
      </w:r>
      <w:r w:rsidRPr="00BC4AC6">
        <w:rPr>
          <w:rFonts w:eastAsia="SimSun" w:cs="Times New Roman"/>
        </w:rPr>
        <w:t>损</w:t>
      </w:r>
      <w:r>
        <w:t xml:space="preserve"> is a simplified Chinese character, and it implies damage. The corresponding traditional Chinese character is </w:t>
      </w:r>
      <w:r w:rsidRPr="00D2687B">
        <w:rPr>
          <w:rFonts w:hint="eastAsia"/>
        </w:rPr>
        <w:t>損</w:t>
      </w:r>
      <w:r>
        <w:t>, and this is used in the Japanese for “impairment”. However, in Japanese, our advice (and Google Translate) does not suggest that it implies damage.</w:t>
      </w:r>
    </w:p>
  </w:footnote>
  <w:footnote w:id="39">
    <w:p w14:paraId="0623BC25" w14:textId="3F0D79B4" w:rsidR="00625071" w:rsidRDefault="00625071">
      <w:pPr>
        <w:pStyle w:val="FootnoteText"/>
      </w:pPr>
      <w:r>
        <w:rPr>
          <w:rStyle w:val="FootnoteReference"/>
        </w:rPr>
        <w:footnoteRef/>
      </w:r>
      <w:r>
        <w:t xml:space="preserve"> </w:t>
      </w:r>
      <w:r w:rsidR="001C3BA2">
        <w:tab/>
      </w:r>
      <w:r>
        <w:t xml:space="preserve">One could add </w:t>
      </w:r>
      <w:r>
        <w:rPr>
          <w:rFonts w:cs="Times New Roman"/>
        </w:rPr>
        <w:t>the Chinese if one counts the signifier for impairment loss.</w:t>
      </w:r>
    </w:p>
  </w:footnote>
  <w:footnote w:id="40">
    <w:p w14:paraId="69F00099" w14:textId="26EA3B6E" w:rsidR="008C2B8A" w:rsidRPr="00C61056" w:rsidRDefault="008C2B8A">
      <w:pPr>
        <w:pStyle w:val="FootnoteText"/>
      </w:pPr>
      <w:r w:rsidRPr="00C61056">
        <w:rPr>
          <w:rStyle w:val="FootnoteReference"/>
        </w:rPr>
        <w:footnoteRef/>
      </w:r>
      <w:r w:rsidRPr="00C61056">
        <w:t xml:space="preserve"> </w:t>
      </w:r>
      <w:r>
        <w:tab/>
      </w:r>
      <w:r w:rsidRPr="00C61056">
        <w:t>We are grateful for help from Chungwoo Suh (of the IASB) and Sang-Eun Park (of Samil PricewaterhouseCoopers), who stress that they are offering their personal views rather than official views of their organisations.</w:t>
      </w:r>
    </w:p>
  </w:footnote>
  <w:footnote w:id="41">
    <w:p w14:paraId="0A084780" w14:textId="36C46E11" w:rsidR="008C2B8A" w:rsidRDefault="008C2B8A">
      <w:pPr>
        <w:pStyle w:val="FootnoteText"/>
      </w:pPr>
      <w:r>
        <w:rPr>
          <w:rStyle w:val="FootnoteReference"/>
        </w:rPr>
        <w:footnoteRef/>
      </w:r>
      <w:r>
        <w:t xml:space="preserve"> </w:t>
      </w:r>
      <w:r>
        <w:tab/>
        <w:t>For example, KASB has a ‘Research Department’ of 31 members whereas the German standard-setter has 10 staff (</w:t>
      </w:r>
      <w:hyperlink r:id="rId3" w:history="1">
        <w:r w:rsidRPr="00ED0AC3">
          <w:rPr>
            <w:rStyle w:val="Hyperlink"/>
          </w:rPr>
          <w:t>http://eng.kasb.or.kr/fe/org/NR_view.do?deptCd=DEPT00019&amp;highDeptCd=DEPT00036</w:t>
        </w:r>
      </w:hyperlink>
      <w:r>
        <w:t xml:space="preserve"> and </w:t>
      </w:r>
      <w:hyperlink r:id="rId4" w:history="1">
        <w:r w:rsidRPr="00FD56E2">
          <w:rPr>
            <w:rStyle w:val="Hyperlink"/>
          </w:rPr>
          <w:t>https://www.drsc.de/en/governing-bodies-standing-committees</w:t>
        </w:r>
      </w:hyperlink>
      <w:r>
        <w:rPr>
          <w:rStyle w:val="Hyperlink"/>
        </w:rPr>
        <w:t>; both accessed on 7.6.2018).</w:t>
      </w:r>
    </w:p>
  </w:footnote>
  <w:footnote w:id="42">
    <w:p w14:paraId="1EA09C50" w14:textId="411B0321" w:rsidR="008C2B8A" w:rsidRPr="00C61056" w:rsidRDefault="008C2B8A">
      <w:pPr>
        <w:pStyle w:val="FootnoteText"/>
      </w:pPr>
      <w:r>
        <w:rPr>
          <w:rStyle w:val="FootnoteReference"/>
        </w:rPr>
        <w:footnoteRef/>
      </w:r>
      <w:r>
        <w:t xml:space="preserve"> </w:t>
      </w:r>
      <w:r>
        <w:tab/>
      </w:r>
      <w:r w:rsidRPr="00C61056">
        <w:t>The fair value basis is allowed or required for various assets under IAS 2 (para. 3), IAS 16 (para.s 24, 29), IAS 19 (para. 57), IAS 26 (para.32), IAS 27 (para. 10), IAS 28 (para. 11), IAS 38 (para.s 45, 72), IAS 39 (para.s 9, 43, 47), IAS 40 (para.s 27, 30), IAS 41 (para.s 2, 12, 13), IFRS 6 (para. 12), IFRS 9 (para.s 5.1.1, 5.2.1) and IFRS 10 (para. 31).</w:t>
      </w:r>
    </w:p>
  </w:footnote>
  <w:footnote w:id="43">
    <w:p w14:paraId="61DE8359" w14:textId="7766D024" w:rsidR="008C2B8A" w:rsidRPr="00C61056" w:rsidRDefault="008C2B8A">
      <w:pPr>
        <w:pStyle w:val="FootnoteText"/>
      </w:pPr>
      <w:r>
        <w:rPr>
          <w:rStyle w:val="FootnoteReference"/>
        </w:rPr>
        <w:footnoteRef/>
      </w:r>
      <w:r>
        <w:t xml:space="preserve"> </w:t>
      </w:r>
      <w:r>
        <w:tab/>
      </w:r>
      <w:r w:rsidRPr="00C61056">
        <w:t>The authors are grateful for advice about Portugal from Isabel Lourenço of Instituto Universitàrio de Lisboa, and for advice on Japan from Takatsugu Ochi. Google Translate (accessed on 11.12.2016) translates the Japanese characters of Table 1 as ‘impairment’.</w:t>
      </w:r>
    </w:p>
  </w:footnote>
  <w:footnote w:id="44">
    <w:p w14:paraId="3061D7F5" w14:textId="5D23CFCD" w:rsidR="008C2B8A" w:rsidRPr="00C61056" w:rsidRDefault="008C2B8A">
      <w:pPr>
        <w:pStyle w:val="FootnoteText"/>
      </w:pPr>
      <w:r w:rsidRPr="00C61056">
        <w:rPr>
          <w:rStyle w:val="FootnoteReference"/>
        </w:rPr>
        <w:footnoteRef/>
      </w:r>
      <w:r w:rsidRPr="00C61056">
        <w:t xml:space="preserve"> </w:t>
      </w:r>
      <w:r w:rsidRPr="00C61056">
        <w:tab/>
        <w:t>For example, in Linguee, there are dozens of illustrations of the meaning of the word, all of which are about accounting (</w:t>
      </w:r>
      <w:hyperlink r:id="rId5" w:history="1">
        <w:r w:rsidRPr="00C61056">
          <w:rPr>
            <w:rStyle w:val="Hyperlink"/>
          </w:rPr>
          <w:t>http://www.linguee.com/english-portuguese/search?sourceoverride=none&amp;source=portuguese&amp;query=imparidade</w:t>
        </w:r>
      </w:hyperlink>
      <w:r w:rsidRPr="00C61056">
        <w:t>; accessed on 11.10.2016).</w:t>
      </w:r>
    </w:p>
  </w:footnote>
  <w:footnote w:id="45">
    <w:p w14:paraId="6DB9EEFD" w14:textId="369E2EBC" w:rsidR="008C2B8A" w:rsidRPr="00C61056" w:rsidRDefault="008C2B8A" w:rsidP="00F63030">
      <w:pPr>
        <w:pStyle w:val="FootnoteText"/>
      </w:pPr>
      <w:r>
        <w:rPr>
          <w:rStyle w:val="FootnoteReference"/>
        </w:rPr>
        <w:footnoteRef/>
      </w:r>
      <w:r>
        <w:t xml:space="preserve"> </w:t>
      </w:r>
      <w:r>
        <w:tab/>
      </w:r>
      <w:r w:rsidRPr="00C61056">
        <w:t>IBrX-50</w:t>
      </w:r>
      <w:r w:rsidRPr="009B5375">
        <w:t xml:space="preserve"> </w:t>
      </w:r>
      <w:r w:rsidRPr="00C61056">
        <w:t>(Brazil), SMI (Switzerland), DAX-30 &amp; 10 largest (by market capitalisation) constituents of MDAX-50 (Germany), IBEX-35 (Spain), CAC-40 (France), Hang Seng (Hong Kong), FTSE/MIB-40 (Italy), KOSPI-50 (South Korea) and RTS-50 (Russia).</w:t>
      </w:r>
      <w:r>
        <w:t xml:space="preserve"> </w:t>
      </w:r>
      <w:r w:rsidRPr="000A1060">
        <w:t xml:space="preserve">For most countries, the sample comprises the </w:t>
      </w:r>
      <w:r>
        <w:t xml:space="preserve">index </w:t>
      </w:r>
      <w:r w:rsidRPr="000A1060">
        <w:t>constituents on 31 December 2005 or 31 December 2010 or both. For Russia and South Korea, the sample comprises the constituents on 31 December 2010. The sample for Brazil comprises the constituents on 30 June 2012.</w:t>
      </w:r>
    </w:p>
  </w:footnote>
  <w:footnote w:id="46">
    <w:p w14:paraId="440A7FB6" w14:textId="050CF370" w:rsidR="008C2B8A" w:rsidRPr="00C61056" w:rsidRDefault="008C2B8A">
      <w:pPr>
        <w:pStyle w:val="FootnoteText"/>
      </w:pPr>
      <w:r w:rsidRPr="00C61056">
        <w:rPr>
          <w:rStyle w:val="FootnoteReference"/>
        </w:rPr>
        <w:footnoteRef/>
      </w:r>
      <w:r w:rsidRPr="00C61056">
        <w:t xml:space="preserve"> </w:t>
      </w:r>
      <w:r w:rsidRPr="00C61056">
        <w:tab/>
        <w:t>Specifically, our sample comprises the constituents of the Hang Seng China Enterprises Index.</w:t>
      </w:r>
    </w:p>
  </w:footnote>
  <w:footnote w:id="47">
    <w:p w14:paraId="7734AB89" w14:textId="14485F2D" w:rsidR="008C2B8A" w:rsidRDefault="008C2B8A">
      <w:pPr>
        <w:pStyle w:val="FootnoteText"/>
      </w:pPr>
      <w:r>
        <w:rPr>
          <w:rStyle w:val="FootnoteReference"/>
        </w:rPr>
        <w:footnoteRef/>
      </w:r>
      <w:r>
        <w:t xml:space="preserve"> </w:t>
      </w:r>
      <w:r>
        <w:tab/>
        <w:t>In a few cases, we rely on notes about investment property which (when the cost basis is chosen) is accounted for under IFRS as though it were PPE.</w:t>
      </w:r>
    </w:p>
  </w:footnote>
  <w:footnote w:id="48">
    <w:p w14:paraId="15545705" w14:textId="6A6B3367" w:rsidR="008C2B8A" w:rsidRPr="00C61056" w:rsidRDefault="008C2B8A">
      <w:pPr>
        <w:pStyle w:val="FootnoteText"/>
      </w:pPr>
      <w:r>
        <w:rPr>
          <w:rStyle w:val="FootnoteReference"/>
        </w:rPr>
        <w:footnoteRef/>
      </w:r>
      <w:r>
        <w:t xml:space="preserve"> </w:t>
      </w:r>
      <w:r>
        <w:tab/>
      </w:r>
      <w:r w:rsidRPr="00C61056">
        <w:t xml:space="preserve">See </w:t>
      </w:r>
      <w:r>
        <w:t>Cia. Hering 2010</w:t>
      </w:r>
      <w:r w:rsidRPr="00C61056">
        <w:t>.</w:t>
      </w:r>
    </w:p>
  </w:footnote>
  <w:footnote w:id="49">
    <w:p w14:paraId="4E6CA79A" w14:textId="2D9FE8C3" w:rsidR="008C2B8A" w:rsidRPr="00C61056" w:rsidRDefault="008C2B8A">
      <w:pPr>
        <w:pStyle w:val="FootnoteText"/>
      </w:pPr>
      <w:r w:rsidRPr="00C61056">
        <w:rPr>
          <w:rStyle w:val="FootnoteReference"/>
        </w:rPr>
        <w:footnoteRef/>
      </w:r>
      <w:r w:rsidRPr="00C61056">
        <w:t xml:space="preserve"> </w:t>
      </w:r>
      <w:r>
        <w:tab/>
      </w:r>
      <w:r w:rsidRPr="00C61056">
        <w:t xml:space="preserve">See </w:t>
      </w:r>
      <w:r>
        <w:t>Capitalia</w:t>
      </w:r>
      <w:r w:rsidRPr="009F364C">
        <w:t xml:space="preserve"> 200</w:t>
      </w:r>
      <w:r>
        <w:t>5</w:t>
      </w:r>
      <w:r w:rsidRPr="00C61056">
        <w:t>.</w:t>
      </w:r>
    </w:p>
  </w:footnote>
  <w:footnote w:id="50">
    <w:p w14:paraId="12EE1E1E" w14:textId="283AD7DE" w:rsidR="008C2B8A" w:rsidRPr="00C61056" w:rsidRDefault="008C2B8A" w:rsidP="001E5E80">
      <w:pPr>
        <w:pStyle w:val="FootnoteText"/>
      </w:pPr>
      <w:r>
        <w:rPr>
          <w:rStyle w:val="FootnoteReference"/>
        </w:rPr>
        <w:footnoteRef/>
      </w:r>
      <w:r>
        <w:t xml:space="preserve"> </w:t>
      </w:r>
      <w:r>
        <w:tab/>
      </w:r>
      <w:r w:rsidRPr="00C61056">
        <w:t>There could be several</w:t>
      </w:r>
      <w:r w:rsidRPr="00C61056">
        <w:rPr>
          <w:rFonts w:cs="Times New Roman"/>
        </w:rPr>
        <w:t xml:space="preserve"> different approaches to scoring. The polar versions are: (i) score ‘</w:t>
      </w:r>
      <w:r>
        <w:rPr>
          <w:lang w:eastAsia="en-GB"/>
        </w:rPr>
        <w:t>non-</w:t>
      </w:r>
      <w:r>
        <w:rPr>
          <w:rFonts w:cs="Times New Roman"/>
          <w:szCs w:val="22"/>
        </w:rPr>
        <w:t>proximate</w:t>
      </w:r>
      <w:r w:rsidRPr="00C61056">
        <w:rPr>
          <w:rFonts w:cs="Times New Roman"/>
        </w:rPr>
        <w:t xml:space="preserve">’ if there is any such </w:t>
      </w:r>
      <w:r>
        <w:rPr>
          <w:rFonts w:cs="Times New Roman"/>
        </w:rPr>
        <w:t>term</w:t>
      </w:r>
      <w:r w:rsidRPr="00C61056">
        <w:rPr>
          <w:rFonts w:cs="Times New Roman"/>
        </w:rPr>
        <w:t xml:space="preserve"> throughout the </w:t>
      </w:r>
      <w:r>
        <w:rPr>
          <w:rFonts w:cs="Times New Roman"/>
        </w:rPr>
        <w:t>report</w:t>
      </w:r>
      <w:r w:rsidRPr="00C61056">
        <w:rPr>
          <w:rFonts w:cs="Times New Roman"/>
        </w:rPr>
        <w:t>, and (ii) only score if ‘impairment’ is never used in connection with PPE</w:t>
      </w:r>
      <w:r>
        <w:rPr>
          <w:rFonts w:cs="Times New Roman"/>
        </w:rPr>
        <w:t xml:space="preserve"> (which would fail to count </w:t>
      </w:r>
      <w:r>
        <w:rPr>
          <w:lang w:eastAsia="en-GB"/>
        </w:rPr>
        <w:t>non-proximate</w:t>
      </w:r>
      <w:r>
        <w:rPr>
          <w:rFonts w:cs="Times New Roman"/>
        </w:rPr>
        <w:t xml:space="preserve"> terms in many reports which contain translation problems)</w:t>
      </w:r>
      <w:r w:rsidRPr="00C61056">
        <w:rPr>
          <w:rFonts w:cs="Times New Roman"/>
        </w:rPr>
        <w:t>. Our approach is intermediate, and our search hierarchy starts in the PPE table, where we expect a reader to look first.</w:t>
      </w:r>
    </w:p>
    <w:p w14:paraId="5C6D1756" w14:textId="0B0B2471" w:rsidR="008C2B8A" w:rsidRDefault="008C2B8A">
      <w:pPr>
        <w:pStyle w:val="FootnoteText"/>
      </w:pPr>
    </w:p>
  </w:footnote>
  <w:footnote w:id="51">
    <w:p w14:paraId="24B1BA35" w14:textId="76CD992F" w:rsidR="008C2B8A" w:rsidRDefault="008C2B8A">
      <w:pPr>
        <w:pStyle w:val="FootnoteText"/>
      </w:pPr>
      <w:r>
        <w:rPr>
          <w:rStyle w:val="FootnoteReference"/>
        </w:rPr>
        <w:footnoteRef/>
      </w:r>
      <w:r>
        <w:rPr>
          <w:rFonts w:cs="Times New Roman"/>
        </w:rPr>
        <w:t xml:space="preserve"> </w:t>
      </w:r>
      <w:r>
        <w:rPr>
          <w:rFonts w:cs="Times New Roman"/>
        </w:rPr>
        <w:tab/>
        <w:t xml:space="preserve">For example, in 2005, Germany’s </w:t>
      </w:r>
      <w:r w:rsidRPr="000A79BC">
        <w:rPr>
          <w:rFonts w:cs="Times New Roman"/>
        </w:rPr>
        <w:t>Hannover Rück</w:t>
      </w:r>
      <w:r>
        <w:rPr>
          <w:rFonts w:cs="Times New Roman"/>
        </w:rPr>
        <w:t xml:space="preserve"> (‘unscheduled depreciation’), Italy’s Campari (‘write-downs’) and Spain’s Enagas (‘provisions’)</w:t>
      </w:r>
      <w:r>
        <w:t>.</w:t>
      </w:r>
    </w:p>
  </w:footnote>
  <w:footnote w:id="52">
    <w:p w14:paraId="55A80E11" w14:textId="51732907" w:rsidR="008C2B8A" w:rsidRDefault="008C2B8A" w:rsidP="009546B3">
      <w:pPr>
        <w:pStyle w:val="FootnoteText"/>
      </w:pPr>
      <w:r w:rsidRPr="001E2E42">
        <w:rPr>
          <w:rStyle w:val="FootnoteReference"/>
        </w:rPr>
        <w:footnoteRef/>
      </w:r>
      <w:r w:rsidRPr="001E2E42">
        <w:t xml:space="preserve"> </w:t>
      </w:r>
      <w:r>
        <w:tab/>
      </w:r>
      <w:r w:rsidRPr="001E2E42">
        <w:t>There is as yet no generalised use of XBRL in continental Europe, though this is proposed to begin in 2020 with an initiative termed the European Single Electronic Format (</w:t>
      </w:r>
      <w:hyperlink r:id="rId6" w:tgtFrame="_blank" w:history="1">
        <w:r w:rsidRPr="00A647A7">
          <w:rPr>
            <w:rStyle w:val="Hyperlink"/>
          </w:rPr>
          <w:t>https://www.esma.europa.eu/policy-activities/corporate-disclosure/european-single-electronic-format</w:t>
        </w:r>
      </w:hyperlink>
      <w:r w:rsidRPr="00A647A7">
        <w:t>; accessed 5.6.2018).</w:t>
      </w:r>
    </w:p>
  </w:footnote>
  <w:footnote w:id="53">
    <w:p w14:paraId="7C7F3AD3" w14:textId="36263583" w:rsidR="008C2B8A" w:rsidRPr="00C61056" w:rsidRDefault="008C2B8A">
      <w:pPr>
        <w:pStyle w:val="FootnoteText"/>
      </w:pPr>
      <w:r>
        <w:rPr>
          <w:rStyle w:val="FootnoteReference"/>
        </w:rPr>
        <w:footnoteRef/>
      </w:r>
      <w:r>
        <w:t xml:space="preserve"> </w:t>
      </w:r>
      <w:r>
        <w:tab/>
      </w:r>
      <w:r w:rsidRPr="00C61056">
        <w:t>Daimler (then DaimlerChrysler) used US GAAP in 2005 and 2006.</w:t>
      </w:r>
    </w:p>
  </w:footnote>
  <w:footnote w:id="54">
    <w:p w14:paraId="11125D32" w14:textId="2C3F0CF1" w:rsidR="008C2B8A" w:rsidRPr="00C61056" w:rsidRDefault="008C2B8A" w:rsidP="00F63030">
      <w:pPr>
        <w:pStyle w:val="FootnoteText"/>
      </w:pPr>
      <w:r>
        <w:rPr>
          <w:rStyle w:val="FootnoteReference"/>
        </w:rPr>
        <w:footnoteRef/>
      </w:r>
      <w:r>
        <w:t xml:space="preserve"> </w:t>
      </w:r>
      <w:r>
        <w:tab/>
      </w:r>
      <w:r w:rsidRPr="00C61056">
        <w:t>Such as Parmalat 2013.</w:t>
      </w:r>
    </w:p>
  </w:footnote>
  <w:footnote w:id="55">
    <w:p w14:paraId="64F0F96F" w14:textId="48B1CA6E" w:rsidR="008C2B8A" w:rsidRDefault="008C2B8A" w:rsidP="00AB7251">
      <w:pPr>
        <w:pStyle w:val="FootnoteText"/>
      </w:pPr>
      <w:r>
        <w:rPr>
          <w:rStyle w:val="FootnoteReference"/>
        </w:rPr>
        <w:footnoteRef/>
      </w:r>
      <w:r>
        <w:rPr>
          <w:lang w:eastAsia="en-GB"/>
        </w:rPr>
        <w:t xml:space="preserve"> </w:t>
      </w:r>
      <w:r>
        <w:rPr>
          <w:lang w:eastAsia="en-GB"/>
        </w:rPr>
        <w:tab/>
        <w:t>The test uses the 369 observations of all countries except Japan, for which we only have observations for 2013.</w:t>
      </w:r>
      <w:r>
        <w:t xml:space="preserve"> </w:t>
      </w:r>
      <w:r>
        <w:rPr>
          <w:lang w:eastAsia="en-GB"/>
        </w:rPr>
        <w:t>The test is not shown in Table 3; p</w:t>
      </w:r>
      <w:r>
        <w:rPr>
          <w:lang w:eastAsia="en-GB"/>
        </w:rPr>
        <w:noBreakHyphen/>
        <w:t>value = 0.000.</w:t>
      </w:r>
    </w:p>
  </w:footnote>
  <w:footnote w:id="56">
    <w:p w14:paraId="5568E269" w14:textId="3B2E2A45" w:rsidR="008C2B8A" w:rsidRPr="00D93B07" w:rsidRDefault="008C2B8A">
      <w:pPr>
        <w:pStyle w:val="FootnoteText"/>
        <w:rPr>
          <w:lang w:val="en-US"/>
        </w:rPr>
      </w:pPr>
      <w:r>
        <w:rPr>
          <w:rStyle w:val="FootnoteReference"/>
        </w:rPr>
        <w:footnoteRef/>
      </w:r>
      <w:r>
        <w:t xml:space="preserve"> </w:t>
      </w:r>
      <w:r>
        <w:tab/>
      </w:r>
      <w:r>
        <w:rPr>
          <w:lang w:eastAsia="en-GB"/>
        </w:rPr>
        <w:t>The p</w:t>
      </w:r>
      <w:r>
        <w:rPr>
          <w:lang w:eastAsia="en-GB"/>
        </w:rPr>
        <w:noBreakHyphen/>
        <w:t>values are 0.002, 0.006, 0.047 and 0.068, respectively.</w:t>
      </w:r>
    </w:p>
  </w:footnote>
  <w:footnote w:id="57">
    <w:p w14:paraId="044CA1E6" w14:textId="64D3BC71" w:rsidR="008C2B8A" w:rsidRPr="00C61056" w:rsidRDefault="008C2B8A" w:rsidP="00B707EA">
      <w:pPr>
        <w:pStyle w:val="FootnoteText"/>
      </w:pPr>
      <w:r>
        <w:rPr>
          <w:rStyle w:val="FootnoteReference"/>
        </w:rPr>
        <w:footnoteRef/>
      </w:r>
      <w:r>
        <w:t xml:space="preserve"> </w:t>
      </w:r>
      <w:r>
        <w:tab/>
      </w:r>
      <w:r w:rsidRPr="00EF0163">
        <w:t>Camfferman and Zeff (2007, p. 417) explain how Switzerland had set up a standard-setting body in 1984, modelled on Anglo-Saxon precedent</w:t>
      </w:r>
      <w:r w:rsidRPr="0007751E">
        <w:t>s. T</w:t>
      </w:r>
      <w:r w:rsidRPr="00EF0163">
        <w:t>he Federation of Swiss Industrial Holding Companies was the first member of the Board of the IASC to represent companies</w:t>
      </w:r>
      <w:r>
        <w:t>, starting in 1995</w:t>
      </w:r>
      <w:r w:rsidRPr="00EF0163">
        <w:t>. Its delegates were two finance directors from large Swiss companies, one of whom (Malcolm Cheetham) was British (Kirsch, 2006, Appendix III).</w:t>
      </w:r>
    </w:p>
  </w:footnote>
  <w:footnote w:id="58">
    <w:p w14:paraId="12DCE709" w14:textId="6699FE6F" w:rsidR="008C2B8A" w:rsidRPr="00C61056" w:rsidRDefault="008C2B8A">
      <w:pPr>
        <w:pStyle w:val="FootnoteText"/>
      </w:pPr>
      <w:r>
        <w:rPr>
          <w:rStyle w:val="FootnoteReference"/>
        </w:rPr>
        <w:footnoteRef/>
      </w:r>
      <w:r>
        <w:t xml:space="preserve"> </w:t>
      </w:r>
      <w:r>
        <w:tab/>
      </w:r>
      <w:r w:rsidRPr="00C61056">
        <w:t>For example, ‘write-back’ was used by the German firm RWE (2005</w:t>
      </w:r>
      <w:r>
        <w:t xml:space="preserve"> and 20</w:t>
      </w:r>
      <w:r w:rsidRPr="00C61056">
        <w:t>13) and by the Italian firm Banc</w:t>
      </w:r>
      <w:r>
        <w:t>a</w:t>
      </w:r>
      <w:r w:rsidRPr="00C61056">
        <w:t xml:space="preserve"> Popolare di Milano (2005</w:t>
      </w:r>
      <w:r>
        <w:t xml:space="preserve"> and 20</w:t>
      </w:r>
      <w:r w:rsidRPr="00C61056">
        <w:t>13); and ‘write-up’ was used by the German firm Henkel (2005</w:t>
      </w:r>
      <w:r>
        <w:t xml:space="preserve"> and 20</w:t>
      </w:r>
      <w:r w:rsidRPr="00C61056">
        <w:t>13) and by the Italian firm Mediaset (2005).</w:t>
      </w:r>
    </w:p>
  </w:footnote>
  <w:footnote w:id="59">
    <w:p w14:paraId="07292257" w14:textId="09565B4D" w:rsidR="008C2B8A" w:rsidRPr="00C61056" w:rsidRDefault="008C2B8A">
      <w:pPr>
        <w:pStyle w:val="FootnoteText"/>
      </w:pPr>
      <w:r w:rsidRPr="00C61056">
        <w:rPr>
          <w:rStyle w:val="FootnoteReference"/>
        </w:rPr>
        <w:footnoteRef/>
      </w:r>
      <w:r w:rsidRPr="00C61056">
        <w:t xml:space="preserve"> </w:t>
      </w:r>
      <w:r w:rsidRPr="00C61056">
        <w:tab/>
        <w:t>Used, respectively</w:t>
      </w:r>
      <w:r>
        <w:t xml:space="preserve">, </w:t>
      </w:r>
      <w:r w:rsidRPr="00C61056">
        <w:t>by the Italian firms Banco Popolare (2013) and Mondadori (2005</w:t>
      </w:r>
      <w:r>
        <w:t xml:space="preserve"> and 20</w:t>
      </w:r>
      <w:r w:rsidRPr="00C61056">
        <w:t>13).</w:t>
      </w:r>
    </w:p>
  </w:footnote>
  <w:footnote w:id="60">
    <w:p w14:paraId="3672FFA4" w14:textId="4C8E9C93" w:rsidR="008C2B8A" w:rsidRPr="00D93B07" w:rsidRDefault="008C2B8A">
      <w:pPr>
        <w:pStyle w:val="FootnoteText"/>
        <w:rPr>
          <w:lang w:val="en-US"/>
        </w:rPr>
      </w:pPr>
      <w:r>
        <w:rPr>
          <w:rStyle w:val="FootnoteReference"/>
        </w:rPr>
        <w:footnoteRef/>
      </w:r>
      <w:r>
        <w:t xml:space="preserve"> </w:t>
      </w:r>
      <w:r>
        <w:tab/>
      </w:r>
      <w:r>
        <w:rPr>
          <w:lang w:val="en-US"/>
        </w:rPr>
        <w:t>We are grateful for advice from J</w:t>
      </w:r>
      <w:r>
        <w:rPr>
          <w:rFonts w:cs="Times New Roman"/>
          <w:lang w:val="en-US"/>
        </w:rPr>
        <w:t>é</w:t>
      </w:r>
      <w:r>
        <w:rPr>
          <w:lang w:val="en-US"/>
        </w:rPr>
        <w:t>r</w:t>
      </w:r>
      <w:r>
        <w:rPr>
          <w:rFonts w:cs="Times New Roman"/>
          <w:lang w:val="en-US"/>
        </w:rPr>
        <w:t>é</w:t>
      </w:r>
      <w:r>
        <w:rPr>
          <w:lang w:val="en-US"/>
        </w:rPr>
        <w:t>my Morales on this issue.</w:t>
      </w:r>
    </w:p>
  </w:footnote>
  <w:footnote w:id="61">
    <w:p w14:paraId="1E8E6A9D" w14:textId="37AFCB82" w:rsidR="008C2B8A" w:rsidRPr="00D93B07" w:rsidRDefault="008C2B8A">
      <w:pPr>
        <w:pStyle w:val="FootnoteText"/>
        <w:rPr>
          <w:lang w:val="en-US"/>
        </w:rPr>
      </w:pPr>
      <w:r>
        <w:rPr>
          <w:rStyle w:val="FootnoteReference"/>
        </w:rPr>
        <w:footnoteRef/>
      </w:r>
      <w:r>
        <w:t xml:space="preserve"> </w:t>
      </w:r>
      <w:r>
        <w:rPr>
          <w:lang w:val="en-US"/>
        </w:rPr>
        <w:tab/>
        <w:t xml:space="preserve">See Nobes (2012, pp. 90-92) on the lack of definition of “revenue” in the preparatory stages of the development of IFRS 15, </w:t>
      </w:r>
      <w:r w:rsidRPr="00D93B07">
        <w:rPr>
          <w:i/>
          <w:lang w:val="en-US"/>
        </w:rPr>
        <w:t>Revenue from Contracts with Customers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EF9B" w14:textId="77777777" w:rsidR="008C2B8A" w:rsidRDefault="008C2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92E"/>
    <w:multiLevelType w:val="hybridMultilevel"/>
    <w:tmpl w:val="4C385F4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A1CB0"/>
    <w:multiLevelType w:val="hybridMultilevel"/>
    <w:tmpl w:val="A888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D018A"/>
    <w:multiLevelType w:val="hybridMultilevel"/>
    <w:tmpl w:val="92B845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993315A"/>
    <w:multiLevelType w:val="hybridMultilevel"/>
    <w:tmpl w:val="977C0916"/>
    <w:lvl w:ilvl="0" w:tplc="5E287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E1"/>
    <w:rsid w:val="000002C8"/>
    <w:rsid w:val="000009AE"/>
    <w:rsid w:val="00000EB4"/>
    <w:rsid w:val="00003C31"/>
    <w:rsid w:val="00003E69"/>
    <w:rsid w:val="00004494"/>
    <w:rsid w:val="00004842"/>
    <w:rsid w:val="00004915"/>
    <w:rsid w:val="000049D0"/>
    <w:rsid w:val="00004A97"/>
    <w:rsid w:val="00004E9E"/>
    <w:rsid w:val="00005B32"/>
    <w:rsid w:val="00005B8B"/>
    <w:rsid w:val="00006C3A"/>
    <w:rsid w:val="00006EF4"/>
    <w:rsid w:val="0001304F"/>
    <w:rsid w:val="00014207"/>
    <w:rsid w:val="000159E9"/>
    <w:rsid w:val="00015E15"/>
    <w:rsid w:val="00017448"/>
    <w:rsid w:val="000176AD"/>
    <w:rsid w:val="00020B8F"/>
    <w:rsid w:val="0002180C"/>
    <w:rsid w:val="00023521"/>
    <w:rsid w:val="000248E7"/>
    <w:rsid w:val="00024BD1"/>
    <w:rsid w:val="00026F95"/>
    <w:rsid w:val="00030693"/>
    <w:rsid w:val="00030E7E"/>
    <w:rsid w:val="00031D05"/>
    <w:rsid w:val="000337D1"/>
    <w:rsid w:val="000346A3"/>
    <w:rsid w:val="000349EA"/>
    <w:rsid w:val="00034FFB"/>
    <w:rsid w:val="00036A52"/>
    <w:rsid w:val="00037805"/>
    <w:rsid w:val="00037BE7"/>
    <w:rsid w:val="0004309B"/>
    <w:rsid w:val="0004348C"/>
    <w:rsid w:val="000440F3"/>
    <w:rsid w:val="00046D22"/>
    <w:rsid w:val="00046D7F"/>
    <w:rsid w:val="00047165"/>
    <w:rsid w:val="000501EC"/>
    <w:rsid w:val="0005042E"/>
    <w:rsid w:val="00050822"/>
    <w:rsid w:val="00050FDD"/>
    <w:rsid w:val="000521D3"/>
    <w:rsid w:val="0005324F"/>
    <w:rsid w:val="00053FE4"/>
    <w:rsid w:val="000549A1"/>
    <w:rsid w:val="00055777"/>
    <w:rsid w:val="00055E2D"/>
    <w:rsid w:val="00056012"/>
    <w:rsid w:val="000561A2"/>
    <w:rsid w:val="000567CB"/>
    <w:rsid w:val="000569CF"/>
    <w:rsid w:val="00060C7F"/>
    <w:rsid w:val="0006264F"/>
    <w:rsid w:val="00062C70"/>
    <w:rsid w:val="000632CA"/>
    <w:rsid w:val="00063E3A"/>
    <w:rsid w:val="00063F53"/>
    <w:rsid w:val="00065521"/>
    <w:rsid w:val="000667EF"/>
    <w:rsid w:val="00066AAF"/>
    <w:rsid w:val="00066EA4"/>
    <w:rsid w:val="00070051"/>
    <w:rsid w:val="0007059A"/>
    <w:rsid w:val="000719B1"/>
    <w:rsid w:val="0007219E"/>
    <w:rsid w:val="00072C69"/>
    <w:rsid w:val="000745A9"/>
    <w:rsid w:val="000759C6"/>
    <w:rsid w:val="00076223"/>
    <w:rsid w:val="00076581"/>
    <w:rsid w:val="00080DA1"/>
    <w:rsid w:val="00082CF7"/>
    <w:rsid w:val="00083091"/>
    <w:rsid w:val="000838D4"/>
    <w:rsid w:val="000849A9"/>
    <w:rsid w:val="00084BB4"/>
    <w:rsid w:val="00086C4A"/>
    <w:rsid w:val="00086D63"/>
    <w:rsid w:val="00087143"/>
    <w:rsid w:val="00090129"/>
    <w:rsid w:val="000915F7"/>
    <w:rsid w:val="000919A5"/>
    <w:rsid w:val="00094950"/>
    <w:rsid w:val="00095054"/>
    <w:rsid w:val="00095B86"/>
    <w:rsid w:val="0009604D"/>
    <w:rsid w:val="00096937"/>
    <w:rsid w:val="00096AB3"/>
    <w:rsid w:val="00096D42"/>
    <w:rsid w:val="000972D1"/>
    <w:rsid w:val="00097A37"/>
    <w:rsid w:val="00097AE9"/>
    <w:rsid w:val="00097B3C"/>
    <w:rsid w:val="000A29F3"/>
    <w:rsid w:val="000A2A05"/>
    <w:rsid w:val="000A32C3"/>
    <w:rsid w:val="000A3EAA"/>
    <w:rsid w:val="000A49EB"/>
    <w:rsid w:val="000A4EBE"/>
    <w:rsid w:val="000A52AA"/>
    <w:rsid w:val="000A627B"/>
    <w:rsid w:val="000A7181"/>
    <w:rsid w:val="000A7642"/>
    <w:rsid w:val="000A7674"/>
    <w:rsid w:val="000A79BC"/>
    <w:rsid w:val="000B03A0"/>
    <w:rsid w:val="000B0722"/>
    <w:rsid w:val="000B092D"/>
    <w:rsid w:val="000B1135"/>
    <w:rsid w:val="000B3B7F"/>
    <w:rsid w:val="000B5924"/>
    <w:rsid w:val="000B5950"/>
    <w:rsid w:val="000B6933"/>
    <w:rsid w:val="000B6DFF"/>
    <w:rsid w:val="000B6FB8"/>
    <w:rsid w:val="000C0328"/>
    <w:rsid w:val="000C1B3C"/>
    <w:rsid w:val="000C2569"/>
    <w:rsid w:val="000C2942"/>
    <w:rsid w:val="000C2CF9"/>
    <w:rsid w:val="000C30F6"/>
    <w:rsid w:val="000C4AA0"/>
    <w:rsid w:val="000C5B66"/>
    <w:rsid w:val="000C5F8B"/>
    <w:rsid w:val="000C6228"/>
    <w:rsid w:val="000C6B5C"/>
    <w:rsid w:val="000C6E6A"/>
    <w:rsid w:val="000D0065"/>
    <w:rsid w:val="000D0621"/>
    <w:rsid w:val="000D098D"/>
    <w:rsid w:val="000D0CDD"/>
    <w:rsid w:val="000D15ED"/>
    <w:rsid w:val="000D21DC"/>
    <w:rsid w:val="000D40CB"/>
    <w:rsid w:val="000D4C1C"/>
    <w:rsid w:val="000D4FFE"/>
    <w:rsid w:val="000D6CE9"/>
    <w:rsid w:val="000D7AD5"/>
    <w:rsid w:val="000E0D17"/>
    <w:rsid w:val="000E1A29"/>
    <w:rsid w:val="000E1A40"/>
    <w:rsid w:val="000E204C"/>
    <w:rsid w:val="000E2368"/>
    <w:rsid w:val="000E40FD"/>
    <w:rsid w:val="000E4EA5"/>
    <w:rsid w:val="000E5225"/>
    <w:rsid w:val="000E5330"/>
    <w:rsid w:val="000E59EA"/>
    <w:rsid w:val="000E6F99"/>
    <w:rsid w:val="000E791F"/>
    <w:rsid w:val="000E7A3E"/>
    <w:rsid w:val="000E7D71"/>
    <w:rsid w:val="000F0628"/>
    <w:rsid w:val="000F1D14"/>
    <w:rsid w:val="000F3EFD"/>
    <w:rsid w:val="000F61D2"/>
    <w:rsid w:val="000F7C58"/>
    <w:rsid w:val="0010143D"/>
    <w:rsid w:val="00101EEC"/>
    <w:rsid w:val="001025A0"/>
    <w:rsid w:val="00102F9E"/>
    <w:rsid w:val="00103BAA"/>
    <w:rsid w:val="0010446B"/>
    <w:rsid w:val="001046FA"/>
    <w:rsid w:val="001049CB"/>
    <w:rsid w:val="00105477"/>
    <w:rsid w:val="00106344"/>
    <w:rsid w:val="00106B86"/>
    <w:rsid w:val="001073D2"/>
    <w:rsid w:val="00110451"/>
    <w:rsid w:val="00110A65"/>
    <w:rsid w:val="00111B36"/>
    <w:rsid w:val="00112D9E"/>
    <w:rsid w:val="00113F3B"/>
    <w:rsid w:val="0011586C"/>
    <w:rsid w:val="00116C70"/>
    <w:rsid w:val="001200A2"/>
    <w:rsid w:val="001210C3"/>
    <w:rsid w:val="00124683"/>
    <w:rsid w:val="00124CEF"/>
    <w:rsid w:val="00124F77"/>
    <w:rsid w:val="0012501E"/>
    <w:rsid w:val="00125EB3"/>
    <w:rsid w:val="00125FEA"/>
    <w:rsid w:val="00126435"/>
    <w:rsid w:val="0012725E"/>
    <w:rsid w:val="0012739F"/>
    <w:rsid w:val="001310F6"/>
    <w:rsid w:val="0013159D"/>
    <w:rsid w:val="00134838"/>
    <w:rsid w:val="001406CF"/>
    <w:rsid w:val="00140F15"/>
    <w:rsid w:val="00141A10"/>
    <w:rsid w:val="0014232A"/>
    <w:rsid w:val="00143781"/>
    <w:rsid w:val="001437FF"/>
    <w:rsid w:val="00143F64"/>
    <w:rsid w:val="00143FC0"/>
    <w:rsid w:val="00144640"/>
    <w:rsid w:val="00144A93"/>
    <w:rsid w:val="0014601F"/>
    <w:rsid w:val="0014637A"/>
    <w:rsid w:val="001466B2"/>
    <w:rsid w:val="00146807"/>
    <w:rsid w:val="00146AC2"/>
    <w:rsid w:val="00147B9A"/>
    <w:rsid w:val="00151089"/>
    <w:rsid w:val="00152B50"/>
    <w:rsid w:val="00152DCC"/>
    <w:rsid w:val="00152E9D"/>
    <w:rsid w:val="001538B6"/>
    <w:rsid w:val="00154785"/>
    <w:rsid w:val="00154F5C"/>
    <w:rsid w:val="00156197"/>
    <w:rsid w:val="0015675D"/>
    <w:rsid w:val="001569C2"/>
    <w:rsid w:val="00156B56"/>
    <w:rsid w:val="001578B5"/>
    <w:rsid w:val="00160A6D"/>
    <w:rsid w:val="001633AA"/>
    <w:rsid w:val="00163EB1"/>
    <w:rsid w:val="0016424E"/>
    <w:rsid w:val="00165074"/>
    <w:rsid w:val="001651E6"/>
    <w:rsid w:val="00165368"/>
    <w:rsid w:val="001706ED"/>
    <w:rsid w:val="001714B2"/>
    <w:rsid w:val="00172F72"/>
    <w:rsid w:val="001737BC"/>
    <w:rsid w:val="001737D7"/>
    <w:rsid w:val="00173DD1"/>
    <w:rsid w:val="00174FA9"/>
    <w:rsid w:val="00175BD6"/>
    <w:rsid w:val="00175D68"/>
    <w:rsid w:val="001768DB"/>
    <w:rsid w:val="00176989"/>
    <w:rsid w:val="00177A8C"/>
    <w:rsid w:val="001810F4"/>
    <w:rsid w:val="00181D23"/>
    <w:rsid w:val="00183C4B"/>
    <w:rsid w:val="00186F90"/>
    <w:rsid w:val="001920A5"/>
    <w:rsid w:val="001920F1"/>
    <w:rsid w:val="001923CC"/>
    <w:rsid w:val="00195255"/>
    <w:rsid w:val="00195501"/>
    <w:rsid w:val="00195B3F"/>
    <w:rsid w:val="00197BC7"/>
    <w:rsid w:val="001A0C8A"/>
    <w:rsid w:val="001A1290"/>
    <w:rsid w:val="001A1577"/>
    <w:rsid w:val="001A214F"/>
    <w:rsid w:val="001A2156"/>
    <w:rsid w:val="001A273E"/>
    <w:rsid w:val="001A2BF5"/>
    <w:rsid w:val="001A334F"/>
    <w:rsid w:val="001A405A"/>
    <w:rsid w:val="001A50CF"/>
    <w:rsid w:val="001A609B"/>
    <w:rsid w:val="001A6520"/>
    <w:rsid w:val="001A6770"/>
    <w:rsid w:val="001A6B35"/>
    <w:rsid w:val="001B15AA"/>
    <w:rsid w:val="001B293E"/>
    <w:rsid w:val="001B3D61"/>
    <w:rsid w:val="001B42EB"/>
    <w:rsid w:val="001B670B"/>
    <w:rsid w:val="001B714A"/>
    <w:rsid w:val="001B748B"/>
    <w:rsid w:val="001C0D9D"/>
    <w:rsid w:val="001C1DD6"/>
    <w:rsid w:val="001C2E35"/>
    <w:rsid w:val="001C3BA2"/>
    <w:rsid w:val="001C3E93"/>
    <w:rsid w:val="001C612F"/>
    <w:rsid w:val="001C6ABF"/>
    <w:rsid w:val="001C762C"/>
    <w:rsid w:val="001D05F6"/>
    <w:rsid w:val="001D109E"/>
    <w:rsid w:val="001D1187"/>
    <w:rsid w:val="001D2E0A"/>
    <w:rsid w:val="001D33CF"/>
    <w:rsid w:val="001D3A19"/>
    <w:rsid w:val="001D3A2B"/>
    <w:rsid w:val="001D4ECE"/>
    <w:rsid w:val="001D5EDC"/>
    <w:rsid w:val="001D6623"/>
    <w:rsid w:val="001D70A3"/>
    <w:rsid w:val="001D73C4"/>
    <w:rsid w:val="001E077A"/>
    <w:rsid w:val="001E1D65"/>
    <w:rsid w:val="001E208F"/>
    <w:rsid w:val="001E21BE"/>
    <w:rsid w:val="001E23AA"/>
    <w:rsid w:val="001E2E42"/>
    <w:rsid w:val="001E39C0"/>
    <w:rsid w:val="001E458D"/>
    <w:rsid w:val="001E5E80"/>
    <w:rsid w:val="001E77CF"/>
    <w:rsid w:val="001F04FB"/>
    <w:rsid w:val="001F06B3"/>
    <w:rsid w:val="001F0E02"/>
    <w:rsid w:val="001F15BC"/>
    <w:rsid w:val="001F1790"/>
    <w:rsid w:val="001F1DAE"/>
    <w:rsid w:val="001F217F"/>
    <w:rsid w:val="001F2E23"/>
    <w:rsid w:val="001F3823"/>
    <w:rsid w:val="001F3FF2"/>
    <w:rsid w:val="001F4110"/>
    <w:rsid w:val="001F4EC4"/>
    <w:rsid w:val="001F557E"/>
    <w:rsid w:val="001F5D45"/>
    <w:rsid w:val="001F5EC4"/>
    <w:rsid w:val="001F5F2A"/>
    <w:rsid w:val="001F784F"/>
    <w:rsid w:val="00202905"/>
    <w:rsid w:val="00202EC9"/>
    <w:rsid w:val="002033F0"/>
    <w:rsid w:val="002045B6"/>
    <w:rsid w:val="002053F7"/>
    <w:rsid w:val="002058F8"/>
    <w:rsid w:val="00205F50"/>
    <w:rsid w:val="002063CC"/>
    <w:rsid w:val="0020647D"/>
    <w:rsid w:val="00206E66"/>
    <w:rsid w:val="00207879"/>
    <w:rsid w:val="00207952"/>
    <w:rsid w:val="002112D0"/>
    <w:rsid w:val="00213328"/>
    <w:rsid w:val="00214068"/>
    <w:rsid w:val="00215B6D"/>
    <w:rsid w:val="00216C06"/>
    <w:rsid w:val="00216D17"/>
    <w:rsid w:val="00217CD2"/>
    <w:rsid w:val="00217D5F"/>
    <w:rsid w:val="002227AE"/>
    <w:rsid w:val="0022363F"/>
    <w:rsid w:val="002239C0"/>
    <w:rsid w:val="0022500B"/>
    <w:rsid w:val="002251DB"/>
    <w:rsid w:val="00225AEE"/>
    <w:rsid w:val="002260AC"/>
    <w:rsid w:val="00226B5D"/>
    <w:rsid w:val="00230A7E"/>
    <w:rsid w:val="00231D68"/>
    <w:rsid w:val="00231DF8"/>
    <w:rsid w:val="002322BC"/>
    <w:rsid w:val="002323A4"/>
    <w:rsid w:val="0023344D"/>
    <w:rsid w:val="00233D40"/>
    <w:rsid w:val="00233E2A"/>
    <w:rsid w:val="00234957"/>
    <w:rsid w:val="00234C58"/>
    <w:rsid w:val="00240668"/>
    <w:rsid w:val="00241048"/>
    <w:rsid w:val="002410F2"/>
    <w:rsid w:val="002419A0"/>
    <w:rsid w:val="00241D86"/>
    <w:rsid w:val="00241D9A"/>
    <w:rsid w:val="00242AB3"/>
    <w:rsid w:val="00243247"/>
    <w:rsid w:val="00243334"/>
    <w:rsid w:val="00244192"/>
    <w:rsid w:val="002443CA"/>
    <w:rsid w:val="002446C6"/>
    <w:rsid w:val="0024488F"/>
    <w:rsid w:val="00245426"/>
    <w:rsid w:val="002464F2"/>
    <w:rsid w:val="00246AF3"/>
    <w:rsid w:val="00250AFE"/>
    <w:rsid w:val="00251A54"/>
    <w:rsid w:val="0025210E"/>
    <w:rsid w:val="0025223C"/>
    <w:rsid w:val="00252EBE"/>
    <w:rsid w:val="00254E57"/>
    <w:rsid w:val="00255E57"/>
    <w:rsid w:val="00257DF1"/>
    <w:rsid w:val="00260447"/>
    <w:rsid w:val="0026093C"/>
    <w:rsid w:val="00262184"/>
    <w:rsid w:val="00262D0B"/>
    <w:rsid w:val="00264BC4"/>
    <w:rsid w:val="002662F7"/>
    <w:rsid w:val="0026637A"/>
    <w:rsid w:val="002666BD"/>
    <w:rsid w:val="002670C1"/>
    <w:rsid w:val="002709D7"/>
    <w:rsid w:val="0027104B"/>
    <w:rsid w:val="0027140C"/>
    <w:rsid w:val="00271728"/>
    <w:rsid w:val="00271A49"/>
    <w:rsid w:val="002720AB"/>
    <w:rsid w:val="00272835"/>
    <w:rsid w:val="00274CF4"/>
    <w:rsid w:val="00276E83"/>
    <w:rsid w:val="0027708C"/>
    <w:rsid w:val="00277A81"/>
    <w:rsid w:val="0028078E"/>
    <w:rsid w:val="00280F21"/>
    <w:rsid w:val="00281489"/>
    <w:rsid w:val="00282274"/>
    <w:rsid w:val="00283D33"/>
    <w:rsid w:val="00284D12"/>
    <w:rsid w:val="0028598A"/>
    <w:rsid w:val="002868FD"/>
    <w:rsid w:val="00286A40"/>
    <w:rsid w:val="00286E35"/>
    <w:rsid w:val="00287575"/>
    <w:rsid w:val="00290497"/>
    <w:rsid w:val="002911CC"/>
    <w:rsid w:val="00292400"/>
    <w:rsid w:val="00292795"/>
    <w:rsid w:val="002928B6"/>
    <w:rsid w:val="00292D60"/>
    <w:rsid w:val="00292FF0"/>
    <w:rsid w:val="00293CBB"/>
    <w:rsid w:val="00294B52"/>
    <w:rsid w:val="00295CBA"/>
    <w:rsid w:val="002A08E3"/>
    <w:rsid w:val="002A0A6E"/>
    <w:rsid w:val="002A0B32"/>
    <w:rsid w:val="002A0CC2"/>
    <w:rsid w:val="002A229B"/>
    <w:rsid w:val="002A2A34"/>
    <w:rsid w:val="002A5EEF"/>
    <w:rsid w:val="002B3DCC"/>
    <w:rsid w:val="002B5EAB"/>
    <w:rsid w:val="002B6285"/>
    <w:rsid w:val="002B63EA"/>
    <w:rsid w:val="002B6718"/>
    <w:rsid w:val="002B6756"/>
    <w:rsid w:val="002B7E93"/>
    <w:rsid w:val="002C1581"/>
    <w:rsid w:val="002C1F6A"/>
    <w:rsid w:val="002C20C0"/>
    <w:rsid w:val="002C3A9C"/>
    <w:rsid w:val="002C4092"/>
    <w:rsid w:val="002C4BCE"/>
    <w:rsid w:val="002C678B"/>
    <w:rsid w:val="002C79B6"/>
    <w:rsid w:val="002C7E4D"/>
    <w:rsid w:val="002D348E"/>
    <w:rsid w:val="002D3808"/>
    <w:rsid w:val="002D4110"/>
    <w:rsid w:val="002D538C"/>
    <w:rsid w:val="002D5A5E"/>
    <w:rsid w:val="002D66D0"/>
    <w:rsid w:val="002D7D2E"/>
    <w:rsid w:val="002D7F3D"/>
    <w:rsid w:val="002E0573"/>
    <w:rsid w:val="002E0577"/>
    <w:rsid w:val="002E0A0F"/>
    <w:rsid w:val="002E21F0"/>
    <w:rsid w:val="002E2204"/>
    <w:rsid w:val="002E277F"/>
    <w:rsid w:val="002E3D16"/>
    <w:rsid w:val="002E6ECD"/>
    <w:rsid w:val="002E75B5"/>
    <w:rsid w:val="002F09C2"/>
    <w:rsid w:val="002F0E18"/>
    <w:rsid w:val="002F215E"/>
    <w:rsid w:val="002F3162"/>
    <w:rsid w:val="002F378C"/>
    <w:rsid w:val="002F49C9"/>
    <w:rsid w:val="00300E69"/>
    <w:rsid w:val="003016E1"/>
    <w:rsid w:val="00303775"/>
    <w:rsid w:val="0030407B"/>
    <w:rsid w:val="003051C4"/>
    <w:rsid w:val="00305890"/>
    <w:rsid w:val="00305AB3"/>
    <w:rsid w:val="00305DFC"/>
    <w:rsid w:val="003060C6"/>
    <w:rsid w:val="003065AA"/>
    <w:rsid w:val="003066F7"/>
    <w:rsid w:val="003068BD"/>
    <w:rsid w:val="00310403"/>
    <w:rsid w:val="003113E1"/>
    <w:rsid w:val="00312F38"/>
    <w:rsid w:val="00313294"/>
    <w:rsid w:val="00313787"/>
    <w:rsid w:val="003153B1"/>
    <w:rsid w:val="003172FB"/>
    <w:rsid w:val="003207CB"/>
    <w:rsid w:val="00321404"/>
    <w:rsid w:val="00321873"/>
    <w:rsid w:val="00321F81"/>
    <w:rsid w:val="00323068"/>
    <w:rsid w:val="00323A17"/>
    <w:rsid w:val="00324348"/>
    <w:rsid w:val="0032533A"/>
    <w:rsid w:val="003260D1"/>
    <w:rsid w:val="00327013"/>
    <w:rsid w:val="00330269"/>
    <w:rsid w:val="003315BD"/>
    <w:rsid w:val="0033219B"/>
    <w:rsid w:val="00332537"/>
    <w:rsid w:val="00332582"/>
    <w:rsid w:val="00332863"/>
    <w:rsid w:val="0033286F"/>
    <w:rsid w:val="00332D51"/>
    <w:rsid w:val="0033327D"/>
    <w:rsid w:val="00333722"/>
    <w:rsid w:val="003338BE"/>
    <w:rsid w:val="00335552"/>
    <w:rsid w:val="0033559A"/>
    <w:rsid w:val="00335B93"/>
    <w:rsid w:val="00337D7F"/>
    <w:rsid w:val="003411E1"/>
    <w:rsid w:val="0034186A"/>
    <w:rsid w:val="00341DF3"/>
    <w:rsid w:val="0034210D"/>
    <w:rsid w:val="00342901"/>
    <w:rsid w:val="003444EA"/>
    <w:rsid w:val="00344B15"/>
    <w:rsid w:val="00344B4E"/>
    <w:rsid w:val="00344F5C"/>
    <w:rsid w:val="00345227"/>
    <w:rsid w:val="00346215"/>
    <w:rsid w:val="00346D4C"/>
    <w:rsid w:val="00347626"/>
    <w:rsid w:val="0035217D"/>
    <w:rsid w:val="0035227C"/>
    <w:rsid w:val="00352DE3"/>
    <w:rsid w:val="00354534"/>
    <w:rsid w:val="00355DE2"/>
    <w:rsid w:val="00356000"/>
    <w:rsid w:val="0035629F"/>
    <w:rsid w:val="0036017B"/>
    <w:rsid w:val="0036361C"/>
    <w:rsid w:val="003638BD"/>
    <w:rsid w:val="00363EB0"/>
    <w:rsid w:val="003643DE"/>
    <w:rsid w:val="00365E91"/>
    <w:rsid w:val="00366AD2"/>
    <w:rsid w:val="00366F75"/>
    <w:rsid w:val="00367A93"/>
    <w:rsid w:val="003726C8"/>
    <w:rsid w:val="00372787"/>
    <w:rsid w:val="00372C77"/>
    <w:rsid w:val="003758F5"/>
    <w:rsid w:val="00375C43"/>
    <w:rsid w:val="003807CA"/>
    <w:rsid w:val="00381664"/>
    <w:rsid w:val="003819BD"/>
    <w:rsid w:val="00381DF4"/>
    <w:rsid w:val="00381F07"/>
    <w:rsid w:val="003829C1"/>
    <w:rsid w:val="00384A09"/>
    <w:rsid w:val="00384E96"/>
    <w:rsid w:val="003868E0"/>
    <w:rsid w:val="00386E27"/>
    <w:rsid w:val="003877BE"/>
    <w:rsid w:val="00387FA5"/>
    <w:rsid w:val="00395028"/>
    <w:rsid w:val="003957F3"/>
    <w:rsid w:val="00395AEE"/>
    <w:rsid w:val="003973E0"/>
    <w:rsid w:val="003A080D"/>
    <w:rsid w:val="003A11A4"/>
    <w:rsid w:val="003A14F2"/>
    <w:rsid w:val="003A28C5"/>
    <w:rsid w:val="003A2A8B"/>
    <w:rsid w:val="003A37D4"/>
    <w:rsid w:val="003A44C4"/>
    <w:rsid w:val="003A4F79"/>
    <w:rsid w:val="003A5164"/>
    <w:rsid w:val="003A5225"/>
    <w:rsid w:val="003A5873"/>
    <w:rsid w:val="003B049B"/>
    <w:rsid w:val="003B3ED4"/>
    <w:rsid w:val="003B59D5"/>
    <w:rsid w:val="003B59DA"/>
    <w:rsid w:val="003B5E6A"/>
    <w:rsid w:val="003B6EE6"/>
    <w:rsid w:val="003C06AE"/>
    <w:rsid w:val="003C2137"/>
    <w:rsid w:val="003C2DCA"/>
    <w:rsid w:val="003C3781"/>
    <w:rsid w:val="003C45AD"/>
    <w:rsid w:val="003C4AB5"/>
    <w:rsid w:val="003C5807"/>
    <w:rsid w:val="003C62D8"/>
    <w:rsid w:val="003C7D3F"/>
    <w:rsid w:val="003D1057"/>
    <w:rsid w:val="003D12C6"/>
    <w:rsid w:val="003D1620"/>
    <w:rsid w:val="003D1C78"/>
    <w:rsid w:val="003D2E67"/>
    <w:rsid w:val="003D4520"/>
    <w:rsid w:val="003D4D2C"/>
    <w:rsid w:val="003D5922"/>
    <w:rsid w:val="003D62BC"/>
    <w:rsid w:val="003D6E15"/>
    <w:rsid w:val="003D72DB"/>
    <w:rsid w:val="003D7542"/>
    <w:rsid w:val="003E02E8"/>
    <w:rsid w:val="003E0EBC"/>
    <w:rsid w:val="003E12B5"/>
    <w:rsid w:val="003E18B7"/>
    <w:rsid w:val="003E1961"/>
    <w:rsid w:val="003E2D49"/>
    <w:rsid w:val="003E3D35"/>
    <w:rsid w:val="003E46FB"/>
    <w:rsid w:val="003E51B8"/>
    <w:rsid w:val="003E572E"/>
    <w:rsid w:val="003E5A4B"/>
    <w:rsid w:val="003E7531"/>
    <w:rsid w:val="003E7903"/>
    <w:rsid w:val="003E7AEB"/>
    <w:rsid w:val="003E7C59"/>
    <w:rsid w:val="003F016E"/>
    <w:rsid w:val="003F01EA"/>
    <w:rsid w:val="003F03BB"/>
    <w:rsid w:val="003F196A"/>
    <w:rsid w:val="003F2EDE"/>
    <w:rsid w:val="003F32F1"/>
    <w:rsid w:val="003F4725"/>
    <w:rsid w:val="003F5549"/>
    <w:rsid w:val="003F64B7"/>
    <w:rsid w:val="003F6E45"/>
    <w:rsid w:val="003F7B47"/>
    <w:rsid w:val="0040078E"/>
    <w:rsid w:val="00401304"/>
    <w:rsid w:val="00401CB5"/>
    <w:rsid w:val="0040280F"/>
    <w:rsid w:val="00404B49"/>
    <w:rsid w:val="00404D9C"/>
    <w:rsid w:val="00405AFD"/>
    <w:rsid w:val="0040615C"/>
    <w:rsid w:val="004069B3"/>
    <w:rsid w:val="004069E3"/>
    <w:rsid w:val="00406D1C"/>
    <w:rsid w:val="0040708C"/>
    <w:rsid w:val="0040717C"/>
    <w:rsid w:val="00407709"/>
    <w:rsid w:val="004100C1"/>
    <w:rsid w:val="004103FF"/>
    <w:rsid w:val="00410660"/>
    <w:rsid w:val="004108B4"/>
    <w:rsid w:val="00410FCC"/>
    <w:rsid w:val="00411B9E"/>
    <w:rsid w:val="0041294B"/>
    <w:rsid w:val="004136DE"/>
    <w:rsid w:val="00414AA1"/>
    <w:rsid w:val="00416C57"/>
    <w:rsid w:val="00416D0A"/>
    <w:rsid w:val="0042069C"/>
    <w:rsid w:val="00420B22"/>
    <w:rsid w:val="00420CD1"/>
    <w:rsid w:val="0042314C"/>
    <w:rsid w:val="00423E57"/>
    <w:rsid w:val="004252CB"/>
    <w:rsid w:val="00425EF9"/>
    <w:rsid w:val="00426BC9"/>
    <w:rsid w:val="00427C87"/>
    <w:rsid w:val="00427D12"/>
    <w:rsid w:val="00430EAB"/>
    <w:rsid w:val="004329CA"/>
    <w:rsid w:val="004331CD"/>
    <w:rsid w:val="004334C9"/>
    <w:rsid w:val="004401F5"/>
    <w:rsid w:val="004402FB"/>
    <w:rsid w:val="004405A0"/>
    <w:rsid w:val="00440915"/>
    <w:rsid w:val="004423A6"/>
    <w:rsid w:val="004428D7"/>
    <w:rsid w:val="0044433A"/>
    <w:rsid w:val="00444592"/>
    <w:rsid w:val="004452B7"/>
    <w:rsid w:val="004472D4"/>
    <w:rsid w:val="00450C70"/>
    <w:rsid w:val="0045153A"/>
    <w:rsid w:val="0045238B"/>
    <w:rsid w:val="00453641"/>
    <w:rsid w:val="004550FD"/>
    <w:rsid w:val="00455359"/>
    <w:rsid w:val="00455FEB"/>
    <w:rsid w:val="00456112"/>
    <w:rsid w:val="00456524"/>
    <w:rsid w:val="00457880"/>
    <w:rsid w:val="00457D01"/>
    <w:rsid w:val="00460329"/>
    <w:rsid w:val="0046189C"/>
    <w:rsid w:val="00461EFA"/>
    <w:rsid w:val="004633BD"/>
    <w:rsid w:val="00463F0B"/>
    <w:rsid w:val="004641CC"/>
    <w:rsid w:val="00464215"/>
    <w:rsid w:val="004655A5"/>
    <w:rsid w:val="004741C1"/>
    <w:rsid w:val="0047482D"/>
    <w:rsid w:val="00474B1E"/>
    <w:rsid w:val="00475399"/>
    <w:rsid w:val="00475718"/>
    <w:rsid w:val="00477086"/>
    <w:rsid w:val="00482351"/>
    <w:rsid w:val="004827DF"/>
    <w:rsid w:val="00482C41"/>
    <w:rsid w:val="0048368C"/>
    <w:rsid w:val="004845BC"/>
    <w:rsid w:val="004873AE"/>
    <w:rsid w:val="00487E77"/>
    <w:rsid w:val="0049023C"/>
    <w:rsid w:val="00490A31"/>
    <w:rsid w:val="00490F56"/>
    <w:rsid w:val="00492F9F"/>
    <w:rsid w:val="00493527"/>
    <w:rsid w:val="00493660"/>
    <w:rsid w:val="0049580D"/>
    <w:rsid w:val="00495C72"/>
    <w:rsid w:val="00495E8F"/>
    <w:rsid w:val="00496B54"/>
    <w:rsid w:val="0049737E"/>
    <w:rsid w:val="004975F0"/>
    <w:rsid w:val="00497E88"/>
    <w:rsid w:val="004A0D23"/>
    <w:rsid w:val="004A0E13"/>
    <w:rsid w:val="004A1BB2"/>
    <w:rsid w:val="004A204D"/>
    <w:rsid w:val="004A2639"/>
    <w:rsid w:val="004A33E6"/>
    <w:rsid w:val="004A3479"/>
    <w:rsid w:val="004A5809"/>
    <w:rsid w:val="004A7A8B"/>
    <w:rsid w:val="004B03CB"/>
    <w:rsid w:val="004B04AD"/>
    <w:rsid w:val="004B04CF"/>
    <w:rsid w:val="004B0847"/>
    <w:rsid w:val="004B113F"/>
    <w:rsid w:val="004B20D6"/>
    <w:rsid w:val="004B290F"/>
    <w:rsid w:val="004B4447"/>
    <w:rsid w:val="004B4C9C"/>
    <w:rsid w:val="004B59C9"/>
    <w:rsid w:val="004B5AFB"/>
    <w:rsid w:val="004B6AE1"/>
    <w:rsid w:val="004B7355"/>
    <w:rsid w:val="004C08A9"/>
    <w:rsid w:val="004C1178"/>
    <w:rsid w:val="004C2966"/>
    <w:rsid w:val="004C40A6"/>
    <w:rsid w:val="004C5124"/>
    <w:rsid w:val="004C51B8"/>
    <w:rsid w:val="004C6E1E"/>
    <w:rsid w:val="004D2508"/>
    <w:rsid w:val="004D2B20"/>
    <w:rsid w:val="004D3366"/>
    <w:rsid w:val="004D5EFE"/>
    <w:rsid w:val="004D60D0"/>
    <w:rsid w:val="004D68E7"/>
    <w:rsid w:val="004D6D30"/>
    <w:rsid w:val="004D6EB7"/>
    <w:rsid w:val="004D76EC"/>
    <w:rsid w:val="004E006B"/>
    <w:rsid w:val="004E0427"/>
    <w:rsid w:val="004E0810"/>
    <w:rsid w:val="004E1FF1"/>
    <w:rsid w:val="004E25C8"/>
    <w:rsid w:val="004E4D76"/>
    <w:rsid w:val="004E669B"/>
    <w:rsid w:val="004F00CD"/>
    <w:rsid w:val="004F1A39"/>
    <w:rsid w:val="004F1B3D"/>
    <w:rsid w:val="004F23CB"/>
    <w:rsid w:val="004F2F77"/>
    <w:rsid w:val="004F322D"/>
    <w:rsid w:val="004F33BE"/>
    <w:rsid w:val="004F3A5A"/>
    <w:rsid w:val="004F4919"/>
    <w:rsid w:val="004F4D1D"/>
    <w:rsid w:val="004F782A"/>
    <w:rsid w:val="00500188"/>
    <w:rsid w:val="00501037"/>
    <w:rsid w:val="00501B03"/>
    <w:rsid w:val="00502971"/>
    <w:rsid w:val="00502DB9"/>
    <w:rsid w:val="0050345C"/>
    <w:rsid w:val="00503A43"/>
    <w:rsid w:val="00504393"/>
    <w:rsid w:val="00504F90"/>
    <w:rsid w:val="005052B6"/>
    <w:rsid w:val="00510475"/>
    <w:rsid w:val="005105DA"/>
    <w:rsid w:val="00510FB7"/>
    <w:rsid w:val="0051112E"/>
    <w:rsid w:val="005111B7"/>
    <w:rsid w:val="00511413"/>
    <w:rsid w:val="0051229F"/>
    <w:rsid w:val="005139F2"/>
    <w:rsid w:val="00514B64"/>
    <w:rsid w:val="00515AAA"/>
    <w:rsid w:val="00517212"/>
    <w:rsid w:val="0051726C"/>
    <w:rsid w:val="0052130B"/>
    <w:rsid w:val="005220AD"/>
    <w:rsid w:val="00522DB5"/>
    <w:rsid w:val="005233B2"/>
    <w:rsid w:val="005238C6"/>
    <w:rsid w:val="00523A3A"/>
    <w:rsid w:val="00523AFC"/>
    <w:rsid w:val="00523EC2"/>
    <w:rsid w:val="00524040"/>
    <w:rsid w:val="0052435F"/>
    <w:rsid w:val="00524ADE"/>
    <w:rsid w:val="0052701B"/>
    <w:rsid w:val="0052749D"/>
    <w:rsid w:val="00527BA7"/>
    <w:rsid w:val="00527E17"/>
    <w:rsid w:val="00527F23"/>
    <w:rsid w:val="00530B6B"/>
    <w:rsid w:val="00530C3A"/>
    <w:rsid w:val="00531525"/>
    <w:rsid w:val="00531CBE"/>
    <w:rsid w:val="005326C3"/>
    <w:rsid w:val="005357D6"/>
    <w:rsid w:val="005371AE"/>
    <w:rsid w:val="005373AB"/>
    <w:rsid w:val="005376C3"/>
    <w:rsid w:val="00542E1D"/>
    <w:rsid w:val="0054386B"/>
    <w:rsid w:val="00544A06"/>
    <w:rsid w:val="00544F82"/>
    <w:rsid w:val="00546901"/>
    <w:rsid w:val="00546CA6"/>
    <w:rsid w:val="00546D06"/>
    <w:rsid w:val="005506BE"/>
    <w:rsid w:val="00550AA3"/>
    <w:rsid w:val="00551155"/>
    <w:rsid w:val="0055169C"/>
    <w:rsid w:val="00553251"/>
    <w:rsid w:val="0055394E"/>
    <w:rsid w:val="00554694"/>
    <w:rsid w:val="00554CDD"/>
    <w:rsid w:val="005550CB"/>
    <w:rsid w:val="00557C0B"/>
    <w:rsid w:val="00560938"/>
    <w:rsid w:val="00563537"/>
    <w:rsid w:val="005653D1"/>
    <w:rsid w:val="00566403"/>
    <w:rsid w:val="00566C0A"/>
    <w:rsid w:val="00566D62"/>
    <w:rsid w:val="00567536"/>
    <w:rsid w:val="00567987"/>
    <w:rsid w:val="00567BA0"/>
    <w:rsid w:val="00567BBE"/>
    <w:rsid w:val="00567DE0"/>
    <w:rsid w:val="005714EE"/>
    <w:rsid w:val="00571919"/>
    <w:rsid w:val="00572E5E"/>
    <w:rsid w:val="00572FF0"/>
    <w:rsid w:val="00573A05"/>
    <w:rsid w:val="00573C59"/>
    <w:rsid w:val="00576971"/>
    <w:rsid w:val="00576FF6"/>
    <w:rsid w:val="005777F0"/>
    <w:rsid w:val="00580F4A"/>
    <w:rsid w:val="005810E0"/>
    <w:rsid w:val="005819AC"/>
    <w:rsid w:val="00583907"/>
    <w:rsid w:val="00584742"/>
    <w:rsid w:val="005853D4"/>
    <w:rsid w:val="00586995"/>
    <w:rsid w:val="005902CA"/>
    <w:rsid w:val="005910E3"/>
    <w:rsid w:val="00592058"/>
    <w:rsid w:val="00593E37"/>
    <w:rsid w:val="00594089"/>
    <w:rsid w:val="00594518"/>
    <w:rsid w:val="00594F52"/>
    <w:rsid w:val="005950C1"/>
    <w:rsid w:val="0059668E"/>
    <w:rsid w:val="00596CF4"/>
    <w:rsid w:val="005974AA"/>
    <w:rsid w:val="005A02B5"/>
    <w:rsid w:val="005A030D"/>
    <w:rsid w:val="005A04AA"/>
    <w:rsid w:val="005A1263"/>
    <w:rsid w:val="005A1873"/>
    <w:rsid w:val="005A3E63"/>
    <w:rsid w:val="005A56E2"/>
    <w:rsid w:val="005A56FC"/>
    <w:rsid w:val="005A64DB"/>
    <w:rsid w:val="005A700C"/>
    <w:rsid w:val="005A7290"/>
    <w:rsid w:val="005A7BF8"/>
    <w:rsid w:val="005B023A"/>
    <w:rsid w:val="005B09D5"/>
    <w:rsid w:val="005B2810"/>
    <w:rsid w:val="005B2F8C"/>
    <w:rsid w:val="005B34C1"/>
    <w:rsid w:val="005B3B97"/>
    <w:rsid w:val="005B3E59"/>
    <w:rsid w:val="005B4C04"/>
    <w:rsid w:val="005B4DD9"/>
    <w:rsid w:val="005B6D4B"/>
    <w:rsid w:val="005B7C31"/>
    <w:rsid w:val="005B7FA4"/>
    <w:rsid w:val="005C2699"/>
    <w:rsid w:val="005C3CF5"/>
    <w:rsid w:val="005C4F66"/>
    <w:rsid w:val="005C5A9F"/>
    <w:rsid w:val="005C63F9"/>
    <w:rsid w:val="005C6BEF"/>
    <w:rsid w:val="005C6D55"/>
    <w:rsid w:val="005C733D"/>
    <w:rsid w:val="005C7F67"/>
    <w:rsid w:val="005D0657"/>
    <w:rsid w:val="005D0A13"/>
    <w:rsid w:val="005D4342"/>
    <w:rsid w:val="005D4A07"/>
    <w:rsid w:val="005D57B4"/>
    <w:rsid w:val="005D5ECB"/>
    <w:rsid w:val="005D5F6C"/>
    <w:rsid w:val="005D68F9"/>
    <w:rsid w:val="005D70F0"/>
    <w:rsid w:val="005D7254"/>
    <w:rsid w:val="005E03EC"/>
    <w:rsid w:val="005E15D5"/>
    <w:rsid w:val="005E2A9F"/>
    <w:rsid w:val="005E2B26"/>
    <w:rsid w:val="005E32D5"/>
    <w:rsid w:val="005E3AC1"/>
    <w:rsid w:val="005E5B69"/>
    <w:rsid w:val="005E62C4"/>
    <w:rsid w:val="005E683C"/>
    <w:rsid w:val="005E6E46"/>
    <w:rsid w:val="005F01CF"/>
    <w:rsid w:val="005F0423"/>
    <w:rsid w:val="005F14E4"/>
    <w:rsid w:val="005F1F17"/>
    <w:rsid w:val="005F2194"/>
    <w:rsid w:val="005F246D"/>
    <w:rsid w:val="005F4073"/>
    <w:rsid w:val="005F40AB"/>
    <w:rsid w:val="005F4F59"/>
    <w:rsid w:val="005F5EA8"/>
    <w:rsid w:val="005F5F7A"/>
    <w:rsid w:val="005F6173"/>
    <w:rsid w:val="005F6CA4"/>
    <w:rsid w:val="005F6D49"/>
    <w:rsid w:val="005F7EC2"/>
    <w:rsid w:val="005F7FE7"/>
    <w:rsid w:val="00600DF9"/>
    <w:rsid w:val="006010A8"/>
    <w:rsid w:val="00601E4B"/>
    <w:rsid w:val="00601F99"/>
    <w:rsid w:val="00602436"/>
    <w:rsid w:val="006035FF"/>
    <w:rsid w:val="006042AD"/>
    <w:rsid w:val="00605395"/>
    <w:rsid w:val="00605492"/>
    <w:rsid w:val="0060597F"/>
    <w:rsid w:val="006068D4"/>
    <w:rsid w:val="00607AEB"/>
    <w:rsid w:val="006108B0"/>
    <w:rsid w:val="00610CE2"/>
    <w:rsid w:val="00611899"/>
    <w:rsid w:val="00612260"/>
    <w:rsid w:val="006135BC"/>
    <w:rsid w:val="0061626B"/>
    <w:rsid w:val="0061683A"/>
    <w:rsid w:val="00617279"/>
    <w:rsid w:val="0061729C"/>
    <w:rsid w:val="00617552"/>
    <w:rsid w:val="00621C51"/>
    <w:rsid w:val="006222DB"/>
    <w:rsid w:val="006226EF"/>
    <w:rsid w:val="00622D34"/>
    <w:rsid w:val="006240FB"/>
    <w:rsid w:val="006245C6"/>
    <w:rsid w:val="00624D0E"/>
    <w:rsid w:val="00625071"/>
    <w:rsid w:val="00625675"/>
    <w:rsid w:val="00625A74"/>
    <w:rsid w:val="00627151"/>
    <w:rsid w:val="00627EFC"/>
    <w:rsid w:val="00630833"/>
    <w:rsid w:val="00631660"/>
    <w:rsid w:val="0063230E"/>
    <w:rsid w:val="00632ADC"/>
    <w:rsid w:val="00632DFD"/>
    <w:rsid w:val="00635178"/>
    <w:rsid w:val="0063629C"/>
    <w:rsid w:val="00636F61"/>
    <w:rsid w:val="006378E0"/>
    <w:rsid w:val="00640739"/>
    <w:rsid w:val="00640E91"/>
    <w:rsid w:val="00640FA3"/>
    <w:rsid w:val="00641F73"/>
    <w:rsid w:val="00642345"/>
    <w:rsid w:val="00642C33"/>
    <w:rsid w:val="00642C61"/>
    <w:rsid w:val="00643F10"/>
    <w:rsid w:val="00644447"/>
    <w:rsid w:val="00644FCC"/>
    <w:rsid w:val="00647FF6"/>
    <w:rsid w:val="006509EA"/>
    <w:rsid w:val="00650BBA"/>
    <w:rsid w:val="00650E57"/>
    <w:rsid w:val="00651269"/>
    <w:rsid w:val="00651435"/>
    <w:rsid w:val="00651A84"/>
    <w:rsid w:val="00653523"/>
    <w:rsid w:val="00653A89"/>
    <w:rsid w:val="00653F6B"/>
    <w:rsid w:val="0065547B"/>
    <w:rsid w:val="0065599D"/>
    <w:rsid w:val="00655D0B"/>
    <w:rsid w:val="0065665E"/>
    <w:rsid w:val="00656AB4"/>
    <w:rsid w:val="00656D8A"/>
    <w:rsid w:val="00657CB7"/>
    <w:rsid w:val="00657D4B"/>
    <w:rsid w:val="00660127"/>
    <w:rsid w:val="00660226"/>
    <w:rsid w:val="00660FF9"/>
    <w:rsid w:val="006611A1"/>
    <w:rsid w:val="006626B7"/>
    <w:rsid w:val="00663B9F"/>
    <w:rsid w:val="00664025"/>
    <w:rsid w:val="00664895"/>
    <w:rsid w:val="006655AC"/>
    <w:rsid w:val="006662FE"/>
    <w:rsid w:val="00667A93"/>
    <w:rsid w:val="00671775"/>
    <w:rsid w:val="00671816"/>
    <w:rsid w:val="006739F1"/>
    <w:rsid w:val="00674910"/>
    <w:rsid w:val="00675BBB"/>
    <w:rsid w:val="00676044"/>
    <w:rsid w:val="006760FE"/>
    <w:rsid w:val="00676689"/>
    <w:rsid w:val="006802B0"/>
    <w:rsid w:val="00680A4D"/>
    <w:rsid w:val="00682465"/>
    <w:rsid w:val="00682BCD"/>
    <w:rsid w:val="006841CF"/>
    <w:rsid w:val="00684D19"/>
    <w:rsid w:val="00685B1B"/>
    <w:rsid w:val="0068745E"/>
    <w:rsid w:val="0068793A"/>
    <w:rsid w:val="00687F9F"/>
    <w:rsid w:val="006907D1"/>
    <w:rsid w:val="006919FF"/>
    <w:rsid w:val="00693030"/>
    <w:rsid w:val="00693EE2"/>
    <w:rsid w:val="00694043"/>
    <w:rsid w:val="0069452F"/>
    <w:rsid w:val="006A16C3"/>
    <w:rsid w:val="006A16E3"/>
    <w:rsid w:val="006A2C6E"/>
    <w:rsid w:val="006A2FA0"/>
    <w:rsid w:val="006A40A5"/>
    <w:rsid w:val="006A52B5"/>
    <w:rsid w:val="006A5CE3"/>
    <w:rsid w:val="006A6170"/>
    <w:rsid w:val="006A6448"/>
    <w:rsid w:val="006A64B4"/>
    <w:rsid w:val="006A7ADE"/>
    <w:rsid w:val="006A7B32"/>
    <w:rsid w:val="006B02F3"/>
    <w:rsid w:val="006B146D"/>
    <w:rsid w:val="006B16E1"/>
    <w:rsid w:val="006B2524"/>
    <w:rsid w:val="006B3D15"/>
    <w:rsid w:val="006B487B"/>
    <w:rsid w:val="006B6831"/>
    <w:rsid w:val="006B6B38"/>
    <w:rsid w:val="006B7C62"/>
    <w:rsid w:val="006B7DA5"/>
    <w:rsid w:val="006B7DE6"/>
    <w:rsid w:val="006C0525"/>
    <w:rsid w:val="006C0BA4"/>
    <w:rsid w:val="006C0F47"/>
    <w:rsid w:val="006C1498"/>
    <w:rsid w:val="006C1B1D"/>
    <w:rsid w:val="006C1C2F"/>
    <w:rsid w:val="006C1FF9"/>
    <w:rsid w:val="006C2472"/>
    <w:rsid w:val="006C2618"/>
    <w:rsid w:val="006C38D8"/>
    <w:rsid w:val="006C6841"/>
    <w:rsid w:val="006C6CC0"/>
    <w:rsid w:val="006C75A8"/>
    <w:rsid w:val="006C7C6B"/>
    <w:rsid w:val="006C7F2A"/>
    <w:rsid w:val="006D084F"/>
    <w:rsid w:val="006D0B7F"/>
    <w:rsid w:val="006D0FB1"/>
    <w:rsid w:val="006D1CA1"/>
    <w:rsid w:val="006D33AD"/>
    <w:rsid w:val="006D519E"/>
    <w:rsid w:val="006D5427"/>
    <w:rsid w:val="006D6011"/>
    <w:rsid w:val="006D6D85"/>
    <w:rsid w:val="006E01D4"/>
    <w:rsid w:val="006E2160"/>
    <w:rsid w:val="006E4F47"/>
    <w:rsid w:val="006E543A"/>
    <w:rsid w:val="006E54C3"/>
    <w:rsid w:val="006E676F"/>
    <w:rsid w:val="006E73E9"/>
    <w:rsid w:val="006F1BC9"/>
    <w:rsid w:val="006F22D0"/>
    <w:rsid w:val="006F334A"/>
    <w:rsid w:val="006F3520"/>
    <w:rsid w:val="006F60F4"/>
    <w:rsid w:val="006F66CD"/>
    <w:rsid w:val="006F6D10"/>
    <w:rsid w:val="006F7C7B"/>
    <w:rsid w:val="00700A92"/>
    <w:rsid w:val="00700D63"/>
    <w:rsid w:val="0070109B"/>
    <w:rsid w:val="0070131E"/>
    <w:rsid w:val="00701A44"/>
    <w:rsid w:val="007035D8"/>
    <w:rsid w:val="00704159"/>
    <w:rsid w:val="007047D9"/>
    <w:rsid w:val="007053AB"/>
    <w:rsid w:val="007057A0"/>
    <w:rsid w:val="0070582B"/>
    <w:rsid w:val="007075FA"/>
    <w:rsid w:val="00707B0D"/>
    <w:rsid w:val="00707F80"/>
    <w:rsid w:val="007125FA"/>
    <w:rsid w:val="00713F04"/>
    <w:rsid w:val="007153A5"/>
    <w:rsid w:val="007167C8"/>
    <w:rsid w:val="00720549"/>
    <w:rsid w:val="0072073A"/>
    <w:rsid w:val="00722839"/>
    <w:rsid w:val="007241FF"/>
    <w:rsid w:val="007255DD"/>
    <w:rsid w:val="007257F8"/>
    <w:rsid w:val="00726847"/>
    <w:rsid w:val="00727578"/>
    <w:rsid w:val="00727917"/>
    <w:rsid w:val="0073099A"/>
    <w:rsid w:val="007309CF"/>
    <w:rsid w:val="00731F4C"/>
    <w:rsid w:val="0073245F"/>
    <w:rsid w:val="0073270F"/>
    <w:rsid w:val="007333F4"/>
    <w:rsid w:val="0073404C"/>
    <w:rsid w:val="00734A9D"/>
    <w:rsid w:val="00735D25"/>
    <w:rsid w:val="00736D4F"/>
    <w:rsid w:val="00740B20"/>
    <w:rsid w:val="007410D0"/>
    <w:rsid w:val="00742968"/>
    <w:rsid w:val="0074320B"/>
    <w:rsid w:val="00743489"/>
    <w:rsid w:val="0074354B"/>
    <w:rsid w:val="00743D9F"/>
    <w:rsid w:val="007444C4"/>
    <w:rsid w:val="00747068"/>
    <w:rsid w:val="00747155"/>
    <w:rsid w:val="00747928"/>
    <w:rsid w:val="00750685"/>
    <w:rsid w:val="007516E0"/>
    <w:rsid w:val="00751B66"/>
    <w:rsid w:val="007529C3"/>
    <w:rsid w:val="00753884"/>
    <w:rsid w:val="007542FC"/>
    <w:rsid w:val="0075476B"/>
    <w:rsid w:val="00754A82"/>
    <w:rsid w:val="00755427"/>
    <w:rsid w:val="00755F4F"/>
    <w:rsid w:val="0075645C"/>
    <w:rsid w:val="00756CCC"/>
    <w:rsid w:val="00760745"/>
    <w:rsid w:val="00760C86"/>
    <w:rsid w:val="007616CE"/>
    <w:rsid w:val="00761ED7"/>
    <w:rsid w:val="007636C0"/>
    <w:rsid w:val="00763780"/>
    <w:rsid w:val="00763F6E"/>
    <w:rsid w:val="00764649"/>
    <w:rsid w:val="0076470D"/>
    <w:rsid w:val="007651C9"/>
    <w:rsid w:val="00766CAC"/>
    <w:rsid w:val="0077140E"/>
    <w:rsid w:val="00772277"/>
    <w:rsid w:val="00772E56"/>
    <w:rsid w:val="00773C05"/>
    <w:rsid w:val="00774835"/>
    <w:rsid w:val="00775FB0"/>
    <w:rsid w:val="007761B4"/>
    <w:rsid w:val="00776E77"/>
    <w:rsid w:val="00777671"/>
    <w:rsid w:val="00781047"/>
    <w:rsid w:val="00782D36"/>
    <w:rsid w:val="00783A11"/>
    <w:rsid w:val="00784ED3"/>
    <w:rsid w:val="007876E3"/>
    <w:rsid w:val="007908BE"/>
    <w:rsid w:val="007919E1"/>
    <w:rsid w:val="00791FF1"/>
    <w:rsid w:val="00792A92"/>
    <w:rsid w:val="00793963"/>
    <w:rsid w:val="00793AAC"/>
    <w:rsid w:val="0079479A"/>
    <w:rsid w:val="007949BD"/>
    <w:rsid w:val="007950C9"/>
    <w:rsid w:val="007951E5"/>
    <w:rsid w:val="00795BF5"/>
    <w:rsid w:val="00797C1D"/>
    <w:rsid w:val="00797DBC"/>
    <w:rsid w:val="007A2ED7"/>
    <w:rsid w:val="007A374D"/>
    <w:rsid w:val="007A462E"/>
    <w:rsid w:val="007A4DA9"/>
    <w:rsid w:val="007A58D8"/>
    <w:rsid w:val="007A7D64"/>
    <w:rsid w:val="007A7EFD"/>
    <w:rsid w:val="007A7F1D"/>
    <w:rsid w:val="007B00F9"/>
    <w:rsid w:val="007B26E2"/>
    <w:rsid w:val="007B3435"/>
    <w:rsid w:val="007B346E"/>
    <w:rsid w:val="007B3823"/>
    <w:rsid w:val="007B4489"/>
    <w:rsid w:val="007B6489"/>
    <w:rsid w:val="007C0322"/>
    <w:rsid w:val="007C1C50"/>
    <w:rsid w:val="007C1E9A"/>
    <w:rsid w:val="007C1FF0"/>
    <w:rsid w:val="007C3342"/>
    <w:rsid w:val="007C3A3F"/>
    <w:rsid w:val="007C42BE"/>
    <w:rsid w:val="007C5F6A"/>
    <w:rsid w:val="007C66A2"/>
    <w:rsid w:val="007D00B1"/>
    <w:rsid w:val="007D24C8"/>
    <w:rsid w:val="007D25E6"/>
    <w:rsid w:val="007D316A"/>
    <w:rsid w:val="007D4460"/>
    <w:rsid w:val="007D5CDB"/>
    <w:rsid w:val="007D6112"/>
    <w:rsid w:val="007D6D81"/>
    <w:rsid w:val="007D785E"/>
    <w:rsid w:val="007D7F40"/>
    <w:rsid w:val="007E0ED4"/>
    <w:rsid w:val="007E12F6"/>
    <w:rsid w:val="007E33F6"/>
    <w:rsid w:val="007E4012"/>
    <w:rsid w:val="007E4961"/>
    <w:rsid w:val="007E4A58"/>
    <w:rsid w:val="007E50FF"/>
    <w:rsid w:val="007E5D7E"/>
    <w:rsid w:val="007E61FF"/>
    <w:rsid w:val="007E63FA"/>
    <w:rsid w:val="007E64AF"/>
    <w:rsid w:val="007E7C33"/>
    <w:rsid w:val="007F2159"/>
    <w:rsid w:val="007F235E"/>
    <w:rsid w:val="007F356C"/>
    <w:rsid w:val="007F3910"/>
    <w:rsid w:val="007F434B"/>
    <w:rsid w:val="007F7FED"/>
    <w:rsid w:val="00801DE2"/>
    <w:rsid w:val="00801F65"/>
    <w:rsid w:val="0080280F"/>
    <w:rsid w:val="008040B1"/>
    <w:rsid w:val="00804C92"/>
    <w:rsid w:val="008060EF"/>
    <w:rsid w:val="00806552"/>
    <w:rsid w:val="0080710F"/>
    <w:rsid w:val="00811341"/>
    <w:rsid w:val="00811909"/>
    <w:rsid w:val="00811D52"/>
    <w:rsid w:val="00811F4A"/>
    <w:rsid w:val="00812608"/>
    <w:rsid w:val="008127B1"/>
    <w:rsid w:val="00812C99"/>
    <w:rsid w:val="00813772"/>
    <w:rsid w:val="00814154"/>
    <w:rsid w:val="008150B2"/>
    <w:rsid w:val="0081551B"/>
    <w:rsid w:val="00816186"/>
    <w:rsid w:val="00816EDE"/>
    <w:rsid w:val="00820CB3"/>
    <w:rsid w:val="008213C1"/>
    <w:rsid w:val="008223ED"/>
    <w:rsid w:val="008241CA"/>
    <w:rsid w:val="00824599"/>
    <w:rsid w:val="0082658D"/>
    <w:rsid w:val="008265EE"/>
    <w:rsid w:val="00826BB0"/>
    <w:rsid w:val="00827235"/>
    <w:rsid w:val="00827727"/>
    <w:rsid w:val="00827F61"/>
    <w:rsid w:val="00830010"/>
    <w:rsid w:val="0083145B"/>
    <w:rsid w:val="00832978"/>
    <w:rsid w:val="00832C3B"/>
    <w:rsid w:val="00833C4B"/>
    <w:rsid w:val="00833D74"/>
    <w:rsid w:val="008348D9"/>
    <w:rsid w:val="00836ADB"/>
    <w:rsid w:val="00837ACF"/>
    <w:rsid w:val="00837B19"/>
    <w:rsid w:val="00841ABC"/>
    <w:rsid w:val="00845297"/>
    <w:rsid w:val="00846583"/>
    <w:rsid w:val="008479CF"/>
    <w:rsid w:val="008501E9"/>
    <w:rsid w:val="0085161E"/>
    <w:rsid w:val="008518D5"/>
    <w:rsid w:val="0085194D"/>
    <w:rsid w:val="008523A0"/>
    <w:rsid w:val="00853973"/>
    <w:rsid w:val="00854AEF"/>
    <w:rsid w:val="008554A6"/>
    <w:rsid w:val="0085594A"/>
    <w:rsid w:val="00855FCF"/>
    <w:rsid w:val="00857822"/>
    <w:rsid w:val="008621D3"/>
    <w:rsid w:val="008659EC"/>
    <w:rsid w:val="00865CF3"/>
    <w:rsid w:val="00866299"/>
    <w:rsid w:val="00866AB5"/>
    <w:rsid w:val="00870A01"/>
    <w:rsid w:val="00870BFB"/>
    <w:rsid w:val="008718FE"/>
    <w:rsid w:val="0087257F"/>
    <w:rsid w:val="00872E90"/>
    <w:rsid w:val="00872EAA"/>
    <w:rsid w:val="008738CB"/>
    <w:rsid w:val="0087553F"/>
    <w:rsid w:val="008776CF"/>
    <w:rsid w:val="008815BD"/>
    <w:rsid w:val="0088266A"/>
    <w:rsid w:val="00882C1C"/>
    <w:rsid w:val="008830BB"/>
    <w:rsid w:val="008830F0"/>
    <w:rsid w:val="008838DA"/>
    <w:rsid w:val="00883CA9"/>
    <w:rsid w:val="0088530C"/>
    <w:rsid w:val="00885EF8"/>
    <w:rsid w:val="00886E84"/>
    <w:rsid w:val="00887E8F"/>
    <w:rsid w:val="00887FBD"/>
    <w:rsid w:val="00890540"/>
    <w:rsid w:val="0089267E"/>
    <w:rsid w:val="008927ED"/>
    <w:rsid w:val="00892A47"/>
    <w:rsid w:val="008941CB"/>
    <w:rsid w:val="00894656"/>
    <w:rsid w:val="00894901"/>
    <w:rsid w:val="00894FDA"/>
    <w:rsid w:val="00895D3D"/>
    <w:rsid w:val="00896403"/>
    <w:rsid w:val="00896B23"/>
    <w:rsid w:val="00896C2A"/>
    <w:rsid w:val="008A01AD"/>
    <w:rsid w:val="008A4365"/>
    <w:rsid w:val="008A5078"/>
    <w:rsid w:val="008A650D"/>
    <w:rsid w:val="008B1817"/>
    <w:rsid w:val="008B1C48"/>
    <w:rsid w:val="008B28C2"/>
    <w:rsid w:val="008B2C5D"/>
    <w:rsid w:val="008B3356"/>
    <w:rsid w:val="008B336D"/>
    <w:rsid w:val="008B358E"/>
    <w:rsid w:val="008B5711"/>
    <w:rsid w:val="008B5D1C"/>
    <w:rsid w:val="008B733A"/>
    <w:rsid w:val="008B79D8"/>
    <w:rsid w:val="008B7A99"/>
    <w:rsid w:val="008B7CC7"/>
    <w:rsid w:val="008C06EF"/>
    <w:rsid w:val="008C2B8A"/>
    <w:rsid w:val="008C3040"/>
    <w:rsid w:val="008C3C9C"/>
    <w:rsid w:val="008C3D63"/>
    <w:rsid w:val="008C636F"/>
    <w:rsid w:val="008C6A1A"/>
    <w:rsid w:val="008C6AEB"/>
    <w:rsid w:val="008C6D8C"/>
    <w:rsid w:val="008C6EC4"/>
    <w:rsid w:val="008C78D0"/>
    <w:rsid w:val="008D039E"/>
    <w:rsid w:val="008D1327"/>
    <w:rsid w:val="008D1CB1"/>
    <w:rsid w:val="008D1CCA"/>
    <w:rsid w:val="008D26F9"/>
    <w:rsid w:val="008D2836"/>
    <w:rsid w:val="008D2E78"/>
    <w:rsid w:val="008D3A61"/>
    <w:rsid w:val="008D4AAF"/>
    <w:rsid w:val="008D5726"/>
    <w:rsid w:val="008D68C5"/>
    <w:rsid w:val="008D6B1F"/>
    <w:rsid w:val="008D6C70"/>
    <w:rsid w:val="008E1AAF"/>
    <w:rsid w:val="008E40C2"/>
    <w:rsid w:val="008F1A40"/>
    <w:rsid w:val="008F22C7"/>
    <w:rsid w:val="008F2829"/>
    <w:rsid w:val="008F61DB"/>
    <w:rsid w:val="008F6681"/>
    <w:rsid w:val="00901024"/>
    <w:rsid w:val="009046C6"/>
    <w:rsid w:val="00905836"/>
    <w:rsid w:val="00905AED"/>
    <w:rsid w:val="00906137"/>
    <w:rsid w:val="00906E2D"/>
    <w:rsid w:val="00911272"/>
    <w:rsid w:val="009115AF"/>
    <w:rsid w:val="00911ADD"/>
    <w:rsid w:val="0091244B"/>
    <w:rsid w:val="00912C6D"/>
    <w:rsid w:val="00916F3C"/>
    <w:rsid w:val="00917C4E"/>
    <w:rsid w:val="00920A34"/>
    <w:rsid w:val="0092135F"/>
    <w:rsid w:val="00922868"/>
    <w:rsid w:val="00922FE2"/>
    <w:rsid w:val="00923B7A"/>
    <w:rsid w:val="0092539B"/>
    <w:rsid w:val="00925438"/>
    <w:rsid w:val="00925F48"/>
    <w:rsid w:val="00926CC5"/>
    <w:rsid w:val="00926F5F"/>
    <w:rsid w:val="00927940"/>
    <w:rsid w:val="00930441"/>
    <w:rsid w:val="0093214A"/>
    <w:rsid w:val="00933777"/>
    <w:rsid w:val="00934471"/>
    <w:rsid w:val="009344C7"/>
    <w:rsid w:val="0093629F"/>
    <w:rsid w:val="00937EA0"/>
    <w:rsid w:val="009403A0"/>
    <w:rsid w:val="00940AB2"/>
    <w:rsid w:val="009413D0"/>
    <w:rsid w:val="009417DD"/>
    <w:rsid w:val="0094203A"/>
    <w:rsid w:val="009425EB"/>
    <w:rsid w:val="009434B8"/>
    <w:rsid w:val="00943920"/>
    <w:rsid w:val="009449A4"/>
    <w:rsid w:val="0094709E"/>
    <w:rsid w:val="00947B47"/>
    <w:rsid w:val="00947BFC"/>
    <w:rsid w:val="00951668"/>
    <w:rsid w:val="00952E00"/>
    <w:rsid w:val="00952F90"/>
    <w:rsid w:val="009545EF"/>
    <w:rsid w:val="009546B3"/>
    <w:rsid w:val="0095522F"/>
    <w:rsid w:val="00955F4E"/>
    <w:rsid w:val="00956260"/>
    <w:rsid w:val="00956D4B"/>
    <w:rsid w:val="00957D3A"/>
    <w:rsid w:val="00960169"/>
    <w:rsid w:val="00960928"/>
    <w:rsid w:val="00960CF6"/>
    <w:rsid w:val="00964652"/>
    <w:rsid w:val="00964C08"/>
    <w:rsid w:val="009738C0"/>
    <w:rsid w:val="00974DCB"/>
    <w:rsid w:val="00975B55"/>
    <w:rsid w:val="00975B60"/>
    <w:rsid w:val="009773E1"/>
    <w:rsid w:val="00977485"/>
    <w:rsid w:val="009774E1"/>
    <w:rsid w:val="00977C4A"/>
    <w:rsid w:val="009804AF"/>
    <w:rsid w:val="0098225B"/>
    <w:rsid w:val="00982C0F"/>
    <w:rsid w:val="00982E9F"/>
    <w:rsid w:val="00983F13"/>
    <w:rsid w:val="00984037"/>
    <w:rsid w:val="00984C1A"/>
    <w:rsid w:val="009850F7"/>
    <w:rsid w:val="00985251"/>
    <w:rsid w:val="00985E10"/>
    <w:rsid w:val="009860A1"/>
    <w:rsid w:val="00986145"/>
    <w:rsid w:val="009861F8"/>
    <w:rsid w:val="00986977"/>
    <w:rsid w:val="00987BD1"/>
    <w:rsid w:val="009902DC"/>
    <w:rsid w:val="009903CC"/>
    <w:rsid w:val="00990818"/>
    <w:rsid w:val="0099087B"/>
    <w:rsid w:val="00990C68"/>
    <w:rsid w:val="00992047"/>
    <w:rsid w:val="0099321B"/>
    <w:rsid w:val="00994A92"/>
    <w:rsid w:val="00994BAF"/>
    <w:rsid w:val="00997527"/>
    <w:rsid w:val="00997B5D"/>
    <w:rsid w:val="009A0041"/>
    <w:rsid w:val="009A0137"/>
    <w:rsid w:val="009A0851"/>
    <w:rsid w:val="009A1986"/>
    <w:rsid w:val="009A20BE"/>
    <w:rsid w:val="009A294D"/>
    <w:rsid w:val="009A4C86"/>
    <w:rsid w:val="009A5EE2"/>
    <w:rsid w:val="009A6203"/>
    <w:rsid w:val="009A6CC6"/>
    <w:rsid w:val="009A7589"/>
    <w:rsid w:val="009B17DA"/>
    <w:rsid w:val="009B4A15"/>
    <w:rsid w:val="009B5375"/>
    <w:rsid w:val="009B54FC"/>
    <w:rsid w:val="009B6102"/>
    <w:rsid w:val="009B65A9"/>
    <w:rsid w:val="009B6CCE"/>
    <w:rsid w:val="009C0680"/>
    <w:rsid w:val="009C17C9"/>
    <w:rsid w:val="009C1F4C"/>
    <w:rsid w:val="009C4028"/>
    <w:rsid w:val="009C5D08"/>
    <w:rsid w:val="009C5F6E"/>
    <w:rsid w:val="009C66D2"/>
    <w:rsid w:val="009C67D7"/>
    <w:rsid w:val="009C6E5C"/>
    <w:rsid w:val="009C7434"/>
    <w:rsid w:val="009C749B"/>
    <w:rsid w:val="009C7754"/>
    <w:rsid w:val="009C7A61"/>
    <w:rsid w:val="009C7E6A"/>
    <w:rsid w:val="009D00AD"/>
    <w:rsid w:val="009D0609"/>
    <w:rsid w:val="009D09E5"/>
    <w:rsid w:val="009D1ADF"/>
    <w:rsid w:val="009D228C"/>
    <w:rsid w:val="009D328E"/>
    <w:rsid w:val="009D358B"/>
    <w:rsid w:val="009D3B32"/>
    <w:rsid w:val="009D3D00"/>
    <w:rsid w:val="009D50A4"/>
    <w:rsid w:val="009D5246"/>
    <w:rsid w:val="009D608A"/>
    <w:rsid w:val="009D6CB3"/>
    <w:rsid w:val="009D6F52"/>
    <w:rsid w:val="009D6FAE"/>
    <w:rsid w:val="009D7679"/>
    <w:rsid w:val="009D7C67"/>
    <w:rsid w:val="009D7C82"/>
    <w:rsid w:val="009D7C97"/>
    <w:rsid w:val="009E02A2"/>
    <w:rsid w:val="009E25FD"/>
    <w:rsid w:val="009E27E8"/>
    <w:rsid w:val="009E2802"/>
    <w:rsid w:val="009E418B"/>
    <w:rsid w:val="009E4B21"/>
    <w:rsid w:val="009E4D89"/>
    <w:rsid w:val="009E53BF"/>
    <w:rsid w:val="009E586C"/>
    <w:rsid w:val="009E5EB8"/>
    <w:rsid w:val="009E64AD"/>
    <w:rsid w:val="009E6B35"/>
    <w:rsid w:val="009E6D02"/>
    <w:rsid w:val="009F057A"/>
    <w:rsid w:val="009F13AC"/>
    <w:rsid w:val="009F6ED2"/>
    <w:rsid w:val="009F78BE"/>
    <w:rsid w:val="00A00317"/>
    <w:rsid w:val="00A009E4"/>
    <w:rsid w:val="00A013E1"/>
    <w:rsid w:val="00A02372"/>
    <w:rsid w:val="00A023CC"/>
    <w:rsid w:val="00A0247E"/>
    <w:rsid w:val="00A0280E"/>
    <w:rsid w:val="00A02A48"/>
    <w:rsid w:val="00A036C1"/>
    <w:rsid w:val="00A04016"/>
    <w:rsid w:val="00A04F68"/>
    <w:rsid w:val="00A051E7"/>
    <w:rsid w:val="00A05DBD"/>
    <w:rsid w:val="00A0736C"/>
    <w:rsid w:val="00A07B40"/>
    <w:rsid w:val="00A10429"/>
    <w:rsid w:val="00A111AB"/>
    <w:rsid w:val="00A11629"/>
    <w:rsid w:val="00A12BEB"/>
    <w:rsid w:val="00A14A5A"/>
    <w:rsid w:val="00A15356"/>
    <w:rsid w:val="00A15D3C"/>
    <w:rsid w:val="00A163DF"/>
    <w:rsid w:val="00A17D71"/>
    <w:rsid w:val="00A21DB9"/>
    <w:rsid w:val="00A2340D"/>
    <w:rsid w:val="00A247F5"/>
    <w:rsid w:val="00A25842"/>
    <w:rsid w:val="00A2665A"/>
    <w:rsid w:val="00A26C13"/>
    <w:rsid w:val="00A2790B"/>
    <w:rsid w:val="00A320DB"/>
    <w:rsid w:val="00A325B8"/>
    <w:rsid w:val="00A3289B"/>
    <w:rsid w:val="00A32CA4"/>
    <w:rsid w:val="00A3465F"/>
    <w:rsid w:val="00A35898"/>
    <w:rsid w:val="00A37C35"/>
    <w:rsid w:val="00A40BA7"/>
    <w:rsid w:val="00A40F86"/>
    <w:rsid w:val="00A4172D"/>
    <w:rsid w:val="00A42293"/>
    <w:rsid w:val="00A42A64"/>
    <w:rsid w:val="00A4336B"/>
    <w:rsid w:val="00A437C0"/>
    <w:rsid w:val="00A43D8B"/>
    <w:rsid w:val="00A43DCE"/>
    <w:rsid w:val="00A43F8B"/>
    <w:rsid w:val="00A45DB8"/>
    <w:rsid w:val="00A4670A"/>
    <w:rsid w:val="00A477E6"/>
    <w:rsid w:val="00A47E3C"/>
    <w:rsid w:val="00A504A6"/>
    <w:rsid w:val="00A52198"/>
    <w:rsid w:val="00A53892"/>
    <w:rsid w:val="00A5499E"/>
    <w:rsid w:val="00A5573C"/>
    <w:rsid w:val="00A56FE4"/>
    <w:rsid w:val="00A60ECD"/>
    <w:rsid w:val="00A60F63"/>
    <w:rsid w:val="00A6215E"/>
    <w:rsid w:val="00A6347A"/>
    <w:rsid w:val="00A6418E"/>
    <w:rsid w:val="00A647A7"/>
    <w:rsid w:val="00A65AF3"/>
    <w:rsid w:val="00A668B2"/>
    <w:rsid w:val="00A67575"/>
    <w:rsid w:val="00A7071A"/>
    <w:rsid w:val="00A72764"/>
    <w:rsid w:val="00A7277B"/>
    <w:rsid w:val="00A731AD"/>
    <w:rsid w:val="00A741B8"/>
    <w:rsid w:val="00A74B52"/>
    <w:rsid w:val="00A74CA0"/>
    <w:rsid w:val="00A768AA"/>
    <w:rsid w:val="00A768B2"/>
    <w:rsid w:val="00A7716E"/>
    <w:rsid w:val="00A800C3"/>
    <w:rsid w:val="00A819F6"/>
    <w:rsid w:val="00A81A38"/>
    <w:rsid w:val="00A82770"/>
    <w:rsid w:val="00A87107"/>
    <w:rsid w:val="00A879C7"/>
    <w:rsid w:val="00A90392"/>
    <w:rsid w:val="00A90421"/>
    <w:rsid w:val="00A90D0E"/>
    <w:rsid w:val="00A913A1"/>
    <w:rsid w:val="00A918AB"/>
    <w:rsid w:val="00A91C62"/>
    <w:rsid w:val="00A93B85"/>
    <w:rsid w:val="00A93F7D"/>
    <w:rsid w:val="00A944CE"/>
    <w:rsid w:val="00A94566"/>
    <w:rsid w:val="00A9458D"/>
    <w:rsid w:val="00A960BF"/>
    <w:rsid w:val="00AA0580"/>
    <w:rsid w:val="00AA3963"/>
    <w:rsid w:val="00AA59ED"/>
    <w:rsid w:val="00AA71F9"/>
    <w:rsid w:val="00AA77D4"/>
    <w:rsid w:val="00AA7DD9"/>
    <w:rsid w:val="00AB14DF"/>
    <w:rsid w:val="00AB2A53"/>
    <w:rsid w:val="00AB2D12"/>
    <w:rsid w:val="00AB452D"/>
    <w:rsid w:val="00AB7251"/>
    <w:rsid w:val="00AB7A23"/>
    <w:rsid w:val="00AC0C70"/>
    <w:rsid w:val="00AC14A4"/>
    <w:rsid w:val="00AC19B2"/>
    <w:rsid w:val="00AC2481"/>
    <w:rsid w:val="00AC2A7A"/>
    <w:rsid w:val="00AC2F8C"/>
    <w:rsid w:val="00AC3491"/>
    <w:rsid w:val="00AC3500"/>
    <w:rsid w:val="00AC4337"/>
    <w:rsid w:val="00AC43DF"/>
    <w:rsid w:val="00AC52BB"/>
    <w:rsid w:val="00AC5735"/>
    <w:rsid w:val="00AD135D"/>
    <w:rsid w:val="00AD1410"/>
    <w:rsid w:val="00AD1C76"/>
    <w:rsid w:val="00AD2AF5"/>
    <w:rsid w:val="00AD42C9"/>
    <w:rsid w:val="00AD5160"/>
    <w:rsid w:val="00AD52F2"/>
    <w:rsid w:val="00AD5BAB"/>
    <w:rsid w:val="00AE2085"/>
    <w:rsid w:val="00AE2B66"/>
    <w:rsid w:val="00AE330F"/>
    <w:rsid w:val="00AE35E3"/>
    <w:rsid w:val="00AE395A"/>
    <w:rsid w:val="00AE3982"/>
    <w:rsid w:val="00AE3D10"/>
    <w:rsid w:val="00AE3D59"/>
    <w:rsid w:val="00AE4052"/>
    <w:rsid w:val="00AE4730"/>
    <w:rsid w:val="00AE4A21"/>
    <w:rsid w:val="00AE5B5D"/>
    <w:rsid w:val="00AE7159"/>
    <w:rsid w:val="00AF03AD"/>
    <w:rsid w:val="00AF39F6"/>
    <w:rsid w:val="00AF40D6"/>
    <w:rsid w:val="00AF4B2C"/>
    <w:rsid w:val="00AF53DD"/>
    <w:rsid w:val="00AF5AF1"/>
    <w:rsid w:val="00AF5E40"/>
    <w:rsid w:val="00B03F6F"/>
    <w:rsid w:val="00B057EF"/>
    <w:rsid w:val="00B06343"/>
    <w:rsid w:val="00B06495"/>
    <w:rsid w:val="00B071CE"/>
    <w:rsid w:val="00B07636"/>
    <w:rsid w:val="00B07A80"/>
    <w:rsid w:val="00B1197F"/>
    <w:rsid w:val="00B124D2"/>
    <w:rsid w:val="00B13051"/>
    <w:rsid w:val="00B14574"/>
    <w:rsid w:val="00B149A9"/>
    <w:rsid w:val="00B15334"/>
    <w:rsid w:val="00B1635C"/>
    <w:rsid w:val="00B16B60"/>
    <w:rsid w:val="00B16E3E"/>
    <w:rsid w:val="00B172BF"/>
    <w:rsid w:val="00B17637"/>
    <w:rsid w:val="00B179E1"/>
    <w:rsid w:val="00B17A6B"/>
    <w:rsid w:val="00B20246"/>
    <w:rsid w:val="00B2090F"/>
    <w:rsid w:val="00B217E0"/>
    <w:rsid w:val="00B245D9"/>
    <w:rsid w:val="00B2589A"/>
    <w:rsid w:val="00B25EA6"/>
    <w:rsid w:val="00B26824"/>
    <w:rsid w:val="00B3075A"/>
    <w:rsid w:val="00B32EAB"/>
    <w:rsid w:val="00B34484"/>
    <w:rsid w:val="00B34A2A"/>
    <w:rsid w:val="00B351AB"/>
    <w:rsid w:val="00B3557E"/>
    <w:rsid w:val="00B35ED4"/>
    <w:rsid w:val="00B3635E"/>
    <w:rsid w:val="00B41819"/>
    <w:rsid w:val="00B42207"/>
    <w:rsid w:val="00B457E0"/>
    <w:rsid w:val="00B461D3"/>
    <w:rsid w:val="00B4692E"/>
    <w:rsid w:val="00B47325"/>
    <w:rsid w:val="00B4762B"/>
    <w:rsid w:val="00B502F5"/>
    <w:rsid w:val="00B50E37"/>
    <w:rsid w:val="00B53CF7"/>
    <w:rsid w:val="00B55C4A"/>
    <w:rsid w:val="00B55D5A"/>
    <w:rsid w:val="00B5629E"/>
    <w:rsid w:val="00B565C4"/>
    <w:rsid w:val="00B573DC"/>
    <w:rsid w:val="00B57971"/>
    <w:rsid w:val="00B579C3"/>
    <w:rsid w:val="00B57BA7"/>
    <w:rsid w:val="00B61CFA"/>
    <w:rsid w:val="00B635CD"/>
    <w:rsid w:val="00B6403A"/>
    <w:rsid w:val="00B65725"/>
    <w:rsid w:val="00B66633"/>
    <w:rsid w:val="00B678E3"/>
    <w:rsid w:val="00B707EA"/>
    <w:rsid w:val="00B7133E"/>
    <w:rsid w:val="00B7392C"/>
    <w:rsid w:val="00B7428E"/>
    <w:rsid w:val="00B76696"/>
    <w:rsid w:val="00B7675E"/>
    <w:rsid w:val="00B7683B"/>
    <w:rsid w:val="00B80D7A"/>
    <w:rsid w:val="00B81AE0"/>
    <w:rsid w:val="00B82944"/>
    <w:rsid w:val="00B82EFE"/>
    <w:rsid w:val="00B8415D"/>
    <w:rsid w:val="00B84FF6"/>
    <w:rsid w:val="00B85024"/>
    <w:rsid w:val="00B85060"/>
    <w:rsid w:val="00B8643C"/>
    <w:rsid w:val="00B86C0D"/>
    <w:rsid w:val="00B86C7C"/>
    <w:rsid w:val="00B87100"/>
    <w:rsid w:val="00B9078C"/>
    <w:rsid w:val="00B90C9A"/>
    <w:rsid w:val="00B91BA9"/>
    <w:rsid w:val="00B91DD6"/>
    <w:rsid w:val="00B939C9"/>
    <w:rsid w:val="00B944A4"/>
    <w:rsid w:val="00B94B1A"/>
    <w:rsid w:val="00B94D36"/>
    <w:rsid w:val="00B95855"/>
    <w:rsid w:val="00B96E14"/>
    <w:rsid w:val="00B971F3"/>
    <w:rsid w:val="00BA0596"/>
    <w:rsid w:val="00BA13B0"/>
    <w:rsid w:val="00BA2928"/>
    <w:rsid w:val="00BA33FB"/>
    <w:rsid w:val="00BA3C08"/>
    <w:rsid w:val="00BA3D67"/>
    <w:rsid w:val="00BA5C38"/>
    <w:rsid w:val="00BA6188"/>
    <w:rsid w:val="00BA6698"/>
    <w:rsid w:val="00BA7697"/>
    <w:rsid w:val="00BB005B"/>
    <w:rsid w:val="00BB226F"/>
    <w:rsid w:val="00BB2CA9"/>
    <w:rsid w:val="00BB341B"/>
    <w:rsid w:val="00BB45F4"/>
    <w:rsid w:val="00BB690A"/>
    <w:rsid w:val="00BB70A1"/>
    <w:rsid w:val="00BB72CD"/>
    <w:rsid w:val="00BB7C92"/>
    <w:rsid w:val="00BC0793"/>
    <w:rsid w:val="00BC1B1A"/>
    <w:rsid w:val="00BC1B44"/>
    <w:rsid w:val="00BC2346"/>
    <w:rsid w:val="00BC26E5"/>
    <w:rsid w:val="00BC4AC6"/>
    <w:rsid w:val="00BC5FA3"/>
    <w:rsid w:val="00BC6E34"/>
    <w:rsid w:val="00BD032E"/>
    <w:rsid w:val="00BD0A1E"/>
    <w:rsid w:val="00BD0C75"/>
    <w:rsid w:val="00BD1573"/>
    <w:rsid w:val="00BD15B4"/>
    <w:rsid w:val="00BD1867"/>
    <w:rsid w:val="00BD1CD4"/>
    <w:rsid w:val="00BD3AF5"/>
    <w:rsid w:val="00BD4553"/>
    <w:rsid w:val="00BD4C36"/>
    <w:rsid w:val="00BD4E9A"/>
    <w:rsid w:val="00BD663F"/>
    <w:rsid w:val="00BD67F4"/>
    <w:rsid w:val="00BD75FF"/>
    <w:rsid w:val="00BD7AB1"/>
    <w:rsid w:val="00BE1D94"/>
    <w:rsid w:val="00BE2DF6"/>
    <w:rsid w:val="00BE4BEC"/>
    <w:rsid w:val="00BE7644"/>
    <w:rsid w:val="00BE7D71"/>
    <w:rsid w:val="00BF083C"/>
    <w:rsid w:val="00BF134E"/>
    <w:rsid w:val="00BF20AA"/>
    <w:rsid w:val="00BF28AC"/>
    <w:rsid w:val="00BF2E7D"/>
    <w:rsid w:val="00BF3D2E"/>
    <w:rsid w:val="00BF4ABF"/>
    <w:rsid w:val="00BF57EA"/>
    <w:rsid w:val="00BF5EC2"/>
    <w:rsid w:val="00BF66E7"/>
    <w:rsid w:val="00BF6D21"/>
    <w:rsid w:val="00BF7147"/>
    <w:rsid w:val="00C0153A"/>
    <w:rsid w:val="00C01A0E"/>
    <w:rsid w:val="00C02821"/>
    <w:rsid w:val="00C04716"/>
    <w:rsid w:val="00C05447"/>
    <w:rsid w:val="00C056E8"/>
    <w:rsid w:val="00C06181"/>
    <w:rsid w:val="00C068E7"/>
    <w:rsid w:val="00C06EDF"/>
    <w:rsid w:val="00C11166"/>
    <w:rsid w:val="00C118B6"/>
    <w:rsid w:val="00C11CBF"/>
    <w:rsid w:val="00C12122"/>
    <w:rsid w:val="00C13022"/>
    <w:rsid w:val="00C13A85"/>
    <w:rsid w:val="00C141D7"/>
    <w:rsid w:val="00C14239"/>
    <w:rsid w:val="00C14B84"/>
    <w:rsid w:val="00C16595"/>
    <w:rsid w:val="00C173A6"/>
    <w:rsid w:val="00C1750B"/>
    <w:rsid w:val="00C17999"/>
    <w:rsid w:val="00C200C5"/>
    <w:rsid w:val="00C21297"/>
    <w:rsid w:val="00C22915"/>
    <w:rsid w:val="00C22E38"/>
    <w:rsid w:val="00C2305C"/>
    <w:rsid w:val="00C23BB1"/>
    <w:rsid w:val="00C25F84"/>
    <w:rsid w:val="00C26FE4"/>
    <w:rsid w:val="00C271C0"/>
    <w:rsid w:val="00C27E7C"/>
    <w:rsid w:val="00C30164"/>
    <w:rsid w:val="00C3038F"/>
    <w:rsid w:val="00C30784"/>
    <w:rsid w:val="00C314A4"/>
    <w:rsid w:val="00C32C5D"/>
    <w:rsid w:val="00C32E7D"/>
    <w:rsid w:val="00C33B35"/>
    <w:rsid w:val="00C34083"/>
    <w:rsid w:val="00C35244"/>
    <w:rsid w:val="00C358FB"/>
    <w:rsid w:val="00C36B3F"/>
    <w:rsid w:val="00C4000F"/>
    <w:rsid w:val="00C40CEC"/>
    <w:rsid w:val="00C41A95"/>
    <w:rsid w:val="00C43018"/>
    <w:rsid w:val="00C443DD"/>
    <w:rsid w:val="00C445F5"/>
    <w:rsid w:val="00C44FD4"/>
    <w:rsid w:val="00C46350"/>
    <w:rsid w:val="00C465EE"/>
    <w:rsid w:val="00C47510"/>
    <w:rsid w:val="00C47B25"/>
    <w:rsid w:val="00C50595"/>
    <w:rsid w:val="00C506A7"/>
    <w:rsid w:val="00C50CEA"/>
    <w:rsid w:val="00C52461"/>
    <w:rsid w:val="00C52634"/>
    <w:rsid w:val="00C5291D"/>
    <w:rsid w:val="00C53BC3"/>
    <w:rsid w:val="00C54086"/>
    <w:rsid w:val="00C5695D"/>
    <w:rsid w:val="00C56A75"/>
    <w:rsid w:val="00C60600"/>
    <w:rsid w:val="00C60EDD"/>
    <w:rsid w:val="00C61056"/>
    <w:rsid w:val="00C6132D"/>
    <w:rsid w:val="00C61350"/>
    <w:rsid w:val="00C62448"/>
    <w:rsid w:val="00C637C8"/>
    <w:rsid w:val="00C63EA8"/>
    <w:rsid w:val="00C64E0D"/>
    <w:rsid w:val="00C651DB"/>
    <w:rsid w:val="00C655A8"/>
    <w:rsid w:val="00C70100"/>
    <w:rsid w:val="00C701B6"/>
    <w:rsid w:val="00C7020B"/>
    <w:rsid w:val="00C7468C"/>
    <w:rsid w:val="00C75AFE"/>
    <w:rsid w:val="00C7716A"/>
    <w:rsid w:val="00C774F2"/>
    <w:rsid w:val="00C77640"/>
    <w:rsid w:val="00C81DE6"/>
    <w:rsid w:val="00C82498"/>
    <w:rsid w:val="00C824A1"/>
    <w:rsid w:val="00C82AEF"/>
    <w:rsid w:val="00C8407A"/>
    <w:rsid w:val="00C8493C"/>
    <w:rsid w:val="00C84AE3"/>
    <w:rsid w:val="00C851CD"/>
    <w:rsid w:val="00C86ABD"/>
    <w:rsid w:val="00C90535"/>
    <w:rsid w:val="00C913FA"/>
    <w:rsid w:val="00C916C7"/>
    <w:rsid w:val="00C9196A"/>
    <w:rsid w:val="00C91BBB"/>
    <w:rsid w:val="00C924ED"/>
    <w:rsid w:val="00C92761"/>
    <w:rsid w:val="00C9314F"/>
    <w:rsid w:val="00C93787"/>
    <w:rsid w:val="00C93B74"/>
    <w:rsid w:val="00C94BFF"/>
    <w:rsid w:val="00C952CC"/>
    <w:rsid w:val="00C95F1A"/>
    <w:rsid w:val="00C96A58"/>
    <w:rsid w:val="00CA1420"/>
    <w:rsid w:val="00CA19F3"/>
    <w:rsid w:val="00CA255B"/>
    <w:rsid w:val="00CA3449"/>
    <w:rsid w:val="00CA34ED"/>
    <w:rsid w:val="00CA39E5"/>
    <w:rsid w:val="00CA444E"/>
    <w:rsid w:val="00CA4DEA"/>
    <w:rsid w:val="00CA6146"/>
    <w:rsid w:val="00CA618C"/>
    <w:rsid w:val="00CA624A"/>
    <w:rsid w:val="00CA6BAF"/>
    <w:rsid w:val="00CB0428"/>
    <w:rsid w:val="00CB1F54"/>
    <w:rsid w:val="00CB1F63"/>
    <w:rsid w:val="00CB22D0"/>
    <w:rsid w:val="00CB50B3"/>
    <w:rsid w:val="00CB5C0B"/>
    <w:rsid w:val="00CB5C21"/>
    <w:rsid w:val="00CB6789"/>
    <w:rsid w:val="00CB7614"/>
    <w:rsid w:val="00CC033C"/>
    <w:rsid w:val="00CC0E26"/>
    <w:rsid w:val="00CC196E"/>
    <w:rsid w:val="00CC19E5"/>
    <w:rsid w:val="00CC1E35"/>
    <w:rsid w:val="00CC2462"/>
    <w:rsid w:val="00CC24F3"/>
    <w:rsid w:val="00CC52D3"/>
    <w:rsid w:val="00CC63DE"/>
    <w:rsid w:val="00CC7639"/>
    <w:rsid w:val="00CC7DE8"/>
    <w:rsid w:val="00CD2C7B"/>
    <w:rsid w:val="00CD2FA5"/>
    <w:rsid w:val="00CD30B4"/>
    <w:rsid w:val="00CD3505"/>
    <w:rsid w:val="00CD3ABA"/>
    <w:rsid w:val="00CD3CDE"/>
    <w:rsid w:val="00CD4078"/>
    <w:rsid w:val="00CD597D"/>
    <w:rsid w:val="00CD78A7"/>
    <w:rsid w:val="00CD7FC5"/>
    <w:rsid w:val="00CE1C78"/>
    <w:rsid w:val="00CE293D"/>
    <w:rsid w:val="00CE29EC"/>
    <w:rsid w:val="00CE2FEF"/>
    <w:rsid w:val="00CE38AF"/>
    <w:rsid w:val="00CE3923"/>
    <w:rsid w:val="00CE4354"/>
    <w:rsid w:val="00CE4E5D"/>
    <w:rsid w:val="00CE6284"/>
    <w:rsid w:val="00CE6C6D"/>
    <w:rsid w:val="00CE7A18"/>
    <w:rsid w:val="00CF012D"/>
    <w:rsid w:val="00CF1DA0"/>
    <w:rsid w:val="00CF2D65"/>
    <w:rsid w:val="00CF30F0"/>
    <w:rsid w:val="00CF5A6E"/>
    <w:rsid w:val="00CF726D"/>
    <w:rsid w:val="00CF7BC4"/>
    <w:rsid w:val="00D0339F"/>
    <w:rsid w:val="00D033ED"/>
    <w:rsid w:val="00D052D8"/>
    <w:rsid w:val="00D063ED"/>
    <w:rsid w:val="00D10DE7"/>
    <w:rsid w:val="00D12D83"/>
    <w:rsid w:val="00D1359A"/>
    <w:rsid w:val="00D1412D"/>
    <w:rsid w:val="00D15252"/>
    <w:rsid w:val="00D15E81"/>
    <w:rsid w:val="00D1625D"/>
    <w:rsid w:val="00D163A2"/>
    <w:rsid w:val="00D165D2"/>
    <w:rsid w:val="00D169B0"/>
    <w:rsid w:val="00D21858"/>
    <w:rsid w:val="00D22CD3"/>
    <w:rsid w:val="00D23415"/>
    <w:rsid w:val="00D2687B"/>
    <w:rsid w:val="00D270EC"/>
    <w:rsid w:val="00D27645"/>
    <w:rsid w:val="00D301D4"/>
    <w:rsid w:val="00D305B2"/>
    <w:rsid w:val="00D30762"/>
    <w:rsid w:val="00D31DFD"/>
    <w:rsid w:val="00D3293B"/>
    <w:rsid w:val="00D33AEA"/>
    <w:rsid w:val="00D3459E"/>
    <w:rsid w:val="00D354A0"/>
    <w:rsid w:val="00D35D9C"/>
    <w:rsid w:val="00D400FC"/>
    <w:rsid w:val="00D40A18"/>
    <w:rsid w:val="00D40C01"/>
    <w:rsid w:val="00D414BE"/>
    <w:rsid w:val="00D42602"/>
    <w:rsid w:val="00D429DC"/>
    <w:rsid w:val="00D43500"/>
    <w:rsid w:val="00D43A2F"/>
    <w:rsid w:val="00D45E3A"/>
    <w:rsid w:val="00D46652"/>
    <w:rsid w:val="00D466A3"/>
    <w:rsid w:val="00D479CC"/>
    <w:rsid w:val="00D50147"/>
    <w:rsid w:val="00D55FF6"/>
    <w:rsid w:val="00D571B2"/>
    <w:rsid w:val="00D572B5"/>
    <w:rsid w:val="00D57A46"/>
    <w:rsid w:val="00D57FB2"/>
    <w:rsid w:val="00D6064F"/>
    <w:rsid w:val="00D60688"/>
    <w:rsid w:val="00D607D4"/>
    <w:rsid w:val="00D61538"/>
    <w:rsid w:val="00D61F45"/>
    <w:rsid w:val="00D63726"/>
    <w:rsid w:val="00D63930"/>
    <w:rsid w:val="00D6607C"/>
    <w:rsid w:val="00D6786A"/>
    <w:rsid w:val="00D70125"/>
    <w:rsid w:val="00D702CF"/>
    <w:rsid w:val="00D70344"/>
    <w:rsid w:val="00D70613"/>
    <w:rsid w:val="00D71041"/>
    <w:rsid w:val="00D71DFA"/>
    <w:rsid w:val="00D73118"/>
    <w:rsid w:val="00D742C8"/>
    <w:rsid w:val="00D75B07"/>
    <w:rsid w:val="00D75F25"/>
    <w:rsid w:val="00D764AF"/>
    <w:rsid w:val="00D76645"/>
    <w:rsid w:val="00D7678A"/>
    <w:rsid w:val="00D77E6E"/>
    <w:rsid w:val="00D82AC0"/>
    <w:rsid w:val="00D83ED3"/>
    <w:rsid w:val="00D8477F"/>
    <w:rsid w:val="00D850BC"/>
    <w:rsid w:val="00D8560D"/>
    <w:rsid w:val="00D878F9"/>
    <w:rsid w:val="00D9023C"/>
    <w:rsid w:val="00D914C2"/>
    <w:rsid w:val="00D918AD"/>
    <w:rsid w:val="00D93B07"/>
    <w:rsid w:val="00D95BF1"/>
    <w:rsid w:val="00D95CC7"/>
    <w:rsid w:val="00D96D41"/>
    <w:rsid w:val="00D97636"/>
    <w:rsid w:val="00DA02D7"/>
    <w:rsid w:val="00DA085E"/>
    <w:rsid w:val="00DA093C"/>
    <w:rsid w:val="00DA11E4"/>
    <w:rsid w:val="00DA19FC"/>
    <w:rsid w:val="00DA2682"/>
    <w:rsid w:val="00DA37C1"/>
    <w:rsid w:val="00DA47AF"/>
    <w:rsid w:val="00DA4EF4"/>
    <w:rsid w:val="00DA5084"/>
    <w:rsid w:val="00DA56C1"/>
    <w:rsid w:val="00DA59E5"/>
    <w:rsid w:val="00DA59F3"/>
    <w:rsid w:val="00DA5A3F"/>
    <w:rsid w:val="00DA68A3"/>
    <w:rsid w:val="00DA6DA0"/>
    <w:rsid w:val="00DA713B"/>
    <w:rsid w:val="00DA730D"/>
    <w:rsid w:val="00DB10B5"/>
    <w:rsid w:val="00DB11D4"/>
    <w:rsid w:val="00DB120F"/>
    <w:rsid w:val="00DB3025"/>
    <w:rsid w:val="00DB308B"/>
    <w:rsid w:val="00DB350B"/>
    <w:rsid w:val="00DB4006"/>
    <w:rsid w:val="00DB468F"/>
    <w:rsid w:val="00DB5A38"/>
    <w:rsid w:val="00DB5F62"/>
    <w:rsid w:val="00DB7208"/>
    <w:rsid w:val="00DC02BD"/>
    <w:rsid w:val="00DC0587"/>
    <w:rsid w:val="00DC2A01"/>
    <w:rsid w:val="00DC2A36"/>
    <w:rsid w:val="00DC2CF4"/>
    <w:rsid w:val="00DC4276"/>
    <w:rsid w:val="00DC4DA4"/>
    <w:rsid w:val="00DC64C4"/>
    <w:rsid w:val="00DD1054"/>
    <w:rsid w:val="00DD349F"/>
    <w:rsid w:val="00DD3E45"/>
    <w:rsid w:val="00DD41E9"/>
    <w:rsid w:val="00DD5231"/>
    <w:rsid w:val="00DD6426"/>
    <w:rsid w:val="00DD720F"/>
    <w:rsid w:val="00DD7614"/>
    <w:rsid w:val="00DD7C27"/>
    <w:rsid w:val="00DD7FDF"/>
    <w:rsid w:val="00DE1612"/>
    <w:rsid w:val="00DE1DD4"/>
    <w:rsid w:val="00DE2039"/>
    <w:rsid w:val="00DE2A67"/>
    <w:rsid w:val="00DE3A1B"/>
    <w:rsid w:val="00DE3CC1"/>
    <w:rsid w:val="00DE3E05"/>
    <w:rsid w:val="00DE463F"/>
    <w:rsid w:val="00DE6E9A"/>
    <w:rsid w:val="00DE75FB"/>
    <w:rsid w:val="00DE773E"/>
    <w:rsid w:val="00DE7D3C"/>
    <w:rsid w:val="00DF2A36"/>
    <w:rsid w:val="00DF2C57"/>
    <w:rsid w:val="00DF35AA"/>
    <w:rsid w:val="00DF37E0"/>
    <w:rsid w:val="00DF388A"/>
    <w:rsid w:val="00DF3A0A"/>
    <w:rsid w:val="00DF49CD"/>
    <w:rsid w:val="00DF4B0B"/>
    <w:rsid w:val="00DF4B92"/>
    <w:rsid w:val="00DF61F8"/>
    <w:rsid w:val="00DF66A2"/>
    <w:rsid w:val="00E00321"/>
    <w:rsid w:val="00E01EB2"/>
    <w:rsid w:val="00E02A83"/>
    <w:rsid w:val="00E045A9"/>
    <w:rsid w:val="00E0526B"/>
    <w:rsid w:val="00E05517"/>
    <w:rsid w:val="00E10F5B"/>
    <w:rsid w:val="00E11A7B"/>
    <w:rsid w:val="00E149F0"/>
    <w:rsid w:val="00E14D19"/>
    <w:rsid w:val="00E1597C"/>
    <w:rsid w:val="00E16278"/>
    <w:rsid w:val="00E165BD"/>
    <w:rsid w:val="00E1675E"/>
    <w:rsid w:val="00E176AC"/>
    <w:rsid w:val="00E210DA"/>
    <w:rsid w:val="00E21329"/>
    <w:rsid w:val="00E21D5F"/>
    <w:rsid w:val="00E23203"/>
    <w:rsid w:val="00E23542"/>
    <w:rsid w:val="00E23890"/>
    <w:rsid w:val="00E23BA4"/>
    <w:rsid w:val="00E24E57"/>
    <w:rsid w:val="00E2765F"/>
    <w:rsid w:val="00E27955"/>
    <w:rsid w:val="00E31D48"/>
    <w:rsid w:val="00E32674"/>
    <w:rsid w:val="00E34304"/>
    <w:rsid w:val="00E35556"/>
    <w:rsid w:val="00E35F65"/>
    <w:rsid w:val="00E36100"/>
    <w:rsid w:val="00E36FA2"/>
    <w:rsid w:val="00E37483"/>
    <w:rsid w:val="00E37A1F"/>
    <w:rsid w:val="00E40250"/>
    <w:rsid w:val="00E418A2"/>
    <w:rsid w:val="00E419A3"/>
    <w:rsid w:val="00E42706"/>
    <w:rsid w:val="00E436E1"/>
    <w:rsid w:val="00E44003"/>
    <w:rsid w:val="00E44BF3"/>
    <w:rsid w:val="00E44F16"/>
    <w:rsid w:val="00E47AE9"/>
    <w:rsid w:val="00E505AF"/>
    <w:rsid w:val="00E50952"/>
    <w:rsid w:val="00E50E64"/>
    <w:rsid w:val="00E51F50"/>
    <w:rsid w:val="00E51FA9"/>
    <w:rsid w:val="00E52276"/>
    <w:rsid w:val="00E538A6"/>
    <w:rsid w:val="00E55A59"/>
    <w:rsid w:val="00E56772"/>
    <w:rsid w:val="00E56A8C"/>
    <w:rsid w:val="00E56D9B"/>
    <w:rsid w:val="00E571CF"/>
    <w:rsid w:val="00E60B5D"/>
    <w:rsid w:val="00E60E0A"/>
    <w:rsid w:val="00E61AB5"/>
    <w:rsid w:val="00E63624"/>
    <w:rsid w:val="00E64700"/>
    <w:rsid w:val="00E65D6A"/>
    <w:rsid w:val="00E65F4C"/>
    <w:rsid w:val="00E66D28"/>
    <w:rsid w:val="00E66D53"/>
    <w:rsid w:val="00E67081"/>
    <w:rsid w:val="00E67468"/>
    <w:rsid w:val="00E67F28"/>
    <w:rsid w:val="00E72259"/>
    <w:rsid w:val="00E72D49"/>
    <w:rsid w:val="00E7389D"/>
    <w:rsid w:val="00E73CF8"/>
    <w:rsid w:val="00E76655"/>
    <w:rsid w:val="00E76964"/>
    <w:rsid w:val="00E76ED6"/>
    <w:rsid w:val="00E7760B"/>
    <w:rsid w:val="00E779FB"/>
    <w:rsid w:val="00E81216"/>
    <w:rsid w:val="00E81E7A"/>
    <w:rsid w:val="00E8318E"/>
    <w:rsid w:val="00E83E23"/>
    <w:rsid w:val="00E855BB"/>
    <w:rsid w:val="00E85769"/>
    <w:rsid w:val="00E85D36"/>
    <w:rsid w:val="00E8632B"/>
    <w:rsid w:val="00E87EA5"/>
    <w:rsid w:val="00E87F12"/>
    <w:rsid w:val="00E87FCE"/>
    <w:rsid w:val="00E87FD7"/>
    <w:rsid w:val="00E903D1"/>
    <w:rsid w:val="00E9045A"/>
    <w:rsid w:val="00E911D4"/>
    <w:rsid w:val="00E91477"/>
    <w:rsid w:val="00E9402C"/>
    <w:rsid w:val="00E957ED"/>
    <w:rsid w:val="00E9638D"/>
    <w:rsid w:val="00E96A78"/>
    <w:rsid w:val="00E9756F"/>
    <w:rsid w:val="00EA070A"/>
    <w:rsid w:val="00EA0888"/>
    <w:rsid w:val="00EA0BDD"/>
    <w:rsid w:val="00EA1340"/>
    <w:rsid w:val="00EA1644"/>
    <w:rsid w:val="00EA195A"/>
    <w:rsid w:val="00EA221B"/>
    <w:rsid w:val="00EA55BC"/>
    <w:rsid w:val="00EA7114"/>
    <w:rsid w:val="00EA7391"/>
    <w:rsid w:val="00EA7D97"/>
    <w:rsid w:val="00EB0432"/>
    <w:rsid w:val="00EB10B8"/>
    <w:rsid w:val="00EB1E2C"/>
    <w:rsid w:val="00EB2788"/>
    <w:rsid w:val="00EB2A23"/>
    <w:rsid w:val="00EB2C12"/>
    <w:rsid w:val="00EB2E6C"/>
    <w:rsid w:val="00EB3084"/>
    <w:rsid w:val="00EB3575"/>
    <w:rsid w:val="00EB3AE4"/>
    <w:rsid w:val="00EB3D83"/>
    <w:rsid w:val="00EB4BD3"/>
    <w:rsid w:val="00EB4CC0"/>
    <w:rsid w:val="00EB4EF1"/>
    <w:rsid w:val="00EB4FAD"/>
    <w:rsid w:val="00EB533F"/>
    <w:rsid w:val="00EB56C8"/>
    <w:rsid w:val="00EB58EA"/>
    <w:rsid w:val="00EB61E8"/>
    <w:rsid w:val="00EB61F9"/>
    <w:rsid w:val="00EB7542"/>
    <w:rsid w:val="00EB7FA8"/>
    <w:rsid w:val="00EC0078"/>
    <w:rsid w:val="00EC1B2F"/>
    <w:rsid w:val="00EC2608"/>
    <w:rsid w:val="00EC2621"/>
    <w:rsid w:val="00EC2773"/>
    <w:rsid w:val="00EC2FD9"/>
    <w:rsid w:val="00EC3BF7"/>
    <w:rsid w:val="00EC43F5"/>
    <w:rsid w:val="00EC4585"/>
    <w:rsid w:val="00EC57C7"/>
    <w:rsid w:val="00EC6CBD"/>
    <w:rsid w:val="00ED17F7"/>
    <w:rsid w:val="00ED304F"/>
    <w:rsid w:val="00ED3956"/>
    <w:rsid w:val="00ED4854"/>
    <w:rsid w:val="00ED4DB2"/>
    <w:rsid w:val="00ED5B83"/>
    <w:rsid w:val="00EE0C79"/>
    <w:rsid w:val="00EE11C3"/>
    <w:rsid w:val="00EE243A"/>
    <w:rsid w:val="00EE31AB"/>
    <w:rsid w:val="00EE5316"/>
    <w:rsid w:val="00EE53EC"/>
    <w:rsid w:val="00EE5D37"/>
    <w:rsid w:val="00EE714F"/>
    <w:rsid w:val="00EE7957"/>
    <w:rsid w:val="00EF167A"/>
    <w:rsid w:val="00EF21CC"/>
    <w:rsid w:val="00EF28BA"/>
    <w:rsid w:val="00EF31A8"/>
    <w:rsid w:val="00EF34E7"/>
    <w:rsid w:val="00EF3F12"/>
    <w:rsid w:val="00EF40FB"/>
    <w:rsid w:val="00EF43EA"/>
    <w:rsid w:val="00EF4A0C"/>
    <w:rsid w:val="00EF50A7"/>
    <w:rsid w:val="00EF5502"/>
    <w:rsid w:val="00EF6EE8"/>
    <w:rsid w:val="00F00255"/>
    <w:rsid w:val="00F00A25"/>
    <w:rsid w:val="00F00AB4"/>
    <w:rsid w:val="00F01C30"/>
    <w:rsid w:val="00F02E4B"/>
    <w:rsid w:val="00F03004"/>
    <w:rsid w:val="00F0343F"/>
    <w:rsid w:val="00F04DDB"/>
    <w:rsid w:val="00F05BDE"/>
    <w:rsid w:val="00F05F66"/>
    <w:rsid w:val="00F07B12"/>
    <w:rsid w:val="00F1006C"/>
    <w:rsid w:val="00F10DB6"/>
    <w:rsid w:val="00F132C2"/>
    <w:rsid w:val="00F13DEC"/>
    <w:rsid w:val="00F16631"/>
    <w:rsid w:val="00F167C8"/>
    <w:rsid w:val="00F16FC6"/>
    <w:rsid w:val="00F17494"/>
    <w:rsid w:val="00F20A76"/>
    <w:rsid w:val="00F24FC1"/>
    <w:rsid w:val="00F26661"/>
    <w:rsid w:val="00F2693B"/>
    <w:rsid w:val="00F27BD5"/>
    <w:rsid w:val="00F3000B"/>
    <w:rsid w:val="00F30588"/>
    <w:rsid w:val="00F30710"/>
    <w:rsid w:val="00F3083F"/>
    <w:rsid w:val="00F30A29"/>
    <w:rsid w:val="00F30AB7"/>
    <w:rsid w:val="00F30B08"/>
    <w:rsid w:val="00F31F4B"/>
    <w:rsid w:val="00F3212F"/>
    <w:rsid w:val="00F32D7B"/>
    <w:rsid w:val="00F33445"/>
    <w:rsid w:val="00F355AC"/>
    <w:rsid w:val="00F36D90"/>
    <w:rsid w:val="00F37894"/>
    <w:rsid w:val="00F3792A"/>
    <w:rsid w:val="00F40A1B"/>
    <w:rsid w:val="00F42709"/>
    <w:rsid w:val="00F43D4B"/>
    <w:rsid w:val="00F45E65"/>
    <w:rsid w:val="00F468E2"/>
    <w:rsid w:val="00F46B77"/>
    <w:rsid w:val="00F47AB5"/>
    <w:rsid w:val="00F47AEF"/>
    <w:rsid w:val="00F47DBF"/>
    <w:rsid w:val="00F50255"/>
    <w:rsid w:val="00F545C7"/>
    <w:rsid w:val="00F54848"/>
    <w:rsid w:val="00F55518"/>
    <w:rsid w:val="00F56B33"/>
    <w:rsid w:val="00F579AF"/>
    <w:rsid w:val="00F60420"/>
    <w:rsid w:val="00F6079F"/>
    <w:rsid w:val="00F61118"/>
    <w:rsid w:val="00F626A0"/>
    <w:rsid w:val="00F63030"/>
    <w:rsid w:val="00F63058"/>
    <w:rsid w:val="00F632B4"/>
    <w:rsid w:val="00F64FDD"/>
    <w:rsid w:val="00F66960"/>
    <w:rsid w:val="00F6790C"/>
    <w:rsid w:val="00F70E12"/>
    <w:rsid w:val="00F742C0"/>
    <w:rsid w:val="00F743E5"/>
    <w:rsid w:val="00F767E8"/>
    <w:rsid w:val="00F77823"/>
    <w:rsid w:val="00F823FC"/>
    <w:rsid w:val="00F8370B"/>
    <w:rsid w:val="00F8425D"/>
    <w:rsid w:val="00F84F9F"/>
    <w:rsid w:val="00F85699"/>
    <w:rsid w:val="00F86766"/>
    <w:rsid w:val="00F9142A"/>
    <w:rsid w:val="00F918A6"/>
    <w:rsid w:val="00F94AFF"/>
    <w:rsid w:val="00F9525F"/>
    <w:rsid w:val="00F96284"/>
    <w:rsid w:val="00F96982"/>
    <w:rsid w:val="00F97651"/>
    <w:rsid w:val="00F97C3A"/>
    <w:rsid w:val="00FA1FC4"/>
    <w:rsid w:val="00FA219E"/>
    <w:rsid w:val="00FA2334"/>
    <w:rsid w:val="00FA3393"/>
    <w:rsid w:val="00FA3BE2"/>
    <w:rsid w:val="00FA57ED"/>
    <w:rsid w:val="00FA66F5"/>
    <w:rsid w:val="00FA66F9"/>
    <w:rsid w:val="00FA70F6"/>
    <w:rsid w:val="00FB0085"/>
    <w:rsid w:val="00FB09CF"/>
    <w:rsid w:val="00FB0BC6"/>
    <w:rsid w:val="00FB0CC1"/>
    <w:rsid w:val="00FB2A1C"/>
    <w:rsid w:val="00FB2AF8"/>
    <w:rsid w:val="00FB354F"/>
    <w:rsid w:val="00FB4B15"/>
    <w:rsid w:val="00FB4DA9"/>
    <w:rsid w:val="00FB5066"/>
    <w:rsid w:val="00FB5B2E"/>
    <w:rsid w:val="00FB643E"/>
    <w:rsid w:val="00FB6DE9"/>
    <w:rsid w:val="00FB757F"/>
    <w:rsid w:val="00FC0096"/>
    <w:rsid w:val="00FC0265"/>
    <w:rsid w:val="00FC230D"/>
    <w:rsid w:val="00FC2591"/>
    <w:rsid w:val="00FC29DE"/>
    <w:rsid w:val="00FC2BA2"/>
    <w:rsid w:val="00FC4907"/>
    <w:rsid w:val="00FD07C2"/>
    <w:rsid w:val="00FD1C7C"/>
    <w:rsid w:val="00FD1E64"/>
    <w:rsid w:val="00FD1FC9"/>
    <w:rsid w:val="00FD2A96"/>
    <w:rsid w:val="00FD2FC4"/>
    <w:rsid w:val="00FD31E0"/>
    <w:rsid w:val="00FD38CA"/>
    <w:rsid w:val="00FD4162"/>
    <w:rsid w:val="00FD4D80"/>
    <w:rsid w:val="00FD56E2"/>
    <w:rsid w:val="00FD6F4B"/>
    <w:rsid w:val="00FE0BC7"/>
    <w:rsid w:val="00FE1429"/>
    <w:rsid w:val="00FE1F74"/>
    <w:rsid w:val="00FE22F9"/>
    <w:rsid w:val="00FE3089"/>
    <w:rsid w:val="00FE35A6"/>
    <w:rsid w:val="00FE4971"/>
    <w:rsid w:val="00FE5065"/>
    <w:rsid w:val="00FF1767"/>
    <w:rsid w:val="00FF178D"/>
    <w:rsid w:val="00FF1ED1"/>
    <w:rsid w:val="00FF4073"/>
    <w:rsid w:val="00FF6B8D"/>
    <w:rsid w:val="00FF6D0B"/>
    <w:rsid w:val="00FF75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833C8"/>
  <w15:docId w15:val="{CECB4C21-753A-4CAD-85B1-17D9BC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77"/>
    <w:pPr>
      <w:spacing w:line="480" w:lineRule="auto"/>
    </w:pPr>
    <w:rPr>
      <w:rFonts w:ascii="Times New Roman" w:hAnsi="Times New Roman"/>
      <w:sz w:val="22"/>
    </w:rPr>
  </w:style>
  <w:style w:type="paragraph" w:styleId="Heading1">
    <w:name w:val="heading 1"/>
    <w:basedOn w:val="Normal"/>
    <w:next w:val="Normal"/>
    <w:link w:val="Heading1Char"/>
    <w:uiPriority w:val="9"/>
    <w:qFormat/>
    <w:rsid w:val="00EA1340"/>
    <w:pPr>
      <w:keepNext/>
      <w:keepLines/>
      <w:spacing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7675E"/>
    <w:pPr>
      <w:keepNext/>
      <w:keepLines/>
      <w:spacing w:after="12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E1"/>
  </w:style>
  <w:style w:type="paragraph" w:styleId="Footer">
    <w:name w:val="footer"/>
    <w:basedOn w:val="Normal"/>
    <w:link w:val="FooterChar"/>
    <w:uiPriority w:val="99"/>
    <w:unhideWhenUsed/>
    <w:rsid w:val="00977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E1"/>
  </w:style>
  <w:style w:type="paragraph" w:styleId="FootnoteText">
    <w:name w:val="footnote text"/>
    <w:basedOn w:val="Normal"/>
    <w:link w:val="FootnoteTextChar"/>
    <w:uiPriority w:val="99"/>
    <w:unhideWhenUsed/>
    <w:rsid w:val="00310403"/>
    <w:pPr>
      <w:spacing w:after="0" w:line="240" w:lineRule="auto"/>
      <w:ind w:left="227" w:hanging="227"/>
    </w:pPr>
    <w:rPr>
      <w:sz w:val="20"/>
      <w:szCs w:val="20"/>
    </w:rPr>
  </w:style>
  <w:style w:type="character" w:customStyle="1" w:styleId="FootnoteTextChar">
    <w:name w:val="Footnote Text Char"/>
    <w:basedOn w:val="DefaultParagraphFont"/>
    <w:link w:val="FootnoteText"/>
    <w:uiPriority w:val="99"/>
    <w:rsid w:val="0031040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103FF"/>
    <w:rPr>
      <w:vertAlign w:val="superscript"/>
    </w:rPr>
  </w:style>
  <w:style w:type="character" w:styleId="CommentReference">
    <w:name w:val="annotation reference"/>
    <w:basedOn w:val="DefaultParagraphFont"/>
    <w:uiPriority w:val="99"/>
    <w:semiHidden/>
    <w:unhideWhenUsed/>
    <w:rsid w:val="00E23BA4"/>
    <w:rPr>
      <w:sz w:val="16"/>
      <w:szCs w:val="16"/>
    </w:rPr>
  </w:style>
  <w:style w:type="paragraph" w:styleId="CommentText">
    <w:name w:val="annotation text"/>
    <w:basedOn w:val="Normal"/>
    <w:link w:val="CommentTextChar"/>
    <w:uiPriority w:val="99"/>
    <w:unhideWhenUsed/>
    <w:rsid w:val="00E23BA4"/>
    <w:pPr>
      <w:spacing w:line="240" w:lineRule="auto"/>
    </w:pPr>
    <w:rPr>
      <w:szCs w:val="20"/>
    </w:rPr>
  </w:style>
  <w:style w:type="character" w:customStyle="1" w:styleId="CommentTextChar">
    <w:name w:val="Comment Text Char"/>
    <w:basedOn w:val="DefaultParagraphFont"/>
    <w:link w:val="CommentText"/>
    <w:uiPriority w:val="99"/>
    <w:rsid w:val="00E23BA4"/>
    <w:rPr>
      <w:sz w:val="20"/>
      <w:szCs w:val="20"/>
    </w:rPr>
  </w:style>
  <w:style w:type="paragraph" w:styleId="CommentSubject">
    <w:name w:val="annotation subject"/>
    <w:basedOn w:val="CommentText"/>
    <w:next w:val="CommentText"/>
    <w:link w:val="CommentSubjectChar"/>
    <w:uiPriority w:val="99"/>
    <w:semiHidden/>
    <w:unhideWhenUsed/>
    <w:rsid w:val="00E23BA4"/>
    <w:rPr>
      <w:b/>
      <w:bCs/>
    </w:rPr>
  </w:style>
  <w:style w:type="character" w:customStyle="1" w:styleId="CommentSubjectChar">
    <w:name w:val="Comment Subject Char"/>
    <w:basedOn w:val="CommentTextChar"/>
    <w:link w:val="CommentSubject"/>
    <w:uiPriority w:val="99"/>
    <w:semiHidden/>
    <w:rsid w:val="00E23BA4"/>
    <w:rPr>
      <w:b/>
      <w:bCs/>
      <w:sz w:val="20"/>
      <w:szCs w:val="20"/>
    </w:rPr>
  </w:style>
  <w:style w:type="paragraph" w:styleId="BalloonText">
    <w:name w:val="Balloon Text"/>
    <w:basedOn w:val="Normal"/>
    <w:link w:val="BalloonTextChar"/>
    <w:uiPriority w:val="99"/>
    <w:semiHidden/>
    <w:unhideWhenUsed/>
    <w:rsid w:val="00E23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A4"/>
    <w:rPr>
      <w:rFonts w:ascii="Segoe UI" w:hAnsi="Segoe UI" w:cs="Segoe UI"/>
      <w:sz w:val="18"/>
      <w:szCs w:val="18"/>
    </w:rPr>
  </w:style>
  <w:style w:type="paragraph" w:styleId="ListParagraph">
    <w:name w:val="List Paragraph"/>
    <w:basedOn w:val="Normal"/>
    <w:uiPriority w:val="34"/>
    <w:qFormat/>
    <w:rsid w:val="00713F04"/>
    <w:pPr>
      <w:ind w:left="720"/>
      <w:contextualSpacing/>
    </w:pPr>
  </w:style>
  <w:style w:type="paragraph" w:styleId="EndnoteText">
    <w:name w:val="endnote text"/>
    <w:basedOn w:val="Normal"/>
    <w:link w:val="EndnoteTextChar"/>
    <w:uiPriority w:val="99"/>
    <w:unhideWhenUsed/>
    <w:rsid w:val="002D348E"/>
    <w:pPr>
      <w:spacing w:after="360" w:line="240" w:lineRule="auto"/>
      <w:ind w:left="284" w:hanging="284"/>
    </w:pPr>
    <w:rPr>
      <w:rFonts w:eastAsia="Calibri" w:cs="Times New Roman"/>
      <w:szCs w:val="20"/>
    </w:rPr>
  </w:style>
  <w:style w:type="character" w:customStyle="1" w:styleId="EndnoteTextChar">
    <w:name w:val="Endnote Text Char"/>
    <w:basedOn w:val="DefaultParagraphFont"/>
    <w:link w:val="EndnoteText"/>
    <w:uiPriority w:val="99"/>
    <w:rsid w:val="002D348E"/>
    <w:rPr>
      <w:rFonts w:ascii="Times New Roman" w:eastAsia="Calibri" w:hAnsi="Times New Roman" w:cs="Times New Roman"/>
      <w:sz w:val="22"/>
      <w:szCs w:val="20"/>
      <w:lang w:val="en-US"/>
    </w:rPr>
  </w:style>
  <w:style w:type="character" w:styleId="EndnoteReference">
    <w:name w:val="endnote reference"/>
    <w:uiPriority w:val="99"/>
    <w:semiHidden/>
    <w:unhideWhenUsed/>
    <w:rsid w:val="002D348E"/>
    <w:rPr>
      <w:vertAlign w:val="superscript"/>
    </w:rPr>
  </w:style>
  <w:style w:type="paragraph" w:customStyle="1" w:styleId="References">
    <w:name w:val="_ References"/>
    <w:basedOn w:val="Normal"/>
    <w:uiPriority w:val="99"/>
    <w:rsid w:val="001E077A"/>
    <w:pPr>
      <w:spacing w:after="120" w:line="360" w:lineRule="auto"/>
      <w:ind w:left="567" w:hanging="567"/>
    </w:pPr>
    <w:rPr>
      <w:rFonts w:eastAsia="SimSun" w:cs="Times New Roman"/>
      <w:szCs w:val="24"/>
      <w:lang w:eastAsia="de-DE"/>
    </w:rPr>
  </w:style>
  <w:style w:type="paragraph" w:styleId="Revision">
    <w:name w:val="Revision"/>
    <w:hidden/>
    <w:uiPriority w:val="99"/>
    <w:semiHidden/>
    <w:rsid w:val="00A04016"/>
    <w:pPr>
      <w:spacing w:after="0" w:line="240" w:lineRule="auto"/>
    </w:pPr>
  </w:style>
  <w:style w:type="character" w:customStyle="1" w:styleId="Heading1Char">
    <w:name w:val="Heading 1 Char"/>
    <w:basedOn w:val="DefaultParagraphFont"/>
    <w:link w:val="Heading1"/>
    <w:uiPriority w:val="9"/>
    <w:rsid w:val="00EA1340"/>
    <w:rPr>
      <w:rFonts w:ascii="Times New Roman" w:eastAsiaTheme="majorEastAsia" w:hAnsi="Times New Roman" w:cstheme="majorBidi"/>
      <w:b/>
      <w:bCs/>
      <w:sz w:val="22"/>
      <w:szCs w:val="28"/>
      <w:lang w:val="en-US"/>
    </w:rPr>
  </w:style>
  <w:style w:type="character" w:customStyle="1" w:styleId="Heading2Char">
    <w:name w:val="Heading 2 Char"/>
    <w:basedOn w:val="DefaultParagraphFont"/>
    <w:link w:val="Heading2"/>
    <w:uiPriority w:val="9"/>
    <w:rsid w:val="00B7675E"/>
    <w:rPr>
      <w:rFonts w:ascii="Times New Roman" w:eastAsiaTheme="majorEastAsia" w:hAnsi="Times New Roman" w:cstheme="majorBidi"/>
      <w:bCs/>
      <w:i/>
      <w:sz w:val="22"/>
      <w:szCs w:val="26"/>
      <w:lang w:val="en-US"/>
    </w:rPr>
  </w:style>
  <w:style w:type="character" w:styleId="Hyperlink">
    <w:name w:val="Hyperlink"/>
    <w:basedOn w:val="DefaultParagraphFont"/>
    <w:uiPriority w:val="99"/>
    <w:unhideWhenUsed/>
    <w:rsid w:val="00D73118"/>
    <w:rPr>
      <w:color w:val="0000FF" w:themeColor="hyperlink"/>
      <w:u w:val="single"/>
    </w:rPr>
  </w:style>
  <w:style w:type="paragraph" w:customStyle="1" w:styleId="Default">
    <w:name w:val="Default"/>
    <w:rsid w:val="00D7311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00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01F65"/>
  </w:style>
  <w:style w:type="character" w:customStyle="1" w:styleId="DateChar">
    <w:name w:val="Date Char"/>
    <w:basedOn w:val="DefaultParagraphFont"/>
    <w:link w:val="Date"/>
    <w:uiPriority w:val="99"/>
    <w:semiHidden/>
    <w:rsid w:val="00801F65"/>
    <w:rPr>
      <w:rFonts w:ascii="Times New Roman" w:hAnsi="Times New Roman"/>
      <w:sz w:val="20"/>
      <w:lang w:val="en-US"/>
    </w:rPr>
  </w:style>
  <w:style w:type="paragraph" w:customStyle="1" w:styleId="ReferencesFurtherreading">
    <w:name w:val="References/Further reading"/>
    <w:basedOn w:val="Normal"/>
    <w:link w:val="ReferencesFurtherreadingChar"/>
    <w:uiPriority w:val="99"/>
    <w:rsid w:val="00E35556"/>
    <w:pPr>
      <w:spacing w:after="0"/>
      <w:ind w:left="397" w:hanging="397"/>
    </w:pPr>
    <w:rPr>
      <w:rFonts w:eastAsia="Times New Roman" w:cs="Times New Roman"/>
      <w:szCs w:val="20"/>
    </w:rPr>
  </w:style>
  <w:style w:type="character" w:styleId="Emphasis">
    <w:name w:val="Emphasis"/>
    <w:basedOn w:val="DefaultParagraphFont"/>
    <w:uiPriority w:val="20"/>
    <w:qFormat/>
    <w:rsid w:val="0005042E"/>
    <w:rPr>
      <w:b/>
      <w:bCs/>
      <w:i w:val="0"/>
      <w:iCs w:val="0"/>
    </w:rPr>
  </w:style>
  <w:style w:type="character" w:customStyle="1" w:styleId="ReferencesFurtherreadingChar">
    <w:name w:val="References/Further reading Char"/>
    <w:basedOn w:val="DefaultParagraphFont"/>
    <w:link w:val="ReferencesFurtherreading"/>
    <w:uiPriority w:val="99"/>
    <w:locked/>
    <w:rsid w:val="003A11A4"/>
    <w:rPr>
      <w:rFonts w:ascii="Times New Roman" w:eastAsia="Times New Roman" w:hAnsi="Times New Roman" w:cs="Times New Roman"/>
      <w:sz w:val="22"/>
      <w:szCs w:val="20"/>
      <w:lang w:val="en-US"/>
    </w:rPr>
  </w:style>
  <w:style w:type="paragraph" w:customStyle="1" w:styleId="xgmail-m-1384501658275062094msolistparagraph">
    <w:name w:val="x_gmail-m-1384501658275062094msolistparagraph"/>
    <w:basedOn w:val="Normal"/>
    <w:rsid w:val="006E676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3355">
      <w:bodyDiv w:val="1"/>
      <w:marLeft w:val="0"/>
      <w:marRight w:val="0"/>
      <w:marTop w:val="0"/>
      <w:marBottom w:val="0"/>
      <w:divBdr>
        <w:top w:val="none" w:sz="0" w:space="0" w:color="auto"/>
        <w:left w:val="none" w:sz="0" w:space="0" w:color="auto"/>
        <w:bottom w:val="none" w:sz="0" w:space="0" w:color="auto"/>
        <w:right w:val="none" w:sz="0" w:space="0" w:color="auto"/>
      </w:divBdr>
    </w:div>
    <w:div w:id="539361858">
      <w:bodyDiv w:val="1"/>
      <w:marLeft w:val="0"/>
      <w:marRight w:val="0"/>
      <w:marTop w:val="0"/>
      <w:marBottom w:val="0"/>
      <w:divBdr>
        <w:top w:val="none" w:sz="0" w:space="0" w:color="auto"/>
        <w:left w:val="none" w:sz="0" w:space="0" w:color="auto"/>
        <w:bottom w:val="none" w:sz="0" w:space="0" w:color="auto"/>
        <w:right w:val="none" w:sz="0" w:space="0" w:color="auto"/>
      </w:divBdr>
      <w:divsChild>
        <w:div w:id="10225502">
          <w:marLeft w:val="0"/>
          <w:marRight w:val="0"/>
          <w:marTop w:val="0"/>
          <w:marBottom w:val="0"/>
          <w:divBdr>
            <w:top w:val="none" w:sz="0" w:space="0" w:color="auto"/>
            <w:left w:val="none" w:sz="0" w:space="0" w:color="auto"/>
            <w:bottom w:val="none" w:sz="0" w:space="0" w:color="auto"/>
            <w:right w:val="none" w:sz="0" w:space="0" w:color="auto"/>
          </w:divBdr>
        </w:div>
      </w:divsChild>
    </w:div>
    <w:div w:id="1159350133">
      <w:bodyDiv w:val="1"/>
      <w:marLeft w:val="0"/>
      <w:marRight w:val="0"/>
      <w:marTop w:val="0"/>
      <w:marBottom w:val="0"/>
      <w:divBdr>
        <w:top w:val="none" w:sz="0" w:space="0" w:color="auto"/>
        <w:left w:val="none" w:sz="0" w:space="0" w:color="auto"/>
        <w:bottom w:val="none" w:sz="0" w:space="0" w:color="auto"/>
        <w:right w:val="none" w:sz="0" w:space="0" w:color="auto"/>
      </w:divBdr>
    </w:div>
    <w:div w:id="1165824262">
      <w:bodyDiv w:val="1"/>
      <w:marLeft w:val="0"/>
      <w:marRight w:val="0"/>
      <w:marTop w:val="0"/>
      <w:marBottom w:val="0"/>
      <w:divBdr>
        <w:top w:val="none" w:sz="0" w:space="0" w:color="auto"/>
        <w:left w:val="none" w:sz="0" w:space="0" w:color="auto"/>
        <w:bottom w:val="none" w:sz="0" w:space="0" w:color="auto"/>
        <w:right w:val="none" w:sz="0" w:space="0" w:color="auto"/>
      </w:divBdr>
    </w:div>
    <w:div w:id="1454443792">
      <w:bodyDiv w:val="1"/>
      <w:marLeft w:val="0"/>
      <w:marRight w:val="0"/>
      <w:marTop w:val="0"/>
      <w:marBottom w:val="0"/>
      <w:divBdr>
        <w:top w:val="none" w:sz="0" w:space="0" w:color="auto"/>
        <w:left w:val="none" w:sz="0" w:space="0" w:color="auto"/>
        <w:bottom w:val="none" w:sz="0" w:space="0" w:color="auto"/>
        <w:right w:val="none" w:sz="0" w:space="0" w:color="auto"/>
      </w:divBdr>
    </w:div>
    <w:div w:id="1569147946">
      <w:bodyDiv w:val="1"/>
      <w:marLeft w:val="0"/>
      <w:marRight w:val="0"/>
      <w:marTop w:val="0"/>
      <w:marBottom w:val="0"/>
      <w:divBdr>
        <w:top w:val="none" w:sz="0" w:space="0" w:color="auto"/>
        <w:left w:val="none" w:sz="0" w:space="0" w:color="auto"/>
        <w:bottom w:val="none" w:sz="0" w:space="0" w:color="auto"/>
        <w:right w:val="none" w:sz="0" w:space="0" w:color="auto"/>
      </w:divBdr>
    </w:div>
    <w:div w:id="1841920687">
      <w:bodyDiv w:val="1"/>
      <w:marLeft w:val="0"/>
      <w:marRight w:val="0"/>
      <w:marTop w:val="0"/>
      <w:marBottom w:val="0"/>
      <w:divBdr>
        <w:top w:val="none" w:sz="0" w:space="0" w:color="auto"/>
        <w:left w:val="none" w:sz="0" w:space="0" w:color="auto"/>
        <w:bottom w:val="none" w:sz="0" w:space="0" w:color="auto"/>
        <w:right w:val="none" w:sz="0" w:space="0" w:color="auto"/>
      </w:divBdr>
    </w:div>
    <w:div w:id="1966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Use-around-the-world/IFRS-translations/Pages/IFRS-translations.asp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pce.org.ar:8080/miniportal/archivos/2012/NIC/NIC%2036.pdf" TargetMode="External"/><Relationship Id="rId4" Type="http://schemas.openxmlformats.org/officeDocument/2006/relationships/settings" Target="settings.xml"/><Relationship Id="rId9" Type="http://schemas.openxmlformats.org/officeDocument/2006/relationships/hyperlink" Target="http://www.nifccanada.ca/normes-internationales-dinformation-financiere/ressources/normes-ifrs-proprement-dites/item4564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g.kasb.or.kr/fe/org/NR_view.do?deptCd=DEPT00019&amp;highDeptCd=DEPT00036" TargetMode="External"/><Relationship Id="rId2" Type="http://schemas.openxmlformats.org/officeDocument/2006/relationships/hyperlink" Target="http://michaelis.uol.com.br/busca?r=1&amp;f=0&amp;t=1&amp;palavra=imparidade" TargetMode="External"/><Relationship Id="rId1" Type="http://schemas.openxmlformats.org/officeDocument/2006/relationships/hyperlink" Target="http://dictionary.cambridge.org/dictionary/english/impair" TargetMode="External"/><Relationship Id="rId6" Type="http://schemas.openxmlformats.org/officeDocument/2006/relationships/hyperlink" Target="https://www.esma.europa.eu/policy-activities/corporate-disclosure/european-single-electronic-format" TargetMode="External"/><Relationship Id="rId5" Type="http://schemas.openxmlformats.org/officeDocument/2006/relationships/hyperlink" Target="http://www.linguee.com/english-portuguese/search?sourceoverride=none&amp;source=portuguese&amp;query=imparidade" TargetMode="External"/><Relationship Id="rId4" Type="http://schemas.openxmlformats.org/officeDocument/2006/relationships/hyperlink" Target="https://www.drsc.de/en/governing-bodies-standin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A1D6-987E-4CEB-BA8F-287DAB75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12825</Words>
  <Characters>73107</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Wright</dc:creator>
  <cp:keywords/>
  <dc:description/>
  <cp:lastModifiedBy>Nobes, Chris</cp:lastModifiedBy>
  <cp:revision>2</cp:revision>
  <cp:lastPrinted>2016-10-24T15:23:00Z</cp:lastPrinted>
  <dcterms:created xsi:type="dcterms:W3CDTF">2018-07-16T11:29:00Z</dcterms:created>
  <dcterms:modified xsi:type="dcterms:W3CDTF">2018-07-16T11:29:00Z</dcterms:modified>
</cp:coreProperties>
</file>