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AB" w:rsidRDefault="00EE68AB" w:rsidP="00EE68AB">
      <w:pPr>
        <w:spacing w:after="120"/>
        <w:jc w:val="center"/>
        <w:rPr>
          <w:b/>
          <w:sz w:val="24"/>
          <w:szCs w:val="24"/>
        </w:rPr>
      </w:pPr>
      <w:r w:rsidRPr="003C1C92">
        <w:rPr>
          <w:b/>
          <w:sz w:val="24"/>
          <w:szCs w:val="24"/>
        </w:rPr>
        <w:t xml:space="preserve">Advocacy, Law and American Independence: </w:t>
      </w:r>
    </w:p>
    <w:p w:rsidR="00EE68AB" w:rsidRDefault="00EE68AB" w:rsidP="00EE68AB">
      <w:pPr>
        <w:spacing w:after="120"/>
        <w:jc w:val="center"/>
        <w:rPr>
          <w:b/>
          <w:sz w:val="24"/>
          <w:szCs w:val="24"/>
        </w:rPr>
      </w:pPr>
      <w:r w:rsidRPr="003C1C92">
        <w:rPr>
          <w:b/>
          <w:sz w:val="24"/>
          <w:szCs w:val="24"/>
        </w:rPr>
        <w:t>Thomas Erskine and the</w:t>
      </w:r>
      <w:r>
        <w:rPr>
          <w:b/>
          <w:sz w:val="24"/>
          <w:szCs w:val="24"/>
        </w:rPr>
        <w:t xml:space="preserve"> </w:t>
      </w:r>
      <w:r w:rsidRPr="003C1C92">
        <w:rPr>
          <w:b/>
          <w:sz w:val="24"/>
          <w:szCs w:val="24"/>
        </w:rPr>
        <w:t>Transatlantic Public Sphere, 1775 – 1823</w:t>
      </w:r>
    </w:p>
    <w:p w:rsidR="00EE68AB" w:rsidRDefault="00EE68AB" w:rsidP="00EE68AB">
      <w:pPr>
        <w:spacing w:after="0" w:line="240" w:lineRule="auto"/>
        <w:jc w:val="right"/>
      </w:pPr>
      <w:r>
        <w:t>Dr Nicola Phillips</w:t>
      </w:r>
    </w:p>
    <w:p w:rsidR="00EE68AB" w:rsidRDefault="00EE68AB" w:rsidP="00EE68AB">
      <w:pPr>
        <w:spacing w:after="0" w:line="240" w:lineRule="auto"/>
        <w:jc w:val="right"/>
      </w:pPr>
      <w:r>
        <w:t>Royal Holloway, University of London</w:t>
      </w:r>
    </w:p>
    <w:p w:rsidR="00EE68AB" w:rsidRDefault="00EE68AB" w:rsidP="00EE68AB">
      <w:pPr>
        <w:jc w:val="both"/>
      </w:pPr>
    </w:p>
    <w:p w:rsidR="00EE68AB" w:rsidRPr="00901D89" w:rsidRDefault="00EE68AB" w:rsidP="00A26FF2">
      <w:pPr>
        <w:spacing w:after="60"/>
        <w:jc w:val="both"/>
        <w:rPr>
          <w:b/>
        </w:rPr>
      </w:pPr>
      <w:r>
        <w:rPr>
          <w:b/>
        </w:rPr>
        <w:t>Statement of Proposed Research</w:t>
      </w:r>
    </w:p>
    <w:p w:rsidR="00EE68AB" w:rsidRDefault="00EE68AB" w:rsidP="00A26FF2">
      <w:pPr>
        <w:spacing w:after="60"/>
        <w:jc w:val="both"/>
      </w:pPr>
      <w:r>
        <w:t xml:space="preserve">By 1800 Thomas Erskine (1750-1823) was celebrated in Britain, America and by French </w:t>
      </w:r>
      <w:r w:rsidRPr="00697ACB">
        <w:rPr>
          <w:i/>
        </w:rPr>
        <w:t>avocats</w:t>
      </w:r>
      <w:r>
        <w:t xml:space="preserve"> as the greatest legal advocate of his generation.  He had served as Attorney General to the Prince of Wales (1783-92) until </w:t>
      </w:r>
      <w:r w:rsidR="00E9180E">
        <w:t xml:space="preserve">his </w:t>
      </w:r>
      <w:r>
        <w:t>dismiss</w:t>
      </w:r>
      <w:r w:rsidR="00E9180E">
        <w:t>al</w:t>
      </w:r>
      <w:r>
        <w:t xml:space="preserve"> for defending Thomas Paine’s </w:t>
      </w:r>
      <w:r w:rsidRPr="00D14C87">
        <w:rPr>
          <w:i/>
        </w:rPr>
        <w:t>Rights of Man Part II</w:t>
      </w:r>
      <w:r w:rsidR="00D14C87">
        <w:rPr>
          <w:i/>
        </w:rPr>
        <w:t xml:space="preserve">. </w:t>
      </w:r>
      <w:r w:rsidR="00D14C87">
        <w:t>I</w:t>
      </w:r>
      <w:r>
        <w:t>n 1806</w:t>
      </w:r>
      <w:r w:rsidR="00D14C87">
        <w:t xml:space="preserve"> he</w:t>
      </w:r>
      <w:r>
        <w:t xml:space="preserve"> was appointed Lord Chancellor by George III despite being a </w:t>
      </w:r>
      <w:r w:rsidR="00D14C87">
        <w:t xml:space="preserve">prominent </w:t>
      </w:r>
      <w:r>
        <w:t>member of the opposition Whig party</w:t>
      </w:r>
      <w:r w:rsidR="00D14C87">
        <w:t xml:space="preserve"> and successfully defending radical reformers against charges of treason in the 1790s</w:t>
      </w:r>
      <w:r>
        <w:t>. He has been credited with shaping modern adversarial trial by jury, defending freedom of the press and taking ‘pride of place in the struggle to promote … justice and liberty’.</w:t>
      </w:r>
      <w:r w:rsidR="00B5342D">
        <w:rPr>
          <w:rStyle w:val="EndnoteReference"/>
        </w:rPr>
        <w:endnoteReference w:id="1"/>
      </w:r>
      <w:r w:rsidR="00D14C87">
        <w:t xml:space="preserve"> </w:t>
      </w:r>
      <w:r>
        <w:t xml:space="preserve"> </w:t>
      </w:r>
      <w:r w:rsidRPr="00A22D92">
        <w:t>What is less well known is that he also had substantial personal, family, financial and intellectual connections with legal and political elites in America during the Early Republic. Erskine was</w:t>
      </w:r>
      <w:r>
        <w:t>, m</w:t>
      </w:r>
      <w:r w:rsidRPr="00A22D92">
        <w:t>oreover</w:t>
      </w:r>
      <w:r w:rsidR="00507C85">
        <w:t>,</w:t>
      </w:r>
      <w:r w:rsidRPr="00A22D92">
        <w:t xml:space="preserve"> a prolific writer</w:t>
      </w:r>
      <w:r>
        <w:t xml:space="preserve"> </w:t>
      </w:r>
      <w:r w:rsidRPr="00A22D92">
        <w:t xml:space="preserve">and numerous editions of his famous trial speeches and political views were </w:t>
      </w:r>
      <w:r>
        <w:t>ex</w:t>
      </w:r>
      <w:r w:rsidRPr="00A22D92">
        <w:t xml:space="preserve">ported to, or re-published in, America. My research </w:t>
      </w:r>
      <w:r>
        <w:t>will fill a</w:t>
      </w:r>
      <w:r w:rsidRPr="00A22D92">
        <w:t xml:space="preserve"> significant </w:t>
      </w:r>
      <w:r>
        <w:t xml:space="preserve">historical </w:t>
      </w:r>
      <w:r w:rsidRPr="00A22D92">
        <w:t>gap by examining the transatlantic impact and reception of his legal and political views, his oratory and the transmission and influence of his printed texts.</w:t>
      </w:r>
      <w:r>
        <w:t xml:space="preserve"> I</w:t>
      </w:r>
      <w:r w:rsidRPr="00A22D92">
        <w:t>t will also provide new insights into the transnational movement of lawyers, legal culture and ‘liberal’ ideas that impacted on the development of Anglo-American adversarial trial.</w:t>
      </w:r>
    </w:p>
    <w:p w:rsidR="0080406B" w:rsidRDefault="00EE68AB" w:rsidP="00EE68AB">
      <w:pPr>
        <w:jc w:val="both"/>
        <w:rPr>
          <w:lang w:val="en-US"/>
        </w:rPr>
      </w:pPr>
      <w:r>
        <w:t>Early hagiographical biographies and a recent short legal biography of Erskine, barely address his American connections or impact, despite lauding his influence on Anglo-American law.</w:t>
      </w:r>
      <w:r w:rsidR="0013109F">
        <w:rPr>
          <w:rStyle w:val="EndnoteReference"/>
        </w:rPr>
        <w:endnoteReference w:id="2"/>
      </w:r>
      <w:r>
        <w:t xml:space="preserve"> </w:t>
      </w:r>
      <w:r w:rsidR="00C90245">
        <w:t xml:space="preserve">To date, I have seen </w:t>
      </w:r>
      <w:r>
        <w:t>no mention of his letters to</w:t>
      </w:r>
      <w:r w:rsidR="0017153C">
        <w:t>,</w:t>
      </w:r>
      <w:r>
        <w:t xml:space="preserve"> or discussion of his work</w:t>
      </w:r>
      <w:r w:rsidR="00C90245">
        <w:t>,</w:t>
      </w:r>
      <w:r>
        <w:t xml:space="preserve"> in the correspondence of </w:t>
      </w:r>
      <w:r w:rsidR="00D14C87">
        <w:t xml:space="preserve">the Founding Fathers. </w:t>
      </w:r>
      <w:r>
        <w:t xml:space="preserve"> In British historiography, legal and political histories have tended to run on parallel, but rarely intersecting lines, obscuring </w:t>
      </w:r>
      <w:r w:rsidR="00186829">
        <w:t>Erskine’s</w:t>
      </w:r>
      <w:r>
        <w:t xml:space="preserve"> role as an </w:t>
      </w:r>
      <w:r w:rsidR="0017153C">
        <w:t>ardent</w:t>
      </w:r>
      <w:r>
        <w:t xml:space="preserve"> supporter of Charles James Fox</w:t>
      </w:r>
      <w:r w:rsidR="0017153C">
        <w:t>,</w:t>
      </w:r>
      <w:r>
        <w:t xml:space="preserve"> who </w:t>
      </w:r>
      <w:r w:rsidR="0017153C">
        <w:t xml:space="preserve">also </w:t>
      </w:r>
      <w:r>
        <w:t xml:space="preserve">campaigned for electoral reform and supported both the American and French Revolutions. More recently, however, socio-legal </w:t>
      </w:r>
      <w:r w:rsidR="00186829">
        <w:t xml:space="preserve">and imperial </w:t>
      </w:r>
      <w:r>
        <w:t>historians</w:t>
      </w:r>
      <w:r w:rsidR="00E53790">
        <w:t xml:space="preserve"> </w:t>
      </w:r>
      <w:r>
        <w:t>have traced the broader intersection of law</w:t>
      </w:r>
      <w:r w:rsidR="00186829">
        <w:t>, culture</w:t>
      </w:r>
      <w:r>
        <w:t xml:space="preserve"> and politics</w:t>
      </w:r>
      <w:r w:rsidR="00186829">
        <w:t xml:space="preserve"> in Britain and the Anglophone world</w:t>
      </w:r>
      <w:r>
        <w:t>.</w:t>
      </w:r>
      <w:r w:rsidR="0013109F">
        <w:rPr>
          <w:rStyle w:val="EndnoteReference"/>
        </w:rPr>
        <w:endnoteReference w:id="3"/>
      </w:r>
      <w:r>
        <w:t xml:space="preserve">  </w:t>
      </w:r>
      <w:proofErr w:type="spellStart"/>
      <w:r>
        <w:t>Pue</w:t>
      </w:r>
      <w:proofErr w:type="spellEnd"/>
      <w:r>
        <w:t xml:space="preserve"> </w:t>
      </w:r>
      <w:r w:rsidR="007A4C9C">
        <w:t xml:space="preserve">identified Erskine as an important figure in the development of </w:t>
      </w:r>
      <w:r>
        <w:t xml:space="preserve">links between lawyers, ‘political liberalism’ and forms of adversarial trial. </w:t>
      </w:r>
      <w:r w:rsidRPr="00265D51">
        <w:rPr>
          <w:lang w:val="en-US"/>
        </w:rPr>
        <w:t xml:space="preserve">Lemmings and Shoemaker have shown that widespread press coverage and publication of trials and lawyers’ speeches enabled the public to engage critically with issues of justice. Adapting Habermas’ formulation of a public sphere they construct a theoretical framework for </w:t>
      </w:r>
      <w:proofErr w:type="spellStart"/>
      <w:r w:rsidRPr="00265D51">
        <w:rPr>
          <w:lang w:val="en-US"/>
        </w:rPr>
        <w:t>analy</w:t>
      </w:r>
      <w:r>
        <w:rPr>
          <w:lang w:val="en-US"/>
        </w:rPr>
        <w:t>sing</w:t>
      </w:r>
      <w:proofErr w:type="spellEnd"/>
      <w:r>
        <w:rPr>
          <w:lang w:val="en-US"/>
        </w:rPr>
        <w:t xml:space="preserve"> </w:t>
      </w:r>
      <w:r w:rsidRPr="00265D51">
        <w:rPr>
          <w:lang w:val="en-US"/>
        </w:rPr>
        <w:t>the role of lawyers in discussio</w:t>
      </w:r>
      <w:r>
        <w:rPr>
          <w:lang w:val="en-US"/>
        </w:rPr>
        <w:t xml:space="preserve">ns of law and good governance. </w:t>
      </w:r>
      <w:r w:rsidRPr="00265D51">
        <w:rPr>
          <w:lang w:val="en-US"/>
        </w:rPr>
        <w:t xml:space="preserve">My intention is to expand this framework and the definition of law books to </w:t>
      </w:r>
      <w:proofErr w:type="spellStart"/>
      <w:r w:rsidRPr="00265D51">
        <w:rPr>
          <w:lang w:val="en-US"/>
        </w:rPr>
        <w:t>analyse</w:t>
      </w:r>
      <w:proofErr w:type="spellEnd"/>
      <w:r w:rsidRPr="00265D51">
        <w:rPr>
          <w:lang w:val="en-US"/>
        </w:rPr>
        <w:t xml:space="preserve"> a transatlantic public sphere of ‘legal’ literature</w:t>
      </w:r>
      <w:r w:rsidR="00080A17">
        <w:rPr>
          <w:lang w:val="en-US"/>
        </w:rPr>
        <w:t>,</w:t>
      </w:r>
      <w:r w:rsidRPr="00265D51">
        <w:rPr>
          <w:lang w:val="en-US"/>
        </w:rPr>
        <w:t xml:space="preserve"> the dissemination of Erskine’s work</w:t>
      </w:r>
      <w:r w:rsidR="00080A17">
        <w:rPr>
          <w:lang w:val="en-US"/>
        </w:rPr>
        <w:t xml:space="preserve"> and the impact of his advocacy in court</w:t>
      </w:r>
      <w:r>
        <w:rPr>
          <w:lang w:val="en-US"/>
        </w:rPr>
        <w:t>.</w:t>
      </w:r>
      <w:r w:rsidR="00694E8F">
        <w:rPr>
          <w:lang w:val="en-US"/>
        </w:rPr>
        <w:t xml:space="preserve"> </w:t>
      </w:r>
    </w:p>
    <w:p w:rsidR="00CB0404" w:rsidRDefault="00694E8F" w:rsidP="00EE68AB">
      <w:pPr>
        <w:jc w:val="both"/>
      </w:pPr>
      <w:r>
        <w:rPr>
          <w:lang w:val="en-US"/>
        </w:rPr>
        <w:t>As Halper</w:t>
      </w:r>
      <w:r w:rsidR="00AA73AF">
        <w:rPr>
          <w:lang w:val="en-US"/>
        </w:rPr>
        <w:t>i</w:t>
      </w:r>
      <w:r>
        <w:rPr>
          <w:lang w:val="en-US"/>
        </w:rPr>
        <w:t xml:space="preserve">n has argued, </w:t>
      </w:r>
      <w:r w:rsidR="00352FB2">
        <w:rPr>
          <w:lang w:val="en-US"/>
        </w:rPr>
        <w:t xml:space="preserve">while </w:t>
      </w:r>
      <w:r>
        <w:rPr>
          <w:lang w:val="en-US"/>
        </w:rPr>
        <w:t>legal historians have tended to focus on ‘great works’ written by famous jurists it is equally important to assess the impact of legal literature more broadly in different countries.</w:t>
      </w:r>
      <w:r w:rsidR="0013109F">
        <w:rPr>
          <w:rStyle w:val="EndnoteReference"/>
          <w:lang w:val="en-US"/>
        </w:rPr>
        <w:endnoteReference w:id="4"/>
      </w:r>
      <w:r>
        <w:rPr>
          <w:lang w:val="en-US"/>
        </w:rPr>
        <w:t xml:space="preserve"> </w:t>
      </w:r>
      <w:r w:rsidR="0080406B">
        <w:rPr>
          <w:lang w:val="en-US"/>
        </w:rPr>
        <w:t>One way to do this is to count the number of books and editions published and examine the relationship between authors</w:t>
      </w:r>
      <w:r w:rsidR="00CC438A">
        <w:rPr>
          <w:lang w:val="en-US"/>
        </w:rPr>
        <w:t>,</w:t>
      </w:r>
      <w:r w:rsidR="0080406B">
        <w:rPr>
          <w:lang w:val="en-US"/>
        </w:rPr>
        <w:t xml:space="preserve"> publishers</w:t>
      </w:r>
      <w:r w:rsidR="00CC438A">
        <w:rPr>
          <w:lang w:val="en-US"/>
        </w:rPr>
        <w:t xml:space="preserve"> and readers</w:t>
      </w:r>
      <w:r w:rsidR="0080406B">
        <w:rPr>
          <w:lang w:val="en-US"/>
        </w:rPr>
        <w:t xml:space="preserve">.   </w:t>
      </w:r>
      <w:r w:rsidR="00F141C4" w:rsidRPr="00265D51">
        <w:rPr>
          <w:lang w:val="en-US"/>
        </w:rPr>
        <w:t xml:space="preserve">Erskine sent many of his speeches to newspapers and worked </w:t>
      </w:r>
      <w:r w:rsidR="00F141C4" w:rsidRPr="00265D51">
        <w:rPr>
          <w:lang w:val="en-US"/>
        </w:rPr>
        <w:lastRenderedPageBreak/>
        <w:t xml:space="preserve">with Whig bookseller </w:t>
      </w:r>
      <w:r w:rsidR="00C126B5">
        <w:rPr>
          <w:lang w:val="en-US"/>
        </w:rPr>
        <w:t>John</w:t>
      </w:r>
      <w:r w:rsidR="00F141C4" w:rsidRPr="00265D51">
        <w:rPr>
          <w:lang w:val="en-US"/>
        </w:rPr>
        <w:t xml:space="preserve"> Stockdale</w:t>
      </w:r>
      <w:r w:rsidR="00F141C4">
        <w:rPr>
          <w:lang w:val="en-US"/>
        </w:rPr>
        <w:t xml:space="preserve"> </w:t>
      </w:r>
      <w:r w:rsidR="0080406B">
        <w:rPr>
          <w:lang w:val="en-US"/>
        </w:rPr>
        <w:t xml:space="preserve">(among others) </w:t>
      </w:r>
      <w:r w:rsidR="00F141C4" w:rsidRPr="00265D51">
        <w:rPr>
          <w:lang w:val="en-US"/>
        </w:rPr>
        <w:t>to publish multiple editions of his work</w:t>
      </w:r>
      <w:r w:rsidR="00F141C4">
        <w:rPr>
          <w:lang w:val="en-US"/>
        </w:rPr>
        <w:t>s</w:t>
      </w:r>
      <w:r w:rsidR="0080406B">
        <w:rPr>
          <w:lang w:val="en-US"/>
        </w:rPr>
        <w:t>, serves as a useful case study</w:t>
      </w:r>
      <w:r w:rsidR="00F141C4" w:rsidRPr="00265D51">
        <w:rPr>
          <w:lang w:val="en-US"/>
        </w:rPr>
        <w:t>. Stockdale</w:t>
      </w:r>
      <w:r w:rsidR="00F141C4">
        <w:rPr>
          <w:lang w:val="en-US"/>
        </w:rPr>
        <w:t>’s</w:t>
      </w:r>
      <w:r w:rsidR="00F141C4" w:rsidRPr="00265D51">
        <w:rPr>
          <w:lang w:val="en-US"/>
        </w:rPr>
        <w:t xml:space="preserve"> transatlantic customers included John Adams and John Quincy Adams, Henry and John Laurens, Thomas Jefferson and </w:t>
      </w:r>
      <w:r w:rsidR="00F141C4">
        <w:rPr>
          <w:lang w:val="en-US"/>
        </w:rPr>
        <w:t xml:space="preserve">George </w:t>
      </w:r>
      <w:r w:rsidR="00F141C4" w:rsidRPr="00265D51">
        <w:rPr>
          <w:lang w:val="en-US"/>
        </w:rPr>
        <w:t>Washington</w:t>
      </w:r>
      <w:r w:rsidR="00CC438A">
        <w:rPr>
          <w:lang w:val="en-US"/>
        </w:rPr>
        <w:t>.  I</w:t>
      </w:r>
      <w:r w:rsidR="00C90245" w:rsidRPr="00C90245">
        <w:t>t has been argued that in early Virginia ‘law books and the legal profession were … equally inseparable from statecraft’; and that English lawyers and legal culture had an enduring influence even when state and federal laws were being reshaped.</w:t>
      </w:r>
      <w:r w:rsidR="00C90245">
        <w:t xml:space="preserve"> </w:t>
      </w:r>
      <w:r w:rsidR="00F141C4">
        <w:rPr>
          <w:lang w:val="en-US"/>
        </w:rPr>
        <w:t xml:space="preserve">Letters from the </w:t>
      </w:r>
      <w:r w:rsidR="00F141C4" w:rsidRPr="00F141C4">
        <w:rPr>
          <w:i/>
          <w:lang w:val="en-US"/>
        </w:rPr>
        <w:t>Founding Fathers online</w:t>
      </w:r>
      <w:r w:rsidR="00F141C4">
        <w:rPr>
          <w:lang w:val="en-US"/>
        </w:rPr>
        <w:t xml:space="preserve"> and library inventories show that copies of Erskine’s </w:t>
      </w:r>
      <w:proofErr w:type="spellStart"/>
      <w:r w:rsidR="00F141C4">
        <w:rPr>
          <w:lang w:val="en-US"/>
        </w:rPr>
        <w:t>defences</w:t>
      </w:r>
      <w:proofErr w:type="spellEnd"/>
      <w:r w:rsidR="00F141C4">
        <w:rPr>
          <w:lang w:val="en-US"/>
        </w:rPr>
        <w:t xml:space="preserve"> of Thomas Paine and other radicals in the 1790s, his writing on freedom of the press and the </w:t>
      </w:r>
      <w:r w:rsidR="00F141C4" w:rsidRPr="00CF72BC">
        <w:rPr>
          <w:i/>
          <w:lang w:val="en-US"/>
        </w:rPr>
        <w:t>Causes and Consequences of the Present War with France</w:t>
      </w:r>
      <w:r w:rsidR="00F141C4">
        <w:rPr>
          <w:lang w:val="en-US"/>
        </w:rPr>
        <w:t xml:space="preserve"> (1792) were collected and discussed by Washington, Jefferson, the Adams family and Alexander Hamilton among others. His </w:t>
      </w:r>
      <w:proofErr w:type="spellStart"/>
      <w:r w:rsidR="00F141C4">
        <w:rPr>
          <w:lang w:val="en-US"/>
        </w:rPr>
        <w:t>defence</w:t>
      </w:r>
      <w:proofErr w:type="spellEnd"/>
      <w:r w:rsidR="00F141C4">
        <w:rPr>
          <w:lang w:val="en-US"/>
        </w:rPr>
        <w:t xml:space="preserve"> of </w:t>
      </w:r>
      <w:r w:rsidR="00F141C4" w:rsidRPr="0080406B">
        <w:rPr>
          <w:i/>
          <w:lang w:val="en-US"/>
        </w:rPr>
        <w:t>The Rights of Man</w:t>
      </w:r>
      <w:r w:rsidR="00F141C4">
        <w:rPr>
          <w:lang w:val="en-US"/>
        </w:rPr>
        <w:t xml:space="preserve"> </w:t>
      </w:r>
      <w:r w:rsidR="00F141C4" w:rsidRPr="00F141C4">
        <w:t xml:space="preserve">and Paine’s letter to Erskine </w:t>
      </w:r>
      <w:r w:rsidR="0080406B">
        <w:t xml:space="preserve">for example, </w:t>
      </w:r>
      <w:r w:rsidR="00F141C4" w:rsidRPr="00F141C4">
        <w:t xml:space="preserve">were </w:t>
      </w:r>
      <w:r w:rsidR="00CB0404">
        <w:t>re</w:t>
      </w:r>
      <w:r w:rsidR="00F141C4" w:rsidRPr="00F141C4">
        <w:t>printed in Boston and New York</w:t>
      </w:r>
      <w:r w:rsidR="00CB0404">
        <w:t>.</w:t>
      </w:r>
      <w:r w:rsidR="00F141C4">
        <w:t xml:space="preserve"> </w:t>
      </w:r>
      <w:r w:rsidR="00CC438A" w:rsidRPr="00CC438A">
        <w:t>Erskine</w:t>
      </w:r>
      <w:r w:rsidR="00CC438A">
        <w:t xml:space="preserve"> also wrote</w:t>
      </w:r>
      <w:r w:rsidR="00CC438A" w:rsidRPr="00CC438A">
        <w:t xml:space="preserve"> poetry and </w:t>
      </w:r>
      <w:r w:rsidR="00CC438A">
        <w:t>a u</w:t>
      </w:r>
      <w:r w:rsidR="00CC438A" w:rsidRPr="00CC438A">
        <w:t xml:space="preserve">topian novel </w:t>
      </w:r>
      <w:r w:rsidR="00CC438A" w:rsidRPr="00CC438A">
        <w:rPr>
          <w:i/>
        </w:rPr>
        <w:t>Armata</w:t>
      </w:r>
      <w:r w:rsidR="00CC438A" w:rsidRPr="00CC438A">
        <w:t xml:space="preserve"> (London and New York, 1817) which, alongside</w:t>
      </w:r>
      <w:r w:rsidR="00CC438A">
        <w:t xml:space="preserve"> </w:t>
      </w:r>
      <w:r w:rsidR="00616C1A">
        <w:t>numerous</w:t>
      </w:r>
      <w:r w:rsidR="00CC438A" w:rsidRPr="00CC438A">
        <w:t xml:space="preserve"> literary allusions in his legal speeches, provide evidence of his </w:t>
      </w:r>
      <w:r w:rsidR="00F34CDD">
        <w:t xml:space="preserve">engagement with </w:t>
      </w:r>
      <w:r w:rsidR="00CC438A" w:rsidRPr="00CC438A">
        <w:t xml:space="preserve">literary </w:t>
      </w:r>
      <w:r w:rsidR="00F34CDD">
        <w:t>culture</w:t>
      </w:r>
      <w:r w:rsidR="00CC438A" w:rsidRPr="00CC438A">
        <w:t>.  Before 1830, such knowledge was admired as important ‘training’ for law and citizenship by leading American lawyers like John Marshall and John Adams.</w:t>
      </w:r>
      <w:r w:rsidR="00CC438A" w:rsidRPr="00CC438A">
        <w:rPr>
          <w:vertAlign w:val="superscript"/>
        </w:rPr>
        <w:endnoteReference w:id="5"/>
      </w:r>
    </w:p>
    <w:p w:rsidR="00CC438A" w:rsidRDefault="00CC438A" w:rsidP="00CC438A">
      <w:pPr>
        <w:jc w:val="both"/>
      </w:pPr>
      <w:r w:rsidRPr="00CC438A">
        <w:t xml:space="preserve">It was Erskine’s skill as an </w:t>
      </w:r>
      <w:r w:rsidR="00616C1A">
        <w:t>advocate</w:t>
      </w:r>
      <w:r w:rsidR="00433E47">
        <w:t>, however,</w:t>
      </w:r>
      <w:r w:rsidRPr="00CC438A">
        <w:t xml:space="preserve"> that lawyers and politicians admired most. Numerous </w:t>
      </w:r>
      <w:r w:rsidRPr="00CC438A">
        <w:rPr>
          <w:lang w:val="en-US"/>
        </w:rPr>
        <w:t>articles praising his oratory and character were published in American Periodicals.  Many American patriot lawyers (9 signed the Declaration of Independence) trained in Britain.  Erskine too, has been described as a ‘patriot’ lawyer who believed in the Roman ideal of disinterested public service for the good of his country rather than private profit;</w:t>
      </w:r>
      <w:r w:rsidRPr="00CC438A">
        <w:rPr>
          <w:vertAlign w:val="superscript"/>
          <w:lang w:val="en-US"/>
        </w:rPr>
        <w:endnoteReference w:id="6"/>
      </w:r>
      <w:r w:rsidRPr="00CC438A">
        <w:rPr>
          <w:lang w:val="en-US"/>
        </w:rPr>
        <w:t xml:space="preserve"> a view shared by many colonial lawyers, for whom law was a foundation for, and part of, their political life. Eighteenth- and Nineteenth-century writers compared the oratorical skills of the finest American lawyers (such as Adams) to Erskine.  </w:t>
      </w:r>
      <w:r w:rsidR="00616C1A">
        <w:rPr>
          <w:lang w:val="en-US"/>
        </w:rPr>
        <w:t>H</w:t>
      </w:r>
      <w:r w:rsidR="001C79D3">
        <w:rPr>
          <w:lang w:val="en-US"/>
        </w:rPr>
        <w:t>istorians have</w:t>
      </w:r>
      <w:r w:rsidR="00F34CDD">
        <w:rPr>
          <w:lang w:val="en-US"/>
        </w:rPr>
        <w:t xml:space="preserve"> also</w:t>
      </w:r>
      <w:r w:rsidR="001C79D3">
        <w:rPr>
          <w:lang w:val="en-US"/>
        </w:rPr>
        <w:t xml:space="preserve"> increasingly acknowledged the ways in which gender shaped ideals of political virtue and citizenship</w:t>
      </w:r>
      <w:r w:rsidR="00616C1A">
        <w:rPr>
          <w:lang w:val="en-US"/>
        </w:rPr>
        <w:t xml:space="preserve"> on both sides of the Atlantic. </w:t>
      </w:r>
      <w:r w:rsidR="0028346D">
        <w:rPr>
          <w:lang w:val="en-US"/>
        </w:rPr>
        <w:t xml:space="preserve">Although </w:t>
      </w:r>
      <w:r w:rsidR="00616C1A">
        <w:rPr>
          <w:lang w:val="en-US"/>
        </w:rPr>
        <w:t xml:space="preserve">McCormack has included Erskine’s political performance in his analysis of manly independence, </w:t>
      </w:r>
      <w:r w:rsidR="0028346D">
        <w:rPr>
          <w:lang w:val="en-US"/>
        </w:rPr>
        <w:t>gendered</w:t>
      </w:r>
      <w:r w:rsidR="00616C1A">
        <w:rPr>
          <w:lang w:val="en-US"/>
        </w:rPr>
        <w:t xml:space="preserve"> analysis of lawyers </w:t>
      </w:r>
      <w:r w:rsidR="0028346D">
        <w:rPr>
          <w:lang w:val="en-US"/>
        </w:rPr>
        <w:t>in court is lacking</w:t>
      </w:r>
      <w:r w:rsidR="001C79D3">
        <w:rPr>
          <w:lang w:val="en-US"/>
        </w:rPr>
        <w:t>.</w:t>
      </w:r>
      <w:r w:rsidR="00616C1A">
        <w:rPr>
          <w:rStyle w:val="EndnoteReference"/>
          <w:lang w:val="en-US"/>
        </w:rPr>
        <w:endnoteReference w:id="7"/>
      </w:r>
      <w:r>
        <w:rPr>
          <w:lang w:val="en-US"/>
        </w:rPr>
        <w:t xml:space="preserve"> </w:t>
      </w:r>
      <w:r w:rsidR="0028346D">
        <w:rPr>
          <w:lang w:val="en-US"/>
        </w:rPr>
        <w:t xml:space="preserve"> Despite criticism of his </w:t>
      </w:r>
      <w:r w:rsidR="007D0451">
        <w:rPr>
          <w:lang w:val="en-US"/>
        </w:rPr>
        <w:t>‘</w:t>
      </w:r>
      <w:r w:rsidR="0028346D">
        <w:rPr>
          <w:lang w:val="en-US"/>
        </w:rPr>
        <w:t>theatrical</w:t>
      </w:r>
      <w:r w:rsidR="007D0451">
        <w:rPr>
          <w:lang w:val="en-US"/>
        </w:rPr>
        <w:t>’</w:t>
      </w:r>
      <w:r w:rsidR="0028346D">
        <w:rPr>
          <w:lang w:val="en-US"/>
        </w:rPr>
        <w:t xml:space="preserve"> advocacy Erskine, and</w:t>
      </w:r>
      <w:r w:rsidR="00616C1A">
        <w:rPr>
          <w:lang w:val="en-US"/>
        </w:rPr>
        <w:t xml:space="preserve"> Adams</w:t>
      </w:r>
      <w:r w:rsidR="0028346D">
        <w:rPr>
          <w:lang w:val="en-US"/>
        </w:rPr>
        <w:t>,</w:t>
      </w:r>
      <w:r w:rsidR="00616C1A">
        <w:rPr>
          <w:lang w:val="en-US"/>
        </w:rPr>
        <w:t xml:space="preserve"> </w:t>
      </w:r>
      <w:r w:rsidR="00616C1A" w:rsidRPr="00616C1A">
        <w:rPr>
          <w:lang w:val="en-US"/>
        </w:rPr>
        <w:t xml:space="preserve">shared a belief in the ‘manliness’ and virtue of their best legal performances as patriot citizens. </w:t>
      </w:r>
      <w:r>
        <w:rPr>
          <w:lang w:val="en-US"/>
        </w:rPr>
        <w:t xml:space="preserve"> </w:t>
      </w:r>
      <w:r w:rsidR="002F191E">
        <w:rPr>
          <w:lang w:val="en-US"/>
        </w:rPr>
        <w:t>Adams viewed Erskine’s speeches as ‘Models of Eloquence’ and advised his son Charles to read all the trials in 1794.</w:t>
      </w:r>
      <w:r w:rsidR="002F191E">
        <w:rPr>
          <w:rStyle w:val="EndnoteReference"/>
          <w:lang w:val="en-US"/>
        </w:rPr>
        <w:endnoteReference w:id="8"/>
      </w:r>
      <w:r w:rsidR="002F191E">
        <w:rPr>
          <w:lang w:val="en-US"/>
        </w:rPr>
        <w:t xml:space="preserve"> </w:t>
      </w:r>
      <w:r w:rsidRPr="00CC438A">
        <w:t>Significantly, the question of whether we still need ‘great advocates’ like Erskine, and the debate over ‘form versus substance’, divides opinion in both countries today.</w:t>
      </w:r>
      <w:r w:rsidR="007A4C9C">
        <w:rPr>
          <w:rStyle w:val="EndnoteReference"/>
        </w:rPr>
        <w:endnoteReference w:id="9"/>
      </w:r>
      <w:r w:rsidRPr="00CC438A">
        <w:t xml:space="preserve"> </w:t>
      </w:r>
    </w:p>
    <w:p w:rsidR="005D74F4" w:rsidRDefault="005D74F4" w:rsidP="00CC438A">
      <w:pPr>
        <w:jc w:val="both"/>
      </w:pPr>
      <w:r>
        <w:t>The third aspect of my proposed research will focus on Erskine’s personal, family and financial connections in America</w:t>
      </w:r>
      <w:r w:rsidR="007D0451">
        <w:t>,</w:t>
      </w:r>
      <w:r>
        <w:t xml:space="preserve"> which demonstrate both the depth of his ‘</w:t>
      </w:r>
      <w:r w:rsidR="002F191E">
        <w:t>liberal’</w:t>
      </w:r>
      <w:r>
        <w:t xml:space="preserve"> ideals and facilitated the transmission of his legal and political views. </w:t>
      </w:r>
      <w:r w:rsidRPr="005D74F4">
        <w:t xml:space="preserve">Despite </w:t>
      </w:r>
      <w:r w:rsidR="002F191E">
        <w:t xml:space="preserve">broad </w:t>
      </w:r>
      <w:r w:rsidRPr="005D74F4">
        <w:t>Scottish support for war against the American colonies, there was strong opposition amongst the Presbyterian, legal and elite intellectual communities in Edinburgh amongst whom Erskine and his brothers grew up</w:t>
      </w:r>
      <w:r w:rsidR="00B21FAE">
        <w:t>.</w:t>
      </w:r>
      <w:r w:rsidRPr="005D74F4">
        <w:t xml:space="preserve">  Erskine and his older brother the 11</w:t>
      </w:r>
      <w:r w:rsidRPr="005D74F4">
        <w:rPr>
          <w:vertAlign w:val="superscript"/>
        </w:rPr>
        <w:t>th</w:t>
      </w:r>
      <w:r w:rsidRPr="005D74F4">
        <w:t xml:space="preserve"> Earl of Buchan </w:t>
      </w:r>
      <w:r w:rsidR="005F0051">
        <w:t xml:space="preserve">(who admired and corresponded with Franklin) both </w:t>
      </w:r>
      <w:r w:rsidRPr="005D74F4">
        <w:t>‘revered’ George Washington, whose Personal Secretary, Tobias Lear, stayed at Buchan’s Scottish seat in 1794.</w:t>
      </w:r>
      <w:r w:rsidRPr="005D74F4">
        <w:rPr>
          <w:vertAlign w:val="superscript"/>
        </w:rPr>
        <w:endnoteReference w:id="10"/>
      </w:r>
      <w:r w:rsidRPr="005D74F4">
        <w:t xml:space="preserve"> Yet both also maintained friendships with the British Royal family – Erskine with the Prince </w:t>
      </w:r>
      <w:r w:rsidR="00B5342D">
        <w:t>of Wales</w:t>
      </w:r>
      <w:r w:rsidRPr="005D74F4">
        <w:t xml:space="preserve"> and his brothers, Buchan with George III, his wife and daughters.</w:t>
      </w:r>
      <w:r w:rsidRPr="005D74F4">
        <w:rPr>
          <w:vertAlign w:val="superscript"/>
        </w:rPr>
        <w:endnoteReference w:id="11"/>
      </w:r>
      <w:r w:rsidRPr="005D74F4">
        <w:t xml:space="preserve">  Nevertheless, distrust of government ‘corruption’ and destruction of English liberties persuaded Erskine to invest a significant proportion of his accumulated earnings in American funds and, in 1798, to send his eldest son, David Montague Erskine, to manage his investments and learn about politics.  </w:t>
      </w:r>
      <w:bookmarkStart w:id="0" w:name="_Hlk501640342"/>
      <w:r w:rsidRPr="005D74F4">
        <w:t xml:space="preserve">Erskine </w:t>
      </w:r>
      <w:r w:rsidR="00F34CDD">
        <w:t>relied on</w:t>
      </w:r>
      <w:r w:rsidRPr="005D74F4">
        <w:t xml:space="preserve"> Washington, Jefferson and Phineas Bond, (a lawyer and British consul to the Middle States)</w:t>
      </w:r>
      <w:r w:rsidRPr="005D74F4">
        <w:rPr>
          <w:vertAlign w:val="superscript"/>
        </w:rPr>
        <w:endnoteReference w:id="12"/>
      </w:r>
      <w:r w:rsidRPr="005D74F4">
        <w:t xml:space="preserve"> to create influential connections for his son, who became British Ambassador there 1807-09. In England, Erskine was criticised in the ministerial press for supporting American diplomats including </w:t>
      </w:r>
      <w:bookmarkStart w:id="1" w:name="_GoBack"/>
      <w:r w:rsidRPr="005D74F4">
        <w:t>Thomas Pinckney and William Pinkney</w:t>
      </w:r>
      <w:bookmarkEnd w:id="1"/>
      <w:r w:rsidRPr="005D74F4">
        <w:t>.</w:t>
      </w:r>
      <w:bookmarkEnd w:id="0"/>
      <w:r w:rsidR="002D62C1">
        <w:t xml:space="preserve"> Much of Erskine’s (and Buchan’s) rare surviving correspondence therefore resides in American archives (including Harvard,</w:t>
      </w:r>
      <w:r w:rsidR="007277DE">
        <w:t xml:space="preserve"> New York, </w:t>
      </w:r>
      <w:r w:rsidR="002D62C1">
        <w:t>Philadelphia and Mount Vernon) and the Royal Archives at Windsor.</w:t>
      </w:r>
    </w:p>
    <w:p w:rsidR="00CB0404" w:rsidRDefault="007277DE" w:rsidP="007D0451">
      <w:pPr>
        <w:spacing w:after="0"/>
        <w:jc w:val="both"/>
        <w:rPr>
          <w:b/>
        </w:rPr>
      </w:pPr>
      <w:r>
        <w:rPr>
          <w:b/>
        </w:rPr>
        <w:t xml:space="preserve">Outputs and </w:t>
      </w:r>
      <w:r w:rsidR="00C44955">
        <w:rPr>
          <w:b/>
        </w:rPr>
        <w:t>Plan of Research</w:t>
      </w:r>
    </w:p>
    <w:p w:rsidR="00A0036B" w:rsidRDefault="003A6489" w:rsidP="007D0451">
      <w:pPr>
        <w:spacing w:after="0"/>
        <w:jc w:val="both"/>
        <w:rPr>
          <w:lang w:val="en-US"/>
        </w:rPr>
      </w:pPr>
      <w:r>
        <w:t xml:space="preserve">While I plan to have read and analysed many of Erskine’s key texts prior to travelling to Washington, </w:t>
      </w:r>
      <w:r>
        <w:rPr>
          <w:lang w:val="en-US"/>
        </w:rPr>
        <w:t>t</w:t>
      </w:r>
      <w:r w:rsidRPr="003A6489">
        <w:rPr>
          <w:lang w:val="en-US"/>
        </w:rPr>
        <w:t xml:space="preserve">he Library of Congress holds 52 </w:t>
      </w:r>
      <w:r w:rsidR="007277DE">
        <w:rPr>
          <w:lang w:val="en-US"/>
        </w:rPr>
        <w:t>books and pamphlets</w:t>
      </w:r>
      <w:r w:rsidRPr="003A6489">
        <w:rPr>
          <w:lang w:val="en-US"/>
        </w:rPr>
        <w:t xml:space="preserve"> written by, to</w:t>
      </w:r>
      <w:r w:rsidR="007277DE">
        <w:rPr>
          <w:lang w:val="en-US"/>
        </w:rPr>
        <w:t>,</w:t>
      </w:r>
      <w:r w:rsidRPr="003A6489">
        <w:rPr>
          <w:lang w:val="en-US"/>
        </w:rPr>
        <w:t xml:space="preserve"> or about Erskine between 1770 and 1830</w:t>
      </w:r>
      <w:r w:rsidR="007277DE">
        <w:rPr>
          <w:lang w:val="en-US"/>
        </w:rPr>
        <w:t>,</w:t>
      </w:r>
      <w:r>
        <w:rPr>
          <w:lang w:val="en-US"/>
        </w:rPr>
        <w:t xml:space="preserve"> including </w:t>
      </w:r>
      <w:r w:rsidR="00E9180E">
        <w:rPr>
          <w:lang w:val="en-US"/>
        </w:rPr>
        <w:t>copies</w:t>
      </w:r>
      <w:r>
        <w:rPr>
          <w:lang w:val="en-US"/>
        </w:rPr>
        <w:t xml:space="preserve"> </w:t>
      </w:r>
      <w:r w:rsidR="007277DE">
        <w:rPr>
          <w:lang w:val="en-US"/>
        </w:rPr>
        <w:t xml:space="preserve">previously </w:t>
      </w:r>
      <w:r>
        <w:rPr>
          <w:lang w:val="en-US"/>
        </w:rPr>
        <w:t xml:space="preserve">owned by Jefferson.  </w:t>
      </w:r>
      <w:r w:rsidR="00D66117">
        <w:rPr>
          <w:lang w:val="en-US"/>
        </w:rPr>
        <w:t xml:space="preserve">Erskine was criticized by the British Press for his support for </w:t>
      </w:r>
      <w:r w:rsidR="00D66130">
        <w:rPr>
          <w:lang w:val="en-US"/>
        </w:rPr>
        <w:t xml:space="preserve">At the Library, </w:t>
      </w:r>
      <w:r w:rsidR="007277DE">
        <w:rPr>
          <w:lang w:val="en-US"/>
        </w:rPr>
        <w:t>I</w:t>
      </w:r>
      <w:r>
        <w:rPr>
          <w:lang w:val="en-US"/>
        </w:rPr>
        <w:t xml:space="preserve"> will therefore focus on issues of most concern to his American readers such as: freedom of the press and the jury’s rights to decide law as well as fact in </w:t>
      </w:r>
      <w:r w:rsidR="0078609A">
        <w:rPr>
          <w:lang w:val="en-US"/>
        </w:rPr>
        <w:t xml:space="preserve">seditious </w:t>
      </w:r>
      <w:r>
        <w:rPr>
          <w:lang w:val="en-US"/>
        </w:rPr>
        <w:t>libel cases</w:t>
      </w:r>
      <w:r w:rsidR="005D54EC">
        <w:rPr>
          <w:lang w:val="en-US"/>
        </w:rPr>
        <w:t>,</w:t>
      </w:r>
      <w:r w:rsidR="0078609A">
        <w:rPr>
          <w:lang w:val="en-US"/>
        </w:rPr>
        <w:t xml:space="preserve"> </w:t>
      </w:r>
      <w:r>
        <w:rPr>
          <w:lang w:val="en-US"/>
        </w:rPr>
        <w:t>Erskine’s championing of liberty in the treason trials</w:t>
      </w:r>
      <w:r w:rsidR="005D54EC">
        <w:rPr>
          <w:lang w:val="en-US"/>
        </w:rPr>
        <w:t xml:space="preserve"> and his opposition to war with France</w:t>
      </w:r>
      <w:r>
        <w:rPr>
          <w:lang w:val="en-US"/>
        </w:rPr>
        <w:t xml:space="preserve">.  </w:t>
      </w:r>
      <w:r w:rsidR="007A1913">
        <w:rPr>
          <w:lang w:val="en-US"/>
        </w:rPr>
        <w:t xml:space="preserve"> </w:t>
      </w:r>
      <w:proofErr w:type="gramStart"/>
      <w:r w:rsidR="007A1913">
        <w:rPr>
          <w:lang w:val="en-US"/>
        </w:rPr>
        <w:t>A</w:t>
      </w:r>
      <w:r w:rsidR="00A676F5">
        <w:rPr>
          <w:lang w:val="en-US"/>
        </w:rPr>
        <w:t xml:space="preserve"> number of</w:t>
      </w:r>
      <w:proofErr w:type="gramEnd"/>
      <w:r w:rsidR="007277DE">
        <w:rPr>
          <w:lang w:val="en-US"/>
        </w:rPr>
        <w:t xml:space="preserve"> resources in the</w:t>
      </w:r>
      <w:r>
        <w:rPr>
          <w:lang w:val="en-US"/>
        </w:rPr>
        <w:t xml:space="preserve"> Law </w:t>
      </w:r>
      <w:r w:rsidR="007277DE">
        <w:rPr>
          <w:lang w:val="en-US"/>
        </w:rPr>
        <w:t>L</w:t>
      </w:r>
      <w:r>
        <w:rPr>
          <w:lang w:val="en-US"/>
        </w:rPr>
        <w:t xml:space="preserve">ibrary </w:t>
      </w:r>
      <w:r w:rsidR="00E20E77">
        <w:rPr>
          <w:lang w:val="en-US"/>
        </w:rPr>
        <w:t xml:space="preserve">will also provide me with greater historical context </w:t>
      </w:r>
      <w:r w:rsidR="007D0451">
        <w:rPr>
          <w:lang w:val="en-US"/>
        </w:rPr>
        <w:t xml:space="preserve">on, </w:t>
      </w:r>
      <w:r w:rsidR="00E20E77">
        <w:rPr>
          <w:lang w:val="en-US"/>
        </w:rPr>
        <w:t>for example</w:t>
      </w:r>
      <w:r w:rsidR="00A676F5">
        <w:rPr>
          <w:lang w:val="en-US"/>
        </w:rPr>
        <w:t>,</w:t>
      </w:r>
      <w:r w:rsidR="00E20E77">
        <w:rPr>
          <w:lang w:val="en-US"/>
        </w:rPr>
        <w:t xml:space="preserve"> debates about the laws of seditious libel, </w:t>
      </w:r>
      <w:r w:rsidR="007D0451">
        <w:rPr>
          <w:lang w:val="en-US"/>
        </w:rPr>
        <w:t>an issue with which</w:t>
      </w:r>
      <w:r w:rsidR="00E20E77">
        <w:rPr>
          <w:lang w:val="en-US"/>
        </w:rPr>
        <w:t xml:space="preserve"> </w:t>
      </w:r>
      <w:r w:rsidR="00CB0AD7">
        <w:rPr>
          <w:lang w:val="en-US"/>
        </w:rPr>
        <w:t xml:space="preserve">John </w:t>
      </w:r>
      <w:r w:rsidR="00E20E77">
        <w:rPr>
          <w:lang w:val="en-US"/>
        </w:rPr>
        <w:t xml:space="preserve">Adams was particularly concerned.  I </w:t>
      </w:r>
      <w:r w:rsidR="007277DE">
        <w:rPr>
          <w:lang w:val="en-US"/>
        </w:rPr>
        <w:t xml:space="preserve">would also benefit from access to the Library’s digital resources including </w:t>
      </w:r>
      <w:r w:rsidR="003C498E" w:rsidRPr="003C498E">
        <w:rPr>
          <w:i/>
          <w:lang w:val="en-US"/>
        </w:rPr>
        <w:t>Founders Online</w:t>
      </w:r>
      <w:r w:rsidR="003C498E">
        <w:rPr>
          <w:lang w:val="en-US"/>
        </w:rPr>
        <w:t xml:space="preserve">, which contains at least </w:t>
      </w:r>
      <w:r w:rsidR="00F141C4">
        <w:rPr>
          <w:lang w:val="en-US"/>
        </w:rPr>
        <w:t xml:space="preserve">182 references to Erskine </w:t>
      </w:r>
      <w:r w:rsidR="00E20E77">
        <w:rPr>
          <w:lang w:val="en-US"/>
        </w:rPr>
        <w:t>and</w:t>
      </w:r>
      <w:r w:rsidR="00F141C4">
        <w:rPr>
          <w:lang w:val="en-US"/>
        </w:rPr>
        <w:t xml:space="preserve"> Buchan </w:t>
      </w:r>
      <w:r w:rsidR="007D0451">
        <w:rPr>
          <w:lang w:val="en-US"/>
        </w:rPr>
        <w:t>that</w:t>
      </w:r>
      <w:r w:rsidR="003C498E">
        <w:rPr>
          <w:lang w:val="en-US"/>
        </w:rPr>
        <w:t xml:space="preserve"> I do not currently have full access to.</w:t>
      </w:r>
      <w:r w:rsidR="00E9180E">
        <w:rPr>
          <w:lang w:val="en-US"/>
        </w:rPr>
        <w:t xml:space="preserve"> </w:t>
      </w:r>
      <w:r w:rsidR="00D66130">
        <w:rPr>
          <w:lang w:val="en-US"/>
        </w:rPr>
        <w:t xml:space="preserve">Given Erskine’s verbal and symbolic association with Magna Carta, </w:t>
      </w:r>
      <w:r w:rsidR="00E9180E">
        <w:rPr>
          <w:lang w:val="en-US"/>
        </w:rPr>
        <w:t>I would also appreciate the opportunity to discuss Erskine’s contribution and relevance to modern debates about law and liberty</w:t>
      </w:r>
      <w:r w:rsidR="007D0451">
        <w:rPr>
          <w:lang w:val="en-US"/>
        </w:rPr>
        <w:t xml:space="preserve"> with other scholars.</w:t>
      </w:r>
      <w:r w:rsidR="00D66130">
        <w:rPr>
          <w:lang w:val="en-US"/>
        </w:rPr>
        <w:t xml:space="preserve"> </w:t>
      </w:r>
    </w:p>
    <w:p w:rsidR="007D0451" w:rsidRDefault="007D0451" w:rsidP="007D0451">
      <w:pPr>
        <w:spacing w:after="0"/>
        <w:jc w:val="both"/>
        <w:rPr>
          <w:lang w:val="en-US"/>
        </w:rPr>
      </w:pPr>
    </w:p>
    <w:p w:rsidR="00E20E77" w:rsidRDefault="006C5F8D" w:rsidP="00EE68AB">
      <w:pPr>
        <w:jc w:val="both"/>
        <w:rPr>
          <w:lang w:val="en-US"/>
        </w:rPr>
      </w:pPr>
      <w:r>
        <w:rPr>
          <w:lang w:val="en-US"/>
        </w:rPr>
        <w:t xml:space="preserve">I have already spent </w:t>
      </w:r>
      <w:r w:rsidR="007277DE">
        <w:rPr>
          <w:lang w:val="en-US"/>
        </w:rPr>
        <w:t>two</w:t>
      </w:r>
      <w:r>
        <w:rPr>
          <w:lang w:val="en-US"/>
        </w:rPr>
        <w:t xml:space="preserve"> </w:t>
      </w:r>
      <w:r w:rsidR="003C498E">
        <w:rPr>
          <w:lang w:val="en-US"/>
        </w:rPr>
        <w:t xml:space="preserve">very fruitful </w:t>
      </w:r>
      <w:r>
        <w:rPr>
          <w:lang w:val="en-US"/>
        </w:rPr>
        <w:t xml:space="preserve">days in the </w:t>
      </w:r>
      <w:r w:rsidR="00E20E77">
        <w:rPr>
          <w:lang w:val="en-US"/>
        </w:rPr>
        <w:t>Royal Archives</w:t>
      </w:r>
      <w:r>
        <w:rPr>
          <w:lang w:val="en-US"/>
        </w:rPr>
        <w:t xml:space="preserve"> at Windsor which </w:t>
      </w:r>
      <w:r w:rsidR="00B93825">
        <w:rPr>
          <w:lang w:val="en-US"/>
        </w:rPr>
        <w:t>holds 34 catalogued manuscript letters written by Erskine and Buchan</w:t>
      </w:r>
      <w:r w:rsidR="003C498E">
        <w:rPr>
          <w:lang w:val="en-US"/>
        </w:rPr>
        <w:t>, but I need longer access</w:t>
      </w:r>
      <w:r w:rsidR="007277DE">
        <w:rPr>
          <w:lang w:val="en-US"/>
        </w:rPr>
        <w:t xml:space="preserve">. </w:t>
      </w:r>
      <w:r w:rsidR="003C498E">
        <w:rPr>
          <w:lang w:val="en-US"/>
        </w:rPr>
        <w:t>T</w:t>
      </w:r>
      <w:r w:rsidR="00B93825">
        <w:rPr>
          <w:lang w:val="en-US"/>
        </w:rPr>
        <w:t>he Georgian Papers Programme is constantly uncovering new material relating to George III’s view of American independence</w:t>
      </w:r>
      <w:r w:rsidR="00580A26">
        <w:rPr>
          <w:lang w:val="en-US"/>
        </w:rPr>
        <w:t>.</w:t>
      </w:r>
      <w:r w:rsidR="00B93825">
        <w:rPr>
          <w:lang w:val="en-US"/>
        </w:rPr>
        <w:t xml:space="preserve"> </w:t>
      </w:r>
      <w:r w:rsidR="00580A26">
        <w:rPr>
          <w:lang w:val="en-US"/>
        </w:rPr>
        <w:t>I hope to find more</w:t>
      </w:r>
      <w:r w:rsidR="00CB0AD7">
        <w:rPr>
          <w:lang w:val="en-US"/>
        </w:rPr>
        <w:t xml:space="preserve"> references to Erskine’s opposition to the war and support for radical reform</w:t>
      </w:r>
      <w:r w:rsidR="003C498E">
        <w:rPr>
          <w:lang w:val="en-US"/>
        </w:rPr>
        <w:t>, as well as his official Royal legal duties and roles</w:t>
      </w:r>
      <w:r w:rsidR="00B93825">
        <w:rPr>
          <w:lang w:val="en-US"/>
        </w:rPr>
        <w:t xml:space="preserve">, the treason trials and </w:t>
      </w:r>
      <w:r w:rsidR="003C498E">
        <w:rPr>
          <w:lang w:val="en-US"/>
        </w:rPr>
        <w:t xml:space="preserve">both </w:t>
      </w:r>
      <w:r w:rsidR="00B93825">
        <w:rPr>
          <w:lang w:val="en-US"/>
        </w:rPr>
        <w:t xml:space="preserve">his </w:t>
      </w:r>
      <w:proofErr w:type="spellStart"/>
      <w:r w:rsidR="00B93825">
        <w:rPr>
          <w:lang w:val="en-US"/>
        </w:rPr>
        <w:t>defence</w:t>
      </w:r>
      <w:proofErr w:type="spellEnd"/>
      <w:r w:rsidR="00B93825">
        <w:rPr>
          <w:lang w:val="en-US"/>
        </w:rPr>
        <w:t xml:space="preserve"> </w:t>
      </w:r>
      <w:r w:rsidR="003C498E">
        <w:rPr>
          <w:lang w:val="en-US"/>
        </w:rPr>
        <w:t>and later prosecution of Paine’s work</w:t>
      </w:r>
      <w:r w:rsidR="00B93825">
        <w:rPr>
          <w:lang w:val="en-US"/>
        </w:rPr>
        <w:t>.</w:t>
      </w:r>
      <w:r w:rsidR="00CB0AD7">
        <w:rPr>
          <w:lang w:val="en-US"/>
        </w:rPr>
        <w:t xml:space="preserve">  As a member of the Kings Friends, I would particularly welcome the opportunity to present my research at seminars and engage with </w:t>
      </w:r>
      <w:r w:rsidR="00671103">
        <w:rPr>
          <w:lang w:val="en-US"/>
        </w:rPr>
        <w:t>other</w:t>
      </w:r>
      <w:r w:rsidR="00CB0AD7">
        <w:rPr>
          <w:lang w:val="en-US"/>
        </w:rPr>
        <w:t xml:space="preserve"> British and American scholars whose research interests in America</w:t>
      </w:r>
      <w:r w:rsidR="003C498E">
        <w:rPr>
          <w:lang w:val="en-US"/>
        </w:rPr>
        <w:t xml:space="preserve"> and</w:t>
      </w:r>
      <w:r w:rsidR="00CB0AD7">
        <w:rPr>
          <w:lang w:val="en-US"/>
        </w:rPr>
        <w:t xml:space="preserve"> law could </w:t>
      </w:r>
      <w:r w:rsidR="00A0036B">
        <w:rPr>
          <w:lang w:val="en-US"/>
        </w:rPr>
        <w:t xml:space="preserve">offer new </w:t>
      </w:r>
      <w:r w:rsidR="00EF3BFE">
        <w:rPr>
          <w:lang w:val="en-US"/>
        </w:rPr>
        <w:t xml:space="preserve">insights or </w:t>
      </w:r>
      <w:r w:rsidR="00A0036B">
        <w:rPr>
          <w:lang w:val="en-US"/>
        </w:rPr>
        <w:t xml:space="preserve">perspectives for my </w:t>
      </w:r>
      <w:r w:rsidR="00EF3BFE">
        <w:rPr>
          <w:lang w:val="en-US"/>
        </w:rPr>
        <w:t>work</w:t>
      </w:r>
      <w:r w:rsidR="00A0036B">
        <w:rPr>
          <w:lang w:val="en-US"/>
        </w:rPr>
        <w:t>.</w:t>
      </w:r>
    </w:p>
    <w:p w:rsidR="00A0036B" w:rsidRDefault="00CB0AD7" w:rsidP="00A0036B">
      <w:pPr>
        <w:jc w:val="both"/>
      </w:pPr>
      <w:r>
        <w:rPr>
          <w:lang w:val="en-US"/>
        </w:rPr>
        <w:t xml:space="preserve">I am </w:t>
      </w:r>
      <w:r w:rsidR="00A0036B">
        <w:rPr>
          <w:lang w:val="en-US"/>
        </w:rPr>
        <w:t xml:space="preserve">seeking funding because I am </w:t>
      </w:r>
      <w:r>
        <w:rPr>
          <w:lang w:val="en-US"/>
        </w:rPr>
        <w:t xml:space="preserve">currently employed on a teaching only contract </w:t>
      </w:r>
      <w:r w:rsidR="00A0036B">
        <w:rPr>
          <w:lang w:val="en-US"/>
        </w:rPr>
        <w:t>that does not allow time for</w:t>
      </w:r>
      <w:r w:rsidR="007D0451">
        <w:rPr>
          <w:lang w:val="en-US"/>
        </w:rPr>
        <w:t xml:space="preserve"> the</w:t>
      </w:r>
      <w:r w:rsidR="00A0036B">
        <w:rPr>
          <w:lang w:val="en-US"/>
        </w:rPr>
        <w:t xml:space="preserve"> research or writing </w:t>
      </w:r>
      <w:r w:rsidR="003C498E">
        <w:rPr>
          <w:lang w:val="en-US"/>
        </w:rPr>
        <w:t>that</w:t>
      </w:r>
      <w:r w:rsidR="00A0036B">
        <w:rPr>
          <w:lang w:val="en-US"/>
        </w:rPr>
        <w:t xml:space="preserve"> I </w:t>
      </w:r>
      <w:r w:rsidR="003C498E">
        <w:rPr>
          <w:lang w:val="en-US"/>
        </w:rPr>
        <w:t>need</w:t>
      </w:r>
      <w:r w:rsidR="00A0036B">
        <w:rPr>
          <w:lang w:val="en-US"/>
        </w:rPr>
        <w:t xml:space="preserve"> to pursue in </w:t>
      </w:r>
      <w:r w:rsidR="003C498E">
        <w:rPr>
          <w:lang w:val="en-US"/>
        </w:rPr>
        <w:t xml:space="preserve">both </w:t>
      </w:r>
      <w:r w:rsidR="00A0036B">
        <w:rPr>
          <w:lang w:val="en-US"/>
        </w:rPr>
        <w:t xml:space="preserve">American </w:t>
      </w:r>
      <w:r w:rsidR="003C498E">
        <w:rPr>
          <w:lang w:val="en-US"/>
        </w:rPr>
        <w:t>and</w:t>
      </w:r>
      <w:r w:rsidR="00A0036B">
        <w:rPr>
          <w:lang w:val="en-US"/>
        </w:rPr>
        <w:t xml:space="preserve"> British archives.  </w:t>
      </w:r>
      <w:r w:rsidR="00B93825">
        <w:rPr>
          <w:lang w:val="en-US"/>
        </w:rPr>
        <w:t>The main output will be a substantial academic article</w:t>
      </w:r>
      <w:r>
        <w:rPr>
          <w:lang w:val="en-US"/>
        </w:rPr>
        <w:t xml:space="preserve"> for publication</w:t>
      </w:r>
      <w:r w:rsidR="00A0036B">
        <w:rPr>
          <w:lang w:val="en-US"/>
        </w:rPr>
        <w:t xml:space="preserve"> in an international journal, </w:t>
      </w:r>
      <w:r>
        <w:t xml:space="preserve">but this </w:t>
      </w:r>
      <w:r w:rsidRPr="00CB0AD7">
        <w:rPr>
          <w:lang w:val="en-US"/>
        </w:rPr>
        <w:t xml:space="preserve">material will also be included in </w:t>
      </w:r>
      <w:r>
        <w:rPr>
          <w:lang w:val="en-US"/>
        </w:rPr>
        <w:t xml:space="preserve">a </w:t>
      </w:r>
      <w:r w:rsidRPr="00CB0AD7">
        <w:rPr>
          <w:lang w:val="en-US"/>
        </w:rPr>
        <w:t xml:space="preserve">book which, like my previous publication </w:t>
      </w:r>
      <w:r w:rsidR="007277DE">
        <w:rPr>
          <w:lang w:val="en-US"/>
        </w:rPr>
        <w:t>(</w:t>
      </w:r>
      <w:r w:rsidRPr="00CB0AD7">
        <w:rPr>
          <w:i/>
          <w:lang w:val="en-US"/>
        </w:rPr>
        <w:t>The Profligate Son</w:t>
      </w:r>
      <w:r w:rsidR="007277DE">
        <w:rPr>
          <w:lang w:val="en-US"/>
        </w:rPr>
        <w:t xml:space="preserve">, </w:t>
      </w:r>
      <w:r w:rsidRPr="00CB0AD7">
        <w:rPr>
          <w:lang w:val="en-US"/>
        </w:rPr>
        <w:t xml:space="preserve">OUP, Oxford &amp; Basic Books, New York, 2013), I aim to publish in both America and Britain.  </w:t>
      </w:r>
      <w:r w:rsidR="00A0036B">
        <w:rPr>
          <w:lang w:val="en-US"/>
        </w:rPr>
        <w:t xml:space="preserve">This clearly defined project will provide an important new </w:t>
      </w:r>
      <w:r w:rsidR="003C498E">
        <w:rPr>
          <w:lang w:val="en-US"/>
        </w:rPr>
        <w:t>addition</w:t>
      </w:r>
      <w:r w:rsidR="00A0036B">
        <w:rPr>
          <w:lang w:val="en-US"/>
        </w:rPr>
        <w:t xml:space="preserve"> to historical knowledge of Erskine’s life and career</w:t>
      </w:r>
      <w:r w:rsidR="003C498E">
        <w:rPr>
          <w:lang w:val="en-US"/>
        </w:rPr>
        <w:t xml:space="preserve"> as a barrister and politician</w:t>
      </w:r>
      <w:r w:rsidR="00A0036B">
        <w:rPr>
          <w:lang w:val="en-US"/>
        </w:rPr>
        <w:t xml:space="preserve">; </w:t>
      </w:r>
      <w:r w:rsidR="00A0036B">
        <w:t>it</w:t>
      </w:r>
      <w:r w:rsidR="00A0036B" w:rsidRPr="00A0036B">
        <w:t xml:space="preserve"> will examine the significance of </w:t>
      </w:r>
      <w:r w:rsidR="003C498E">
        <w:t>his</w:t>
      </w:r>
      <w:r w:rsidR="00A0036B" w:rsidRPr="00A0036B">
        <w:t xml:space="preserve"> political, family and financial relationships with America; assess his impact via a transatlantic public sphere of legal literature; and analyse the appeal of his dramatic oratory across both countries. I</w:t>
      </w:r>
      <w:r w:rsidR="00580A26">
        <w:t>n broader terms, i</w:t>
      </w:r>
      <w:r w:rsidR="00A0036B" w:rsidRPr="00A0036B">
        <w:t xml:space="preserve">t will shed important new light on transatlantic legal culture and political liberalism in the profession, and on the effectiveness of both rhetorical style and factual content in early </w:t>
      </w:r>
      <w:r w:rsidR="003C498E">
        <w:t xml:space="preserve">Anglo-American </w:t>
      </w:r>
      <w:r w:rsidR="00A0036B" w:rsidRPr="00A0036B">
        <w:t xml:space="preserve">adversarial trials. </w:t>
      </w:r>
    </w:p>
    <w:sectPr w:rsidR="00A0036B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50" w:rsidRDefault="00F64B50" w:rsidP="00EE68AB">
      <w:pPr>
        <w:spacing w:after="0" w:line="240" w:lineRule="auto"/>
      </w:pPr>
      <w:r>
        <w:separator/>
      </w:r>
    </w:p>
  </w:endnote>
  <w:endnote w:type="continuationSeparator" w:id="0">
    <w:p w:rsidR="00F64B50" w:rsidRDefault="00F64B50" w:rsidP="00EE68AB">
      <w:pPr>
        <w:spacing w:after="0" w:line="240" w:lineRule="auto"/>
      </w:pPr>
      <w:r>
        <w:continuationSeparator/>
      </w:r>
    </w:p>
  </w:endnote>
  <w:endnote w:id="1">
    <w:p w:rsidR="00B5342D" w:rsidRDefault="00B5342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Pue</w:t>
      </w:r>
      <w:proofErr w:type="spellEnd"/>
      <w:r>
        <w:t xml:space="preserve"> (1997).</w:t>
      </w:r>
    </w:p>
  </w:endnote>
  <w:endnote w:id="2">
    <w:p w:rsidR="0013109F" w:rsidRDefault="0013109F">
      <w:pPr>
        <w:pStyle w:val="EndnoteText"/>
      </w:pPr>
      <w:r>
        <w:rPr>
          <w:rStyle w:val="EndnoteReference"/>
        </w:rPr>
        <w:endnoteRef/>
      </w:r>
      <w:r>
        <w:t xml:space="preserve"> Lovat</w:t>
      </w:r>
      <w:r w:rsidR="0028346D">
        <w:t xml:space="preserve"> (1932);</w:t>
      </w:r>
      <w:r>
        <w:t xml:space="preserve"> Stryker</w:t>
      </w:r>
      <w:r w:rsidR="0028346D">
        <w:t xml:space="preserve"> (1947); Hostettler (2010).</w:t>
      </w:r>
    </w:p>
  </w:endnote>
  <w:endnote w:id="3">
    <w:p w:rsidR="0013109F" w:rsidRDefault="001310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B0404">
        <w:t>Lemmings (200</w:t>
      </w:r>
      <w:r w:rsidR="00616C1A">
        <w:t>0</w:t>
      </w:r>
      <w:r w:rsidR="00CB0404">
        <w:t xml:space="preserve">), </w:t>
      </w:r>
      <w:proofErr w:type="spellStart"/>
      <w:r>
        <w:t>Pue</w:t>
      </w:r>
      <w:proofErr w:type="spellEnd"/>
      <w:r w:rsidR="00CB0404">
        <w:t xml:space="preserve"> (1997 &amp; 2016)</w:t>
      </w:r>
      <w:r>
        <w:t>, Ford</w:t>
      </w:r>
      <w:r w:rsidR="00CB0404">
        <w:t xml:space="preserve"> (2010)</w:t>
      </w:r>
      <w:r w:rsidR="0028346D">
        <w:t>.</w:t>
      </w:r>
    </w:p>
  </w:endnote>
  <w:endnote w:id="4">
    <w:p w:rsidR="0013109F" w:rsidRDefault="0013109F">
      <w:pPr>
        <w:pStyle w:val="EndnoteText"/>
      </w:pPr>
      <w:r>
        <w:rPr>
          <w:rStyle w:val="EndnoteReference"/>
        </w:rPr>
        <w:endnoteRef/>
      </w:r>
      <w:r>
        <w:t xml:space="preserve"> Halperin</w:t>
      </w:r>
      <w:r w:rsidR="00CB0404">
        <w:t xml:space="preserve"> (2016)</w:t>
      </w:r>
      <w:r w:rsidR="0028346D">
        <w:t>.</w:t>
      </w:r>
    </w:p>
  </w:endnote>
  <w:endnote w:id="5">
    <w:p w:rsidR="00CC438A" w:rsidRDefault="00CC438A" w:rsidP="00CC43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16C1A">
        <w:t>LaCroix, (</w:t>
      </w:r>
      <w:r>
        <w:rPr>
          <w:iCs/>
          <w:lang w:val="en-US"/>
        </w:rPr>
        <w:t>2012)</w:t>
      </w:r>
      <w:r w:rsidR="0028346D">
        <w:rPr>
          <w:iCs/>
          <w:lang w:val="en-US"/>
        </w:rPr>
        <w:t>; O’Donnell</w:t>
      </w:r>
      <w:r w:rsidR="007A4C9C">
        <w:rPr>
          <w:iCs/>
          <w:lang w:val="en-US"/>
        </w:rPr>
        <w:t xml:space="preserve"> Kaplan (2012)</w:t>
      </w:r>
      <w:r>
        <w:rPr>
          <w:iCs/>
          <w:lang w:val="en-US"/>
        </w:rPr>
        <w:t>.</w:t>
      </w:r>
    </w:p>
  </w:endnote>
  <w:endnote w:id="6">
    <w:p w:rsidR="00CC438A" w:rsidRDefault="00CC438A" w:rsidP="00CC43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C1922">
        <w:t xml:space="preserve">Lemmings, </w:t>
      </w:r>
      <w:r w:rsidR="00616C1A">
        <w:t>(</w:t>
      </w:r>
      <w:r w:rsidRPr="007C1922">
        <w:t>2000), p. 307.</w:t>
      </w:r>
    </w:p>
  </w:endnote>
  <w:endnote w:id="7">
    <w:p w:rsidR="00616C1A" w:rsidRDefault="00616C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A4C9C">
        <w:t>Russell (2006); Wills (1984)</w:t>
      </w:r>
      <w:r w:rsidR="0028346D">
        <w:t>;</w:t>
      </w:r>
      <w:r w:rsidR="007A4C9C">
        <w:t xml:space="preserve"> McCormack (2005)</w:t>
      </w:r>
      <w:r w:rsidR="0028346D">
        <w:t>.</w:t>
      </w:r>
    </w:p>
  </w:endnote>
  <w:endnote w:id="8">
    <w:p w:rsidR="002F191E" w:rsidRPr="005F0051" w:rsidRDefault="002F191E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John Adams to Charles Adams, 16 December 1794.</w:t>
      </w:r>
      <w:r w:rsidR="005F0051">
        <w:t xml:space="preserve"> </w:t>
      </w:r>
      <w:r w:rsidR="005F0051">
        <w:rPr>
          <w:i/>
        </w:rPr>
        <w:t>Founders.Archives.gov</w:t>
      </w:r>
    </w:p>
  </w:endnote>
  <w:endnote w:id="9">
    <w:p w:rsidR="007A4C9C" w:rsidRDefault="007A4C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A4C9C">
        <w:t xml:space="preserve">Bindman (2015); Crawford and </w:t>
      </w:r>
      <w:r w:rsidR="0028346D">
        <w:t>Morris (</w:t>
      </w:r>
      <w:r w:rsidRPr="007A4C9C">
        <w:t>2011)</w:t>
      </w:r>
      <w:r w:rsidR="0028346D">
        <w:t>,</w:t>
      </w:r>
      <w:r w:rsidRPr="007A4C9C">
        <w:t xml:space="preserve"> pp. 29-36</w:t>
      </w:r>
      <w:r w:rsidR="0028346D">
        <w:t>.</w:t>
      </w:r>
    </w:p>
  </w:endnote>
  <w:endnote w:id="10">
    <w:p w:rsidR="005D74F4" w:rsidRDefault="005D74F4" w:rsidP="005D74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44955">
        <w:t xml:space="preserve">To Benjamin Franklin from the Earl of Buchan, 18 February 1783; </w:t>
      </w:r>
      <w:r>
        <w:t xml:space="preserve">To George Washington from Thomas Erskine, 15 March 1797, </w:t>
      </w:r>
      <w:r w:rsidR="005F0051">
        <w:rPr>
          <w:i/>
        </w:rPr>
        <w:t>Founders.Archives.gov</w:t>
      </w:r>
      <w:r>
        <w:t xml:space="preserve"> </w:t>
      </w:r>
    </w:p>
  </w:endnote>
  <w:endnote w:id="11">
    <w:p w:rsidR="005D74F4" w:rsidRDefault="005D74F4" w:rsidP="005D74F4">
      <w:pPr>
        <w:pStyle w:val="EndnoteText"/>
      </w:pPr>
      <w:r>
        <w:rPr>
          <w:rStyle w:val="EndnoteReference"/>
        </w:rPr>
        <w:endnoteRef/>
      </w:r>
      <w:r>
        <w:t xml:space="preserve"> Royal Archives, Windsor Castle, GEO MAIN collection, letters to and from Erskine and Buchan.</w:t>
      </w:r>
    </w:p>
  </w:endnote>
  <w:endnote w:id="12">
    <w:p w:rsidR="005D74F4" w:rsidRDefault="005D74F4" w:rsidP="005D74F4">
      <w:pPr>
        <w:pStyle w:val="EndnoteText"/>
      </w:pPr>
      <w:r>
        <w:rPr>
          <w:rStyle w:val="EndnoteReference"/>
        </w:rPr>
        <w:endnoteRef/>
      </w:r>
      <w:r>
        <w:t xml:space="preserve"> Loewe Neel (1968).</w:t>
      </w:r>
    </w:p>
    <w:p w:rsidR="0019357B" w:rsidRDefault="0019357B" w:rsidP="005D74F4">
      <w:pPr>
        <w:pStyle w:val="EndnoteText"/>
      </w:pPr>
    </w:p>
    <w:p w:rsidR="0078609A" w:rsidRDefault="0078609A" w:rsidP="005D74F4">
      <w:pPr>
        <w:pStyle w:val="EndnoteText"/>
      </w:pPr>
    </w:p>
    <w:p w:rsidR="00C55AC9" w:rsidRPr="00C55AC9" w:rsidRDefault="00C55AC9" w:rsidP="00A26FF2">
      <w:pPr>
        <w:pStyle w:val="EndnoteText"/>
      </w:pPr>
    </w:p>
    <w:p w:rsidR="00C55AC9" w:rsidRPr="00C55AC9" w:rsidRDefault="00C55AC9" w:rsidP="005D74F4">
      <w:pPr>
        <w:pStyle w:val="EndnoteTex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50" w:rsidRDefault="00F64B50" w:rsidP="00EE68AB">
      <w:pPr>
        <w:spacing w:after="0" w:line="240" w:lineRule="auto"/>
      </w:pPr>
      <w:r>
        <w:separator/>
      </w:r>
    </w:p>
  </w:footnote>
  <w:footnote w:type="continuationSeparator" w:id="0">
    <w:p w:rsidR="00F64B50" w:rsidRDefault="00F64B50" w:rsidP="00EE6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AB"/>
    <w:rsid w:val="00080A17"/>
    <w:rsid w:val="00082620"/>
    <w:rsid w:val="000C78D7"/>
    <w:rsid w:val="0013109F"/>
    <w:rsid w:val="0017153C"/>
    <w:rsid w:val="00186829"/>
    <w:rsid w:val="0019357B"/>
    <w:rsid w:val="001A66B7"/>
    <w:rsid w:val="001C79D3"/>
    <w:rsid w:val="0028346D"/>
    <w:rsid w:val="002D62C1"/>
    <w:rsid w:val="002D773A"/>
    <w:rsid w:val="002F191E"/>
    <w:rsid w:val="00352FB2"/>
    <w:rsid w:val="003A6489"/>
    <w:rsid w:val="003C498E"/>
    <w:rsid w:val="00433E47"/>
    <w:rsid w:val="00440547"/>
    <w:rsid w:val="00507C85"/>
    <w:rsid w:val="00580A26"/>
    <w:rsid w:val="005D54EC"/>
    <w:rsid w:val="005D74F4"/>
    <w:rsid w:val="005F0051"/>
    <w:rsid w:val="00601DB1"/>
    <w:rsid w:val="00616C1A"/>
    <w:rsid w:val="00671103"/>
    <w:rsid w:val="00694E8F"/>
    <w:rsid w:val="006C5F8D"/>
    <w:rsid w:val="007277DE"/>
    <w:rsid w:val="0078609A"/>
    <w:rsid w:val="007970C6"/>
    <w:rsid w:val="007A1913"/>
    <w:rsid w:val="007A4C9C"/>
    <w:rsid w:val="007D0451"/>
    <w:rsid w:val="0080406B"/>
    <w:rsid w:val="00856ED3"/>
    <w:rsid w:val="008E3709"/>
    <w:rsid w:val="00976C3C"/>
    <w:rsid w:val="00A0036B"/>
    <w:rsid w:val="00A26FF2"/>
    <w:rsid w:val="00A620B2"/>
    <w:rsid w:val="00A62E04"/>
    <w:rsid w:val="00A676F5"/>
    <w:rsid w:val="00AA73AF"/>
    <w:rsid w:val="00AF3CCA"/>
    <w:rsid w:val="00B21FAE"/>
    <w:rsid w:val="00B5342D"/>
    <w:rsid w:val="00B93825"/>
    <w:rsid w:val="00BA4F88"/>
    <w:rsid w:val="00C126B5"/>
    <w:rsid w:val="00C44955"/>
    <w:rsid w:val="00C55AC9"/>
    <w:rsid w:val="00C90245"/>
    <w:rsid w:val="00CB0404"/>
    <w:rsid w:val="00CB0AD7"/>
    <w:rsid w:val="00CC3155"/>
    <w:rsid w:val="00CC438A"/>
    <w:rsid w:val="00D14C87"/>
    <w:rsid w:val="00D5274D"/>
    <w:rsid w:val="00D542F1"/>
    <w:rsid w:val="00D65C5D"/>
    <w:rsid w:val="00D66117"/>
    <w:rsid w:val="00D66130"/>
    <w:rsid w:val="00E20E77"/>
    <w:rsid w:val="00E53790"/>
    <w:rsid w:val="00E9180E"/>
    <w:rsid w:val="00EE68AB"/>
    <w:rsid w:val="00EF3BFE"/>
    <w:rsid w:val="00F039E4"/>
    <w:rsid w:val="00F141C4"/>
    <w:rsid w:val="00F34CDD"/>
    <w:rsid w:val="00F46B40"/>
    <w:rsid w:val="00F64B50"/>
    <w:rsid w:val="00FA52D1"/>
    <w:rsid w:val="00FC6709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5CE3"/>
  <w15:chartTrackingRefBased/>
  <w15:docId w15:val="{FFE8FD77-5AB5-48D5-AC94-C150E7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8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E68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68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E68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4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4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E09-DC7A-4D59-8C93-944678C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2018-02-07T18:24:00Z</cp:lastPrinted>
  <dcterms:created xsi:type="dcterms:W3CDTF">2018-02-06T09:23:00Z</dcterms:created>
  <dcterms:modified xsi:type="dcterms:W3CDTF">2018-02-12T22:18:00Z</dcterms:modified>
</cp:coreProperties>
</file>