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ABF59" w14:textId="3E5C5D6B" w:rsidR="00DA692C" w:rsidRDefault="00076098" w:rsidP="00C12A95">
      <w:pPr>
        <w:jc w:val="center"/>
        <w:rPr>
          <w:b/>
        </w:rPr>
      </w:pPr>
      <w:r>
        <w:rPr>
          <w:b/>
        </w:rPr>
        <w:tab/>
      </w:r>
      <w:r>
        <w:rPr>
          <w:b/>
        </w:rPr>
        <w:tab/>
      </w:r>
      <w:r>
        <w:rPr>
          <w:b/>
        </w:rPr>
        <w:tab/>
      </w:r>
      <w:r>
        <w:rPr>
          <w:b/>
        </w:rPr>
        <w:tab/>
      </w:r>
      <w:r>
        <w:rPr>
          <w:b/>
        </w:rPr>
        <w:tab/>
      </w:r>
      <w:r>
        <w:rPr>
          <w:b/>
        </w:rPr>
        <w:tab/>
      </w:r>
    </w:p>
    <w:p w14:paraId="27AB81B7" w14:textId="77777777" w:rsidR="00DA692C" w:rsidRDefault="00DA692C" w:rsidP="00C12A95">
      <w:pPr>
        <w:jc w:val="center"/>
        <w:rPr>
          <w:b/>
        </w:rPr>
      </w:pPr>
    </w:p>
    <w:p w14:paraId="799C1A4A" w14:textId="77577EB7" w:rsidR="006C75A8" w:rsidRDefault="00E320CC" w:rsidP="00C12A95">
      <w:pPr>
        <w:jc w:val="center"/>
        <w:rPr>
          <w:b/>
        </w:rPr>
      </w:pPr>
      <w:r>
        <w:rPr>
          <w:b/>
        </w:rPr>
        <w:t xml:space="preserve">Lessons </w:t>
      </w:r>
      <w:r w:rsidR="006656F5">
        <w:rPr>
          <w:b/>
        </w:rPr>
        <w:t>from m</w:t>
      </w:r>
      <w:r w:rsidR="00C12A95">
        <w:rPr>
          <w:b/>
        </w:rPr>
        <w:t>is</w:t>
      </w:r>
      <w:r w:rsidR="00584D72">
        <w:rPr>
          <w:b/>
        </w:rPr>
        <w:t>classification</w:t>
      </w:r>
      <w:r w:rsidR="006656F5">
        <w:rPr>
          <w:b/>
        </w:rPr>
        <w:t xml:space="preserve"> in international a</w:t>
      </w:r>
      <w:r w:rsidR="00C12A95">
        <w:rPr>
          <w:b/>
        </w:rPr>
        <w:t>ccounting</w:t>
      </w:r>
    </w:p>
    <w:p w14:paraId="74A9720B" w14:textId="77777777" w:rsidR="005205C6" w:rsidRPr="000C2569" w:rsidRDefault="005205C6" w:rsidP="005205C6">
      <w:pPr>
        <w:pStyle w:val="Frontpages"/>
        <w:jc w:val="center"/>
      </w:pPr>
      <w:r w:rsidRPr="000C2569">
        <w:t>C</w:t>
      </w:r>
      <w:r w:rsidR="006656F5">
        <w:t xml:space="preserve">hristopher </w:t>
      </w:r>
      <w:r w:rsidRPr="000C2569">
        <w:t>N</w:t>
      </w:r>
      <w:r w:rsidR="006656F5">
        <w:t>obes</w:t>
      </w:r>
      <w:r w:rsidRPr="005C63F9">
        <w:t xml:space="preserve">, </w:t>
      </w:r>
      <w:r w:rsidRPr="005C63F9">
        <w:rPr>
          <w:i/>
        </w:rPr>
        <w:t>Royal Holloway (University of London) and University of Sydney</w:t>
      </w:r>
      <w:r w:rsidR="006656F5">
        <w:rPr>
          <w:i/>
        </w:rPr>
        <w:t>*</w:t>
      </w:r>
    </w:p>
    <w:p w14:paraId="2388FA79" w14:textId="77777777" w:rsidR="00DA692C" w:rsidRDefault="00DA692C" w:rsidP="00C12A95">
      <w:pPr>
        <w:jc w:val="center"/>
        <w:rPr>
          <w:b/>
        </w:rPr>
      </w:pPr>
    </w:p>
    <w:p w14:paraId="16B3D77F" w14:textId="77777777" w:rsidR="006656F5" w:rsidRDefault="006656F5" w:rsidP="005205C6">
      <w:pPr>
        <w:jc w:val="center"/>
        <w:rPr>
          <w:b/>
        </w:rPr>
      </w:pPr>
    </w:p>
    <w:p w14:paraId="0C5EF3B0" w14:textId="77777777" w:rsidR="006656F5" w:rsidRDefault="006656F5" w:rsidP="006656F5">
      <w:pPr>
        <w:rPr>
          <w:b/>
        </w:rPr>
      </w:pPr>
    </w:p>
    <w:p w14:paraId="31B76488" w14:textId="77777777" w:rsidR="006656F5" w:rsidRDefault="006656F5" w:rsidP="006656F5">
      <w:pPr>
        <w:rPr>
          <w:b/>
        </w:rPr>
      </w:pPr>
    </w:p>
    <w:p w14:paraId="639874B8" w14:textId="4DBB7F75" w:rsidR="00DA692C" w:rsidRPr="006656F5" w:rsidRDefault="006656F5" w:rsidP="00456467">
      <w:pPr>
        <w:pStyle w:val="ListParagraph"/>
        <w:spacing w:line="240" w:lineRule="auto"/>
      </w:pPr>
      <w:r w:rsidRPr="006656F5">
        <w:t>*The author is grateful for co</w:t>
      </w:r>
      <w:r w:rsidR="00F3709D">
        <w:t xml:space="preserve">mments on earlier drafts from </w:t>
      </w:r>
      <w:r w:rsidR="004A0EAB">
        <w:t xml:space="preserve">Alice Bryer, Jane Davison, </w:t>
      </w:r>
      <w:proofErr w:type="spellStart"/>
      <w:r w:rsidR="00F758FC">
        <w:t>Erlend</w:t>
      </w:r>
      <w:proofErr w:type="spellEnd"/>
      <w:r w:rsidR="00F758FC">
        <w:t xml:space="preserve"> </w:t>
      </w:r>
      <w:proofErr w:type="spellStart"/>
      <w:r w:rsidR="00F758FC">
        <w:t>Kvaal</w:t>
      </w:r>
      <w:proofErr w:type="spellEnd"/>
      <w:r w:rsidR="00F758FC">
        <w:t xml:space="preserve">, </w:t>
      </w:r>
      <w:r w:rsidR="00076098">
        <w:t xml:space="preserve">Christopher Napier, </w:t>
      </w:r>
      <w:r w:rsidR="00FE73A1">
        <w:t xml:space="preserve">Sue Newberry, </w:t>
      </w:r>
      <w:r w:rsidR="00000A3A">
        <w:t xml:space="preserve">R.H. Parker, </w:t>
      </w:r>
      <w:r w:rsidR="00F3709D">
        <w:t xml:space="preserve">Ann </w:t>
      </w:r>
      <w:proofErr w:type="spellStart"/>
      <w:r w:rsidR="00F3709D">
        <w:t>Tarca</w:t>
      </w:r>
      <w:proofErr w:type="spellEnd"/>
      <w:r w:rsidR="00294EE5">
        <w:t xml:space="preserve">, </w:t>
      </w:r>
      <w:r w:rsidR="007149F8">
        <w:t xml:space="preserve">Christian </w:t>
      </w:r>
      <w:proofErr w:type="spellStart"/>
      <w:r w:rsidR="007149F8">
        <w:t>Stadler</w:t>
      </w:r>
      <w:proofErr w:type="spellEnd"/>
      <w:r w:rsidR="00C66C62">
        <w:t xml:space="preserve">, </w:t>
      </w:r>
      <w:r w:rsidR="00294EE5">
        <w:t xml:space="preserve">Stephen </w:t>
      </w:r>
      <w:proofErr w:type="spellStart"/>
      <w:r w:rsidR="00294EE5">
        <w:t>Zeff</w:t>
      </w:r>
      <w:proofErr w:type="spellEnd"/>
      <w:r w:rsidR="00C66C62">
        <w:t xml:space="preserve"> and an anonymous reviewer</w:t>
      </w:r>
      <w:r w:rsidR="007149F8">
        <w:t>.</w:t>
      </w:r>
      <w:r w:rsidR="00F3709D">
        <w:t xml:space="preserve"> </w:t>
      </w:r>
      <w:r w:rsidR="005205C6" w:rsidRPr="006656F5">
        <w:br w:type="page"/>
      </w:r>
    </w:p>
    <w:p w14:paraId="6AC2A356" w14:textId="72A5184E" w:rsidR="005205C6" w:rsidRDefault="006656F5" w:rsidP="005205C6">
      <w:pPr>
        <w:jc w:val="center"/>
        <w:rPr>
          <w:b/>
        </w:rPr>
      </w:pPr>
      <w:r>
        <w:rPr>
          <w:b/>
        </w:rPr>
        <w:lastRenderedPageBreak/>
        <w:t>Lessons from m</w:t>
      </w:r>
      <w:r w:rsidR="005337A5">
        <w:rPr>
          <w:b/>
        </w:rPr>
        <w:t>is</w:t>
      </w:r>
      <w:r w:rsidR="005205C6">
        <w:rPr>
          <w:b/>
        </w:rPr>
        <w:t>classification</w:t>
      </w:r>
      <w:r>
        <w:rPr>
          <w:b/>
        </w:rPr>
        <w:t xml:space="preserve"> in international a</w:t>
      </w:r>
      <w:r w:rsidR="005205C6">
        <w:rPr>
          <w:b/>
        </w:rPr>
        <w:t>ccounting</w:t>
      </w:r>
    </w:p>
    <w:p w14:paraId="48011B0B" w14:textId="77777777" w:rsidR="00DA692C" w:rsidRDefault="005205C6" w:rsidP="005205C6">
      <w:pPr>
        <w:rPr>
          <w:b/>
        </w:rPr>
      </w:pPr>
      <w:r>
        <w:rPr>
          <w:b/>
        </w:rPr>
        <w:t>ABSTRACT</w:t>
      </w:r>
    </w:p>
    <w:p w14:paraId="6D77580D" w14:textId="75A6C1EA" w:rsidR="00CE2AD4" w:rsidRDefault="00CE2AD4" w:rsidP="00CE2AD4">
      <w:r>
        <w:t>Classification is a central activity in many sciences, such as chemistry. In social sciences, we can</w:t>
      </w:r>
      <w:r w:rsidR="00451F8E">
        <w:t>not</w:t>
      </w:r>
      <w:r>
        <w:t xml:space="preserve"> achieve the high precision and usefulness of the Mendeleev table of eleme</w:t>
      </w:r>
      <w:r w:rsidR="009C2FB9">
        <w:t>nts, but we can try to avoid poor</w:t>
      </w:r>
      <w:r>
        <w:t xml:space="preserve"> classi</w:t>
      </w:r>
      <w:r w:rsidR="007149F8">
        <w:t>fication. This paper sets out a method</w:t>
      </w:r>
      <w:r w:rsidR="00E94644">
        <w:t xml:space="preserve"> for identifying</w:t>
      </w:r>
      <w:r w:rsidR="00AA30ED">
        <w:t xml:space="preserve"> </w:t>
      </w:r>
      <w:proofErr w:type="spellStart"/>
      <w:r w:rsidR="00AA30ED" w:rsidRPr="00147BEA">
        <w:rPr>
          <w:i/>
        </w:rPr>
        <w:t>mis</w:t>
      </w:r>
      <w:proofErr w:type="spellEnd"/>
      <w:r w:rsidR="00AA30ED">
        <w:t>-classification</w:t>
      </w:r>
      <w:r w:rsidR="00451F8E">
        <w:t xml:space="preserve"> in any field</w:t>
      </w:r>
      <w:r>
        <w:t>, dr</w:t>
      </w:r>
      <w:r w:rsidR="00060924">
        <w:t xml:space="preserve">awing on the qualitative characteristics </w:t>
      </w:r>
      <w:r>
        <w:t>for u</w:t>
      </w:r>
      <w:r w:rsidR="00060924">
        <w:t xml:space="preserve">seful information set out in </w:t>
      </w:r>
      <w:r>
        <w:t>the conceptual framewor</w:t>
      </w:r>
      <w:r w:rsidR="00FE3E4F">
        <w:t>k for financial reporting</w:t>
      </w:r>
      <w:r w:rsidR="00060924">
        <w:t>, particularly faithful representation and relevance</w:t>
      </w:r>
      <w:r w:rsidR="00FE3E4F">
        <w:t xml:space="preserve">. </w:t>
      </w:r>
      <w:r w:rsidR="007149F8">
        <w:t xml:space="preserve">The method </w:t>
      </w:r>
      <w:r>
        <w:t xml:space="preserve">is applied first to various scientific fields and then </w:t>
      </w:r>
      <w:proofErr w:type="gramStart"/>
      <w:r>
        <w:t>to</w:t>
      </w:r>
      <w:proofErr w:type="gramEnd"/>
      <w:r>
        <w:t xml:space="preserve"> many classifications in international accounting</w:t>
      </w:r>
      <w:r w:rsidR="00766708">
        <w:t xml:space="preserve"> and </w:t>
      </w:r>
      <w:r w:rsidR="008F2C05">
        <w:t xml:space="preserve">to </w:t>
      </w:r>
      <w:r w:rsidR="00766708">
        <w:t>other classifications used by accounting researchers</w:t>
      </w:r>
      <w:r>
        <w:t xml:space="preserve">. The causes of </w:t>
      </w:r>
      <w:r w:rsidR="00076098">
        <w:t>poor</w:t>
      </w:r>
      <w:r>
        <w:t xml:space="preserve"> classification are examined; for example, some </w:t>
      </w:r>
      <w:r w:rsidR="00766708">
        <w:t xml:space="preserve">classifications </w:t>
      </w:r>
      <w:r>
        <w:t>are untrue, some are unfair and some are unlikely to be relevant for any important purpose. The implications for researchers are proposed.</w:t>
      </w:r>
    </w:p>
    <w:p w14:paraId="1679C983" w14:textId="77777777" w:rsidR="00DA692C" w:rsidRDefault="00DA692C" w:rsidP="00C12A95">
      <w:pPr>
        <w:jc w:val="center"/>
        <w:rPr>
          <w:b/>
        </w:rPr>
      </w:pPr>
    </w:p>
    <w:p w14:paraId="59345186" w14:textId="77777777" w:rsidR="00DA692C" w:rsidRDefault="00DA692C" w:rsidP="00C12A95">
      <w:pPr>
        <w:jc w:val="center"/>
        <w:rPr>
          <w:b/>
        </w:rPr>
      </w:pPr>
    </w:p>
    <w:p w14:paraId="47285E97" w14:textId="77777777" w:rsidR="00DA692C" w:rsidRDefault="00DA692C" w:rsidP="00C12A95">
      <w:pPr>
        <w:jc w:val="center"/>
        <w:rPr>
          <w:b/>
        </w:rPr>
      </w:pPr>
    </w:p>
    <w:p w14:paraId="72C1A9AF" w14:textId="77777777" w:rsidR="00DA692C" w:rsidRDefault="00DA692C" w:rsidP="00C12A95">
      <w:pPr>
        <w:jc w:val="center"/>
        <w:rPr>
          <w:b/>
        </w:rPr>
      </w:pPr>
    </w:p>
    <w:p w14:paraId="0A978ED2" w14:textId="77777777" w:rsidR="00DA692C" w:rsidRDefault="00DA692C" w:rsidP="00C12A95">
      <w:pPr>
        <w:jc w:val="center"/>
        <w:rPr>
          <w:b/>
        </w:rPr>
      </w:pPr>
    </w:p>
    <w:p w14:paraId="734EC5A9" w14:textId="77777777" w:rsidR="00DA692C" w:rsidRDefault="00DA692C" w:rsidP="00C12A95">
      <w:pPr>
        <w:jc w:val="center"/>
        <w:rPr>
          <w:b/>
        </w:rPr>
      </w:pPr>
    </w:p>
    <w:p w14:paraId="3001C727" w14:textId="77777777" w:rsidR="00DA692C" w:rsidRDefault="00DA692C" w:rsidP="00C12A95">
      <w:pPr>
        <w:jc w:val="center"/>
        <w:rPr>
          <w:b/>
        </w:rPr>
      </w:pPr>
    </w:p>
    <w:p w14:paraId="4F41E63A" w14:textId="77777777" w:rsidR="00DA692C" w:rsidRDefault="00DA692C" w:rsidP="00C12A95">
      <w:pPr>
        <w:jc w:val="center"/>
        <w:rPr>
          <w:b/>
        </w:rPr>
      </w:pPr>
    </w:p>
    <w:p w14:paraId="2E2A2EB7" w14:textId="77777777" w:rsidR="00DA692C" w:rsidRDefault="00DA692C" w:rsidP="00C12A95">
      <w:pPr>
        <w:jc w:val="center"/>
        <w:rPr>
          <w:b/>
        </w:rPr>
      </w:pPr>
    </w:p>
    <w:p w14:paraId="234EEEAF" w14:textId="77777777" w:rsidR="00DA692C" w:rsidRDefault="00DA692C" w:rsidP="00CE2AD4">
      <w:pPr>
        <w:rPr>
          <w:b/>
        </w:rPr>
      </w:pPr>
    </w:p>
    <w:p w14:paraId="26277F00" w14:textId="0297F369" w:rsidR="00DA692C" w:rsidRDefault="006656F5" w:rsidP="00DA692C">
      <w:pPr>
        <w:jc w:val="center"/>
        <w:rPr>
          <w:b/>
        </w:rPr>
      </w:pPr>
      <w:r>
        <w:rPr>
          <w:b/>
        </w:rPr>
        <w:t>Lessons from m</w:t>
      </w:r>
      <w:r w:rsidR="00584D72">
        <w:rPr>
          <w:b/>
        </w:rPr>
        <w:t>isclassification</w:t>
      </w:r>
      <w:r w:rsidR="00DA692C">
        <w:rPr>
          <w:b/>
        </w:rPr>
        <w:t xml:space="preserve"> in </w:t>
      </w:r>
      <w:r>
        <w:rPr>
          <w:b/>
        </w:rPr>
        <w:t>international a</w:t>
      </w:r>
      <w:r w:rsidR="00DA692C">
        <w:rPr>
          <w:b/>
        </w:rPr>
        <w:t>ccounting</w:t>
      </w:r>
    </w:p>
    <w:p w14:paraId="543FEB28" w14:textId="77777777" w:rsidR="00970822" w:rsidRDefault="00970822" w:rsidP="002C57DB">
      <w:pPr>
        <w:pStyle w:val="ListParagraph"/>
        <w:numPr>
          <w:ilvl w:val="0"/>
          <w:numId w:val="1"/>
        </w:numPr>
        <w:spacing w:before="240"/>
        <w:rPr>
          <w:b/>
        </w:rPr>
      </w:pPr>
      <w:r w:rsidRPr="00970822">
        <w:rPr>
          <w:b/>
        </w:rPr>
        <w:t>Introduction</w:t>
      </w:r>
    </w:p>
    <w:p w14:paraId="332D344D" w14:textId="79155347" w:rsidR="00370A1A" w:rsidRDefault="00B111EB" w:rsidP="00980575">
      <w:pPr>
        <w:ind w:firstLine="720"/>
      </w:pPr>
      <w:r>
        <w:t>Classification is</w:t>
      </w:r>
      <w:r w:rsidR="00E718D0">
        <w:t xml:space="preserve"> a central activity in science.</w:t>
      </w:r>
      <w:r>
        <w:t xml:space="preserve"> It is t</w:t>
      </w:r>
      <w:r w:rsidR="00E718D0">
        <w:t>he corner-stone of chemistry (</w:t>
      </w:r>
      <w:proofErr w:type="spellStart"/>
      <w:r w:rsidR="00E718D0">
        <w:t>Aldersley</w:t>
      </w:r>
      <w:proofErr w:type="spellEnd"/>
      <w:r w:rsidR="00E718D0">
        <w:t>-Williams, 2011</w:t>
      </w:r>
      <w:r w:rsidR="000854DA">
        <w:t>), biology (</w:t>
      </w:r>
      <w:proofErr w:type="spellStart"/>
      <w:r w:rsidR="000854DA">
        <w:t>Stearn</w:t>
      </w:r>
      <w:proofErr w:type="spellEnd"/>
      <w:r w:rsidR="000854DA">
        <w:t>, 1959, p.4</w:t>
      </w:r>
      <w:r>
        <w:t xml:space="preserve">) </w:t>
      </w:r>
      <w:r w:rsidR="00264A06">
        <w:t>and med</w:t>
      </w:r>
      <w:r w:rsidR="00E07023">
        <w:t xml:space="preserve">icine (Bowker and Star, </w:t>
      </w:r>
      <w:r w:rsidR="00E718D0">
        <w:t>2000</w:t>
      </w:r>
      <w:r w:rsidR="00370A1A">
        <w:t xml:space="preserve">). </w:t>
      </w:r>
      <w:r>
        <w:t>Perhaps the most impressive example of its power is the Mendele</w:t>
      </w:r>
      <w:r w:rsidR="00370A1A">
        <w:t xml:space="preserve">ev table of chemical elements. </w:t>
      </w:r>
      <w:r>
        <w:t>Not only does this organise facts in an elegant way, it predicts</w:t>
      </w:r>
      <w:r w:rsidR="004068A8">
        <w:t xml:space="preserve"> the</w:t>
      </w:r>
      <w:r>
        <w:t xml:space="preserve"> behaviour of elements and it even </w:t>
      </w:r>
      <w:r w:rsidR="00B279C6">
        <w:t>foresaw</w:t>
      </w:r>
      <w:r>
        <w:t xml:space="preserve"> elements to be discov</w:t>
      </w:r>
      <w:r w:rsidR="004068A8">
        <w:t>ered and what their characteristics would be</w:t>
      </w:r>
      <w:r w:rsidR="00370A1A">
        <w:t>.</w:t>
      </w:r>
      <w:r>
        <w:t xml:space="preserve"> The table </w:t>
      </w:r>
      <w:r w:rsidR="00370A1A">
        <w:t>is</w:t>
      </w:r>
      <w:r>
        <w:t xml:space="preserve"> so neat because</w:t>
      </w:r>
      <w:r w:rsidR="00370A1A">
        <w:t xml:space="preserve"> the</w:t>
      </w:r>
      <w:r>
        <w:t xml:space="preserve"> measurement</w:t>
      </w:r>
      <w:r w:rsidR="0082382F">
        <w:t xml:space="preserve"> of the attribute</w:t>
      </w:r>
      <w:r w:rsidR="00370A1A">
        <w:t xml:space="preserve">s </w:t>
      </w:r>
      <w:r w:rsidR="0082382F">
        <w:t xml:space="preserve">of </w:t>
      </w:r>
      <w:r w:rsidR="00B279C6">
        <w:t>an</w:t>
      </w:r>
      <w:r w:rsidR="00271458">
        <w:t xml:space="preserve"> </w:t>
      </w:r>
      <w:r w:rsidR="0082382F">
        <w:t xml:space="preserve">element </w:t>
      </w:r>
      <w:r w:rsidR="00370A1A">
        <w:t xml:space="preserve">(e.g. </w:t>
      </w:r>
      <w:r w:rsidR="00B279C6">
        <w:t>its</w:t>
      </w:r>
      <w:r w:rsidR="00271458">
        <w:t xml:space="preserve"> </w:t>
      </w:r>
      <w:r w:rsidR="00370A1A">
        <w:t>atomic weight) is</w:t>
      </w:r>
      <w:r>
        <w:t xml:space="preserve"> precise and because </w:t>
      </w:r>
      <w:r w:rsidR="00860BD3">
        <w:t xml:space="preserve">what constitutes </w:t>
      </w:r>
      <w:r>
        <w:t xml:space="preserve">a particular element </w:t>
      </w:r>
      <w:r w:rsidR="00860BD3">
        <w:t>remains</w:t>
      </w:r>
      <w:r>
        <w:t xml:space="preserve"> stabl</w:t>
      </w:r>
      <w:r w:rsidR="00370A1A">
        <w:t xml:space="preserve">e across time and space. </w:t>
      </w:r>
    </w:p>
    <w:p w14:paraId="683C2E7C" w14:textId="2FCF69EE" w:rsidR="00456467" w:rsidRDefault="00370A1A" w:rsidP="00456467">
      <w:pPr>
        <w:ind w:firstLine="720"/>
      </w:pPr>
      <w:r>
        <w:t xml:space="preserve">There is less precision when classifying </w:t>
      </w:r>
      <w:r w:rsidR="00B111EB">
        <w:t>species of animal or disease</w:t>
      </w:r>
      <w:r w:rsidR="009C2FB9">
        <w:t>, partly because it</w:t>
      </w:r>
      <w:r w:rsidR="0082382F">
        <w:t xml:space="preserve"> is not clear which attributes to</w:t>
      </w:r>
      <w:r w:rsidR="00B111EB">
        <w:t xml:space="preserve"> measure or how to measure</w:t>
      </w:r>
      <w:r w:rsidR="0082382F">
        <w:t xml:space="preserve"> them. Furthermore, </w:t>
      </w:r>
      <w:r w:rsidR="00B111EB">
        <w:t xml:space="preserve">mutations </w:t>
      </w:r>
      <w:r>
        <w:t>occur continuously.</w:t>
      </w:r>
      <w:r w:rsidR="0047166E">
        <w:t xml:space="preserve"> </w:t>
      </w:r>
      <w:r w:rsidR="004068A8">
        <w:t xml:space="preserve">The problems intensify </w:t>
      </w:r>
      <w:r w:rsidR="004A0EAB">
        <w:t>w</w:t>
      </w:r>
      <w:r w:rsidR="004068A8">
        <w:t xml:space="preserve">hen grouping languages, legal systems or accounting systems </w:t>
      </w:r>
      <w:r w:rsidR="004A0EAB">
        <w:t xml:space="preserve">because </w:t>
      </w:r>
      <w:r w:rsidR="004068A8">
        <w:t xml:space="preserve">there is not only mutation but </w:t>
      </w:r>
      <w:r w:rsidR="004A0EAB">
        <w:t xml:space="preserve">also </w:t>
      </w:r>
      <w:r w:rsidR="004068A8">
        <w:t xml:space="preserve">mutual influence. I suggest therefore that, rather than striving for the perfection of the Mendeleev table, </w:t>
      </w:r>
      <w:r w:rsidR="00E320CC">
        <w:t>account</w:t>
      </w:r>
      <w:r w:rsidR="004068A8">
        <w:t>ing researchers should focus</w:t>
      </w:r>
      <w:r w:rsidR="00456467">
        <w:t xml:space="preserve"> on how to avoid various types of </w:t>
      </w:r>
      <w:r w:rsidR="00E320CC">
        <w:t>misclass</w:t>
      </w:r>
      <w:r w:rsidR="00066B9C">
        <w:t>ification.</w:t>
      </w:r>
    </w:p>
    <w:p w14:paraId="67D033F2" w14:textId="27428F44" w:rsidR="00066B9C" w:rsidRDefault="00066B9C" w:rsidP="006F6566">
      <w:pPr>
        <w:ind w:firstLine="720"/>
      </w:pPr>
      <w:r>
        <w:t xml:space="preserve"> </w:t>
      </w:r>
      <w:r w:rsidR="006F6566">
        <w:t>The accountant’s vital everyday tasks of classifying transactions into the double-entry system and then preparing classified financial statements are not my topic.</w:t>
      </w:r>
      <w:r w:rsidR="006F6566" w:rsidRPr="00456467">
        <w:t xml:space="preserve"> </w:t>
      </w:r>
      <w:r w:rsidR="006F6566">
        <w:t>Instead, t</w:t>
      </w:r>
      <w:r w:rsidR="00456467">
        <w:t xml:space="preserve">he accounting classifications which I discuss are those which put countries or </w:t>
      </w:r>
      <w:r w:rsidR="00456467">
        <w:lastRenderedPageBreak/>
        <w:t>“accounting systems”</w:t>
      </w:r>
      <w:r w:rsidR="00456467">
        <w:rPr>
          <w:rStyle w:val="FootnoteReference"/>
        </w:rPr>
        <w:footnoteReference w:id="1"/>
      </w:r>
      <w:r w:rsidR="00456467">
        <w:t xml:space="preserve"> into groups by similarities. Nobes and </w:t>
      </w:r>
      <w:proofErr w:type="spellStart"/>
      <w:r w:rsidR="00456467">
        <w:t>Stadler</w:t>
      </w:r>
      <w:proofErr w:type="spellEnd"/>
      <w:r w:rsidR="00456467">
        <w:t xml:space="preserve"> (2013) show that </w:t>
      </w:r>
      <w:r w:rsidR="006F6566">
        <w:t>such</w:t>
      </w:r>
      <w:r w:rsidR="00456467">
        <w:t xml:space="preserve"> classifications have been part of the motivation for hundreds of research papers and that they have been much used as independent variables in the study of international differences in such matters as value relevance, adoption of International Financial Reporting Standards (IFRS), policy choice and lobbying of standard-setters.</w:t>
      </w:r>
      <w:r w:rsidR="00456467" w:rsidRPr="00066B9C">
        <w:t xml:space="preserve"> </w:t>
      </w:r>
      <w:r w:rsidR="006F6566">
        <w:t>I also examine classifications in the areas of law, tax, culture and languages</w:t>
      </w:r>
      <w:r w:rsidR="009354C2">
        <w:t xml:space="preserve"> which have been </w:t>
      </w:r>
      <w:r w:rsidR="006F6566">
        <w:t xml:space="preserve">used as independent variables by accounting researchers. </w:t>
      </w:r>
      <w:r w:rsidR="009354C2">
        <w:t>Given the extensive use of these various classifications,</w:t>
      </w:r>
      <w:r w:rsidR="00456467">
        <w:t xml:space="preserve"> misclassification could have important consequences</w:t>
      </w:r>
      <w:r w:rsidR="00852537" w:rsidRPr="00852537">
        <w:t xml:space="preserve"> </w:t>
      </w:r>
      <w:r w:rsidR="00852537">
        <w:t>for international research in accounting</w:t>
      </w:r>
      <w:r w:rsidR="00456467">
        <w:t>.</w:t>
      </w:r>
    </w:p>
    <w:p w14:paraId="3965B025" w14:textId="60789BDA" w:rsidR="004C492C" w:rsidRDefault="004C492C" w:rsidP="00B111EB">
      <w:r>
        <w:tab/>
      </w:r>
      <w:r w:rsidR="00873B2E">
        <w:t xml:space="preserve">The paper proceeds as follows. In Section 2, </w:t>
      </w:r>
      <w:r w:rsidR="00CC7794">
        <w:t>I propose</w:t>
      </w:r>
      <w:r w:rsidR="007149F8">
        <w:t xml:space="preserve"> a method of characterising</w:t>
      </w:r>
      <w:r>
        <w:t xml:space="preserve"> misclassification of various </w:t>
      </w:r>
      <w:r w:rsidR="00CC7794">
        <w:t xml:space="preserve">sorts, drawing on the characteristics used to assess the quality and usefulness of </w:t>
      </w:r>
      <w:r w:rsidR="00370A1A">
        <w:t>accounting</w:t>
      </w:r>
      <w:r w:rsidR="00323D2F">
        <w:t xml:space="preserve"> information</w:t>
      </w:r>
      <w:r w:rsidR="00370A1A">
        <w:t>. This incl</w:t>
      </w:r>
      <w:r w:rsidR="00873B2E">
        <w:t xml:space="preserve">udes using the concepts of </w:t>
      </w:r>
      <w:r w:rsidR="00CC7794">
        <w:t>faithful</w:t>
      </w:r>
      <w:r w:rsidR="00370A1A">
        <w:t xml:space="preserve"> </w:t>
      </w:r>
      <w:r w:rsidR="00860BD3">
        <w:t>re</w:t>
      </w:r>
      <w:r w:rsidR="00370A1A">
        <w:t>presentation</w:t>
      </w:r>
      <w:r w:rsidR="007149F8">
        <w:t xml:space="preserve"> and relevance</w:t>
      </w:r>
      <w:r w:rsidR="00370A1A">
        <w:t xml:space="preserve">. </w:t>
      </w:r>
      <w:r w:rsidR="00CC7794">
        <w:t>In Section 3, I examine examples of poor classification in v</w:t>
      </w:r>
      <w:r w:rsidR="00456467">
        <w:t xml:space="preserve">arious non-accounting fields, </w:t>
      </w:r>
      <w:r w:rsidR="00CC7794">
        <w:t>apply</w:t>
      </w:r>
      <w:r w:rsidR="00456467">
        <w:t>ing</w:t>
      </w:r>
      <w:r w:rsidR="00CC7794">
        <w:t xml:space="preserve"> the method of Section 2 </w:t>
      </w:r>
      <w:r w:rsidR="004F4681">
        <w:t xml:space="preserve">in order to </w:t>
      </w:r>
      <w:r w:rsidR="0082382F">
        <w:t>clarify why they are</w:t>
      </w:r>
      <w:r w:rsidR="00370A1A">
        <w:t xml:space="preserve"> poor</w:t>
      </w:r>
      <w:r>
        <w:t>.</w:t>
      </w:r>
    </w:p>
    <w:p w14:paraId="0D233E22" w14:textId="0A5F33D5" w:rsidR="004E178A" w:rsidRDefault="004C492C" w:rsidP="0078053B">
      <w:pPr>
        <w:ind w:firstLine="720"/>
      </w:pPr>
      <w:r>
        <w:t>The central part of the paper is Section 4</w:t>
      </w:r>
      <w:r w:rsidR="0026421E">
        <w:t xml:space="preserve">, which </w:t>
      </w:r>
      <w:r w:rsidR="00125369">
        <w:t>assembles</w:t>
      </w:r>
      <w:r>
        <w:t xml:space="preserve"> a catalogue of misclassificatio</w:t>
      </w:r>
      <w:r w:rsidR="00827D6B">
        <w:t xml:space="preserve">ns </w:t>
      </w:r>
      <w:r w:rsidR="007961D5">
        <w:t xml:space="preserve">and implausible results </w:t>
      </w:r>
      <w:r w:rsidR="00827D6B">
        <w:t>in international accounting.</w:t>
      </w:r>
      <w:r>
        <w:t xml:space="preserve"> </w:t>
      </w:r>
      <w:r w:rsidR="0078053B">
        <w:t>Some of these have</w:t>
      </w:r>
      <w:r w:rsidR="002F355C">
        <w:t xml:space="preserve"> already</w:t>
      </w:r>
      <w:r w:rsidR="0078053B">
        <w:t xml:space="preserve"> been</w:t>
      </w:r>
      <w:r w:rsidR="00125369">
        <w:t xml:space="preserve"> exposed</w:t>
      </w:r>
      <w:r w:rsidR="0078053B">
        <w:t xml:space="preserve"> in </w:t>
      </w:r>
      <w:r w:rsidR="00125369">
        <w:t xml:space="preserve">the literature (sometimes in </w:t>
      </w:r>
      <w:r w:rsidR="0078053B">
        <w:t>obscure publications</w:t>
      </w:r>
      <w:r w:rsidR="00125369">
        <w:t>)</w:t>
      </w:r>
      <w:r w:rsidR="0078053B">
        <w:t xml:space="preserve">, </w:t>
      </w:r>
      <w:r w:rsidR="00125369">
        <w:t>others</w:t>
      </w:r>
      <w:r w:rsidR="0078053B">
        <w:t xml:space="preserve"> </w:t>
      </w:r>
      <w:r w:rsidR="00125369">
        <w:t>are mentioned</w:t>
      </w:r>
      <w:r w:rsidR="002F355C">
        <w:t xml:space="preserve"> </w:t>
      </w:r>
      <w:r w:rsidR="0078053B">
        <w:t xml:space="preserve">as footnotes </w:t>
      </w:r>
      <w:r w:rsidR="00125369">
        <w:t>in</w:t>
      </w:r>
      <w:r w:rsidR="00E94644">
        <w:t xml:space="preserve"> </w:t>
      </w:r>
      <w:r w:rsidR="0078053B">
        <w:t>p</w:t>
      </w:r>
      <w:r w:rsidR="00E94644">
        <w:t>apers</w:t>
      </w:r>
      <w:r w:rsidR="0078053B">
        <w:t xml:space="preserve">, and </w:t>
      </w:r>
      <w:r w:rsidR="00125369">
        <w:t>some</w:t>
      </w:r>
      <w:r w:rsidR="0078053B">
        <w:t xml:space="preserve"> have not be</w:t>
      </w:r>
      <w:r w:rsidR="00873B2E">
        <w:t xml:space="preserve">en recorded before. </w:t>
      </w:r>
      <w:r>
        <w:t xml:space="preserve">In each case, I analyse the nature </w:t>
      </w:r>
      <w:r w:rsidR="00827D6B">
        <w:t>of the misclassification</w:t>
      </w:r>
      <w:r w:rsidR="004E178A">
        <w:t>, using the method</w:t>
      </w:r>
      <w:r w:rsidR="00CC7794">
        <w:t xml:space="preserve"> of Section 2</w:t>
      </w:r>
      <w:r w:rsidR="00827D6B">
        <w:t xml:space="preserve">. </w:t>
      </w:r>
      <w:r w:rsidR="00E320CC">
        <w:t>I bring these examples together in order to draw lessons for accounting research</w:t>
      </w:r>
      <w:r w:rsidR="00125369">
        <w:t>ers</w:t>
      </w:r>
      <w:r w:rsidR="00E320CC">
        <w:t xml:space="preserve">. </w:t>
      </w:r>
      <w:r w:rsidR="00323D2F">
        <w:t>Section 5</w:t>
      </w:r>
      <w:r>
        <w:t xml:space="preserve"> </w:t>
      </w:r>
      <w:r>
        <w:lastRenderedPageBreak/>
        <w:t>contains conclusions, inc</w:t>
      </w:r>
      <w:r w:rsidR="00827D6B">
        <w:t>luding</w:t>
      </w:r>
      <w:r>
        <w:t xml:space="preserve"> </w:t>
      </w:r>
      <w:r w:rsidR="004F4681">
        <w:t xml:space="preserve">the causes of misclassification and the </w:t>
      </w:r>
      <w:r>
        <w:t xml:space="preserve">implications </w:t>
      </w:r>
      <w:r w:rsidR="004F4681">
        <w:t xml:space="preserve">of all this </w:t>
      </w:r>
      <w:r>
        <w:t>for researchers and for the editors and reviewers of journals.</w:t>
      </w:r>
      <w:r w:rsidR="0026421E">
        <w:t xml:space="preserve"> </w:t>
      </w:r>
    </w:p>
    <w:p w14:paraId="1C1344CB" w14:textId="0FFBBBC3" w:rsidR="004C492C" w:rsidRDefault="0026421E" w:rsidP="0078053B">
      <w:pPr>
        <w:ind w:firstLine="720"/>
      </w:pPr>
      <w:r>
        <w:t xml:space="preserve">These endeavours could be expressed in terms of three research questions: </w:t>
      </w:r>
      <w:r w:rsidR="00B3379E">
        <w:t xml:space="preserve">Which features of misclassification can be identified in a cross-disciplinary way in order to construct a method for identifying poor classification? When applying this method to </w:t>
      </w:r>
      <w:r w:rsidR="009354C2">
        <w:t xml:space="preserve">assess the quality of </w:t>
      </w:r>
      <w:r w:rsidR="00B3379E">
        <w:t xml:space="preserve">classifications produced by and used in accounting research, how well do they stand up? What lessons for accounting researchers can be gleaned?   </w:t>
      </w:r>
    </w:p>
    <w:p w14:paraId="2A42DA31" w14:textId="77777777" w:rsidR="00CC7794" w:rsidRPr="00CC7794" w:rsidRDefault="00F4284A" w:rsidP="00CC7794">
      <w:pPr>
        <w:pStyle w:val="ListParagraph"/>
        <w:numPr>
          <w:ilvl w:val="0"/>
          <w:numId w:val="1"/>
        </w:numPr>
        <w:spacing w:line="240" w:lineRule="auto"/>
      </w:pPr>
      <w:r w:rsidRPr="00CC7794">
        <w:rPr>
          <w:b/>
        </w:rPr>
        <w:t>A method</w:t>
      </w:r>
      <w:r w:rsidR="00CF44F4" w:rsidRPr="00CC7794">
        <w:rPr>
          <w:b/>
        </w:rPr>
        <w:t xml:space="preserve"> for </w:t>
      </w:r>
      <w:r w:rsidR="008C6A61" w:rsidRPr="00CC7794">
        <w:rPr>
          <w:b/>
        </w:rPr>
        <w:t>identify</w:t>
      </w:r>
      <w:r w:rsidR="00CF44F4" w:rsidRPr="00CC7794">
        <w:rPr>
          <w:b/>
        </w:rPr>
        <w:t xml:space="preserve">ing </w:t>
      </w:r>
      <w:r w:rsidR="00FC066A">
        <w:rPr>
          <w:b/>
        </w:rPr>
        <w:t>poor</w:t>
      </w:r>
      <w:r w:rsidR="008C6A61" w:rsidRPr="00CC7794">
        <w:rPr>
          <w:b/>
        </w:rPr>
        <w:t xml:space="preserve"> </w:t>
      </w:r>
      <w:r w:rsidR="00CF44F4" w:rsidRPr="00CC7794">
        <w:rPr>
          <w:b/>
        </w:rPr>
        <w:t>classification</w:t>
      </w:r>
    </w:p>
    <w:p w14:paraId="61B9575A" w14:textId="77777777" w:rsidR="00CC7794" w:rsidRPr="00CC7794" w:rsidRDefault="00CC7794" w:rsidP="00CC7794">
      <w:pPr>
        <w:pStyle w:val="ListParagraph"/>
        <w:spacing w:line="240" w:lineRule="auto"/>
        <w:ind w:left="1800"/>
      </w:pPr>
    </w:p>
    <w:p w14:paraId="1E58F176" w14:textId="34E38DCD" w:rsidR="00FC066A" w:rsidRDefault="00271458" w:rsidP="00FC066A">
      <w:pPr>
        <w:ind w:firstLine="720"/>
      </w:pPr>
      <w:r>
        <w:t>Mendeleev’s classification is good because of the features outlined in the</w:t>
      </w:r>
      <w:r w:rsidR="009C2FB9">
        <w:t xml:space="preserve"> first paragraph of this paper: it represents</w:t>
      </w:r>
      <w:r w:rsidR="00CE0396">
        <w:t xml:space="preserve"> how phenomena are related</w:t>
      </w:r>
      <w:r w:rsidR="009354C2">
        <w:t>; and it</w:t>
      </w:r>
      <w:r w:rsidR="00CE0396">
        <w:t xml:space="preserve"> organises data, reveals structure and enables predictions. </w:t>
      </w:r>
      <w:r w:rsidR="00FC066A">
        <w:t>Unlike Mendeleev, alchemists had</w:t>
      </w:r>
      <w:r w:rsidR="007D2783">
        <w:t xml:space="preserve"> instead</w:t>
      </w:r>
      <w:r w:rsidR="00FC066A">
        <w:t xml:space="preserve"> divided elements into</w:t>
      </w:r>
      <w:r w:rsidR="007D2783">
        <w:t xml:space="preserve"> three classes:</w:t>
      </w:r>
      <w:r w:rsidR="00FC066A">
        <w:t xml:space="preserve"> solids, li</w:t>
      </w:r>
      <w:r w:rsidR="009C0132">
        <w:t xml:space="preserve">quids and gases. However, this </w:t>
      </w:r>
      <w:r w:rsidR="003A1248">
        <w:t>i</w:t>
      </w:r>
      <w:r w:rsidR="00FC066A">
        <w:t xml:space="preserve">s unhelpful when trying to understand the nature of ice, mercury, molten lead or liquid nitrogen. </w:t>
      </w:r>
      <w:r w:rsidR="00936DA4">
        <w:t>Ancient classifications have also been rejected</w:t>
      </w:r>
      <w:r w:rsidR="00936DA4" w:rsidRPr="00936DA4">
        <w:t xml:space="preserve"> </w:t>
      </w:r>
      <w:r w:rsidR="00936DA4">
        <w:t>in other scientific fields. As discussed below, these include classing the Sun as a planet and classing man</w:t>
      </w:r>
      <w:r w:rsidR="009E7590">
        <w:rPr>
          <w:rStyle w:val="FootnoteReference"/>
        </w:rPr>
        <w:footnoteReference w:id="2"/>
      </w:r>
      <w:r w:rsidR="00936DA4">
        <w:t xml:space="preserve"> with birds as a “featherless biped”. What is it about these </w:t>
      </w:r>
      <w:r w:rsidR="00FC066A">
        <w:t>classific</w:t>
      </w:r>
      <w:r w:rsidR="009C0132">
        <w:t>ation</w:t>
      </w:r>
      <w:r w:rsidR="00936DA4">
        <w:t>s which makes them flawed? What causes them</w:t>
      </w:r>
      <w:r w:rsidR="009C0132">
        <w:t xml:space="preserve"> to be</w:t>
      </w:r>
      <w:r w:rsidR="00FC066A">
        <w:t xml:space="preserve"> less </w:t>
      </w:r>
      <w:r w:rsidR="00936DA4">
        <w:t xml:space="preserve">than </w:t>
      </w:r>
      <w:r w:rsidR="00FC066A">
        <w:t xml:space="preserve">useful? This section seeks to establish a </w:t>
      </w:r>
      <w:proofErr w:type="spellStart"/>
      <w:r w:rsidR="00FC066A">
        <w:t>generalisable</w:t>
      </w:r>
      <w:proofErr w:type="spellEnd"/>
      <w:r w:rsidR="00FC066A">
        <w:t xml:space="preserve"> method for identifying and discussing poor classification. </w:t>
      </w:r>
      <w:r w:rsidR="00936DA4">
        <w:t xml:space="preserve"> </w:t>
      </w:r>
    </w:p>
    <w:p w14:paraId="55340692" w14:textId="18C3B848" w:rsidR="00E97794" w:rsidRDefault="00294EE5" w:rsidP="00CC7794">
      <w:pPr>
        <w:ind w:firstLine="720"/>
      </w:pPr>
      <w:r>
        <w:t>A committee of t</w:t>
      </w:r>
      <w:r w:rsidR="0047166E">
        <w:t>he American Acc</w:t>
      </w:r>
      <w:r w:rsidR="00051992">
        <w:t>ounting Association (1977</w:t>
      </w:r>
      <w:r w:rsidR="003974C3">
        <w:t>, p. 77</w:t>
      </w:r>
      <w:r w:rsidR="00051992">
        <w:t xml:space="preserve">) summarised </w:t>
      </w:r>
      <w:r w:rsidR="0047166E">
        <w:t xml:space="preserve">guidance </w:t>
      </w:r>
      <w:r w:rsidR="008A2AA2">
        <w:t>from scientific</w:t>
      </w:r>
      <w:r w:rsidR="00051992">
        <w:t xml:space="preserve"> fields </w:t>
      </w:r>
      <w:r w:rsidR="0047166E">
        <w:t>about the features of good classification</w:t>
      </w:r>
      <w:r w:rsidR="00051992">
        <w:t xml:space="preserve">: </w:t>
      </w:r>
      <w:r w:rsidR="0047166E">
        <w:t>the differentiating attributes used should be the s</w:t>
      </w:r>
      <w:r w:rsidR="00051992">
        <w:t xml:space="preserve">ame throughout a classification, subsets </w:t>
      </w:r>
      <w:r w:rsidR="00051992">
        <w:lastRenderedPageBreak/>
        <w:t xml:space="preserve">should be mutually exclusive, a hierarchy should be maintained throughout the system, and the classification should cover all </w:t>
      </w:r>
      <w:r w:rsidR="003974C3">
        <w:t>objects under consideration</w:t>
      </w:r>
      <w:r w:rsidR="0047166E">
        <w:t xml:space="preserve">. </w:t>
      </w:r>
      <w:r w:rsidR="003974C3">
        <w:t>Similar d</w:t>
      </w:r>
      <w:r w:rsidR="007E5495">
        <w:t>esiderata can be found relating to medical classification</w:t>
      </w:r>
      <w:r w:rsidR="003974C3">
        <w:t xml:space="preserve"> (e.g. Bowker and Star, 2000, p.10). </w:t>
      </w:r>
      <w:r w:rsidR="0047166E">
        <w:t>Howev</w:t>
      </w:r>
      <w:r w:rsidR="00A0607F">
        <w:t xml:space="preserve">er, </w:t>
      </w:r>
      <w:r w:rsidR="003974C3">
        <w:t>these sources admit that few classifications</w:t>
      </w:r>
      <w:r w:rsidR="00F01401">
        <w:t xml:space="preserve"> in any field</w:t>
      </w:r>
      <w:r w:rsidR="003974C3">
        <w:t xml:space="preserve"> comply fully with the</w:t>
      </w:r>
      <w:r w:rsidR="007E5495">
        <w:t>se principles,</w:t>
      </w:r>
      <w:r w:rsidR="003974C3">
        <w:t xml:space="preserve"> and Roberts (1995, p. 653) questions them</w:t>
      </w:r>
      <w:r w:rsidR="0047166E">
        <w:t>, noting that they do not help with the central issue of which attributes to measure.</w:t>
      </w:r>
      <w:r w:rsidR="00B13DFD">
        <w:t xml:space="preserve"> </w:t>
      </w:r>
      <w:r w:rsidR="00E97794">
        <w:t xml:space="preserve">Foucault (1970, p. 140), using Linnaeus as an exemplar, had also warned that identifying the </w:t>
      </w:r>
      <w:r w:rsidR="003A1248">
        <w:t>“</w:t>
      </w:r>
      <w:r w:rsidR="00E97794">
        <w:t>structure</w:t>
      </w:r>
      <w:r w:rsidR="003A1248">
        <w:t>”</w:t>
      </w:r>
      <w:r w:rsidR="00E97794">
        <w:t xml:space="preserve"> of things is only the first stage of classification; </w:t>
      </w:r>
      <w:r w:rsidR="007D2783">
        <w:t xml:space="preserve">because </w:t>
      </w:r>
      <w:r w:rsidR="00E97794">
        <w:t>it then becomes necessary to decide on which parts of structure to igno</w:t>
      </w:r>
      <w:r w:rsidR="00936DA4">
        <w:t>re, in order to concentrate on “character”</w:t>
      </w:r>
      <w:r w:rsidR="00E97794">
        <w:t xml:space="preserve">. For plants, Linnaeus </w:t>
      </w:r>
      <w:r w:rsidR="00E97794" w:rsidRPr="00CC7794">
        <w:rPr>
          <w:rFonts w:cs="AdvGulliv-R"/>
          <w:szCs w:val="24"/>
          <w:lang w:val="en-AU"/>
        </w:rPr>
        <w:t>(1751, section 164)</w:t>
      </w:r>
      <w:r w:rsidR="00E97794" w:rsidRPr="00CC7794">
        <w:rPr>
          <w:rFonts w:ascii="AdvGulliv-R" w:hAnsi="AdvGulliv-R" w:cs="AdvGulliv-R"/>
          <w:sz w:val="17"/>
          <w:szCs w:val="17"/>
          <w:lang w:val="en-AU"/>
        </w:rPr>
        <w:t xml:space="preserve"> </w:t>
      </w:r>
      <w:r w:rsidR="00E97794">
        <w:t xml:space="preserve">ignored everything but reproductive structure. </w:t>
      </w:r>
    </w:p>
    <w:p w14:paraId="47ECEC8D" w14:textId="4C2FF880" w:rsidR="009C0132" w:rsidRDefault="007E5495" w:rsidP="00A0394A">
      <w:pPr>
        <w:ind w:firstLine="720"/>
      </w:pPr>
      <w:r>
        <w:t>T</w:t>
      </w:r>
      <w:r w:rsidR="0047166E">
        <w:t>he difficulty of classif</w:t>
      </w:r>
      <w:r w:rsidR="00B13DFD">
        <w:t>ication increases from chemical elements</w:t>
      </w:r>
      <w:r w:rsidR="0047166E">
        <w:t xml:space="preserve"> (objects</w:t>
      </w:r>
      <w:r w:rsidR="00AA30ED">
        <w:t xml:space="preserve"> which are stable over time</w:t>
      </w:r>
      <w:r w:rsidR="0047166E">
        <w:t>) to biology (objects</w:t>
      </w:r>
      <w:r w:rsidR="00B13DFD">
        <w:t xml:space="preserve"> </w:t>
      </w:r>
      <w:r w:rsidR="00AA30ED">
        <w:t xml:space="preserve">which diverge, </w:t>
      </w:r>
      <w:r w:rsidR="009C0132">
        <w:t xml:space="preserve">except that there can be </w:t>
      </w:r>
      <w:r w:rsidR="00B13DFD">
        <w:t>hybrids</w:t>
      </w:r>
      <w:r w:rsidR="0047166E">
        <w:t>) to languages or accounting systems (</w:t>
      </w:r>
      <w:r w:rsidR="00DF7D28">
        <w:t>objects which can diverge or be hybrids</w:t>
      </w:r>
      <w:r w:rsidR="00DF7D28">
        <w:rPr>
          <w:rStyle w:val="FootnoteReference"/>
        </w:rPr>
        <w:footnoteReference w:id="3"/>
      </w:r>
      <w:r w:rsidR="00DF7D28">
        <w:t xml:space="preserve"> or can </w:t>
      </w:r>
      <w:r w:rsidR="0047166E">
        <w:t>converg</w:t>
      </w:r>
      <w:r w:rsidR="00AA30ED">
        <w:t>e</w:t>
      </w:r>
      <w:r w:rsidR="0047166E">
        <w:t>).</w:t>
      </w:r>
      <w:r w:rsidR="00606139">
        <w:t xml:space="preserve"> Roberts (1995</w:t>
      </w:r>
      <w:r w:rsidR="00F01401">
        <w:t>, p.</w:t>
      </w:r>
      <w:r w:rsidR="005746E7">
        <w:t xml:space="preserve"> 661</w:t>
      </w:r>
      <w:r w:rsidR="00F01401">
        <w:t>) and Bowker and Star (</w:t>
      </w:r>
      <w:r w:rsidR="0047166E">
        <w:t>2000</w:t>
      </w:r>
      <w:r w:rsidR="00F01401">
        <w:t>, p. 324) conclude that classification in mo</w:t>
      </w:r>
      <w:r w:rsidR="007D2783">
        <w:t>st fields inevitably involves</w:t>
      </w:r>
      <w:r w:rsidR="00F01401">
        <w:t xml:space="preserve"> subjectivity and ambiguity.</w:t>
      </w:r>
      <w:r w:rsidR="00B13DFD" w:rsidRPr="00B13DFD">
        <w:t xml:space="preserve"> </w:t>
      </w:r>
      <w:r w:rsidR="00B13DFD">
        <w:t xml:space="preserve">Roberts proposes a teleological approach: focusing on the purpose of a classification and its usefulness in that context. </w:t>
      </w:r>
      <w:r>
        <w:t>Based on the above, Roberts (pp. 646, 652) issues warnings against particular classification methods: the statistical “overall similarity” approach which does not identify the essence of objects, and the diachronic “family tree” approach for such fields as languages and accounting systems because convergence is a major contributor to development,</w:t>
      </w:r>
      <w:r w:rsidRPr="00D30299">
        <w:t xml:space="preserve"> </w:t>
      </w:r>
      <w:r>
        <w:t>unlike in biology (for which divergence is key).</w:t>
      </w:r>
      <w:r w:rsidR="00A0394A">
        <w:t xml:space="preserve"> </w:t>
      </w:r>
    </w:p>
    <w:p w14:paraId="673BAB12" w14:textId="7F8B97CE" w:rsidR="00FC1B4A" w:rsidRDefault="00A0394A" w:rsidP="009C0132">
      <w:pPr>
        <w:ind w:firstLine="720"/>
      </w:pPr>
      <w:r>
        <w:lastRenderedPageBreak/>
        <w:t xml:space="preserve">We may be dazzled by the brilliance and usefulness of Mendeleev’s periodic table. However, from many other fields, there are warnings </w:t>
      </w:r>
      <w:r w:rsidR="00AA30ED">
        <w:t xml:space="preserve">(discussed </w:t>
      </w:r>
      <w:r>
        <w:t>above</w:t>
      </w:r>
      <w:r w:rsidR="00AA30ED">
        <w:t>)</w:t>
      </w:r>
      <w:r>
        <w:t xml:space="preserve"> about the difficulties of classification, and there is little by way of convincing guidance about how to do it well. </w:t>
      </w:r>
      <w:r w:rsidR="009C0132">
        <w:t xml:space="preserve">As a final alarming point, I note that, although chemists have a clear definition of </w:t>
      </w:r>
      <w:r w:rsidR="00CE41CB">
        <w:t>“</w:t>
      </w:r>
      <w:r w:rsidR="009C0132">
        <w:t>element</w:t>
      </w:r>
      <w:r w:rsidR="00CE41CB">
        <w:t>”</w:t>
      </w:r>
      <w:r w:rsidR="009C0132">
        <w:t xml:space="preserve">, biological classifiers have not agreed upon a definition of </w:t>
      </w:r>
      <w:r w:rsidR="00CE41CB">
        <w:t>“</w:t>
      </w:r>
      <w:r w:rsidR="009C0132">
        <w:t>species</w:t>
      </w:r>
      <w:r w:rsidR="00CE41CB">
        <w:t>”</w:t>
      </w:r>
      <w:r w:rsidR="009C0132">
        <w:rPr>
          <w:rStyle w:val="FootnoteReference"/>
        </w:rPr>
        <w:footnoteReference w:id="4"/>
      </w:r>
      <w:r w:rsidR="009C0132">
        <w:t xml:space="preserve"> and c</w:t>
      </w:r>
      <w:r w:rsidR="007D2783">
        <w:t xml:space="preserve">osmologists have been changing the </w:t>
      </w:r>
      <w:r w:rsidR="009C0132">
        <w:t xml:space="preserve">definition of </w:t>
      </w:r>
      <w:r w:rsidR="00CE41CB">
        <w:t>“</w:t>
      </w:r>
      <w:r w:rsidR="009C0132">
        <w:t>planet</w:t>
      </w:r>
      <w:r w:rsidR="00CE41CB">
        <w:t>”</w:t>
      </w:r>
      <w:r w:rsidR="009C0132">
        <w:t xml:space="preserve"> (see below). </w:t>
      </w:r>
      <w:r w:rsidR="001C2B84">
        <w:t>Thus, I conclude that, in international accounting, we c</w:t>
      </w:r>
      <w:r>
        <w:t>annot reasonably aspire to</w:t>
      </w:r>
      <w:r w:rsidR="00CE41CB">
        <w:t xml:space="preserve"> a</w:t>
      </w:r>
      <w:r w:rsidR="001C2B84">
        <w:t xml:space="preserve"> classification </w:t>
      </w:r>
      <w:r w:rsidR="00CE41CB">
        <w:t xml:space="preserve">as good a Mendeleev’s </w:t>
      </w:r>
      <w:r w:rsidR="001C2B84">
        <w:t xml:space="preserve">but should try to </w:t>
      </w:r>
      <w:r w:rsidR="0047166E">
        <w:t xml:space="preserve">avoid </w:t>
      </w:r>
      <w:r w:rsidR="001C2B84">
        <w:t xml:space="preserve">various forms of </w:t>
      </w:r>
      <w:r w:rsidR="00CE41CB">
        <w:t>poor</w:t>
      </w:r>
      <w:r w:rsidR="0047166E">
        <w:t xml:space="preserve"> classi</w:t>
      </w:r>
      <w:r w:rsidR="00FC1B4A">
        <w:t>fication</w:t>
      </w:r>
      <w:r w:rsidR="001C2B84">
        <w:t>.</w:t>
      </w:r>
      <w:r w:rsidR="0047166E">
        <w:t xml:space="preserve"> </w:t>
      </w:r>
    </w:p>
    <w:p w14:paraId="771EC72C" w14:textId="7B33E9F2" w:rsidR="00916B18" w:rsidRDefault="00B82649" w:rsidP="00916B18">
      <w:pPr>
        <w:ind w:firstLine="720"/>
      </w:pPr>
      <w:r>
        <w:t>In seeki</w:t>
      </w:r>
      <w:r w:rsidR="009127B0">
        <w:t xml:space="preserve">ng to create a method for identifying </w:t>
      </w:r>
      <w:r w:rsidR="00AA30ED">
        <w:t xml:space="preserve">the features of </w:t>
      </w:r>
      <w:r>
        <w:t>misclassification, a</w:t>
      </w:r>
      <w:r w:rsidR="007E5020">
        <w:t xml:space="preserve">n analogy </w:t>
      </w:r>
      <w:r>
        <w:t>from financial reporti</w:t>
      </w:r>
      <w:r w:rsidR="009127B0">
        <w:t xml:space="preserve">ng is </w:t>
      </w:r>
      <w:r>
        <w:t>useful</w:t>
      </w:r>
      <w:r w:rsidR="00A0394A">
        <w:t>, as follows</w:t>
      </w:r>
      <w:r>
        <w:t>. W</w:t>
      </w:r>
      <w:r w:rsidR="007E5020">
        <w:t xml:space="preserve">hen </w:t>
      </w:r>
      <w:r>
        <w:t>accountants</w:t>
      </w:r>
      <w:r w:rsidR="007E5020">
        <w:t xml:space="preserve"> have prepared </w:t>
      </w:r>
      <w:r>
        <w:t>a company’s</w:t>
      </w:r>
      <w:r w:rsidR="007E5020">
        <w:t xml:space="preserve"> </w:t>
      </w:r>
      <w:r w:rsidR="00D30299">
        <w:t xml:space="preserve">financial statements, having ensured that the statements comply with </w:t>
      </w:r>
      <w:r w:rsidR="007E5020">
        <w:t>all the detail</w:t>
      </w:r>
      <w:r w:rsidR="00CE7A70">
        <w:t>s in</w:t>
      </w:r>
      <w:r w:rsidR="007E5020">
        <w:t xml:space="preserve"> the </w:t>
      </w:r>
      <w:r w:rsidR="00D30299">
        <w:t xml:space="preserve">applicable </w:t>
      </w:r>
      <w:r w:rsidR="007E5020">
        <w:t xml:space="preserve">laws and standards, </w:t>
      </w:r>
      <w:r w:rsidR="00CE7A70">
        <w:t xml:space="preserve">the accountants </w:t>
      </w:r>
      <w:r w:rsidR="00FC22E1">
        <w:t>in many countries</w:t>
      </w:r>
      <w:r w:rsidR="00FC22E1">
        <w:rPr>
          <w:rStyle w:val="FootnoteReference"/>
        </w:rPr>
        <w:footnoteReference w:id="5"/>
      </w:r>
      <w:r w:rsidR="00FC22E1">
        <w:t xml:space="preserve"> </w:t>
      </w:r>
      <w:r w:rsidR="00CE7A70">
        <w:t>(and later the auditors)</w:t>
      </w:r>
      <w:r w:rsidR="007E5020">
        <w:t xml:space="preserve"> must do</w:t>
      </w:r>
      <w:r w:rsidR="00385B99">
        <w:t xml:space="preserve"> something entirel</w:t>
      </w:r>
      <w:r w:rsidR="00D30299">
        <w:t>y different: step back and ask “</w:t>
      </w:r>
      <w:r w:rsidR="00385B99">
        <w:t>Do the statements</w:t>
      </w:r>
      <w:r w:rsidR="001C5EE9">
        <w:t xml:space="preserve"> give a true and fair view?</w:t>
      </w:r>
      <w:proofErr w:type="gramStart"/>
      <w:r w:rsidR="00D30299">
        <w:t>”</w:t>
      </w:r>
      <w:r w:rsidR="00CE7A70">
        <w:t>.</w:t>
      </w:r>
      <w:proofErr w:type="gramEnd"/>
      <w:r w:rsidR="00201554">
        <w:t xml:space="preserve"> </w:t>
      </w:r>
      <w:r w:rsidR="00685FA4">
        <w:t xml:space="preserve">The existence of two adjectives </w:t>
      </w:r>
      <w:r w:rsidR="007D2783">
        <w:t xml:space="preserve">in this </w:t>
      </w:r>
      <w:r w:rsidR="00775E82">
        <w:t xml:space="preserve">  </w:t>
      </w:r>
      <w:r w:rsidR="007D2783">
        <w:t xml:space="preserve">requirement </w:t>
      </w:r>
      <w:r w:rsidR="00685FA4">
        <w:t xml:space="preserve">reminds us that the accounting information should be both in accordance with the facts (i.e. true) </w:t>
      </w:r>
      <w:r w:rsidR="00EB6BA7">
        <w:t xml:space="preserve">and not misleading (i.e. fair); and it </w:t>
      </w:r>
      <w:r w:rsidR="00CE7A70">
        <w:t>is possible for inf</w:t>
      </w:r>
      <w:r w:rsidR="003D732E">
        <w:t>ormation to be true but misleading</w:t>
      </w:r>
      <w:r w:rsidR="00CE7A70">
        <w:t>.</w:t>
      </w:r>
      <w:r w:rsidR="002E5D89">
        <w:rPr>
          <w:rStyle w:val="FootnoteReference"/>
        </w:rPr>
        <w:footnoteReference w:id="6"/>
      </w:r>
      <w:r w:rsidR="00CE7A70">
        <w:t xml:space="preserve"> </w:t>
      </w:r>
      <w:r w:rsidR="00CA0359">
        <w:t xml:space="preserve">These ideas </w:t>
      </w:r>
      <w:r w:rsidR="00EB6BA7">
        <w:t xml:space="preserve">now </w:t>
      </w:r>
      <w:r w:rsidR="00CA0359">
        <w:t>form part of</w:t>
      </w:r>
      <w:r w:rsidR="009127B0">
        <w:t xml:space="preserve"> the concept</w:t>
      </w:r>
      <w:r w:rsidR="00D30299">
        <w:t xml:space="preserve"> of “faithful representation”</w:t>
      </w:r>
      <w:r w:rsidR="00685FA4">
        <w:t xml:space="preserve"> </w:t>
      </w:r>
      <w:r w:rsidR="00EB6BA7">
        <w:t xml:space="preserve">(FR) </w:t>
      </w:r>
      <w:r w:rsidR="00685FA4">
        <w:t>(IASB, 20</w:t>
      </w:r>
      <w:r w:rsidR="00CA0359">
        <w:t>10, para</w:t>
      </w:r>
      <w:r w:rsidR="00622CBC">
        <w:t>s</w:t>
      </w:r>
      <w:r w:rsidR="00CA0359">
        <w:t>. QC12</w:t>
      </w:r>
      <w:r w:rsidR="00284572">
        <w:t xml:space="preserve"> and BC3.44</w:t>
      </w:r>
      <w:r w:rsidR="00685FA4">
        <w:t>)</w:t>
      </w:r>
      <w:r w:rsidR="00284572">
        <w:t>,</w:t>
      </w:r>
      <w:r w:rsidR="00CE7A70">
        <w:t xml:space="preserve"> which</w:t>
      </w:r>
      <w:r w:rsidR="00284572">
        <w:t xml:space="preserve"> </w:t>
      </w:r>
      <w:r w:rsidR="00DA704A">
        <w:t>includes assessing t</w:t>
      </w:r>
      <w:r w:rsidR="00EB6BA7">
        <w:t xml:space="preserve">he </w:t>
      </w:r>
      <w:r w:rsidR="00EB6BA7">
        <w:lastRenderedPageBreak/>
        <w:t>substance of arrangements if this is different from the</w:t>
      </w:r>
      <w:r w:rsidR="003D732E">
        <w:t>ir</w:t>
      </w:r>
      <w:r w:rsidR="00EB6BA7">
        <w:t xml:space="preserve"> </w:t>
      </w:r>
      <w:r w:rsidR="00DA704A">
        <w:t xml:space="preserve">superficial form (IASB, 2015, </w:t>
      </w:r>
      <w:r w:rsidR="009A075A">
        <w:t>para. 2.14).</w:t>
      </w:r>
      <w:r w:rsidR="00CE7A70" w:rsidRPr="00CE7A70">
        <w:t xml:space="preserve"> </w:t>
      </w:r>
    </w:p>
    <w:p w14:paraId="72CBE9ED" w14:textId="56C9AC9F" w:rsidR="00CE7A70" w:rsidRDefault="00685FA4" w:rsidP="00DA704A">
      <w:pPr>
        <w:ind w:firstLine="720"/>
      </w:pPr>
      <w:r>
        <w:t>The other key qualitative characteristic of information, acco</w:t>
      </w:r>
      <w:r w:rsidR="00CA0359">
        <w:t>rding to the</w:t>
      </w:r>
      <w:r w:rsidR="00CE41CB">
        <w:t xml:space="preserve"> International Accounting Standards Board</w:t>
      </w:r>
      <w:r w:rsidR="00CA0359">
        <w:t xml:space="preserve"> </w:t>
      </w:r>
      <w:r w:rsidR="00CE41CB">
        <w:t>(</w:t>
      </w:r>
      <w:r w:rsidR="00CA0359">
        <w:t>IASB</w:t>
      </w:r>
      <w:r w:rsidR="00CE41CB">
        <w:t>)</w:t>
      </w:r>
      <w:r w:rsidR="00CE7A70">
        <w:t>,</w:t>
      </w:r>
      <w:r w:rsidR="00CA0359">
        <w:t xml:space="preserve"> </w:t>
      </w:r>
      <w:r>
        <w:t>is relevance</w:t>
      </w:r>
      <w:r w:rsidR="00CE7A70">
        <w:t xml:space="preserve"> (2010, para. QC6)</w:t>
      </w:r>
      <w:r w:rsidR="00D30299">
        <w:t xml:space="preserve">. </w:t>
      </w:r>
      <w:r>
        <w:t>This can be interpreted as meaning potential us</w:t>
      </w:r>
      <w:r w:rsidR="00DA704A">
        <w:t>efulness for making decisions</w:t>
      </w:r>
      <w:r w:rsidR="003D732E">
        <w:t xml:space="preserve">, which chimes with Roberts’ </w:t>
      </w:r>
      <w:r w:rsidR="00A005EC">
        <w:t>teleological approach</w:t>
      </w:r>
      <w:r w:rsidR="00DA704A">
        <w:t xml:space="preserve">. </w:t>
      </w:r>
      <w:r w:rsidR="009127B0">
        <w:t>I will use</w:t>
      </w:r>
      <w:r w:rsidR="00616CB5">
        <w:t xml:space="preserve"> the relevance</w:t>
      </w:r>
      <w:r w:rsidR="00A0394A">
        <w:t xml:space="preserve"> criterion</w:t>
      </w:r>
      <w:r w:rsidR="00323D2F" w:rsidRPr="00323D2F">
        <w:t xml:space="preserve"> </w:t>
      </w:r>
      <w:r w:rsidR="00323D2F">
        <w:t xml:space="preserve">(in addition to </w:t>
      </w:r>
      <w:r w:rsidR="00B3461B">
        <w:t xml:space="preserve">the </w:t>
      </w:r>
      <w:r w:rsidR="00323D2F">
        <w:t>FR</w:t>
      </w:r>
      <w:r w:rsidR="00B3461B">
        <w:t xml:space="preserve"> test</w:t>
      </w:r>
      <w:r w:rsidR="00323D2F">
        <w:t>)</w:t>
      </w:r>
      <w:r>
        <w:t>, noting that some classificatio</w:t>
      </w:r>
      <w:r w:rsidR="009B5824">
        <w:t xml:space="preserve">ns can exhibit FR but are not </w:t>
      </w:r>
      <w:r>
        <w:t>very useful</w:t>
      </w:r>
      <w:r w:rsidR="009B5824">
        <w:t xml:space="preserve"> because they concentrate on regulations rather than on practices</w:t>
      </w:r>
      <w:r>
        <w:t>.</w:t>
      </w:r>
      <w:r w:rsidR="00E95771">
        <w:t xml:space="preserve"> </w:t>
      </w:r>
    </w:p>
    <w:p w14:paraId="13DA2E8C" w14:textId="11A03556" w:rsidR="00DF0B73" w:rsidRDefault="009C75B1" w:rsidP="00DA704A">
      <w:pPr>
        <w:ind w:firstLine="720"/>
      </w:pPr>
      <w:r>
        <w:t>Thus, I suggest (and I intend to demonstrate, below) that</w:t>
      </w:r>
      <w:r w:rsidR="00DF0B73">
        <w:t xml:space="preserve"> some classifications are poor because they are based on untrue data</w:t>
      </w:r>
      <w:r>
        <w:t>, and this will mean that the</w:t>
      </w:r>
      <w:r w:rsidR="00DF0B73">
        <w:t xml:space="preserve"> classificatio</w:t>
      </w:r>
      <w:r w:rsidR="00323D2F">
        <w:t xml:space="preserve">n </w:t>
      </w:r>
      <w:r>
        <w:t xml:space="preserve">itself </w:t>
      </w:r>
      <w:r w:rsidR="00323D2F">
        <w:t>is untrue</w:t>
      </w:r>
      <w:r>
        <w:t xml:space="preserve"> and</w:t>
      </w:r>
      <w:r w:rsidR="00852537">
        <w:t xml:space="preserve"> therefore </w:t>
      </w:r>
      <w:r w:rsidR="00323D2F">
        <w:t>will not be able to give a FR</w:t>
      </w:r>
      <w:r w:rsidR="00DF0B73">
        <w:t xml:space="preserve">. </w:t>
      </w:r>
      <w:r>
        <w:t>Furthermore</w:t>
      </w:r>
      <w:r w:rsidR="00DF0B73">
        <w:t xml:space="preserve">, </w:t>
      </w:r>
      <w:r w:rsidR="00323D2F">
        <w:t xml:space="preserve">even </w:t>
      </w:r>
      <w:r>
        <w:t>some</w:t>
      </w:r>
      <w:r w:rsidR="00DF0B73">
        <w:t xml:space="preserve"> classification</w:t>
      </w:r>
      <w:r>
        <w:t>s</w:t>
      </w:r>
      <w:r w:rsidR="00DF0B73">
        <w:t xml:space="preserve"> </w:t>
      </w:r>
      <w:r w:rsidR="00852537">
        <w:t>which are true are nevertheless</w:t>
      </w:r>
      <w:r w:rsidR="00DF0B73">
        <w:t xml:space="preserve"> </w:t>
      </w:r>
      <w:r w:rsidR="00852537">
        <w:t xml:space="preserve">unable to give a FR because they are </w:t>
      </w:r>
      <w:r w:rsidR="00521BD5">
        <w:t xml:space="preserve">unfair or </w:t>
      </w:r>
      <w:r w:rsidR="00DF0B73">
        <w:t>misleading.</w:t>
      </w:r>
      <w:r w:rsidR="00323D2F">
        <w:t xml:space="preserve"> </w:t>
      </w:r>
      <w:r>
        <w:t>Lastly</w:t>
      </w:r>
      <w:r w:rsidR="00323D2F">
        <w:t>, even some classifications which give a FR can lack relevance or usefulness.</w:t>
      </w:r>
    </w:p>
    <w:p w14:paraId="343877AB" w14:textId="42A0D06D" w:rsidR="00B3461B" w:rsidRDefault="00F4284A" w:rsidP="00B3461B">
      <w:pPr>
        <w:ind w:firstLine="720"/>
      </w:pPr>
      <w:r>
        <w:t xml:space="preserve">To encourage us to apply this method repeatedly to the work of ourselves and others, another </w:t>
      </w:r>
      <w:r w:rsidR="00462571">
        <w:t>idea</w:t>
      </w:r>
      <w:r>
        <w:t xml:space="preserve"> from the practical world of accounting is helpful: auditors are enjoined to use “professional scepticism” (FRC, 2012).</w:t>
      </w:r>
      <w:r w:rsidR="00B3461B" w:rsidRPr="00B3461B">
        <w:t xml:space="preserve"> </w:t>
      </w:r>
      <w:r w:rsidR="00B3461B">
        <w:t xml:space="preserve">Of course, scepticism has a very long history in philosophy (Hankinson, 1995). It was central in the development of modernity in science; see, for example, </w:t>
      </w:r>
      <w:r w:rsidR="00C91683">
        <w:t>“</w:t>
      </w:r>
      <w:r w:rsidR="00B3461B" w:rsidRPr="006F7BAD">
        <w:rPr>
          <w:i/>
          <w:szCs w:val="24"/>
        </w:rPr>
        <w:t xml:space="preserve">The Sceptical </w:t>
      </w:r>
      <w:proofErr w:type="spellStart"/>
      <w:r w:rsidR="00B3461B" w:rsidRPr="006F7BAD">
        <w:rPr>
          <w:i/>
          <w:szCs w:val="24"/>
        </w:rPr>
        <w:t>Chymist</w:t>
      </w:r>
      <w:proofErr w:type="spellEnd"/>
      <w:r w:rsidR="00C91683">
        <w:rPr>
          <w:i/>
          <w:szCs w:val="24"/>
        </w:rPr>
        <w:t>”</w:t>
      </w:r>
      <w:r w:rsidR="00B3461B">
        <w:t xml:space="preserve"> (Boyle, 1661). It can be expressed as </w:t>
      </w:r>
      <w:r w:rsidR="00C91683">
        <w:t>“</w:t>
      </w:r>
      <w:r w:rsidR="00B3461B" w:rsidRPr="006F7BAD">
        <w:rPr>
          <w:i/>
        </w:rPr>
        <w:t>The Will to Doubt</w:t>
      </w:r>
      <w:r w:rsidR="00C91683">
        <w:t>”</w:t>
      </w:r>
      <w:r w:rsidR="00B3461B">
        <w:t xml:space="preserve"> (Russell, 1958, e.g. see p. 22). </w:t>
      </w:r>
      <w:r>
        <w:t xml:space="preserve"> </w:t>
      </w:r>
    </w:p>
    <w:p w14:paraId="7553A78C" w14:textId="2C8DEDDD" w:rsidR="00F4284A" w:rsidRDefault="00F4284A" w:rsidP="00B3461B">
      <w:pPr>
        <w:ind w:firstLine="720"/>
      </w:pPr>
      <w:r>
        <w:t>The academic literature on auditing discusses two versions of scepticism: “neutrality” or “presumptive doubt”; and it asks which should be applied and which is found in practice (</w:t>
      </w:r>
      <w:proofErr w:type="spellStart"/>
      <w:r>
        <w:t>Quadackers</w:t>
      </w:r>
      <w:proofErr w:type="spellEnd"/>
      <w:r>
        <w:t xml:space="preserve"> </w:t>
      </w:r>
      <w:r w:rsidRPr="006F7BAD">
        <w:rPr>
          <w:i/>
        </w:rPr>
        <w:t>et al.</w:t>
      </w:r>
      <w:r>
        <w:t xml:space="preserve">, 2014). The latter version implies that auditors </w:t>
      </w:r>
      <w:r>
        <w:lastRenderedPageBreak/>
        <w:t>should be disposed against believing assertions, in particular those of</w:t>
      </w:r>
      <w:r w:rsidR="00B3461B">
        <w:t xml:space="preserve"> company management. It is </w:t>
      </w:r>
      <w:r>
        <w:t>“presumptive doubt” which</w:t>
      </w:r>
      <w:r w:rsidR="00B3461B">
        <w:t xml:space="preserve"> I suggest should </w:t>
      </w:r>
      <w:r>
        <w:t xml:space="preserve">be </w:t>
      </w:r>
      <w:r w:rsidR="00271458">
        <w:t>a state of mind of</w:t>
      </w:r>
      <w:r w:rsidR="00B3461B">
        <w:t xml:space="preserve"> classifiers and users of classifications</w:t>
      </w:r>
      <w:r>
        <w:t>. This includes assuming that one’s data source might be wrong, and subjecting both it and one’s conc</w:t>
      </w:r>
      <w:r w:rsidR="001B76A3">
        <w:t>lusions to a robust test for FR</w:t>
      </w:r>
      <w:r>
        <w:t>.</w:t>
      </w:r>
    </w:p>
    <w:p w14:paraId="2E45AD5E" w14:textId="44A1439C" w:rsidR="00462571" w:rsidRDefault="00462571" w:rsidP="00B3461B">
      <w:pPr>
        <w:ind w:firstLine="720"/>
      </w:pPr>
      <w:r>
        <w:t>Although I have expressed the proposed method of this section in terms used by accountants</w:t>
      </w:r>
      <w:r w:rsidRPr="00462571">
        <w:t xml:space="preserve"> </w:t>
      </w:r>
      <w:r>
        <w:t>(such as “substance over form”), I will first use the method to assess classifications in several other fields. Academics interested in classification in general might wish to assess whether the proposal is indeed useful outside of accounting, perhaps replacing “substance over form” with</w:t>
      </w:r>
      <w:r w:rsidR="001931A3">
        <w:t xml:space="preserve"> “structural rather than superficial” and so on.</w:t>
      </w:r>
    </w:p>
    <w:p w14:paraId="254F8A31" w14:textId="6F3D3853" w:rsidR="00CC7794" w:rsidRPr="00970822" w:rsidRDefault="00CC7794" w:rsidP="00CC7794">
      <w:pPr>
        <w:pStyle w:val="ListParagraph"/>
        <w:numPr>
          <w:ilvl w:val="0"/>
          <w:numId w:val="1"/>
        </w:numPr>
        <w:spacing w:before="240"/>
        <w:rPr>
          <w:b/>
        </w:rPr>
      </w:pPr>
      <w:r>
        <w:rPr>
          <w:b/>
        </w:rPr>
        <w:t>Poor classifications in various disciplines</w:t>
      </w:r>
      <w:r w:rsidR="00147BEA" w:rsidRPr="00147BEA">
        <w:rPr>
          <w:b/>
        </w:rPr>
        <w:t xml:space="preserve"> </w:t>
      </w:r>
      <w:r w:rsidR="00147BEA">
        <w:rPr>
          <w:b/>
        </w:rPr>
        <w:t>other than accounting</w:t>
      </w:r>
    </w:p>
    <w:p w14:paraId="777535AA" w14:textId="77777777" w:rsidR="00CC7794" w:rsidRDefault="00CC7794" w:rsidP="00CC7794">
      <w:pPr>
        <w:ind w:firstLine="720"/>
      </w:pPr>
      <w:r>
        <w:t xml:space="preserve">Nobes </w:t>
      </w:r>
      <w:r w:rsidR="007A73C8">
        <w:t xml:space="preserve">and </w:t>
      </w:r>
      <w:proofErr w:type="spellStart"/>
      <w:r w:rsidR="007A73C8">
        <w:t>Stadler</w:t>
      </w:r>
      <w:proofErr w:type="spellEnd"/>
      <w:r w:rsidR="007A73C8">
        <w:t xml:space="preserve"> (2013) examined several</w:t>
      </w:r>
      <w:r>
        <w:t xml:space="preserve"> non-accounting classifications as a prelude to asking whether accounting classification can be other than arbitrary. These classifications</w:t>
      </w:r>
      <w:r w:rsidR="001B76A3">
        <w:t>, and some others,</w:t>
      </w:r>
      <w:r>
        <w:t xml:space="preserve"> are reviewed here for the purpose of</w:t>
      </w:r>
      <w:r w:rsidR="001B76A3">
        <w:t xml:space="preserve"> identifying and articulat</w:t>
      </w:r>
      <w:r w:rsidR="00C054BE">
        <w:t>ing their flaws in terms of the method proposed in Section 2</w:t>
      </w:r>
      <w:r>
        <w:t xml:space="preserve">. </w:t>
      </w:r>
    </w:p>
    <w:p w14:paraId="6698BFFA" w14:textId="082545F9" w:rsidR="00FC066A" w:rsidRDefault="001B76A3" w:rsidP="00FC066A">
      <w:pPr>
        <w:ind w:firstLine="720"/>
      </w:pPr>
      <w:r>
        <w:t xml:space="preserve">We can start with the </w:t>
      </w:r>
      <w:r w:rsidR="00FC066A">
        <w:t>alchemical solid/liquid/gas classification</w:t>
      </w:r>
      <w:r>
        <w:t>.</w:t>
      </w:r>
      <w:r w:rsidR="00FC066A">
        <w:t xml:space="preserve"> The fact that mercury, molten lead and liquid nitrogen are liquids is not </w:t>
      </w:r>
      <w:r>
        <w:t xml:space="preserve">a </w:t>
      </w:r>
      <w:r w:rsidR="00FC066A">
        <w:t xml:space="preserve">convincing </w:t>
      </w:r>
      <w:r>
        <w:t xml:space="preserve">point </w:t>
      </w:r>
      <w:r w:rsidR="00FC066A">
        <w:t xml:space="preserve">because anything can be liquid, depending on temperature and pressure. So the latter two variables need to be kept constant before a FR can be given. Even then, the relevance of the three-way chemical classification (e.g. even on </w:t>
      </w:r>
      <w:r w:rsidR="00B662DD">
        <w:t>E</w:t>
      </w:r>
      <w:r w:rsidR="00FC066A">
        <w:t xml:space="preserve">arth, at sea level and at 15ᵒ Celsius) </w:t>
      </w:r>
      <w:r w:rsidR="00C91683">
        <w:t>can now be seen as</w:t>
      </w:r>
      <w:r w:rsidR="00FC066A">
        <w:t xml:space="preserve"> doubtful</w:t>
      </w:r>
      <w:r w:rsidRPr="001B76A3">
        <w:t xml:space="preserve"> </w:t>
      </w:r>
      <w:r>
        <w:t xml:space="preserve">because it concentrates on form rather than </w:t>
      </w:r>
      <w:r w:rsidR="00B662DD">
        <w:t xml:space="preserve">on </w:t>
      </w:r>
      <w:r>
        <w:t>substance</w:t>
      </w:r>
      <w:r w:rsidR="00B662DD">
        <w:t>, such as</w:t>
      </w:r>
      <w:r>
        <w:t xml:space="preserve"> atomic weight and </w:t>
      </w:r>
      <w:r w:rsidR="00B662DD">
        <w:t xml:space="preserve">the </w:t>
      </w:r>
      <w:r>
        <w:t>number of electrons in the outer shell.</w:t>
      </w:r>
    </w:p>
    <w:p w14:paraId="0D09D887" w14:textId="458E508F" w:rsidR="00CC7794" w:rsidRDefault="00CC7794" w:rsidP="00CC7794">
      <w:pPr>
        <w:ind w:firstLine="720"/>
      </w:pPr>
      <w:r>
        <w:lastRenderedPageBreak/>
        <w:t>Socrates and Plato classified man as a “featherless biped”, which was criticised at the time</w:t>
      </w:r>
      <w:r>
        <w:rPr>
          <w:rStyle w:val="FootnoteReference"/>
        </w:rPr>
        <w:footnoteReference w:id="7"/>
      </w:r>
      <w:r>
        <w:t xml:space="preserve"> and is not now re</w:t>
      </w:r>
      <w:r w:rsidR="001B76A3">
        <w:t>garded as insightful</w:t>
      </w:r>
      <w:r>
        <w:t>. Figure 1 proposes a fuller</w:t>
      </w:r>
      <w:r w:rsidR="00572FD4">
        <w:rPr>
          <w:rStyle w:val="FootnoteReference"/>
        </w:rPr>
        <w:footnoteReference w:id="8"/>
      </w:r>
      <w:r>
        <w:t xml:space="preserve"> zoologi</w:t>
      </w:r>
      <w:r w:rsidR="001B76A3">
        <w:t xml:space="preserve">cal classification based on counting </w:t>
      </w:r>
      <w:r>
        <w:t xml:space="preserve">the visible number of feet. There are four types of mammal in Figure 1, spread around the pedal classes. Instead of this, a classification showing all mammals together would better fit the skeletal and DNA evidence, and it would provide </w:t>
      </w:r>
      <w:r w:rsidR="00832122">
        <w:t xml:space="preserve">better predictions about </w:t>
      </w:r>
      <w:r w:rsidR="00E31FF4">
        <w:t>a large number of the</w:t>
      </w:r>
      <w:r>
        <w:t xml:space="preserve"> characteristics</w:t>
      </w:r>
      <w:r w:rsidR="00E31FF4">
        <w:t xml:space="preserve"> of the animals</w:t>
      </w:r>
      <w:r>
        <w:t>. Ironically</w:t>
      </w:r>
      <w:r w:rsidR="00832122">
        <w:t xml:space="preserve">, biologists still classify a </w:t>
      </w:r>
      <w:r>
        <w:t xml:space="preserve">bird and </w:t>
      </w:r>
      <w:proofErr w:type="gramStart"/>
      <w:r w:rsidRPr="002F355C">
        <w:rPr>
          <w:i/>
        </w:rPr>
        <w:t>homo</w:t>
      </w:r>
      <w:proofErr w:type="gramEnd"/>
      <w:r w:rsidRPr="002F355C">
        <w:rPr>
          <w:i/>
        </w:rPr>
        <w:t xml:space="preserve"> sapiens</w:t>
      </w:r>
      <w:r>
        <w:t xml:space="preserve"> in the same super-class called </w:t>
      </w:r>
      <w:proofErr w:type="spellStart"/>
      <w:r>
        <w:t>tetrapoda</w:t>
      </w:r>
      <w:proofErr w:type="spellEnd"/>
      <w:r>
        <w:t xml:space="preserve">, even though neither animal ostensibly has four feet. </w:t>
      </w:r>
      <w:proofErr w:type="spellStart"/>
      <w:r>
        <w:t>Tetrapoda</w:t>
      </w:r>
      <w:proofErr w:type="spellEnd"/>
      <w:r>
        <w:t xml:space="preserve"> obviously also include four-footed mammals, reptiles and dinosaurs. Furthermore, the super-class includes dolphins and snakes which apparently have no feet. However, skeletal evidence reveals </w:t>
      </w:r>
      <w:r w:rsidR="00E31FF4">
        <w:t xml:space="preserve">that these animals have </w:t>
      </w:r>
      <w:r>
        <w:t>vestigial feet,</w:t>
      </w:r>
      <w:r>
        <w:rPr>
          <w:rStyle w:val="FootnoteReference"/>
        </w:rPr>
        <w:footnoteReference w:id="9"/>
      </w:r>
      <w:r>
        <w:t xml:space="preserve"> and (more recently) DNA evidence backs up the family relationships previously inferred by biologists.</w:t>
      </w:r>
    </w:p>
    <w:p w14:paraId="4DC46C70" w14:textId="67A147F6" w:rsidR="00C054BE" w:rsidRDefault="00CC7794" w:rsidP="00CC7794">
      <w:pPr>
        <w:ind w:firstLine="720"/>
      </w:pPr>
      <w:r>
        <w:t xml:space="preserve"> </w:t>
      </w:r>
      <w:r w:rsidR="00C054BE">
        <w:t>The classification shown as Figure 1</w:t>
      </w:r>
      <w:r w:rsidR="00832122">
        <w:t xml:space="preserve"> </w:t>
      </w:r>
      <w:r w:rsidR="00C054BE">
        <w:t>is true in a narrow sense. However, it fails the FR test because it relies upon form (the outwardly visible number of feet) rather than substance (such as skeletal arrangement, reproductive system, descent and DNA).</w:t>
      </w:r>
      <w:r w:rsidR="0049304C" w:rsidRPr="0049304C">
        <w:t xml:space="preserve"> </w:t>
      </w:r>
      <w:r w:rsidR="0049304C">
        <w:t>Its grouping of dolphin, anaconda, shark and worm is not relevant for any apparent purpose, such as explaining the origins of particular animals or predicting their behaviou</w:t>
      </w:r>
      <w:r w:rsidR="003D7EE3">
        <w:t>r</w:t>
      </w:r>
      <w:r w:rsidR="0049304C">
        <w:t>s.</w:t>
      </w:r>
      <w:r w:rsidR="00C054BE">
        <w:t xml:space="preserve"> </w:t>
      </w:r>
    </w:p>
    <w:p w14:paraId="0380E3C7" w14:textId="69F2FDB1" w:rsidR="00CC7794" w:rsidRDefault="00CC7794" w:rsidP="00C054BE">
      <w:pPr>
        <w:ind w:firstLine="720"/>
      </w:pPr>
      <w:r>
        <w:t xml:space="preserve">Somewhat later than the pedal classification, Aristotle set out a “great chain of being” comprising six classes: God, angels, man, animals, plants, minerals (Lovejoy, </w:t>
      </w:r>
      <w:r>
        <w:lastRenderedPageBreak/>
        <w:t xml:space="preserve">1964). This classification made </w:t>
      </w:r>
      <w:r w:rsidRPr="007E5495">
        <w:rPr>
          <w:i/>
        </w:rPr>
        <w:t>homo sapiens</w:t>
      </w:r>
      <w:r>
        <w:t xml:space="preserve"> f</w:t>
      </w:r>
      <w:r w:rsidR="00832122">
        <w:t>eel superior for millennia</w:t>
      </w:r>
      <w:r w:rsidR="0049304C">
        <w:t xml:space="preserve"> but it </w:t>
      </w:r>
      <w:r w:rsidR="00C054BE">
        <w:t xml:space="preserve">is not true because it excludes </w:t>
      </w:r>
      <w:r w:rsidR="00C054BE" w:rsidRPr="005750E2">
        <w:rPr>
          <w:i/>
        </w:rPr>
        <w:t>homo sapiens</w:t>
      </w:r>
      <w:r w:rsidR="00C054BE">
        <w:t xml:space="preserve"> from the animals; and, for a further reason, it fails the </w:t>
      </w:r>
      <w:r w:rsidR="00E31FF4">
        <w:t>FR test for scientific purposes because</w:t>
      </w:r>
      <w:r w:rsidR="00C054BE">
        <w:t xml:space="preserve"> it contains imaginary beings such as angels as well as the corporeal. Nevertheless, the last three of the six classes in the chain were later accepted by Linnaeus (1751, e.g. s. 164) and were still providing a practical way of sorting objects in the BBC television programme called </w:t>
      </w:r>
      <w:r w:rsidR="00C054BE" w:rsidRPr="00827D6B">
        <w:rPr>
          <w:i/>
        </w:rPr>
        <w:t>Animal, Vegetable or Mineral?</w:t>
      </w:r>
      <w:r w:rsidR="00C054BE">
        <w:rPr>
          <w:i/>
        </w:rPr>
        <w:t>,</w:t>
      </w:r>
      <w:r w:rsidR="00C054BE">
        <w:t xml:space="preserve"> as screened from 1952 to 1959.</w:t>
      </w:r>
    </w:p>
    <w:p w14:paraId="02AEE9AB" w14:textId="2BF7904C" w:rsidR="00C054BE" w:rsidRDefault="00CC7794" w:rsidP="00C054BE">
      <w:pPr>
        <w:ind w:firstLine="720"/>
      </w:pPr>
      <w:r>
        <w:t>Cosmologists originally</w:t>
      </w:r>
      <w:r>
        <w:rPr>
          <w:rStyle w:val="FootnoteReference"/>
        </w:rPr>
        <w:footnoteReference w:id="10"/>
      </w:r>
      <w:r>
        <w:t xml:space="preserve"> classed the Sun as a planet but not the Earth. Much later Pluto was classed as a planet.</w:t>
      </w:r>
      <w:r>
        <w:rPr>
          <w:rStyle w:val="FootnoteReference"/>
        </w:rPr>
        <w:footnoteReference w:id="11"/>
      </w:r>
      <w:r>
        <w:t xml:space="preserve"> </w:t>
      </w:r>
      <w:r w:rsidR="00C054BE">
        <w:t>The</w:t>
      </w:r>
      <w:r w:rsidR="006B39B4">
        <w:t>se</w:t>
      </w:r>
      <w:r w:rsidR="00C054BE">
        <w:t xml:space="preserve"> </w:t>
      </w:r>
      <w:r w:rsidR="00F524AC">
        <w:t xml:space="preserve">three </w:t>
      </w:r>
      <w:r w:rsidR="00C054BE">
        <w:t>classificat</w:t>
      </w:r>
      <w:r w:rsidR="006B39B4">
        <w:t xml:space="preserve">ions </w:t>
      </w:r>
      <w:r w:rsidR="00C054BE">
        <w:t>created different problems</w:t>
      </w:r>
      <w:r w:rsidR="006B39B4">
        <w:t>, and none is now scientific orthodoxy.</w:t>
      </w:r>
      <w:r w:rsidR="00C054BE">
        <w:t xml:space="preserve"> The classifications of the Sun and the Earth were not true: the Sun fails the definition of “planet” because it does not </w:t>
      </w:r>
      <w:r w:rsidR="00F524AC">
        <w:t>“</w:t>
      </w:r>
      <w:r w:rsidR="00E31FF4">
        <w:t>wander</w:t>
      </w:r>
      <w:r w:rsidR="00F524AC">
        <w:t>”</w:t>
      </w:r>
      <w:r w:rsidR="00C054BE">
        <w:t>,</w:t>
      </w:r>
      <w:r w:rsidR="00C054BE" w:rsidRPr="005750E2">
        <w:t xml:space="preserve"> </w:t>
      </w:r>
      <w:r w:rsidR="00C054BE">
        <w:t>unlike the Earth.</w:t>
      </w:r>
      <w:r w:rsidR="00C054BE">
        <w:rPr>
          <w:rStyle w:val="FootnoteReference"/>
        </w:rPr>
        <w:footnoteReference w:id="12"/>
      </w:r>
      <w:r w:rsidR="00C054BE">
        <w:t xml:space="preserve"> The retention of Pluto as a planet would have destabilised the class because there are other orbiting objects, further from the Sun, which are larger than Pluto.</w:t>
      </w:r>
      <w:r w:rsidR="00266594">
        <w:t xml:space="preserve"> Thus, classing Pluto as a planet imperils the usefulness of the classification</w:t>
      </w:r>
      <w:r w:rsidR="00F524AC">
        <w:t xml:space="preserve"> because a large number of comparatively small objects would be called planets</w:t>
      </w:r>
      <w:r w:rsidR="00266594">
        <w:t>.</w:t>
      </w:r>
    </w:p>
    <w:p w14:paraId="0B46E438" w14:textId="60F71971" w:rsidR="00DA704A" w:rsidRPr="009C2E77" w:rsidRDefault="00CC7794" w:rsidP="00C054BE">
      <w:pPr>
        <w:ind w:firstLine="720"/>
      </w:pPr>
      <w:r>
        <w:t xml:space="preserve">As one further non-accounting example, </w:t>
      </w:r>
      <w:proofErr w:type="spellStart"/>
      <w:r>
        <w:t>Perec</w:t>
      </w:r>
      <w:proofErr w:type="spellEnd"/>
      <w:r>
        <w:t xml:space="preserve"> (1985, p.39) discusses how books can be classified. In addition to alphabetical order by author or title, </w:t>
      </w:r>
      <w:proofErr w:type="spellStart"/>
      <w:r>
        <w:t>Perec</w:t>
      </w:r>
      <w:proofErr w:type="spellEnd"/>
      <w:r>
        <w:t xml:space="preserve"> lists classification by country of author or publication, by date of publication or acquisition, by priority for read</w:t>
      </w:r>
      <w:r w:rsidR="00C054BE">
        <w:t xml:space="preserve">ing, by language and by colour. A </w:t>
      </w:r>
      <w:r w:rsidR="00E95771">
        <w:t xml:space="preserve">classification </w:t>
      </w:r>
      <w:r w:rsidR="00D15E9F">
        <w:t xml:space="preserve">of books by colour </w:t>
      </w:r>
      <w:r w:rsidR="00E95771">
        <w:t xml:space="preserve">could be </w:t>
      </w:r>
      <w:r w:rsidR="00DA704A">
        <w:t xml:space="preserve">both </w:t>
      </w:r>
      <w:r w:rsidR="00E95771">
        <w:t>true and fair but is unlikely to be relevant, except perhaps</w:t>
      </w:r>
      <w:r w:rsidR="00FD471A">
        <w:t xml:space="preserve"> for interior </w:t>
      </w:r>
      <w:r w:rsidR="00FD471A">
        <w:lastRenderedPageBreak/>
        <w:t>decorator</w:t>
      </w:r>
      <w:r w:rsidR="005337A5">
        <w:t>s who buy books by the metre</w:t>
      </w:r>
      <w:r w:rsidR="00DA704A">
        <w:t xml:space="preserve">. </w:t>
      </w:r>
      <w:r w:rsidR="00284572">
        <w:t xml:space="preserve">However, it is important to note that </w:t>
      </w:r>
      <w:r w:rsidR="00FD471A">
        <w:t xml:space="preserve">two </w:t>
      </w:r>
      <w:r w:rsidR="00284572">
        <w:t>completely dif</w:t>
      </w:r>
      <w:r w:rsidR="00FD471A">
        <w:t xml:space="preserve">ferent classifications can pass the FR test and </w:t>
      </w:r>
      <w:r w:rsidR="00F7479C">
        <w:t xml:space="preserve">can </w:t>
      </w:r>
      <w:r w:rsidR="00786787">
        <w:t xml:space="preserve">also </w:t>
      </w:r>
      <w:r w:rsidR="00284572">
        <w:t xml:space="preserve">be useful for different purposes. It is even possible for very different classifications to be useful for a similar purpose; for example, for library books, the </w:t>
      </w:r>
      <w:r w:rsidR="00DA704A">
        <w:t>Dewey Decimal system and the Library of Congress system.</w:t>
      </w:r>
    </w:p>
    <w:p w14:paraId="39ADFA6F" w14:textId="44D32299" w:rsidR="00970822" w:rsidRPr="00FF5380" w:rsidRDefault="00970822" w:rsidP="00CC7794">
      <w:pPr>
        <w:pStyle w:val="ListParagraph"/>
        <w:numPr>
          <w:ilvl w:val="0"/>
          <w:numId w:val="1"/>
        </w:numPr>
        <w:rPr>
          <w:b/>
        </w:rPr>
      </w:pPr>
      <w:r w:rsidRPr="00FF5380">
        <w:rPr>
          <w:b/>
        </w:rPr>
        <w:t>Misclassifications related to accounting</w:t>
      </w:r>
    </w:p>
    <w:p w14:paraId="626D46BC" w14:textId="77777777" w:rsidR="006F7BAD" w:rsidRDefault="006F7BAD" w:rsidP="00CC7794">
      <w:pPr>
        <w:pStyle w:val="ListParagraph"/>
        <w:numPr>
          <w:ilvl w:val="1"/>
          <w:numId w:val="1"/>
        </w:numPr>
        <w:rPr>
          <w:i/>
        </w:rPr>
      </w:pPr>
      <w:r>
        <w:rPr>
          <w:i/>
        </w:rPr>
        <w:t>Introduction</w:t>
      </w:r>
    </w:p>
    <w:p w14:paraId="40AD197D" w14:textId="4B867791" w:rsidR="00266594" w:rsidRDefault="00D15E9F" w:rsidP="00261F26">
      <w:pPr>
        <w:ind w:firstLine="540"/>
      </w:pPr>
      <w:r>
        <w:t xml:space="preserve">In this main section of the paper, I assess a number of </w:t>
      </w:r>
      <w:r w:rsidR="00D16D16">
        <w:t>accounting-related</w:t>
      </w:r>
      <w:r w:rsidR="00147BEA">
        <w:t xml:space="preserve"> </w:t>
      </w:r>
      <w:r>
        <w:t>classificatio</w:t>
      </w:r>
      <w:r w:rsidR="00F4284A">
        <w:t>ns using the method</w:t>
      </w:r>
      <w:r>
        <w:t xml:space="preserve"> set out above,</w:t>
      </w:r>
      <w:r w:rsidR="00DB7964">
        <w:t xml:space="preserve"> in order to articulate the ways in which the classifications</w:t>
      </w:r>
      <w:r>
        <w:t xml:space="preserve"> are poor</w:t>
      </w:r>
      <w:r w:rsidR="00DB7964">
        <w:t>.</w:t>
      </w:r>
      <w:r w:rsidR="00D16D16">
        <w:t xml:space="preserve"> </w:t>
      </w:r>
      <w:r w:rsidR="00266594">
        <w:t>All the classifications treat countries as the objects to be classified. I concentrate on poor classifications, but refer to a few good ones where they are useful contrast</w:t>
      </w:r>
      <w:r w:rsidR="00F7479C">
        <w:t>s</w:t>
      </w:r>
      <w:r w:rsidR="00266594">
        <w:t xml:space="preserve">. </w:t>
      </w:r>
    </w:p>
    <w:p w14:paraId="4BB79C9D" w14:textId="72E31248" w:rsidR="006974DD" w:rsidRPr="00F836BD" w:rsidRDefault="006974DD" w:rsidP="00266594">
      <w:pPr>
        <w:ind w:firstLine="540"/>
      </w:pPr>
      <w:r>
        <w:t>The following sub-sections examine accounting-related classifications in seven fields. Sub-sections 4.2 and 4.3 look at classifi</w:t>
      </w:r>
      <w:r w:rsidR="006B39B4">
        <w:t>cation</w:t>
      </w:r>
      <w:r w:rsidR="003C049F">
        <w:t xml:space="preserve"> </w:t>
      </w:r>
      <w:r>
        <w:t xml:space="preserve">by accounting similarities and differences. </w:t>
      </w:r>
      <w:r w:rsidR="00B97527">
        <w:t xml:space="preserve">Sub-section 4.4 discusses classification of countries by their degree of acceptance of IFRS. </w:t>
      </w:r>
      <w:r w:rsidR="003C049F">
        <w:t>Su</w:t>
      </w:r>
      <w:r w:rsidR="00B97527">
        <w:t>b-sections 4.5 to 4.7</w:t>
      </w:r>
      <w:r w:rsidR="003C049F">
        <w:t xml:space="preserve">, respectively, examine classifications based on legal </w:t>
      </w:r>
      <w:r w:rsidR="00162D3E">
        <w:t xml:space="preserve">systems, </w:t>
      </w:r>
      <w:r w:rsidR="003C049F">
        <w:t xml:space="preserve">tax systems </w:t>
      </w:r>
      <w:r w:rsidR="00162D3E">
        <w:t>and culture</w:t>
      </w:r>
      <w:r w:rsidR="006B39B4">
        <w:t xml:space="preserve">. These factors </w:t>
      </w:r>
      <w:r w:rsidR="00266594">
        <w:t>are often seen</w:t>
      </w:r>
      <w:r w:rsidR="003C049F">
        <w:t xml:space="preserve"> by accounting researchers as independent variables (or extrinsic factors) which influenc</w:t>
      </w:r>
      <w:r w:rsidR="00B97527">
        <w:t xml:space="preserve">e how accounting works. </w:t>
      </w:r>
      <w:r w:rsidR="002B7139">
        <w:t xml:space="preserve">Lastly, </w:t>
      </w:r>
      <w:r w:rsidR="00F524AC">
        <w:t>s</w:t>
      </w:r>
      <w:r w:rsidR="00162D3E">
        <w:t>ub-section 4.8 dea</w:t>
      </w:r>
      <w:r w:rsidR="00F67E7C">
        <w:t xml:space="preserve">ls with classification of </w:t>
      </w:r>
      <w:r w:rsidR="006B39B4">
        <w:t>languages, where this has</w:t>
      </w:r>
      <w:r w:rsidR="00162D3E">
        <w:t xml:space="preserve"> been used by accounting researchers.</w:t>
      </w:r>
      <w:r w:rsidR="003C049F">
        <w:t xml:space="preserve"> </w:t>
      </w:r>
    </w:p>
    <w:p w14:paraId="5E000275" w14:textId="77777777" w:rsidR="006F7BAD" w:rsidRDefault="006F7BAD" w:rsidP="00CC7794">
      <w:pPr>
        <w:pStyle w:val="ListParagraph"/>
        <w:numPr>
          <w:ilvl w:val="1"/>
          <w:numId w:val="1"/>
        </w:numPr>
        <w:rPr>
          <w:i/>
        </w:rPr>
      </w:pPr>
      <w:r w:rsidRPr="00970822">
        <w:rPr>
          <w:i/>
        </w:rPr>
        <w:t>Classifications of countries by acc</w:t>
      </w:r>
      <w:r w:rsidR="006974DD">
        <w:rPr>
          <w:i/>
        </w:rPr>
        <w:t>ounting similarities</w:t>
      </w:r>
    </w:p>
    <w:p w14:paraId="484489F2" w14:textId="2BBAA0A9" w:rsidR="006E164C" w:rsidRPr="00261F26" w:rsidRDefault="00C12A95" w:rsidP="00261F26">
      <w:pPr>
        <w:ind w:firstLine="540"/>
      </w:pPr>
      <w:r>
        <w:lastRenderedPageBreak/>
        <w:t>I begin with on</w:t>
      </w:r>
      <w:r w:rsidR="00786787">
        <w:t>e of my own misclassifications.</w:t>
      </w:r>
      <w:r w:rsidR="006E164C">
        <w:t xml:space="preserve"> W</w:t>
      </w:r>
      <w:r>
        <w:t>hen drafting the i</w:t>
      </w:r>
      <w:r w:rsidR="006F7BAD">
        <w:t>ntroductory</w:t>
      </w:r>
      <w:r w:rsidR="00261F26">
        <w:t xml:space="preserve"> </w:t>
      </w:r>
      <w:r>
        <w:t>chapter</w:t>
      </w:r>
      <w:r w:rsidR="005337A5">
        <w:t xml:space="preserve"> of a book for Deloitte</w:t>
      </w:r>
      <w:r w:rsidR="005337A5">
        <w:rPr>
          <w:rStyle w:val="FootnoteReference"/>
        </w:rPr>
        <w:footnoteReference w:id="13"/>
      </w:r>
      <w:r>
        <w:t xml:space="preserve"> on international acc</w:t>
      </w:r>
      <w:r w:rsidR="005337A5">
        <w:t>ounting differences (Nobes, 1990</w:t>
      </w:r>
      <w:r>
        <w:t xml:space="preserve">), I classified Denmark with </w:t>
      </w:r>
      <w:r w:rsidR="000C2106">
        <w:t xml:space="preserve">Germany and </w:t>
      </w:r>
      <w:r>
        <w:t>Sweden</w:t>
      </w:r>
      <w:r w:rsidR="001C5EE9">
        <w:t xml:space="preserve">. </w:t>
      </w:r>
      <w:r>
        <w:t>On arrival in Denmark, I was rebuked by Danes who had for decades been modellin</w:t>
      </w:r>
      <w:r w:rsidR="006B39B4">
        <w:t>g their accounting</w:t>
      </w:r>
      <w:r w:rsidR="00E31FF4">
        <w:t xml:space="preserve"> on Anglo-American practices</w:t>
      </w:r>
      <w:r w:rsidR="001C5EE9">
        <w:t xml:space="preserve"> and international standards. </w:t>
      </w:r>
      <w:r>
        <w:t>I had fallen into the geographical trap:</w:t>
      </w:r>
      <w:r w:rsidR="006E164C">
        <w:t xml:space="preserve"> Denmark is physically between Germany and Sweden, so it must have s</w:t>
      </w:r>
      <w:r w:rsidR="00786787">
        <w:t>imilar accounting.</w:t>
      </w:r>
      <w:r w:rsidR="006E164C">
        <w:t xml:space="preserve"> This hopeless logic </w:t>
      </w:r>
      <w:r w:rsidR="0012341D">
        <w:t>concentrates on an irrelevant aspect of form. It does</w:t>
      </w:r>
      <w:r w:rsidR="006E164C">
        <w:t xml:space="preserve"> not explain why the country furthest from the UK (i.e. New Zealand) had rather British accounting.</w:t>
      </w:r>
      <w:r w:rsidR="005C5497">
        <w:t xml:space="preserve"> </w:t>
      </w:r>
      <w:r w:rsidR="008657E0">
        <w:t>My own theory about the causes and effects of international differences in accounting (Nobes, 1998) would have helped me. In brief, the importance of equity financing driv</w:t>
      </w:r>
      <w:r w:rsidR="00DB7964">
        <w:t>es accounting. S</w:t>
      </w:r>
      <w:r w:rsidR="00474E16">
        <w:t xml:space="preserve">uch matters </w:t>
      </w:r>
      <w:r w:rsidR="008657E0">
        <w:t xml:space="preserve">as the age and size of accountancy bodies are </w:t>
      </w:r>
      <w:r w:rsidR="00474E16">
        <w:t xml:space="preserve">symptomatic </w:t>
      </w:r>
      <w:r w:rsidR="008657E0">
        <w:t xml:space="preserve">results. The simple </w:t>
      </w:r>
      <w:r w:rsidR="00914A37">
        <w:t>data in</w:t>
      </w:r>
      <w:r w:rsidR="008657E0">
        <w:t xml:space="preserve"> Tables 1 and 2</w:t>
      </w:r>
      <w:r w:rsidR="00474E16">
        <w:t xml:space="preserve">, showing </w:t>
      </w:r>
      <w:r w:rsidR="00914A37">
        <w:t xml:space="preserve">Denmark with a </w:t>
      </w:r>
      <w:r w:rsidR="00474E16">
        <w:t xml:space="preserve">large equity market and </w:t>
      </w:r>
      <w:r w:rsidR="00914A37">
        <w:t xml:space="preserve">an </w:t>
      </w:r>
      <w:r w:rsidR="00474E16">
        <w:t xml:space="preserve">old profession, </w:t>
      </w:r>
      <w:r w:rsidR="008657E0">
        <w:t>wo</w:t>
      </w:r>
      <w:r w:rsidR="00914A37">
        <w:t>uld have warned me</w:t>
      </w:r>
      <w:r w:rsidR="008657E0">
        <w:t xml:space="preserve">. </w:t>
      </w:r>
      <w:r w:rsidR="00786787">
        <w:t>Professional sce</w:t>
      </w:r>
      <w:r w:rsidR="00F67E7C">
        <w:t>pticism should have been in operation</w:t>
      </w:r>
      <w:r w:rsidR="00786787">
        <w:t xml:space="preserve">. </w:t>
      </w:r>
      <w:r w:rsidR="006E164C">
        <w:t xml:space="preserve">Fortunately, it was only my </w:t>
      </w:r>
      <w:r w:rsidR="006E164C" w:rsidRPr="00261F26">
        <w:rPr>
          <w:i/>
        </w:rPr>
        <w:t>draft</w:t>
      </w:r>
      <w:r w:rsidR="00147BEA">
        <w:t xml:space="preserve"> which</w:t>
      </w:r>
      <w:r w:rsidR="006E164C">
        <w:t xml:space="preserve"> was wrong, </w:t>
      </w:r>
      <w:r w:rsidR="006B39B4">
        <w:t>and I had a</w:t>
      </w:r>
      <w:r w:rsidR="00914A37">
        <w:t>l</w:t>
      </w:r>
      <w:r w:rsidR="006B39B4">
        <w:t>read</w:t>
      </w:r>
      <w:r w:rsidR="00914A37">
        <w:t>y learned one</w:t>
      </w:r>
      <w:r w:rsidR="006E164C">
        <w:t xml:space="preserve"> major lesson: do not write about a foreign country with</w:t>
      </w:r>
      <w:r w:rsidR="00474E16">
        <w:t>out getting locals to check the</w:t>
      </w:r>
      <w:r w:rsidR="006E164C">
        <w:t xml:space="preserve"> facts.</w:t>
      </w:r>
    </w:p>
    <w:p w14:paraId="086CEFCB" w14:textId="4AB78008" w:rsidR="006E164C" w:rsidRDefault="00914A37" w:rsidP="006E164C">
      <w:r>
        <w:tab/>
        <w:t>Long before this, m</w:t>
      </w:r>
      <w:r w:rsidR="006E164C">
        <w:t xml:space="preserve">any researchers </w:t>
      </w:r>
      <w:r>
        <w:t xml:space="preserve">had </w:t>
      </w:r>
      <w:r w:rsidR="00F67E7C">
        <w:t>used data from</w:t>
      </w:r>
      <w:r w:rsidR="006E164C">
        <w:t xml:space="preserve"> Pr</w:t>
      </w:r>
      <w:r w:rsidR="000854DA">
        <w:t>ice Waterhouse (PW) (1973, 1975 and</w:t>
      </w:r>
      <w:r w:rsidR="005C5497">
        <w:t xml:space="preserve"> 1979</w:t>
      </w:r>
      <w:r w:rsidR="006E164C">
        <w:t xml:space="preserve">) to produce classifications of countries by </w:t>
      </w:r>
      <w:r w:rsidR="004127F1">
        <w:t xml:space="preserve">similarities </w:t>
      </w:r>
      <w:r w:rsidR="00F67E7C">
        <w:t>of</w:t>
      </w:r>
      <w:r w:rsidR="001C5EE9">
        <w:t xml:space="preserve"> accounting practices. </w:t>
      </w:r>
      <w:r w:rsidR="006E164C">
        <w:t xml:space="preserve">Nobes (1981) suggested that the data </w:t>
      </w:r>
      <w:r>
        <w:t xml:space="preserve">source </w:t>
      </w:r>
      <w:r w:rsidR="006E164C">
        <w:t xml:space="preserve">contained </w:t>
      </w:r>
      <w:r w:rsidR="00657D81">
        <w:t xml:space="preserve">some </w:t>
      </w:r>
      <w:r w:rsidR="006E164C">
        <w:t xml:space="preserve">errors </w:t>
      </w:r>
      <w:r>
        <w:t>(i.e. was</w:t>
      </w:r>
      <w:r w:rsidR="00657D81">
        <w:t xml:space="preserve"> not completely true) </w:t>
      </w:r>
      <w:r w:rsidR="006E164C">
        <w:t>and</w:t>
      </w:r>
      <w:r w:rsidR="00147BEA">
        <w:t>, more importantly,</w:t>
      </w:r>
      <w:r w:rsidR="006E164C">
        <w:t xml:space="preserve"> </w:t>
      </w:r>
      <w:r>
        <w:t>was</w:t>
      </w:r>
      <w:r w:rsidR="003B6FD7">
        <w:t xml:space="preserve"> not suitable for the use to which the researchers put it</w:t>
      </w:r>
      <w:r w:rsidR="006E164C">
        <w:t>.</w:t>
      </w:r>
      <w:r w:rsidR="005C5497">
        <w:t xml:space="preserve"> </w:t>
      </w:r>
      <w:r w:rsidR="00494753">
        <w:t xml:space="preserve">I now examine </w:t>
      </w:r>
      <w:r w:rsidR="005C5497">
        <w:t xml:space="preserve">whether </w:t>
      </w:r>
      <w:r w:rsidR="006E164C">
        <w:t xml:space="preserve">the </w:t>
      </w:r>
      <w:r w:rsidR="00657D81">
        <w:t xml:space="preserve">resulting </w:t>
      </w:r>
      <w:r w:rsidR="006E164C">
        <w:t xml:space="preserve">classifications </w:t>
      </w:r>
      <w:r w:rsidR="00494753">
        <w:t>pass the</w:t>
      </w:r>
      <w:r w:rsidR="00AE5A96">
        <w:t xml:space="preserve"> FR</w:t>
      </w:r>
      <w:r w:rsidR="00494753">
        <w:t xml:space="preserve"> test</w:t>
      </w:r>
      <w:r w:rsidR="006E164C">
        <w:t>.</w:t>
      </w:r>
    </w:p>
    <w:p w14:paraId="3D960C63" w14:textId="333A6CD1" w:rsidR="00201554" w:rsidRDefault="00EC5A26" w:rsidP="006E164C">
      <w:r>
        <w:lastRenderedPageBreak/>
        <w:tab/>
        <w:t>Table 3</w:t>
      </w:r>
      <w:r w:rsidR="00CF53D7">
        <w:t xml:space="preserve"> shows the </w:t>
      </w:r>
      <w:r w:rsidR="00F67E7C">
        <w:t xml:space="preserve">main </w:t>
      </w:r>
      <w:r w:rsidR="00CF53D7">
        <w:t>findings o</w:t>
      </w:r>
      <w:r w:rsidR="004127F1">
        <w:t xml:space="preserve">f da Costa </w:t>
      </w:r>
      <w:r w:rsidR="004127F1" w:rsidRPr="004127F1">
        <w:rPr>
          <w:i/>
        </w:rPr>
        <w:t>et al.</w:t>
      </w:r>
      <w:r w:rsidR="00CF53D7">
        <w:t xml:space="preserve"> </w:t>
      </w:r>
      <w:r w:rsidR="006E164C">
        <w:t>(1978)</w:t>
      </w:r>
      <w:r w:rsidR="005C5497">
        <w:t>, based on 1973 PW data</w:t>
      </w:r>
      <w:r w:rsidR="001C5EE9">
        <w:t>.</w:t>
      </w:r>
      <w:r w:rsidR="002D6454">
        <w:rPr>
          <w:rStyle w:val="FootnoteReference"/>
        </w:rPr>
        <w:footnoteReference w:id="14"/>
      </w:r>
      <w:r w:rsidR="00E160F9">
        <w:t xml:space="preserve"> The table shows the countries in</w:t>
      </w:r>
      <w:r w:rsidR="00B21952">
        <w:t xml:space="preserve"> </w:t>
      </w:r>
      <w:r w:rsidR="00F67E7C">
        <w:t>the</w:t>
      </w:r>
      <w:r w:rsidR="00F7479C">
        <w:t xml:space="preserve"> researchers’</w:t>
      </w:r>
      <w:r w:rsidR="00F67E7C">
        <w:t xml:space="preserve"> </w:t>
      </w:r>
      <w:r w:rsidR="006D785B">
        <w:t>Group 1</w:t>
      </w:r>
      <w:r w:rsidR="0012341D">
        <w:t xml:space="preserve"> (which contained most of the </w:t>
      </w:r>
      <w:r w:rsidR="00DF0B73">
        <w:t xml:space="preserve">non-communist </w:t>
      </w:r>
      <w:r w:rsidR="0012341D">
        <w:t>world)</w:t>
      </w:r>
      <w:r w:rsidR="006D785B">
        <w:t xml:space="preserve">, ranked according to difference from </w:t>
      </w:r>
      <w:r w:rsidR="00B21952">
        <w:t>a so-called</w:t>
      </w:r>
      <w:r w:rsidR="006E164C">
        <w:t xml:space="preserve"> Britis</w:t>
      </w:r>
      <w:r w:rsidR="004127F1">
        <w:t>h model of accounting (</w:t>
      </w:r>
      <w:r w:rsidR="0012341D">
        <w:t xml:space="preserve">Group 2, which included such countries as </w:t>
      </w:r>
      <w:r w:rsidR="006E164C">
        <w:t>Australia, Ireland, New Zealand and South Af</w:t>
      </w:r>
      <w:r w:rsidR="001C5EE9">
        <w:t>rica).</w:t>
      </w:r>
      <w:r>
        <w:t xml:space="preserve"> The first row of Table 3</w:t>
      </w:r>
      <w:r w:rsidR="00934179">
        <w:t xml:space="preserve"> suggests</w:t>
      </w:r>
      <w:r w:rsidR="006E164C">
        <w:t xml:space="preserve"> that the</w:t>
      </w:r>
      <w:r w:rsidR="005C5497">
        <w:t xml:space="preserve"> accounting system </w:t>
      </w:r>
      <w:r w:rsidR="006E164C">
        <w:rPr>
          <w:i/>
        </w:rPr>
        <w:t>least</w:t>
      </w:r>
      <w:r w:rsidR="005C5497">
        <w:t xml:space="preserve"> like this British model was</w:t>
      </w:r>
      <w:r w:rsidR="00B21952">
        <w:t xml:space="preserve"> US accounting. </w:t>
      </w:r>
      <w:r w:rsidR="006E164C">
        <w:t>G</w:t>
      </w:r>
      <w:r w:rsidR="005C5497">
        <w:t>erman and Mexican accounting were apparently</w:t>
      </w:r>
      <w:r w:rsidR="006E164C">
        <w:t xml:space="preserve"> a lot </w:t>
      </w:r>
      <w:r w:rsidR="00B21952">
        <w:t xml:space="preserve">more like British accounting than American accounting was. </w:t>
      </w:r>
      <w:r w:rsidR="00F67E7C">
        <w:t>When interpreting this result</w:t>
      </w:r>
      <w:r w:rsidR="00222716">
        <w:t>, o</w:t>
      </w:r>
      <w:r w:rsidR="00934179">
        <w:t xml:space="preserve">ne </w:t>
      </w:r>
      <w:r w:rsidR="00B21952">
        <w:t>might have hoped that professional scepticism</w:t>
      </w:r>
      <w:r w:rsidR="006E164C">
        <w:t xml:space="preserve"> would</w:t>
      </w:r>
      <w:r w:rsidR="00222716">
        <w:t xml:space="preserve"> have</w:t>
      </w:r>
      <w:r w:rsidR="006E164C">
        <w:t xml:space="preserve"> inject</w:t>
      </w:r>
      <w:r w:rsidR="00222716">
        <w:t>ed</w:t>
      </w:r>
      <w:r w:rsidR="006E164C">
        <w:t xml:space="preserve"> caution concerning da</w:t>
      </w:r>
      <w:r w:rsidR="001C5EE9">
        <w:t xml:space="preserve">ta and methodology. </w:t>
      </w:r>
      <w:r w:rsidR="006E164C">
        <w:t>However, the researchers co</w:t>
      </w:r>
      <w:r>
        <w:t>nclude</w:t>
      </w:r>
      <w:r w:rsidR="00934179">
        <w:t>d</w:t>
      </w:r>
      <w:r w:rsidR="00AF5968">
        <w:t xml:space="preserve"> that Group 1</w:t>
      </w:r>
      <w:r w:rsidR="006E164C">
        <w:t xml:space="preserve"> (e.g. </w:t>
      </w:r>
      <w:r w:rsidR="004127F1">
        <w:t xml:space="preserve">including </w:t>
      </w:r>
      <w:r w:rsidR="006E164C">
        <w:t>France, India and Trinidad) “follows the lead of the United States in dissociating themselves from practices</w:t>
      </w:r>
      <w:r w:rsidR="001C5EE9">
        <w:t xml:space="preserve"> common to the British model”. </w:t>
      </w:r>
      <w:r w:rsidR="006E164C">
        <w:t xml:space="preserve">This does not seem like a </w:t>
      </w:r>
      <w:r w:rsidR="00B21952">
        <w:t>FR</w:t>
      </w:r>
      <w:r w:rsidR="006E164C">
        <w:t xml:space="preserve"> of</w:t>
      </w:r>
      <w:r w:rsidR="00222716">
        <w:t>, for example,</w:t>
      </w:r>
      <w:r w:rsidR="006E164C">
        <w:t xml:space="preserve"> French rule-making in accounting</w:t>
      </w:r>
      <w:r w:rsidR="005746E7">
        <w:t xml:space="preserve"> (</w:t>
      </w:r>
      <w:proofErr w:type="spellStart"/>
      <w:r w:rsidR="005746E7">
        <w:t>Colasse</w:t>
      </w:r>
      <w:proofErr w:type="spellEnd"/>
      <w:r w:rsidR="005746E7">
        <w:t xml:space="preserve"> and Standish, 1998; </w:t>
      </w:r>
      <w:proofErr w:type="spellStart"/>
      <w:r w:rsidR="005746E7">
        <w:t>Hoarau</w:t>
      </w:r>
      <w:proofErr w:type="spellEnd"/>
      <w:r w:rsidR="005746E7">
        <w:t>, 2009</w:t>
      </w:r>
      <w:r w:rsidR="006E164C">
        <w:t>).</w:t>
      </w:r>
    </w:p>
    <w:p w14:paraId="4065F4A7" w14:textId="53F35413" w:rsidR="006E164C" w:rsidRDefault="006E164C" w:rsidP="006E164C">
      <w:r>
        <w:tab/>
        <w:t>Goodrich (1982) uses similar methodology applied to simi</w:t>
      </w:r>
      <w:r w:rsidR="00F67E7C">
        <w:t>lar but later data of PW (</w:t>
      </w:r>
      <w:r w:rsidR="001C5EE9">
        <w:t>1979).</w:t>
      </w:r>
      <w:r w:rsidR="002D6454">
        <w:rPr>
          <w:rStyle w:val="FootnoteReference"/>
        </w:rPr>
        <w:footnoteReference w:id="15"/>
      </w:r>
      <w:r w:rsidR="001C5EE9">
        <w:t xml:space="preserve"> </w:t>
      </w:r>
      <w:r w:rsidR="00B21952">
        <w:t>Goodrich</w:t>
      </w:r>
      <w:r w:rsidR="00094316">
        <w:t xml:space="preserve"> discerns five group</w:t>
      </w:r>
      <w:r>
        <w:t>s of countries</w:t>
      </w:r>
      <w:r w:rsidR="00B21952">
        <w:t xml:space="preserve"> instead of two</w:t>
      </w:r>
      <w:r>
        <w:t xml:space="preserve">, </w:t>
      </w:r>
      <w:r w:rsidR="00B21952">
        <w:t xml:space="preserve">but </w:t>
      </w:r>
      <w:r>
        <w:t>with the US and the UK still heading different gro</w:t>
      </w:r>
      <w:r w:rsidR="001C5EE9">
        <w:t xml:space="preserve">ups. </w:t>
      </w:r>
      <w:r>
        <w:t>More interestingly, one of the f</w:t>
      </w:r>
      <w:r w:rsidR="00094316">
        <w:t>ive groups</w:t>
      </w:r>
      <w:r w:rsidR="00094316" w:rsidRPr="00094316">
        <w:t xml:space="preserve"> </w:t>
      </w:r>
      <w:r w:rsidR="00C66C62">
        <w:t xml:space="preserve">(see </w:t>
      </w:r>
      <w:r w:rsidR="00094316">
        <w:t>Table 4</w:t>
      </w:r>
      <w:r w:rsidR="00C66C62">
        <w:t xml:space="preserve"> in this paper</w:t>
      </w:r>
      <w:r w:rsidR="00094316">
        <w:t>) is headed by Jersey</w:t>
      </w:r>
      <w:r w:rsidR="001C5EE9">
        <w:t xml:space="preserve">. </w:t>
      </w:r>
      <w:r w:rsidR="00094316">
        <w:t xml:space="preserve">Goodrich does not record any scepticism about this, but surely a Jersey-led group does not pass the FR test: </w:t>
      </w:r>
      <w:r w:rsidR="00B21952">
        <w:t>Jersey had (and has)</w:t>
      </w:r>
      <w:r>
        <w:t xml:space="preserve"> no accounting law </w:t>
      </w:r>
      <w:r w:rsidR="00222716">
        <w:t>or standards of its own but uses</w:t>
      </w:r>
      <w:r>
        <w:t xml:space="preserve"> those of the UK</w:t>
      </w:r>
      <w:r w:rsidR="00094316">
        <w:t>.</w:t>
      </w:r>
      <w:r w:rsidR="00934179">
        <w:rPr>
          <w:rStyle w:val="FootnoteReference"/>
        </w:rPr>
        <w:footnoteReference w:id="16"/>
      </w:r>
      <w:r w:rsidR="00094316">
        <w:t xml:space="preserve"> I</w:t>
      </w:r>
      <w:r w:rsidR="00934179">
        <w:t xml:space="preserve">t </w:t>
      </w:r>
      <w:r w:rsidR="004F6B79">
        <w:t xml:space="preserve">is </w:t>
      </w:r>
      <w:r w:rsidR="00094316">
        <w:t xml:space="preserve">also hard to see how such a </w:t>
      </w:r>
      <w:r w:rsidR="004127F1">
        <w:t xml:space="preserve">diverse </w:t>
      </w:r>
      <w:r w:rsidR="00094316">
        <w:t>group</w:t>
      </w:r>
      <w:r w:rsidR="00934179">
        <w:t xml:space="preserve"> could be relevant for any purpose.</w:t>
      </w:r>
      <w:r w:rsidR="004F6B79" w:rsidRPr="004F6B79">
        <w:t xml:space="preserve"> </w:t>
      </w:r>
      <w:r w:rsidR="004F6B79">
        <w:t xml:space="preserve">I note that Goodrich </w:t>
      </w:r>
      <w:r w:rsidR="004F6B79">
        <w:lastRenderedPageBreak/>
        <w:t xml:space="preserve">used a statistical method called </w:t>
      </w:r>
      <w:proofErr w:type="spellStart"/>
      <w:r w:rsidR="004F6B79">
        <w:t>Spa</w:t>
      </w:r>
      <w:r w:rsidR="006C2970">
        <w:t>ng’s</w:t>
      </w:r>
      <w:proofErr w:type="spellEnd"/>
      <w:r w:rsidR="006C2970">
        <w:t xml:space="preserve"> Co-efficient of Factor Fit, </w:t>
      </w:r>
      <w:r w:rsidR="004127F1">
        <w:t xml:space="preserve">which was </w:t>
      </w:r>
      <w:r w:rsidR="006C2970">
        <w:t>abbreviated to</w:t>
      </w:r>
      <w:r w:rsidR="006C2970" w:rsidRPr="006C2970">
        <w:t xml:space="preserve"> </w:t>
      </w:r>
      <w:r w:rsidR="006C2970">
        <w:t>SCOFF</w:t>
      </w:r>
      <w:r w:rsidR="004F6B79">
        <w:t>.</w:t>
      </w:r>
    </w:p>
    <w:p w14:paraId="765F1766" w14:textId="1EAEF238" w:rsidR="00201554" w:rsidRDefault="00201554" w:rsidP="006E164C">
      <w:r>
        <w:tab/>
        <w:t xml:space="preserve">Other researchers </w:t>
      </w:r>
      <w:r w:rsidR="00692E7A">
        <w:t>(e.g. Nair and Frank, 19</w:t>
      </w:r>
      <w:r w:rsidR="00671350">
        <w:t>80</w:t>
      </w:r>
      <w:r w:rsidR="00692E7A">
        <w:t xml:space="preserve">) </w:t>
      </w:r>
      <w:r w:rsidR="009F0320">
        <w:t>used the same inappropriate</w:t>
      </w:r>
      <w:r>
        <w:t xml:space="preserve"> data</w:t>
      </w:r>
      <w:r w:rsidR="002D6454">
        <w:rPr>
          <w:rStyle w:val="FootnoteReference"/>
        </w:rPr>
        <w:footnoteReference w:id="17"/>
      </w:r>
      <w:r>
        <w:t xml:space="preserve"> but arrived at more plausible grou</w:t>
      </w:r>
      <w:r w:rsidR="003E56A1">
        <w:t>pings (e.g. one containing northern</w:t>
      </w:r>
      <w:r w:rsidR="00692E7A">
        <w:t xml:space="preserve"> </w:t>
      </w:r>
      <w:r w:rsidR="00E52888">
        <w:t xml:space="preserve">continental </w:t>
      </w:r>
      <w:r w:rsidR="00692E7A">
        <w:t>European countries)</w:t>
      </w:r>
      <w:r w:rsidR="007208F5">
        <w:t>.</w:t>
      </w:r>
      <w:r w:rsidR="003E56A1">
        <w:rPr>
          <w:rStyle w:val="FootnoteReference"/>
        </w:rPr>
        <w:footnoteReference w:id="18"/>
      </w:r>
      <w:r w:rsidR="007208F5">
        <w:t xml:space="preserve"> However, they still show</w:t>
      </w:r>
      <w:r w:rsidR="002B6855">
        <w:t xml:space="preserve"> the US and the UK in two unrelated</w:t>
      </w:r>
      <w:r w:rsidR="00E8757C">
        <w:t xml:space="preserve"> groups, which inexorably follows from the original purpose of the data</w:t>
      </w:r>
      <w:r w:rsidR="005D3ECA">
        <w:t xml:space="preserve">, </w:t>
      </w:r>
      <w:r w:rsidR="00E52888">
        <w:t xml:space="preserve">as </w:t>
      </w:r>
      <w:r w:rsidR="005D3ECA">
        <w:t>will now be explained</w:t>
      </w:r>
      <w:r w:rsidR="00692E7A">
        <w:t xml:space="preserve">. </w:t>
      </w:r>
    </w:p>
    <w:p w14:paraId="71FACEEE" w14:textId="388F1E4B" w:rsidR="005D3ECA" w:rsidRDefault="005D3ECA" w:rsidP="005D3ECA">
      <w:pPr>
        <w:ind w:firstLine="720"/>
      </w:pPr>
      <w:r>
        <w:t>Given that several researchers arrived at implausible classifications using the PW data source, we should look further into it. To take the example of the 1973 data, the list of 233 attributes was initially constructed in order to record all the differences (large or small) between US accounting and UK accounting. Consequently, important attributes were swamped by unimportant ones, such as the exact method for capitalising self-constructed assets, whether receivables from company directors were shown separately and how self-insurance provisions were set up.</w:t>
      </w:r>
      <w:r>
        <w:rPr>
          <w:rStyle w:val="FootnoteReference"/>
        </w:rPr>
        <w:footnoteReference w:id="19"/>
      </w:r>
      <w:r>
        <w:t xml:space="preserve"> The same list </w:t>
      </w:r>
      <w:r w:rsidR="00E52888">
        <w:t xml:space="preserve">of attributes </w:t>
      </w:r>
      <w:r>
        <w:t>was then used to assess all other countries. This suggests that, even if data are true and even if they represent what they purport to represent, they can still produce a misleading result when used for an unintended purpose. In terms of the earlier discussion of Linnaeus or Foucault, the data did not concentrate on character or essence.</w:t>
      </w:r>
    </w:p>
    <w:p w14:paraId="391197F8" w14:textId="6D2F5C52" w:rsidR="00970822" w:rsidRDefault="00385B99" w:rsidP="005D3ECA">
      <w:pPr>
        <w:ind w:firstLine="720"/>
      </w:pPr>
      <w:r>
        <w:t>A further</w:t>
      </w:r>
      <w:r w:rsidR="00AE5A96">
        <w:t xml:space="preserve"> </w:t>
      </w:r>
      <w:r w:rsidR="00573344">
        <w:t>implausible</w:t>
      </w:r>
      <w:r w:rsidR="004F6B79">
        <w:t xml:space="preserve"> </w:t>
      </w:r>
      <w:r w:rsidR="00AE5A96">
        <w:t xml:space="preserve">classification </w:t>
      </w:r>
      <w:r w:rsidR="00494753">
        <w:t xml:space="preserve">(based on different data) </w:t>
      </w:r>
      <w:r w:rsidR="007208F5">
        <w:t xml:space="preserve">is </w:t>
      </w:r>
      <w:r w:rsidR="009F0320">
        <w:t>shown in Figure 2</w:t>
      </w:r>
      <w:r w:rsidR="002C57DB">
        <w:t xml:space="preserve">, which suggests that </w:t>
      </w:r>
      <w:r>
        <w:t xml:space="preserve">1990’s </w:t>
      </w:r>
      <w:r w:rsidR="002C57DB">
        <w:t xml:space="preserve">Australian accounting was </w:t>
      </w:r>
      <w:r w:rsidR="00AF2D2C">
        <w:t xml:space="preserve">almost </w:t>
      </w:r>
      <w:r w:rsidR="002C57DB">
        <w:t>as far as it could be</w:t>
      </w:r>
      <w:r>
        <w:t xml:space="preserve"> from UK accounting</w:t>
      </w:r>
      <w:r w:rsidR="001C5EE9">
        <w:t xml:space="preserve">. </w:t>
      </w:r>
      <w:r w:rsidR="002C57DB">
        <w:t xml:space="preserve">The researcher (d’Arcy, 2001) </w:t>
      </w:r>
      <w:r w:rsidR="005D3ECA">
        <w:t xml:space="preserve">uses careful methods but apparently </w:t>
      </w:r>
      <w:r w:rsidR="002C57DB">
        <w:t xml:space="preserve">did </w:t>
      </w:r>
      <w:r w:rsidR="002C57DB">
        <w:lastRenderedPageBreak/>
        <w:t>not</w:t>
      </w:r>
      <w:r w:rsidR="002B6855">
        <w:t xml:space="preserve"> </w:t>
      </w:r>
      <w:r w:rsidR="00494753">
        <w:t xml:space="preserve">exercise professional scepticism about </w:t>
      </w:r>
      <w:r w:rsidR="002B6855">
        <w:t xml:space="preserve">her result </w:t>
      </w:r>
      <w:r w:rsidR="005D3ECA">
        <w:t xml:space="preserve">when she </w:t>
      </w:r>
      <w:r w:rsidR="00D71982">
        <w:t>concluded</w:t>
      </w:r>
      <w:r w:rsidR="002C57DB">
        <w:t xml:space="preserve"> that “the Australian system enforces its outsider position by certain r</w:t>
      </w:r>
      <w:r w:rsidR="001C5EE9">
        <w:t>equirements and prohibitions”.</w:t>
      </w:r>
      <w:r w:rsidR="004F6B79" w:rsidRPr="004F6B79">
        <w:t xml:space="preserve"> </w:t>
      </w:r>
      <w:r w:rsidR="002C57DB">
        <w:t xml:space="preserve">Nobes (2004) explains the many errors in the data </w:t>
      </w:r>
      <w:r w:rsidR="003E56A1">
        <w:t>(i.e. the data</w:t>
      </w:r>
      <w:r w:rsidR="00494753">
        <w:t xml:space="preserve"> were not true) </w:t>
      </w:r>
      <w:r w:rsidR="002C57DB">
        <w:t>that contribute to this misclassification.</w:t>
      </w:r>
      <w:r w:rsidR="004F6B79">
        <w:t xml:space="preserve"> </w:t>
      </w:r>
    </w:p>
    <w:p w14:paraId="72FFDEEE" w14:textId="14194159" w:rsidR="00481A27" w:rsidRDefault="00FE3ECC" w:rsidP="00481A27">
      <w:pPr>
        <w:ind w:firstLine="720"/>
      </w:pPr>
      <w:r>
        <w:t>Even i</w:t>
      </w:r>
      <w:r w:rsidR="00481A27">
        <w:t>f the classification by d’A</w:t>
      </w:r>
      <w:r w:rsidR="00494753">
        <w:t>rcy (2001</w:t>
      </w:r>
      <w:r>
        <w:t>) had been revised using true data</w:t>
      </w:r>
      <w:r w:rsidR="00481A27">
        <w:t xml:space="preserve">, it might have been </w:t>
      </w:r>
      <w:r w:rsidR="00BC4708">
        <w:t>questioned on the grounds of relevance</w:t>
      </w:r>
      <w:r w:rsidR="00481A27">
        <w:t>.</w:t>
      </w:r>
      <w:r w:rsidR="00481A27" w:rsidRPr="00481A27">
        <w:t xml:space="preserve"> </w:t>
      </w:r>
      <w:r w:rsidR="00481A27">
        <w:t xml:space="preserve">That is, the classification was based on accounting </w:t>
      </w:r>
      <w:r w:rsidR="00481A27" w:rsidRPr="00A54632">
        <w:rPr>
          <w:i/>
        </w:rPr>
        <w:t>rules</w:t>
      </w:r>
      <w:r w:rsidR="00481A27">
        <w:t xml:space="preserve"> rather than on accounting practices.</w:t>
      </w:r>
      <w:r w:rsidR="003D7EE3" w:rsidRPr="003D7EE3">
        <w:t xml:space="preserve"> </w:t>
      </w:r>
      <w:proofErr w:type="spellStart"/>
      <w:r w:rsidR="003D7EE3">
        <w:t>Holthausen</w:t>
      </w:r>
      <w:proofErr w:type="spellEnd"/>
      <w:r w:rsidR="003D7EE3">
        <w:t xml:space="preserve"> (2009) stresses that researchers should distinguish between outputs (e.g. financial reporting quality) and inputs (e.g. accounting standards). Major differences in financial reporting can exist among companies which are all apparently applying the same or similar rules (Ball </w:t>
      </w:r>
      <w:r w:rsidR="003D7EE3" w:rsidRPr="00616CB5">
        <w:rPr>
          <w:i/>
        </w:rPr>
        <w:t>et al</w:t>
      </w:r>
      <w:r w:rsidR="003D7EE3">
        <w:t>., 2003; Mahoney, 2009).</w:t>
      </w:r>
      <w:r w:rsidR="00481A27">
        <w:t xml:space="preserve"> </w:t>
      </w:r>
      <w:r w:rsidR="00BC4708">
        <w:t xml:space="preserve">I </w:t>
      </w:r>
      <w:r w:rsidR="003D7EE3">
        <w:t>agree</w:t>
      </w:r>
      <w:r w:rsidR="00BC4708">
        <w:t xml:space="preserve"> that</w:t>
      </w:r>
      <w:r w:rsidR="00481A27">
        <w:t xml:space="preserve"> rules are of limited relevance,</w:t>
      </w:r>
      <w:r w:rsidR="00481A27" w:rsidRPr="00481A27">
        <w:t xml:space="preserve"> </w:t>
      </w:r>
      <w:r w:rsidR="00481A27">
        <w:t>as I will now explain with two examples: (</w:t>
      </w:r>
      <w:proofErr w:type="spellStart"/>
      <w:r w:rsidR="00481A27">
        <w:t>i</w:t>
      </w:r>
      <w:proofErr w:type="spellEnd"/>
      <w:r w:rsidR="00481A27">
        <w:t xml:space="preserve">) </w:t>
      </w:r>
      <w:r w:rsidR="00BC4708">
        <w:t xml:space="preserve">IAS 38 (para. 72), unlike US </w:t>
      </w:r>
      <w:r w:rsidR="00976E0F">
        <w:t>generally accepted accounting principles (</w:t>
      </w:r>
      <w:r w:rsidR="00BC4708">
        <w:t>GAAP</w:t>
      </w:r>
      <w:r w:rsidR="00976E0F">
        <w:t>)</w:t>
      </w:r>
      <w:r w:rsidR="00BC4708">
        <w:t xml:space="preserve">, </w:t>
      </w:r>
      <w:r w:rsidR="00481A27">
        <w:t xml:space="preserve">allows intangible assets to be measured on a fair value basis </w:t>
      </w:r>
      <w:r w:rsidR="00BC4708">
        <w:t>but the option is never used</w:t>
      </w:r>
      <w:r w:rsidR="00481A27">
        <w:t>,</w:t>
      </w:r>
      <w:r w:rsidR="00BC4708">
        <w:rPr>
          <w:rStyle w:val="FootnoteReference"/>
        </w:rPr>
        <w:footnoteReference w:id="20"/>
      </w:r>
      <w:r w:rsidR="00481A27">
        <w:t xml:space="preserve"> and (ii) both Spanish and UK national rules allow the cost of inventories to be determined on the basis of either first in, first out (FIF</w:t>
      </w:r>
      <w:r w:rsidR="009F0320">
        <w:t xml:space="preserve">O) or weighted average, but </w:t>
      </w:r>
      <w:r w:rsidR="00481A27">
        <w:t xml:space="preserve">Spanish </w:t>
      </w:r>
      <w:r w:rsidR="009F0320">
        <w:t xml:space="preserve">companies </w:t>
      </w:r>
      <w:r w:rsidR="00481A27">
        <w:t>hardly use FIFO whereas the British hardly use weighted average (and this national differen</w:t>
      </w:r>
      <w:r w:rsidR="009F0320">
        <w:t>ce survives under IFRS practice;</w:t>
      </w:r>
      <w:r w:rsidR="00481A27">
        <w:t xml:space="preserve"> </w:t>
      </w:r>
      <w:proofErr w:type="spellStart"/>
      <w:r w:rsidR="00481A27">
        <w:t>Kvaal</w:t>
      </w:r>
      <w:proofErr w:type="spellEnd"/>
      <w:r w:rsidR="00481A27">
        <w:t xml:space="preserve"> and Nobes, 2010, Table 3). In the first example, the rules are different but the practices are the same. In the second, the rules are the same but the practices are different. </w:t>
      </w:r>
      <w:r w:rsidR="00BC4708">
        <w:t>D</w:t>
      </w:r>
      <w:r w:rsidR="00481A27">
        <w:t xml:space="preserve">ata that measure rules would show the US and IFRS as different </w:t>
      </w:r>
      <w:r w:rsidR="00BC4708">
        <w:t>on topic (</w:t>
      </w:r>
      <w:proofErr w:type="spellStart"/>
      <w:r w:rsidR="00BC4708">
        <w:t>i</w:t>
      </w:r>
      <w:proofErr w:type="spellEnd"/>
      <w:r w:rsidR="00BC4708">
        <w:t xml:space="preserve">) and </w:t>
      </w:r>
      <w:r w:rsidR="00481A27">
        <w:t>Spain and the UK as the same</w:t>
      </w:r>
      <w:r w:rsidR="00BC4708">
        <w:t xml:space="preserve"> on topic (ii)</w:t>
      </w:r>
      <w:r w:rsidR="00481A27">
        <w:t>, but surely the opposite conclusion</w:t>
      </w:r>
      <w:r w:rsidR="00BC4708">
        <w:t>s would give</w:t>
      </w:r>
      <w:r w:rsidR="00481A27">
        <w:t xml:space="preserve"> a more useful </w:t>
      </w:r>
      <w:r w:rsidR="00481A27">
        <w:lastRenderedPageBreak/>
        <w:t>representation. T</w:t>
      </w:r>
      <w:r w:rsidR="00E62AC4">
        <w:t xml:space="preserve">hat is, for many purposes, such as </w:t>
      </w:r>
      <w:r w:rsidR="00BC4708">
        <w:t xml:space="preserve">for </w:t>
      </w:r>
      <w:r w:rsidR="00481A27">
        <w:t xml:space="preserve">international users of financial statements or </w:t>
      </w:r>
      <w:r w:rsidR="00BC4708">
        <w:t xml:space="preserve">for </w:t>
      </w:r>
      <w:r w:rsidR="00E62AC4">
        <w:t>tax authorities,</w:t>
      </w:r>
      <w:r w:rsidR="00481A27">
        <w:t xml:space="preserve"> the </w:t>
      </w:r>
      <w:r w:rsidR="00775202">
        <w:t xml:space="preserve">accounting </w:t>
      </w:r>
      <w:r w:rsidR="00481A27">
        <w:t xml:space="preserve">rules </w:t>
      </w:r>
      <w:r w:rsidR="00E62AC4">
        <w:t xml:space="preserve">(the inputs) </w:t>
      </w:r>
      <w:r w:rsidR="00481A27">
        <w:t>are surely of little relevance compared to the practices</w:t>
      </w:r>
      <w:r w:rsidR="00E62AC4">
        <w:t xml:space="preserve"> (the outputs)</w:t>
      </w:r>
      <w:r w:rsidR="00481A27">
        <w:t>.</w:t>
      </w:r>
    </w:p>
    <w:p w14:paraId="5D18487F" w14:textId="77777777" w:rsidR="00E12CBA" w:rsidRPr="00530C07" w:rsidRDefault="00E12CBA" w:rsidP="006E164C">
      <w:r>
        <w:tab/>
        <w:t>Before leaving classifications of countries by accounting, I return to the point that</w:t>
      </w:r>
      <w:r w:rsidRPr="00E12CBA">
        <w:t xml:space="preserve"> </w:t>
      </w:r>
      <w:r>
        <w:t>data can be misleading when used for an un</w:t>
      </w:r>
      <w:r w:rsidR="002C6A0A">
        <w:t xml:space="preserve">intended purpose. </w:t>
      </w:r>
      <w:r w:rsidR="004B0C9C">
        <w:t xml:space="preserve">Ding </w:t>
      </w:r>
      <w:r w:rsidR="004B0C9C" w:rsidRPr="0015736A">
        <w:rPr>
          <w:i/>
        </w:rPr>
        <w:t>et al.</w:t>
      </w:r>
      <w:r w:rsidR="004B0C9C">
        <w:t xml:space="preserve"> </w:t>
      </w:r>
      <w:r w:rsidR="009817CF">
        <w:t>(2005) and Ding</w:t>
      </w:r>
      <w:r w:rsidR="004B0C9C" w:rsidRPr="004B0C9C">
        <w:rPr>
          <w:i/>
        </w:rPr>
        <w:t xml:space="preserve"> </w:t>
      </w:r>
      <w:r w:rsidR="004B0C9C" w:rsidRPr="0015736A">
        <w:rPr>
          <w:i/>
        </w:rPr>
        <w:t>et al.</w:t>
      </w:r>
      <w:r w:rsidR="00530C07">
        <w:t xml:space="preserve"> (2007) use</w:t>
      </w:r>
      <w:r w:rsidR="00544157">
        <w:t>d</w:t>
      </w:r>
      <w:r w:rsidR="00530C07">
        <w:t xml:space="preserve"> some of the data in </w:t>
      </w:r>
      <w:r w:rsidR="00530C07" w:rsidRPr="002C6A0A">
        <w:rPr>
          <w:i/>
        </w:rPr>
        <w:t>GAAP</w:t>
      </w:r>
      <w:r w:rsidR="00530C07">
        <w:t xml:space="preserve"> (2001) in order to </w:t>
      </w:r>
      <w:r w:rsidR="00544157">
        <w:t xml:space="preserve">score the accounting systems of 30 countries on their distance from international standards. The objective was to </w:t>
      </w:r>
      <w:r w:rsidR="00530C07">
        <w:t>assess the determinants and effe</w:t>
      </w:r>
      <w:r w:rsidR="00544157">
        <w:t>cts of such distances</w:t>
      </w:r>
      <w:r w:rsidR="002C6A0A">
        <w:t xml:space="preserve">. </w:t>
      </w:r>
      <w:r w:rsidR="00530C07">
        <w:t xml:space="preserve">However, Nobes (2009) explains that the data </w:t>
      </w:r>
      <w:r w:rsidR="005A22FE">
        <w:t xml:space="preserve">have some of the same disadvantages as the PW data: they </w:t>
      </w:r>
      <w:r w:rsidR="00530C07">
        <w:t>were not designed for international compari</w:t>
      </w:r>
      <w:r w:rsidR="00481A27">
        <w:t>sons</w:t>
      </w:r>
      <w:r w:rsidR="00481A27">
        <w:rPr>
          <w:rStyle w:val="FootnoteReference"/>
        </w:rPr>
        <w:footnoteReference w:id="21"/>
      </w:r>
      <w:r w:rsidR="00481A27">
        <w:t xml:space="preserve"> </w:t>
      </w:r>
      <w:r w:rsidR="00530C07">
        <w:t>and that the data points for each country wer</w:t>
      </w:r>
      <w:r w:rsidR="002C6A0A">
        <w:t xml:space="preserve">e not intended to be additive. </w:t>
      </w:r>
      <w:r w:rsidR="00530C07">
        <w:t>It is unclear whether this co</w:t>
      </w:r>
      <w:r w:rsidR="004B0C9C">
        <w:t>mpromised the results, but Ding</w:t>
      </w:r>
      <w:r w:rsidR="004B0C9C" w:rsidRPr="004B0C9C">
        <w:rPr>
          <w:i/>
        </w:rPr>
        <w:t xml:space="preserve"> </w:t>
      </w:r>
      <w:r w:rsidR="004B0C9C" w:rsidRPr="0015736A">
        <w:rPr>
          <w:i/>
        </w:rPr>
        <w:t>et al.</w:t>
      </w:r>
      <w:r w:rsidR="004B0C9C">
        <w:t xml:space="preserve"> </w:t>
      </w:r>
      <w:r w:rsidR="00530C07">
        <w:t>(2009) respo</w:t>
      </w:r>
      <w:r w:rsidR="002C6A0A">
        <w:t>nd by making some robustness checks on their previous results.</w:t>
      </w:r>
      <w:r w:rsidR="00530C07">
        <w:t xml:space="preserve"> </w:t>
      </w:r>
      <w:r w:rsidR="003E5B9E">
        <w:t>Nevertheless</w:t>
      </w:r>
      <w:r w:rsidR="00775202">
        <w:t xml:space="preserve">, in one important aspect, the </w:t>
      </w:r>
      <w:r w:rsidR="00775202" w:rsidRPr="00775202">
        <w:rPr>
          <w:i/>
        </w:rPr>
        <w:t>GAAP 2001</w:t>
      </w:r>
      <w:r w:rsidR="00775202">
        <w:t xml:space="preserve"> data are worse than the PW data: t</w:t>
      </w:r>
      <w:r w:rsidR="00544157">
        <w:t>hey measure rules not practices,</w:t>
      </w:r>
      <w:r w:rsidR="00775202">
        <w:rPr>
          <w:rStyle w:val="FootnoteReference"/>
        </w:rPr>
        <w:footnoteReference w:id="22"/>
      </w:r>
      <w:r w:rsidR="00775202">
        <w:t xml:space="preserve"> </w:t>
      </w:r>
      <w:r w:rsidR="00544157">
        <w:t xml:space="preserve">which has been discussed above as a flaw. </w:t>
      </w:r>
      <w:r w:rsidR="00530C07">
        <w:t xml:space="preserve">Surprisingly, an overlapping research team </w:t>
      </w:r>
      <w:r w:rsidR="009F0320">
        <w:t>re-</w:t>
      </w:r>
      <w:r w:rsidR="00530C07">
        <w:t>use</w:t>
      </w:r>
      <w:r w:rsidR="002C6A0A">
        <w:t>d</w:t>
      </w:r>
      <w:r w:rsidR="00775202">
        <w:t xml:space="preserve"> the same </w:t>
      </w:r>
      <w:r w:rsidR="00530C07">
        <w:t xml:space="preserve">data </w:t>
      </w:r>
      <w:r w:rsidR="00775202">
        <w:t xml:space="preserve">set </w:t>
      </w:r>
      <w:r w:rsidR="002C6A0A">
        <w:t>later,</w:t>
      </w:r>
      <w:r w:rsidR="00530C07">
        <w:t xml:space="preserve"> witho</w:t>
      </w:r>
      <w:r w:rsidR="009817CF">
        <w:t>ut mentioning</w:t>
      </w:r>
      <w:r w:rsidR="004B0C9C">
        <w:t xml:space="preserve"> any caveats (Chen </w:t>
      </w:r>
      <w:r w:rsidR="004B0C9C" w:rsidRPr="0015736A">
        <w:rPr>
          <w:i/>
        </w:rPr>
        <w:t>et al.</w:t>
      </w:r>
      <w:r w:rsidR="002C6A0A">
        <w:t>, 2014). Other researchers</w:t>
      </w:r>
      <w:r w:rsidR="009817CF">
        <w:t xml:space="preserve"> (e.g. Bae</w:t>
      </w:r>
      <w:r w:rsidR="004B0C9C" w:rsidRPr="004B0C9C">
        <w:rPr>
          <w:i/>
        </w:rPr>
        <w:t xml:space="preserve"> </w:t>
      </w:r>
      <w:r w:rsidR="004B0C9C" w:rsidRPr="0015736A">
        <w:rPr>
          <w:i/>
        </w:rPr>
        <w:t>et al.</w:t>
      </w:r>
      <w:r w:rsidR="009817CF">
        <w:t>,</w:t>
      </w:r>
      <w:r w:rsidR="00530C07">
        <w:t xml:space="preserve"> 2008) have also drawn on the </w:t>
      </w:r>
      <w:r w:rsidR="00530C07" w:rsidRPr="002C6A0A">
        <w:rPr>
          <w:i/>
        </w:rPr>
        <w:t>GAAP 2001</w:t>
      </w:r>
      <w:r w:rsidR="00DE49A3">
        <w:t xml:space="preserve"> data</w:t>
      </w:r>
      <w:r w:rsidR="00DE49A3" w:rsidRPr="00DE49A3">
        <w:t xml:space="preserve"> </w:t>
      </w:r>
      <w:r w:rsidR="00DE49A3">
        <w:t>as a way of measuring international accounting differences, apparently unaware of the</w:t>
      </w:r>
      <w:r w:rsidR="00530C07">
        <w:t xml:space="preserve"> shortcomings.</w:t>
      </w:r>
    </w:p>
    <w:p w14:paraId="07A209AE" w14:textId="77777777" w:rsidR="008E4ED7" w:rsidRDefault="003855E7" w:rsidP="008E4ED7">
      <w:pPr>
        <w:ind w:firstLine="720"/>
      </w:pPr>
      <w:r>
        <w:rPr>
          <w:i/>
        </w:rPr>
        <w:t>4</w:t>
      </w:r>
      <w:r w:rsidR="008E4ED7">
        <w:rPr>
          <w:i/>
        </w:rPr>
        <w:t>.</w:t>
      </w:r>
      <w:r w:rsidR="006F7BAD">
        <w:rPr>
          <w:i/>
        </w:rPr>
        <w:t>3</w:t>
      </w:r>
      <w:r w:rsidR="008E4ED7">
        <w:rPr>
          <w:i/>
        </w:rPr>
        <w:t xml:space="preserve"> It takes two to tango, and even more are needed to classify</w:t>
      </w:r>
      <w:r w:rsidR="008E4ED7">
        <w:rPr>
          <w:i/>
        </w:rPr>
        <w:tab/>
      </w:r>
    </w:p>
    <w:p w14:paraId="6E5A0E02" w14:textId="77777777" w:rsidR="00284572" w:rsidRDefault="009C2E77" w:rsidP="00284572">
      <w:pPr>
        <w:ind w:firstLine="720"/>
      </w:pPr>
      <w:r>
        <w:lastRenderedPageBreak/>
        <w:t>The process of classification cannot function successfully when research</w:t>
      </w:r>
      <w:r w:rsidR="00B21952">
        <w:t xml:space="preserve">ers consider only two objects. </w:t>
      </w:r>
      <w:r>
        <w:t>I could produce a list of one hundred differences between my brother and myself without disprovin</w:t>
      </w:r>
      <w:r w:rsidR="00B21952">
        <w:t xml:space="preserve">g that we are closely related. </w:t>
      </w:r>
      <w:r w:rsidR="00CA0359">
        <w:t xml:space="preserve">However, </w:t>
      </w:r>
      <w:proofErr w:type="spellStart"/>
      <w:r>
        <w:t>Shoenthal</w:t>
      </w:r>
      <w:proofErr w:type="spellEnd"/>
      <w:r>
        <w:t xml:space="preserve"> (1989, p.562) conclu</w:t>
      </w:r>
      <w:r w:rsidR="00CA0359">
        <w:t xml:space="preserve">des that his catalogue of differences in the </w:t>
      </w:r>
      <w:r>
        <w:t xml:space="preserve">competencies of </w:t>
      </w:r>
      <w:r w:rsidR="00CA0359">
        <w:t xml:space="preserve">US and UK </w:t>
      </w:r>
      <w:r>
        <w:t>accountants is furth</w:t>
      </w:r>
      <w:r w:rsidR="00CA0359">
        <w:t xml:space="preserve">er evidence that the US and </w:t>
      </w:r>
      <w:r>
        <w:t xml:space="preserve">UK </w:t>
      </w:r>
      <w:r w:rsidR="00CA0359">
        <w:t xml:space="preserve">accounting systems </w:t>
      </w:r>
      <w:r>
        <w:t xml:space="preserve">should </w:t>
      </w:r>
      <w:r w:rsidR="002B6855">
        <w:t>not be classified together</w:t>
      </w:r>
      <w:r w:rsidR="00CA0359">
        <w:t>. This su</w:t>
      </w:r>
      <w:r w:rsidR="009D2043">
        <w:t>rel</w:t>
      </w:r>
      <w:r w:rsidR="00FE3ECC">
        <w:t>y cannot be safely taken as</w:t>
      </w:r>
      <w:r w:rsidR="009D2043">
        <w:t xml:space="preserve"> a FR </w:t>
      </w:r>
      <w:r>
        <w:t>without cons</w:t>
      </w:r>
      <w:r w:rsidR="00CA0359">
        <w:t xml:space="preserve">idering whether the US and UK are nevertheless </w:t>
      </w:r>
      <w:r w:rsidR="002B6855">
        <w:t>alike</w:t>
      </w:r>
      <w:r>
        <w:t xml:space="preserve"> in a world context.</w:t>
      </w:r>
      <w:r>
        <w:rPr>
          <w:rStyle w:val="FootnoteReference"/>
        </w:rPr>
        <w:footnoteReference w:id="23"/>
      </w:r>
      <w:r w:rsidR="00657D81">
        <w:t xml:space="preserve"> </w:t>
      </w:r>
      <w:r>
        <w:t xml:space="preserve">Similarly, Alexander and Archer (2000) provide a convincing discussion of US/UK differences in law and standard-setting but this does not prove </w:t>
      </w:r>
      <w:r w:rsidR="00CA0359">
        <w:t xml:space="preserve">their contention </w:t>
      </w:r>
      <w:r>
        <w:t>that</w:t>
      </w:r>
      <w:r w:rsidR="00284572" w:rsidRPr="00284572">
        <w:t xml:space="preserve"> </w:t>
      </w:r>
      <w:r w:rsidR="003E56A1">
        <w:t xml:space="preserve">the notion of </w:t>
      </w:r>
      <w:r w:rsidR="00284572">
        <w:t>Anglo-American financial reporting “is indeed a myth” (</w:t>
      </w:r>
      <w:r w:rsidR="00DE49A3">
        <w:t xml:space="preserve">p.541) because they do not consider </w:t>
      </w:r>
      <w:r w:rsidR="00284572">
        <w:t>other countries.</w:t>
      </w:r>
      <w:r w:rsidR="00284572">
        <w:rPr>
          <w:rStyle w:val="FootnoteReference"/>
        </w:rPr>
        <w:footnoteReference w:id="24"/>
      </w:r>
    </w:p>
    <w:p w14:paraId="0FD84C9A" w14:textId="77777777" w:rsidR="00474E16" w:rsidRDefault="006974DD" w:rsidP="00A6571A">
      <w:pPr>
        <w:ind w:firstLine="720"/>
      </w:pPr>
      <w:r>
        <w:t>A general point is that classification is a process of putting similar objects together. Th</w:t>
      </w:r>
      <w:r w:rsidR="009D2043">
        <w:t>erefore, it is unlikely to give a FR</w:t>
      </w:r>
      <w:r w:rsidR="00FE3ECC">
        <w:t xml:space="preserve"> if it is created by</w:t>
      </w:r>
      <w:r>
        <w:t xml:space="preserve"> examining </w:t>
      </w:r>
      <w:r w:rsidR="00FE3ECC">
        <w:t xml:space="preserve">only </w:t>
      </w:r>
      <w:r>
        <w:t xml:space="preserve">the </w:t>
      </w:r>
      <w:r w:rsidRPr="006974DD">
        <w:rPr>
          <w:i/>
        </w:rPr>
        <w:t>differences</w:t>
      </w:r>
      <w:r>
        <w:t xml:space="preserve"> between two objects. </w:t>
      </w:r>
      <w:r w:rsidR="00657D81">
        <w:t>A less obvious version of the same problem</w:t>
      </w:r>
      <w:r w:rsidR="00A6571A">
        <w:t xml:space="preserve"> is caused when a classifier knows two members of a population well but others much less well. This probably contributed to the </w:t>
      </w:r>
      <w:r w:rsidR="003C52D7">
        <w:t xml:space="preserve">three-group </w:t>
      </w:r>
      <w:r w:rsidR="009F0320">
        <w:t xml:space="preserve">accounting </w:t>
      </w:r>
      <w:r w:rsidR="00A6571A">
        <w:t>classification by Hatfield (1911), which can be summarised as: US, England [</w:t>
      </w:r>
      <w:r w:rsidR="00A6571A" w:rsidRPr="00A6571A">
        <w:rPr>
          <w:i/>
        </w:rPr>
        <w:t>sic</w:t>
      </w:r>
      <w:r w:rsidR="00A6571A">
        <w:t>] and other.</w:t>
      </w:r>
    </w:p>
    <w:p w14:paraId="77FF7CBE" w14:textId="77777777" w:rsidR="00C054BE" w:rsidRDefault="002B7139" w:rsidP="00C054BE">
      <w:pPr>
        <w:ind w:firstLine="720"/>
        <w:rPr>
          <w:i/>
        </w:rPr>
      </w:pPr>
      <w:r>
        <w:rPr>
          <w:i/>
        </w:rPr>
        <w:t>4.4</w:t>
      </w:r>
      <w:r w:rsidR="00C054BE" w:rsidRPr="00FE6881">
        <w:rPr>
          <w:i/>
        </w:rPr>
        <w:t xml:space="preserve"> </w:t>
      </w:r>
      <w:r w:rsidR="0000030F">
        <w:rPr>
          <w:i/>
        </w:rPr>
        <w:t>A</w:t>
      </w:r>
      <w:r w:rsidR="0000030F" w:rsidRPr="00FE6881">
        <w:rPr>
          <w:i/>
        </w:rPr>
        <w:t>doptions</w:t>
      </w:r>
      <w:r w:rsidR="0000030F">
        <w:rPr>
          <w:i/>
        </w:rPr>
        <w:t xml:space="preserve"> of</w:t>
      </w:r>
      <w:r w:rsidR="0000030F" w:rsidRPr="00FE6881">
        <w:rPr>
          <w:i/>
        </w:rPr>
        <w:t xml:space="preserve"> </w:t>
      </w:r>
      <w:r w:rsidR="00C054BE" w:rsidRPr="00FE6881">
        <w:rPr>
          <w:i/>
        </w:rPr>
        <w:t xml:space="preserve">IFRS </w:t>
      </w:r>
    </w:p>
    <w:p w14:paraId="1F618C32" w14:textId="27ECADC7" w:rsidR="00C054BE" w:rsidRDefault="00C054BE" w:rsidP="00C054BE">
      <w:pPr>
        <w:ind w:firstLine="720"/>
      </w:pPr>
      <w:proofErr w:type="spellStart"/>
      <w:r>
        <w:t>Elad</w:t>
      </w:r>
      <w:proofErr w:type="spellEnd"/>
      <w:r>
        <w:t xml:space="preserve"> (2015) applies the classification ideas of Nobes (1998) to explain how, in Africa, French-influenced countries have not adopted IFRS but UK-influenced countries have.</w:t>
      </w:r>
      <w:r>
        <w:rPr>
          <w:i/>
        </w:rPr>
        <w:t xml:space="preserve"> </w:t>
      </w:r>
      <w:r w:rsidRPr="00A51F07">
        <w:t xml:space="preserve">Several researchers (e.g. </w:t>
      </w:r>
      <w:proofErr w:type="spellStart"/>
      <w:r w:rsidRPr="00A51F07">
        <w:t>Sellhorn</w:t>
      </w:r>
      <w:proofErr w:type="spellEnd"/>
      <w:r w:rsidRPr="00A51F07">
        <w:t xml:space="preserve"> and </w:t>
      </w:r>
      <w:proofErr w:type="spellStart"/>
      <w:r w:rsidRPr="00A51F07">
        <w:t>Gornik-Tomaszewski</w:t>
      </w:r>
      <w:proofErr w:type="spellEnd"/>
      <w:r w:rsidRPr="00A51F07">
        <w:t>, 2006; Nobes, 2010)</w:t>
      </w:r>
      <w:r w:rsidRPr="00FE6881">
        <w:t xml:space="preserve"> </w:t>
      </w:r>
      <w:r w:rsidRPr="00FE6881">
        <w:lastRenderedPageBreak/>
        <w:t>have</w:t>
      </w:r>
      <w:r>
        <w:t xml:space="preserve"> </w:t>
      </w:r>
      <w:r w:rsidR="00544157">
        <w:t xml:space="preserve">used </w:t>
      </w:r>
      <w:r w:rsidRPr="00FE6881">
        <w:t>cl</w:t>
      </w:r>
      <w:r>
        <w:t xml:space="preserve">assifications </w:t>
      </w:r>
      <w:r w:rsidR="00544157">
        <w:t>of law or tax systems (</w:t>
      </w:r>
      <w:r w:rsidR="002B7139">
        <w:t xml:space="preserve">discussed in </w:t>
      </w:r>
      <w:r w:rsidR="00AF2D2C">
        <w:t>s</w:t>
      </w:r>
      <w:r w:rsidR="00544157">
        <w:t xml:space="preserve">ub-sections </w:t>
      </w:r>
      <w:r w:rsidR="002B7139">
        <w:t>4.5 and 4.6</w:t>
      </w:r>
      <w:r w:rsidR="00544157">
        <w:t xml:space="preserve"> below)</w:t>
      </w:r>
      <w:r w:rsidRPr="00FE6881">
        <w:t xml:space="preserve"> in order to predict or explain</w:t>
      </w:r>
      <w:r>
        <w:t xml:space="preserve"> whether jurisdictions</w:t>
      </w:r>
      <w:r w:rsidRPr="00FE6881">
        <w:t xml:space="preserve"> </w:t>
      </w:r>
      <w:r>
        <w:t xml:space="preserve">require, allow or ban IFRS for </w:t>
      </w:r>
      <w:r w:rsidRPr="002741BA">
        <w:rPr>
          <w:i/>
        </w:rPr>
        <w:t>unconsolidated</w:t>
      </w:r>
      <w:r w:rsidRPr="00FE6881">
        <w:t xml:space="preserve"> statements.</w:t>
      </w:r>
      <w:r>
        <w:t xml:space="preserve"> </w:t>
      </w:r>
      <w:r w:rsidR="0000030F">
        <w:t>The issue</w:t>
      </w:r>
      <w:r>
        <w:t xml:space="preserve"> is related to law</w:t>
      </w:r>
      <w:r w:rsidR="002B7139">
        <w:t xml:space="preserve"> </w:t>
      </w:r>
      <w:r>
        <w:t xml:space="preserve">because Roman law jurisdictions have greater philosophical difficulty with the concept of accountants writing regulations. </w:t>
      </w:r>
      <w:r w:rsidR="003C52D7">
        <w:t>However</w:t>
      </w:r>
      <w:r w:rsidRPr="003C5504">
        <w:t>,</w:t>
      </w:r>
      <w:r w:rsidR="003C52D7">
        <w:t xml:space="preserve"> the key point may be</w:t>
      </w:r>
      <w:r w:rsidRPr="00FE6881">
        <w:t xml:space="preserve"> that </w:t>
      </w:r>
      <w:r>
        <w:t xml:space="preserve">jurisdictions cannot easily adopt IFRS for unconsolidated statements if tax numbers are based closely on financial reporting. </w:t>
      </w:r>
      <w:proofErr w:type="spellStart"/>
      <w:r>
        <w:t>Elad’s</w:t>
      </w:r>
      <w:proofErr w:type="spellEnd"/>
      <w:r>
        <w:t xml:space="preserve"> findings about IFRS adoption</w:t>
      </w:r>
      <w:r w:rsidR="002B7139">
        <w:t xml:space="preserve"> in Africa</w:t>
      </w:r>
      <w:r>
        <w:t xml:space="preserve"> fit the background knowledge.</w:t>
      </w:r>
    </w:p>
    <w:p w14:paraId="7C4C27B6" w14:textId="77777777" w:rsidR="00C054BE" w:rsidRPr="002C68CA" w:rsidRDefault="002B7139" w:rsidP="00C054BE">
      <w:pPr>
        <w:ind w:firstLine="720"/>
        <w:rPr>
          <w:i/>
        </w:rPr>
      </w:pPr>
      <w:r>
        <w:t xml:space="preserve"> However, let us examine Table 5</w:t>
      </w:r>
      <w:r w:rsidR="00C054BE">
        <w:t xml:space="preserve"> which is extracted from a table in Francis </w:t>
      </w:r>
      <w:r w:rsidR="00C054BE" w:rsidRPr="003552BA">
        <w:rPr>
          <w:i/>
        </w:rPr>
        <w:t>et al.</w:t>
      </w:r>
      <w:r w:rsidR="00C054BE">
        <w:t xml:space="preserve"> (2008) which purports to show the percentages of private firms adopting IAS</w:t>
      </w:r>
      <w:r w:rsidR="00C054BE">
        <w:rPr>
          <w:rStyle w:val="FootnoteReference"/>
        </w:rPr>
        <w:footnoteReference w:id="25"/>
      </w:r>
      <w:r w:rsidR="00C054BE">
        <w:t xml:space="preserve"> in 1999/2000 in EU countries. Those researchers examined “voluntary IAS adoptions” by “small to medium-sized private firms from 56 countries” (p. 356). My </w:t>
      </w:r>
      <w:r>
        <w:t>Table 5</w:t>
      </w:r>
      <w:r w:rsidR="00C054BE">
        <w:t xml:space="preserve"> concentrates on countries that were members of the EU in 2000 because it is easy to be sure about the legal position: </w:t>
      </w:r>
      <w:r w:rsidR="00C054BE">
        <w:rPr>
          <w:i/>
        </w:rPr>
        <w:t>IAS was not allowed</w:t>
      </w:r>
      <w:r w:rsidR="00C054BE">
        <w:t xml:space="preserve"> for statutory reporting</w:t>
      </w:r>
      <w:r w:rsidR="00C054BE">
        <w:rPr>
          <w:rStyle w:val="FootnoteReference"/>
        </w:rPr>
        <w:footnoteReference w:id="26"/>
      </w:r>
      <w:r w:rsidR="003C52D7">
        <w:t xml:space="preserve"> by private companies, and this</w:t>
      </w:r>
      <w:r w:rsidR="00C054BE">
        <w:t xml:space="preserve"> continued to be the case until the EU Regulation 1606 of 2002 which was in force in most </w:t>
      </w:r>
      <w:r w:rsidR="003C52D7">
        <w:t xml:space="preserve">EU </w:t>
      </w:r>
      <w:r w:rsidR="00C054BE">
        <w:t xml:space="preserve">countries from 2005. Thus, the apparent high </w:t>
      </w:r>
      <w:r>
        <w:t>level of IAS adoption in Table 5</w:t>
      </w:r>
      <w:r w:rsidR="00C054BE">
        <w:t xml:space="preserve"> does not pass the FR test.</w:t>
      </w:r>
      <w:r w:rsidR="00C054BE">
        <w:rPr>
          <w:i/>
        </w:rPr>
        <w:t xml:space="preserve"> </w:t>
      </w:r>
      <w:r w:rsidR="00C054BE">
        <w:t>A partial explanation is that the source data did not refer to IAS adoption but to IAS “use” which could include using some content of IAS for the marginal purpose of filling gaps in national regulations.</w:t>
      </w:r>
      <w:r w:rsidR="00C054BE">
        <w:rPr>
          <w:rStyle w:val="FootnoteReference"/>
        </w:rPr>
        <w:footnoteReference w:id="27"/>
      </w:r>
      <w:r w:rsidR="00C054BE">
        <w:t xml:space="preserve"> </w:t>
      </w:r>
    </w:p>
    <w:p w14:paraId="109C713F" w14:textId="7A675743" w:rsidR="00C054BE" w:rsidRPr="00B97527" w:rsidRDefault="00AC159E" w:rsidP="00B97527">
      <w:r>
        <w:lastRenderedPageBreak/>
        <w:tab/>
        <w:t xml:space="preserve">Another </w:t>
      </w:r>
      <w:r w:rsidR="00C054BE">
        <w:t>misclassification relates to Switzerland, which is often untruly</w:t>
      </w:r>
      <w:r w:rsidR="00C054BE">
        <w:rPr>
          <w:rStyle w:val="FootnoteReference"/>
        </w:rPr>
        <w:footnoteReference w:id="28"/>
      </w:r>
      <w:r w:rsidR="00C054BE">
        <w:t xml:space="preserve"> included among </w:t>
      </w:r>
      <w:r w:rsidR="003C52D7">
        <w:t xml:space="preserve">the class of </w:t>
      </w:r>
      <w:r w:rsidR="00C054BE">
        <w:t>countries which have mandatorily ado</w:t>
      </w:r>
      <w:r>
        <w:t xml:space="preserve">pted IFRS. </w:t>
      </w:r>
      <w:proofErr w:type="spellStart"/>
      <w:r>
        <w:t>Zeff</w:t>
      </w:r>
      <w:proofErr w:type="spellEnd"/>
      <w:r>
        <w:t xml:space="preserve"> (2016) points out that</w:t>
      </w:r>
      <w:r w:rsidR="00C054BE">
        <w:t xml:space="preserve"> this is the case in </w:t>
      </w:r>
      <w:proofErr w:type="spellStart"/>
      <w:r w:rsidR="00C054BE">
        <w:t>Daske</w:t>
      </w:r>
      <w:proofErr w:type="spellEnd"/>
      <w:r w:rsidR="00C054BE" w:rsidRPr="004B0C9C">
        <w:rPr>
          <w:i/>
        </w:rPr>
        <w:t xml:space="preserve"> </w:t>
      </w:r>
      <w:r w:rsidR="00C054BE" w:rsidRPr="0015736A">
        <w:rPr>
          <w:i/>
        </w:rPr>
        <w:t>et al.</w:t>
      </w:r>
      <w:r w:rsidR="00C054BE">
        <w:t xml:space="preserve"> (2008). It also applies in Ahmed</w:t>
      </w:r>
      <w:r w:rsidR="00C054BE" w:rsidRPr="004B0C9C">
        <w:rPr>
          <w:i/>
        </w:rPr>
        <w:t xml:space="preserve"> </w:t>
      </w:r>
      <w:r w:rsidR="00C054BE" w:rsidRPr="0015736A">
        <w:rPr>
          <w:i/>
        </w:rPr>
        <w:t>et al.</w:t>
      </w:r>
      <w:r w:rsidR="00C054BE">
        <w:t xml:space="preserve"> (2013, Table 2), </w:t>
      </w:r>
      <w:r w:rsidR="00C678F0">
        <w:t xml:space="preserve">Byard </w:t>
      </w:r>
      <w:r w:rsidR="00C678F0" w:rsidRPr="007F0580">
        <w:rPr>
          <w:i/>
        </w:rPr>
        <w:t>et al.</w:t>
      </w:r>
      <w:r w:rsidR="00C678F0">
        <w:t xml:space="preserve"> (2011, Table 1), </w:t>
      </w:r>
      <w:r w:rsidR="00C054BE">
        <w:t xml:space="preserve">Christensen </w:t>
      </w:r>
      <w:r w:rsidR="00C054BE" w:rsidRPr="0015736A">
        <w:rPr>
          <w:i/>
        </w:rPr>
        <w:t>et al.</w:t>
      </w:r>
      <w:r w:rsidR="00C054BE">
        <w:t xml:space="preserve"> (2013, Table 1) and Chen</w:t>
      </w:r>
      <w:r w:rsidR="00C054BE" w:rsidRPr="004B0C9C">
        <w:rPr>
          <w:i/>
        </w:rPr>
        <w:t xml:space="preserve"> </w:t>
      </w:r>
      <w:r w:rsidR="00C054BE" w:rsidRPr="0015736A">
        <w:rPr>
          <w:i/>
        </w:rPr>
        <w:t>et al.</w:t>
      </w:r>
      <w:r w:rsidR="00C054BE">
        <w:t xml:space="preserve"> (2015, Table 2).</w:t>
      </w:r>
      <w:r w:rsidR="00C054BE">
        <w:rPr>
          <w:rStyle w:val="FootnoteReference"/>
        </w:rPr>
        <w:footnoteReference w:id="29"/>
      </w:r>
      <w:r w:rsidR="00C054BE">
        <w:t xml:space="preserve"> This </w:t>
      </w:r>
      <w:r>
        <w:t xml:space="preserve">misclassification </w:t>
      </w:r>
      <w:r w:rsidR="00C054BE">
        <w:t xml:space="preserve">is important because the empirical literature concludes that there are major distinctions between voluntary and mandatory adopters (e.g. </w:t>
      </w:r>
      <w:proofErr w:type="spellStart"/>
      <w:r w:rsidR="00C054BE">
        <w:t>Soderstrom</w:t>
      </w:r>
      <w:proofErr w:type="spellEnd"/>
      <w:r w:rsidR="00C054BE">
        <w:t xml:space="preserve"> and Sun, 2007; Byard</w:t>
      </w:r>
      <w:r w:rsidR="00C054BE" w:rsidRPr="004B0C9C">
        <w:rPr>
          <w:i/>
        </w:rPr>
        <w:t xml:space="preserve"> </w:t>
      </w:r>
      <w:r w:rsidR="00C054BE" w:rsidRPr="0015736A">
        <w:rPr>
          <w:i/>
        </w:rPr>
        <w:t>et al.</w:t>
      </w:r>
      <w:r w:rsidR="00C054BE">
        <w:t>, 2011; Horton</w:t>
      </w:r>
      <w:r w:rsidR="00C054BE" w:rsidRPr="004B0C9C">
        <w:rPr>
          <w:i/>
        </w:rPr>
        <w:t xml:space="preserve"> </w:t>
      </w:r>
      <w:r w:rsidR="00C054BE" w:rsidRPr="0015736A">
        <w:rPr>
          <w:i/>
        </w:rPr>
        <w:t>et al.</w:t>
      </w:r>
      <w:r w:rsidR="00C054BE">
        <w:t xml:space="preserve">, </w:t>
      </w:r>
      <w:r w:rsidR="00B97527">
        <w:t>2013).</w:t>
      </w:r>
    </w:p>
    <w:p w14:paraId="5CB148BD" w14:textId="77777777" w:rsidR="002C57DB" w:rsidRDefault="003855E7" w:rsidP="00FF5380">
      <w:pPr>
        <w:ind w:firstLine="720"/>
        <w:rPr>
          <w:i/>
        </w:rPr>
      </w:pPr>
      <w:r>
        <w:rPr>
          <w:i/>
        </w:rPr>
        <w:t>4</w:t>
      </w:r>
      <w:r w:rsidR="002B7139">
        <w:rPr>
          <w:i/>
        </w:rPr>
        <w:t>.5</w:t>
      </w:r>
      <w:r w:rsidR="008E4ED7">
        <w:rPr>
          <w:i/>
        </w:rPr>
        <w:t xml:space="preserve"> </w:t>
      </w:r>
      <w:r w:rsidR="002C57DB">
        <w:rPr>
          <w:i/>
        </w:rPr>
        <w:t>Legal systems</w:t>
      </w:r>
    </w:p>
    <w:p w14:paraId="1840661C" w14:textId="07F2D98D" w:rsidR="001824B4" w:rsidRDefault="00F71FD8" w:rsidP="006E164C">
      <w:r>
        <w:tab/>
      </w:r>
      <w:r w:rsidR="0006526C">
        <w:t>C</w:t>
      </w:r>
      <w:r w:rsidR="005010FB">
        <w:t xml:space="preserve">lassifications of legal systems have been produced by law academics (e.g. </w:t>
      </w:r>
      <w:proofErr w:type="spellStart"/>
      <w:r w:rsidR="005010FB">
        <w:t>Kagan</w:t>
      </w:r>
      <w:proofErr w:type="spellEnd"/>
      <w:r w:rsidR="005010FB">
        <w:t>, 1955; David and Brierley</w:t>
      </w:r>
      <w:r w:rsidR="001C5EE9">
        <w:t xml:space="preserve">, 1985). </w:t>
      </w:r>
      <w:r w:rsidR="005010FB">
        <w:t>These have been picked up by researc</w:t>
      </w:r>
      <w:r w:rsidR="001C5EE9">
        <w:t>hers in accounting and finance.</w:t>
      </w:r>
      <w:r w:rsidR="005010FB">
        <w:t xml:space="preserve"> In general</w:t>
      </w:r>
      <w:r w:rsidR="00C60C12">
        <w:t>,</w:t>
      </w:r>
      <w:r w:rsidR="005010FB">
        <w:t xml:space="preserve"> this involves simplifying the world i</w:t>
      </w:r>
      <w:r w:rsidR="005B4813">
        <w:t xml:space="preserve">nto two types of legal system: </w:t>
      </w:r>
      <w:r w:rsidR="005010FB">
        <w:t>Roman codifi</w:t>
      </w:r>
      <w:r w:rsidR="001C5EE9">
        <w:t xml:space="preserve">ed law and English common law. </w:t>
      </w:r>
      <w:r w:rsidR="0006526C">
        <w:t>The use of a</w:t>
      </w:r>
      <w:r w:rsidR="005010FB">
        <w:t xml:space="preserve"> </w:t>
      </w:r>
      <w:r w:rsidR="005B4813">
        <w:t>legal-system independent varia</w:t>
      </w:r>
      <w:r w:rsidR="0015736A">
        <w:t xml:space="preserve">ble is very widespread; </w:t>
      </w:r>
      <w:r w:rsidR="0006526C">
        <w:t xml:space="preserve">an </w:t>
      </w:r>
      <w:r w:rsidR="0015736A">
        <w:t>oft-cited</w:t>
      </w:r>
      <w:r w:rsidR="005B4813">
        <w:t xml:space="preserve"> </w:t>
      </w:r>
      <w:r w:rsidR="0006526C">
        <w:t xml:space="preserve">source being </w:t>
      </w:r>
      <w:r w:rsidR="005B4813">
        <w:t>paper</w:t>
      </w:r>
      <w:r w:rsidR="0015736A">
        <w:t xml:space="preserve">s </w:t>
      </w:r>
      <w:r w:rsidR="009817CF">
        <w:t>by La Porta</w:t>
      </w:r>
      <w:r w:rsidR="0015736A">
        <w:t xml:space="preserve"> </w:t>
      </w:r>
      <w:r w:rsidR="0015736A" w:rsidRPr="0015736A">
        <w:rPr>
          <w:i/>
        </w:rPr>
        <w:t>et al.</w:t>
      </w:r>
      <w:r w:rsidR="0015736A">
        <w:t xml:space="preserve"> (1997 and 1998</w:t>
      </w:r>
      <w:r w:rsidR="005B4813">
        <w:t>)</w:t>
      </w:r>
      <w:r w:rsidR="005010FB">
        <w:t>.</w:t>
      </w:r>
      <w:r w:rsidR="009817CF">
        <w:t xml:space="preserve"> </w:t>
      </w:r>
    </w:p>
    <w:p w14:paraId="799A05C7" w14:textId="77777777" w:rsidR="005010FB" w:rsidRDefault="007A19DD" w:rsidP="001824B4">
      <w:pPr>
        <w:ind w:firstLine="720"/>
      </w:pPr>
      <w:r>
        <w:t xml:space="preserve">Nobes (1998) </w:t>
      </w:r>
      <w:r w:rsidR="003B4F84">
        <w:t>complained that this</w:t>
      </w:r>
      <w:r w:rsidR="005010FB">
        <w:t xml:space="preserve"> two-way classific</w:t>
      </w:r>
      <w:r w:rsidR="001824B4">
        <w:t>ation did not work very well in</w:t>
      </w:r>
      <w:r w:rsidR="005010FB">
        <w:t xml:space="preserve"> </w:t>
      </w:r>
      <w:r w:rsidR="0006526C">
        <w:t xml:space="preserve">its </w:t>
      </w:r>
      <w:r w:rsidR="005010FB">
        <w:t>own t</w:t>
      </w:r>
      <w:r w:rsidR="001C5EE9">
        <w:t>erms or for accounting studies.</w:t>
      </w:r>
      <w:r w:rsidR="005010FB">
        <w:t xml:space="preserve"> For example:</w:t>
      </w:r>
    </w:p>
    <w:p w14:paraId="24DC99AF" w14:textId="77777777" w:rsidR="00AD4648" w:rsidRDefault="00AD4648" w:rsidP="00AD4648">
      <w:pPr>
        <w:tabs>
          <w:tab w:val="left" w:pos="360"/>
        </w:tabs>
        <w:ind w:left="720" w:hanging="720"/>
      </w:pPr>
      <w:r>
        <w:tab/>
        <w:t>(a)</w:t>
      </w:r>
      <w:r>
        <w:tab/>
      </w:r>
      <w:r w:rsidR="00E74552">
        <w:t xml:space="preserve">Québec, </w:t>
      </w:r>
      <w:r>
        <w:t xml:space="preserve">Scotland and Louisiana have Roman law inside </w:t>
      </w:r>
      <w:r w:rsidR="00E74552">
        <w:t xml:space="preserve">Canada, </w:t>
      </w:r>
      <w:r>
        <w:t>the UK an</w:t>
      </w:r>
      <w:r w:rsidR="001C5EE9">
        <w:t>d the US</w:t>
      </w:r>
      <w:r w:rsidR="00502A37">
        <w:t>,</w:t>
      </w:r>
      <w:r w:rsidR="001C5EE9">
        <w:t xml:space="preserve"> respectively</w:t>
      </w:r>
      <w:r w:rsidR="00E74552">
        <w:t xml:space="preserve"> (see Filip </w:t>
      </w:r>
      <w:r w:rsidR="00E74552" w:rsidRPr="00E74552">
        <w:rPr>
          <w:i/>
        </w:rPr>
        <w:t>et al.</w:t>
      </w:r>
      <w:r w:rsidR="00E74552">
        <w:t xml:space="preserve"> (2015) for empirics on Canada)</w:t>
      </w:r>
      <w:r w:rsidR="001C5EE9">
        <w:t xml:space="preserve">. </w:t>
      </w:r>
      <w:r>
        <w:t>South Africa has both Roman-Dutch and British traditions.</w:t>
      </w:r>
      <w:r w:rsidR="00E74552">
        <w:t xml:space="preserve"> </w:t>
      </w:r>
    </w:p>
    <w:p w14:paraId="3E0081C0" w14:textId="77777777" w:rsidR="00AD4648" w:rsidRDefault="00AD4648" w:rsidP="00AD4648">
      <w:pPr>
        <w:tabs>
          <w:tab w:val="left" w:pos="360"/>
        </w:tabs>
        <w:ind w:left="720" w:hanging="720"/>
      </w:pPr>
      <w:r>
        <w:tab/>
        <w:t>(b)</w:t>
      </w:r>
      <w:r>
        <w:tab/>
        <w:t>The Ne</w:t>
      </w:r>
      <w:r w:rsidR="005B4813">
        <w:t>therlands ha</w:t>
      </w:r>
      <w:r w:rsidR="00502A37">
        <w:t xml:space="preserve">s Roman law but that </w:t>
      </w:r>
      <w:r>
        <w:t>does not</w:t>
      </w:r>
      <w:r w:rsidR="001C5EE9">
        <w:t xml:space="preserve"> seem relevant for accounting. </w:t>
      </w:r>
      <w:r>
        <w:t xml:space="preserve">It has the world’s oldest stock market, an old accountancy body (see Table 2), a </w:t>
      </w:r>
      <w:r>
        <w:lastRenderedPageBreak/>
        <w:t>long tradition of private-sector standard-setting, and a separation of tax and financial reporting</w:t>
      </w:r>
      <w:r w:rsidR="002B7139">
        <w:t xml:space="preserve"> (see 4.6</w:t>
      </w:r>
      <w:r w:rsidR="005B4813">
        <w:t xml:space="preserve"> below)</w:t>
      </w:r>
      <w:r>
        <w:t>.</w:t>
      </w:r>
    </w:p>
    <w:p w14:paraId="347E7EEA" w14:textId="77777777" w:rsidR="00AD4648" w:rsidRDefault="00AD4648" w:rsidP="00AD4648">
      <w:pPr>
        <w:tabs>
          <w:tab w:val="left" w:pos="360"/>
        </w:tabs>
        <w:ind w:left="720" w:hanging="720"/>
      </w:pPr>
      <w:r>
        <w:tab/>
        <w:t>(c)</w:t>
      </w:r>
      <w:r>
        <w:tab/>
        <w:t xml:space="preserve">The legal system might not be relevant for such issues as </w:t>
      </w:r>
      <w:r w:rsidR="001C5EE9">
        <w:t xml:space="preserve">whether a country adopts IFRS. </w:t>
      </w:r>
      <w:r>
        <w:t>For example, German companies were early adopters</w:t>
      </w:r>
      <w:r w:rsidR="005B4813">
        <w:t>, despite</w:t>
      </w:r>
      <w:r w:rsidR="001C5EE9">
        <w:t xml:space="preserve"> being in a Roman law country. </w:t>
      </w:r>
      <w:r w:rsidR="007A19DD">
        <w:t>Adoption</w:t>
      </w:r>
      <w:r w:rsidR="005B4813">
        <w:t xml:space="preserve"> was achieved by applying IFRS to</w:t>
      </w:r>
      <w:r>
        <w:t xml:space="preserve"> consolidated statements</w:t>
      </w:r>
      <w:r w:rsidR="005B4813">
        <w:t xml:space="preserve"> only</w:t>
      </w:r>
      <w:r>
        <w:t>, which are not rel</w:t>
      </w:r>
      <w:r w:rsidR="00502A37">
        <w:t>evant for such legal matters as</w:t>
      </w:r>
      <w:r>
        <w:t xml:space="preserve"> calculating taxable income or distributable income.</w:t>
      </w:r>
    </w:p>
    <w:p w14:paraId="73D79A84" w14:textId="77777777" w:rsidR="009D2043" w:rsidRDefault="00AD4648" w:rsidP="009D2043">
      <w:pPr>
        <w:ind w:firstLine="720"/>
        <w:rPr>
          <w:szCs w:val="24"/>
        </w:rPr>
      </w:pPr>
      <w:proofErr w:type="spellStart"/>
      <w:r>
        <w:rPr>
          <w:szCs w:val="24"/>
        </w:rPr>
        <w:t>Lindahl</w:t>
      </w:r>
      <w:proofErr w:type="spellEnd"/>
      <w:r w:rsidRPr="00780081">
        <w:rPr>
          <w:szCs w:val="24"/>
        </w:rPr>
        <w:t xml:space="preserve"> and </w:t>
      </w:r>
      <w:proofErr w:type="spellStart"/>
      <w:r w:rsidRPr="00780081">
        <w:rPr>
          <w:szCs w:val="24"/>
        </w:rPr>
        <w:t>Schadéwitz</w:t>
      </w:r>
      <w:proofErr w:type="spellEnd"/>
      <w:r w:rsidR="003F317F">
        <w:rPr>
          <w:szCs w:val="24"/>
        </w:rPr>
        <w:t xml:space="preserve"> (2013) </w:t>
      </w:r>
      <w:r w:rsidR="007A19DD">
        <w:rPr>
          <w:szCs w:val="24"/>
        </w:rPr>
        <w:t xml:space="preserve">also </w:t>
      </w:r>
      <w:r w:rsidR="00F23A4E">
        <w:rPr>
          <w:szCs w:val="24"/>
        </w:rPr>
        <w:t xml:space="preserve">make </w:t>
      </w:r>
      <w:r w:rsidR="003F317F">
        <w:rPr>
          <w:szCs w:val="24"/>
        </w:rPr>
        <w:t>persuasive criticisms of the use of the legal families for research in financial reporting.</w:t>
      </w:r>
      <w:r w:rsidR="005B4813">
        <w:rPr>
          <w:szCs w:val="24"/>
        </w:rPr>
        <w:t xml:space="preserve"> </w:t>
      </w:r>
      <w:r w:rsidR="003C52D7">
        <w:rPr>
          <w:szCs w:val="24"/>
        </w:rPr>
        <w:t xml:space="preserve">They </w:t>
      </w:r>
      <w:r w:rsidR="009D2043">
        <w:rPr>
          <w:szCs w:val="24"/>
        </w:rPr>
        <w:t>suggest that the common/code distinction was more important historically than now, and that large within-family differences (e.g. between India, the UK and the US) make the distinction too simple.</w:t>
      </w:r>
    </w:p>
    <w:p w14:paraId="314FAD0B" w14:textId="77777777" w:rsidR="00FF7091" w:rsidRDefault="009D2043" w:rsidP="00FF7091">
      <w:pPr>
        <w:ind w:firstLine="720"/>
        <w:rPr>
          <w:szCs w:val="24"/>
        </w:rPr>
      </w:pPr>
      <w:r>
        <w:rPr>
          <w:szCs w:val="24"/>
        </w:rPr>
        <w:t>There is sometimes a more basic problem than oversim</w:t>
      </w:r>
      <w:r w:rsidR="003C52D7">
        <w:rPr>
          <w:szCs w:val="24"/>
        </w:rPr>
        <w:t xml:space="preserve">plification: researchers just </w:t>
      </w:r>
      <w:r>
        <w:rPr>
          <w:szCs w:val="24"/>
        </w:rPr>
        <w:t xml:space="preserve">get the data wrong. </w:t>
      </w:r>
      <w:r w:rsidR="00FF7091">
        <w:rPr>
          <w:szCs w:val="24"/>
        </w:rPr>
        <w:t xml:space="preserve">For example, </w:t>
      </w:r>
      <w:proofErr w:type="spellStart"/>
      <w:r w:rsidR="003F317F">
        <w:rPr>
          <w:szCs w:val="24"/>
        </w:rPr>
        <w:t>Shima</w:t>
      </w:r>
      <w:proofErr w:type="spellEnd"/>
      <w:r w:rsidR="003F317F">
        <w:rPr>
          <w:szCs w:val="24"/>
        </w:rPr>
        <w:t xml:space="preserve"> and Gordon (2011, Table 3) classify Argentina as having common law (unlike all of the rest of Central and South America)</w:t>
      </w:r>
      <w:r w:rsidR="00405041">
        <w:rPr>
          <w:szCs w:val="24"/>
        </w:rPr>
        <w:t>.</w:t>
      </w:r>
      <w:r w:rsidR="00BD3A1A">
        <w:rPr>
          <w:rStyle w:val="FootnoteReference"/>
          <w:szCs w:val="24"/>
        </w:rPr>
        <w:footnoteReference w:id="30"/>
      </w:r>
      <w:r w:rsidR="003C52D7">
        <w:rPr>
          <w:szCs w:val="24"/>
        </w:rPr>
        <w:t xml:space="preserve"> This may be simply</w:t>
      </w:r>
      <w:r w:rsidR="00405041">
        <w:rPr>
          <w:szCs w:val="24"/>
        </w:rPr>
        <w:t xml:space="preserve"> a typographical error. </w:t>
      </w:r>
      <w:r w:rsidR="00D92985">
        <w:rPr>
          <w:szCs w:val="24"/>
        </w:rPr>
        <w:t xml:space="preserve">More interestingly, </w:t>
      </w:r>
      <w:r w:rsidR="00EF36FB">
        <w:rPr>
          <w:szCs w:val="24"/>
        </w:rPr>
        <w:t>Liao (2014</w:t>
      </w:r>
      <w:r w:rsidR="00D92985">
        <w:rPr>
          <w:szCs w:val="24"/>
        </w:rPr>
        <w:t>, Table 7.1</w:t>
      </w:r>
      <w:r w:rsidR="003F317F">
        <w:rPr>
          <w:szCs w:val="24"/>
        </w:rPr>
        <w:t>) classi</w:t>
      </w:r>
      <w:r w:rsidR="001C5EE9">
        <w:rPr>
          <w:szCs w:val="24"/>
        </w:rPr>
        <w:t>fies Malta as having Roman law.</w:t>
      </w:r>
      <w:r w:rsidR="00D92985">
        <w:rPr>
          <w:szCs w:val="24"/>
        </w:rPr>
        <w:t xml:space="preserve"> This </w:t>
      </w:r>
      <w:r w:rsidR="003F317F">
        <w:rPr>
          <w:szCs w:val="24"/>
        </w:rPr>
        <w:t>is tempting because of Malta’s proximity</w:t>
      </w:r>
      <w:r w:rsidR="003B1D89">
        <w:rPr>
          <w:szCs w:val="24"/>
        </w:rPr>
        <w:t xml:space="preserve"> to Ita</w:t>
      </w:r>
      <w:r w:rsidR="006E6795">
        <w:rPr>
          <w:szCs w:val="24"/>
        </w:rPr>
        <w:t>ly, and because the roots of its</w:t>
      </w:r>
      <w:r w:rsidR="003B1D89">
        <w:rPr>
          <w:szCs w:val="24"/>
        </w:rPr>
        <w:t xml:space="preserve"> legal</w:t>
      </w:r>
      <w:r w:rsidR="0006526C">
        <w:rPr>
          <w:szCs w:val="24"/>
        </w:rPr>
        <w:t xml:space="preserve"> system are Roman. However, it</w:t>
      </w:r>
      <w:r w:rsidR="00D92985">
        <w:rPr>
          <w:szCs w:val="24"/>
        </w:rPr>
        <w:t xml:space="preserve"> does not take account of </w:t>
      </w:r>
      <w:r w:rsidR="003B1D89">
        <w:rPr>
          <w:szCs w:val="24"/>
        </w:rPr>
        <w:t>two</w:t>
      </w:r>
      <w:r w:rsidR="003F317F">
        <w:rPr>
          <w:szCs w:val="24"/>
        </w:rPr>
        <w:t xml:space="preserve"> centuries of British rule which determined its </w:t>
      </w:r>
      <w:r w:rsidR="003F317F" w:rsidRPr="003C52D7">
        <w:rPr>
          <w:i/>
          <w:szCs w:val="24"/>
        </w:rPr>
        <w:t>company</w:t>
      </w:r>
      <w:r w:rsidR="003F317F">
        <w:rPr>
          <w:szCs w:val="24"/>
        </w:rPr>
        <w:t xml:space="preserve"> law (Malta Chamber of Advocates, 2015).</w:t>
      </w:r>
      <w:r w:rsidR="001C5EE9">
        <w:rPr>
          <w:szCs w:val="24"/>
        </w:rPr>
        <w:t xml:space="preserve"> </w:t>
      </w:r>
      <w:r w:rsidR="005B4813">
        <w:rPr>
          <w:szCs w:val="24"/>
        </w:rPr>
        <w:t xml:space="preserve">This reminds us that, in some jurisdictions, it is better to focus on company law rather than </w:t>
      </w:r>
      <w:r w:rsidR="007A19DD">
        <w:rPr>
          <w:szCs w:val="24"/>
        </w:rPr>
        <w:t>to consider</w:t>
      </w:r>
      <w:r w:rsidR="00A75C8F">
        <w:rPr>
          <w:szCs w:val="24"/>
        </w:rPr>
        <w:t xml:space="preserve"> law in general. Such a focus resolves</w:t>
      </w:r>
      <w:r w:rsidR="005B4813">
        <w:rPr>
          <w:szCs w:val="24"/>
        </w:rPr>
        <w:t xml:space="preserve"> the </w:t>
      </w:r>
      <w:r w:rsidR="005B4813">
        <w:rPr>
          <w:szCs w:val="24"/>
        </w:rPr>
        <w:lastRenderedPageBreak/>
        <w:t>hybrid nature of Scottish and South Africa</w:t>
      </w:r>
      <w:r w:rsidR="003B4F84">
        <w:rPr>
          <w:szCs w:val="24"/>
        </w:rPr>
        <w:t>n law, by concentrating on the “English”</w:t>
      </w:r>
      <w:r w:rsidR="005B4813">
        <w:rPr>
          <w:szCs w:val="24"/>
        </w:rPr>
        <w:t xml:space="preserve"> company law</w:t>
      </w:r>
      <w:r w:rsidR="007A19DD">
        <w:rPr>
          <w:szCs w:val="24"/>
        </w:rPr>
        <w:t xml:space="preserve"> in both countries</w:t>
      </w:r>
      <w:r w:rsidR="005B4813">
        <w:rPr>
          <w:szCs w:val="24"/>
        </w:rPr>
        <w:t>.</w:t>
      </w:r>
      <w:r w:rsidR="00FF7091" w:rsidRPr="007E7DAC">
        <w:rPr>
          <w:szCs w:val="24"/>
        </w:rPr>
        <w:t xml:space="preserve"> </w:t>
      </w:r>
    </w:p>
    <w:p w14:paraId="58AE58D5" w14:textId="77777777" w:rsidR="00FF7091" w:rsidRDefault="003B4F84" w:rsidP="00FF7091">
      <w:pPr>
        <w:ind w:firstLine="720"/>
        <w:rPr>
          <w:szCs w:val="24"/>
        </w:rPr>
      </w:pPr>
      <w:r>
        <w:rPr>
          <w:szCs w:val="24"/>
        </w:rPr>
        <w:t xml:space="preserve">Other </w:t>
      </w:r>
      <w:r w:rsidR="007E7DAC">
        <w:rPr>
          <w:szCs w:val="24"/>
        </w:rPr>
        <w:t xml:space="preserve">legal </w:t>
      </w:r>
      <w:r>
        <w:rPr>
          <w:szCs w:val="24"/>
        </w:rPr>
        <w:t xml:space="preserve">data </w:t>
      </w:r>
      <w:r w:rsidR="007E7DAC">
        <w:rPr>
          <w:szCs w:val="24"/>
        </w:rPr>
        <w:t xml:space="preserve">also </w:t>
      </w:r>
      <w:r w:rsidR="00AE5A96">
        <w:rPr>
          <w:szCs w:val="24"/>
        </w:rPr>
        <w:t>fail the FR</w:t>
      </w:r>
      <w:r w:rsidR="003F317F">
        <w:rPr>
          <w:szCs w:val="24"/>
        </w:rPr>
        <w:t xml:space="preserve"> tes</w:t>
      </w:r>
      <w:r w:rsidR="007E7DAC">
        <w:rPr>
          <w:szCs w:val="24"/>
        </w:rPr>
        <w:t xml:space="preserve">t but </w:t>
      </w:r>
      <w:r w:rsidR="00DC0FDD">
        <w:rPr>
          <w:szCs w:val="24"/>
        </w:rPr>
        <w:t>in a</w:t>
      </w:r>
      <w:r w:rsidR="003C52D7">
        <w:rPr>
          <w:szCs w:val="24"/>
        </w:rPr>
        <w:t xml:space="preserve"> way that is less easy to detect. </w:t>
      </w:r>
      <w:proofErr w:type="spellStart"/>
      <w:r w:rsidR="00FF7091">
        <w:rPr>
          <w:szCs w:val="24"/>
        </w:rPr>
        <w:t>Lindahl</w:t>
      </w:r>
      <w:proofErr w:type="spellEnd"/>
      <w:r w:rsidR="00FF7091" w:rsidRPr="00780081">
        <w:rPr>
          <w:szCs w:val="24"/>
        </w:rPr>
        <w:t xml:space="preserve"> and </w:t>
      </w:r>
      <w:proofErr w:type="spellStart"/>
      <w:r w:rsidR="00FF7091" w:rsidRPr="00780081">
        <w:rPr>
          <w:szCs w:val="24"/>
        </w:rPr>
        <w:t>Schadéwitz</w:t>
      </w:r>
      <w:proofErr w:type="spellEnd"/>
      <w:r w:rsidR="00FF7091">
        <w:rPr>
          <w:szCs w:val="24"/>
        </w:rPr>
        <w:t xml:space="preserve"> (2013) point us to detailed studies which cast doubt on the truth of the scores</w:t>
      </w:r>
      <w:r w:rsidR="00FF7091" w:rsidRPr="009D2043">
        <w:rPr>
          <w:szCs w:val="24"/>
        </w:rPr>
        <w:t xml:space="preserve"> </w:t>
      </w:r>
      <w:r w:rsidR="00FF7091">
        <w:rPr>
          <w:szCs w:val="24"/>
        </w:rPr>
        <w:t xml:space="preserve">in La Porta </w:t>
      </w:r>
      <w:r w:rsidR="00FF7091" w:rsidRPr="00FF46A3">
        <w:rPr>
          <w:i/>
          <w:szCs w:val="24"/>
        </w:rPr>
        <w:t>et al.</w:t>
      </w:r>
      <w:r w:rsidR="00FF7091">
        <w:rPr>
          <w:szCs w:val="24"/>
        </w:rPr>
        <w:t xml:space="preserve"> (1998). For example, </w:t>
      </w:r>
      <w:proofErr w:type="spellStart"/>
      <w:r w:rsidR="00FF7091">
        <w:rPr>
          <w:szCs w:val="24"/>
        </w:rPr>
        <w:t>Spamann</w:t>
      </w:r>
      <w:proofErr w:type="spellEnd"/>
      <w:r w:rsidR="00FF7091">
        <w:rPr>
          <w:szCs w:val="24"/>
        </w:rPr>
        <w:t xml:space="preserve"> (2010) re-calculates the “</w:t>
      </w:r>
      <w:proofErr w:type="spellStart"/>
      <w:r w:rsidR="00FF7091">
        <w:rPr>
          <w:szCs w:val="24"/>
        </w:rPr>
        <w:t>antidirector</w:t>
      </w:r>
      <w:proofErr w:type="spellEnd"/>
      <w:r w:rsidR="00FF7091">
        <w:rPr>
          <w:szCs w:val="24"/>
        </w:rPr>
        <w:t xml:space="preserve"> rights index”, leading to corrections for 33 of the 46 countries, resulting in scores which have a correlation co-efficient of only 0.53 with the originals.</w:t>
      </w:r>
      <w:r w:rsidR="00FF7091" w:rsidRPr="007E7DAC">
        <w:rPr>
          <w:szCs w:val="24"/>
        </w:rPr>
        <w:t xml:space="preserve"> </w:t>
      </w:r>
    </w:p>
    <w:p w14:paraId="3392DB6A" w14:textId="2A4A7049" w:rsidR="00FF7091" w:rsidRDefault="003F317F" w:rsidP="00FF7091">
      <w:pPr>
        <w:ind w:firstLine="720"/>
        <w:rPr>
          <w:szCs w:val="24"/>
        </w:rPr>
      </w:pPr>
      <w:proofErr w:type="spellStart"/>
      <w:r>
        <w:rPr>
          <w:szCs w:val="24"/>
        </w:rPr>
        <w:t>Shima</w:t>
      </w:r>
      <w:proofErr w:type="spellEnd"/>
      <w:r>
        <w:rPr>
          <w:szCs w:val="24"/>
        </w:rPr>
        <w:t xml:space="preserve"> and Gordon (2011) use a “public enforcement” </w:t>
      </w:r>
      <w:r w:rsidR="003B4F84">
        <w:rPr>
          <w:szCs w:val="24"/>
        </w:rPr>
        <w:t xml:space="preserve">(PE) </w:t>
      </w:r>
      <w:r w:rsidR="00872D21">
        <w:rPr>
          <w:szCs w:val="24"/>
        </w:rPr>
        <w:t xml:space="preserve">independent </w:t>
      </w:r>
      <w:r w:rsidR="00405041">
        <w:rPr>
          <w:szCs w:val="24"/>
        </w:rPr>
        <w:t>variable as part of their research into whether US investors put more money int</w:t>
      </w:r>
      <w:r w:rsidR="008D5A3B">
        <w:rPr>
          <w:szCs w:val="24"/>
        </w:rPr>
        <w:t xml:space="preserve">o </w:t>
      </w:r>
      <w:r w:rsidR="0006526C">
        <w:rPr>
          <w:szCs w:val="24"/>
        </w:rPr>
        <w:t xml:space="preserve">those </w:t>
      </w:r>
      <w:r w:rsidR="003B4F84">
        <w:rPr>
          <w:szCs w:val="24"/>
        </w:rPr>
        <w:t xml:space="preserve">foreign </w:t>
      </w:r>
      <w:r w:rsidR="008D5A3B">
        <w:rPr>
          <w:szCs w:val="24"/>
        </w:rPr>
        <w:t xml:space="preserve">countries which require IFRS. </w:t>
      </w:r>
      <w:r w:rsidR="00197932">
        <w:rPr>
          <w:szCs w:val="24"/>
        </w:rPr>
        <w:t xml:space="preserve">They study 44 countries, and take their </w:t>
      </w:r>
      <w:r w:rsidR="003B4F84">
        <w:rPr>
          <w:szCs w:val="24"/>
        </w:rPr>
        <w:t xml:space="preserve">PE scores </w:t>
      </w:r>
      <w:r w:rsidR="00197932">
        <w:rPr>
          <w:szCs w:val="24"/>
        </w:rPr>
        <w:t>from La Por</w:t>
      </w:r>
      <w:r w:rsidR="004B0C9C">
        <w:rPr>
          <w:szCs w:val="24"/>
        </w:rPr>
        <w:t>ta</w:t>
      </w:r>
      <w:r w:rsidR="004B0C9C" w:rsidRPr="004B0C9C">
        <w:rPr>
          <w:i/>
        </w:rPr>
        <w:t xml:space="preserve"> </w:t>
      </w:r>
      <w:r w:rsidR="004B0C9C" w:rsidRPr="0015736A">
        <w:rPr>
          <w:i/>
        </w:rPr>
        <w:t>et al.</w:t>
      </w:r>
      <w:r w:rsidR="004B0C9C">
        <w:t xml:space="preserve"> </w:t>
      </w:r>
      <w:r w:rsidR="00197932">
        <w:rPr>
          <w:szCs w:val="24"/>
        </w:rPr>
        <w:t>(2006) who had used a questionnaire survey of one lawye</w:t>
      </w:r>
      <w:r w:rsidR="008D5A3B">
        <w:rPr>
          <w:szCs w:val="24"/>
        </w:rPr>
        <w:t>r in each country in 2000.</w:t>
      </w:r>
      <w:r w:rsidR="00F456FC">
        <w:rPr>
          <w:rStyle w:val="FootnoteReference"/>
          <w:szCs w:val="24"/>
        </w:rPr>
        <w:footnoteReference w:id="31"/>
      </w:r>
      <w:r w:rsidR="00F569B5">
        <w:rPr>
          <w:szCs w:val="24"/>
        </w:rPr>
        <w:t xml:space="preserve"> The questionnaire asked </w:t>
      </w:r>
      <w:r w:rsidR="00197932">
        <w:rPr>
          <w:szCs w:val="24"/>
        </w:rPr>
        <w:t>about the characteristics and powers of each cou</w:t>
      </w:r>
      <w:r w:rsidR="008D5A3B">
        <w:rPr>
          <w:szCs w:val="24"/>
        </w:rPr>
        <w:t>ntry’s stock market regulator</w:t>
      </w:r>
      <w:r w:rsidR="00E62AC4">
        <w:rPr>
          <w:szCs w:val="24"/>
        </w:rPr>
        <w:t xml:space="preserve"> in the context of initial public offerings</w:t>
      </w:r>
      <w:r w:rsidR="00136A93">
        <w:rPr>
          <w:szCs w:val="24"/>
        </w:rPr>
        <w:t xml:space="preserve"> (IPOs)</w:t>
      </w:r>
      <w:r w:rsidR="008D5A3B">
        <w:rPr>
          <w:szCs w:val="24"/>
        </w:rPr>
        <w:t xml:space="preserve">. </w:t>
      </w:r>
      <w:r w:rsidR="00197932">
        <w:rPr>
          <w:szCs w:val="24"/>
        </w:rPr>
        <w:t>An extract from t</w:t>
      </w:r>
      <w:r w:rsidR="008D5A3B">
        <w:rPr>
          <w:szCs w:val="24"/>
        </w:rPr>
        <w:t xml:space="preserve">he </w:t>
      </w:r>
      <w:r w:rsidR="003B4F84">
        <w:rPr>
          <w:szCs w:val="24"/>
        </w:rPr>
        <w:t xml:space="preserve">PE </w:t>
      </w:r>
      <w:r w:rsidR="002B7139">
        <w:rPr>
          <w:szCs w:val="24"/>
        </w:rPr>
        <w:t>scores is shown as Table 6</w:t>
      </w:r>
      <w:r w:rsidR="008D5A3B">
        <w:rPr>
          <w:szCs w:val="24"/>
        </w:rPr>
        <w:t xml:space="preserve">. </w:t>
      </w:r>
      <w:r w:rsidR="00197932">
        <w:rPr>
          <w:szCs w:val="24"/>
        </w:rPr>
        <w:t>This</w:t>
      </w:r>
      <w:r w:rsidR="00F569B5">
        <w:rPr>
          <w:szCs w:val="24"/>
        </w:rPr>
        <w:t xml:space="preserve"> suggests</w:t>
      </w:r>
      <w:r w:rsidR="00AF2D2C">
        <w:rPr>
          <w:szCs w:val="24"/>
        </w:rPr>
        <w:t>, for example,</w:t>
      </w:r>
      <w:r w:rsidR="00F569B5">
        <w:rPr>
          <w:szCs w:val="24"/>
        </w:rPr>
        <w:t xml:space="preserve"> that </w:t>
      </w:r>
      <w:r w:rsidR="00197932">
        <w:rPr>
          <w:szCs w:val="24"/>
        </w:rPr>
        <w:t>the famously nepoti</w:t>
      </w:r>
      <w:r w:rsidR="00E71DF1">
        <w:rPr>
          <w:szCs w:val="24"/>
        </w:rPr>
        <w:t>stic Zimbabwe (where</w:t>
      </w:r>
      <w:r w:rsidR="00197932">
        <w:rPr>
          <w:szCs w:val="24"/>
        </w:rPr>
        <w:t xml:space="preserve"> </w:t>
      </w:r>
      <w:r w:rsidR="00F569B5">
        <w:rPr>
          <w:szCs w:val="24"/>
        </w:rPr>
        <w:t xml:space="preserve">much of </w:t>
      </w:r>
      <w:r w:rsidR="00197932">
        <w:rPr>
          <w:szCs w:val="24"/>
        </w:rPr>
        <w:t>the capi</w:t>
      </w:r>
      <w:r w:rsidR="00F569B5">
        <w:rPr>
          <w:szCs w:val="24"/>
        </w:rPr>
        <w:t>tal city has no</w:t>
      </w:r>
      <w:r w:rsidR="00197932">
        <w:rPr>
          <w:szCs w:val="24"/>
        </w:rPr>
        <w:t xml:space="preserve"> water </w:t>
      </w:r>
      <w:r w:rsidR="00F569B5">
        <w:rPr>
          <w:szCs w:val="24"/>
        </w:rPr>
        <w:t xml:space="preserve">supply </w:t>
      </w:r>
      <w:r w:rsidR="00197932">
        <w:rPr>
          <w:szCs w:val="24"/>
        </w:rPr>
        <w:t xml:space="preserve">and </w:t>
      </w:r>
      <w:r w:rsidR="008D5A3B">
        <w:rPr>
          <w:szCs w:val="24"/>
        </w:rPr>
        <w:t xml:space="preserve">only </w:t>
      </w:r>
      <w:r w:rsidR="00F569B5">
        <w:rPr>
          <w:szCs w:val="24"/>
        </w:rPr>
        <w:t xml:space="preserve">sporadic </w:t>
      </w:r>
      <w:r w:rsidR="00197932">
        <w:rPr>
          <w:szCs w:val="24"/>
        </w:rPr>
        <w:t>electricity</w:t>
      </w:r>
      <w:r w:rsidR="007A19DD">
        <w:rPr>
          <w:szCs w:val="24"/>
        </w:rPr>
        <w:t xml:space="preserve">) is </w:t>
      </w:r>
      <w:r w:rsidR="00502A37">
        <w:rPr>
          <w:szCs w:val="24"/>
        </w:rPr>
        <w:t>far</w:t>
      </w:r>
      <w:r w:rsidR="00387C41">
        <w:rPr>
          <w:szCs w:val="24"/>
        </w:rPr>
        <w:t xml:space="preserve"> </w:t>
      </w:r>
      <w:r w:rsidR="007A19DD">
        <w:rPr>
          <w:szCs w:val="24"/>
        </w:rPr>
        <w:t>better at enforcement</w:t>
      </w:r>
      <w:r w:rsidR="00197932">
        <w:rPr>
          <w:szCs w:val="24"/>
        </w:rPr>
        <w:t xml:space="preserve"> than Japan</w:t>
      </w:r>
      <w:r w:rsidR="00F569B5">
        <w:rPr>
          <w:szCs w:val="24"/>
        </w:rPr>
        <w:t xml:space="preserve">, which </w:t>
      </w:r>
      <w:r w:rsidR="00387C41">
        <w:rPr>
          <w:szCs w:val="24"/>
        </w:rPr>
        <w:t xml:space="preserve">allegedly scored 0.00 even though it </w:t>
      </w:r>
      <w:r w:rsidR="00F569B5">
        <w:rPr>
          <w:szCs w:val="24"/>
        </w:rPr>
        <w:t>has</w:t>
      </w:r>
      <w:r w:rsidR="005E006B">
        <w:rPr>
          <w:szCs w:val="24"/>
        </w:rPr>
        <w:t xml:space="preserve"> a Financial Services Authorit</w:t>
      </w:r>
      <w:r w:rsidR="00E71DF1">
        <w:rPr>
          <w:szCs w:val="24"/>
        </w:rPr>
        <w:t xml:space="preserve">y modelled on the </w:t>
      </w:r>
      <w:r w:rsidR="00F569B5">
        <w:rPr>
          <w:szCs w:val="24"/>
        </w:rPr>
        <w:t>Securities and Exchange Commission</w:t>
      </w:r>
      <w:r w:rsidR="003B4F84">
        <w:rPr>
          <w:szCs w:val="24"/>
        </w:rPr>
        <w:t xml:space="preserve"> (SEC)</w:t>
      </w:r>
      <w:r w:rsidR="00F569B5">
        <w:rPr>
          <w:szCs w:val="24"/>
        </w:rPr>
        <w:t xml:space="preserve"> of the United States</w:t>
      </w:r>
      <w:r w:rsidR="00E71DF1">
        <w:rPr>
          <w:szCs w:val="24"/>
        </w:rPr>
        <w:t>.</w:t>
      </w:r>
      <w:r w:rsidR="00F569B5">
        <w:rPr>
          <w:rStyle w:val="FootnoteReference"/>
          <w:szCs w:val="24"/>
        </w:rPr>
        <w:footnoteReference w:id="32"/>
      </w:r>
      <w:r w:rsidR="008D5A3B">
        <w:rPr>
          <w:szCs w:val="24"/>
        </w:rPr>
        <w:t xml:space="preserve"> </w:t>
      </w:r>
      <w:r w:rsidR="00EB4499">
        <w:rPr>
          <w:szCs w:val="24"/>
        </w:rPr>
        <w:t xml:space="preserve">Could the difference in </w:t>
      </w:r>
      <w:r w:rsidR="003B4F84">
        <w:rPr>
          <w:szCs w:val="24"/>
        </w:rPr>
        <w:t xml:space="preserve">PE </w:t>
      </w:r>
      <w:r w:rsidR="00EB4499">
        <w:rPr>
          <w:szCs w:val="24"/>
        </w:rPr>
        <w:t>scores</w:t>
      </w:r>
      <w:r w:rsidR="00E71DF1">
        <w:rPr>
          <w:szCs w:val="24"/>
        </w:rPr>
        <w:t xml:space="preserve"> be something to do with language difficulties or with cultural differences in the way in whic</w:t>
      </w:r>
      <w:r w:rsidR="002C6A0A">
        <w:rPr>
          <w:szCs w:val="24"/>
        </w:rPr>
        <w:t xml:space="preserve">h questionnaires are answered? </w:t>
      </w:r>
    </w:p>
    <w:p w14:paraId="23F84AE6" w14:textId="77777777" w:rsidR="007F14CA" w:rsidRDefault="002B7139" w:rsidP="00FF7091">
      <w:pPr>
        <w:ind w:firstLine="720"/>
        <w:rPr>
          <w:szCs w:val="24"/>
        </w:rPr>
      </w:pPr>
      <w:r>
        <w:rPr>
          <w:szCs w:val="24"/>
        </w:rPr>
        <w:lastRenderedPageBreak/>
        <w:t>Table 6</w:t>
      </w:r>
      <w:r w:rsidR="00EB4499">
        <w:rPr>
          <w:szCs w:val="24"/>
        </w:rPr>
        <w:t xml:space="preserve"> also suggests that certain developing countries have higher enforcement than the UK, which has well-regarded enfo</w:t>
      </w:r>
      <w:r w:rsidR="007A19DD">
        <w:rPr>
          <w:szCs w:val="24"/>
        </w:rPr>
        <w:t>rcement (</w:t>
      </w:r>
      <w:r w:rsidR="004B0C9C">
        <w:rPr>
          <w:szCs w:val="24"/>
        </w:rPr>
        <w:t>Hines</w:t>
      </w:r>
      <w:r w:rsidR="004B0C9C" w:rsidRPr="004B0C9C">
        <w:rPr>
          <w:i/>
        </w:rPr>
        <w:t xml:space="preserve"> </w:t>
      </w:r>
      <w:r w:rsidR="004B0C9C" w:rsidRPr="0015736A">
        <w:rPr>
          <w:i/>
        </w:rPr>
        <w:t>et al.</w:t>
      </w:r>
      <w:r w:rsidR="003B1D89">
        <w:rPr>
          <w:szCs w:val="24"/>
        </w:rPr>
        <w:t>, 2000</w:t>
      </w:r>
      <w:r w:rsidR="007A19DD">
        <w:rPr>
          <w:szCs w:val="24"/>
        </w:rPr>
        <w:t xml:space="preserve">) although </w:t>
      </w:r>
      <w:r w:rsidR="00EB4499">
        <w:rPr>
          <w:szCs w:val="24"/>
        </w:rPr>
        <w:t xml:space="preserve">via a </w:t>
      </w:r>
      <w:r w:rsidR="007A19DD">
        <w:rPr>
          <w:szCs w:val="24"/>
        </w:rPr>
        <w:t xml:space="preserve">type of </w:t>
      </w:r>
      <w:r w:rsidR="00EB4499">
        <w:rPr>
          <w:szCs w:val="24"/>
        </w:rPr>
        <w:t>regulator</w:t>
      </w:r>
      <w:r w:rsidR="007A19DD">
        <w:rPr>
          <w:rStyle w:val="FootnoteReference"/>
          <w:szCs w:val="24"/>
        </w:rPr>
        <w:footnoteReference w:id="33"/>
      </w:r>
      <w:r w:rsidR="00EB4499">
        <w:rPr>
          <w:szCs w:val="24"/>
        </w:rPr>
        <w:t xml:space="preserve"> which </w:t>
      </w:r>
      <w:r w:rsidR="003B4F84">
        <w:rPr>
          <w:szCs w:val="24"/>
        </w:rPr>
        <w:t xml:space="preserve">is very different from the SEC so </w:t>
      </w:r>
      <w:r w:rsidR="00EB4499">
        <w:rPr>
          <w:szCs w:val="24"/>
        </w:rPr>
        <w:t xml:space="preserve">might </w:t>
      </w:r>
      <w:r w:rsidR="007A19DD">
        <w:rPr>
          <w:szCs w:val="24"/>
        </w:rPr>
        <w:t xml:space="preserve">not </w:t>
      </w:r>
      <w:r w:rsidR="00EB4499">
        <w:rPr>
          <w:szCs w:val="24"/>
        </w:rPr>
        <w:t>fit a US-based questionnaire</w:t>
      </w:r>
      <w:r w:rsidR="003B4F84">
        <w:rPr>
          <w:szCs w:val="24"/>
        </w:rPr>
        <w:t xml:space="preserve"> on PE</w:t>
      </w:r>
      <w:r w:rsidR="00EB4499">
        <w:rPr>
          <w:szCs w:val="24"/>
        </w:rPr>
        <w:t>. Surely the</w:t>
      </w:r>
      <w:r w:rsidR="00E71DF1">
        <w:rPr>
          <w:szCs w:val="24"/>
        </w:rPr>
        <w:t xml:space="preserve"> data </w:t>
      </w:r>
      <w:r>
        <w:rPr>
          <w:szCs w:val="24"/>
        </w:rPr>
        <w:t>in Table 6</w:t>
      </w:r>
      <w:r w:rsidR="00EB4499">
        <w:rPr>
          <w:szCs w:val="24"/>
        </w:rPr>
        <w:t xml:space="preserve"> </w:t>
      </w:r>
      <w:r w:rsidR="00D460A7">
        <w:rPr>
          <w:szCs w:val="24"/>
        </w:rPr>
        <w:t>do</w:t>
      </w:r>
      <w:r w:rsidR="008D5A3B">
        <w:rPr>
          <w:szCs w:val="24"/>
        </w:rPr>
        <w:t xml:space="preserve"> not pass the FR test? </w:t>
      </w:r>
      <w:r w:rsidR="00E71DF1">
        <w:rPr>
          <w:szCs w:val="24"/>
        </w:rPr>
        <w:t xml:space="preserve">The original authors </w:t>
      </w:r>
      <w:r w:rsidR="00DC0FDD">
        <w:rPr>
          <w:szCs w:val="24"/>
        </w:rPr>
        <w:t>should have exercised scepticism</w:t>
      </w:r>
      <w:r w:rsidR="0000030F">
        <w:rPr>
          <w:szCs w:val="24"/>
        </w:rPr>
        <w:t>, and the subsequent researcher</w:t>
      </w:r>
      <w:r w:rsidR="008D5A3B">
        <w:rPr>
          <w:szCs w:val="24"/>
        </w:rPr>
        <w:t xml:space="preserve">s should </w:t>
      </w:r>
      <w:r w:rsidR="00DC0FDD">
        <w:rPr>
          <w:szCs w:val="24"/>
        </w:rPr>
        <w:t xml:space="preserve">also </w:t>
      </w:r>
      <w:r w:rsidR="008D5A3B">
        <w:rPr>
          <w:szCs w:val="24"/>
        </w:rPr>
        <w:t>have been sceptical about</w:t>
      </w:r>
      <w:r w:rsidR="00E71DF1">
        <w:rPr>
          <w:szCs w:val="24"/>
        </w:rPr>
        <w:t xml:space="preserve"> </w:t>
      </w:r>
      <w:r w:rsidR="0000030F">
        <w:rPr>
          <w:szCs w:val="24"/>
        </w:rPr>
        <w:t xml:space="preserve">borrowing </w:t>
      </w:r>
      <w:r w:rsidR="00E71DF1">
        <w:rPr>
          <w:szCs w:val="24"/>
        </w:rPr>
        <w:t>implausible data.</w:t>
      </w:r>
      <w:r w:rsidR="00136A93">
        <w:rPr>
          <w:szCs w:val="24"/>
        </w:rPr>
        <w:t xml:space="preserve"> Furthermore, there is a distance between regulation of IPOs and regulation of financial reporting</w:t>
      </w:r>
      <w:r w:rsidR="00DC0FDD">
        <w:rPr>
          <w:szCs w:val="24"/>
        </w:rPr>
        <w:t>, so the data would be of doubtful relevance even if they had given an FR</w:t>
      </w:r>
      <w:r w:rsidR="00136A93">
        <w:rPr>
          <w:szCs w:val="24"/>
        </w:rPr>
        <w:t>.</w:t>
      </w:r>
    </w:p>
    <w:p w14:paraId="075E27C9" w14:textId="77777777" w:rsidR="0010765F" w:rsidRPr="00BD3A1A" w:rsidRDefault="0000030F" w:rsidP="008D5A3B">
      <w:pPr>
        <w:rPr>
          <w:szCs w:val="24"/>
        </w:rPr>
      </w:pPr>
      <w:r>
        <w:rPr>
          <w:szCs w:val="24"/>
        </w:rPr>
        <w:tab/>
        <w:t>In furth</w:t>
      </w:r>
      <w:r w:rsidR="00DC0FDD">
        <w:rPr>
          <w:szCs w:val="24"/>
        </w:rPr>
        <w:t>er papers, this same</w:t>
      </w:r>
      <w:r w:rsidR="0010765F">
        <w:rPr>
          <w:szCs w:val="24"/>
        </w:rPr>
        <w:t xml:space="preserve"> problem is st</w:t>
      </w:r>
      <w:r w:rsidR="00DC0FDD">
        <w:rPr>
          <w:szCs w:val="24"/>
        </w:rPr>
        <w:t>ill present but obscured in other ways</w:t>
      </w:r>
      <w:r w:rsidR="0010765F">
        <w:rPr>
          <w:szCs w:val="24"/>
        </w:rPr>
        <w:t xml:space="preserve">. For example, Hail and </w:t>
      </w:r>
      <w:proofErr w:type="spellStart"/>
      <w:r w:rsidR="0010765F">
        <w:rPr>
          <w:szCs w:val="24"/>
        </w:rPr>
        <w:t>Leuz</w:t>
      </w:r>
      <w:proofErr w:type="spellEnd"/>
      <w:r w:rsidR="0010765F">
        <w:rPr>
          <w:szCs w:val="24"/>
        </w:rPr>
        <w:t xml:space="preserve"> (2006, Table 1) </w:t>
      </w:r>
      <w:r w:rsidR="002B7139">
        <w:rPr>
          <w:szCs w:val="24"/>
        </w:rPr>
        <w:t>use the doubtful data of Table 6</w:t>
      </w:r>
      <w:r w:rsidR="0010765F">
        <w:rPr>
          <w:szCs w:val="24"/>
        </w:rPr>
        <w:t xml:space="preserve"> as part of creating a composite legal variable which involves two other variables from La Porta </w:t>
      </w:r>
      <w:r w:rsidR="0010765F" w:rsidRPr="00A75C8F">
        <w:rPr>
          <w:i/>
          <w:szCs w:val="24"/>
        </w:rPr>
        <w:t>et al.</w:t>
      </w:r>
      <w:r w:rsidR="0010765F">
        <w:rPr>
          <w:szCs w:val="24"/>
        </w:rPr>
        <w:t xml:space="preserve"> (2006). </w:t>
      </w:r>
      <w:r w:rsidR="004F613E">
        <w:rPr>
          <w:szCs w:val="24"/>
        </w:rPr>
        <w:t xml:space="preserve">By contrast, the quite different ‘enforcement’ scores of Brown </w:t>
      </w:r>
      <w:r w:rsidR="004F613E" w:rsidRPr="004F613E">
        <w:rPr>
          <w:i/>
          <w:szCs w:val="24"/>
        </w:rPr>
        <w:t>et al.</w:t>
      </w:r>
      <w:r w:rsidR="004F613E">
        <w:rPr>
          <w:szCs w:val="24"/>
        </w:rPr>
        <w:t xml:space="preserve"> (2014) pass the FR test</w:t>
      </w:r>
      <w:r w:rsidR="00A26720">
        <w:rPr>
          <w:szCs w:val="24"/>
        </w:rPr>
        <w:t xml:space="preserve"> in my opinion</w:t>
      </w:r>
      <w:r w:rsidR="004F613E">
        <w:rPr>
          <w:szCs w:val="24"/>
        </w:rPr>
        <w:t>.</w:t>
      </w:r>
    </w:p>
    <w:p w14:paraId="4228EF69" w14:textId="77777777" w:rsidR="003A7F98" w:rsidRDefault="002B7139" w:rsidP="00E12139">
      <w:pPr>
        <w:ind w:firstLine="720"/>
      </w:pPr>
      <w:r>
        <w:rPr>
          <w:i/>
        </w:rPr>
        <w:t>4.6</w:t>
      </w:r>
      <w:r w:rsidR="008E4ED7">
        <w:rPr>
          <w:i/>
        </w:rPr>
        <w:t xml:space="preserve"> </w:t>
      </w:r>
      <w:r w:rsidR="003A7F98">
        <w:rPr>
          <w:i/>
        </w:rPr>
        <w:t>Tax connections</w:t>
      </w:r>
    </w:p>
    <w:p w14:paraId="37755B1F" w14:textId="77777777" w:rsidR="00E12139" w:rsidRPr="00E12139" w:rsidRDefault="00E12139" w:rsidP="00E12139">
      <w:pPr>
        <w:pStyle w:val="BodyText"/>
        <w:rPr>
          <w:rFonts w:asciiTheme="minorHAnsi" w:hAnsiTheme="minorHAnsi"/>
        </w:rPr>
      </w:pPr>
      <w:r>
        <w:rPr>
          <w:rFonts w:asciiTheme="minorHAnsi" w:hAnsiTheme="minorHAnsi"/>
        </w:rPr>
        <w:tab/>
        <w:t>One of the key variables used in research in international accounting is the closeness o</w:t>
      </w:r>
      <w:r w:rsidR="0030079B">
        <w:rPr>
          <w:rFonts w:asciiTheme="minorHAnsi" w:hAnsiTheme="minorHAnsi"/>
        </w:rPr>
        <w:t>f financial reporting to</w:t>
      </w:r>
      <w:r w:rsidR="0066322C">
        <w:rPr>
          <w:rFonts w:asciiTheme="minorHAnsi" w:hAnsiTheme="minorHAnsi"/>
        </w:rPr>
        <w:t xml:space="preserve"> tax. </w:t>
      </w:r>
      <w:r>
        <w:rPr>
          <w:rFonts w:asciiTheme="minorHAnsi" w:hAnsiTheme="minorHAnsi"/>
        </w:rPr>
        <w:t>The classic description of a close connection is that by Hall</w:t>
      </w:r>
      <w:r w:rsidR="0066322C">
        <w:rPr>
          <w:rFonts w:asciiTheme="minorHAnsi" w:hAnsiTheme="minorHAnsi"/>
        </w:rPr>
        <w:t xml:space="preserve">er (1992) relating to Germany. </w:t>
      </w:r>
      <w:r w:rsidR="0030079B">
        <w:rPr>
          <w:rFonts w:asciiTheme="minorHAnsi" w:hAnsiTheme="minorHAnsi"/>
        </w:rPr>
        <w:t xml:space="preserve">Typically, writers </w:t>
      </w:r>
      <w:r>
        <w:rPr>
          <w:rFonts w:asciiTheme="minorHAnsi" w:hAnsiTheme="minorHAnsi"/>
        </w:rPr>
        <w:t>see France, Germany and S</w:t>
      </w:r>
      <w:r w:rsidR="004444D0">
        <w:rPr>
          <w:rFonts w:asciiTheme="minorHAnsi" w:hAnsiTheme="minorHAnsi"/>
        </w:rPr>
        <w:t>pain as having close connection</w:t>
      </w:r>
      <w:r>
        <w:rPr>
          <w:rFonts w:asciiTheme="minorHAnsi" w:hAnsiTheme="minorHAnsi"/>
        </w:rPr>
        <w:t xml:space="preserve"> (e.g. </w:t>
      </w:r>
      <w:r w:rsidR="00F95AF6">
        <w:rPr>
          <w:rFonts w:asciiTheme="minorHAnsi" w:hAnsiTheme="minorHAnsi"/>
        </w:rPr>
        <w:t xml:space="preserve">Hoogendoorn, 1996; </w:t>
      </w:r>
      <w:r w:rsidR="004B0C9C">
        <w:rPr>
          <w:rFonts w:asciiTheme="minorHAnsi" w:hAnsiTheme="minorHAnsi"/>
        </w:rPr>
        <w:t>Lamb</w:t>
      </w:r>
      <w:r w:rsidR="004B0C9C" w:rsidRPr="004B0C9C">
        <w:rPr>
          <w:i/>
        </w:rPr>
        <w:t xml:space="preserve"> </w:t>
      </w:r>
      <w:r w:rsidR="004B0C9C" w:rsidRPr="0015736A">
        <w:rPr>
          <w:i/>
        </w:rPr>
        <w:t>et al.</w:t>
      </w:r>
      <w:r w:rsidR="004444D0">
        <w:rPr>
          <w:rFonts w:asciiTheme="minorHAnsi" w:hAnsiTheme="minorHAnsi"/>
        </w:rPr>
        <w:t xml:space="preserve">, 1998; </w:t>
      </w:r>
      <w:proofErr w:type="spellStart"/>
      <w:r>
        <w:rPr>
          <w:rFonts w:asciiTheme="minorHAnsi" w:hAnsiTheme="minorHAnsi"/>
        </w:rPr>
        <w:t>Oliveras</w:t>
      </w:r>
      <w:proofErr w:type="spellEnd"/>
      <w:r>
        <w:rPr>
          <w:rFonts w:asciiTheme="minorHAnsi" w:hAnsiTheme="minorHAnsi"/>
        </w:rPr>
        <w:t xml:space="preserve"> </w:t>
      </w:r>
      <w:r w:rsidR="0066322C">
        <w:rPr>
          <w:rFonts w:asciiTheme="minorHAnsi" w:hAnsiTheme="minorHAnsi"/>
        </w:rPr>
        <w:t xml:space="preserve">and </w:t>
      </w:r>
      <w:proofErr w:type="spellStart"/>
      <w:r w:rsidR="0066322C">
        <w:rPr>
          <w:rFonts w:asciiTheme="minorHAnsi" w:hAnsiTheme="minorHAnsi"/>
        </w:rPr>
        <w:t>Puig</w:t>
      </w:r>
      <w:proofErr w:type="spellEnd"/>
      <w:r w:rsidR="0066322C">
        <w:rPr>
          <w:rFonts w:asciiTheme="minorHAnsi" w:hAnsiTheme="minorHAnsi"/>
        </w:rPr>
        <w:t>, 2005)</w:t>
      </w:r>
      <w:r w:rsidR="00502A37" w:rsidRPr="00502A37">
        <w:rPr>
          <w:rFonts w:asciiTheme="minorHAnsi" w:hAnsiTheme="minorHAnsi"/>
        </w:rPr>
        <w:t xml:space="preserve"> </w:t>
      </w:r>
      <w:r w:rsidR="00502A37">
        <w:rPr>
          <w:rFonts w:asciiTheme="minorHAnsi" w:hAnsiTheme="minorHAnsi"/>
        </w:rPr>
        <w:t xml:space="preserve">but Australia, the US and the UK as having many </w:t>
      </w:r>
      <w:r w:rsidR="00502A37" w:rsidRPr="00502A37">
        <w:rPr>
          <w:rFonts w:asciiTheme="minorHAnsi" w:hAnsiTheme="minorHAnsi"/>
        </w:rPr>
        <w:t>disconnections</w:t>
      </w:r>
      <w:r w:rsidR="0066322C">
        <w:rPr>
          <w:rFonts w:asciiTheme="minorHAnsi" w:hAnsiTheme="minorHAnsi"/>
        </w:rPr>
        <w:t>.</w:t>
      </w:r>
      <w:r w:rsidR="00502A37">
        <w:rPr>
          <w:rFonts w:asciiTheme="minorHAnsi" w:hAnsiTheme="minorHAnsi"/>
        </w:rPr>
        <w:t xml:space="preserve"> L</w:t>
      </w:r>
      <w:r w:rsidR="004444D0">
        <w:rPr>
          <w:rFonts w:asciiTheme="minorHAnsi" w:hAnsiTheme="minorHAnsi"/>
        </w:rPr>
        <w:t>inkage</w:t>
      </w:r>
      <w:r>
        <w:rPr>
          <w:rFonts w:asciiTheme="minorHAnsi" w:hAnsiTheme="minorHAnsi"/>
        </w:rPr>
        <w:t xml:space="preserve"> can decrease over time (e.g. </w:t>
      </w:r>
      <w:r w:rsidR="0030079B">
        <w:rPr>
          <w:rFonts w:asciiTheme="minorHAnsi" w:hAnsiTheme="minorHAnsi"/>
        </w:rPr>
        <w:t xml:space="preserve">in Norway, as charted by </w:t>
      </w:r>
      <w:r>
        <w:rPr>
          <w:rFonts w:asciiTheme="minorHAnsi" w:hAnsiTheme="minorHAnsi"/>
        </w:rPr>
        <w:t xml:space="preserve">Nobes and </w:t>
      </w:r>
      <w:proofErr w:type="spellStart"/>
      <w:r>
        <w:rPr>
          <w:rFonts w:asciiTheme="minorHAnsi" w:hAnsiTheme="minorHAnsi"/>
        </w:rPr>
        <w:t>Schwen</w:t>
      </w:r>
      <w:r w:rsidR="000A09FB">
        <w:rPr>
          <w:rFonts w:asciiTheme="minorHAnsi" w:hAnsiTheme="minorHAnsi"/>
        </w:rPr>
        <w:t>c</w:t>
      </w:r>
      <w:r w:rsidR="00BD3A1A">
        <w:rPr>
          <w:rFonts w:asciiTheme="minorHAnsi" w:hAnsiTheme="minorHAnsi"/>
        </w:rPr>
        <w:t>ke</w:t>
      </w:r>
      <w:proofErr w:type="spellEnd"/>
      <w:r w:rsidR="00BD3A1A">
        <w:rPr>
          <w:rFonts w:asciiTheme="minorHAnsi" w:hAnsiTheme="minorHAnsi"/>
        </w:rPr>
        <w:t>, 2006) or</w:t>
      </w:r>
      <w:r>
        <w:rPr>
          <w:rFonts w:asciiTheme="minorHAnsi" w:hAnsiTheme="minorHAnsi"/>
        </w:rPr>
        <w:t xml:space="preserve"> as IFRS arrives (e.g. </w:t>
      </w:r>
      <w:r w:rsidR="0030079B">
        <w:rPr>
          <w:rFonts w:asciiTheme="minorHAnsi" w:hAnsiTheme="minorHAnsi"/>
        </w:rPr>
        <w:t xml:space="preserve">in Germany, as charted by </w:t>
      </w:r>
      <w:r w:rsidR="004B0C9C">
        <w:rPr>
          <w:rFonts w:asciiTheme="minorHAnsi" w:hAnsiTheme="minorHAnsi"/>
        </w:rPr>
        <w:t>Gee</w:t>
      </w:r>
      <w:r w:rsidR="004B0C9C" w:rsidRPr="004B0C9C">
        <w:rPr>
          <w:i/>
        </w:rPr>
        <w:t xml:space="preserve"> </w:t>
      </w:r>
      <w:r w:rsidR="004B0C9C" w:rsidRPr="0015736A">
        <w:rPr>
          <w:i/>
        </w:rPr>
        <w:t>et al.</w:t>
      </w:r>
      <w:r>
        <w:rPr>
          <w:rFonts w:asciiTheme="minorHAnsi" w:hAnsiTheme="minorHAnsi"/>
        </w:rPr>
        <w:t>, 2010).</w:t>
      </w:r>
    </w:p>
    <w:p w14:paraId="2C359525" w14:textId="77777777" w:rsidR="0074780D" w:rsidRPr="00E12139" w:rsidRDefault="00BD3A1A" w:rsidP="00FF7091">
      <w:pPr>
        <w:pStyle w:val="BodyText"/>
        <w:ind w:firstLine="567"/>
        <w:rPr>
          <w:rFonts w:asciiTheme="minorHAnsi" w:hAnsiTheme="minorHAnsi"/>
        </w:rPr>
      </w:pPr>
      <w:r>
        <w:rPr>
          <w:rFonts w:asciiTheme="minorHAnsi" w:hAnsiTheme="minorHAnsi"/>
        </w:rPr>
        <w:lastRenderedPageBreak/>
        <w:t>T</w:t>
      </w:r>
      <w:r w:rsidR="003A7F98" w:rsidRPr="00E12139">
        <w:rPr>
          <w:rFonts w:asciiTheme="minorHAnsi" w:hAnsiTheme="minorHAnsi"/>
        </w:rPr>
        <w:t>hese detailed studies generally relate to one country</w:t>
      </w:r>
      <w:r>
        <w:rPr>
          <w:rFonts w:asciiTheme="minorHAnsi" w:hAnsiTheme="minorHAnsi"/>
        </w:rPr>
        <w:t xml:space="preserve"> only</w:t>
      </w:r>
      <w:r w:rsidR="003A7F98" w:rsidRPr="00E12139">
        <w:rPr>
          <w:rFonts w:asciiTheme="minorHAnsi" w:hAnsiTheme="minorHAnsi"/>
        </w:rPr>
        <w:t xml:space="preserve">, with four as a maximum. Empirical cross-country accounting research has </w:t>
      </w:r>
      <w:r>
        <w:rPr>
          <w:rFonts w:asciiTheme="minorHAnsi" w:hAnsiTheme="minorHAnsi"/>
        </w:rPr>
        <w:t xml:space="preserve">therefore </w:t>
      </w:r>
      <w:r w:rsidR="003A7F98" w:rsidRPr="00E12139">
        <w:rPr>
          <w:rFonts w:asciiTheme="minorHAnsi" w:hAnsiTheme="minorHAnsi"/>
        </w:rPr>
        <w:t xml:space="preserve">relied </w:t>
      </w:r>
      <w:r w:rsidR="00D460A7">
        <w:rPr>
          <w:rFonts w:asciiTheme="minorHAnsi" w:hAnsiTheme="minorHAnsi"/>
        </w:rPr>
        <w:t xml:space="preserve">instead </w:t>
      </w:r>
      <w:r w:rsidR="003A7F98" w:rsidRPr="00E12139">
        <w:rPr>
          <w:rFonts w:asciiTheme="minorHAnsi" w:hAnsiTheme="minorHAnsi"/>
        </w:rPr>
        <w:t xml:space="preserve">on even more subjective book-tax conformity (BTC) measures published in a handful of studies. One of these is </w:t>
      </w:r>
      <w:r>
        <w:rPr>
          <w:rFonts w:asciiTheme="minorHAnsi" w:hAnsiTheme="minorHAnsi"/>
        </w:rPr>
        <w:t xml:space="preserve">by </w:t>
      </w:r>
      <w:r w:rsidR="001824B4">
        <w:rPr>
          <w:rFonts w:asciiTheme="minorHAnsi" w:hAnsiTheme="minorHAnsi"/>
        </w:rPr>
        <w:t>Alford</w:t>
      </w:r>
      <w:r w:rsidR="004B0C9C" w:rsidRPr="004B0C9C">
        <w:rPr>
          <w:i/>
        </w:rPr>
        <w:t xml:space="preserve"> </w:t>
      </w:r>
      <w:r w:rsidR="004B0C9C" w:rsidRPr="0015736A">
        <w:rPr>
          <w:i/>
        </w:rPr>
        <w:t>et al.</w:t>
      </w:r>
      <w:r w:rsidR="0006526C">
        <w:rPr>
          <w:i/>
        </w:rPr>
        <w:t xml:space="preserve"> </w:t>
      </w:r>
      <w:r w:rsidR="00046C38">
        <w:rPr>
          <w:rFonts w:asciiTheme="minorHAnsi" w:hAnsiTheme="minorHAnsi"/>
        </w:rPr>
        <w:t>(1993)</w:t>
      </w:r>
      <w:r w:rsidR="00D460A7">
        <w:rPr>
          <w:rFonts w:asciiTheme="minorHAnsi" w:hAnsiTheme="minorHAnsi"/>
        </w:rPr>
        <w:t xml:space="preserve"> who present “</w:t>
      </w:r>
      <w:r w:rsidR="003A7F98" w:rsidRPr="00E12139">
        <w:rPr>
          <w:rFonts w:asciiTheme="minorHAnsi" w:hAnsiTheme="minorHAnsi"/>
        </w:rPr>
        <w:t xml:space="preserve">alignment </w:t>
      </w:r>
      <w:r w:rsidR="00D460A7">
        <w:rPr>
          <w:rFonts w:asciiTheme="minorHAnsi" w:hAnsiTheme="minorHAnsi"/>
        </w:rPr>
        <w:t>of financial and tax accounting”</w:t>
      </w:r>
      <w:r w:rsidR="003A7F98" w:rsidRPr="00E12139">
        <w:rPr>
          <w:rFonts w:asciiTheme="minorHAnsi" w:hAnsiTheme="minorHAnsi"/>
        </w:rPr>
        <w:t xml:space="preserve"> as a high/low variable </w:t>
      </w:r>
      <w:r w:rsidR="00046C38">
        <w:rPr>
          <w:rFonts w:asciiTheme="minorHAnsi" w:hAnsiTheme="minorHAnsi"/>
        </w:rPr>
        <w:t>for 16 countries, though without</w:t>
      </w:r>
      <w:r w:rsidR="003A7F98" w:rsidRPr="00E12139">
        <w:rPr>
          <w:rFonts w:asciiTheme="minorHAnsi" w:hAnsiTheme="minorHAnsi"/>
        </w:rPr>
        <w:t xml:space="preserve"> expla</w:t>
      </w:r>
      <w:r w:rsidR="00D460A7">
        <w:rPr>
          <w:rFonts w:asciiTheme="minorHAnsi" w:hAnsiTheme="minorHAnsi"/>
        </w:rPr>
        <w:t>nation</w:t>
      </w:r>
      <w:r w:rsidR="00046C38">
        <w:rPr>
          <w:rFonts w:asciiTheme="minorHAnsi" w:hAnsiTheme="minorHAnsi"/>
        </w:rPr>
        <w:t xml:space="preserve"> except </w:t>
      </w:r>
      <w:r w:rsidR="002A00A9">
        <w:rPr>
          <w:rFonts w:asciiTheme="minorHAnsi" w:hAnsiTheme="minorHAnsi"/>
        </w:rPr>
        <w:t>by reference</w:t>
      </w:r>
      <w:r w:rsidR="003A7F98" w:rsidRPr="00E12139">
        <w:rPr>
          <w:rFonts w:asciiTheme="minorHAnsi" w:hAnsiTheme="minorHAnsi"/>
        </w:rPr>
        <w:t xml:space="preserve"> to various </w:t>
      </w:r>
      <w:r w:rsidR="00046C38">
        <w:rPr>
          <w:rFonts w:asciiTheme="minorHAnsi" w:hAnsiTheme="minorHAnsi"/>
        </w:rPr>
        <w:t xml:space="preserve">technical publications which do not </w:t>
      </w:r>
      <w:r w:rsidR="003A7F98" w:rsidRPr="00E12139">
        <w:rPr>
          <w:rFonts w:asciiTheme="minorHAnsi" w:hAnsiTheme="minorHAnsi"/>
        </w:rPr>
        <w:t xml:space="preserve">contain any such scores. </w:t>
      </w:r>
      <w:r w:rsidR="00FF7091">
        <w:rPr>
          <w:rFonts w:asciiTheme="minorHAnsi" w:hAnsiTheme="minorHAnsi"/>
        </w:rPr>
        <w:t>Another</w:t>
      </w:r>
      <w:r w:rsidR="00046C38">
        <w:rPr>
          <w:rFonts w:asciiTheme="minorHAnsi" w:hAnsiTheme="minorHAnsi"/>
        </w:rPr>
        <w:t xml:space="preserve"> BTC indicator, </w:t>
      </w:r>
      <w:r w:rsidR="003A7F98" w:rsidRPr="00E12139">
        <w:rPr>
          <w:rFonts w:asciiTheme="minorHAnsi" w:hAnsiTheme="minorHAnsi"/>
        </w:rPr>
        <w:t>provided by Hung (20</w:t>
      </w:r>
      <w:r w:rsidR="002A00A9">
        <w:rPr>
          <w:rFonts w:asciiTheme="minorHAnsi" w:hAnsiTheme="minorHAnsi"/>
        </w:rPr>
        <w:t xml:space="preserve">01), consists of some </w:t>
      </w:r>
      <w:r w:rsidR="003A7F98" w:rsidRPr="00E12139">
        <w:rPr>
          <w:rFonts w:asciiTheme="minorHAnsi" w:hAnsiTheme="minorHAnsi"/>
        </w:rPr>
        <w:t>facts about the content of financial</w:t>
      </w:r>
      <w:r w:rsidR="002A00A9">
        <w:rPr>
          <w:rFonts w:asciiTheme="minorHAnsi" w:hAnsiTheme="minorHAnsi"/>
        </w:rPr>
        <w:t xml:space="preserve"> reporting rules</w:t>
      </w:r>
      <w:r w:rsidR="003A7F98" w:rsidRPr="00E12139">
        <w:rPr>
          <w:rStyle w:val="FootnoteReference"/>
          <w:rFonts w:asciiTheme="minorHAnsi" w:hAnsiTheme="minorHAnsi"/>
        </w:rPr>
        <w:footnoteReference w:id="34"/>
      </w:r>
      <w:r w:rsidR="002A00A9">
        <w:rPr>
          <w:rFonts w:asciiTheme="minorHAnsi" w:hAnsiTheme="minorHAnsi"/>
        </w:rPr>
        <w:t xml:space="preserve"> (</w:t>
      </w:r>
      <w:r w:rsidR="003A7F98" w:rsidRPr="00E12139">
        <w:rPr>
          <w:rFonts w:asciiTheme="minorHAnsi" w:hAnsiTheme="minorHAnsi"/>
        </w:rPr>
        <w:t>given an aggregate weigh</w:t>
      </w:r>
      <w:r w:rsidR="002A00A9">
        <w:rPr>
          <w:rFonts w:asciiTheme="minorHAnsi" w:hAnsiTheme="minorHAnsi"/>
        </w:rPr>
        <w:t>t of 40 percent) plus</w:t>
      </w:r>
      <w:r w:rsidR="00D460A7">
        <w:rPr>
          <w:rFonts w:asciiTheme="minorHAnsi" w:hAnsiTheme="minorHAnsi"/>
        </w:rPr>
        <w:t xml:space="preserve"> an “</w:t>
      </w:r>
      <w:r w:rsidR="003A7F98" w:rsidRPr="00E12139">
        <w:rPr>
          <w:rFonts w:asciiTheme="minorHAnsi" w:hAnsiTheme="minorHAnsi"/>
        </w:rPr>
        <w:t>average consensus estima</w:t>
      </w:r>
      <w:r w:rsidR="00D460A7">
        <w:rPr>
          <w:rFonts w:asciiTheme="minorHAnsi" w:hAnsiTheme="minorHAnsi"/>
        </w:rPr>
        <w:t>te of the book-tax relationship”</w:t>
      </w:r>
      <w:r w:rsidR="003A7F98" w:rsidRPr="00E12139">
        <w:rPr>
          <w:rFonts w:asciiTheme="minorHAnsi" w:hAnsiTheme="minorHAnsi"/>
        </w:rPr>
        <w:t xml:space="preserve"> </w:t>
      </w:r>
      <w:r w:rsidR="002A00A9">
        <w:rPr>
          <w:rFonts w:asciiTheme="minorHAnsi" w:hAnsiTheme="minorHAnsi"/>
        </w:rPr>
        <w:t>(</w:t>
      </w:r>
      <w:r w:rsidR="003A7F98" w:rsidRPr="00E12139">
        <w:rPr>
          <w:rFonts w:asciiTheme="minorHAnsi" w:hAnsiTheme="minorHAnsi"/>
        </w:rPr>
        <w:t>weighted</w:t>
      </w:r>
      <w:r w:rsidR="0000030F">
        <w:rPr>
          <w:rFonts w:asciiTheme="minorHAnsi" w:hAnsiTheme="minorHAnsi"/>
        </w:rPr>
        <w:t xml:space="preserve"> </w:t>
      </w:r>
      <w:r w:rsidR="00046C38">
        <w:rPr>
          <w:rFonts w:asciiTheme="minorHAnsi" w:hAnsiTheme="minorHAnsi"/>
        </w:rPr>
        <w:t>60 percent</w:t>
      </w:r>
      <w:r w:rsidR="002A00A9">
        <w:rPr>
          <w:rFonts w:asciiTheme="minorHAnsi" w:hAnsiTheme="minorHAnsi"/>
        </w:rPr>
        <w:t>)</w:t>
      </w:r>
      <w:r w:rsidR="00046C38">
        <w:rPr>
          <w:rFonts w:asciiTheme="minorHAnsi" w:hAnsiTheme="minorHAnsi"/>
        </w:rPr>
        <w:t>. By ranking the</w:t>
      </w:r>
      <w:r w:rsidR="003A7F98" w:rsidRPr="00E12139">
        <w:rPr>
          <w:rFonts w:asciiTheme="minorHAnsi" w:hAnsiTheme="minorHAnsi"/>
        </w:rPr>
        <w:t xml:space="preserve"> scores, 21 countries are classified as either high or low BTC</w:t>
      </w:r>
      <w:r w:rsidR="002A00A9">
        <w:rPr>
          <w:rFonts w:asciiTheme="minorHAnsi" w:hAnsiTheme="minorHAnsi"/>
        </w:rPr>
        <w:t>, as shown here in</w:t>
      </w:r>
      <w:r w:rsidR="00D16D16">
        <w:rPr>
          <w:rFonts w:asciiTheme="minorHAnsi" w:hAnsiTheme="minorHAnsi"/>
        </w:rPr>
        <w:t xml:space="preserve"> Ta</w:t>
      </w:r>
      <w:r w:rsidR="002B7139">
        <w:rPr>
          <w:rFonts w:asciiTheme="minorHAnsi" w:hAnsiTheme="minorHAnsi"/>
        </w:rPr>
        <w:t>ble 7</w:t>
      </w:r>
      <w:r w:rsidR="002A00A9">
        <w:rPr>
          <w:rFonts w:asciiTheme="minorHAnsi" w:hAnsiTheme="minorHAnsi"/>
        </w:rPr>
        <w:t xml:space="preserve">. Despite the </w:t>
      </w:r>
      <w:r w:rsidR="0030079B">
        <w:rPr>
          <w:rFonts w:asciiTheme="minorHAnsi" w:hAnsiTheme="minorHAnsi"/>
        </w:rPr>
        <w:t>sub</w:t>
      </w:r>
      <w:r w:rsidR="002A00A9">
        <w:rPr>
          <w:rFonts w:asciiTheme="minorHAnsi" w:hAnsiTheme="minorHAnsi"/>
        </w:rPr>
        <w:t xml:space="preserve">jectivity in selection of topics/weights and </w:t>
      </w:r>
      <w:r w:rsidR="003A7F98" w:rsidRPr="00E12139">
        <w:rPr>
          <w:rFonts w:asciiTheme="minorHAnsi" w:hAnsiTheme="minorHAnsi"/>
        </w:rPr>
        <w:t xml:space="preserve">the unspecified </w:t>
      </w:r>
      <w:r w:rsidR="00D460A7">
        <w:rPr>
          <w:rFonts w:asciiTheme="minorHAnsi" w:hAnsiTheme="minorHAnsi"/>
        </w:rPr>
        <w:t>“consensus estimate”</w:t>
      </w:r>
      <w:r w:rsidR="0030079B">
        <w:rPr>
          <w:rFonts w:asciiTheme="minorHAnsi" w:hAnsiTheme="minorHAnsi"/>
        </w:rPr>
        <w:t>, the information in T</w:t>
      </w:r>
      <w:r w:rsidR="0074780D" w:rsidRPr="00E12139">
        <w:rPr>
          <w:rFonts w:asciiTheme="minorHAnsi" w:hAnsiTheme="minorHAnsi"/>
        </w:rPr>
        <w:t xml:space="preserve">able </w:t>
      </w:r>
      <w:r w:rsidR="002B7139">
        <w:rPr>
          <w:rFonts w:asciiTheme="minorHAnsi" w:hAnsiTheme="minorHAnsi"/>
        </w:rPr>
        <w:t>7</w:t>
      </w:r>
      <w:r w:rsidR="0030079B">
        <w:rPr>
          <w:rFonts w:asciiTheme="minorHAnsi" w:hAnsiTheme="minorHAnsi"/>
        </w:rPr>
        <w:t xml:space="preserve"> </w:t>
      </w:r>
      <w:r w:rsidR="0074780D" w:rsidRPr="00E12139">
        <w:rPr>
          <w:rFonts w:asciiTheme="minorHAnsi" w:hAnsiTheme="minorHAnsi"/>
        </w:rPr>
        <w:t xml:space="preserve">corresponds </w:t>
      </w:r>
      <w:r w:rsidR="001C5EE9">
        <w:rPr>
          <w:rFonts w:asciiTheme="minorHAnsi" w:hAnsiTheme="minorHAnsi"/>
        </w:rPr>
        <w:t xml:space="preserve">almost </w:t>
      </w:r>
      <w:r w:rsidR="0074780D" w:rsidRPr="00E12139">
        <w:rPr>
          <w:rFonts w:asciiTheme="minorHAnsi" w:hAnsiTheme="minorHAnsi"/>
        </w:rPr>
        <w:t>exactly</w:t>
      </w:r>
      <w:r w:rsidR="001C5EE9">
        <w:rPr>
          <w:rStyle w:val="FootnoteReference"/>
          <w:rFonts w:asciiTheme="minorHAnsi" w:hAnsiTheme="minorHAnsi"/>
        </w:rPr>
        <w:footnoteReference w:id="35"/>
      </w:r>
      <w:r w:rsidR="0074780D" w:rsidRPr="00E12139">
        <w:rPr>
          <w:rFonts w:asciiTheme="minorHAnsi" w:hAnsiTheme="minorHAnsi"/>
        </w:rPr>
        <w:t xml:space="preserve"> with the conclusions of the detailed </w:t>
      </w:r>
      <w:r w:rsidR="00492B28" w:rsidRPr="00E12139">
        <w:rPr>
          <w:rFonts w:asciiTheme="minorHAnsi" w:hAnsiTheme="minorHAnsi"/>
        </w:rPr>
        <w:t xml:space="preserve">BTC </w:t>
      </w:r>
      <w:r w:rsidR="00A2766A">
        <w:rPr>
          <w:rFonts w:asciiTheme="minorHAnsi" w:hAnsiTheme="minorHAnsi"/>
        </w:rPr>
        <w:t>studies mentioned in the previous paragraph</w:t>
      </w:r>
      <w:r w:rsidR="0074780D" w:rsidRPr="00E12139">
        <w:rPr>
          <w:rFonts w:asciiTheme="minorHAnsi" w:hAnsiTheme="minorHAnsi"/>
        </w:rPr>
        <w:t xml:space="preserve">. </w:t>
      </w:r>
      <w:r w:rsidR="002A00A9">
        <w:rPr>
          <w:rFonts w:asciiTheme="minorHAnsi" w:hAnsiTheme="minorHAnsi"/>
        </w:rPr>
        <w:t>Table 7</w:t>
      </w:r>
      <w:r w:rsidR="001C5EE9">
        <w:rPr>
          <w:rFonts w:asciiTheme="minorHAnsi" w:hAnsiTheme="minorHAnsi"/>
        </w:rPr>
        <w:t xml:space="preserve"> shows </w:t>
      </w:r>
      <w:r w:rsidR="0030079B">
        <w:rPr>
          <w:rFonts w:asciiTheme="minorHAnsi" w:hAnsiTheme="minorHAnsi"/>
        </w:rPr>
        <w:t xml:space="preserve">which </w:t>
      </w:r>
      <w:r w:rsidR="001C5EE9">
        <w:rPr>
          <w:rFonts w:asciiTheme="minorHAnsi" w:hAnsiTheme="minorHAnsi"/>
        </w:rPr>
        <w:t>other studies</w:t>
      </w:r>
      <w:r w:rsidR="0030079B">
        <w:rPr>
          <w:rFonts w:asciiTheme="minorHAnsi" w:hAnsiTheme="minorHAnsi"/>
        </w:rPr>
        <w:t xml:space="preserve"> corroborate the scores. S</w:t>
      </w:r>
      <w:r w:rsidR="002A00A9">
        <w:rPr>
          <w:rFonts w:asciiTheme="minorHAnsi" w:hAnsiTheme="minorHAnsi"/>
        </w:rPr>
        <w:t xml:space="preserve">o, although it is </w:t>
      </w:r>
      <w:r w:rsidR="00D460A7">
        <w:rPr>
          <w:rFonts w:asciiTheme="minorHAnsi" w:hAnsiTheme="minorHAnsi"/>
        </w:rPr>
        <w:t>largely a “black box”</w:t>
      </w:r>
      <w:r w:rsidR="003C5504">
        <w:rPr>
          <w:rFonts w:asciiTheme="minorHAnsi" w:hAnsiTheme="minorHAnsi"/>
        </w:rPr>
        <w:t>, t</w:t>
      </w:r>
      <w:r w:rsidR="001C5EE9">
        <w:rPr>
          <w:rFonts w:asciiTheme="minorHAnsi" w:hAnsiTheme="minorHAnsi"/>
        </w:rPr>
        <w:t xml:space="preserve">he classification </w:t>
      </w:r>
      <w:r w:rsidR="00AE5A96">
        <w:rPr>
          <w:rFonts w:asciiTheme="minorHAnsi" w:hAnsiTheme="minorHAnsi"/>
        </w:rPr>
        <w:t>passes the FR</w:t>
      </w:r>
      <w:r w:rsidR="0074780D" w:rsidRPr="00E12139">
        <w:rPr>
          <w:rFonts w:asciiTheme="minorHAnsi" w:hAnsiTheme="minorHAnsi"/>
        </w:rPr>
        <w:t xml:space="preserve"> test.</w:t>
      </w:r>
      <w:r w:rsidR="00046C38">
        <w:rPr>
          <w:rFonts w:asciiTheme="minorHAnsi" w:hAnsiTheme="minorHAnsi"/>
        </w:rPr>
        <w:t xml:space="preserve"> I discuss it here in order to provide a benchmark for the next paragraph.</w:t>
      </w:r>
    </w:p>
    <w:p w14:paraId="1EA780F6" w14:textId="35B7C3E0" w:rsidR="00BD68F5" w:rsidRPr="00E12139" w:rsidRDefault="006B53FA" w:rsidP="00E12139">
      <w:pPr>
        <w:pStyle w:val="BodyText"/>
        <w:ind w:firstLine="720"/>
        <w:rPr>
          <w:rFonts w:asciiTheme="minorHAnsi" w:hAnsiTheme="minorHAnsi"/>
        </w:rPr>
      </w:pPr>
      <w:r>
        <w:rPr>
          <w:rFonts w:asciiTheme="minorHAnsi" w:hAnsiTheme="minorHAnsi"/>
        </w:rPr>
        <w:t>All t</w:t>
      </w:r>
      <w:r w:rsidR="0074780D" w:rsidRPr="00E12139">
        <w:rPr>
          <w:rFonts w:asciiTheme="minorHAnsi" w:hAnsiTheme="minorHAnsi"/>
        </w:rPr>
        <w:t xml:space="preserve">he above studies relate (explicitly or implicitly) to unconsolidated statements in the home country only. </w:t>
      </w:r>
      <w:r w:rsidR="00BD68F5" w:rsidRPr="00E12139">
        <w:rPr>
          <w:rFonts w:asciiTheme="minorHAnsi" w:hAnsiTheme="minorHAnsi"/>
        </w:rPr>
        <w:t xml:space="preserve">An attempt at a quantitative approach using </w:t>
      </w:r>
      <w:r w:rsidR="0074780D" w:rsidRPr="00E12139">
        <w:rPr>
          <w:rFonts w:asciiTheme="minorHAnsi" w:hAnsiTheme="minorHAnsi"/>
        </w:rPr>
        <w:t xml:space="preserve">data from consolidated statements of a large sample of firms from </w:t>
      </w:r>
      <w:r w:rsidR="00BD68F5" w:rsidRPr="00E12139">
        <w:rPr>
          <w:rFonts w:asciiTheme="minorHAnsi" w:hAnsiTheme="minorHAnsi"/>
        </w:rPr>
        <w:t>sever</w:t>
      </w:r>
      <w:r w:rsidR="001824B4">
        <w:rPr>
          <w:rFonts w:asciiTheme="minorHAnsi" w:hAnsiTheme="minorHAnsi"/>
        </w:rPr>
        <w:t>a</w:t>
      </w:r>
      <w:r w:rsidR="004B0C9C">
        <w:rPr>
          <w:rFonts w:asciiTheme="minorHAnsi" w:hAnsiTheme="minorHAnsi"/>
        </w:rPr>
        <w:t>l countries was made by Atwood</w:t>
      </w:r>
      <w:r w:rsidR="004B0C9C" w:rsidRPr="004B0C9C">
        <w:rPr>
          <w:i/>
        </w:rPr>
        <w:t xml:space="preserve"> </w:t>
      </w:r>
      <w:r w:rsidR="004B0C9C" w:rsidRPr="0015736A">
        <w:rPr>
          <w:i/>
        </w:rPr>
        <w:t>et al.</w:t>
      </w:r>
      <w:r w:rsidR="004B0C9C">
        <w:t xml:space="preserve"> </w:t>
      </w:r>
      <w:r w:rsidR="00BD68F5" w:rsidRPr="00E12139">
        <w:rPr>
          <w:rFonts w:asciiTheme="minorHAnsi" w:hAnsiTheme="minorHAnsi"/>
        </w:rPr>
        <w:t>(2010)</w:t>
      </w:r>
      <w:r w:rsidR="0074780D" w:rsidRPr="00E12139">
        <w:rPr>
          <w:rFonts w:asciiTheme="minorHAnsi" w:hAnsiTheme="minorHAnsi"/>
        </w:rPr>
        <w:t xml:space="preserve">. Their </w:t>
      </w:r>
      <w:r w:rsidR="00BD68F5" w:rsidRPr="00E12139">
        <w:rPr>
          <w:rFonts w:asciiTheme="minorHAnsi" w:hAnsiTheme="minorHAnsi"/>
        </w:rPr>
        <w:t xml:space="preserve">measurement of BTC is </w:t>
      </w:r>
      <w:r w:rsidR="001439C3" w:rsidRPr="00E12139">
        <w:rPr>
          <w:rFonts w:asciiTheme="minorHAnsi" w:hAnsiTheme="minorHAnsi"/>
        </w:rPr>
        <w:t xml:space="preserve">based on the amount of </w:t>
      </w:r>
      <w:r w:rsidR="00BD68F5" w:rsidRPr="00E12139">
        <w:rPr>
          <w:rFonts w:asciiTheme="minorHAnsi" w:hAnsiTheme="minorHAnsi"/>
        </w:rPr>
        <w:t>variation in</w:t>
      </w:r>
      <w:r w:rsidR="001439C3" w:rsidRPr="00E12139">
        <w:rPr>
          <w:rFonts w:asciiTheme="minorHAnsi" w:hAnsiTheme="minorHAnsi"/>
        </w:rPr>
        <w:t xml:space="preserve"> </w:t>
      </w:r>
      <w:r w:rsidR="001439C3" w:rsidRPr="00E12139">
        <w:rPr>
          <w:rFonts w:asciiTheme="minorHAnsi" w:hAnsiTheme="minorHAnsi"/>
        </w:rPr>
        <w:lastRenderedPageBreak/>
        <w:t xml:space="preserve">taxable income </w:t>
      </w:r>
      <w:r w:rsidR="00BB3C4E" w:rsidRPr="00E12139">
        <w:rPr>
          <w:rFonts w:asciiTheme="minorHAnsi" w:hAnsiTheme="minorHAnsi"/>
        </w:rPr>
        <w:t>(</w:t>
      </w:r>
      <w:r w:rsidR="00BB3C4E" w:rsidRPr="00E12139">
        <w:rPr>
          <w:rFonts w:asciiTheme="minorHAnsi" w:hAnsiTheme="minorHAnsi"/>
          <w:i/>
        </w:rPr>
        <w:t>TI</w:t>
      </w:r>
      <w:r w:rsidR="00BB3C4E" w:rsidRPr="00E12139">
        <w:rPr>
          <w:rFonts w:asciiTheme="minorHAnsi" w:hAnsiTheme="minorHAnsi"/>
        </w:rPr>
        <w:t xml:space="preserve">) </w:t>
      </w:r>
      <w:r w:rsidR="00BD68F5" w:rsidRPr="00E12139">
        <w:rPr>
          <w:rFonts w:asciiTheme="minorHAnsi" w:hAnsiTheme="minorHAnsi"/>
        </w:rPr>
        <w:t xml:space="preserve">that cannot be explained by the variation in profit before tax </w:t>
      </w:r>
      <w:r w:rsidR="002C1FBF">
        <w:rPr>
          <w:rFonts w:asciiTheme="minorHAnsi" w:hAnsiTheme="minorHAnsi"/>
        </w:rPr>
        <w:t>(</w:t>
      </w:r>
      <w:r w:rsidR="00BD68F5" w:rsidRPr="00E12139">
        <w:rPr>
          <w:rFonts w:asciiTheme="minorHAnsi" w:hAnsiTheme="minorHAnsi"/>
          <w:i/>
        </w:rPr>
        <w:t>PBT</w:t>
      </w:r>
      <w:r w:rsidR="002C1FBF">
        <w:rPr>
          <w:rFonts w:asciiTheme="minorHAnsi" w:hAnsiTheme="minorHAnsi"/>
        </w:rPr>
        <w:t xml:space="preserve">). </w:t>
      </w:r>
      <w:r w:rsidR="00BB3C4E" w:rsidRPr="00E12139">
        <w:rPr>
          <w:rFonts w:asciiTheme="minorHAnsi" w:hAnsiTheme="minorHAnsi"/>
        </w:rPr>
        <w:t xml:space="preserve">Since </w:t>
      </w:r>
      <w:r w:rsidR="00BB3C4E" w:rsidRPr="00E12139">
        <w:rPr>
          <w:rFonts w:asciiTheme="minorHAnsi" w:hAnsiTheme="minorHAnsi"/>
          <w:i/>
        </w:rPr>
        <w:t>TI</w:t>
      </w:r>
      <w:r w:rsidR="00BB3C4E" w:rsidRPr="00E12139">
        <w:rPr>
          <w:rFonts w:asciiTheme="minorHAnsi" w:hAnsiTheme="minorHAnsi"/>
        </w:rPr>
        <w:t xml:space="preserve"> cannot be observed, </w:t>
      </w:r>
      <w:r w:rsidR="001439C3" w:rsidRPr="00E12139">
        <w:rPr>
          <w:rFonts w:asciiTheme="minorHAnsi" w:hAnsiTheme="minorHAnsi"/>
        </w:rPr>
        <w:t xml:space="preserve">current tax expense </w:t>
      </w:r>
      <w:r w:rsidR="001439C3" w:rsidRPr="00E12139">
        <w:rPr>
          <w:rFonts w:asciiTheme="minorHAnsi" w:hAnsiTheme="minorHAnsi"/>
          <w:i/>
        </w:rPr>
        <w:t xml:space="preserve">(CTE) </w:t>
      </w:r>
      <w:r w:rsidR="00A2766A">
        <w:rPr>
          <w:rFonts w:asciiTheme="minorHAnsi" w:hAnsiTheme="minorHAnsi"/>
        </w:rPr>
        <w:t>is used to create</w:t>
      </w:r>
      <w:r w:rsidR="00BB3C4E" w:rsidRPr="00E12139">
        <w:rPr>
          <w:rFonts w:asciiTheme="minorHAnsi" w:hAnsiTheme="minorHAnsi"/>
        </w:rPr>
        <w:t xml:space="preserve"> a proxy for it. T</w:t>
      </w:r>
      <w:r w:rsidR="002A00A9">
        <w:rPr>
          <w:rFonts w:asciiTheme="minorHAnsi" w:hAnsiTheme="minorHAnsi"/>
        </w:rPr>
        <w:t>he</w:t>
      </w:r>
      <w:r w:rsidR="00BD68F5" w:rsidRPr="00E12139">
        <w:rPr>
          <w:rFonts w:asciiTheme="minorHAnsi" w:hAnsiTheme="minorHAnsi"/>
        </w:rPr>
        <w:t xml:space="preserve"> researchers apply their model to 33 countrie</w:t>
      </w:r>
      <w:r w:rsidR="005035FF" w:rsidRPr="00E12139">
        <w:rPr>
          <w:rFonts w:asciiTheme="minorHAnsi" w:hAnsiTheme="minorHAnsi"/>
        </w:rPr>
        <w:t xml:space="preserve">s for the period 1992 to 2005. </w:t>
      </w:r>
      <w:r w:rsidR="00BD68F5" w:rsidRPr="00E12139">
        <w:rPr>
          <w:rFonts w:asciiTheme="minorHAnsi" w:hAnsiTheme="minorHAnsi"/>
        </w:rPr>
        <w:t>They calculate, for each country, the average for the whole period of the standard error</w:t>
      </w:r>
      <w:r w:rsidR="00BD68F5" w:rsidRPr="00E12139">
        <w:rPr>
          <w:rStyle w:val="FootnoteReference"/>
          <w:rFonts w:asciiTheme="minorHAnsi" w:hAnsiTheme="minorHAnsi"/>
        </w:rPr>
        <w:footnoteReference w:id="36"/>
      </w:r>
      <w:r w:rsidR="00BD68F5" w:rsidRPr="00E12139">
        <w:rPr>
          <w:rFonts w:asciiTheme="minorHAnsi" w:hAnsiTheme="minorHAnsi"/>
        </w:rPr>
        <w:t xml:space="preserve"> from annual regressions of </w:t>
      </w:r>
      <w:r w:rsidR="00BD68F5" w:rsidRPr="00E12139">
        <w:rPr>
          <w:rFonts w:asciiTheme="minorHAnsi" w:hAnsiTheme="minorHAnsi"/>
          <w:i/>
        </w:rPr>
        <w:t xml:space="preserve">CTE </w:t>
      </w:r>
      <w:r w:rsidR="00BD68F5" w:rsidRPr="00E12139">
        <w:rPr>
          <w:rFonts w:asciiTheme="minorHAnsi" w:hAnsiTheme="minorHAnsi"/>
        </w:rPr>
        <w:t xml:space="preserve">on </w:t>
      </w:r>
      <w:r w:rsidR="00BD68F5" w:rsidRPr="00E12139">
        <w:rPr>
          <w:rFonts w:asciiTheme="minorHAnsi" w:hAnsiTheme="minorHAnsi"/>
          <w:i/>
        </w:rPr>
        <w:t>PBT</w:t>
      </w:r>
      <w:r w:rsidR="0066322C">
        <w:rPr>
          <w:rFonts w:asciiTheme="minorHAnsi" w:hAnsiTheme="minorHAnsi"/>
        </w:rPr>
        <w:t>.</w:t>
      </w:r>
      <w:r w:rsidR="003C5504">
        <w:rPr>
          <w:rFonts w:asciiTheme="minorHAnsi" w:hAnsiTheme="minorHAnsi"/>
        </w:rPr>
        <w:t xml:space="preserve"> A h</w:t>
      </w:r>
      <w:r w:rsidR="00BD68F5" w:rsidRPr="00E12139">
        <w:rPr>
          <w:rFonts w:asciiTheme="minorHAnsi" w:hAnsiTheme="minorHAnsi"/>
        </w:rPr>
        <w:t>igh standard err</w:t>
      </w:r>
      <w:r w:rsidR="00C66C62">
        <w:rPr>
          <w:rFonts w:asciiTheme="minorHAnsi" w:hAnsiTheme="minorHAnsi"/>
        </w:rPr>
        <w:t xml:space="preserve">or indicates low BTC. As shown </w:t>
      </w:r>
      <w:r w:rsidR="00BD68F5" w:rsidRPr="00E12139">
        <w:rPr>
          <w:rFonts w:asciiTheme="minorHAnsi" w:hAnsiTheme="minorHAnsi"/>
        </w:rPr>
        <w:t xml:space="preserve">in Table </w:t>
      </w:r>
      <w:r w:rsidR="002B7139">
        <w:rPr>
          <w:rFonts w:asciiTheme="minorHAnsi" w:hAnsiTheme="minorHAnsi"/>
        </w:rPr>
        <w:t>8</w:t>
      </w:r>
      <w:r w:rsidR="00C66C62">
        <w:rPr>
          <w:rFonts w:asciiTheme="minorHAnsi" w:hAnsiTheme="minorHAnsi"/>
        </w:rPr>
        <w:t xml:space="preserve"> in this paper</w:t>
      </w:r>
      <w:r w:rsidR="00BD68F5" w:rsidRPr="00E12139">
        <w:rPr>
          <w:rFonts w:asciiTheme="minorHAnsi" w:hAnsiTheme="minorHAnsi"/>
        </w:rPr>
        <w:t xml:space="preserve">, Atwood </w:t>
      </w:r>
      <w:r w:rsidR="00BD68F5" w:rsidRPr="00E12139">
        <w:rPr>
          <w:rFonts w:asciiTheme="minorHAnsi" w:hAnsiTheme="minorHAnsi"/>
          <w:i/>
        </w:rPr>
        <w:t>et al.</w:t>
      </w:r>
      <w:r w:rsidR="005035FF" w:rsidRPr="00E12139">
        <w:rPr>
          <w:rFonts w:asciiTheme="minorHAnsi" w:hAnsiTheme="minorHAnsi"/>
        </w:rPr>
        <w:t xml:space="preserve"> (2010) place </w:t>
      </w:r>
      <w:r w:rsidR="00BD68F5" w:rsidRPr="00E12139">
        <w:rPr>
          <w:rFonts w:asciiTheme="minorHAnsi" w:hAnsiTheme="minorHAnsi"/>
        </w:rPr>
        <w:t xml:space="preserve">Canada, Germany and the USA at the top end (low BTC), </w:t>
      </w:r>
      <w:r w:rsidR="001439C3" w:rsidRPr="00E12139">
        <w:rPr>
          <w:rFonts w:asciiTheme="minorHAnsi" w:hAnsiTheme="minorHAnsi"/>
        </w:rPr>
        <w:t>and</w:t>
      </w:r>
      <w:r w:rsidR="00BD68F5" w:rsidRPr="00E12139">
        <w:rPr>
          <w:rFonts w:asciiTheme="minorHAnsi" w:hAnsiTheme="minorHAnsi"/>
        </w:rPr>
        <w:t xml:space="preserve"> Japan</w:t>
      </w:r>
      <w:r w:rsidR="001439C3" w:rsidRPr="00E12139">
        <w:rPr>
          <w:rFonts w:asciiTheme="minorHAnsi" w:hAnsiTheme="minorHAnsi"/>
        </w:rPr>
        <w:t>, China and Chile</w:t>
      </w:r>
      <w:r w:rsidR="00BD68F5" w:rsidRPr="00E12139">
        <w:rPr>
          <w:rFonts w:asciiTheme="minorHAnsi" w:hAnsiTheme="minorHAnsi"/>
        </w:rPr>
        <w:t xml:space="preserve"> at the bottom (high BTC). </w:t>
      </w:r>
    </w:p>
    <w:p w14:paraId="1B0B3303" w14:textId="65E23D7E" w:rsidR="000171C3" w:rsidRDefault="002C68CA" w:rsidP="000171C3">
      <w:r>
        <w:tab/>
        <w:t>This</w:t>
      </w:r>
      <w:r w:rsidR="000171C3">
        <w:t xml:space="preserve"> position </w:t>
      </w:r>
      <w:r>
        <w:t xml:space="preserve">for </w:t>
      </w:r>
      <w:r w:rsidR="005C31B4">
        <w:t xml:space="preserve">Germany does not fit with the discussion above or </w:t>
      </w:r>
      <w:r w:rsidR="00C66C62">
        <w:t xml:space="preserve">with </w:t>
      </w:r>
      <w:r w:rsidR="002B7139">
        <w:t>Table 7</w:t>
      </w:r>
      <w:r w:rsidR="0066322C">
        <w:t xml:space="preserve">. </w:t>
      </w:r>
      <w:r w:rsidR="000171C3">
        <w:t xml:space="preserve">Atwood </w:t>
      </w:r>
      <w:r w:rsidR="000171C3">
        <w:rPr>
          <w:i/>
        </w:rPr>
        <w:t>et al</w:t>
      </w:r>
      <w:r w:rsidR="004444D0">
        <w:t>. (2010, footnote 22) notice</w:t>
      </w:r>
      <w:r w:rsidR="005C31B4">
        <w:t xml:space="preserve"> the</w:t>
      </w:r>
      <w:r w:rsidR="000171C3">
        <w:t xml:space="preserve"> “striking difference” and explain it in terms of their use of consolidated data w</w:t>
      </w:r>
      <w:r w:rsidR="0066322C">
        <w:t xml:space="preserve">hich are not relevant for tax. </w:t>
      </w:r>
      <w:r w:rsidR="00BD3A1A">
        <w:t>However, that</w:t>
      </w:r>
      <w:r w:rsidR="000171C3">
        <w:t xml:space="preserve"> fact applies equally well to </w:t>
      </w:r>
      <w:r w:rsidR="004444D0">
        <w:t xml:space="preserve">all </w:t>
      </w:r>
      <w:r w:rsidR="003C5504">
        <w:t>the countries with strong</w:t>
      </w:r>
      <w:r w:rsidR="000171C3">
        <w:t xml:space="preserve"> BTC in their table (e.g. France, Spain</w:t>
      </w:r>
      <w:r w:rsidR="004444D0">
        <w:t xml:space="preserve"> and the</w:t>
      </w:r>
      <w:r w:rsidR="000171C3">
        <w:t xml:space="preserve"> five countries at the bottom of</w:t>
      </w:r>
      <w:r w:rsidR="00F879A0">
        <w:t xml:space="preserve"> Table 8</w:t>
      </w:r>
      <w:r w:rsidR="0066322C">
        <w:t xml:space="preserve">). </w:t>
      </w:r>
      <w:r w:rsidR="000171C3">
        <w:t xml:space="preserve">The real answer is </w:t>
      </w:r>
      <w:r w:rsidR="0045245E">
        <w:t xml:space="preserve">probably </w:t>
      </w:r>
      <w:r w:rsidR="000171C3">
        <w:t xml:space="preserve">that Germany was </w:t>
      </w:r>
      <w:r w:rsidR="004444D0">
        <w:t xml:space="preserve">most </w:t>
      </w:r>
      <w:r w:rsidR="000171C3">
        <w:t xml:space="preserve">unusual in the period studied by Atwood </w:t>
      </w:r>
      <w:r w:rsidR="000171C3">
        <w:rPr>
          <w:i/>
        </w:rPr>
        <w:t>et al</w:t>
      </w:r>
      <w:r w:rsidR="000171C3">
        <w:t>. (i.e. 1992 – 2005) in that many of its large companies had volunteered to adopt international standards</w:t>
      </w:r>
      <w:r w:rsidR="00B46A54">
        <w:t xml:space="preserve"> (</w:t>
      </w:r>
      <w:proofErr w:type="spellStart"/>
      <w:r w:rsidR="00B46A54">
        <w:t>Tarca</w:t>
      </w:r>
      <w:proofErr w:type="spellEnd"/>
      <w:r w:rsidR="00B46A54">
        <w:t xml:space="preserve"> </w:t>
      </w:r>
      <w:r w:rsidR="00B46A54" w:rsidRPr="00B46A54">
        <w:rPr>
          <w:i/>
        </w:rPr>
        <w:t>et al.</w:t>
      </w:r>
      <w:r w:rsidR="00B46A54">
        <w:t>, 2013, p. 82)</w:t>
      </w:r>
      <w:r w:rsidR="000171C3">
        <w:t xml:space="preserve">, thereby abandoning German </w:t>
      </w:r>
      <w:r w:rsidR="00A26720">
        <w:t xml:space="preserve">GAAP and reducing BTC. </w:t>
      </w:r>
      <w:r w:rsidR="000171C3">
        <w:t>On investigating the data sources, we</w:t>
      </w:r>
      <w:r w:rsidR="000171C3">
        <w:rPr>
          <w:rStyle w:val="FootnoteReference"/>
        </w:rPr>
        <w:footnoteReference w:id="37"/>
      </w:r>
      <w:r w:rsidR="000171C3">
        <w:t xml:space="preserve"> conclude that many </w:t>
      </w:r>
      <w:r w:rsidR="00A26720">
        <w:t xml:space="preserve">of the </w:t>
      </w:r>
      <w:r w:rsidR="000171C3">
        <w:t xml:space="preserve">companies </w:t>
      </w:r>
      <w:r w:rsidR="00A26720">
        <w:t xml:space="preserve">that were </w:t>
      </w:r>
      <w:r w:rsidR="003C5504">
        <w:t xml:space="preserve">still </w:t>
      </w:r>
      <w:r w:rsidR="000171C3">
        <w:t xml:space="preserve">using German GAAP </w:t>
      </w:r>
      <w:r w:rsidR="003C5504">
        <w:t>were</w:t>
      </w:r>
      <w:r w:rsidR="000171C3">
        <w:t xml:space="preserve"> ex</w:t>
      </w:r>
      <w:r w:rsidR="0066322C">
        <w:t>cluded because of missing data.</w:t>
      </w:r>
      <w:r w:rsidR="000171C3">
        <w:t xml:space="preserve"> Thus, Atwood </w:t>
      </w:r>
      <w:r w:rsidR="000171C3">
        <w:rPr>
          <w:i/>
        </w:rPr>
        <w:t>et al</w:t>
      </w:r>
      <w:r w:rsidR="00FE6881">
        <w:t xml:space="preserve">. </w:t>
      </w:r>
      <w:proofErr w:type="spellStart"/>
      <w:r w:rsidR="00FE6881">
        <w:t>were</w:t>
      </w:r>
      <w:proofErr w:type="spellEnd"/>
      <w:r w:rsidR="000171C3">
        <w:t xml:space="preserve"> not measuring the BTC of German GAAP but the BTC of IFRS</w:t>
      </w:r>
      <w:r w:rsidR="0066322C">
        <w:t xml:space="preserve"> (as applied by German groups).</w:t>
      </w:r>
      <w:r w:rsidR="000171C3">
        <w:t xml:space="preserve"> Incidentally, their inclusion of data for 2005 was unfortunate as this introduced IFRS data for many countries for just one year of their long period of study.</w:t>
      </w:r>
    </w:p>
    <w:p w14:paraId="72BA9B38" w14:textId="527A56F7" w:rsidR="005C31B4" w:rsidRPr="000171C3" w:rsidRDefault="005C31B4" w:rsidP="000171C3">
      <w:r>
        <w:lastRenderedPageBreak/>
        <w:tab/>
        <w:t xml:space="preserve">In terms of this paper’s method, Atwood </w:t>
      </w:r>
      <w:r w:rsidRPr="005D3ECA">
        <w:rPr>
          <w:i/>
        </w:rPr>
        <w:t>et al</w:t>
      </w:r>
      <w:r>
        <w:t>.’s results might have been true (low BTC in the consolidated statements of the German companies in their sample) but</w:t>
      </w:r>
      <w:r w:rsidR="005D3ECA">
        <w:t xml:space="preserve"> the results were misleading because they were not a faithful representation of German GAAP.</w:t>
      </w:r>
    </w:p>
    <w:p w14:paraId="17B0C52C" w14:textId="77777777" w:rsidR="00672814" w:rsidRDefault="002B7139" w:rsidP="00672814">
      <w:pPr>
        <w:ind w:firstLine="720"/>
        <w:rPr>
          <w:i/>
        </w:rPr>
      </w:pPr>
      <w:proofErr w:type="gramStart"/>
      <w:r>
        <w:rPr>
          <w:i/>
        </w:rPr>
        <w:t>4.7</w:t>
      </w:r>
      <w:r w:rsidR="00672814">
        <w:rPr>
          <w:i/>
        </w:rPr>
        <w:t xml:space="preserve">  Culture</w:t>
      </w:r>
      <w:proofErr w:type="gramEnd"/>
      <w:r w:rsidR="00672814">
        <w:rPr>
          <w:i/>
        </w:rPr>
        <w:t xml:space="preserve"> </w:t>
      </w:r>
    </w:p>
    <w:p w14:paraId="7388DC9B" w14:textId="77777777" w:rsidR="00672814" w:rsidRDefault="00672814" w:rsidP="00672814">
      <w:pPr>
        <w:ind w:firstLine="720"/>
      </w:pPr>
      <w:r>
        <w:t>Hofstede’s (1980) attempt to measure international differences in</w:t>
      </w:r>
      <w:r w:rsidRPr="00DE49A3">
        <w:t xml:space="preserve"> </w:t>
      </w:r>
      <w:r>
        <w:t>culture was used by Gray (1988) to build a theory about the causes of accounting differences. In turn, researchers have tried, with limited success, to use this to produce classifications of countries by accounting similarities (</w:t>
      </w:r>
      <w:proofErr w:type="spellStart"/>
      <w:r>
        <w:t>Doupnik</w:t>
      </w:r>
      <w:proofErr w:type="spellEnd"/>
      <w:r>
        <w:t xml:space="preserve"> and Tsakoumis, 2004). There have been many criticisms of Hofstede’s data and even of his very idea (McSweeney, 2002; Baskerville, 2003). Nobes (1998) took a different tack by suggesting that culture is too vague to be used as an independent variable, and that researchers might better concentrate on specific fields of culture which might plausibly influence accounting, such as a country’s predominant approach to corporate financing.</w:t>
      </w:r>
    </w:p>
    <w:p w14:paraId="64842C47" w14:textId="77777777" w:rsidR="00672814" w:rsidRDefault="00672814" w:rsidP="00672814">
      <w:pPr>
        <w:ind w:firstLine="720"/>
      </w:pPr>
      <w:r>
        <w:t xml:space="preserve">Even if one were to accept a cultural variable as valid, its </w:t>
      </w:r>
      <w:r w:rsidRPr="00DE49A3">
        <w:rPr>
          <w:i/>
        </w:rPr>
        <w:t>measurement</w:t>
      </w:r>
      <w:r>
        <w:t xml:space="preserve"> can be vague. For example, Hofstede (1984, p.81) tells us wisely that “speaking of an ‘Asian’ or ‘Middle-Eastern’ type of management is not justified” because a range of cultures exists in those areas. However, Hofstede then does almost exactly that (p.85) by treating “Arab countries” as a bloc and “East Africa” as a bloc even though the latter includes some countries with UK influence and some without. By contrast, </w:t>
      </w:r>
      <w:r w:rsidR="00F879A0">
        <w:t xml:space="preserve">as mentioned above, </w:t>
      </w:r>
      <w:proofErr w:type="spellStart"/>
      <w:r>
        <w:t>Elad</w:t>
      </w:r>
      <w:proofErr w:type="spellEnd"/>
      <w:r>
        <w:t xml:space="preserve"> (2015) shows that most of the countries of Africa fall into two groups for accounting purposes, based on French and UK colonial influen</w:t>
      </w:r>
      <w:r w:rsidR="00064DEF">
        <w:t xml:space="preserve">ce. Thus, an “East Africa” bloc does </w:t>
      </w:r>
      <w:r w:rsidR="00064DEF">
        <w:lastRenderedPageBreak/>
        <w:t>not give a FR; it is based on geographical form, like the error relating to Denmark</w:t>
      </w:r>
      <w:r w:rsidR="007A73C8">
        <w:t xml:space="preserve"> in Section 4.2</w:t>
      </w:r>
      <w:r>
        <w:t>.</w:t>
      </w:r>
    </w:p>
    <w:p w14:paraId="3DA3974E" w14:textId="77777777" w:rsidR="004E65CC" w:rsidRDefault="002B7139" w:rsidP="004E65CC">
      <w:pPr>
        <w:ind w:firstLine="720"/>
        <w:rPr>
          <w:i/>
        </w:rPr>
      </w:pPr>
      <w:r>
        <w:rPr>
          <w:i/>
        </w:rPr>
        <w:t>4.8</w:t>
      </w:r>
      <w:r w:rsidR="004E65CC">
        <w:rPr>
          <w:i/>
        </w:rPr>
        <w:t xml:space="preserve"> Languages</w:t>
      </w:r>
    </w:p>
    <w:p w14:paraId="47F05A4F" w14:textId="74CFD03B" w:rsidR="004E65CC" w:rsidRDefault="004E65CC" w:rsidP="004E65CC">
      <w:r>
        <w:tab/>
        <w:t>Language classification can provide some insights into how to classify accounting systems. This is because, unlike chemical elements but like accounting systems, languages are constantly developing and influencing each other. In the first instance, languages are split into major families such as Indo-European and Turco-Tatar (e.g. Bloomfield, 1935).</w:t>
      </w:r>
    </w:p>
    <w:p w14:paraId="6AC573C5" w14:textId="35368881" w:rsidR="004E65CC" w:rsidRDefault="004E65CC" w:rsidP="004E65CC">
      <w:r>
        <w:tab/>
        <w:t xml:space="preserve">In general, accounting researchers have not suggested that language differences are a </w:t>
      </w:r>
      <w:r w:rsidRPr="00BF022A">
        <w:rPr>
          <w:i/>
        </w:rPr>
        <w:t>cause</w:t>
      </w:r>
      <w:r>
        <w:t xml:space="preserve"> of a</w:t>
      </w:r>
      <w:r w:rsidR="00BF022A">
        <w:t xml:space="preserve">ccounting differences. However, </w:t>
      </w:r>
      <w:r>
        <w:t>lack of familiarity with English might hinder the spread of US GAAP or international standards to certain countries. This type of factor was used to help to explain the set of companies which choose to have their annual reports translated into English (</w:t>
      </w:r>
      <w:proofErr w:type="spellStart"/>
      <w:r>
        <w:t>Jeanjean</w:t>
      </w:r>
      <w:proofErr w:type="spellEnd"/>
      <w:r>
        <w:t xml:space="preserve"> </w:t>
      </w:r>
      <w:r w:rsidRPr="0015736A">
        <w:rPr>
          <w:i/>
        </w:rPr>
        <w:t>et al.</w:t>
      </w:r>
      <w:r>
        <w:t>, 2010). The researchers hypothesised that language distance from English increases the cost and difficulty of translation, and thereby reduces the tendency to translate. As the independent variable for this, the researchers used a measure of language distanc</w:t>
      </w:r>
      <w:r w:rsidR="00672814">
        <w:t>e</w:t>
      </w:r>
      <w:r w:rsidR="003D0815">
        <w:t xml:space="preserve"> (from English)</w:t>
      </w:r>
      <w:r w:rsidR="00672814">
        <w:t>, as reproduced here in Table 9</w:t>
      </w:r>
      <w:r>
        <w:t xml:space="preserve">. </w:t>
      </w:r>
    </w:p>
    <w:p w14:paraId="33F73C10" w14:textId="77777777" w:rsidR="004E65CC" w:rsidRDefault="00BF022A" w:rsidP="004E65CC">
      <w:pPr>
        <w:ind w:firstLine="720"/>
      </w:pPr>
      <w:r>
        <w:t>I</w:t>
      </w:r>
      <w:r w:rsidR="004E65CC">
        <w:t xml:space="preserve">f the researchers had </w:t>
      </w:r>
      <w:r>
        <w:t>exercised professional scepticism, they would have realised that the information in the table fails the FR test. T</w:t>
      </w:r>
      <w:r w:rsidR="004E65CC">
        <w:t>he particular researchers have a good command of French and English and could not reasonably have concluded that French is further from English than Turkish is, or that French and Mandarin are at equal distances from English.</w:t>
      </w:r>
      <w:r w:rsidR="004E65CC" w:rsidRPr="00385B99">
        <w:t xml:space="preserve"> </w:t>
      </w:r>
      <w:r w:rsidR="004E65CC">
        <w:t xml:space="preserve">However, in pursuit of the virtue of objectivity, the </w:t>
      </w:r>
      <w:r w:rsidR="004E65CC">
        <w:lastRenderedPageBreak/>
        <w:t xml:space="preserve">researchers relied on experts in another field. Unfortunately, experts can be wrong, printers can make mistakes and computer programs can mangle data or </w:t>
      </w:r>
      <w:proofErr w:type="spellStart"/>
      <w:r w:rsidR="004E65CC">
        <w:t>mis</w:t>
      </w:r>
      <w:proofErr w:type="spellEnd"/>
      <w:r w:rsidR="004E65CC">
        <w:t xml:space="preserve">-align text. </w:t>
      </w:r>
    </w:p>
    <w:p w14:paraId="2EC7F014" w14:textId="77777777" w:rsidR="004E65CC" w:rsidRDefault="00672814" w:rsidP="004E65CC">
      <w:pPr>
        <w:ind w:firstLine="720"/>
      </w:pPr>
      <w:r>
        <w:t>In the case of Table 9</w:t>
      </w:r>
      <w:r w:rsidR="004E65CC">
        <w:t xml:space="preserve">, the problem stems from a typographical error in a non-accounting paper (Dow and </w:t>
      </w:r>
      <w:proofErr w:type="spellStart"/>
      <w:r w:rsidR="004E65CC">
        <w:t>Karunaratna</w:t>
      </w:r>
      <w:proofErr w:type="spellEnd"/>
      <w:r w:rsidR="004E65CC">
        <w:t>, 2006, Appendix B) which caused Germanic languag</w:t>
      </w:r>
      <w:r w:rsidR="006B53FA">
        <w:t>es (e.g. English) to appear</w:t>
      </w:r>
      <w:r w:rsidR="004E65CC">
        <w:t xml:space="preserve"> in the Altaic family (which includes Turkish and Mongolian) rather than in the Indo-European family (which includes Germanic and Italic). So, the </w:t>
      </w:r>
      <w:r>
        <w:t>scores of ‘2’ and ‘3’ in Table 9</w:t>
      </w:r>
      <w:r w:rsidR="004E65CC">
        <w:t xml:space="preserve"> are appropriate, but the four Italic/Romance languages should score ‘4’ not ‘5’, and Turkish should score ‘5’ not ‘4’. </w:t>
      </w:r>
    </w:p>
    <w:p w14:paraId="475206EE" w14:textId="4178EA2F" w:rsidR="004E65CC" w:rsidRPr="00733B2A" w:rsidRDefault="004E65CC" w:rsidP="004E65CC">
      <w:pPr>
        <w:ind w:firstLine="720"/>
      </w:pPr>
      <w:r>
        <w:t>Even after correcting the data</w:t>
      </w:r>
      <w:r w:rsidR="0004755A">
        <w:t xml:space="preserve"> (see the numbers in square brackets in Table 9)</w:t>
      </w:r>
      <w:r>
        <w:t xml:space="preserve">, we should exercise a second round of professional scepticism: is English twice </w:t>
      </w:r>
      <w:proofErr w:type="gramStart"/>
      <w:r>
        <w:t>as expensive to translate for a Bolognese than</w:t>
      </w:r>
      <w:proofErr w:type="gramEnd"/>
      <w:r>
        <w:t xml:space="preserve"> for a Frankfurter, and is English only 25% more difficult for a Mandarin than</w:t>
      </w:r>
      <w:r w:rsidRPr="00F8015D">
        <w:t xml:space="preserve"> </w:t>
      </w:r>
      <w:r>
        <w:t>for a Florentine?</w:t>
      </w:r>
    </w:p>
    <w:p w14:paraId="30E0C63B" w14:textId="77777777" w:rsidR="004F6B79" w:rsidRDefault="003363DF" w:rsidP="003363DF">
      <w:pPr>
        <w:ind w:firstLine="720"/>
        <w:rPr>
          <w:b/>
        </w:rPr>
      </w:pPr>
      <w:r w:rsidRPr="003363DF">
        <w:rPr>
          <w:b/>
        </w:rPr>
        <w:t xml:space="preserve">5.  </w:t>
      </w:r>
      <w:r>
        <w:rPr>
          <w:b/>
        </w:rPr>
        <w:t>Conclusions and implications for researchers</w:t>
      </w:r>
    </w:p>
    <w:p w14:paraId="3A21A33F" w14:textId="63745880" w:rsidR="00767254" w:rsidRDefault="00046408" w:rsidP="00767254">
      <w:pPr>
        <w:ind w:firstLine="720"/>
        <w:rPr>
          <w:i/>
        </w:rPr>
      </w:pPr>
      <w:proofErr w:type="gramStart"/>
      <w:r>
        <w:rPr>
          <w:i/>
        </w:rPr>
        <w:t>5.1</w:t>
      </w:r>
      <w:r w:rsidR="00767254">
        <w:rPr>
          <w:i/>
        </w:rPr>
        <w:t xml:space="preserve"> </w:t>
      </w:r>
      <w:r w:rsidR="00767254" w:rsidRPr="00FE6881">
        <w:rPr>
          <w:i/>
        </w:rPr>
        <w:t xml:space="preserve"> </w:t>
      </w:r>
      <w:r w:rsidR="00767254">
        <w:rPr>
          <w:i/>
        </w:rPr>
        <w:t>Causes</w:t>
      </w:r>
      <w:proofErr w:type="gramEnd"/>
      <w:r w:rsidR="00767254">
        <w:rPr>
          <w:i/>
        </w:rPr>
        <w:t xml:space="preserve"> of misclassification</w:t>
      </w:r>
    </w:p>
    <w:p w14:paraId="37806B40" w14:textId="01740417" w:rsidR="00F879A0" w:rsidRDefault="000049E9" w:rsidP="00046408">
      <w:pPr>
        <w:ind w:firstLine="720"/>
      </w:pPr>
      <w:r>
        <w:t>Accounting classifier</w:t>
      </w:r>
      <w:r w:rsidR="00065CC1">
        <w:t>s cannot reasonably aspire to the clarity and usefulness achieved by Mendeleev</w:t>
      </w:r>
      <w:r w:rsidR="00F879A0">
        <w:t xml:space="preserve"> for chemistry</w:t>
      </w:r>
      <w:r w:rsidR="00065CC1">
        <w:t xml:space="preserve">. However, we should be alert to poor classification. </w:t>
      </w:r>
      <w:r w:rsidR="00046408">
        <w:t>One way of analysing the quality of c</w:t>
      </w:r>
      <w:r w:rsidR="00F879A0">
        <w:t>lassifications (and perhaps any type</w:t>
      </w:r>
      <w:r w:rsidR="00046408">
        <w:t xml:space="preserve"> of information) is to apply the characteristics proposed for good accounting information in the IASB’s conceptual f</w:t>
      </w:r>
      <w:r w:rsidR="00F879A0">
        <w:t xml:space="preserve">ramework. First, the data (and the resulting classification) </w:t>
      </w:r>
      <w:r w:rsidR="00046408">
        <w:t xml:space="preserve">should be true by being in accordance with the facts and being without material error. However, that is only the start; the </w:t>
      </w:r>
      <w:r w:rsidR="00F879A0">
        <w:t xml:space="preserve">data and </w:t>
      </w:r>
      <w:r w:rsidR="00046408">
        <w:t>classification should also not be mi</w:t>
      </w:r>
      <w:r w:rsidR="00F879A0">
        <w:t>sleading, which includes that they</w:t>
      </w:r>
      <w:r w:rsidR="00046408">
        <w:t xml:space="preserve"> should concentrate on substance rather than form. </w:t>
      </w:r>
      <w:r w:rsidR="00F879A0">
        <w:t xml:space="preserve">If all these </w:t>
      </w:r>
      <w:r w:rsidR="00F879A0">
        <w:lastRenderedPageBreak/>
        <w:t>qualities exist, a classification</w:t>
      </w:r>
      <w:r w:rsidR="00046408">
        <w:t xml:space="preserve"> can give a fai</w:t>
      </w:r>
      <w:r w:rsidR="00860BD3">
        <w:t>thful</w:t>
      </w:r>
      <w:r w:rsidR="00046408">
        <w:t xml:space="preserve"> </w:t>
      </w:r>
      <w:r w:rsidR="00860BD3">
        <w:t>re</w:t>
      </w:r>
      <w:r w:rsidR="00046408">
        <w:t>presentat</w:t>
      </w:r>
      <w:r w:rsidR="00F879A0">
        <w:t>ion. Even then, it</w:t>
      </w:r>
      <w:r w:rsidR="00046408">
        <w:t xml:space="preserve"> might not be relevant for its purpose or for any lik</w:t>
      </w:r>
      <w:r w:rsidR="004E178A">
        <w:t xml:space="preserve">ely purpose. </w:t>
      </w:r>
    </w:p>
    <w:p w14:paraId="549F350A" w14:textId="4237BC05" w:rsidR="00CB312E" w:rsidRDefault="004E178A" w:rsidP="00F879A0">
      <w:pPr>
        <w:ind w:firstLine="720"/>
      </w:pPr>
      <w:r>
        <w:t>Using this method</w:t>
      </w:r>
      <w:r w:rsidR="00046408">
        <w:t>, Section 3 analysed several imperfect classifications in non-accounting</w:t>
      </w:r>
      <w:r w:rsidR="008E2944">
        <w:t xml:space="preserve"> fields</w:t>
      </w:r>
      <w:r w:rsidR="00046408">
        <w:t>.</w:t>
      </w:r>
      <w:r w:rsidR="00F879A0">
        <w:t xml:space="preserve"> </w:t>
      </w:r>
      <w:r w:rsidR="001134E5">
        <w:t xml:space="preserve">Classifications that were not true included </w:t>
      </w:r>
      <w:r w:rsidR="00BF022A">
        <w:t>showing man as not an animal</w:t>
      </w:r>
      <w:r w:rsidR="00C92EE7">
        <w:t>, and</w:t>
      </w:r>
      <w:r w:rsidR="00BF022A">
        <w:t xml:space="preserve"> showing </w:t>
      </w:r>
      <w:r w:rsidR="001134E5">
        <w:t>the</w:t>
      </w:r>
      <w:r w:rsidR="00BF022A">
        <w:t xml:space="preserve"> Sun </w:t>
      </w:r>
      <w:r w:rsidR="001134E5">
        <w:t>as a planet</w:t>
      </w:r>
      <w:r w:rsidR="00C92EE7">
        <w:t xml:space="preserve"> but</w:t>
      </w:r>
      <w:r w:rsidR="00BF022A">
        <w:t xml:space="preserve"> the Earth as not one</w:t>
      </w:r>
      <w:r w:rsidR="001B62E9">
        <w:t>.</w:t>
      </w:r>
      <w:r w:rsidR="006B0B20">
        <w:t xml:space="preserve"> </w:t>
      </w:r>
      <w:r w:rsidR="00D916D9">
        <w:t xml:space="preserve">In </w:t>
      </w:r>
      <w:r w:rsidR="006B53FA">
        <w:t>Section 4,</w:t>
      </w:r>
      <w:r w:rsidR="00D916D9">
        <w:t xml:space="preserve"> untrue</w:t>
      </w:r>
      <w:r w:rsidR="008E2944" w:rsidRPr="008E2944">
        <w:t xml:space="preserve"> </w:t>
      </w:r>
      <w:r w:rsidR="008E2944">
        <w:t xml:space="preserve">accounting </w:t>
      </w:r>
      <w:r w:rsidR="00D916D9">
        <w:t>classifications include</w:t>
      </w:r>
      <w:r w:rsidR="001134E5">
        <w:t>d</w:t>
      </w:r>
      <w:r w:rsidR="00D916D9">
        <w:t xml:space="preserve"> </w:t>
      </w:r>
      <w:r w:rsidR="00C92EE7">
        <w:t xml:space="preserve">depicting </w:t>
      </w:r>
      <w:r w:rsidR="006B0B20">
        <w:t xml:space="preserve">Australian accounting as unrelated to </w:t>
      </w:r>
      <w:r w:rsidR="009F1B4B">
        <w:t xml:space="preserve">accounting in the </w:t>
      </w:r>
      <w:r w:rsidR="0012341D">
        <w:t xml:space="preserve">UK </w:t>
      </w:r>
      <w:r w:rsidR="009F1B4B">
        <w:t>or the US</w:t>
      </w:r>
      <w:r w:rsidR="0012341D">
        <w:t>,</w:t>
      </w:r>
      <w:r w:rsidR="001B62E9">
        <w:t xml:space="preserve"> </w:t>
      </w:r>
      <w:r w:rsidR="00C92EE7">
        <w:t xml:space="preserve">depicting Portuguese private firms </w:t>
      </w:r>
      <w:r w:rsidR="00C31231">
        <w:t xml:space="preserve">as </w:t>
      </w:r>
      <w:r w:rsidR="00232527">
        <w:t>great adopter</w:t>
      </w:r>
      <w:r w:rsidR="00C31231">
        <w:t xml:space="preserve">s of IAS </w:t>
      </w:r>
      <w:r w:rsidR="00F426A3">
        <w:t>by</w:t>
      </w:r>
      <w:r w:rsidR="001B62E9">
        <w:t xml:space="preserve"> 2000</w:t>
      </w:r>
      <w:r w:rsidR="00CB312E">
        <w:t xml:space="preserve">, and classing Switzerland as </w:t>
      </w:r>
      <w:r w:rsidR="000F37E8">
        <w:t xml:space="preserve">mandatorily </w:t>
      </w:r>
      <w:r w:rsidR="00CB312E">
        <w:t>adopting IFRS</w:t>
      </w:r>
      <w:r w:rsidR="001B62E9">
        <w:t xml:space="preserve">. The main cause of these untrue </w:t>
      </w:r>
      <w:r w:rsidR="006B0B20">
        <w:t>classification</w:t>
      </w:r>
      <w:r w:rsidR="001B62E9">
        <w:t xml:space="preserve">s </w:t>
      </w:r>
      <w:r w:rsidR="00D916D9">
        <w:t xml:space="preserve">was </w:t>
      </w:r>
      <w:r w:rsidR="006B0B20">
        <w:t>bad data.</w:t>
      </w:r>
      <w:r w:rsidR="00D916D9" w:rsidRPr="00D916D9">
        <w:t xml:space="preserve"> </w:t>
      </w:r>
    </w:p>
    <w:p w14:paraId="7AC2A2B6" w14:textId="755E10F4" w:rsidR="006B0B20" w:rsidRDefault="001856E4" w:rsidP="00F879A0">
      <w:pPr>
        <w:ind w:firstLine="720"/>
      </w:pPr>
      <w:r>
        <w:t>Section 4 also discussed the use</w:t>
      </w:r>
      <w:r w:rsidR="0004755A">
        <w:t>,</w:t>
      </w:r>
      <w:r>
        <w:t xml:space="preserve"> by accounting researchers</w:t>
      </w:r>
      <w:r w:rsidR="0004755A">
        <w:t>,</w:t>
      </w:r>
      <w:r>
        <w:t xml:space="preserve"> of classifications </w:t>
      </w:r>
      <w:r w:rsidR="0004755A">
        <w:t>dealing with</w:t>
      </w:r>
      <w:r>
        <w:t xml:space="preserve"> law, tax, culture or languages as independent variables for examining various issues. Examples were given of classifications containing simple errors made by the researchers (e.g. Argentina shown as having common law) or made</w:t>
      </w:r>
      <w:r w:rsidR="000A35E6">
        <w:t xml:space="preserve"> by prior authors upon whom the accounting researchers</w:t>
      </w:r>
      <w:r>
        <w:t xml:space="preserve"> relied for data (e.g.</w:t>
      </w:r>
      <w:r w:rsidRPr="001134E5">
        <w:t xml:space="preserve"> </w:t>
      </w:r>
      <w:r>
        <w:t xml:space="preserve">the English language shown as more difficult for French persons than for Turks). There were also more complicated cases of implausibility, such as enforcement in </w:t>
      </w:r>
      <w:r w:rsidR="00C232C5">
        <w:t>Zimbabwe</w:t>
      </w:r>
      <w:r>
        <w:t xml:space="preserve"> being infinitely better than that in Jap</w:t>
      </w:r>
      <w:r w:rsidR="00A2766A">
        <w:t>an</w:t>
      </w:r>
      <w:r>
        <w:t xml:space="preserve">. </w:t>
      </w:r>
    </w:p>
    <w:p w14:paraId="17E91768" w14:textId="5382804F" w:rsidR="00F66130" w:rsidRDefault="008E2944" w:rsidP="00950846">
      <w:pPr>
        <w:ind w:firstLine="720"/>
      </w:pPr>
      <w:r>
        <w:t xml:space="preserve">Table 10 </w:t>
      </w:r>
      <w:r w:rsidR="0004755A">
        <w:t xml:space="preserve">summarises this, </w:t>
      </w:r>
      <w:r>
        <w:t>show</w:t>
      </w:r>
      <w:r w:rsidR="0004755A">
        <w:t>ing</w:t>
      </w:r>
      <w:r>
        <w:t xml:space="preserve"> the</w:t>
      </w:r>
      <w:r w:rsidR="00EF0EE2">
        <w:t xml:space="preserve"> untrue classifications in its left-hand column. </w:t>
      </w:r>
      <w:r>
        <w:t xml:space="preserve">The next column in the table records the classifications which do not give a FR because they </w:t>
      </w:r>
      <w:r w:rsidR="000A35E6">
        <w:t xml:space="preserve">rely on data which </w:t>
      </w:r>
      <w:r>
        <w:t>are unfair or misleading even if true in a limited sense. These include classing</w:t>
      </w:r>
      <w:r w:rsidR="000C11D6">
        <w:t xml:space="preserve"> </w:t>
      </w:r>
      <w:proofErr w:type="gramStart"/>
      <w:r w:rsidR="000C11D6" w:rsidRPr="000C11D6">
        <w:rPr>
          <w:i/>
        </w:rPr>
        <w:t>homo</w:t>
      </w:r>
      <w:proofErr w:type="gramEnd"/>
      <w:r w:rsidR="000C11D6" w:rsidRPr="000C11D6">
        <w:rPr>
          <w:i/>
        </w:rPr>
        <w:t xml:space="preserve"> sapiens</w:t>
      </w:r>
      <w:r>
        <w:t xml:space="preserve"> </w:t>
      </w:r>
      <w:r w:rsidR="00C054BE">
        <w:t>as a featherless biped</w:t>
      </w:r>
      <w:r>
        <w:t xml:space="preserve"> and grouping </w:t>
      </w:r>
      <w:r w:rsidR="00F66130">
        <w:t xml:space="preserve">chemicals based on whether they are liquids. These classifications concentrate on </w:t>
      </w:r>
      <w:r w:rsidR="00976E0F">
        <w:t xml:space="preserve">superficial </w:t>
      </w:r>
      <w:r w:rsidR="00F66130">
        <w:t xml:space="preserve">form rather than </w:t>
      </w:r>
      <w:r w:rsidR="000A35E6">
        <w:t xml:space="preserve">on </w:t>
      </w:r>
      <w:r w:rsidR="00F66130">
        <w:t>substance. Perhaps it could be argued th</w:t>
      </w:r>
      <w:r w:rsidR="00950846">
        <w:t xml:space="preserve">at, in a very narrow sense, the </w:t>
      </w:r>
      <w:r w:rsidR="00950846">
        <w:lastRenderedPageBreak/>
        <w:t>classifications</w:t>
      </w:r>
      <w:r w:rsidR="00F66130">
        <w:t xml:space="preserve"> represent what they</w:t>
      </w:r>
      <w:r w:rsidR="00976E0F">
        <w:t xml:space="preserve"> pu</w:t>
      </w:r>
      <w:r w:rsidR="00950846">
        <w:t xml:space="preserve">rport to represent, but </w:t>
      </w:r>
      <w:r w:rsidR="00976E0F">
        <w:t>they are misleading, and they would also fail at the next level: relevance.</w:t>
      </w:r>
      <w:r w:rsidR="00950846" w:rsidRPr="00950846">
        <w:t xml:space="preserve"> </w:t>
      </w:r>
    </w:p>
    <w:p w14:paraId="6433AAD9" w14:textId="6F34E50E" w:rsidR="00976E0F" w:rsidRDefault="00F66130" w:rsidP="00CB312E">
      <w:pPr>
        <w:ind w:firstLine="720"/>
      </w:pPr>
      <w:r>
        <w:t xml:space="preserve">Turning to </w:t>
      </w:r>
      <w:r w:rsidR="000A35E6" w:rsidRPr="00261F26">
        <w:rPr>
          <w:i/>
        </w:rPr>
        <w:t xml:space="preserve">accounting </w:t>
      </w:r>
      <w:r w:rsidR="000A35E6">
        <w:t>classifications based on unfair data</w:t>
      </w:r>
      <w:r>
        <w:t xml:space="preserve">, </w:t>
      </w:r>
      <w:r w:rsidR="006B5534">
        <w:t>classifying Denmark</w:t>
      </w:r>
      <w:r w:rsidR="007A73C8">
        <w:t>’s accounting</w:t>
      </w:r>
      <w:r w:rsidR="000A35E6">
        <w:t xml:space="preserve"> by referring to </w:t>
      </w:r>
      <w:r w:rsidR="006B5534">
        <w:t>geography was based on form over substance</w:t>
      </w:r>
      <w:r w:rsidR="007A73C8">
        <w:t>. The same applies to treating East Africa as a single bloc</w:t>
      </w:r>
      <w:r w:rsidR="007A73C8" w:rsidRPr="007A73C8">
        <w:t xml:space="preserve"> </w:t>
      </w:r>
      <w:r w:rsidR="007A73C8">
        <w:t>when using culture as an independent variable</w:t>
      </w:r>
      <w:r w:rsidR="006B5534">
        <w:t>. T</w:t>
      </w:r>
      <w:r w:rsidR="00A91CCB">
        <w:t xml:space="preserve">he </w:t>
      </w:r>
      <w:r w:rsidR="00066B9C">
        <w:t>US/England</w:t>
      </w:r>
      <w:r w:rsidR="00C31231">
        <w:t xml:space="preserve">/other </w:t>
      </w:r>
      <w:r w:rsidR="00F87B65">
        <w:t xml:space="preserve">accounting </w:t>
      </w:r>
      <w:r w:rsidR="00232527">
        <w:t>cla</w:t>
      </w:r>
      <w:r w:rsidR="000C11D6">
        <w:t>ssification did not give a FR, and nor did</w:t>
      </w:r>
      <w:r w:rsidR="00F426A3">
        <w:t xml:space="preserve"> the two-country classifications showing the US and UK as different</w:t>
      </w:r>
      <w:r w:rsidR="00E07023">
        <w:t>.</w:t>
      </w:r>
      <w:r w:rsidR="00F426A3" w:rsidRPr="00F426A3">
        <w:t xml:space="preserve"> </w:t>
      </w:r>
      <w:r w:rsidR="00C92EE7">
        <w:t xml:space="preserve">This was because they focused on UK/US differences rather than </w:t>
      </w:r>
      <w:r w:rsidR="0004755A">
        <w:t xml:space="preserve">on </w:t>
      </w:r>
      <w:r w:rsidR="00C92EE7">
        <w:t xml:space="preserve">similarities. </w:t>
      </w:r>
      <w:r w:rsidR="00F426A3">
        <w:t>I suggest that</w:t>
      </w:r>
      <w:r w:rsidR="00C92EE7">
        <w:t xml:space="preserve"> all</w:t>
      </w:r>
      <w:r w:rsidR="00F426A3">
        <w:t xml:space="preserve"> the classifications base</w:t>
      </w:r>
      <w:r w:rsidR="000C11D6">
        <w:t xml:space="preserve">d on PW data are also misleading, including the one </w:t>
      </w:r>
      <w:r w:rsidR="00F426A3">
        <w:t xml:space="preserve">showing the US and the UK as the </w:t>
      </w:r>
      <w:r w:rsidR="00C92EE7">
        <w:t xml:space="preserve">two </w:t>
      </w:r>
      <w:r w:rsidR="00F426A3">
        <w:t>most different cou</w:t>
      </w:r>
      <w:r w:rsidR="000C11D6">
        <w:t>ntries in the world, and that showing Jersey as the leader of a</w:t>
      </w:r>
      <w:r w:rsidR="00F426A3">
        <w:t xml:space="preserve"> group. The cause of the misclassification</w:t>
      </w:r>
      <w:r w:rsidR="009F1B4B">
        <w:t>s</w:t>
      </w:r>
      <w:r w:rsidR="00F426A3">
        <w:t xml:space="preserve"> in these </w:t>
      </w:r>
      <w:r w:rsidR="000C11D6">
        <w:t xml:space="preserve">PW </w:t>
      </w:r>
      <w:r w:rsidR="00F426A3">
        <w:t xml:space="preserve">cases </w:t>
      </w:r>
      <w:r w:rsidR="00C11C35">
        <w:t>is</w:t>
      </w:r>
      <w:r w:rsidR="000C11D6">
        <w:t xml:space="preserve"> subtle: although the </w:t>
      </w:r>
      <w:r w:rsidR="00F426A3">
        <w:t>data were untrue to some extent, the main problem was that the relatively few important issues that were included were sw</w:t>
      </w:r>
      <w:r w:rsidR="00C11C35">
        <w:t>amped by trivial ones. In all the cases in this</w:t>
      </w:r>
      <w:r w:rsidR="001856E4">
        <w:t xml:space="preserve"> paragraph</w:t>
      </w:r>
      <w:r w:rsidR="00F426A3">
        <w:t>, the data did not concentrate on substance</w:t>
      </w:r>
      <w:r w:rsidR="006B0694">
        <w:t>; they were inappropriate even where they were accurate</w:t>
      </w:r>
      <w:r w:rsidR="00F426A3">
        <w:t>.</w:t>
      </w:r>
      <w:r w:rsidR="00CB312E" w:rsidRPr="00CB312E">
        <w:t xml:space="preserve"> </w:t>
      </w:r>
    </w:p>
    <w:p w14:paraId="2D2E3E45" w14:textId="77777777" w:rsidR="001B62E9" w:rsidRDefault="006B5534" w:rsidP="00CB312E">
      <w:pPr>
        <w:ind w:firstLine="720"/>
      </w:pPr>
      <w:r>
        <w:t>It wo</w:t>
      </w:r>
      <w:r w:rsidR="00607B14">
        <w:t xml:space="preserve">uld be possible to look at this </w:t>
      </w:r>
      <w:r w:rsidR="007A73C8">
        <w:t xml:space="preserve">another way: </w:t>
      </w:r>
      <w:r w:rsidR="00607B14">
        <w:t xml:space="preserve">because </w:t>
      </w:r>
      <w:r>
        <w:t>the classifications in the previous paragraph are based</w:t>
      </w:r>
      <w:r w:rsidR="00607B14">
        <w:t xml:space="preserve"> on data which are misleading even though arguably</w:t>
      </w:r>
      <w:r>
        <w:t xml:space="preserve"> true</w:t>
      </w:r>
      <w:r w:rsidR="007D4095">
        <w:t>, t</w:t>
      </w:r>
      <w:r w:rsidR="00607B14">
        <w:t>he resulting classifications have become</w:t>
      </w:r>
      <w:r w:rsidR="007D4095">
        <w:t xml:space="preserve"> </w:t>
      </w:r>
      <w:r w:rsidR="00BC4084">
        <w:t xml:space="preserve">not just misleading but </w:t>
      </w:r>
      <w:r w:rsidR="00607B14">
        <w:t xml:space="preserve">also </w:t>
      </w:r>
      <w:r w:rsidR="007D4095">
        <w:t xml:space="preserve">untrue. Either way, they fail the FR test. Similarly, </w:t>
      </w:r>
      <w:r w:rsidR="00CB312E">
        <w:t>German accounting shown as havin</w:t>
      </w:r>
      <w:r w:rsidR="00976E0F">
        <w:t>g great disconnection from tax in 1992 to 2005 is flawed in a complex way. It might be said to be untrue as a statement about accounting under German GAAP</w:t>
      </w:r>
      <w:r>
        <w:t>. As part of a classification of group accounting by listed companies, Germany’s position in Table 8 is, at best, misleading.</w:t>
      </w:r>
      <w:r w:rsidR="00EF0EE2">
        <w:t xml:space="preserve"> </w:t>
      </w:r>
    </w:p>
    <w:p w14:paraId="6217A512" w14:textId="77777777" w:rsidR="007D4095" w:rsidRDefault="00A31507" w:rsidP="007D4095">
      <w:pPr>
        <w:ind w:firstLine="720"/>
      </w:pPr>
      <w:r>
        <w:lastRenderedPageBreak/>
        <w:t>Some classifications</w:t>
      </w:r>
      <w:r w:rsidR="00950846">
        <w:t xml:space="preserve"> are, for various reasons</w:t>
      </w:r>
      <w:r w:rsidR="00C31231">
        <w:t>,</w:t>
      </w:r>
      <w:r w:rsidR="00CB312E" w:rsidRPr="00CB312E">
        <w:t xml:space="preserve"> </w:t>
      </w:r>
      <w:r w:rsidR="00950846">
        <w:t>not useful. These are shown on the right of Table 10. Continuing to class Pluto as a planet would have implied the inclusion of a large number of other rocks. A</w:t>
      </w:r>
      <w:r w:rsidR="00C31231">
        <w:t>rrang</w:t>
      </w:r>
      <w:r w:rsidR="00607B14">
        <w:t>ing library books by colour</w:t>
      </w:r>
      <w:r>
        <w:t xml:space="preserve"> </w:t>
      </w:r>
      <w:r w:rsidR="00C92EE7">
        <w:t xml:space="preserve">may </w:t>
      </w:r>
      <w:r>
        <w:t xml:space="preserve">give a faithful representation </w:t>
      </w:r>
      <w:r w:rsidR="00950846">
        <w:t>but is</w:t>
      </w:r>
      <w:r w:rsidR="00C31231">
        <w:t xml:space="preserve"> of little relevance for </w:t>
      </w:r>
      <w:r>
        <w:t>practical purposes. If the classification by d’Arcy (2001) had not been untrue because it was b</w:t>
      </w:r>
      <w:r w:rsidR="00607B14">
        <w:t>ased on poor data, it could have</w:t>
      </w:r>
      <w:r>
        <w:t xml:space="preserve"> been listed here</w:t>
      </w:r>
      <w:r w:rsidRPr="005A22FE">
        <w:t xml:space="preserve"> </w:t>
      </w:r>
      <w:r>
        <w:t xml:space="preserve">instead. That is, the classification was not based on accounting practices but on accounting </w:t>
      </w:r>
      <w:r w:rsidRPr="00A54632">
        <w:rPr>
          <w:i/>
        </w:rPr>
        <w:t>rules</w:t>
      </w:r>
      <w:r>
        <w:t xml:space="preserve">, which are of limited relevance for many purposes. </w:t>
      </w:r>
      <w:r w:rsidR="007D4095">
        <w:t>The same caveat applies to work based on the GAAP (2001) data.</w:t>
      </w:r>
    </w:p>
    <w:p w14:paraId="402492BC" w14:textId="5B4430BD" w:rsidR="001134E5" w:rsidRDefault="0004755A" w:rsidP="007D4095">
      <w:pPr>
        <w:ind w:firstLine="720"/>
      </w:pPr>
      <w:r>
        <w:t>M</w:t>
      </w:r>
      <w:r w:rsidR="00A31507">
        <w:t xml:space="preserve">any classifiers of </w:t>
      </w:r>
      <w:r w:rsidR="00195F1B">
        <w:t xml:space="preserve">accounting </w:t>
      </w:r>
      <w:r w:rsidR="00A31507">
        <w:t xml:space="preserve">systems </w:t>
      </w:r>
      <w:r w:rsidR="00195F1B">
        <w:t xml:space="preserve">have </w:t>
      </w:r>
      <w:r>
        <w:t xml:space="preserve">started their work even further away from accounting practices: they have </w:t>
      </w:r>
      <w:r w:rsidR="00195F1B">
        <w:t>used e</w:t>
      </w:r>
      <w:r w:rsidR="007A73C8">
        <w:t>xtrinsic variables (e.g. legal system</w:t>
      </w:r>
      <w:r w:rsidR="00195F1B">
        <w:t xml:space="preserve">) rather than </w:t>
      </w:r>
      <w:r w:rsidR="00232527">
        <w:t xml:space="preserve">directly </w:t>
      </w:r>
      <w:r w:rsidR="00195F1B">
        <w:t xml:space="preserve">measuring </w:t>
      </w:r>
      <w:r w:rsidR="00232527">
        <w:t xml:space="preserve">the </w:t>
      </w:r>
      <w:r w:rsidR="00195F1B">
        <w:t>at</w:t>
      </w:r>
      <w:r w:rsidR="00D916D9">
        <w:t xml:space="preserve">tributes of the objects being classified. </w:t>
      </w:r>
      <w:r w:rsidR="00DD0D17">
        <w:t>One motivation for doing this is to try to explain the causes of international similarities and differences in accounting. However, s</w:t>
      </w:r>
      <w:r w:rsidR="00195F1B">
        <w:t xml:space="preserve">ome </w:t>
      </w:r>
      <w:r w:rsidR="00FD1727">
        <w:t xml:space="preserve">of the extrinsic variables </w:t>
      </w:r>
      <w:r w:rsidR="00A54632">
        <w:t>have not been close enough</w:t>
      </w:r>
      <w:r w:rsidR="00FD1727">
        <w:t xml:space="preserve"> to accounting</w:t>
      </w:r>
      <w:r w:rsidR="00D916D9">
        <w:t>.</w:t>
      </w:r>
      <w:r w:rsidR="00195F1B">
        <w:t xml:space="preserve"> Law is closer to accounting than culture</w:t>
      </w:r>
      <w:r w:rsidR="00D916D9">
        <w:t xml:space="preserve"> is</w:t>
      </w:r>
      <w:r w:rsidR="00195F1B">
        <w:t>; and company law</w:t>
      </w:r>
      <w:r w:rsidR="00A54632">
        <w:t xml:space="preserve"> is closer than law in general. </w:t>
      </w:r>
      <w:r w:rsidR="00607B14">
        <w:t xml:space="preserve">The classification of Malta as code law is true but </w:t>
      </w:r>
      <w:r w:rsidR="009F1B4B">
        <w:t xml:space="preserve">is </w:t>
      </w:r>
      <w:r w:rsidR="00607B14">
        <w:t xml:space="preserve">not the relevant point for accounting. </w:t>
      </w:r>
      <w:r w:rsidR="007D4095">
        <w:t xml:space="preserve">As a final example of the doubtful relevance of some classification data, even when </w:t>
      </w:r>
      <w:r w:rsidR="00CB312E">
        <w:t>the languag</w:t>
      </w:r>
      <w:r w:rsidR="007D4095">
        <w:t>e-distance data have been corrected, do they really tell us that it is</w:t>
      </w:r>
      <w:r w:rsidR="00CB312E">
        <w:t xml:space="preserve"> twice as expensive to translate from French to English as from German to English</w:t>
      </w:r>
      <w:r w:rsidR="007D4095">
        <w:t>?</w:t>
      </w:r>
    </w:p>
    <w:p w14:paraId="561DFF0D" w14:textId="77777777" w:rsidR="00767254" w:rsidRDefault="000627CD" w:rsidP="00767254">
      <w:pPr>
        <w:ind w:firstLine="720"/>
        <w:rPr>
          <w:i/>
        </w:rPr>
      </w:pPr>
      <w:proofErr w:type="gramStart"/>
      <w:r>
        <w:rPr>
          <w:i/>
        </w:rPr>
        <w:t>5.2</w:t>
      </w:r>
      <w:r w:rsidR="00767254">
        <w:rPr>
          <w:i/>
        </w:rPr>
        <w:t xml:space="preserve">  Implications</w:t>
      </w:r>
      <w:proofErr w:type="gramEnd"/>
    </w:p>
    <w:p w14:paraId="57CE7DDF" w14:textId="77777777" w:rsidR="006B0694" w:rsidRDefault="008E0F74" w:rsidP="006B0694">
      <w:pPr>
        <w:ind w:firstLine="720"/>
      </w:pPr>
      <w:r>
        <w:t>For accounting researchers, the implicat</w:t>
      </w:r>
      <w:r w:rsidR="005A22FE">
        <w:t xml:space="preserve">ions of the above are several. </w:t>
      </w:r>
      <w:r>
        <w:t>F</w:t>
      </w:r>
      <w:r w:rsidR="00ED72B7">
        <w:t xml:space="preserve">irst, we need to </w:t>
      </w:r>
      <w:r>
        <w:t xml:space="preserve">apply professional scepticism to </w:t>
      </w:r>
      <w:r w:rsidRPr="005A22FE">
        <w:rPr>
          <w:i/>
        </w:rPr>
        <w:t>data</w:t>
      </w:r>
      <w:r w:rsidR="000627CD">
        <w:t xml:space="preserve">. </w:t>
      </w:r>
      <w:r>
        <w:t>This includes</w:t>
      </w:r>
      <w:r w:rsidR="00232527">
        <w:t xml:space="preserve"> asking whether the</w:t>
      </w:r>
      <w:r>
        <w:t xml:space="preserve"> </w:t>
      </w:r>
      <w:r w:rsidRPr="005A22FE">
        <w:t xml:space="preserve">data </w:t>
      </w:r>
      <w:r>
        <w:t xml:space="preserve">are true and </w:t>
      </w:r>
      <w:r w:rsidR="000627CD">
        <w:t xml:space="preserve">whether they </w:t>
      </w:r>
      <w:r>
        <w:t xml:space="preserve">reflect </w:t>
      </w:r>
      <w:r w:rsidR="000627CD">
        <w:t>substance</w:t>
      </w:r>
      <w:r w:rsidR="005A22FE">
        <w:t xml:space="preserve">. </w:t>
      </w:r>
      <w:r>
        <w:t>It is important to try to put some distance between ourselve</w:t>
      </w:r>
      <w:r w:rsidR="005A22FE">
        <w:t xml:space="preserve">s and the objects of research. </w:t>
      </w:r>
      <w:r w:rsidR="00B24A7A">
        <w:t xml:space="preserve">However, </w:t>
      </w:r>
      <w:r w:rsidR="00E07023">
        <w:t xml:space="preserve">objectivity cannot </w:t>
      </w:r>
      <w:r w:rsidR="001548D6">
        <w:t xml:space="preserve">be reliably </w:t>
      </w:r>
      <w:r w:rsidR="001548D6">
        <w:lastRenderedPageBreak/>
        <w:t xml:space="preserve">achieved by trusting a </w:t>
      </w:r>
      <w:r w:rsidR="00E07023">
        <w:t>previous researcher</w:t>
      </w:r>
      <w:r w:rsidR="001548D6">
        <w:t>’</w:t>
      </w:r>
      <w:r w:rsidR="00E07023">
        <w:t xml:space="preserve">s </w:t>
      </w:r>
      <w:r w:rsidR="00755881">
        <w:t>subject</w:t>
      </w:r>
      <w:r w:rsidR="00E07023">
        <w:t>ivity</w:t>
      </w:r>
      <w:r w:rsidR="001548D6">
        <w:t xml:space="preserve">. Furthermore, </w:t>
      </w:r>
      <w:r w:rsidR="00755881">
        <w:t>the data of others might simply be wrong. T</w:t>
      </w:r>
      <w:r w:rsidR="001E238E">
        <w:t xml:space="preserve">his paper </w:t>
      </w:r>
      <w:r w:rsidR="00B24A7A">
        <w:t>has provided</w:t>
      </w:r>
      <w:r w:rsidR="001E238E">
        <w:t xml:space="preserve"> further evidence of the dangers referred to by </w:t>
      </w:r>
      <w:proofErr w:type="spellStart"/>
      <w:r w:rsidR="001E238E">
        <w:t>Zeff</w:t>
      </w:r>
      <w:proofErr w:type="spellEnd"/>
      <w:r w:rsidR="001E238E">
        <w:t xml:space="preserve"> (2016), who takes researchers to task for abrogating responsibility by relying uncritically on th</w:t>
      </w:r>
      <w:r w:rsidR="005A22FE">
        <w:t>e data used in previous papers.</w:t>
      </w:r>
      <w:r>
        <w:t xml:space="preserve"> </w:t>
      </w:r>
    </w:p>
    <w:p w14:paraId="27BFC049" w14:textId="4430844B" w:rsidR="00755881" w:rsidRDefault="000627CD" w:rsidP="00950846">
      <w:pPr>
        <w:ind w:firstLine="720"/>
      </w:pPr>
      <w:r>
        <w:t xml:space="preserve">We must also apply scepticism to our </w:t>
      </w:r>
      <w:r w:rsidRPr="005A22FE">
        <w:rPr>
          <w:i/>
        </w:rPr>
        <w:t>results</w:t>
      </w:r>
      <w:r>
        <w:t xml:space="preserve">, </w:t>
      </w:r>
      <w:r w:rsidR="001548D6">
        <w:t xml:space="preserve">by </w:t>
      </w:r>
      <w:r>
        <w:t xml:space="preserve">asking whether they are plausible and give a faithful representation. </w:t>
      </w:r>
      <w:r w:rsidR="0098019B">
        <w:t>Again, a contributory factor to misclassification is that the researchers are too close to their material to be objective. This would have contributed to the “Sun as a planet” and “Man above the animals” classifications and to the two-country, two-group or three-group accounting classifications which put the</w:t>
      </w:r>
      <w:r w:rsidR="00950846">
        <w:t xml:space="preserve"> US and UK in different groups. </w:t>
      </w:r>
      <w:r>
        <w:t xml:space="preserve">We should also clarify for what purpose the results are relevant. </w:t>
      </w:r>
      <w:r w:rsidR="008E0F74">
        <w:t>To help</w:t>
      </w:r>
      <w:r w:rsidR="005A22FE">
        <w:t xml:space="preserve"> us to</w:t>
      </w:r>
      <w:r w:rsidR="008E0F74">
        <w:t xml:space="preserve"> achieve these desiderata, we should seek advice from experienced and merciless colleagues.</w:t>
      </w:r>
      <w:r w:rsidR="008E0F74">
        <w:rPr>
          <w:rStyle w:val="FootnoteReference"/>
        </w:rPr>
        <w:footnoteReference w:id="38"/>
      </w:r>
    </w:p>
    <w:p w14:paraId="0240760F" w14:textId="77777777" w:rsidR="00B037B7" w:rsidRDefault="0098019B" w:rsidP="00755881">
      <w:pPr>
        <w:ind w:firstLine="720"/>
      </w:pPr>
      <w:r>
        <w:t>Other lessons apply</w:t>
      </w:r>
      <w:r w:rsidR="00764E50">
        <w:t xml:space="preserve"> </w:t>
      </w:r>
      <w:r>
        <w:t xml:space="preserve">particularly </w:t>
      </w:r>
      <w:r w:rsidR="00764E50">
        <w:t>to research</w:t>
      </w:r>
      <w:r w:rsidR="00B037B7">
        <w:t xml:space="preserve"> in</w:t>
      </w:r>
      <w:r w:rsidR="005D08CB">
        <w:t xml:space="preserve"> </w:t>
      </w:r>
      <w:r w:rsidR="005D08CB" w:rsidRPr="00616CB5">
        <w:rPr>
          <w:i/>
        </w:rPr>
        <w:t>international</w:t>
      </w:r>
      <w:r w:rsidR="005D08CB">
        <w:t xml:space="preserve"> accounting</w:t>
      </w:r>
      <w:r w:rsidR="00764E50">
        <w:t>. First,</w:t>
      </w:r>
      <w:r w:rsidR="005D08CB">
        <w:t xml:space="preserve"> </w:t>
      </w:r>
      <w:r w:rsidR="00B36C15">
        <w:t>for classification, if researchers purport to be studying</w:t>
      </w:r>
      <w:r w:rsidR="00EC3BDB">
        <w:t xml:space="preserve"> accounting differences, then</w:t>
      </w:r>
      <w:r>
        <w:t xml:space="preserve"> the</w:t>
      </w:r>
      <w:r w:rsidR="00EC3BDB">
        <w:t xml:space="preserve"> attributes of </w:t>
      </w:r>
      <w:r w:rsidR="00B36C15">
        <w:t xml:space="preserve">accounting </w:t>
      </w:r>
      <w:r w:rsidR="00B36C15" w:rsidRPr="00705541">
        <w:rPr>
          <w:i/>
        </w:rPr>
        <w:t>practices</w:t>
      </w:r>
      <w:r w:rsidR="00EC3BDB">
        <w:t xml:space="preserve"> are probably more relevant than those of accounting rules and much better than </w:t>
      </w:r>
      <w:r w:rsidR="00B36C15">
        <w:t>the style of accounting r</w:t>
      </w:r>
      <w:r w:rsidR="00D9442E">
        <w:t>ule-making</w:t>
      </w:r>
      <w:r w:rsidR="00B36C15">
        <w:t xml:space="preserve">. Similarly, </w:t>
      </w:r>
      <w:r w:rsidR="00EC3BDB">
        <w:t xml:space="preserve">when </w:t>
      </w:r>
      <w:r w:rsidR="00E160F9">
        <w:t>choosing an independent variable in accounting studies</w:t>
      </w:r>
      <w:r w:rsidR="00EC3BDB">
        <w:t>,</w:t>
      </w:r>
      <w:r w:rsidR="00B36C15">
        <w:t xml:space="preserve"> </w:t>
      </w:r>
      <w:r w:rsidR="00EC3BDB">
        <w:t xml:space="preserve">it is probably more productive to focus on one </w:t>
      </w:r>
      <w:r w:rsidR="00FD1727">
        <w:t xml:space="preserve">that is </w:t>
      </w:r>
      <w:r w:rsidR="00B037B7">
        <w:t>pro</w:t>
      </w:r>
      <w:r w:rsidR="005D08CB">
        <w:t xml:space="preserve">ximate to financial reporting. </w:t>
      </w:r>
      <w:r w:rsidR="00D9442E">
        <w:t>Law is closer than culture; and</w:t>
      </w:r>
      <w:r w:rsidR="00B037B7">
        <w:t xml:space="preserve">, </w:t>
      </w:r>
      <w:r w:rsidR="00755881">
        <w:t>if a law</w:t>
      </w:r>
      <w:r w:rsidR="00B037B7">
        <w:t xml:space="preserve"> variable is used, one relating to </w:t>
      </w:r>
      <w:r w:rsidR="00B037B7" w:rsidRPr="00705541">
        <w:rPr>
          <w:i/>
        </w:rPr>
        <w:t>corporate</w:t>
      </w:r>
      <w:r w:rsidR="00B037B7">
        <w:t xml:space="preserve"> law </w:t>
      </w:r>
      <w:r w:rsidR="00FD1727">
        <w:t xml:space="preserve">or </w:t>
      </w:r>
      <w:r w:rsidR="00D3210B">
        <w:t xml:space="preserve">to </w:t>
      </w:r>
      <w:r w:rsidR="00FD1727">
        <w:t>enforcement of financial reporting regulation</w:t>
      </w:r>
      <w:r w:rsidR="00D3210B">
        <w:t>s</w:t>
      </w:r>
      <w:r w:rsidR="00FD1727">
        <w:t xml:space="preserve"> </w:t>
      </w:r>
      <w:r w:rsidR="00D3210B">
        <w:t xml:space="preserve">may be </w:t>
      </w:r>
      <w:r w:rsidR="005A22FE">
        <w:t>appropriate.</w:t>
      </w:r>
      <w:r w:rsidR="00B037B7">
        <w:t xml:space="preserve"> </w:t>
      </w:r>
      <w:r w:rsidR="00765A55">
        <w:t>Second,</w:t>
      </w:r>
      <w:r w:rsidR="00765A55" w:rsidRPr="00765A55">
        <w:t xml:space="preserve"> </w:t>
      </w:r>
      <w:r w:rsidR="00765A55">
        <w:t xml:space="preserve">one must apply scepticism to one’s own knowledge. When writing about a foreign country, </w:t>
      </w:r>
      <w:r>
        <w:t>there is a strong</w:t>
      </w:r>
      <w:r w:rsidR="00765A55">
        <w:t xml:space="preserve"> chance that the </w:t>
      </w:r>
      <w:r w:rsidR="00765A55">
        <w:lastRenderedPageBreak/>
        <w:t>researcher will get something wrong. It is important to establish a</w:t>
      </w:r>
      <w:r w:rsidR="00705541">
        <w:t>n international</w:t>
      </w:r>
      <w:r w:rsidR="00765A55">
        <w:t xml:space="preserve"> network of colleagues who can check the facts. </w:t>
      </w:r>
    </w:p>
    <w:p w14:paraId="7DFDC023" w14:textId="77777777" w:rsidR="001856E4" w:rsidRDefault="00B037B7">
      <w:r>
        <w:tab/>
        <w:t>There are also lessons here for the editors and reviewers of</w:t>
      </w:r>
      <w:r w:rsidR="00925E02">
        <w:t xml:space="preserve"> journals, given that the </w:t>
      </w:r>
      <w:r>
        <w:t xml:space="preserve">errors </w:t>
      </w:r>
      <w:r w:rsidR="00925E02">
        <w:t xml:space="preserve">of Section 4 survived their scrutiny. </w:t>
      </w:r>
      <w:r>
        <w:t>Perhaps, on some occasions</w:t>
      </w:r>
      <w:r w:rsidR="00705541">
        <w:t>,</w:t>
      </w:r>
      <w:r>
        <w:t xml:space="preserve"> the focus </w:t>
      </w:r>
      <w:r w:rsidR="00E160F9">
        <w:t>of review</w:t>
      </w:r>
      <w:r w:rsidR="00925E02">
        <w:t xml:space="preserve"> has been limited to certain aspects of papers</w:t>
      </w:r>
      <w:r w:rsidR="0098019B">
        <w:t>, such as the construction of hypotheses or the use of statistical methods</w:t>
      </w:r>
      <w:r w:rsidR="00925E02">
        <w:t xml:space="preserve">. </w:t>
      </w:r>
      <w:r>
        <w:t>For example, if an editor of an American journal receives a paper about IFRS adoption in Europe from American</w:t>
      </w:r>
      <w:r w:rsidR="0098019B">
        <w:t xml:space="preserve"> authors, the editor would be unwise to </w:t>
      </w:r>
      <w:r>
        <w:t>confine the reviewers to</w:t>
      </w:r>
      <w:r w:rsidR="00EC3BDB">
        <w:t xml:space="preserve"> American quantitative experts.</w:t>
      </w:r>
      <w:r>
        <w:t xml:space="preserve"> Someone in the review </w:t>
      </w:r>
      <w:r w:rsidR="0098019B">
        <w:t>process should be knowledgeable</w:t>
      </w:r>
      <w:r w:rsidR="00E90024">
        <w:t xml:space="preserve"> </w:t>
      </w:r>
      <w:r>
        <w:t>about accounting and about Europe.</w:t>
      </w:r>
      <w:r w:rsidR="0098019B" w:rsidRPr="0098019B">
        <w:t xml:space="preserve"> </w:t>
      </w:r>
      <w:r w:rsidR="00B85DC8">
        <w:t>This returns us to a theme of this paper. In common with res</w:t>
      </w:r>
      <w:r w:rsidR="00D5683C">
        <w:t>earchers</w:t>
      </w:r>
      <w:r w:rsidR="00B85DC8">
        <w:t xml:space="preserve">, the </w:t>
      </w:r>
      <w:r w:rsidR="0098019B">
        <w:t>ed</w:t>
      </w:r>
      <w:r w:rsidR="00B85DC8">
        <w:t xml:space="preserve">itors and reviewers of journals should exercise </w:t>
      </w:r>
      <w:r w:rsidR="0098019B">
        <w:t xml:space="preserve">professional scepticism and should </w:t>
      </w:r>
      <w:r w:rsidR="00B85DC8">
        <w:t xml:space="preserve">be </w:t>
      </w:r>
      <w:r w:rsidR="0098019B">
        <w:t>resolute in applying the FR test to data and to findings.</w:t>
      </w:r>
      <w:r w:rsidR="00D5683C">
        <w:t xml:space="preserve"> Of course, the same applies to readers of research.</w:t>
      </w:r>
    </w:p>
    <w:p w14:paraId="0AC102BF" w14:textId="77777777" w:rsidR="00733B2A" w:rsidRDefault="00733B2A">
      <w:pPr>
        <w:rPr>
          <w:rFonts w:ascii="Arial" w:eastAsia="Times New Roman" w:hAnsi="Arial" w:cs="Times New Roman"/>
          <w:b/>
          <w:kern w:val="28"/>
          <w:szCs w:val="24"/>
          <w:lang w:val="en-IN" w:eastAsia="en-IN"/>
        </w:rPr>
      </w:pPr>
      <w:r>
        <w:br w:type="page"/>
      </w:r>
    </w:p>
    <w:p w14:paraId="2992FF87" w14:textId="77777777" w:rsidR="00970822" w:rsidRPr="00970822" w:rsidRDefault="00970822" w:rsidP="00970822">
      <w:pPr>
        <w:pStyle w:val="Aheading"/>
      </w:pPr>
      <w:r w:rsidRPr="00970822">
        <w:lastRenderedPageBreak/>
        <w:t>References</w:t>
      </w:r>
    </w:p>
    <w:p w14:paraId="0761A2FB" w14:textId="77777777" w:rsidR="002C1FBF" w:rsidRPr="004B77CC" w:rsidRDefault="002C1FBF" w:rsidP="002C1FBF">
      <w:pPr>
        <w:keepLines/>
        <w:spacing w:after="0"/>
        <w:ind w:left="360" w:right="29" w:hanging="360"/>
        <w:rPr>
          <w:rFonts w:cs="Calibri"/>
          <w:szCs w:val="24"/>
        </w:rPr>
      </w:pPr>
      <w:r w:rsidRPr="004B77CC">
        <w:rPr>
          <w:rFonts w:cs="Calibri"/>
          <w:szCs w:val="24"/>
        </w:rPr>
        <w:t xml:space="preserve">AAA (1977). American Accounting Association 1975-1976 Committee on International Accounting Operations and Education. </w:t>
      </w:r>
      <w:r w:rsidRPr="004B77CC">
        <w:rPr>
          <w:rFonts w:cs="Calibri"/>
          <w:i/>
          <w:szCs w:val="24"/>
        </w:rPr>
        <w:t>Accounting Review</w:t>
      </w:r>
      <w:r w:rsidRPr="004B77CC">
        <w:rPr>
          <w:rFonts w:cs="Calibri"/>
          <w:szCs w:val="24"/>
        </w:rPr>
        <w:t>, 5(Supplement), 65-132.</w:t>
      </w:r>
    </w:p>
    <w:p w14:paraId="47B62EDB" w14:textId="77777777" w:rsidR="00205B38" w:rsidRPr="004B77CC" w:rsidRDefault="00205B38" w:rsidP="004B77CC">
      <w:pPr>
        <w:spacing w:after="0"/>
        <w:ind w:left="360" w:hanging="360"/>
        <w:rPr>
          <w:szCs w:val="24"/>
        </w:rPr>
      </w:pPr>
      <w:r w:rsidRPr="004B77CC">
        <w:rPr>
          <w:szCs w:val="24"/>
        </w:rPr>
        <w:t xml:space="preserve">Ahmed, A., Neel, M. and Wang, D. (2013). Does mandatory adoption of IFRS improve accounting quality? Preliminary evidence. </w:t>
      </w:r>
      <w:r w:rsidRPr="004B77CC">
        <w:rPr>
          <w:i/>
          <w:szCs w:val="24"/>
        </w:rPr>
        <w:t>Contemporary Accounting Research</w:t>
      </w:r>
      <w:r w:rsidR="00D3210B">
        <w:rPr>
          <w:szCs w:val="24"/>
        </w:rPr>
        <w:t>, 30</w:t>
      </w:r>
      <w:r w:rsidRPr="004B77CC">
        <w:rPr>
          <w:szCs w:val="24"/>
        </w:rPr>
        <w:t>(4), 1344-72.</w:t>
      </w:r>
    </w:p>
    <w:p w14:paraId="33305FD3" w14:textId="77777777" w:rsidR="00E718D0" w:rsidRPr="004B77CC" w:rsidRDefault="00E718D0" w:rsidP="004B77CC">
      <w:pPr>
        <w:keepLines/>
        <w:spacing w:after="0"/>
        <w:ind w:left="360" w:right="26" w:hanging="360"/>
        <w:rPr>
          <w:rFonts w:cs="Calibri"/>
          <w:szCs w:val="24"/>
        </w:rPr>
      </w:pPr>
      <w:proofErr w:type="spellStart"/>
      <w:r w:rsidRPr="004B77CC">
        <w:rPr>
          <w:rFonts w:cs="Calibri"/>
          <w:szCs w:val="24"/>
        </w:rPr>
        <w:t>Aldersley</w:t>
      </w:r>
      <w:proofErr w:type="spellEnd"/>
      <w:r w:rsidRPr="004B77CC">
        <w:rPr>
          <w:rFonts w:cs="Calibri"/>
          <w:szCs w:val="24"/>
        </w:rPr>
        <w:t xml:space="preserve">-Williams, H. (2011). </w:t>
      </w:r>
      <w:r w:rsidRPr="004B77CC">
        <w:rPr>
          <w:rFonts w:cs="Calibri"/>
          <w:i/>
          <w:szCs w:val="24"/>
        </w:rPr>
        <w:t>Periodic tales: the curious lives of the elements</w:t>
      </w:r>
      <w:r w:rsidRPr="004B77CC">
        <w:rPr>
          <w:rFonts w:cs="Calibri"/>
          <w:szCs w:val="24"/>
        </w:rPr>
        <w:t>. London: Viking.</w:t>
      </w:r>
    </w:p>
    <w:p w14:paraId="61D8FA71"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Alexa</w:t>
      </w:r>
      <w:r w:rsidR="005C5497" w:rsidRPr="004B77CC">
        <w:rPr>
          <w:rFonts w:asciiTheme="minorHAnsi" w:hAnsiTheme="minorHAnsi"/>
          <w:sz w:val="24"/>
          <w:szCs w:val="24"/>
        </w:rPr>
        <w:t xml:space="preserve">nder, D. and Archer, S. (2000). </w:t>
      </w:r>
      <w:r w:rsidRPr="004B77CC">
        <w:rPr>
          <w:rFonts w:asciiTheme="minorHAnsi" w:hAnsiTheme="minorHAnsi"/>
          <w:sz w:val="24"/>
          <w:szCs w:val="24"/>
        </w:rPr>
        <w:t>On the myth of “A</w:t>
      </w:r>
      <w:r w:rsidR="005C5497" w:rsidRPr="004B77CC">
        <w:rPr>
          <w:rFonts w:asciiTheme="minorHAnsi" w:hAnsiTheme="minorHAnsi"/>
          <w:sz w:val="24"/>
          <w:szCs w:val="24"/>
        </w:rPr>
        <w:t>nglo-Saxon” ﬁnancial accounting.</w:t>
      </w:r>
      <w:r w:rsidRPr="004B77CC">
        <w:rPr>
          <w:rFonts w:asciiTheme="minorHAnsi" w:hAnsiTheme="minorHAnsi"/>
          <w:sz w:val="24"/>
          <w:szCs w:val="24"/>
        </w:rPr>
        <w:t xml:space="preserve"> </w:t>
      </w:r>
      <w:r w:rsidRPr="004B77CC">
        <w:rPr>
          <w:rFonts w:asciiTheme="minorHAnsi" w:hAnsiTheme="minorHAnsi"/>
          <w:i/>
          <w:sz w:val="24"/>
          <w:szCs w:val="24"/>
        </w:rPr>
        <w:t>International Journal of Accounting</w:t>
      </w:r>
      <w:r w:rsidR="005C5497" w:rsidRPr="004B77CC">
        <w:rPr>
          <w:rFonts w:asciiTheme="minorHAnsi" w:hAnsiTheme="minorHAnsi"/>
          <w:sz w:val="24"/>
          <w:szCs w:val="24"/>
        </w:rPr>
        <w:t>, 35(</w:t>
      </w:r>
      <w:r w:rsidRPr="004B77CC">
        <w:rPr>
          <w:rFonts w:asciiTheme="minorHAnsi" w:hAnsiTheme="minorHAnsi"/>
          <w:sz w:val="24"/>
          <w:szCs w:val="24"/>
        </w:rPr>
        <w:t>4</w:t>
      </w:r>
      <w:r w:rsidR="005C5497" w:rsidRPr="004B77CC">
        <w:rPr>
          <w:rFonts w:asciiTheme="minorHAnsi" w:hAnsiTheme="minorHAnsi"/>
          <w:sz w:val="24"/>
          <w:szCs w:val="24"/>
        </w:rPr>
        <w:t xml:space="preserve">), </w:t>
      </w:r>
      <w:r w:rsidRPr="004B77CC">
        <w:rPr>
          <w:rFonts w:asciiTheme="minorHAnsi" w:hAnsiTheme="minorHAnsi"/>
          <w:sz w:val="24"/>
          <w:szCs w:val="24"/>
        </w:rPr>
        <w:t>539-57.</w:t>
      </w:r>
    </w:p>
    <w:p w14:paraId="5C0CA441" w14:textId="77777777" w:rsidR="008F0DF5" w:rsidRPr="004B77CC" w:rsidRDefault="008F0DF5" w:rsidP="004B77CC">
      <w:pPr>
        <w:pStyle w:val="ReferencesFurtherreading"/>
        <w:rPr>
          <w:rFonts w:asciiTheme="minorHAnsi" w:hAnsiTheme="minorHAnsi"/>
          <w:sz w:val="24"/>
          <w:szCs w:val="24"/>
        </w:rPr>
      </w:pPr>
      <w:r w:rsidRPr="004B77CC">
        <w:rPr>
          <w:rFonts w:asciiTheme="minorHAnsi" w:hAnsiTheme="minorHAnsi"/>
          <w:sz w:val="24"/>
          <w:szCs w:val="24"/>
        </w:rPr>
        <w:t xml:space="preserve">Alexander, D. and Archer, S. (2003). On the myth of “Anglo-Saxon” ﬁnancial accounting: a response to Nobes. </w:t>
      </w:r>
      <w:r w:rsidRPr="004B77CC">
        <w:rPr>
          <w:rFonts w:asciiTheme="minorHAnsi" w:hAnsiTheme="minorHAnsi"/>
          <w:i/>
          <w:sz w:val="24"/>
          <w:szCs w:val="24"/>
        </w:rPr>
        <w:t>International Journal of Accounting</w:t>
      </w:r>
      <w:r w:rsidRPr="004B77CC">
        <w:rPr>
          <w:rFonts w:asciiTheme="minorHAnsi" w:hAnsiTheme="minorHAnsi"/>
          <w:sz w:val="24"/>
          <w:szCs w:val="24"/>
        </w:rPr>
        <w:t>, 38(4), 503-4.</w:t>
      </w:r>
    </w:p>
    <w:p w14:paraId="6C063E55" w14:textId="77777777" w:rsidR="00BB3C4E" w:rsidRPr="004B77CC" w:rsidRDefault="00BB3C4E" w:rsidP="004B77CC">
      <w:pPr>
        <w:spacing w:after="0"/>
        <w:ind w:left="360" w:hanging="360"/>
        <w:rPr>
          <w:rFonts w:eastAsia="SimSun"/>
          <w:szCs w:val="24"/>
          <w:lang w:eastAsia="zh-CN"/>
        </w:rPr>
      </w:pPr>
      <w:r w:rsidRPr="004B77CC">
        <w:rPr>
          <w:rFonts w:eastAsia="SimSun"/>
          <w:szCs w:val="24"/>
          <w:lang w:eastAsia="zh-CN"/>
        </w:rPr>
        <w:t xml:space="preserve">Ali, A. and Hwang, L. (2000). Country-specific factors related to financial reporting and the relevance of accounting data. </w:t>
      </w:r>
      <w:r w:rsidRPr="004B77CC">
        <w:rPr>
          <w:rFonts w:eastAsia="SimSun"/>
          <w:i/>
          <w:szCs w:val="24"/>
          <w:lang w:eastAsia="zh-CN"/>
        </w:rPr>
        <w:t>Journal of Accounting Research</w:t>
      </w:r>
      <w:r w:rsidRPr="004B77CC">
        <w:rPr>
          <w:rFonts w:eastAsia="SimSun"/>
          <w:szCs w:val="24"/>
          <w:lang w:eastAsia="zh-CN"/>
        </w:rPr>
        <w:t>, 38(1), 1-21.</w:t>
      </w:r>
    </w:p>
    <w:p w14:paraId="46923239" w14:textId="77777777" w:rsidR="00BB3C4E" w:rsidRPr="004B77CC" w:rsidRDefault="00BB3C4E" w:rsidP="004B77CC">
      <w:pPr>
        <w:spacing w:after="0"/>
        <w:ind w:left="360" w:hanging="360"/>
        <w:rPr>
          <w:rFonts w:eastAsia="SimSun"/>
          <w:szCs w:val="24"/>
          <w:lang w:eastAsia="zh-CN"/>
        </w:rPr>
      </w:pPr>
      <w:r w:rsidRPr="004B77CC">
        <w:rPr>
          <w:rFonts w:eastAsia="SimSun"/>
          <w:szCs w:val="24"/>
          <w:lang w:eastAsia="zh-CN"/>
        </w:rPr>
        <w:t xml:space="preserve">Alford, A., Jones, J., </w:t>
      </w:r>
      <w:proofErr w:type="spellStart"/>
      <w:r w:rsidRPr="004B77CC">
        <w:rPr>
          <w:rFonts w:eastAsia="SimSun"/>
          <w:szCs w:val="24"/>
          <w:lang w:eastAsia="zh-CN"/>
        </w:rPr>
        <w:t>Leftwich</w:t>
      </w:r>
      <w:proofErr w:type="spellEnd"/>
      <w:r w:rsidRPr="004B77CC">
        <w:rPr>
          <w:rFonts w:eastAsia="SimSun"/>
          <w:szCs w:val="24"/>
          <w:lang w:eastAsia="zh-CN"/>
        </w:rPr>
        <w:t xml:space="preserve">, R. and </w:t>
      </w:r>
      <w:proofErr w:type="spellStart"/>
      <w:r w:rsidRPr="004B77CC">
        <w:rPr>
          <w:rFonts w:eastAsia="SimSun"/>
          <w:szCs w:val="24"/>
          <w:lang w:eastAsia="zh-CN"/>
        </w:rPr>
        <w:t>Zmijewski</w:t>
      </w:r>
      <w:proofErr w:type="spellEnd"/>
      <w:r w:rsidRPr="004B77CC">
        <w:rPr>
          <w:rFonts w:eastAsia="SimSun"/>
          <w:szCs w:val="24"/>
          <w:lang w:eastAsia="zh-CN"/>
        </w:rPr>
        <w:t xml:space="preserve">, M. (1993). The relative </w:t>
      </w:r>
      <w:proofErr w:type="spellStart"/>
      <w:r w:rsidRPr="004B77CC">
        <w:rPr>
          <w:rFonts w:eastAsia="SimSun"/>
          <w:szCs w:val="24"/>
          <w:lang w:eastAsia="zh-CN"/>
        </w:rPr>
        <w:t>informativeness</w:t>
      </w:r>
      <w:proofErr w:type="spellEnd"/>
      <w:r w:rsidRPr="004B77CC">
        <w:rPr>
          <w:rFonts w:eastAsia="SimSun"/>
          <w:szCs w:val="24"/>
          <w:lang w:eastAsia="zh-CN"/>
        </w:rPr>
        <w:t xml:space="preserve"> of accounting disclosures in different countries. </w:t>
      </w:r>
      <w:r w:rsidRPr="004B77CC">
        <w:rPr>
          <w:rFonts w:eastAsia="SimSun"/>
          <w:i/>
          <w:szCs w:val="24"/>
          <w:lang w:eastAsia="zh-CN"/>
        </w:rPr>
        <w:t>Journal of Accounting Research</w:t>
      </w:r>
      <w:r w:rsidR="00A75C8F" w:rsidRPr="004B77CC">
        <w:rPr>
          <w:rFonts w:eastAsia="SimSun"/>
          <w:szCs w:val="24"/>
          <w:lang w:eastAsia="zh-CN"/>
        </w:rPr>
        <w:t>,</w:t>
      </w:r>
      <w:r w:rsidRPr="004B77CC">
        <w:rPr>
          <w:rFonts w:eastAsia="SimSun"/>
          <w:szCs w:val="24"/>
          <w:lang w:eastAsia="zh-CN"/>
        </w:rPr>
        <w:t xml:space="preserve"> 31 (Supplement), 183-223.</w:t>
      </w:r>
    </w:p>
    <w:p w14:paraId="719D8B8C" w14:textId="77777777" w:rsidR="00615AD7" w:rsidRPr="004B77CC" w:rsidRDefault="00970822" w:rsidP="004B77CC">
      <w:pPr>
        <w:spacing w:after="0"/>
        <w:ind w:left="397" w:hanging="397"/>
        <w:rPr>
          <w:szCs w:val="24"/>
        </w:rPr>
      </w:pPr>
      <w:r w:rsidRPr="004B77CC">
        <w:rPr>
          <w:szCs w:val="24"/>
        </w:rPr>
        <w:t>Atwood, T.J., Drake, M.S. and Myers, L.A. (2010)</w:t>
      </w:r>
      <w:r w:rsidR="009741D1" w:rsidRPr="004B77CC">
        <w:rPr>
          <w:szCs w:val="24"/>
        </w:rPr>
        <w:t>.</w:t>
      </w:r>
      <w:r w:rsidR="00394E8F" w:rsidRPr="004B77CC">
        <w:rPr>
          <w:szCs w:val="24"/>
        </w:rPr>
        <w:t xml:space="preserve"> </w:t>
      </w:r>
      <w:r w:rsidRPr="004B77CC">
        <w:rPr>
          <w:szCs w:val="24"/>
        </w:rPr>
        <w:t>Book-tax conformity, earnings persistence and the association between</w:t>
      </w:r>
      <w:r w:rsidR="00394E8F" w:rsidRPr="004B77CC">
        <w:rPr>
          <w:szCs w:val="24"/>
        </w:rPr>
        <w:t xml:space="preserve"> earnings and future cash flows</w:t>
      </w:r>
      <w:r w:rsidR="00387C41" w:rsidRPr="004B77CC">
        <w:rPr>
          <w:szCs w:val="24"/>
        </w:rPr>
        <w:t>.</w:t>
      </w:r>
      <w:r w:rsidRPr="004B77CC">
        <w:rPr>
          <w:szCs w:val="24"/>
        </w:rPr>
        <w:t xml:space="preserve"> </w:t>
      </w:r>
      <w:r w:rsidRPr="004B77CC">
        <w:rPr>
          <w:i/>
          <w:szCs w:val="24"/>
        </w:rPr>
        <w:t>Journal of Accounting and Economics</w:t>
      </w:r>
      <w:r w:rsidRPr="004B77CC">
        <w:rPr>
          <w:szCs w:val="24"/>
        </w:rPr>
        <w:t>, 50</w:t>
      </w:r>
      <w:r w:rsidR="000775D7" w:rsidRPr="004B77CC">
        <w:rPr>
          <w:szCs w:val="24"/>
        </w:rPr>
        <w:t>(</w:t>
      </w:r>
      <w:r w:rsidRPr="004B77CC">
        <w:rPr>
          <w:szCs w:val="24"/>
        </w:rPr>
        <w:t>1</w:t>
      </w:r>
      <w:r w:rsidR="000775D7" w:rsidRPr="004B77CC">
        <w:rPr>
          <w:szCs w:val="24"/>
        </w:rPr>
        <w:t>),</w:t>
      </w:r>
      <w:r w:rsidRPr="004B77CC">
        <w:rPr>
          <w:szCs w:val="24"/>
        </w:rPr>
        <w:t xml:space="preserve"> 111-25.</w:t>
      </w:r>
    </w:p>
    <w:p w14:paraId="43FF67B4" w14:textId="77777777" w:rsidR="00615AD7" w:rsidRDefault="00615AD7" w:rsidP="004B77CC">
      <w:pPr>
        <w:pStyle w:val="ReferencesFurtherreading"/>
        <w:rPr>
          <w:rFonts w:asciiTheme="minorHAnsi" w:eastAsiaTheme="minorHAnsi" w:hAnsiTheme="minorHAnsi" w:cs="Code"/>
          <w:color w:val="000000"/>
          <w:sz w:val="24"/>
          <w:szCs w:val="24"/>
          <w:lang w:val="en-GB"/>
        </w:rPr>
      </w:pPr>
      <w:r w:rsidRPr="004B77CC">
        <w:rPr>
          <w:rFonts w:asciiTheme="minorHAnsi" w:eastAsiaTheme="minorHAnsi" w:hAnsiTheme="minorHAnsi" w:cs="Code"/>
          <w:color w:val="000000"/>
          <w:sz w:val="24"/>
          <w:szCs w:val="24"/>
          <w:lang w:val="en-GB"/>
        </w:rPr>
        <w:t xml:space="preserve">Bae, K.-H., Tan, H. and Welker, M. (2008). International GAAP differences: the impact on foreign analysts. </w:t>
      </w:r>
      <w:r w:rsidRPr="004B77CC">
        <w:rPr>
          <w:rFonts w:asciiTheme="minorHAnsi" w:eastAsiaTheme="minorHAnsi" w:hAnsiTheme="minorHAnsi" w:cs="Code"/>
          <w:i/>
          <w:color w:val="000000"/>
          <w:sz w:val="24"/>
          <w:szCs w:val="24"/>
          <w:lang w:val="en-GB"/>
        </w:rPr>
        <w:t>Accounting Review</w:t>
      </w:r>
      <w:r w:rsidRPr="004B77CC">
        <w:rPr>
          <w:rFonts w:asciiTheme="minorHAnsi" w:eastAsiaTheme="minorHAnsi" w:hAnsiTheme="minorHAnsi" w:cs="Code"/>
          <w:color w:val="000000"/>
          <w:sz w:val="24"/>
          <w:szCs w:val="24"/>
          <w:lang w:val="en-GB"/>
        </w:rPr>
        <w:t xml:space="preserve">, 83(3), 593-628. </w:t>
      </w:r>
    </w:p>
    <w:p w14:paraId="383A4952" w14:textId="77777777" w:rsidR="00D36192" w:rsidRDefault="00D36192" w:rsidP="00D36192">
      <w:pPr>
        <w:autoSpaceDE w:val="0"/>
        <w:autoSpaceDN w:val="0"/>
        <w:adjustRightInd w:val="0"/>
        <w:spacing w:after="0" w:line="360" w:lineRule="auto"/>
        <w:rPr>
          <w:rFonts w:cs="NewBaskerville-Roman"/>
          <w:szCs w:val="24"/>
        </w:rPr>
      </w:pPr>
      <w:r w:rsidRPr="00D36192">
        <w:rPr>
          <w:rFonts w:cs="NewBaskerville-Roman"/>
          <w:szCs w:val="24"/>
        </w:rPr>
        <w:t>B</w:t>
      </w:r>
      <w:r>
        <w:rPr>
          <w:rFonts w:cs="NewBaskerville-Roman"/>
          <w:szCs w:val="24"/>
        </w:rPr>
        <w:t xml:space="preserve">all, R., </w:t>
      </w:r>
      <w:r w:rsidRPr="00D36192">
        <w:rPr>
          <w:rFonts w:cs="NewBaskerville-Roman"/>
          <w:szCs w:val="24"/>
        </w:rPr>
        <w:t>R</w:t>
      </w:r>
      <w:r>
        <w:rPr>
          <w:rFonts w:cs="NewBaskerville-Roman"/>
          <w:szCs w:val="24"/>
        </w:rPr>
        <w:t>obin,</w:t>
      </w:r>
      <w:r w:rsidRPr="00D36192">
        <w:rPr>
          <w:rFonts w:cs="NewBaskerville-Roman"/>
          <w:szCs w:val="24"/>
        </w:rPr>
        <w:t xml:space="preserve"> A</w:t>
      </w:r>
      <w:r>
        <w:rPr>
          <w:rFonts w:cs="NewBaskerville-Roman"/>
          <w:szCs w:val="24"/>
        </w:rPr>
        <w:t xml:space="preserve">. and </w:t>
      </w:r>
      <w:r w:rsidRPr="00D36192">
        <w:rPr>
          <w:rFonts w:cs="NewBaskerville-Roman"/>
          <w:szCs w:val="24"/>
        </w:rPr>
        <w:t>W</w:t>
      </w:r>
      <w:r>
        <w:rPr>
          <w:rFonts w:cs="NewBaskerville-Roman"/>
          <w:szCs w:val="24"/>
        </w:rPr>
        <w:t>u, J. (2003). Incentives versus standards: properties of</w:t>
      </w:r>
    </w:p>
    <w:p w14:paraId="2F1B9BF7" w14:textId="77777777" w:rsidR="00D36192" w:rsidRPr="00D36192" w:rsidRDefault="00D36192" w:rsidP="00D36192">
      <w:pPr>
        <w:autoSpaceDE w:val="0"/>
        <w:autoSpaceDN w:val="0"/>
        <w:adjustRightInd w:val="0"/>
        <w:spacing w:after="0" w:line="360" w:lineRule="auto"/>
        <w:ind w:left="397"/>
        <w:rPr>
          <w:rFonts w:cs="NewBaskerville-Roman"/>
          <w:szCs w:val="24"/>
        </w:rPr>
      </w:pPr>
      <w:proofErr w:type="gramStart"/>
      <w:r>
        <w:rPr>
          <w:rFonts w:cs="NewBaskerville-Roman"/>
          <w:szCs w:val="24"/>
        </w:rPr>
        <w:lastRenderedPageBreak/>
        <w:t>accounting</w:t>
      </w:r>
      <w:proofErr w:type="gramEnd"/>
      <w:r>
        <w:rPr>
          <w:rFonts w:cs="NewBaskerville-Roman"/>
          <w:szCs w:val="24"/>
        </w:rPr>
        <w:t xml:space="preserve"> income in four East Asian countries.</w:t>
      </w:r>
      <w:r w:rsidRPr="00D36192">
        <w:rPr>
          <w:rFonts w:cs="NewBaskerville-Roman"/>
          <w:szCs w:val="24"/>
        </w:rPr>
        <w:t xml:space="preserve"> </w:t>
      </w:r>
      <w:r w:rsidRPr="00D36192">
        <w:rPr>
          <w:rFonts w:cs="NewBaskerville-Italic"/>
          <w:i/>
          <w:iCs/>
          <w:szCs w:val="24"/>
        </w:rPr>
        <w:t>Journal of Accounting &amp; Economics</w:t>
      </w:r>
      <w:r>
        <w:rPr>
          <w:rFonts w:cs="NewBaskerville-Italic"/>
          <w:i/>
          <w:iCs/>
          <w:szCs w:val="24"/>
        </w:rPr>
        <w:t>,</w:t>
      </w:r>
      <w:r w:rsidRPr="00D36192">
        <w:rPr>
          <w:rFonts w:cs="NewBaskerville-Italic"/>
          <w:i/>
          <w:iCs/>
          <w:szCs w:val="24"/>
        </w:rPr>
        <w:t xml:space="preserve"> </w:t>
      </w:r>
      <w:r w:rsidR="00F9286D">
        <w:rPr>
          <w:rFonts w:cs="NewBaskerville-Roman"/>
          <w:szCs w:val="24"/>
        </w:rPr>
        <w:t>36(1-3),</w:t>
      </w:r>
      <w:r w:rsidRPr="00D36192">
        <w:rPr>
          <w:rFonts w:cs="NewBaskerville-Roman"/>
          <w:szCs w:val="24"/>
        </w:rPr>
        <w:t xml:space="preserve"> 235–70.</w:t>
      </w:r>
    </w:p>
    <w:p w14:paraId="513B3004" w14:textId="77777777" w:rsidR="00264A06" w:rsidRPr="004B77CC" w:rsidRDefault="005212B0" w:rsidP="004B77CC">
      <w:pPr>
        <w:pStyle w:val="ReferencesFurtherreading"/>
        <w:rPr>
          <w:rFonts w:asciiTheme="minorHAnsi" w:hAnsiTheme="minorHAnsi"/>
          <w:sz w:val="24"/>
          <w:szCs w:val="24"/>
        </w:rPr>
      </w:pPr>
      <w:r w:rsidRPr="004B77CC">
        <w:rPr>
          <w:rFonts w:asciiTheme="minorHAnsi" w:hAnsiTheme="minorHAnsi"/>
          <w:sz w:val="24"/>
          <w:szCs w:val="24"/>
        </w:rPr>
        <w:t xml:space="preserve">Baskerville, R.F. (2003). Hofstede never studied culture. </w:t>
      </w:r>
      <w:r w:rsidRPr="004B77CC">
        <w:rPr>
          <w:rFonts w:asciiTheme="minorHAnsi" w:hAnsiTheme="minorHAnsi"/>
          <w:i/>
          <w:sz w:val="24"/>
          <w:szCs w:val="24"/>
        </w:rPr>
        <w:t>Accounting, Organizations and Society</w:t>
      </w:r>
      <w:r w:rsidRPr="004B77CC">
        <w:rPr>
          <w:rFonts w:asciiTheme="minorHAnsi" w:hAnsiTheme="minorHAnsi"/>
          <w:sz w:val="24"/>
          <w:szCs w:val="24"/>
        </w:rPr>
        <w:t>, 28(1), 1-14.</w:t>
      </w:r>
    </w:p>
    <w:p w14:paraId="66ADE8C3" w14:textId="77777777" w:rsidR="00EC70DD" w:rsidRPr="004B77CC" w:rsidRDefault="00EC70DD" w:rsidP="004B77CC">
      <w:pPr>
        <w:autoSpaceDE w:val="0"/>
        <w:autoSpaceDN w:val="0"/>
        <w:adjustRightInd w:val="0"/>
        <w:spacing w:after="0"/>
        <w:rPr>
          <w:rFonts w:cs="AdvGulliv-R"/>
          <w:szCs w:val="24"/>
        </w:rPr>
      </w:pPr>
      <w:proofErr w:type="spellStart"/>
      <w:r w:rsidRPr="004B77CC">
        <w:rPr>
          <w:rFonts w:cs="AdvGulliv-R"/>
          <w:szCs w:val="24"/>
        </w:rPr>
        <w:t>Basri</w:t>
      </w:r>
      <w:proofErr w:type="spellEnd"/>
      <w:r w:rsidRPr="004B77CC">
        <w:rPr>
          <w:rFonts w:cs="AdvGulliv-R"/>
          <w:szCs w:val="24"/>
        </w:rPr>
        <w:t xml:space="preserve">, G. and Brown, M. E. (2006). </w:t>
      </w:r>
      <w:proofErr w:type="spellStart"/>
      <w:r w:rsidRPr="004B77CC">
        <w:rPr>
          <w:rFonts w:cs="AdvGulliv-R"/>
          <w:szCs w:val="24"/>
        </w:rPr>
        <w:t>Planetesimals</w:t>
      </w:r>
      <w:proofErr w:type="spellEnd"/>
      <w:r w:rsidRPr="004B77CC">
        <w:rPr>
          <w:rFonts w:cs="AdvGulliv-R"/>
          <w:szCs w:val="24"/>
        </w:rPr>
        <w:t xml:space="preserve"> to brown dwarfs: what is a</w:t>
      </w:r>
    </w:p>
    <w:p w14:paraId="38C75C7A" w14:textId="77777777" w:rsidR="00EC70DD" w:rsidRPr="004B77CC" w:rsidRDefault="00EC70DD" w:rsidP="004B77CC">
      <w:pPr>
        <w:spacing w:after="0"/>
        <w:ind w:left="360"/>
        <w:rPr>
          <w:rFonts w:cs="AdvGulliv-R"/>
          <w:szCs w:val="24"/>
        </w:rPr>
      </w:pPr>
      <w:proofErr w:type="gramStart"/>
      <w:r w:rsidRPr="004B77CC">
        <w:rPr>
          <w:rFonts w:cs="AdvGulliv-R"/>
          <w:szCs w:val="24"/>
        </w:rPr>
        <w:t>planet</w:t>
      </w:r>
      <w:proofErr w:type="gramEnd"/>
      <w:r w:rsidRPr="004B77CC">
        <w:rPr>
          <w:rFonts w:cs="AdvGulliv-R"/>
          <w:szCs w:val="24"/>
        </w:rPr>
        <w:t xml:space="preserve">? </w:t>
      </w:r>
      <w:r w:rsidRPr="004B77CC">
        <w:rPr>
          <w:rFonts w:cs="AdvGulliv-I"/>
          <w:i/>
          <w:szCs w:val="24"/>
        </w:rPr>
        <w:t>Annual Review of Earth and Planetary Sciences</w:t>
      </w:r>
      <w:r w:rsidRPr="004B77CC">
        <w:rPr>
          <w:rFonts w:cs="AdvGulliv-I"/>
          <w:szCs w:val="24"/>
        </w:rPr>
        <w:t>, 34</w:t>
      </w:r>
      <w:r w:rsidRPr="004B77CC">
        <w:rPr>
          <w:rFonts w:cs="AdvGulliv-R"/>
          <w:szCs w:val="24"/>
        </w:rPr>
        <w:t>, 193–216.</w:t>
      </w:r>
    </w:p>
    <w:p w14:paraId="533393C7" w14:textId="77777777" w:rsidR="00264A06" w:rsidRPr="004B77CC" w:rsidRDefault="00AC4421" w:rsidP="004B77CC">
      <w:pPr>
        <w:spacing w:after="0"/>
        <w:ind w:left="360" w:hanging="360"/>
        <w:rPr>
          <w:szCs w:val="24"/>
        </w:rPr>
      </w:pPr>
      <w:r w:rsidRPr="004B77CC">
        <w:rPr>
          <w:szCs w:val="24"/>
        </w:rPr>
        <w:t>Bloomfield,</w:t>
      </w:r>
      <w:r w:rsidR="004F6E8B" w:rsidRPr="004B77CC">
        <w:rPr>
          <w:szCs w:val="24"/>
        </w:rPr>
        <w:t xml:space="preserve"> L. (1935). </w:t>
      </w:r>
      <w:r w:rsidRPr="004B77CC">
        <w:rPr>
          <w:szCs w:val="24"/>
        </w:rPr>
        <w:t xml:space="preserve">Linguistic aspects of science. </w:t>
      </w:r>
      <w:r w:rsidRPr="004B77CC">
        <w:rPr>
          <w:i/>
          <w:iCs/>
          <w:szCs w:val="24"/>
        </w:rPr>
        <w:t>Philosophy of Science</w:t>
      </w:r>
      <w:r w:rsidRPr="004B77CC">
        <w:rPr>
          <w:szCs w:val="24"/>
        </w:rPr>
        <w:t>, 2(4), 499–517.</w:t>
      </w:r>
    </w:p>
    <w:p w14:paraId="7CB922DD" w14:textId="77777777" w:rsidR="00264A06" w:rsidRPr="004B77CC" w:rsidRDefault="00264A06" w:rsidP="004B77CC">
      <w:pPr>
        <w:spacing w:after="0"/>
        <w:ind w:left="360" w:hanging="360"/>
        <w:rPr>
          <w:szCs w:val="24"/>
        </w:rPr>
      </w:pPr>
      <w:r w:rsidRPr="004B77CC">
        <w:rPr>
          <w:rFonts w:cs="Calibri"/>
          <w:szCs w:val="24"/>
        </w:rPr>
        <w:t xml:space="preserve">Bowker, G.C. and Star, S.L. (2000). </w:t>
      </w:r>
      <w:r w:rsidRPr="004B77CC">
        <w:rPr>
          <w:rFonts w:cs="Calibri"/>
          <w:i/>
          <w:szCs w:val="24"/>
        </w:rPr>
        <w:t>Sorting things out: classification and its consequences</w:t>
      </w:r>
      <w:r w:rsidRPr="004B77CC">
        <w:rPr>
          <w:rFonts w:cs="Calibri"/>
          <w:szCs w:val="24"/>
        </w:rPr>
        <w:t>. Cambridge, MA: MIT Press</w:t>
      </w:r>
      <w:r w:rsidRPr="004B77CC">
        <w:rPr>
          <w:iCs/>
          <w:szCs w:val="24"/>
        </w:rPr>
        <w:t>.</w:t>
      </w:r>
    </w:p>
    <w:p w14:paraId="657B75DD" w14:textId="77777777" w:rsidR="00106740" w:rsidRPr="004B77CC" w:rsidRDefault="004F6E8B" w:rsidP="004B77CC">
      <w:pPr>
        <w:spacing w:after="0"/>
        <w:ind w:left="397" w:hanging="397"/>
        <w:rPr>
          <w:szCs w:val="24"/>
        </w:rPr>
      </w:pPr>
      <w:r w:rsidRPr="004B77CC">
        <w:rPr>
          <w:szCs w:val="24"/>
        </w:rPr>
        <w:t xml:space="preserve">Boyle, R. (1661). </w:t>
      </w:r>
      <w:r w:rsidR="00106740" w:rsidRPr="004B77CC">
        <w:rPr>
          <w:i/>
          <w:szCs w:val="24"/>
        </w:rPr>
        <w:t xml:space="preserve">The sceptical </w:t>
      </w:r>
      <w:proofErr w:type="spellStart"/>
      <w:r w:rsidR="00106740" w:rsidRPr="004B77CC">
        <w:rPr>
          <w:i/>
          <w:szCs w:val="24"/>
        </w:rPr>
        <w:t>chymist</w:t>
      </w:r>
      <w:proofErr w:type="spellEnd"/>
      <w:r w:rsidR="00106740" w:rsidRPr="004B77CC">
        <w:rPr>
          <w:i/>
          <w:szCs w:val="24"/>
        </w:rPr>
        <w:t xml:space="preserve">: or </w:t>
      </w:r>
      <w:proofErr w:type="spellStart"/>
      <w:r w:rsidR="00106740" w:rsidRPr="004B77CC">
        <w:rPr>
          <w:i/>
          <w:szCs w:val="24"/>
        </w:rPr>
        <w:t>chymico</w:t>
      </w:r>
      <w:proofErr w:type="spellEnd"/>
      <w:r w:rsidR="00106740" w:rsidRPr="004B77CC">
        <w:rPr>
          <w:i/>
          <w:szCs w:val="24"/>
        </w:rPr>
        <w:t xml:space="preserve">-physical doubts and paradoxes touching the </w:t>
      </w:r>
      <w:proofErr w:type="spellStart"/>
      <w:r w:rsidR="00106740" w:rsidRPr="004B77CC">
        <w:rPr>
          <w:i/>
          <w:szCs w:val="24"/>
        </w:rPr>
        <w:t>spagyrist’s</w:t>
      </w:r>
      <w:proofErr w:type="spellEnd"/>
      <w:r w:rsidR="00106740" w:rsidRPr="004B77CC">
        <w:rPr>
          <w:i/>
          <w:szCs w:val="24"/>
        </w:rPr>
        <w:t xml:space="preserve"> principles commonly </w:t>
      </w:r>
      <w:proofErr w:type="spellStart"/>
      <w:r w:rsidR="00106740" w:rsidRPr="004B77CC">
        <w:rPr>
          <w:i/>
          <w:szCs w:val="24"/>
        </w:rPr>
        <w:t>call’d</w:t>
      </w:r>
      <w:proofErr w:type="spellEnd"/>
      <w:r w:rsidR="00106740" w:rsidRPr="004B77CC">
        <w:rPr>
          <w:i/>
          <w:szCs w:val="24"/>
        </w:rPr>
        <w:t xml:space="preserve"> hypostatical as they are wont to be </w:t>
      </w:r>
      <w:proofErr w:type="spellStart"/>
      <w:r w:rsidR="00106740" w:rsidRPr="004B77CC">
        <w:rPr>
          <w:i/>
          <w:szCs w:val="24"/>
        </w:rPr>
        <w:t>propos’d</w:t>
      </w:r>
      <w:proofErr w:type="spellEnd"/>
      <w:r w:rsidR="00106740" w:rsidRPr="004B77CC">
        <w:rPr>
          <w:i/>
          <w:szCs w:val="24"/>
        </w:rPr>
        <w:t xml:space="preserve"> and </w:t>
      </w:r>
      <w:r w:rsidR="00746021" w:rsidRPr="004B77CC">
        <w:rPr>
          <w:i/>
          <w:szCs w:val="24"/>
        </w:rPr>
        <w:t xml:space="preserve">defended by the generality of </w:t>
      </w:r>
      <w:proofErr w:type="spellStart"/>
      <w:r w:rsidR="00746021" w:rsidRPr="004B77CC">
        <w:rPr>
          <w:i/>
          <w:szCs w:val="24"/>
        </w:rPr>
        <w:t>alchymists</w:t>
      </w:r>
      <w:proofErr w:type="spellEnd"/>
      <w:r w:rsidRPr="004B77CC">
        <w:rPr>
          <w:szCs w:val="24"/>
        </w:rPr>
        <w:t xml:space="preserve">. London: </w:t>
      </w:r>
      <w:r w:rsidR="00746021" w:rsidRPr="004B77CC">
        <w:rPr>
          <w:szCs w:val="24"/>
        </w:rPr>
        <w:t>F. Crooke.</w:t>
      </w:r>
    </w:p>
    <w:p w14:paraId="4C65899C" w14:textId="144FF73B" w:rsidR="00E86F35" w:rsidRDefault="00515F19" w:rsidP="004B77CC">
      <w:pPr>
        <w:spacing w:after="0"/>
        <w:ind w:left="360" w:hanging="360"/>
        <w:rPr>
          <w:rFonts w:cs="Arial"/>
          <w:szCs w:val="24"/>
        </w:rPr>
      </w:pPr>
      <w:proofErr w:type="spellStart"/>
      <w:r w:rsidRPr="004B77CC">
        <w:rPr>
          <w:rFonts w:eastAsia="SimSun"/>
          <w:szCs w:val="24"/>
          <w:lang w:eastAsia="zh-CN"/>
        </w:rPr>
        <w:t>Briault</w:t>
      </w:r>
      <w:proofErr w:type="spellEnd"/>
      <w:r w:rsidRPr="004B77CC">
        <w:rPr>
          <w:rFonts w:eastAsia="SimSun"/>
          <w:szCs w:val="24"/>
          <w:lang w:eastAsia="zh-CN"/>
        </w:rPr>
        <w:t xml:space="preserve">, C. (1999). </w:t>
      </w:r>
      <w:r w:rsidRPr="004B77CC">
        <w:rPr>
          <w:rFonts w:cs="Arial"/>
          <w:szCs w:val="24"/>
        </w:rPr>
        <w:t xml:space="preserve">The rationale for a single national </w:t>
      </w:r>
      <w:r w:rsidR="00E86F35" w:rsidRPr="004B77CC">
        <w:rPr>
          <w:rFonts w:cs="Arial"/>
          <w:szCs w:val="24"/>
        </w:rPr>
        <w:t xml:space="preserve">financial services </w:t>
      </w:r>
      <w:r w:rsidRPr="004B77CC">
        <w:rPr>
          <w:rFonts w:cs="Arial"/>
          <w:szCs w:val="24"/>
        </w:rPr>
        <w:t xml:space="preserve">regulator. </w:t>
      </w:r>
      <w:r w:rsidRPr="004B77CC">
        <w:rPr>
          <w:rFonts w:cs="Arial"/>
          <w:i/>
          <w:szCs w:val="24"/>
        </w:rPr>
        <w:t>Occasional Paper No. 2</w:t>
      </w:r>
      <w:r w:rsidRPr="004B77CC">
        <w:rPr>
          <w:rFonts w:cs="Arial"/>
          <w:szCs w:val="24"/>
        </w:rPr>
        <w:t>.</w:t>
      </w:r>
      <w:r w:rsidR="00E86F35" w:rsidRPr="004B77CC">
        <w:rPr>
          <w:rFonts w:cs="Arial"/>
          <w:szCs w:val="24"/>
        </w:rPr>
        <w:t xml:space="preserve"> London: Financial Services Authority.</w:t>
      </w:r>
    </w:p>
    <w:p w14:paraId="6E5CF5D8" w14:textId="77777777" w:rsidR="004F613E" w:rsidRPr="004F613E" w:rsidRDefault="004F613E" w:rsidP="004F613E">
      <w:pPr>
        <w:pStyle w:val="References"/>
        <w:rPr>
          <w:rStyle w:val="searchword"/>
          <w:rFonts w:asciiTheme="minorHAnsi" w:hAnsiTheme="minorHAnsi"/>
          <w:sz w:val="24"/>
          <w:shd w:val="clear" w:color="auto" w:fill="auto"/>
        </w:rPr>
      </w:pPr>
      <w:r w:rsidRPr="004F613E">
        <w:rPr>
          <w:rFonts w:asciiTheme="minorHAnsi" w:hAnsiTheme="minorHAnsi"/>
          <w:sz w:val="24"/>
        </w:rPr>
        <w:t xml:space="preserve">Brown, P., </w:t>
      </w:r>
      <w:proofErr w:type="spellStart"/>
      <w:r w:rsidRPr="004F613E">
        <w:rPr>
          <w:rFonts w:asciiTheme="minorHAnsi" w:hAnsiTheme="minorHAnsi"/>
          <w:sz w:val="24"/>
        </w:rPr>
        <w:t>Preiato</w:t>
      </w:r>
      <w:proofErr w:type="spellEnd"/>
      <w:r w:rsidRPr="004F613E">
        <w:rPr>
          <w:rFonts w:asciiTheme="minorHAnsi" w:hAnsiTheme="minorHAnsi"/>
          <w:sz w:val="24"/>
        </w:rPr>
        <w:t xml:space="preserve">, </w:t>
      </w:r>
      <w:r>
        <w:rPr>
          <w:rFonts w:asciiTheme="minorHAnsi" w:hAnsiTheme="minorHAnsi"/>
          <w:sz w:val="24"/>
        </w:rPr>
        <w:t xml:space="preserve">J. </w:t>
      </w:r>
      <w:r w:rsidRPr="004F613E">
        <w:rPr>
          <w:rFonts w:asciiTheme="minorHAnsi" w:hAnsiTheme="minorHAnsi"/>
          <w:sz w:val="24"/>
        </w:rPr>
        <w:t xml:space="preserve">and </w:t>
      </w:r>
      <w:proofErr w:type="spellStart"/>
      <w:r w:rsidRPr="004F613E">
        <w:rPr>
          <w:rFonts w:asciiTheme="minorHAnsi" w:hAnsiTheme="minorHAnsi"/>
          <w:sz w:val="24"/>
        </w:rPr>
        <w:t>Tarca</w:t>
      </w:r>
      <w:proofErr w:type="spellEnd"/>
      <w:r>
        <w:rPr>
          <w:rFonts w:asciiTheme="minorHAnsi" w:hAnsiTheme="minorHAnsi"/>
          <w:sz w:val="24"/>
        </w:rPr>
        <w:t>, A</w:t>
      </w:r>
      <w:r w:rsidRPr="004F613E">
        <w:rPr>
          <w:rFonts w:asciiTheme="minorHAnsi" w:hAnsiTheme="minorHAnsi"/>
          <w:sz w:val="24"/>
        </w:rPr>
        <w:t xml:space="preserve">. </w:t>
      </w:r>
      <w:r>
        <w:rPr>
          <w:rFonts w:asciiTheme="minorHAnsi" w:hAnsiTheme="minorHAnsi"/>
          <w:sz w:val="24"/>
        </w:rPr>
        <w:t>(</w:t>
      </w:r>
      <w:r w:rsidRPr="004F613E">
        <w:rPr>
          <w:rFonts w:asciiTheme="minorHAnsi" w:hAnsiTheme="minorHAnsi"/>
          <w:sz w:val="24"/>
        </w:rPr>
        <w:t>2014</w:t>
      </w:r>
      <w:r>
        <w:rPr>
          <w:rFonts w:asciiTheme="minorHAnsi" w:hAnsiTheme="minorHAnsi"/>
          <w:sz w:val="24"/>
        </w:rPr>
        <w:t>)</w:t>
      </w:r>
      <w:r w:rsidRPr="004F613E">
        <w:rPr>
          <w:rFonts w:asciiTheme="minorHAnsi" w:hAnsiTheme="minorHAnsi"/>
          <w:sz w:val="24"/>
        </w:rPr>
        <w:t xml:space="preserve">. Measuring country differences in enforcement of accounting standards: an audit and enforcement proxy. </w:t>
      </w:r>
      <w:r w:rsidRPr="004F613E">
        <w:rPr>
          <w:rFonts w:asciiTheme="minorHAnsi" w:hAnsiTheme="minorHAnsi"/>
          <w:i/>
          <w:sz w:val="24"/>
        </w:rPr>
        <w:t>Journal of Business Finance &amp; Accounting</w:t>
      </w:r>
      <w:r>
        <w:rPr>
          <w:rFonts w:asciiTheme="minorHAnsi" w:hAnsiTheme="minorHAnsi"/>
          <w:i/>
          <w:sz w:val="24"/>
        </w:rPr>
        <w:t>,</w:t>
      </w:r>
      <w:r w:rsidR="00D3210B">
        <w:rPr>
          <w:rFonts w:asciiTheme="minorHAnsi" w:hAnsiTheme="minorHAnsi"/>
          <w:sz w:val="24"/>
        </w:rPr>
        <w:t xml:space="preserve"> 41</w:t>
      </w:r>
      <w:r w:rsidRPr="004F613E">
        <w:rPr>
          <w:rFonts w:asciiTheme="minorHAnsi" w:hAnsiTheme="minorHAnsi"/>
          <w:sz w:val="24"/>
        </w:rPr>
        <w:t>(1–2)</w:t>
      </w:r>
      <w:r>
        <w:rPr>
          <w:rFonts w:asciiTheme="minorHAnsi" w:hAnsiTheme="minorHAnsi"/>
          <w:sz w:val="24"/>
        </w:rPr>
        <w:t>,</w:t>
      </w:r>
      <w:r w:rsidRPr="004F613E">
        <w:rPr>
          <w:rFonts w:asciiTheme="minorHAnsi" w:hAnsiTheme="minorHAnsi"/>
          <w:sz w:val="24"/>
        </w:rPr>
        <w:t xml:space="preserve"> 1–52.</w:t>
      </w:r>
    </w:p>
    <w:p w14:paraId="7F5046F1" w14:textId="77777777" w:rsidR="003F12EE" w:rsidRPr="004B77CC" w:rsidRDefault="00070584" w:rsidP="004B77CC">
      <w:pPr>
        <w:autoSpaceDE w:val="0"/>
        <w:autoSpaceDN w:val="0"/>
        <w:adjustRightInd w:val="0"/>
        <w:spacing w:after="0"/>
        <w:ind w:left="360" w:hanging="360"/>
        <w:rPr>
          <w:rFonts w:cs="AdvTimes"/>
          <w:szCs w:val="24"/>
        </w:rPr>
      </w:pPr>
      <w:r>
        <w:rPr>
          <w:rFonts w:cs="AdvTimes"/>
          <w:szCs w:val="24"/>
        </w:rPr>
        <w:t xml:space="preserve">Byard, D., </w:t>
      </w:r>
      <w:r w:rsidR="003F12EE" w:rsidRPr="004B77CC">
        <w:rPr>
          <w:rFonts w:cs="AdvTimes"/>
          <w:szCs w:val="24"/>
        </w:rPr>
        <w:t xml:space="preserve">Li, </w:t>
      </w:r>
      <w:r>
        <w:rPr>
          <w:rFonts w:cs="AdvTimes"/>
          <w:szCs w:val="24"/>
        </w:rPr>
        <w:t xml:space="preserve">Y. and </w:t>
      </w:r>
      <w:r w:rsidR="003F12EE" w:rsidRPr="004B77CC">
        <w:rPr>
          <w:rFonts w:cs="AdvTimes"/>
          <w:szCs w:val="24"/>
        </w:rPr>
        <w:t>Yu</w:t>
      </w:r>
      <w:r>
        <w:rPr>
          <w:rFonts w:cs="AdvTimes"/>
          <w:szCs w:val="24"/>
        </w:rPr>
        <w:t>, Y.</w:t>
      </w:r>
      <w:r w:rsidR="003F12EE" w:rsidRPr="004B77CC">
        <w:rPr>
          <w:rFonts w:cs="AdvTimes"/>
          <w:szCs w:val="24"/>
        </w:rPr>
        <w:t xml:space="preserve"> (2011). The effect of mandated IFRS adoption on analysts’</w:t>
      </w:r>
      <w:r w:rsidR="004B77CC">
        <w:rPr>
          <w:rFonts w:cs="AdvTimes"/>
          <w:szCs w:val="24"/>
        </w:rPr>
        <w:t xml:space="preserve"> </w:t>
      </w:r>
      <w:r w:rsidR="003F12EE" w:rsidRPr="004B77CC">
        <w:rPr>
          <w:rFonts w:cs="AdvTimes"/>
          <w:szCs w:val="24"/>
        </w:rPr>
        <w:t xml:space="preserve">forecast errors. </w:t>
      </w:r>
      <w:r w:rsidR="003F12EE" w:rsidRPr="004B77CC">
        <w:rPr>
          <w:rFonts w:cs="AdvTimes-i"/>
          <w:i/>
          <w:szCs w:val="24"/>
        </w:rPr>
        <w:t>Journal of Accounting Research</w:t>
      </w:r>
      <w:r w:rsidR="00D3210B">
        <w:rPr>
          <w:rFonts w:cs="AdvTimes"/>
          <w:szCs w:val="24"/>
        </w:rPr>
        <w:t>, 49</w:t>
      </w:r>
      <w:r w:rsidR="003F12EE" w:rsidRPr="004B77CC">
        <w:rPr>
          <w:rFonts w:cs="AdvTimes"/>
          <w:szCs w:val="24"/>
        </w:rPr>
        <w:t>(1), 69–96.</w:t>
      </w:r>
    </w:p>
    <w:p w14:paraId="45BE85E9" w14:textId="77777777" w:rsidR="00D219DB" w:rsidRPr="004B77CC" w:rsidRDefault="00D219DB" w:rsidP="004B77CC">
      <w:pPr>
        <w:autoSpaceDE w:val="0"/>
        <w:autoSpaceDN w:val="0"/>
        <w:adjustRightInd w:val="0"/>
        <w:spacing w:after="0"/>
        <w:ind w:left="360" w:hanging="360"/>
        <w:rPr>
          <w:rFonts w:cs="AdvGulliv-R"/>
          <w:szCs w:val="24"/>
        </w:rPr>
      </w:pPr>
      <w:r w:rsidRPr="004B77CC">
        <w:rPr>
          <w:szCs w:val="24"/>
        </w:rPr>
        <w:t>Chen, C.,</w:t>
      </w:r>
      <w:r w:rsidR="00B25B30">
        <w:rPr>
          <w:rFonts w:cs="AdvGulliv-R"/>
          <w:szCs w:val="24"/>
        </w:rPr>
        <w:t xml:space="preserve"> Ding, Y. and Xu, B. (2014</w:t>
      </w:r>
      <w:r w:rsidRPr="004B77CC">
        <w:rPr>
          <w:rFonts w:cs="AdvGulliv-R"/>
          <w:szCs w:val="24"/>
        </w:rPr>
        <w:t>). Convergence of accounting standards and foreign</w:t>
      </w:r>
      <w:r w:rsidR="004B77CC">
        <w:rPr>
          <w:rFonts w:cs="AdvGulliv-R"/>
          <w:szCs w:val="24"/>
        </w:rPr>
        <w:t xml:space="preserve"> </w:t>
      </w:r>
      <w:r w:rsidRPr="004B77CC">
        <w:rPr>
          <w:rFonts w:cs="AdvGulliv-R"/>
          <w:szCs w:val="24"/>
        </w:rPr>
        <w:t xml:space="preserve">direct investment. </w:t>
      </w:r>
      <w:r w:rsidRPr="004B77CC">
        <w:rPr>
          <w:rFonts w:cs="AdvGulliv-R"/>
          <w:i/>
          <w:szCs w:val="24"/>
        </w:rPr>
        <w:t xml:space="preserve">International Journal of Accounting, </w:t>
      </w:r>
      <w:r w:rsidRPr="004B77CC">
        <w:rPr>
          <w:rFonts w:cs="AdvGulliv-R"/>
          <w:szCs w:val="24"/>
        </w:rPr>
        <w:t>49(1), 53-86.</w:t>
      </w:r>
    </w:p>
    <w:p w14:paraId="392406F3" w14:textId="77777777" w:rsidR="00205B38" w:rsidRPr="004B77CC" w:rsidRDefault="00205B38" w:rsidP="004B77CC">
      <w:pPr>
        <w:spacing w:after="0"/>
        <w:ind w:left="360" w:hanging="360"/>
        <w:rPr>
          <w:szCs w:val="24"/>
        </w:rPr>
      </w:pPr>
      <w:r w:rsidRPr="004B77CC">
        <w:rPr>
          <w:szCs w:val="24"/>
        </w:rPr>
        <w:t xml:space="preserve">Chen, L., Ng, J. and Tsang, A. (2015) </w:t>
      </w:r>
      <w:proofErr w:type="gramStart"/>
      <w:r w:rsidRPr="004B77CC">
        <w:rPr>
          <w:szCs w:val="24"/>
        </w:rPr>
        <w:t>The</w:t>
      </w:r>
      <w:proofErr w:type="gramEnd"/>
      <w:r w:rsidRPr="004B77CC">
        <w:rPr>
          <w:szCs w:val="24"/>
        </w:rPr>
        <w:t xml:space="preserve"> effect of mandatory IFRS adoption on international cross-listings. </w:t>
      </w:r>
      <w:r w:rsidRPr="004B77CC">
        <w:rPr>
          <w:i/>
          <w:szCs w:val="24"/>
        </w:rPr>
        <w:t>Accounting Review</w:t>
      </w:r>
      <w:r w:rsidR="00D3210B">
        <w:rPr>
          <w:szCs w:val="24"/>
        </w:rPr>
        <w:t>, 90</w:t>
      </w:r>
      <w:r w:rsidRPr="004B77CC">
        <w:rPr>
          <w:szCs w:val="24"/>
        </w:rPr>
        <w:t>(4), 1395-435.</w:t>
      </w:r>
    </w:p>
    <w:p w14:paraId="362B60CF" w14:textId="77777777" w:rsidR="00205B38" w:rsidRPr="004B77CC" w:rsidRDefault="00205B38" w:rsidP="004B77CC">
      <w:pPr>
        <w:spacing w:after="0"/>
        <w:ind w:left="360" w:hanging="360"/>
        <w:rPr>
          <w:szCs w:val="24"/>
        </w:rPr>
      </w:pPr>
      <w:r w:rsidRPr="004B77CC">
        <w:rPr>
          <w:szCs w:val="24"/>
        </w:rPr>
        <w:lastRenderedPageBreak/>
        <w:t xml:space="preserve">Christensen, N., Hail, L. and </w:t>
      </w:r>
      <w:proofErr w:type="spellStart"/>
      <w:r w:rsidRPr="004B77CC">
        <w:rPr>
          <w:szCs w:val="24"/>
        </w:rPr>
        <w:t>Leuz</w:t>
      </w:r>
      <w:proofErr w:type="spellEnd"/>
      <w:r w:rsidRPr="004B77CC">
        <w:rPr>
          <w:szCs w:val="24"/>
        </w:rPr>
        <w:t xml:space="preserve">, C. (2013). Mandatory IFRS reporting and changes in enforcement. </w:t>
      </w:r>
      <w:r w:rsidRPr="004B77CC">
        <w:rPr>
          <w:i/>
          <w:szCs w:val="24"/>
        </w:rPr>
        <w:t>Journal of Accounting and Economics</w:t>
      </w:r>
      <w:r w:rsidR="00D3210B">
        <w:rPr>
          <w:szCs w:val="24"/>
        </w:rPr>
        <w:t>, 56</w:t>
      </w:r>
      <w:r w:rsidRPr="004B77CC">
        <w:rPr>
          <w:szCs w:val="24"/>
        </w:rPr>
        <w:t>(2/3), 147-77.</w:t>
      </w:r>
    </w:p>
    <w:p w14:paraId="392DB872" w14:textId="77777777" w:rsidR="00897442" w:rsidRPr="00897442" w:rsidRDefault="00897442" w:rsidP="00897442">
      <w:pPr>
        <w:pStyle w:val="ReferencesFurtherreading"/>
        <w:rPr>
          <w:rFonts w:asciiTheme="minorHAnsi" w:hAnsiTheme="minorHAnsi"/>
          <w:sz w:val="24"/>
          <w:szCs w:val="24"/>
        </w:rPr>
      </w:pPr>
      <w:proofErr w:type="spellStart"/>
      <w:r w:rsidRPr="00897442">
        <w:rPr>
          <w:rFonts w:asciiTheme="minorHAnsi" w:hAnsiTheme="minorHAnsi"/>
          <w:sz w:val="24"/>
          <w:szCs w:val="24"/>
        </w:rPr>
        <w:t>Colasse</w:t>
      </w:r>
      <w:proofErr w:type="spellEnd"/>
      <w:r w:rsidRPr="00897442">
        <w:rPr>
          <w:rFonts w:asciiTheme="minorHAnsi" w:hAnsiTheme="minorHAnsi"/>
          <w:sz w:val="24"/>
          <w:szCs w:val="24"/>
        </w:rPr>
        <w:t xml:space="preserve">, B. and Standish, P. (1998). De la </w:t>
      </w:r>
      <w:proofErr w:type="spellStart"/>
      <w:r w:rsidRPr="00897442">
        <w:rPr>
          <w:rFonts w:asciiTheme="minorHAnsi" w:hAnsiTheme="minorHAnsi"/>
          <w:sz w:val="24"/>
          <w:szCs w:val="24"/>
        </w:rPr>
        <w:t>réforme</w:t>
      </w:r>
      <w:proofErr w:type="spellEnd"/>
      <w:r w:rsidRPr="00897442">
        <w:rPr>
          <w:rFonts w:asciiTheme="minorHAnsi" w:hAnsiTheme="minorHAnsi"/>
          <w:sz w:val="24"/>
          <w:szCs w:val="24"/>
        </w:rPr>
        <w:t xml:space="preserve"> 1996–1998 du </w:t>
      </w:r>
      <w:proofErr w:type="spellStart"/>
      <w:r w:rsidRPr="00897442">
        <w:rPr>
          <w:rFonts w:asciiTheme="minorHAnsi" w:hAnsiTheme="minorHAnsi"/>
          <w:sz w:val="24"/>
          <w:szCs w:val="24"/>
        </w:rPr>
        <w:t>dispositif</w:t>
      </w:r>
      <w:proofErr w:type="spellEnd"/>
      <w:r w:rsidRPr="00897442">
        <w:rPr>
          <w:rFonts w:asciiTheme="minorHAnsi" w:hAnsiTheme="minorHAnsi"/>
          <w:sz w:val="24"/>
          <w:szCs w:val="24"/>
        </w:rPr>
        <w:t xml:space="preserve"> </w:t>
      </w:r>
      <w:proofErr w:type="spellStart"/>
      <w:r w:rsidRPr="00897442">
        <w:rPr>
          <w:rFonts w:asciiTheme="minorHAnsi" w:hAnsiTheme="minorHAnsi"/>
          <w:sz w:val="24"/>
          <w:szCs w:val="24"/>
        </w:rPr>
        <w:t>français</w:t>
      </w:r>
      <w:proofErr w:type="spellEnd"/>
      <w:r w:rsidRPr="00897442">
        <w:rPr>
          <w:rFonts w:asciiTheme="minorHAnsi" w:hAnsiTheme="minorHAnsi"/>
          <w:sz w:val="24"/>
          <w:szCs w:val="24"/>
        </w:rPr>
        <w:t xml:space="preserve"> de </w:t>
      </w:r>
      <w:proofErr w:type="spellStart"/>
      <w:r w:rsidRPr="00897442">
        <w:rPr>
          <w:rFonts w:asciiTheme="minorHAnsi" w:hAnsiTheme="minorHAnsi"/>
          <w:sz w:val="24"/>
          <w:szCs w:val="24"/>
        </w:rPr>
        <w:t>normalisation</w:t>
      </w:r>
      <w:proofErr w:type="spellEnd"/>
      <w:r w:rsidRPr="00897442">
        <w:rPr>
          <w:rFonts w:asciiTheme="minorHAnsi" w:hAnsiTheme="minorHAnsi"/>
          <w:sz w:val="24"/>
          <w:szCs w:val="24"/>
        </w:rPr>
        <w:t xml:space="preserve"> </w:t>
      </w:r>
      <w:proofErr w:type="spellStart"/>
      <w:r w:rsidRPr="00897442">
        <w:rPr>
          <w:rFonts w:asciiTheme="minorHAnsi" w:hAnsiTheme="minorHAnsi"/>
          <w:sz w:val="24"/>
          <w:szCs w:val="24"/>
        </w:rPr>
        <w:t>comptable</w:t>
      </w:r>
      <w:proofErr w:type="spellEnd"/>
      <w:r w:rsidRPr="00897442">
        <w:rPr>
          <w:rFonts w:asciiTheme="minorHAnsi" w:hAnsiTheme="minorHAnsi"/>
          <w:sz w:val="24"/>
          <w:szCs w:val="24"/>
        </w:rPr>
        <w:t xml:space="preserve">. </w:t>
      </w:r>
      <w:proofErr w:type="spellStart"/>
      <w:r w:rsidRPr="00897442">
        <w:rPr>
          <w:rFonts w:asciiTheme="minorHAnsi" w:hAnsiTheme="minorHAnsi"/>
          <w:i/>
          <w:sz w:val="24"/>
          <w:szCs w:val="24"/>
        </w:rPr>
        <w:t>Comptabilité</w:t>
      </w:r>
      <w:proofErr w:type="spellEnd"/>
      <w:r w:rsidRPr="00897442">
        <w:rPr>
          <w:rFonts w:asciiTheme="minorHAnsi" w:hAnsiTheme="minorHAnsi"/>
          <w:i/>
          <w:sz w:val="24"/>
          <w:szCs w:val="24"/>
        </w:rPr>
        <w:t xml:space="preserve">, </w:t>
      </w:r>
      <w:proofErr w:type="spellStart"/>
      <w:r w:rsidRPr="00897442">
        <w:rPr>
          <w:rFonts w:asciiTheme="minorHAnsi" w:hAnsiTheme="minorHAnsi"/>
          <w:i/>
          <w:sz w:val="24"/>
          <w:szCs w:val="24"/>
        </w:rPr>
        <w:t>Contrôle</w:t>
      </w:r>
      <w:proofErr w:type="spellEnd"/>
      <w:r w:rsidRPr="00897442">
        <w:rPr>
          <w:rFonts w:asciiTheme="minorHAnsi" w:hAnsiTheme="minorHAnsi"/>
          <w:i/>
          <w:sz w:val="24"/>
          <w:szCs w:val="24"/>
        </w:rPr>
        <w:t>, Audit</w:t>
      </w:r>
      <w:r w:rsidRPr="00897442">
        <w:rPr>
          <w:rFonts w:asciiTheme="minorHAnsi" w:hAnsiTheme="minorHAnsi"/>
          <w:sz w:val="24"/>
          <w:szCs w:val="24"/>
        </w:rPr>
        <w:t>, 4(2), 5-27.</w:t>
      </w:r>
    </w:p>
    <w:p w14:paraId="2A09BFB0"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Da Costa, R.C., Bourge</w:t>
      </w:r>
      <w:r w:rsidR="00672186">
        <w:rPr>
          <w:rFonts w:asciiTheme="minorHAnsi" w:hAnsiTheme="minorHAnsi"/>
          <w:sz w:val="24"/>
          <w:szCs w:val="24"/>
        </w:rPr>
        <w:t>ois, J.C. and Lawson, W.M. (1978</w:t>
      </w:r>
      <w:r w:rsidRPr="004B77CC">
        <w:rPr>
          <w:rFonts w:asciiTheme="minorHAnsi" w:hAnsiTheme="minorHAnsi"/>
          <w:sz w:val="24"/>
          <w:szCs w:val="24"/>
        </w:rPr>
        <w:t>)</w:t>
      </w:r>
      <w:r w:rsidR="000775D7"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A classiﬁcation of international</w:t>
      </w:r>
      <w:r w:rsidR="00394E8F" w:rsidRPr="004B77CC">
        <w:rPr>
          <w:rFonts w:asciiTheme="minorHAnsi" w:hAnsiTheme="minorHAnsi"/>
          <w:sz w:val="24"/>
          <w:szCs w:val="24"/>
        </w:rPr>
        <w:t xml:space="preserve"> ﬁnancial accounting practices</w:t>
      </w:r>
      <w:r w:rsidR="000775D7" w:rsidRPr="004B77CC">
        <w:rPr>
          <w:rFonts w:asciiTheme="minorHAnsi" w:hAnsiTheme="minorHAnsi"/>
          <w:sz w:val="24"/>
          <w:szCs w:val="24"/>
        </w:rPr>
        <w:t xml:space="preserve">. </w:t>
      </w:r>
      <w:r w:rsidRPr="004B77CC">
        <w:rPr>
          <w:rFonts w:asciiTheme="minorHAnsi" w:hAnsiTheme="minorHAnsi"/>
          <w:i/>
          <w:sz w:val="24"/>
          <w:szCs w:val="24"/>
        </w:rPr>
        <w:t>International Journal of Accounting</w:t>
      </w:r>
      <w:r w:rsidR="000775D7" w:rsidRPr="004B77CC">
        <w:rPr>
          <w:rFonts w:asciiTheme="minorHAnsi" w:hAnsiTheme="minorHAnsi"/>
          <w:sz w:val="24"/>
          <w:szCs w:val="24"/>
        </w:rPr>
        <w:t xml:space="preserve">, 13(2), </w:t>
      </w:r>
      <w:r w:rsidRPr="004B77CC">
        <w:rPr>
          <w:rFonts w:asciiTheme="minorHAnsi" w:hAnsiTheme="minorHAnsi"/>
          <w:sz w:val="24"/>
          <w:szCs w:val="24"/>
        </w:rPr>
        <w:t>73-85.</w:t>
      </w:r>
    </w:p>
    <w:p w14:paraId="530B8759"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D’Arcy, A. (2001)</w:t>
      </w:r>
      <w:r w:rsidR="000775D7"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 xml:space="preserve">Accounting classiﬁcation and the international </w:t>
      </w:r>
      <w:proofErr w:type="spellStart"/>
      <w:r w:rsidRPr="004B77CC">
        <w:rPr>
          <w:rFonts w:asciiTheme="minorHAnsi" w:hAnsiTheme="minorHAnsi"/>
          <w:sz w:val="24"/>
          <w:szCs w:val="24"/>
        </w:rPr>
        <w:t>harmonisation</w:t>
      </w:r>
      <w:proofErr w:type="spellEnd"/>
      <w:r w:rsidRPr="004B77CC">
        <w:rPr>
          <w:rFonts w:asciiTheme="minorHAnsi" w:hAnsiTheme="minorHAnsi"/>
          <w:sz w:val="24"/>
          <w:szCs w:val="24"/>
        </w:rPr>
        <w:t xml:space="preserve"> debate – an empirical inves</w:t>
      </w:r>
      <w:r w:rsidR="00394E8F" w:rsidRPr="004B77CC">
        <w:rPr>
          <w:rFonts w:asciiTheme="minorHAnsi" w:hAnsiTheme="minorHAnsi"/>
          <w:sz w:val="24"/>
          <w:szCs w:val="24"/>
        </w:rPr>
        <w:t>tigation</w:t>
      </w:r>
      <w:r w:rsidR="000775D7" w:rsidRPr="004B77CC">
        <w:rPr>
          <w:rFonts w:asciiTheme="minorHAnsi" w:hAnsiTheme="minorHAnsi"/>
          <w:sz w:val="24"/>
          <w:szCs w:val="24"/>
        </w:rPr>
        <w:t xml:space="preserve">. </w:t>
      </w:r>
      <w:r w:rsidRPr="004B77CC">
        <w:rPr>
          <w:rFonts w:asciiTheme="minorHAnsi" w:hAnsiTheme="minorHAnsi"/>
          <w:i/>
          <w:sz w:val="24"/>
          <w:szCs w:val="24"/>
        </w:rPr>
        <w:t>Accounting, Organizations and Society</w:t>
      </w:r>
      <w:r w:rsidRPr="004B77CC">
        <w:rPr>
          <w:rFonts w:asciiTheme="minorHAnsi" w:hAnsiTheme="minorHAnsi"/>
          <w:sz w:val="24"/>
          <w:szCs w:val="24"/>
        </w:rPr>
        <w:t>, 26</w:t>
      </w:r>
      <w:r w:rsidR="000775D7" w:rsidRPr="004B77CC">
        <w:rPr>
          <w:rFonts w:asciiTheme="minorHAnsi" w:hAnsiTheme="minorHAnsi"/>
          <w:sz w:val="24"/>
          <w:szCs w:val="24"/>
        </w:rPr>
        <w:t>(</w:t>
      </w:r>
      <w:r w:rsidRPr="004B77CC">
        <w:rPr>
          <w:rFonts w:asciiTheme="minorHAnsi" w:hAnsiTheme="minorHAnsi"/>
          <w:sz w:val="24"/>
          <w:szCs w:val="24"/>
        </w:rPr>
        <w:t>4–5</w:t>
      </w:r>
      <w:r w:rsidR="000775D7" w:rsidRPr="004B77CC">
        <w:rPr>
          <w:rFonts w:asciiTheme="minorHAnsi" w:hAnsiTheme="minorHAnsi"/>
          <w:sz w:val="24"/>
          <w:szCs w:val="24"/>
        </w:rPr>
        <w:t>)</w:t>
      </w:r>
      <w:r w:rsidRPr="004B77CC">
        <w:rPr>
          <w:rFonts w:asciiTheme="minorHAnsi" w:hAnsiTheme="minorHAnsi"/>
          <w:sz w:val="24"/>
          <w:szCs w:val="24"/>
        </w:rPr>
        <w:t>, 327-49.</w:t>
      </w:r>
    </w:p>
    <w:p w14:paraId="7C5434F3" w14:textId="77777777" w:rsidR="00205B38" w:rsidRPr="004B77CC" w:rsidRDefault="00205B38" w:rsidP="004B77CC">
      <w:pPr>
        <w:spacing w:after="0"/>
        <w:ind w:left="360" w:hanging="360"/>
        <w:rPr>
          <w:szCs w:val="24"/>
        </w:rPr>
      </w:pPr>
      <w:proofErr w:type="spellStart"/>
      <w:r w:rsidRPr="004B77CC">
        <w:rPr>
          <w:szCs w:val="24"/>
        </w:rPr>
        <w:t>Daske</w:t>
      </w:r>
      <w:proofErr w:type="spellEnd"/>
      <w:r w:rsidRPr="004B77CC">
        <w:rPr>
          <w:szCs w:val="24"/>
        </w:rPr>
        <w:t xml:space="preserve">, H., Hail, L., </w:t>
      </w:r>
      <w:proofErr w:type="spellStart"/>
      <w:r w:rsidRPr="004B77CC">
        <w:rPr>
          <w:szCs w:val="24"/>
        </w:rPr>
        <w:t>Leuz</w:t>
      </w:r>
      <w:proofErr w:type="spellEnd"/>
      <w:r w:rsidRPr="004B77CC">
        <w:rPr>
          <w:szCs w:val="24"/>
        </w:rPr>
        <w:t>, C. and Verdi, R. (2008). Mandatory IFRS reporting around the world: Early evidence</w:t>
      </w:r>
      <w:r w:rsidR="00387C41" w:rsidRPr="004B77CC">
        <w:rPr>
          <w:szCs w:val="24"/>
        </w:rPr>
        <w:t xml:space="preserve"> on the economic consequences. </w:t>
      </w:r>
      <w:r w:rsidRPr="004B77CC">
        <w:rPr>
          <w:i/>
          <w:szCs w:val="24"/>
        </w:rPr>
        <w:t>Journal of Accounting Research</w:t>
      </w:r>
      <w:r w:rsidR="00D3210B">
        <w:rPr>
          <w:szCs w:val="24"/>
        </w:rPr>
        <w:t>, 46</w:t>
      </w:r>
      <w:r w:rsidRPr="004B77CC">
        <w:rPr>
          <w:szCs w:val="24"/>
        </w:rPr>
        <w:t>(5), 1085-1142.</w:t>
      </w:r>
    </w:p>
    <w:p w14:paraId="45804364"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David, R. and Brierley, J.E.C. (1985)</w:t>
      </w:r>
      <w:r w:rsidR="000775D7" w:rsidRPr="004B77CC">
        <w:rPr>
          <w:rFonts w:asciiTheme="minorHAnsi" w:hAnsiTheme="minorHAnsi"/>
          <w:sz w:val="24"/>
          <w:szCs w:val="24"/>
        </w:rPr>
        <w:t xml:space="preserve">. </w:t>
      </w:r>
      <w:r w:rsidRPr="004B77CC">
        <w:rPr>
          <w:rFonts w:asciiTheme="minorHAnsi" w:hAnsiTheme="minorHAnsi"/>
          <w:sz w:val="24"/>
          <w:szCs w:val="24"/>
        </w:rPr>
        <w:t xml:space="preserve"> </w:t>
      </w:r>
      <w:r w:rsidR="005C5497" w:rsidRPr="004B77CC">
        <w:rPr>
          <w:rFonts w:asciiTheme="minorHAnsi" w:hAnsiTheme="minorHAnsi"/>
          <w:i/>
          <w:sz w:val="24"/>
          <w:szCs w:val="24"/>
        </w:rPr>
        <w:t>Major legal systems in the world t</w:t>
      </w:r>
      <w:r w:rsidRPr="004B77CC">
        <w:rPr>
          <w:rFonts w:asciiTheme="minorHAnsi" w:hAnsiTheme="minorHAnsi"/>
          <w:i/>
          <w:sz w:val="24"/>
          <w:szCs w:val="24"/>
        </w:rPr>
        <w:t>oday</w:t>
      </w:r>
      <w:r w:rsidR="005C5497" w:rsidRPr="004B77CC">
        <w:rPr>
          <w:rFonts w:asciiTheme="minorHAnsi" w:hAnsiTheme="minorHAnsi"/>
          <w:sz w:val="24"/>
          <w:szCs w:val="24"/>
        </w:rPr>
        <w:t>.</w:t>
      </w:r>
      <w:r w:rsidRPr="004B77CC">
        <w:rPr>
          <w:rFonts w:asciiTheme="minorHAnsi" w:hAnsiTheme="minorHAnsi"/>
          <w:sz w:val="24"/>
          <w:szCs w:val="24"/>
        </w:rPr>
        <w:t xml:space="preserve"> </w:t>
      </w:r>
      <w:r w:rsidR="005C5497" w:rsidRPr="004B77CC">
        <w:rPr>
          <w:rFonts w:asciiTheme="minorHAnsi" w:hAnsiTheme="minorHAnsi"/>
          <w:sz w:val="24"/>
          <w:szCs w:val="24"/>
        </w:rPr>
        <w:t>London: Stevens</w:t>
      </w:r>
      <w:r w:rsidRPr="004B77CC">
        <w:rPr>
          <w:rFonts w:asciiTheme="minorHAnsi" w:hAnsiTheme="minorHAnsi"/>
          <w:sz w:val="24"/>
          <w:szCs w:val="24"/>
        </w:rPr>
        <w:t>.</w:t>
      </w:r>
    </w:p>
    <w:p w14:paraId="64A62992" w14:textId="77777777" w:rsidR="004F6360" w:rsidRPr="004B77CC" w:rsidRDefault="004F6360" w:rsidP="004B77CC">
      <w:pPr>
        <w:spacing w:after="0"/>
        <w:ind w:left="360" w:hanging="360"/>
        <w:rPr>
          <w:szCs w:val="24"/>
        </w:rPr>
      </w:pPr>
      <w:r w:rsidRPr="004B77CC">
        <w:rPr>
          <w:szCs w:val="24"/>
        </w:rPr>
        <w:t xml:space="preserve">Deloitte </w:t>
      </w:r>
      <w:r w:rsidR="000B21CE" w:rsidRPr="004B77CC">
        <w:rPr>
          <w:szCs w:val="24"/>
        </w:rPr>
        <w:t>(</w:t>
      </w:r>
      <w:r w:rsidRPr="004B77CC">
        <w:rPr>
          <w:szCs w:val="24"/>
        </w:rPr>
        <w:t>20</w:t>
      </w:r>
      <w:r w:rsidR="000B21CE" w:rsidRPr="004B77CC">
        <w:rPr>
          <w:szCs w:val="24"/>
        </w:rPr>
        <w:t>14).</w:t>
      </w:r>
      <w:r w:rsidRPr="004B77CC">
        <w:rPr>
          <w:szCs w:val="24"/>
        </w:rPr>
        <w:t xml:space="preserve"> </w:t>
      </w:r>
      <w:r w:rsidR="000B21CE" w:rsidRPr="004B77CC">
        <w:rPr>
          <w:i/>
          <w:szCs w:val="24"/>
        </w:rPr>
        <w:t>Financial reporting by listed companies: spotlight on Swiss t</w:t>
      </w:r>
      <w:r w:rsidRPr="004B77CC">
        <w:rPr>
          <w:i/>
          <w:szCs w:val="24"/>
        </w:rPr>
        <w:t>rends</w:t>
      </w:r>
      <w:r w:rsidRPr="004B77CC">
        <w:rPr>
          <w:szCs w:val="24"/>
        </w:rPr>
        <w:t>.      Zurich: Deloitte.</w:t>
      </w:r>
    </w:p>
    <w:p w14:paraId="5595A280" w14:textId="77777777" w:rsidR="00F2752B" w:rsidRPr="004B77CC" w:rsidRDefault="00F2752B" w:rsidP="004B77CC">
      <w:pPr>
        <w:autoSpaceDE w:val="0"/>
        <w:autoSpaceDN w:val="0"/>
        <w:adjustRightInd w:val="0"/>
        <w:spacing w:after="0"/>
        <w:ind w:left="360" w:hanging="360"/>
        <w:rPr>
          <w:rFonts w:cs="AdvGulliv-R"/>
          <w:szCs w:val="24"/>
        </w:rPr>
      </w:pPr>
      <w:r w:rsidRPr="004B77CC">
        <w:rPr>
          <w:rFonts w:cs="AdvGulliv-R"/>
          <w:szCs w:val="24"/>
        </w:rPr>
        <w:t xml:space="preserve">Ding, Y., </w:t>
      </w:r>
      <w:proofErr w:type="spellStart"/>
      <w:r w:rsidRPr="004B77CC">
        <w:rPr>
          <w:rFonts w:cs="AdvGulliv-R"/>
          <w:szCs w:val="24"/>
        </w:rPr>
        <w:t>Jeanjean</w:t>
      </w:r>
      <w:proofErr w:type="spellEnd"/>
      <w:r w:rsidRPr="004B77CC">
        <w:rPr>
          <w:rFonts w:cs="AdvGulliv-R"/>
          <w:szCs w:val="24"/>
        </w:rPr>
        <w:t xml:space="preserve">, T., </w:t>
      </w:r>
      <w:proofErr w:type="spellStart"/>
      <w:r w:rsidRPr="004B77CC">
        <w:rPr>
          <w:rFonts w:cs="AdvGulliv-R"/>
          <w:szCs w:val="24"/>
        </w:rPr>
        <w:t>Stolowy</w:t>
      </w:r>
      <w:proofErr w:type="spellEnd"/>
      <w:r w:rsidRPr="004B77CC">
        <w:rPr>
          <w:rFonts w:cs="AdvGulliv-R"/>
          <w:szCs w:val="24"/>
        </w:rPr>
        <w:t>, H. (2005). Why do national GAAP differ from IAS? The</w:t>
      </w:r>
      <w:r w:rsidR="004B77CC">
        <w:rPr>
          <w:rFonts w:cs="AdvGulliv-R"/>
          <w:szCs w:val="24"/>
        </w:rPr>
        <w:t xml:space="preserve"> </w:t>
      </w:r>
      <w:r w:rsidRPr="004B77CC">
        <w:rPr>
          <w:rFonts w:cs="AdvGulliv-R"/>
          <w:szCs w:val="24"/>
        </w:rPr>
        <w:t xml:space="preserve">role of culture. </w:t>
      </w:r>
      <w:r w:rsidRPr="004B77CC">
        <w:rPr>
          <w:rFonts w:cs="AdvGulliv-R"/>
          <w:i/>
          <w:szCs w:val="24"/>
        </w:rPr>
        <w:t>International Journal of Accounting</w:t>
      </w:r>
      <w:r w:rsidRPr="004B77CC">
        <w:rPr>
          <w:rFonts w:cs="AdvGulliv-R"/>
          <w:szCs w:val="24"/>
        </w:rPr>
        <w:t>, 40(</w:t>
      </w:r>
      <w:r w:rsidR="00575F12" w:rsidRPr="004B77CC">
        <w:rPr>
          <w:rFonts w:cs="AdvGulliv-R"/>
          <w:szCs w:val="24"/>
        </w:rPr>
        <w:t>4)</w:t>
      </w:r>
      <w:r w:rsidRPr="004B77CC">
        <w:rPr>
          <w:rFonts w:cs="AdvGulliv-R"/>
          <w:szCs w:val="24"/>
        </w:rPr>
        <w:t>, 325-350.</w:t>
      </w:r>
    </w:p>
    <w:p w14:paraId="6887E7E2" w14:textId="77777777" w:rsidR="00A04CAA" w:rsidRPr="004B77CC" w:rsidRDefault="00A04CAA" w:rsidP="004B77CC">
      <w:pPr>
        <w:autoSpaceDE w:val="0"/>
        <w:autoSpaceDN w:val="0"/>
        <w:adjustRightInd w:val="0"/>
        <w:spacing w:after="0"/>
        <w:ind w:left="360" w:hanging="360"/>
        <w:rPr>
          <w:rFonts w:cs="AdvGulliv-R"/>
          <w:szCs w:val="24"/>
        </w:rPr>
      </w:pPr>
      <w:r w:rsidRPr="004B77CC">
        <w:rPr>
          <w:rFonts w:cs="AdvGulliv-R"/>
          <w:szCs w:val="24"/>
        </w:rPr>
        <w:t xml:space="preserve">Ding, Y., Hope, O.-K., </w:t>
      </w:r>
      <w:proofErr w:type="spellStart"/>
      <w:r w:rsidRPr="004B77CC">
        <w:rPr>
          <w:rFonts w:cs="AdvGulliv-R"/>
          <w:szCs w:val="24"/>
        </w:rPr>
        <w:t>Jeanjean</w:t>
      </w:r>
      <w:proofErr w:type="spellEnd"/>
      <w:r w:rsidRPr="004B77CC">
        <w:rPr>
          <w:rFonts w:cs="AdvGulliv-R"/>
          <w:szCs w:val="24"/>
        </w:rPr>
        <w:t xml:space="preserve">, T., </w:t>
      </w:r>
      <w:proofErr w:type="spellStart"/>
      <w:r w:rsidRPr="004B77CC">
        <w:rPr>
          <w:rFonts w:cs="AdvGulliv-R"/>
          <w:szCs w:val="24"/>
        </w:rPr>
        <w:t>Stolowy</w:t>
      </w:r>
      <w:proofErr w:type="spellEnd"/>
      <w:r w:rsidRPr="004B77CC">
        <w:rPr>
          <w:rFonts w:cs="AdvGulliv-R"/>
          <w:szCs w:val="24"/>
        </w:rPr>
        <w:t>, H. (2007). Differences between domestic</w:t>
      </w:r>
      <w:r w:rsidR="004B77CC">
        <w:rPr>
          <w:rFonts w:cs="AdvGulliv-R"/>
          <w:szCs w:val="24"/>
        </w:rPr>
        <w:t xml:space="preserve"> </w:t>
      </w:r>
      <w:r w:rsidRPr="004B77CC">
        <w:rPr>
          <w:rFonts w:cs="AdvGulliv-R"/>
          <w:szCs w:val="24"/>
        </w:rPr>
        <w:t xml:space="preserve">accounting standards and IAS: measurement, determinants and implications. </w:t>
      </w:r>
      <w:r w:rsidR="004B77CC">
        <w:rPr>
          <w:rFonts w:cs="AdvGulliv-R"/>
          <w:i/>
          <w:szCs w:val="24"/>
        </w:rPr>
        <w:t xml:space="preserve">Journal </w:t>
      </w:r>
      <w:r w:rsidRPr="004B77CC">
        <w:rPr>
          <w:rFonts w:cs="AdvGulliv-R"/>
          <w:i/>
          <w:szCs w:val="24"/>
        </w:rPr>
        <w:t>of Accounting and Public Policy</w:t>
      </w:r>
      <w:r w:rsidRPr="004B77CC">
        <w:rPr>
          <w:rFonts w:cs="AdvGulliv-R"/>
          <w:szCs w:val="24"/>
        </w:rPr>
        <w:t>, 26</w:t>
      </w:r>
      <w:r w:rsidR="003B422A">
        <w:rPr>
          <w:rFonts w:cs="AdvGulliv-R"/>
          <w:szCs w:val="24"/>
        </w:rPr>
        <w:t>(1)</w:t>
      </w:r>
      <w:r w:rsidRPr="004B77CC">
        <w:rPr>
          <w:rFonts w:cs="AdvGulliv-R"/>
          <w:szCs w:val="24"/>
        </w:rPr>
        <w:t>, 1–38.</w:t>
      </w:r>
    </w:p>
    <w:p w14:paraId="40D7ABB5" w14:textId="77777777" w:rsidR="008F639B" w:rsidRPr="004B77CC" w:rsidRDefault="008F639B" w:rsidP="004B77CC">
      <w:pPr>
        <w:autoSpaceDE w:val="0"/>
        <w:autoSpaceDN w:val="0"/>
        <w:adjustRightInd w:val="0"/>
        <w:spacing w:after="0"/>
        <w:ind w:left="360" w:hanging="360"/>
        <w:rPr>
          <w:rFonts w:cs="AdvGulliv-R"/>
          <w:szCs w:val="24"/>
        </w:rPr>
      </w:pPr>
      <w:r w:rsidRPr="004B77CC">
        <w:rPr>
          <w:rFonts w:cs="AdvGulliv-R"/>
          <w:szCs w:val="24"/>
        </w:rPr>
        <w:t xml:space="preserve">Ding, Y., </w:t>
      </w:r>
      <w:proofErr w:type="spellStart"/>
      <w:r w:rsidRPr="004B77CC">
        <w:rPr>
          <w:rFonts w:cs="AdvGulliv-R"/>
          <w:szCs w:val="24"/>
        </w:rPr>
        <w:t>Jeanjean</w:t>
      </w:r>
      <w:proofErr w:type="spellEnd"/>
      <w:r w:rsidRPr="004B77CC">
        <w:rPr>
          <w:rFonts w:cs="AdvGulliv-R"/>
          <w:szCs w:val="24"/>
        </w:rPr>
        <w:t xml:space="preserve">, T., </w:t>
      </w:r>
      <w:proofErr w:type="spellStart"/>
      <w:r w:rsidRPr="004B77CC">
        <w:rPr>
          <w:rFonts w:cs="AdvGulliv-R"/>
          <w:szCs w:val="24"/>
        </w:rPr>
        <w:t>Stolowy</w:t>
      </w:r>
      <w:proofErr w:type="spellEnd"/>
      <w:r w:rsidRPr="004B77CC">
        <w:rPr>
          <w:rFonts w:cs="AdvGulliv-R"/>
          <w:szCs w:val="24"/>
        </w:rPr>
        <w:t>, H. (2009). Differences between domestic accounting</w:t>
      </w:r>
      <w:r w:rsidR="004B77CC">
        <w:rPr>
          <w:rFonts w:cs="AdvGulliv-R"/>
          <w:szCs w:val="24"/>
        </w:rPr>
        <w:t xml:space="preserve"> </w:t>
      </w:r>
      <w:r w:rsidRPr="004B77CC">
        <w:rPr>
          <w:rFonts w:cs="AdvGulliv-R"/>
          <w:szCs w:val="24"/>
        </w:rPr>
        <w:t xml:space="preserve">standards and IAS: measurement, determinants and implications: a reply. </w:t>
      </w:r>
      <w:r w:rsidRPr="004B77CC">
        <w:rPr>
          <w:rFonts w:cs="AdvGulliv-R"/>
          <w:i/>
          <w:szCs w:val="24"/>
        </w:rPr>
        <w:t>Journal of Accounting and Public Policy</w:t>
      </w:r>
      <w:r w:rsidR="003B422A">
        <w:rPr>
          <w:rFonts w:cs="AdvGulliv-R"/>
          <w:szCs w:val="24"/>
        </w:rPr>
        <w:t>, 28(2)</w:t>
      </w:r>
      <w:r w:rsidRPr="004B77CC">
        <w:rPr>
          <w:rFonts w:cs="AdvGulliv-R"/>
          <w:szCs w:val="24"/>
        </w:rPr>
        <w:t>, 154-161.</w:t>
      </w:r>
    </w:p>
    <w:p w14:paraId="2CE31A18" w14:textId="77777777" w:rsidR="00F10B82" w:rsidRPr="004B77CC" w:rsidRDefault="00E86F35" w:rsidP="004B77CC">
      <w:pPr>
        <w:pStyle w:val="ReferencesFurtherreading"/>
        <w:ind w:left="360" w:hanging="360"/>
        <w:rPr>
          <w:rFonts w:asciiTheme="minorHAnsi" w:hAnsiTheme="minorHAnsi"/>
          <w:sz w:val="24"/>
          <w:szCs w:val="24"/>
        </w:rPr>
      </w:pPr>
      <w:r w:rsidRPr="004B77CC">
        <w:rPr>
          <w:rFonts w:asciiTheme="minorHAnsi" w:hAnsiTheme="minorHAnsi"/>
          <w:sz w:val="24"/>
          <w:szCs w:val="24"/>
        </w:rPr>
        <w:lastRenderedPageBreak/>
        <w:t xml:space="preserve">Diogenes </w:t>
      </w:r>
      <w:r w:rsidR="00F10B82" w:rsidRPr="004B77CC">
        <w:rPr>
          <w:rFonts w:asciiTheme="minorHAnsi" w:hAnsiTheme="minorHAnsi"/>
          <w:sz w:val="24"/>
          <w:szCs w:val="24"/>
        </w:rPr>
        <w:t>La</w:t>
      </w:r>
      <w:r w:rsidRPr="004B77CC">
        <w:rPr>
          <w:rFonts w:asciiTheme="minorHAnsi" w:hAnsiTheme="minorHAnsi"/>
          <w:sz w:val="24"/>
          <w:szCs w:val="24"/>
        </w:rPr>
        <w:t>e</w:t>
      </w:r>
      <w:r w:rsidR="00F10B82" w:rsidRPr="004B77CC">
        <w:rPr>
          <w:rFonts w:asciiTheme="minorHAnsi" w:hAnsiTheme="minorHAnsi"/>
          <w:sz w:val="24"/>
          <w:szCs w:val="24"/>
        </w:rPr>
        <w:t>rtius</w:t>
      </w:r>
      <w:r w:rsidRPr="004B77CC">
        <w:rPr>
          <w:rFonts w:asciiTheme="minorHAnsi" w:hAnsiTheme="minorHAnsi"/>
          <w:sz w:val="24"/>
          <w:szCs w:val="24"/>
        </w:rPr>
        <w:t xml:space="preserve"> </w:t>
      </w:r>
      <w:r w:rsidR="00F10B82" w:rsidRPr="004B77CC">
        <w:rPr>
          <w:rFonts w:asciiTheme="minorHAnsi" w:hAnsiTheme="minorHAnsi"/>
          <w:sz w:val="24"/>
          <w:szCs w:val="24"/>
        </w:rPr>
        <w:t xml:space="preserve">(1925). </w:t>
      </w:r>
      <w:r w:rsidR="00F10B82" w:rsidRPr="004B77CC">
        <w:rPr>
          <w:rFonts w:asciiTheme="minorHAnsi" w:hAnsiTheme="minorHAnsi"/>
          <w:i/>
          <w:sz w:val="24"/>
          <w:szCs w:val="24"/>
        </w:rPr>
        <w:t>Lives of eminent philosophers</w:t>
      </w:r>
      <w:r w:rsidR="00F10B82" w:rsidRPr="004B77CC">
        <w:rPr>
          <w:rFonts w:asciiTheme="minorHAnsi" w:hAnsiTheme="minorHAnsi"/>
          <w:sz w:val="24"/>
          <w:szCs w:val="24"/>
        </w:rPr>
        <w:t xml:space="preserve">. </w:t>
      </w:r>
      <w:r w:rsidRPr="004B77CC">
        <w:rPr>
          <w:rFonts w:asciiTheme="minorHAnsi" w:hAnsiTheme="minorHAnsi"/>
          <w:sz w:val="24"/>
          <w:szCs w:val="24"/>
        </w:rPr>
        <w:t xml:space="preserve">Translated by R.D. Hicks. </w:t>
      </w:r>
      <w:r w:rsidR="00F10B82" w:rsidRPr="004B77CC">
        <w:rPr>
          <w:rFonts w:asciiTheme="minorHAnsi" w:hAnsiTheme="minorHAnsi"/>
          <w:sz w:val="24"/>
          <w:szCs w:val="24"/>
        </w:rPr>
        <w:t>Cambridge, Mass.: Harvard University Press.</w:t>
      </w:r>
    </w:p>
    <w:p w14:paraId="1F6CCE4E" w14:textId="77777777" w:rsidR="006C2970" w:rsidRPr="004B77CC" w:rsidRDefault="006C2970" w:rsidP="004B77CC">
      <w:pPr>
        <w:pStyle w:val="ReferencesFurtherreading"/>
        <w:rPr>
          <w:rFonts w:asciiTheme="minorHAnsi" w:hAnsiTheme="minorHAnsi"/>
          <w:sz w:val="24"/>
          <w:szCs w:val="24"/>
        </w:rPr>
      </w:pPr>
      <w:proofErr w:type="spellStart"/>
      <w:r w:rsidRPr="004B77CC">
        <w:rPr>
          <w:rFonts w:asciiTheme="minorHAnsi" w:hAnsiTheme="minorHAnsi"/>
          <w:sz w:val="24"/>
          <w:szCs w:val="24"/>
        </w:rPr>
        <w:t>Doupnik</w:t>
      </w:r>
      <w:proofErr w:type="spellEnd"/>
      <w:r w:rsidRPr="004B77CC">
        <w:rPr>
          <w:rFonts w:asciiTheme="minorHAnsi" w:hAnsiTheme="minorHAnsi"/>
          <w:sz w:val="24"/>
          <w:szCs w:val="24"/>
        </w:rPr>
        <w:t xml:space="preserve">, T.S. and </w:t>
      </w:r>
      <w:proofErr w:type="spellStart"/>
      <w:r w:rsidRPr="004B77CC">
        <w:rPr>
          <w:rFonts w:asciiTheme="minorHAnsi" w:hAnsiTheme="minorHAnsi"/>
          <w:sz w:val="24"/>
          <w:szCs w:val="24"/>
        </w:rPr>
        <w:t>Tsakumis</w:t>
      </w:r>
      <w:proofErr w:type="spellEnd"/>
      <w:r w:rsidRPr="004B77CC">
        <w:rPr>
          <w:rFonts w:asciiTheme="minorHAnsi" w:hAnsiTheme="minorHAnsi"/>
          <w:sz w:val="24"/>
          <w:szCs w:val="24"/>
        </w:rPr>
        <w:t xml:space="preserve">, G.T. (2004). A critical review of tests of Gray’s theory of cultural relevance and suggestions for future research. </w:t>
      </w:r>
      <w:r w:rsidRPr="004B77CC">
        <w:rPr>
          <w:rFonts w:asciiTheme="minorHAnsi" w:hAnsiTheme="minorHAnsi"/>
          <w:i/>
          <w:sz w:val="24"/>
          <w:szCs w:val="24"/>
        </w:rPr>
        <w:t>Journal of Accounting Literature</w:t>
      </w:r>
      <w:r w:rsidRPr="004B77CC">
        <w:rPr>
          <w:rFonts w:asciiTheme="minorHAnsi" w:hAnsiTheme="minorHAnsi"/>
          <w:sz w:val="24"/>
          <w:szCs w:val="24"/>
        </w:rPr>
        <w:t>, 23, 1-48.</w:t>
      </w:r>
    </w:p>
    <w:p w14:paraId="2C335A08" w14:textId="77777777" w:rsidR="00604802" w:rsidRPr="004B77CC" w:rsidRDefault="00604802" w:rsidP="004B77CC">
      <w:pPr>
        <w:pStyle w:val="ReferencesFurtherreading"/>
        <w:ind w:left="403" w:hanging="403"/>
        <w:rPr>
          <w:rFonts w:asciiTheme="minorHAnsi" w:hAnsiTheme="minorHAnsi"/>
          <w:sz w:val="24"/>
          <w:szCs w:val="24"/>
        </w:rPr>
      </w:pPr>
      <w:r w:rsidRPr="004B77CC">
        <w:rPr>
          <w:rFonts w:asciiTheme="minorHAnsi" w:hAnsiTheme="minorHAnsi"/>
          <w:sz w:val="24"/>
          <w:szCs w:val="24"/>
        </w:rPr>
        <w:t xml:space="preserve">Dow, D. and </w:t>
      </w:r>
      <w:proofErr w:type="spellStart"/>
      <w:r w:rsidR="00394E8F" w:rsidRPr="004B77CC">
        <w:rPr>
          <w:rFonts w:asciiTheme="minorHAnsi" w:hAnsiTheme="minorHAnsi"/>
          <w:sz w:val="24"/>
          <w:szCs w:val="24"/>
        </w:rPr>
        <w:t>Karunaratna</w:t>
      </w:r>
      <w:proofErr w:type="spellEnd"/>
      <w:r w:rsidR="00394E8F" w:rsidRPr="004B77CC">
        <w:rPr>
          <w:rFonts w:asciiTheme="minorHAnsi" w:hAnsiTheme="minorHAnsi"/>
          <w:sz w:val="24"/>
          <w:szCs w:val="24"/>
        </w:rPr>
        <w:t xml:space="preserve">, A. (2006). </w:t>
      </w:r>
      <w:r w:rsidRPr="004B77CC">
        <w:rPr>
          <w:rFonts w:asciiTheme="minorHAnsi" w:hAnsiTheme="minorHAnsi"/>
          <w:sz w:val="24"/>
          <w:szCs w:val="24"/>
        </w:rPr>
        <w:t xml:space="preserve">Developing a multidimensional instrument to </w:t>
      </w:r>
      <w:r w:rsidR="00394E8F" w:rsidRPr="004B77CC">
        <w:rPr>
          <w:rFonts w:asciiTheme="minorHAnsi" w:hAnsiTheme="minorHAnsi"/>
          <w:sz w:val="24"/>
          <w:szCs w:val="24"/>
        </w:rPr>
        <w:t>measure physic distance stimuli.</w:t>
      </w:r>
      <w:r w:rsidRPr="004B77CC">
        <w:rPr>
          <w:rFonts w:asciiTheme="minorHAnsi" w:hAnsiTheme="minorHAnsi"/>
          <w:sz w:val="24"/>
          <w:szCs w:val="24"/>
        </w:rPr>
        <w:t xml:space="preserve"> </w:t>
      </w:r>
      <w:r w:rsidRPr="004B77CC">
        <w:rPr>
          <w:rFonts w:asciiTheme="minorHAnsi" w:hAnsiTheme="minorHAnsi"/>
          <w:i/>
          <w:iCs/>
          <w:sz w:val="24"/>
          <w:szCs w:val="24"/>
        </w:rPr>
        <w:t>Journal of International Business Studies</w:t>
      </w:r>
      <w:r w:rsidRPr="004B77CC">
        <w:rPr>
          <w:rFonts w:asciiTheme="minorHAnsi" w:hAnsiTheme="minorHAnsi"/>
          <w:sz w:val="24"/>
          <w:szCs w:val="24"/>
        </w:rPr>
        <w:t>, 37(5), 578–602.</w:t>
      </w:r>
    </w:p>
    <w:p w14:paraId="4911BAA0" w14:textId="77777777" w:rsidR="00970822" w:rsidRDefault="00970822" w:rsidP="004B77CC">
      <w:pPr>
        <w:widowControl w:val="0"/>
        <w:autoSpaceDE w:val="0"/>
        <w:autoSpaceDN w:val="0"/>
        <w:adjustRightInd w:val="0"/>
        <w:spacing w:after="0"/>
        <w:ind w:left="403" w:hanging="403"/>
        <w:rPr>
          <w:szCs w:val="24"/>
        </w:rPr>
      </w:pPr>
      <w:proofErr w:type="spellStart"/>
      <w:r w:rsidRPr="004B77CC">
        <w:rPr>
          <w:szCs w:val="24"/>
        </w:rPr>
        <w:t>Elad</w:t>
      </w:r>
      <w:proofErr w:type="spellEnd"/>
      <w:r w:rsidRPr="004B77CC">
        <w:rPr>
          <w:szCs w:val="24"/>
        </w:rPr>
        <w:t>, C. (2015)</w:t>
      </w:r>
      <w:r w:rsidR="000775D7" w:rsidRPr="004B77CC">
        <w:rPr>
          <w:szCs w:val="24"/>
        </w:rPr>
        <w:t>.</w:t>
      </w:r>
      <w:r w:rsidRPr="004B77CC">
        <w:rPr>
          <w:szCs w:val="24"/>
        </w:rPr>
        <w:t xml:space="preserve"> The development of accounting in the</w:t>
      </w:r>
      <w:r w:rsidR="005C5497" w:rsidRPr="004B77CC">
        <w:rPr>
          <w:szCs w:val="24"/>
        </w:rPr>
        <w:t xml:space="preserve"> franc zone countries of Africa.</w:t>
      </w:r>
      <w:r w:rsidRPr="004B77CC">
        <w:rPr>
          <w:szCs w:val="24"/>
        </w:rPr>
        <w:t xml:space="preserve"> </w:t>
      </w:r>
      <w:r w:rsidRPr="004B77CC">
        <w:rPr>
          <w:i/>
          <w:szCs w:val="24"/>
        </w:rPr>
        <w:t>International Journal of Accounting</w:t>
      </w:r>
      <w:r w:rsidRPr="004B77CC">
        <w:rPr>
          <w:szCs w:val="24"/>
        </w:rPr>
        <w:t>, 50</w:t>
      </w:r>
      <w:r w:rsidR="000775D7" w:rsidRPr="004B77CC">
        <w:rPr>
          <w:szCs w:val="24"/>
        </w:rPr>
        <w:t>(</w:t>
      </w:r>
      <w:r w:rsidRPr="004B77CC">
        <w:rPr>
          <w:szCs w:val="24"/>
        </w:rPr>
        <w:t>1</w:t>
      </w:r>
      <w:r w:rsidR="000775D7" w:rsidRPr="004B77CC">
        <w:rPr>
          <w:szCs w:val="24"/>
        </w:rPr>
        <w:t>)</w:t>
      </w:r>
      <w:r w:rsidRPr="004B77CC">
        <w:rPr>
          <w:szCs w:val="24"/>
        </w:rPr>
        <w:t>, 75-100.</w:t>
      </w:r>
    </w:p>
    <w:p w14:paraId="48315E2C" w14:textId="77777777" w:rsidR="00E74552" w:rsidRPr="00E74552" w:rsidRDefault="00E74552" w:rsidP="00E74552">
      <w:pPr>
        <w:pStyle w:val="References"/>
        <w:rPr>
          <w:rFonts w:asciiTheme="minorHAnsi" w:hAnsiTheme="minorHAnsi"/>
          <w:sz w:val="24"/>
        </w:rPr>
      </w:pPr>
      <w:r w:rsidRPr="00E74552">
        <w:rPr>
          <w:rFonts w:asciiTheme="minorHAnsi" w:hAnsiTheme="minorHAnsi"/>
          <w:sz w:val="24"/>
        </w:rPr>
        <w:t>Filip, A</w:t>
      </w:r>
      <w:r w:rsidR="00F23A4E">
        <w:rPr>
          <w:rFonts w:asciiTheme="minorHAnsi" w:hAnsiTheme="minorHAnsi"/>
          <w:sz w:val="24"/>
        </w:rPr>
        <w:t xml:space="preserve">., </w:t>
      </w:r>
      <w:r w:rsidR="00F9286D">
        <w:rPr>
          <w:rFonts w:asciiTheme="minorHAnsi" w:hAnsiTheme="minorHAnsi"/>
          <w:sz w:val="24"/>
        </w:rPr>
        <w:t xml:space="preserve">Labelle, R. and </w:t>
      </w:r>
      <w:r w:rsidR="00F23A4E">
        <w:rPr>
          <w:rFonts w:asciiTheme="minorHAnsi" w:hAnsiTheme="minorHAnsi"/>
          <w:sz w:val="24"/>
        </w:rPr>
        <w:t>Rousseau, S. (</w:t>
      </w:r>
      <w:r w:rsidRPr="00E74552">
        <w:rPr>
          <w:rFonts w:asciiTheme="minorHAnsi" w:hAnsiTheme="minorHAnsi"/>
          <w:sz w:val="24"/>
        </w:rPr>
        <w:t>2015</w:t>
      </w:r>
      <w:r w:rsidR="00F23A4E">
        <w:rPr>
          <w:rFonts w:asciiTheme="minorHAnsi" w:hAnsiTheme="minorHAnsi"/>
          <w:sz w:val="24"/>
        </w:rPr>
        <w:t>)</w:t>
      </w:r>
      <w:r w:rsidRPr="00E74552">
        <w:rPr>
          <w:rFonts w:asciiTheme="minorHAnsi" w:hAnsiTheme="minorHAnsi"/>
          <w:sz w:val="24"/>
        </w:rPr>
        <w:t xml:space="preserve">. Legal regime and financial reporting quality. </w:t>
      </w:r>
      <w:r w:rsidRPr="00E74552">
        <w:rPr>
          <w:rFonts w:asciiTheme="minorHAnsi" w:hAnsiTheme="minorHAnsi"/>
          <w:i/>
          <w:sz w:val="24"/>
        </w:rPr>
        <w:t>Contemporary Accounting Research</w:t>
      </w:r>
      <w:r w:rsidR="00F23A4E">
        <w:rPr>
          <w:rFonts w:asciiTheme="minorHAnsi" w:hAnsiTheme="minorHAnsi"/>
          <w:i/>
          <w:sz w:val="24"/>
        </w:rPr>
        <w:t>,</w:t>
      </w:r>
      <w:r w:rsidR="00D3210B">
        <w:rPr>
          <w:rFonts w:asciiTheme="minorHAnsi" w:hAnsiTheme="minorHAnsi"/>
          <w:sz w:val="24"/>
        </w:rPr>
        <w:t xml:space="preserve"> 32</w:t>
      </w:r>
      <w:r w:rsidRPr="00E74552">
        <w:rPr>
          <w:rFonts w:asciiTheme="minorHAnsi" w:hAnsiTheme="minorHAnsi"/>
          <w:sz w:val="24"/>
        </w:rPr>
        <w:t>(1), 280–307.</w:t>
      </w:r>
    </w:p>
    <w:p w14:paraId="28F693DB" w14:textId="77777777" w:rsidR="00264A06" w:rsidRPr="004B77CC" w:rsidRDefault="00264A06" w:rsidP="004B77CC">
      <w:pPr>
        <w:keepLines/>
        <w:spacing w:after="0"/>
        <w:ind w:left="360" w:right="29" w:hanging="360"/>
        <w:rPr>
          <w:szCs w:val="24"/>
        </w:rPr>
      </w:pPr>
      <w:r w:rsidRPr="004B77CC">
        <w:rPr>
          <w:szCs w:val="24"/>
        </w:rPr>
        <w:t xml:space="preserve">Foucault, M. (1970). </w:t>
      </w:r>
      <w:r w:rsidRPr="004B77CC">
        <w:rPr>
          <w:i/>
          <w:szCs w:val="24"/>
        </w:rPr>
        <w:t>The order of things: an archaeology of the human sciences</w:t>
      </w:r>
      <w:r w:rsidRPr="004B77CC">
        <w:rPr>
          <w:szCs w:val="24"/>
        </w:rPr>
        <w:t>. London: Tavistock.</w:t>
      </w:r>
    </w:p>
    <w:p w14:paraId="1692F22E" w14:textId="77777777" w:rsidR="007B0409" w:rsidRPr="004B77CC" w:rsidRDefault="007B0409" w:rsidP="004B77CC">
      <w:pPr>
        <w:keepLines/>
        <w:spacing w:after="0"/>
        <w:ind w:left="360" w:right="29" w:hanging="360"/>
        <w:rPr>
          <w:szCs w:val="24"/>
        </w:rPr>
      </w:pPr>
      <w:r w:rsidRPr="004B77CC">
        <w:rPr>
          <w:szCs w:val="24"/>
        </w:rPr>
        <w:t xml:space="preserve">Francis, J.R., </w:t>
      </w:r>
      <w:proofErr w:type="spellStart"/>
      <w:r w:rsidRPr="004B77CC">
        <w:rPr>
          <w:szCs w:val="24"/>
        </w:rPr>
        <w:t>Khurana</w:t>
      </w:r>
      <w:proofErr w:type="spellEnd"/>
      <w:r w:rsidRPr="004B77CC">
        <w:rPr>
          <w:szCs w:val="24"/>
        </w:rPr>
        <w:t xml:space="preserve">, I.K., Martin, X. and Pereira, R. (2008). The role of ﬁrm-speciﬁc incentives and country factors in explaining voluntary IAS adoptions: evidence from private ﬁrms. </w:t>
      </w:r>
      <w:r w:rsidRPr="004B77CC">
        <w:rPr>
          <w:i/>
          <w:szCs w:val="24"/>
        </w:rPr>
        <w:t>European Accounting Review</w:t>
      </w:r>
      <w:r w:rsidRPr="004B77CC">
        <w:rPr>
          <w:szCs w:val="24"/>
        </w:rPr>
        <w:t xml:space="preserve">, 17(2), </w:t>
      </w:r>
      <w:r w:rsidR="000160D5">
        <w:rPr>
          <w:szCs w:val="24"/>
        </w:rPr>
        <w:t>331-360.</w:t>
      </w:r>
    </w:p>
    <w:p w14:paraId="1E619C57" w14:textId="77777777" w:rsidR="00FA3DF6" w:rsidRPr="004B77CC" w:rsidRDefault="00FA3DF6" w:rsidP="004B77CC">
      <w:pPr>
        <w:pStyle w:val="ReferencesFurtherreading"/>
        <w:rPr>
          <w:rFonts w:asciiTheme="minorHAnsi" w:hAnsiTheme="minorHAnsi"/>
          <w:sz w:val="24"/>
          <w:szCs w:val="24"/>
        </w:rPr>
      </w:pPr>
      <w:r w:rsidRPr="004B77CC">
        <w:rPr>
          <w:rFonts w:asciiTheme="minorHAnsi" w:hAnsiTheme="minorHAnsi"/>
          <w:sz w:val="24"/>
          <w:szCs w:val="24"/>
        </w:rPr>
        <w:t xml:space="preserve">FRC (2012). </w:t>
      </w:r>
      <w:r w:rsidR="004F6E8B" w:rsidRPr="004B77CC">
        <w:rPr>
          <w:rFonts w:asciiTheme="minorHAnsi" w:hAnsiTheme="minorHAnsi"/>
          <w:i/>
          <w:sz w:val="24"/>
          <w:szCs w:val="24"/>
        </w:rPr>
        <w:t xml:space="preserve">Professional </w:t>
      </w:r>
      <w:proofErr w:type="spellStart"/>
      <w:r w:rsidR="004F6E8B" w:rsidRPr="004B77CC">
        <w:rPr>
          <w:rFonts w:asciiTheme="minorHAnsi" w:hAnsiTheme="minorHAnsi"/>
          <w:i/>
          <w:sz w:val="24"/>
          <w:szCs w:val="24"/>
        </w:rPr>
        <w:t>scepticism</w:t>
      </w:r>
      <w:proofErr w:type="spellEnd"/>
      <w:r w:rsidR="004F6E8B" w:rsidRPr="004B77CC">
        <w:rPr>
          <w:rFonts w:asciiTheme="minorHAnsi" w:hAnsiTheme="minorHAnsi"/>
          <w:i/>
          <w:sz w:val="24"/>
          <w:szCs w:val="24"/>
        </w:rPr>
        <w:t xml:space="preserve">. </w:t>
      </w:r>
      <w:r w:rsidRPr="004B77CC">
        <w:rPr>
          <w:rFonts w:asciiTheme="minorHAnsi" w:hAnsiTheme="minorHAnsi"/>
          <w:i/>
          <w:sz w:val="24"/>
          <w:szCs w:val="24"/>
        </w:rPr>
        <w:t>Establishing a common understanding and reaffirming its central role in delivering audit quality</w:t>
      </w:r>
      <w:r w:rsidRPr="004B77CC">
        <w:rPr>
          <w:rFonts w:asciiTheme="minorHAnsi" w:hAnsiTheme="minorHAnsi"/>
          <w:sz w:val="24"/>
          <w:szCs w:val="24"/>
        </w:rPr>
        <w:t>. London: Financial Reporting Council.</w:t>
      </w:r>
    </w:p>
    <w:p w14:paraId="21B76FFA" w14:textId="77777777" w:rsidR="00443E7A" w:rsidRPr="004B77CC" w:rsidRDefault="00443E7A" w:rsidP="004B77CC">
      <w:pPr>
        <w:autoSpaceDE w:val="0"/>
        <w:autoSpaceDN w:val="0"/>
        <w:adjustRightInd w:val="0"/>
        <w:spacing w:after="0"/>
        <w:ind w:left="360" w:hanging="360"/>
        <w:rPr>
          <w:rFonts w:cs="AdvGulliv-R"/>
          <w:i/>
          <w:szCs w:val="24"/>
        </w:rPr>
      </w:pPr>
      <w:r w:rsidRPr="004B77CC">
        <w:rPr>
          <w:szCs w:val="24"/>
        </w:rPr>
        <w:t xml:space="preserve">GAAP (2001). </w:t>
      </w:r>
      <w:r w:rsidRPr="004B77CC">
        <w:rPr>
          <w:rFonts w:cs="AdvGulliv-R"/>
          <w:i/>
          <w:szCs w:val="24"/>
        </w:rPr>
        <w:t>A survey of national accounting rules benchmarked against international accounting standards</w:t>
      </w:r>
      <w:r w:rsidRPr="004B77CC">
        <w:rPr>
          <w:rFonts w:cs="AdvGulliv-R"/>
          <w:szCs w:val="24"/>
        </w:rPr>
        <w:t>. London: Arthur Andersen and other firms.</w:t>
      </w:r>
    </w:p>
    <w:p w14:paraId="154F9068" w14:textId="77777777" w:rsidR="00970822" w:rsidRPr="004B77CC" w:rsidRDefault="00970822" w:rsidP="004B77CC">
      <w:pPr>
        <w:spacing w:after="0"/>
        <w:ind w:left="403" w:hanging="403"/>
        <w:rPr>
          <w:szCs w:val="24"/>
        </w:rPr>
      </w:pPr>
      <w:r w:rsidRPr="004B77CC">
        <w:rPr>
          <w:szCs w:val="24"/>
        </w:rPr>
        <w:lastRenderedPageBreak/>
        <w:t>Gee, M., Haller, A. and Nobes, C. (2010)</w:t>
      </w:r>
      <w:r w:rsidR="000775D7" w:rsidRPr="004B77CC">
        <w:rPr>
          <w:szCs w:val="24"/>
        </w:rPr>
        <w:t>.</w:t>
      </w:r>
      <w:r w:rsidR="00394E8F" w:rsidRPr="004B77CC">
        <w:rPr>
          <w:szCs w:val="24"/>
        </w:rPr>
        <w:t xml:space="preserve"> </w:t>
      </w:r>
      <w:r w:rsidRPr="004B77CC">
        <w:rPr>
          <w:szCs w:val="24"/>
        </w:rPr>
        <w:t>The influence of tax on IFRS consolidated statements:  the con</w:t>
      </w:r>
      <w:r w:rsidR="00394E8F" w:rsidRPr="004B77CC">
        <w:rPr>
          <w:szCs w:val="24"/>
        </w:rPr>
        <w:t>vergence of Germany and the UK</w:t>
      </w:r>
      <w:r w:rsidR="000775D7" w:rsidRPr="004B77CC">
        <w:rPr>
          <w:szCs w:val="24"/>
        </w:rPr>
        <w:t xml:space="preserve">. </w:t>
      </w:r>
      <w:r w:rsidRPr="004B77CC">
        <w:rPr>
          <w:i/>
          <w:szCs w:val="24"/>
        </w:rPr>
        <w:t>Accounting in Europe,</w:t>
      </w:r>
      <w:r w:rsidRPr="004B77CC">
        <w:rPr>
          <w:szCs w:val="24"/>
        </w:rPr>
        <w:t xml:space="preserve"> 7</w:t>
      </w:r>
      <w:r w:rsidR="000775D7" w:rsidRPr="004B77CC">
        <w:rPr>
          <w:szCs w:val="24"/>
        </w:rPr>
        <w:t>(</w:t>
      </w:r>
      <w:r w:rsidRPr="004B77CC">
        <w:rPr>
          <w:szCs w:val="24"/>
        </w:rPr>
        <w:t>1</w:t>
      </w:r>
      <w:r w:rsidR="000775D7" w:rsidRPr="004B77CC">
        <w:rPr>
          <w:szCs w:val="24"/>
        </w:rPr>
        <w:t>)</w:t>
      </w:r>
      <w:r w:rsidRPr="004B77CC">
        <w:rPr>
          <w:szCs w:val="24"/>
        </w:rPr>
        <w:t>, 97-122.</w:t>
      </w:r>
    </w:p>
    <w:p w14:paraId="28639D4E" w14:textId="77777777" w:rsidR="00970822" w:rsidRPr="004B77CC" w:rsidRDefault="00970822" w:rsidP="004B77CC">
      <w:pPr>
        <w:autoSpaceDE w:val="0"/>
        <w:autoSpaceDN w:val="0"/>
        <w:adjustRightInd w:val="0"/>
        <w:spacing w:after="0"/>
        <w:ind w:left="403" w:hanging="403"/>
        <w:rPr>
          <w:szCs w:val="24"/>
          <w:lang w:val="en-AU" w:eastAsia="en-AU"/>
        </w:rPr>
      </w:pPr>
      <w:r w:rsidRPr="004B77CC">
        <w:rPr>
          <w:szCs w:val="24"/>
          <w:lang w:val="en-AU" w:eastAsia="en-AU"/>
        </w:rPr>
        <w:t>Goodrich, P.S. (1982)</w:t>
      </w:r>
      <w:r w:rsidR="000775D7" w:rsidRPr="004B77CC">
        <w:rPr>
          <w:szCs w:val="24"/>
          <w:lang w:val="en-AU" w:eastAsia="en-AU"/>
        </w:rPr>
        <w:t>.</w:t>
      </w:r>
      <w:r w:rsidR="00394E8F" w:rsidRPr="004B77CC">
        <w:rPr>
          <w:szCs w:val="24"/>
          <w:lang w:val="en-AU" w:eastAsia="en-AU"/>
        </w:rPr>
        <w:t xml:space="preserve"> </w:t>
      </w:r>
      <w:r w:rsidRPr="004B77CC">
        <w:rPr>
          <w:szCs w:val="24"/>
          <w:lang w:val="en-AU" w:eastAsia="en-AU"/>
        </w:rPr>
        <w:t>A typology of international acc</w:t>
      </w:r>
      <w:r w:rsidR="00394E8F" w:rsidRPr="004B77CC">
        <w:rPr>
          <w:szCs w:val="24"/>
          <w:lang w:val="en-AU" w:eastAsia="en-AU"/>
        </w:rPr>
        <w:t>ounting principles and policies</w:t>
      </w:r>
      <w:r w:rsidR="000775D7" w:rsidRPr="004B77CC">
        <w:rPr>
          <w:szCs w:val="24"/>
          <w:lang w:val="en-AU" w:eastAsia="en-AU"/>
        </w:rPr>
        <w:t xml:space="preserve">. </w:t>
      </w:r>
      <w:r w:rsidRPr="004B77CC">
        <w:rPr>
          <w:i/>
          <w:iCs/>
          <w:szCs w:val="24"/>
          <w:lang w:val="en-AU" w:eastAsia="en-AU"/>
        </w:rPr>
        <w:t>AUTA Review</w:t>
      </w:r>
      <w:r w:rsidRPr="004B77CC">
        <w:rPr>
          <w:szCs w:val="24"/>
          <w:lang w:val="en-AU" w:eastAsia="en-AU"/>
        </w:rPr>
        <w:t>, 14</w:t>
      </w:r>
      <w:r w:rsidR="000775D7" w:rsidRPr="004B77CC">
        <w:rPr>
          <w:szCs w:val="24"/>
          <w:lang w:val="en-AU" w:eastAsia="en-AU"/>
        </w:rPr>
        <w:t>(</w:t>
      </w:r>
      <w:r w:rsidRPr="004B77CC">
        <w:rPr>
          <w:szCs w:val="24"/>
          <w:lang w:val="en-AU" w:eastAsia="en-AU"/>
        </w:rPr>
        <w:t>1</w:t>
      </w:r>
      <w:r w:rsidR="000775D7" w:rsidRPr="004B77CC">
        <w:rPr>
          <w:szCs w:val="24"/>
          <w:lang w:val="en-AU" w:eastAsia="en-AU"/>
        </w:rPr>
        <w:t xml:space="preserve">), </w:t>
      </w:r>
      <w:r w:rsidRPr="004B77CC">
        <w:rPr>
          <w:szCs w:val="24"/>
          <w:lang w:val="en-AU" w:eastAsia="en-AU"/>
        </w:rPr>
        <w:t>37-61.</w:t>
      </w:r>
    </w:p>
    <w:p w14:paraId="109683AB" w14:textId="77777777" w:rsidR="00C154F0" w:rsidRPr="004B77CC" w:rsidRDefault="00C154F0" w:rsidP="004B77CC">
      <w:pPr>
        <w:keepLines/>
        <w:spacing w:after="0"/>
        <w:ind w:left="360" w:right="29" w:hanging="360"/>
        <w:rPr>
          <w:rFonts w:cs="Calibri"/>
          <w:szCs w:val="24"/>
        </w:rPr>
      </w:pPr>
      <w:r w:rsidRPr="004B77CC">
        <w:rPr>
          <w:rFonts w:cs="Calibri"/>
          <w:szCs w:val="24"/>
        </w:rPr>
        <w:t xml:space="preserve">Gray, S.J. (1988). Towards a theory of cultural influence on the development of accounting systems internationally. </w:t>
      </w:r>
      <w:r w:rsidRPr="004B77CC">
        <w:rPr>
          <w:rFonts w:cs="Calibri"/>
          <w:i/>
          <w:szCs w:val="24"/>
        </w:rPr>
        <w:t>Abacus</w:t>
      </w:r>
      <w:r w:rsidRPr="004B77CC">
        <w:rPr>
          <w:rFonts w:cs="Calibri"/>
          <w:szCs w:val="24"/>
        </w:rPr>
        <w:t>, 24(1), 1-15.</w:t>
      </w:r>
    </w:p>
    <w:p w14:paraId="7945F1C9" w14:textId="77777777" w:rsidR="0010765F" w:rsidRPr="004B77CC" w:rsidRDefault="0010765F" w:rsidP="004B77CC">
      <w:pPr>
        <w:keepLines/>
        <w:spacing w:after="0"/>
        <w:ind w:left="360" w:right="29" w:hanging="360"/>
        <w:rPr>
          <w:rFonts w:cs="Calibri"/>
          <w:szCs w:val="24"/>
        </w:rPr>
      </w:pPr>
      <w:r w:rsidRPr="004B77CC">
        <w:rPr>
          <w:rFonts w:cs="Calibri"/>
          <w:szCs w:val="24"/>
        </w:rPr>
        <w:t xml:space="preserve">Hail, L. and </w:t>
      </w:r>
      <w:proofErr w:type="spellStart"/>
      <w:r w:rsidRPr="004B77CC">
        <w:rPr>
          <w:rFonts w:cs="Calibri"/>
          <w:szCs w:val="24"/>
        </w:rPr>
        <w:t>Leuz</w:t>
      </w:r>
      <w:proofErr w:type="spellEnd"/>
      <w:r w:rsidRPr="004B77CC">
        <w:rPr>
          <w:rFonts w:cs="Calibri"/>
          <w:szCs w:val="24"/>
        </w:rPr>
        <w:t xml:space="preserve">, C. (2006). International differences in the cost of equity capital: do legal institutions and securities regulation matter? </w:t>
      </w:r>
      <w:r w:rsidRPr="004B77CC">
        <w:rPr>
          <w:rFonts w:cs="Calibri"/>
          <w:i/>
          <w:szCs w:val="24"/>
        </w:rPr>
        <w:t>Journal of Accounting Research</w:t>
      </w:r>
      <w:r w:rsidRPr="004B77CC">
        <w:rPr>
          <w:rFonts w:cs="Calibri"/>
          <w:szCs w:val="24"/>
        </w:rPr>
        <w:t>, 44(3), 485-531.</w:t>
      </w:r>
    </w:p>
    <w:p w14:paraId="0B59B4D8" w14:textId="77777777" w:rsidR="00970822" w:rsidRDefault="0012550D" w:rsidP="004B77CC">
      <w:pPr>
        <w:pStyle w:val="ReferencesFurtherreading"/>
        <w:rPr>
          <w:rFonts w:asciiTheme="minorHAnsi" w:hAnsiTheme="minorHAnsi"/>
          <w:sz w:val="24"/>
          <w:szCs w:val="24"/>
        </w:rPr>
      </w:pPr>
      <w:r w:rsidRPr="004B77CC">
        <w:rPr>
          <w:rFonts w:asciiTheme="minorHAnsi" w:hAnsiTheme="minorHAnsi"/>
          <w:sz w:val="24"/>
          <w:szCs w:val="24"/>
        </w:rPr>
        <w:t xml:space="preserve"> </w:t>
      </w:r>
      <w:r w:rsidR="00970822" w:rsidRPr="004B77CC">
        <w:rPr>
          <w:rFonts w:asciiTheme="minorHAnsi" w:hAnsiTheme="minorHAnsi"/>
          <w:sz w:val="24"/>
          <w:szCs w:val="24"/>
        </w:rPr>
        <w:t>Haller, A. (1992)</w:t>
      </w:r>
      <w:r w:rsidR="000775D7" w:rsidRPr="004B77CC">
        <w:rPr>
          <w:rFonts w:asciiTheme="minorHAnsi" w:hAnsiTheme="minorHAnsi"/>
          <w:sz w:val="24"/>
          <w:szCs w:val="24"/>
        </w:rPr>
        <w:t>.</w:t>
      </w:r>
      <w:r w:rsidR="00394E8F" w:rsidRPr="004B77CC">
        <w:rPr>
          <w:rFonts w:asciiTheme="minorHAnsi" w:hAnsiTheme="minorHAnsi"/>
          <w:sz w:val="24"/>
          <w:szCs w:val="24"/>
        </w:rPr>
        <w:t xml:space="preserve"> </w:t>
      </w:r>
      <w:r w:rsidR="00970822" w:rsidRPr="004B77CC">
        <w:rPr>
          <w:rFonts w:asciiTheme="minorHAnsi" w:hAnsiTheme="minorHAnsi"/>
          <w:sz w:val="24"/>
          <w:szCs w:val="24"/>
        </w:rPr>
        <w:t xml:space="preserve">The relationship of ﬁnancial and tax accounting in Germany: a major reason for accounting disharmony in </w:t>
      </w:r>
      <w:r w:rsidR="00394E8F" w:rsidRPr="004B77CC">
        <w:rPr>
          <w:rFonts w:asciiTheme="minorHAnsi" w:hAnsiTheme="minorHAnsi"/>
          <w:sz w:val="24"/>
          <w:szCs w:val="24"/>
        </w:rPr>
        <w:t>Europe</w:t>
      </w:r>
      <w:r w:rsidR="000775D7" w:rsidRPr="004B77CC">
        <w:rPr>
          <w:rFonts w:asciiTheme="minorHAnsi" w:hAnsiTheme="minorHAnsi"/>
          <w:sz w:val="24"/>
          <w:szCs w:val="24"/>
        </w:rPr>
        <w:t xml:space="preserve">. </w:t>
      </w:r>
      <w:r w:rsidR="00970822" w:rsidRPr="004B77CC">
        <w:rPr>
          <w:rFonts w:asciiTheme="minorHAnsi" w:hAnsiTheme="minorHAnsi"/>
          <w:i/>
          <w:sz w:val="24"/>
          <w:szCs w:val="24"/>
        </w:rPr>
        <w:t>International Journal of Accounting</w:t>
      </w:r>
      <w:r w:rsidR="00970822" w:rsidRPr="004B77CC">
        <w:rPr>
          <w:rFonts w:asciiTheme="minorHAnsi" w:hAnsiTheme="minorHAnsi"/>
          <w:sz w:val="24"/>
          <w:szCs w:val="24"/>
        </w:rPr>
        <w:t>, 27</w:t>
      </w:r>
      <w:r w:rsidR="000775D7" w:rsidRPr="004B77CC">
        <w:rPr>
          <w:rFonts w:asciiTheme="minorHAnsi" w:hAnsiTheme="minorHAnsi"/>
          <w:sz w:val="24"/>
          <w:szCs w:val="24"/>
        </w:rPr>
        <w:t>(</w:t>
      </w:r>
      <w:r w:rsidR="00970822" w:rsidRPr="004B77CC">
        <w:rPr>
          <w:rFonts w:asciiTheme="minorHAnsi" w:hAnsiTheme="minorHAnsi"/>
          <w:sz w:val="24"/>
          <w:szCs w:val="24"/>
        </w:rPr>
        <w:t>4</w:t>
      </w:r>
      <w:r w:rsidR="000775D7" w:rsidRPr="004B77CC">
        <w:rPr>
          <w:rFonts w:asciiTheme="minorHAnsi" w:hAnsiTheme="minorHAnsi"/>
          <w:sz w:val="24"/>
          <w:szCs w:val="24"/>
        </w:rPr>
        <w:t xml:space="preserve">), </w:t>
      </w:r>
      <w:r w:rsidR="00970822" w:rsidRPr="004B77CC">
        <w:rPr>
          <w:rFonts w:asciiTheme="minorHAnsi" w:hAnsiTheme="minorHAnsi"/>
          <w:sz w:val="24"/>
          <w:szCs w:val="24"/>
        </w:rPr>
        <w:t>310-23.</w:t>
      </w:r>
    </w:p>
    <w:p w14:paraId="0B7B69A9" w14:textId="77777777" w:rsidR="00AA1810" w:rsidRPr="00AA1810" w:rsidRDefault="00AA1810" w:rsidP="004B77CC">
      <w:pPr>
        <w:pStyle w:val="ReferencesFurtherreading"/>
        <w:rPr>
          <w:rFonts w:asciiTheme="minorHAnsi" w:hAnsiTheme="minorHAnsi"/>
          <w:sz w:val="24"/>
          <w:szCs w:val="24"/>
        </w:rPr>
      </w:pPr>
      <w:r>
        <w:rPr>
          <w:rFonts w:asciiTheme="minorHAnsi" w:hAnsiTheme="minorHAnsi"/>
          <w:sz w:val="24"/>
          <w:szCs w:val="24"/>
        </w:rPr>
        <w:t>Hankinson, R.J. (1995).</w:t>
      </w:r>
      <w:r w:rsidRPr="00AA1810">
        <w:rPr>
          <w:rFonts w:asciiTheme="minorHAnsi" w:hAnsiTheme="minorHAnsi"/>
          <w:sz w:val="24"/>
          <w:szCs w:val="24"/>
        </w:rPr>
        <w:t xml:space="preserve"> </w:t>
      </w:r>
      <w:r>
        <w:rPr>
          <w:rStyle w:val="Emphasis"/>
          <w:rFonts w:asciiTheme="minorHAnsi" w:hAnsiTheme="minorHAnsi"/>
          <w:sz w:val="24"/>
          <w:szCs w:val="24"/>
        </w:rPr>
        <w:t xml:space="preserve">The Sceptics. </w:t>
      </w:r>
      <w:r>
        <w:rPr>
          <w:rFonts w:asciiTheme="minorHAnsi" w:hAnsiTheme="minorHAnsi"/>
          <w:sz w:val="24"/>
          <w:szCs w:val="24"/>
        </w:rPr>
        <w:t>London: Routledge</w:t>
      </w:r>
      <w:r w:rsidRPr="00AA1810">
        <w:rPr>
          <w:rFonts w:asciiTheme="minorHAnsi" w:hAnsiTheme="minorHAnsi"/>
          <w:sz w:val="24"/>
          <w:szCs w:val="24"/>
        </w:rPr>
        <w:t>.</w:t>
      </w:r>
    </w:p>
    <w:p w14:paraId="18912BCC" w14:textId="0D97AF18" w:rsidR="00A6571A" w:rsidRPr="004B77CC" w:rsidRDefault="00A6571A" w:rsidP="004B77CC">
      <w:pPr>
        <w:autoSpaceDE w:val="0"/>
        <w:autoSpaceDN w:val="0"/>
        <w:adjustRightInd w:val="0"/>
        <w:spacing w:after="0"/>
        <w:ind w:left="360" w:hanging="360"/>
        <w:rPr>
          <w:rFonts w:cs="AdvGulliv-R"/>
          <w:szCs w:val="24"/>
        </w:rPr>
      </w:pPr>
      <w:r w:rsidRPr="004B77CC">
        <w:rPr>
          <w:rFonts w:cs="AdvGulliv-R"/>
          <w:szCs w:val="24"/>
        </w:rPr>
        <w:t>Hatfield, H. R. (1911). Some variations in accounting practice in England, France,</w:t>
      </w:r>
      <w:r w:rsidR="004B77CC">
        <w:rPr>
          <w:rFonts w:cs="AdvGulliv-R"/>
          <w:szCs w:val="24"/>
        </w:rPr>
        <w:t xml:space="preserve"> </w:t>
      </w:r>
      <w:r w:rsidRPr="004B77CC">
        <w:rPr>
          <w:rFonts w:cs="AdvGulliv-R"/>
          <w:szCs w:val="24"/>
        </w:rPr>
        <w:t xml:space="preserve">Germany and the United States. </w:t>
      </w:r>
      <w:r w:rsidR="00294EE5">
        <w:rPr>
          <w:rFonts w:cs="AdvGulliv-R"/>
          <w:szCs w:val="24"/>
        </w:rPr>
        <w:t>First published in 1911; r</w:t>
      </w:r>
      <w:r w:rsidRPr="004B77CC">
        <w:rPr>
          <w:rFonts w:cs="AdvGulliv-R"/>
          <w:szCs w:val="24"/>
        </w:rPr>
        <w:t xml:space="preserve">eprinted in </w:t>
      </w:r>
      <w:r w:rsidRPr="004B77CC">
        <w:rPr>
          <w:rFonts w:cs="AdvGulliv-I"/>
          <w:i/>
          <w:szCs w:val="24"/>
        </w:rPr>
        <w:t>Journal of</w:t>
      </w:r>
      <w:r w:rsidRPr="004B77CC">
        <w:rPr>
          <w:rFonts w:cs="AdvGulliv-R"/>
          <w:szCs w:val="24"/>
        </w:rPr>
        <w:t xml:space="preserve"> </w:t>
      </w:r>
      <w:r w:rsidRPr="004B77CC">
        <w:rPr>
          <w:rFonts w:cs="AdvGulliv-I"/>
          <w:i/>
          <w:szCs w:val="24"/>
        </w:rPr>
        <w:t>Accounting Research</w:t>
      </w:r>
      <w:r w:rsidRPr="004B77CC">
        <w:rPr>
          <w:rFonts w:cs="AdvGulliv-R"/>
          <w:szCs w:val="24"/>
        </w:rPr>
        <w:t xml:space="preserve">, </w:t>
      </w:r>
      <w:r w:rsidRPr="004B77CC">
        <w:rPr>
          <w:rFonts w:cs="AdvGulliv-I"/>
          <w:szCs w:val="24"/>
        </w:rPr>
        <w:t>4</w:t>
      </w:r>
      <w:r w:rsidRPr="004B77CC">
        <w:rPr>
          <w:rFonts w:cs="AdvGulliv-R"/>
          <w:szCs w:val="24"/>
        </w:rPr>
        <w:t>(2),</w:t>
      </w:r>
      <w:r w:rsidR="004B77CC">
        <w:rPr>
          <w:rFonts w:cs="AdvGulliv-R"/>
          <w:szCs w:val="24"/>
        </w:rPr>
        <w:t xml:space="preserve"> </w:t>
      </w:r>
      <w:r w:rsidR="00294EE5">
        <w:rPr>
          <w:rFonts w:cs="AdvGulliv-R"/>
          <w:szCs w:val="24"/>
        </w:rPr>
        <w:t xml:space="preserve">1966, </w:t>
      </w:r>
      <w:r w:rsidRPr="004B77CC">
        <w:rPr>
          <w:rFonts w:cs="AdvGulliv-R"/>
          <w:szCs w:val="24"/>
        </w:rPr>
        <w:t>169–182.</w:t>
      </w:r>
    </w:p>
    <w:p w14:paraId="1449FBD1" w14:textId="77777777" w:rsidR="003B1D89" w:rsidRPr="004B77CC" w:rsidRDefault="003B1D89" w:rsidP="004B77CC">
      <w:pPr>
        <w:pStyle w:val="ReferencesFurtherreading"/>
        <w:rPr>
          <w:rFonts w:asciiTheme="minorHAnsi" w:hAnsiTheme="minorHAnsi"/>
          <w:sz w:val="24"/>
          <w:szCs w:val="24"/>
        </w:rPr>
      </w:pPr>
      <w:r w:rsidRPr="004B77CC">
        <w:rPr>
          <w:rFonts w:asciiTheme="minorHAnsi" w:hAnsiTheme="minorHAnsi"/>
          <w:sz w:val="24"/>
          <w:szCs w:val="24"/>
        </w:rPr>
        <w:t xml:space="preserve">Hines, T., McBride, K., </w:t>
      </w:r>
      <w:proofErr w:type="spellStart"/>
      <w:r w:rsidRPr="004B77CC">
        <w:rPr>
          <w:rFonts w:asciiTheme="minorHAnsi" w:hAnsiTheme="minorHAnsi"/>
          <w:sz w:val="24"/>
          <w:szCs w:val="24"/>
        </w:rPr>
        <w:t>Fearnley</w:t>
      </w:r>
      <w:proofErr w:type="spellEnd"/>
      <w:r w:rsidRPr="004B77CC">
        <w:rPr>
          <w:rFonts w:asciiTheme="minorHAnsi" w:hAnsiTheme="minorHAnsi"/>
          <w:sz w:val="24"/>
          <w:szCs w:val="24"/>
        </w:rPr>
        <w:t xml:space="preserve">, S. and Brandt, R. (2000). We’re off to see the wizard: an evaluation of directors’ and auditors’ experiences with the Financial Reporting Review Panel. </w:t>
      </w:r>
      <w:r w:rsidRPr="004B77CC">
        <w:rPr>
          <w:rFonts w:asciiTheme="minorHAnsi" w:hAnsiTheme="minorHAnsi"/>
          <w:i/>
          <w:sz w:val="24"/>
          <w:szCs w:val="24"/>
        </w:rPr>
        <w:t>Accounting, Auditing &amp; Accountability Journal</w:t>
      </w:r>
      <w:r w:rsidRPr="004B77CC">
        <w:rPr>
          <w:rFonts w:asciiTheme="minorHAnsi" w:hAnsiTheme="minorHAnsi"/>
          <w:sz w:val="24"/>
          <w:szCs w:val="24"/>
        </w:rPr>
        <w:t>, 14(1), 53-84.</w:t>
      </w:r>
    </w:p>
    <w:p w14:paraId="754E3812" w14:textId="77777777" w:rsidR="00897442" w:rsidRPr="00897442" w:rsidRDefault="00897442" w:rsidP="00897442">
      <w:pPr>
        <w:pStyle w:val="ReferencesFurtherreading"/>
        <w:rPr>
          <w:rFonts w:asciiTheme="minorHAnsi" w:hAnsiTheme="minorHAnsi"/>
          <w:sz w:val="24"/>
          <w:szCs w:val="24"/>
        </w:rPr>
      </w:pPr>
      <w:proofErr w:type="spellStart"/>
      <w:r>
        <w:rPr>
          <w:rFonts w:asciiTheme="minorHAnsi" w:hAnsiTheme="minorHAnsi"/>
          <w:sz w:val="24"/>
          <w:szCs w:val="24"/>
        </w:rPr>
        <w:t>Hoarau</w:t>
      </w:r>
      <w:proofErr w:type="spellEnd"/>
      <w:r>
        <w:rPr>
          <w:rFonts w:asciiTheme="minorHAnsi" w:hAnsiTheme="minorHAnsi"/>
          <w:sz w:val="24"/>
          <w:szCs w:val="24"/>
        </w:rPr>
        <w:t xml:space="preserve">, C. (2009). </w:t>
      </w:r>
      <w:r w:rsidRPr="00897442">
        <w:rPr>
          <w:rFonts w:asciiTheme="minorHAnsi" w:hAnsiTheme="minorHAnsi"/>
          <w:sz w:val="24"/>
          <w:szCs w:val="24"/>
        </w:rPr>
        <w:t>The reform of the French standard-setting system: its peculiarities</w:t>
      </w:r>
      <w:r>
        <w:rPr>
          <w:rFonts w:asciiTheme="minorHAnsi" w:hAnsiTheme="minorHAnsi"/>
          <w:sz w:val="24"/>
          <w:szCs w:val="24"/>
        </w:rPr>
        <w:t>, limits and political context.</w:t>
      </w:r>
      <w:r w:rsidRPr="00897442">
        <w:rPr>
          <w:rFonts w:asciiTheme="minorHAnsi" w:hAnsiTheme="minorHAnsi"/>
          <w:sz w:val="24"/>
          <w:szCs w:val="24"/>
        </w:rPr>
        <w:t xml:space="preserve"> </w:t>
      </w:r>
      <w:r w:rsidRPr="00897442">
        <w:rPr>
          <w:rFonts w:asciiTheme="minorHAnsi" w:hAnsiTheme="minorHAnsi"/>
          <w:i/>
          <w:sz w:val="24"/>
          <w:szCs w:val="24"/>
        </w:rPr>
        <w:t>Accounting in Europe</w:t>
      </w:r>
      <w:r>
        <w:rPr>
          <w:rFonts w:asciiTheme="minorHAnsi" w:hAnsiTheme="minorHAnsi"/>
          <w:sz w:val="24"/>
          <w:szCs w:val="24"/>
        </w:rPr>
        <w:t xml:space="preserve">, 6(2), </w:t>
      </w:r>
      <w:r w:rsidRPr="00897442">
        <w:rPr>
          <w:rFonts w:asciiTheme="minorHAnsi" w:hAnsiTheme="minorHAnsi"/>
          <w:sz w:val="24"/>
          <w:szCs w:val="24"/>
        </w:rPr>
        <w:t>127–48.</w:t>
      </w:r>
    </w:p>
    <w:p w14:paraId="54C9FEC0" w14:textId="77777777" w:rsidR="005212B0" w:rsidRPr="004B77CC" w:rsidRDefault="005212B0" w:rsidP="004B77CC">
      <w:pPr>
        <w:pStyle w:val="ReferencesFurtherreading"/>
        <w:rPr>
          <w:rFonts w:asciiTheme="minorHAnsi" w:hAnsiTheme="minorHAnsi"/>
          <w:sz w:val="24"/>
          <w:szCs w:val="24"/>
        </w:rPr>
      </w:pPr>
      <w:r w:rsidRPr="004B77CC">
        <w:rPr>
          <w:rFonts w:asciiTheme="minorHAnsi" w:hAnsiTheme="minorHAnsi"/>
          <w:sz w:val="24"/>
          <w:szCs w:val="24"/>
        </w:rPr>
        <w:t xml:space="preserve">Hofstede, G. (1980). </w:t>
      </w:r>
      <w:r w:rsidRPr="004B77CC">
        <w:rPr>
          <w:rFonts w:asciiTheme="minorHAnsi" w:hAnsiTheme="minorHAnsi"/>
          <w:i/>
          <w:sz w:val="24"/>
          <w:szCs w:val="24"/>
        </w:rPr>
        <w:t>Culture’s consequences</w:t>
      </w:r>
      <w:r w:rsidRPr="004B77CC">
        <w:rPr>
          <w:rFonts w:asciiTheme="minorHAnsi" w:hAnsiTheme="minorHAnsi"/>
          <w:sz w:val="24"/>
          <w:szCs w:val="24"/>
        </w:rPr>
        <w:t xml:space="preserve">. Beverley Hills, </w:t>
      </w:r>
      <w:proofErr w:type="gramStart"/>
      <w:r w:rsidRPr="004B77CC">
        <w:rPr>
          <w:rFonts w:asciiTheme="minorHAnsi" w:hAnsiTheme="minorHAnsi"/>
          <w:sz w:val="24"/>
          <w:szCs w:val="24"/>
        </w:rPr>
        <w:t>CA.:</w:t>
      </w:r>
      <w:proofErr w:type="gramEnd"/>
      <w:r w:rsidRPr="004B77CC">
        <w:rPr>
          <w:rFonts w:asciiTheme="minorHAnsi" w:hAnsiTheme="minorHAnsi"/>
          <w:sz w:val="24"/>
          <w:szCs w:val="24"/>
        </w:rPr>
        <w:t xml:space="preserve"> Sage Publications. </w:t>
      </w:r>
    </w:p>
    <w:p w14:paraId="643F0176" w14:textId="77777777" w:rsidR="00D36192" w:rsidRDefault="00FF5380" w:rsidP="00D36192">
      <w:pPr>
        <w:pStyle w:val="ReferencesFurtherreading"/>
        <w:rPr>
          <w:rFonts w:asciiTheme="minorHAnsi" w:hAnsiTheme="minorHAnsi"/>
          <w:sz w:val="24"/>
          <w:szCs w:val="24"/>
        </w:rPr>
      </w:pPr>
      <w:r w:rsidRPr="004B77CC">
        <w:rPr>
          <w:rFonts w:asciiTheme="minorHAnsi" w:hAnsiTheme="minorHAnsi"/>
          <w:sz w:val="24"/>
          <w:szCs w:val="24"/>
        </w:rPr>
        <w:lastRenderedPageBreak/>
        <w:t xml:space="preserve">Hofstede, G. (1984). Cultural dimensions in management and planning. </w:t>
      </w:r>
      <w:r w:rsidRPr="004B77CC">
        <w:rPr>
          <w:rFonts w:asciiTheme="minorHAnsi" w:hAnsiTheme="minorHAnsi"/>
          <w:i/>
          <w:sz w:val="24"/>
          <w:szCs w:val="24"/>
        </w:rPr>
        <w:t>Asia Paciﬁc Journal of Management</w:t>
      </w:r>
      <w:r w:rsidRPr="004B77CC">
        <w:rPr>
          <w:rFonts w:asciiTheme="minorHAnsi" w:hAnsiTheme="minorHAnsi"/>
          <w:sz w:val="24"/>
          <w:szCs w:val="24"/>
        </w:rPr>
        <w:t>, 1(2), 81-99.</w:t>
      </w:r>
    </w:p>
    <w:p w14:paraId="6027F36B" w14:textId="77777777" w:rsidR="00D36192" w:rsidRDefault="00616CB5" w:rsidP="00616CB5">
      <w:pPr>
        <w:autoSpaceDE w:val="0"/>
        <w:autoSpaceDN w:val="0"/>
        <w:adjustRightInd w:val="0"/>
        <w:spacing w:after="0" w:line="360" w:lineRule="auto"/>
        <w:rPr>
          <w:rFonts w:cs="NewBaskerville-Bold"/>
          <w:bCs/>
          <w:szCs w:val="24"/>
        </w:rPr>
      </w:pPr>
      <w:proofErr w:type="spellStart"/>
      <w:r>
        <w:rPr>
          <w:szCs w:val="24"/>
        </w:rPr>
        <w:t>Holthausen</w:t>
      </w:r>
      <w:proofErr w:type="spellEnd"/>
      <w:r>
        <w:rPr>
          <w:szCs w:val="24"/>
        </w:rPr>
        <w:t xml:space="preserve">, R. W. (2009) </w:t>
      </w:r>
      <w:r>
        <w:rPr>
          <w:rFonts w:cs="NewBaskerville-Bold"/>
          <w:bCs/>
          <w:szCs w:val="24"/>
        </w:rPr>
        <w:t>Accounting standards, f</w:t>
      </w:r>
      <w:r w:rsidRPr="00616CB5">
        <w:rPr>
          <w:rFonts w:cs="NewBaskerville-Bold"/>
          <w:bCs/>
          <w:szCs w:val="24"/>
        </w:rPr>
        <w:t>inancial</w:t>
      </w:r>
      <w:r>
        <w:rPr>
          <w:rFonts w:cs="NewBaskerville-Bold"/>
          <w:bCs/>
          <w:szCs w:val="24"/>
        </w:rPr>
        <w:t xml:space="preserve"> reporting o</w:t>
      </w:r>
      <w:r w:rsidRPr="00616CB5">
        <w:rPr>
          <w:rFonts w:cs="NewBaskerville-Bold"/>
          <w:bCs/>
          <w:szCs w:val="24"/>
        </w:rPr>
        <w:t>utcomes,</w:t>
      </w:r>
      <w:r>
        <w:rPr>
          <w:rFonts w:cs="NewBaskerville-Bold"/>
          <w:bCs/>
          <w:szCs w:val="24"/>
        </w:rPr>
        <w:t xml:space="preserve"> and</w:t>
      </w:r>
    </w:p>
    <w:p w14:paraId="77B22AC2" w14:textId="77777777" w:rsidR="00616CB5" w:rsidRPr="00616CB5" w:rsidRDefault="00616CB5" w:rsidP="00616CB5">
      <w:pPr>
        <w:autoSpaceDE w:val="0"/>
        <w:autoSpaceDN w:val="0"/>
        <w:adjustRightInd w:val="0"/>
        <w:spacing w:after="0" w:line="360" w:lineRule="auto"/>
        <w:rPr>
          <w:rFonts w:cs="NewBaskerville-Bold"/>
          <w:bCs/>
          <w:szCs w:val="24"/>
        </w:rPr>
      </w:pPr>
      <w:r>
        <w:rPr>
          <w:rFonts w:cs="NewBaskerville-Bold"/>
          <w:bCs/>
          <w:szCs w:val="24"/>
        </w:rPr>
        <w:t xml:space="preserve">    </w:t>
      </w:r>
      <w:r w:rsidR="00D36192">
        <w:rPr>
          <w:rFonts w:cs="NewBaskerville-Bold"/>
          <w:bCs/>
          <w:szCs w:val="24"/>
        </w:rPr>
        <w:t xml:space="preserve">  </w:t>
      </w:r>
      <w:proofErr w:type="gramStart"/>
      <w:r>
        <w:rPr>
          <w:rFonts w:cs="NewBaskerville-Bold"/>
          <w:bCs/>
          <w:szCs w:val="24"/>
        </w:rPr>
        <w:t>e</w:t>
      </w:r>
      <w:r w:rsidRPr="00616CB5">
        <w:rPr>
          <w:rFonts w:cs="NewBaskerville-Bold"/>
          <w:bCs/>
          <w:szCs w:val="24"/>
        </w:rPr>
        <w:t>nforcement</w:t>
      </w:r>
      <w:proofErr w:type="gramEnd"/>
      <w:r w:rsidR="00D36192">
        <w:rPr>
          <w:rFonts w:cs="NewBaskerville-Bold"/>
          <w:bCs/>
          <w:szCs w:val="24"/>
        </w:rPr>
        <w:t xml:space="preserve">. </w:t>
      </w:r>
      <w:r w:rsidR="00D36192" w:rsidRPr="00D36192">
        <w:rPr>
          <w:rFonts w:cs="NewBaskerville-Bold"/>
          <w:bCs/>
          <w:i/>
          <w:szCs w:val="24"/>
        </w:rPr>
        <w:t>Journal of Accounting Research</w:t>
      </w:r>
      <w:r w:rsidR="00D36192">
        <w:rPr>
          <w:rFonts w:cs="NewBaskerville-Bold"/>
          <w:bCs/>
          <w:szCs w:val="24"/>
        </w:rPr>
        <w:t>, 47(2), 447-58.</w:t>
      </w:r>
    </w:p>
    <w:p w14:paraId="091F3AFB" w14:textId="77777777" w:rsidR="00F95AF6" w:rsidRPr="004B77CC" w:rsidRDefault="003F12EE" w:rsidP="004B77CC">
      <w:pPr>
        <w:autoSpaceDE w:val="0"/>
        <w:autoSpaceDN w:val="0"/>
        <w:adjustRightInd w:val="0"/>
        <w:spacing w:after="0"/>
        <w:ind w:left="360" w:hanging="360"/>
        <w:rPr>
          <w:rFonts w:cs="AdvTimes"/>
          <w:szCs w:val="24"/>
        </w:rPr>
      </w:pPr>
      <w:r w:rsidRPr="004B77CC">
        <w:rPr>
          <w:szCs w:val="24"/>
        </w:rPr>
        <w:t xml:space="preserve">Horton, J., </w:t>
      </w:r>
      <w:proofErr w:type="spellStart"/>
      <w:r w:rsidRPr="004B77CC">
        <w:rPr>
          <w:szCs w:val="24"/>
        </w:rPr>
        <w:t>Serafeim</w:t>
      </w:r>
      <w:proofErr w:type="spellEnd"/>
      <w:r w:rsidRPr="004B77CC">
        <w:rPr>
          <w:szCs w:val="24"/>
        </w:rPr>
        <w:t xml:space="preserve">, G. and </w:t>
      </w:r>
      <w:proofErr w:type="spellStart"/>
      <w:r w:rsidRPr="004B77CC">
        <w:rPr>
          <w:szCs w:val="24"/>
        </w:rPr>
        <w:t>Serafeim</w:t>
      </w:r>
      <w:proofErr w:type="spellEnd"/>
      <w:r w:rsidRPr="004B77CC">
        <w:rPr>
          <w:szCs w:val="24"/>
        </w:rPr>
        <w:t xml:space="preserve">, I. (2013). </w:t>
      </w:r>
      <w:r w:rsidRPr="004B77CC">
        <w:rPr>
          <w:rFonts w:cs="AdvTimes"/>
          <w:szCs w:val="24"/>
        </w:rPr>
        <w:t>Does mandatory IFRS adoption improve</w:t>
      </w:r>
      <w:r w:rsidR="004B77CC">
        <w:rPr>
          <w:rFonts w:cs="AdvTimes"/>
          <w:szCs w:val="24"/>
        </w:rPr>
        <w:t xml:space="preserve"> </w:t>
      </w:r>
      <w:r w:rsidRPr="004B77CC">
        <w:rPr>
          <w:rFonts w:cs="AdvTimes"/>
          <w:szCs w:val="24"/>
        </w:rPr>
        <w:t xml:space="preserve">the information environment? </w:t>
      </w:r>
      <w:r w:rsidRPr="004B77CC">
        <w:rPr>
          <w:rFonts w:cs="AdvTimes"/>
          <w:i/>
          <w:szCs w:val="24"/>
        </w:rPr>
        <w:t>Contemporary Accounting Research</w:t>
      </w:r>
      <w:r w:rsidRPr="004B77CC">
        <w:rPr>
          <w:rFonts w:cs="AdvTimes"/>
          <w:szCs w:val="24"/>
        </w:rPr>
        <w:t>, 30(1), 388-423.</w:t>
      </w:r>
    </w:p>
    <w:p w14:paraId="0E26753F" w14:textId="77777777" w:rsidR="00872DA5" w:rsidRPr="004B77CC" w:rsidRDefault="00872DA5" w:rsidP="004B77CC">
      <w:pPr>
        <w:pStyle w:val="ReferencesFurtherreading"/>
        <w:rPr>
          <w:rFonts w:asciiTheme="minorHAnsi" w:hAnsiTheme="minorHAnsi"/>
          <w:sz w:val="24"/>
          <w:szCs w:val="24"/>
        </w:rPr>
      </w:pPr>
      <w:r w:rsidRPr="004B77CC">
        <w:rPr>
          <w:rFonts w:asciiTheme="minorHAnsi" w:hAnsiTheme="minorHAnsi"/>
          <w:sz w:val="24"/>
          <w:szCs w:val="24"/>
        </w:rPr>
        <w:t xml:space="preserve">Hoogendoorn, M. (1996). Accounting and taxation in Europe – a comparative overview. </w:t>
      </w:r>
      <w:r w:rsidRPr="004B77CC">
        <w:rPr>
          <w:rFonts w:asciiTheme="minorHAnsi" w:hAnsiTheme="minorHAnsi"/>
          <w:i/>
          <w:sz w:val="24"/>
          <w:szCs w:val="24"/>
        </w:rPr>
        <w:t>European Accounting Review</w:t>
      </w:r>
      <w:r w:rsidRPr="004B77CC">
        <w:rPr>
          <w:rFonts w:asciiTheme="minorHAnsi" w:hAnsiTheme="minorHAnsi"/>
          <w:sz w:val="24"/>
          <w:szCs w:val="24"/>
        </w:rPr>
        <w:t>, 5(Supplement), 783-94.</w:t>
      </w:r>
    </w:p>
    <w:p w14:paraId="746C9EFE" w14:textId="77777777" w:rsidR="004B47F7" w:rsidRPr="004B77CC" w:rsidRDefault="004B47F7" w:rsidP="004B77CC">
      <w:pPr>
        <w:pStyle w:val="ReferencesFurtherreading"/>
        <w:rPr>
          <w:rFonts w:asciiTheme="minorHAnsi" w:hAnsiTheme="minorHAnsi"/>
          <w:sz w:val="24"/>
          <w:szCs w:val="24"/>
        </w:rPr>
      </w:pPr>
      <w:r w:rsidRPr="004B77CC">
        <w:rPr>
          <w:rFonts w:asciiTheme="minorHAnsi" w:hAnsiTheme="minorHAnsi"/>
          <w:sz w:val="24"/>
          <w:szCs w:val="24"/>
        </w:rPr>
        <w:t xml:space="preserve">Hoshi, T. and Ito, T. (2004). Financial regulation in Japan: a sixth year review of the Financial Services Agency. </w:t>
      </w:r>
      <w:r w:rsidRPr="004B77CC">
        <w:rPr>
          <w:rFonts w:asciiTheme="minorHAnsi" w:hAnsiTheme="minorHAnsi"/>
          <w:i/>
          <w:sz w:val="24"/>
          <w:szCs w:val="24"/>
        </w:rPr>
        <w:t>Journal of Financial Stability</w:t>
      </w:r>
      <w:r w:rsidRPr="004B77CC">
        <w:rPr>
          <w:rFonts w:asciiTheme="minorHAnsi" w:hAnsiTheme="minorHAnsi"/>
          <w:sz w:val="24"/>
          <w:szCs w:val="24"/>
        </w:rPr>
        <w:t>, 1(2), 229-243.</w:t>
      </w:r>
    </w:p>
    <w:p w14:paraId="061C5D74" w14:textId="77777777" w:rsidR="006E3E86" w:rsidRPr="004B77CC" w:rsidRDefault="006E3E86" w:rsidP="004B77CC">
      <w:pPr>
        <w:spacing w:after="0"/>
        <w:ind w:left="360" w:hanging="360"/>
        <w:rPr>
          <w:rFonts w:eastAsia="SimSun"/>
          <w:szCs w:val="24"/>
          <w:lang w:eastAsia="zh-CN"/>
        </w:rPr>
      </w:pPr>
      <w:r w:rsidRPr="004B77CC">
        <w:rPr>
          <w:rFonts w:eastAsia="SimSun"/>
          <w:szCs w:val="24"/>
          <w:lang w:eastAsia="zh-CN"/>
        </w:rPr>
        <w:t xml:space="preserve">Hung, M. </w:t>
      </w:r>
      <w:r w:rsidR="009C56F0" w:rsidRPr="004B77CC">
        <w:rPr>
          <w:rFonts w:eastAsia="SimSun"/>
          <w:szCs w:val="24"/>
          <w:lang w:eastAsia="zh-CN"/>
        </w:rPr>
        <w:t>(</w:t>
      </w:r>
      <w:r w:rsidRPr="004B77CC">
        <w:rPr>
          <w:rFonts w:eastAsia="SimSun"/>
          <w:szCs w:val="24"/>
          <w:lang w:eastAsia="zh-CN"/>
        </w:rPr>
        <w:t>2001</w:t>
      </w:r>
      <w:r w:rsidR="009C56F0" w:rsidRPr="004B77CC">
        <w:rPr>
          <w:rFonts w:eastAsia="SimSun"/>
          <w:szCs w:val="24"/>
          <w:lang w:eastAsia="zh-CN"/>
        </w:rPr>
        <w:t>)</w:t>
      </w:r>
      <w:r w:rsidRPr="004B77CC">
        <w:rPr>
          <w:rFonts w:eastAsia="SimSun"/>
          <w:szCs w:val="24"/>
          <w:lang w:eastAsia="zh-CN"/>
        </w:rPr>
        <w:t xml:space="preserve">. Accounting standards and value relevance of financial statements: an international analysis. </w:t>
      </w:r>
      <w:r w:rsidRPr="004B77CC">
        <w:rPr>
          <w:rFonts w:eastAsia="SimSun"/>
          <w:i/>
          <w:szCs w:val="24"/>
          <w:lang w:eastAsia="zh-CN"/>
        </w:rPr>
        <w:t>Journal of Accounting and Economics</w:t>
      </w:r>
      <w:r w:rsidRPr="004B77CC">
        <w:rPr>
          <w:rFonts w:eastAsia="SimSun"/>
          <w:szCs w:val="24"/>
          <w:lang w:eastAsia="zh-CN"/>
        </w:rPr>
        <w:t>, 30(3), 401-420.</w:t>
      </w:r>
    </w:p>
    <w:p w14:paraId="0939E344" w14:textId="77777777" w:rsidR="00EC43E5" w:rsidRPr="004329ED" w:rsidRDefault="00EC43E5" w:rsidP="00EC43E5">
      <w:pPr>
        <w:keepLines/>
        <w:ind w:left="360" w:right="29" w:hanging="360"/>
      </w:pPr>
      <w:r w:rsidRPr="004B77CC">
        <w:rPr>
          <w:szCs w:val="24"/>
        </w:rPr>
        <w:t xml:space="preserve">IASB (2010). </w:t>
      </w:r>
      <w:r w:rsidRPr="004B77CC">
        <w:rPr>
          <w:i/>
          <w:szCs w:val="24"/>
        </w:rPr>
        <w:t>The conceptual framework for financial reporting</w:t>
      </w:r>
      <w:r w:rsidRPr="004B77CC">
        <w:rPr>
          <w:szCs w:val="24"/>
        </w:rPr>
        <w:t>. London: International Accounting Standards Board.</w:t>
      </w:r>
    </w:p>
    <w:p w14:paraId="0CD05D0E" w14:textId="77777777" w:rsidR="00EC43E5" w:rsidRDefault="00EC43E5" w:rsidP="00EC43E5">
      <w:pPr>
        <w:spacing w:after="0"/>
        <w:ind w:left="360" w:hanging="360"/>
        <w:rPr>
          <w:szCs w:val="24"/>
        </w:rPr>
      </w:pPr>
      <w:r w:rsidRPr="004B77CC">
        <w:rPr>
          <w:szCs w:val="24"/>
        </w:rPr>
        <w:t>IASB (2015).</w:t>
      </w:r>
      <w:r w:rsidRPr="004B77CC">
        <w:rPr>
          <w:i/>
          <w:szCs w:val="24"/>
        </w:rPr>
        <w:t xml:space="preserve"> The conceptual framework for financial reporting (ED/2015/3)</w:t>
      </w:r>
      <w:r w:rsidRPr="004B77CC">
        <w:rPr>
          <w:szCs w:val="24"/>
        </w:rPr>
        <w:t>. London:  International Accounting Standards Board.</w:t>
      </w:r>
    </w:p>
    <w:p w14:paraId="308EA227" w14:textId="77777777" w:rsidR="00E62AC4" w:rsidRPr="00E62AC4" w:rsidRDefault="00E62AC4" w:rsidP="00E62AC4">
      <w:pPr>
        <w:spacing w:after="200"/>
        <w:ind w:left="360" w:hanging="360"/>
      </w:pPr>
      <w:r>
        <w:t>ICAEW (</w:t>
      </w:r>
      <w:r w:rsidRPr="00E62AC4">
        <w:t>2007</w:t>
      </w:r>
      <w:r>
        <w:t>)</w:t>
      </w:r>
      <w:r w:rsidRPr="00E62AC4">
        <w:t xml:space="preserve">. </w:t>
      </w:r>
      <w:r>
        <w:rPr>
          <w:i/>
        </w:rPr>
        <w:t>EU i</w:t>
      </w:r>
      <w:r w:rsidRPr="00E62AC4">
        <w:rPr>
          <w:i/>
        </w:rPr>
        <w:t>mplementation of IFRS and the Fair Value Directive</w:t>
      </w:r>
      <w:r w:rsidRPr="00E62AC4">
        <w:t>. London: Institute of Chartered Accountants in England and Wales.</w:t>
      </w:r>
    </w:p>
    <w:p w14:paraId="6AEF7141" w14:textId="77777777" w:rsidR="00EC43E5" w:rsidRPr="004B77CC" w:rsidRDefault="00EC43E5" w:rsidP="00EC43E5">
      <w:pPr>
        <w:pStyle w:val="ReferencesFurtherreading"/>
        <w:ind w:left="360" w:hanging="360"/>
        <w:rPr>
          <w:rFonts w:asciiTheme="minorHAnsi" w:hAnsiTheme="minorHAnsi"/>
          <w:sz w:val="24"/>
          <w:szCs w:val="24"/>
        </w:rPr>
      </w:pPr>
      <w:r w:rsidRPr="004B77CC">
        <w:rPr>
          <w:rFonts w:asciiTheme="minorHAnsi" w:hAnsiTheme="minorHAnsi"/>
          <w:sz w:val="24"/>
          <w:szCs w:val="24"/>
        </w:rPr>
        <w:t xml:space="preserve">IFRS Foundation (2015). </w:t>
      </w:r>
      <w:r w:rsidRPr="004B77CC">
        <w:rPr>
          <w:rFonts w:asciiTheme="minorHAnsi" w:hAnsiTheme="minorHAnsi"/>
          <w:i/>
          <w:sz w:val="24"/>
          <w:szCs w:val="24"/>
        </w:rPr>
        <w:t>Jurisdiction Profiles</w:t>
      </w:r>
      <w:r w:rsidRPr="004B77CC">
        <w:rPr>
          <w:rFonts w:asciiTheme="minorHAnsi" w:hAnsiTheme="minorHAnsi"/>
          <w:sz w:val="24"/>
          <w:szCs w:val="24"/>
        </w:rPr>
        <w:t>. London: IFRS Foundation.</w:t>
      </w:r>
    </w:p>
    <w:p w14:paraId="7ED8C890" w14:textId="77777777" w:rsidR="0061527C" w:rsidRPr="004B77CC" w:rsidRDefault="0061527C" w:rsidP="004B77CC">
      <w:pPr>
        <w:spacing w:after="0"/>
        <w:ind w:left="360" w:right="29" w:hanging="360"/>
        <w:rPr>
          <w:szCs w:val="24"/>
        </w:rPr>
      </w:pPr>
      <w:proofErr w:type="spellStart"/>
      <w:r w:rsidRPr="004B77CC">
        <w:rPr>
          <w:szCs w:val="24"/>
        </w:rPr>
        <w:t>Jeanjean</w:t>
      </w:r>
      <w:proofErr w:type="spellEnd"/>
      <w:r w:rsidRPr="004B77CC">
        <w:rPr>
          <w:szCs w:val="24"/>
        </w:rPr>
        <w:t>, T., Lesa</w:t>
      </w:r>
      <w:r w:rsidR="004F6E8B" w:rsidRPr="004B77CC">
        <w:rPr>
          <w:szCs w:val="24"/>
        </w:rPr>
        <w:t xml:space="preserve">ge, C. and </w:t>
      </w:r>
      <w:proofErr w:type="spellStart"/>
      <w:r w:rsidR="004F6E8B" w:rsidRPr="004B77CC">
        <w:rPr>
          <w:szCs w:val="24"/>
        </w:rPr>
        <w:t>Stolowy</w:t>
      </w:r>
      <w:proofErr w:type="spellEnd"/>
      <w:r w:rsidR="004F6E8B" w:rsidRPr="004B77CC">
        <w:rPr>
          <w:szCs w:val="24"/>
        </w:rPr>
        <w:t xml:space="preserve">, H. (2010). </w:t>
      </w:r>
      <w:r w:rsidRPr="004B77CC">
        <w:rPr>
          <w:szCs w:val="24"/>
        </w:rPr>
        <w:t>Why do you speak E</w:t>
      </w:r>
      <w:r w:rsidR="004F6E8B" w:rsidRPr="004B77CC">
        <w:rPr>
          <w:szCs w:val="24"/>
        </w:rPr>
        <w:t>nglish (in your annual report)?</w:t>
      </w:r>
      <w:r w:rsidRPr="004B77CC">
        <w:rPr>
          <w:szCs w:val="24"/>
        </w:rPr>
        <w:t xml:space="preserve"> </w:t>
      </w:r>
      <w:r w:rsidRPr="004B77CC">
        <w:rPr>
          <w:i/>
          <w:szCs w:val="24"/>
        </w:rPr>
        <w:t>International Journal of Accounting</w:t>
      </w:r>
      <w:r w:rsidRPr="004B77CC">
        <w:rPr>
          <w:szCs w:val="24"/>
        </w:rPr>
        <w:t>, 45(2), 200-223.</w:t>
      </w:r>
    </w:p>
    <w:p w14:paraId="5D93498D" w14:textId="77777777" w:rsidR="00970822" w:rsidRDefault="00970822" w:rsidP="004B77CC">
      <w:pPr>
        <w:pStyle w:val="ReferencesFurtherreading"/>
        <w:ind w:left="360" w:hanging="360"/>
        <w:rPr>
          <w:rFonts w:asciiTheme="minorHAnsi" w:hAnsiTheme="minorHAnsi"/>
          <w:sz w:val="24"/>
          <w:szCs w:val="24"/>
        </w:rPr>
      </w:pPr>
      <w:r w:rsidRPr="004B77CC">
        <w:rPr>
          <w:rFonts w:asciiTheme="minorHAnsi" w:hAnsiTheme="minorHAnsi"/>
          <w:sz w:val="24"/>
          <w:szCs w:val="24"/>
        </w:rPr>
        <w:t>Kagan, K.K. (1955)</w:t>
      </w:r>
      <w:r w:rsidR="000775D7" w:rsidRPr="004B77CC">
        <w:rPr>
          <w:rFonts w:asciiTheme="minorHAnsi" w:hAnsiTheme="minorHAnsi"/>
          <w:sz w:val="24"/>
          <w:szCs w:val="24"/>
        </w:rPr>
        <w:t>.</w:t>
      </w:r>
      <w:r w:rsidRPr="004B77CC">
        <w:rPr>
          <w:rFonts w:asciiTheme="minorHAnsi" w:hAnsiTheme="minorHAnsi"/>
          <w:sz w:val="24"/>
          <w:szCs w:val="24"/>
        </w:rPr>
        <w:t xml:space="preserve"> </w:t>
      </w:r>
      <w:r w:rsidR="009A075A" w:rsidRPr="004B77CC">
        <w:rPr>
          <w:rFonts w:asciiTheme="minorHAnsi" w:hAnsiTheme="minorHAnsi"/>
          <w:i/>
          <w:sz w:val="24"/>
          <w:szCs w:val="24"/>
        </w:rPr>
        <w:t>Three great systems of j</w:t>
      </w:r>
      <w:r w:rsidRPr="004B77CC">
        <w:rPr>
          <w:rFonts w:asciiTheme="minorHAnsi" w:hAnsiTheme="minorHAnsi"/>
          <w:i/>
          <w:sz w:val="24"/>
          <w:szCs w:val="24"/>
        </w:rPr>
        <w:t>urisprudence</w:t>
      </w:r>
      <w:r w:rsidR="000775D7" w:rsidRPr="004B77CC">
        <w:rPr>
          <w:rFonts w:asciiTheme="minorHAnsi" w:hAnsiTheme="minorHAnsi"/>
          <w:sz w:val="24"/>
          <w:szCs w:val="24"/>
        </w:rPr>
        <w:t>. London: Stevens.</w:t>
      </w:r>
    </w:p>
    <w:p w14:paraId="76798F32" w14:textId="77777777" w:rsidR="004329ED" w:rsidRDefault="00FA5CBE" w:rsidP="004329ED">
      <w:pPr>
        <w:keepLines/>
        <w:ind w:left="360" w:right="29" w:hanging="360"/>
      </w:pPr>
      <w:proofErr w:type="spellStart"/>
      <w:r w:rsidRPr="004204A5">
        <w:t>K</w:t>
      </w:r>
      <w:r>
        <w:t>v</w:t>
      </w:r>
      <w:r w:rsidR="00EE54B4">
        <w:t>aal</w:t>
      </w:r>
      <w:proofErr w:type="spellEnd"/>
      <w:r w:rsidR="00EE54B4">
        <w:t>, E. and Nobes, C.W. (2010).</w:t>
      </w:r>
      <w:r>
        <w:t xml:space="preserve"> </w:t>
      </w:r>
      <w:r w:rsidRPr="004204A5">
        <w:t xml:space="preserve">International differences in IFRS </w:t>
      </w:r>
      <w:r>
        <w:t>policy choice: a research note.</w:t>
      </w:r>
      <w:r w:rsidRPr="004204A5">
        <w:t xml:space="preserve"> </w:t>
      </w:r>
      <w:r w:rsidRPr="004204A5">
        <w:rPr>
          <w:i/>
        </w:rPr>
        <w:t>Accounting and Business Research</w:t>
      </w:r>
      <w:r w:rsidR="004329ED">
        <w:t>, 40(2), 173-</w:t>
      </w:r>
      <w:r>
        <w:t>87.</w:t>
      </w:r>
    </w:p>
    <w:p w14:paraId="30775D5D" w14:textId="77777777" w:rsidR="00DF7D28" w:rsidRDefault="00DF7D28" w:rsidP="004329ED">
      <w:pPr>
        <w:keepLines/>
        <w:ind w:left="360" w:right="29" w:hanging="360"/>
      </w:pPr>
      <w:r>
        <w:lastRenderedPageBreak/>
        <w:t xml:space="preserve">Komatsu, E. and Harris, R. (1993). Editors and translators of </w:t>
      </w:r>
      <w:r w:rsidRPr="00DF7D28">
        <w:rPr>
          <w:i/>
        </w:rPr>
        <w:t>Saussure’s Third Course of Lectures on General Linguistics</w:t>
      </w:r>
      <w:r>
        <w:t xml:space="preserve">, </w:t>
      </w:r>
      <w:proofErr w:type="spellStart"/>
      <w:r>
        <w:t>Pergamon</w:t>
      </w:r>
      <w:proofErr w:type="spellEnd"/>
      <w:r>
        <w:t>, Oxford.</w:t>
      </w:r>
    </w:p>
    <w:p w14:paraId="6E457759" w14:textId="77777777" w:rsidR="00970822" w:rsidRPr="004B77CC" w:rsidRDefault="00970822" w:rsidP="004B77CC">
      <w:pPr>
        <w:pStyle w:val="ReferencesFurtherreading"/>
        <w:ind w:left="360" w:hanging="360"/>
        <w:rPr>
          <w:rFonts w:asciiTheme="minorHAnsi" w:hAnsiTheme="minorHAnsi"/>
          <w:sz w:val="24"/>
          <w:szCs w:val="24"/>
        </w:rPr>
      </w:pPr>
      <w:r w:rsidRPr="004B77CC">
        <w:rPr>
          <w:rFonts w:asciiTheme="minorHAnsi" w:hAnsiTheme="minorHAnsi"/>
          <w:sz w:val="24"/>
          <w:szCs w:val="24"/>
        </w:rPr>
        <w:t>Lamb, M., Nobes, C.W. and Roberts, A.D. (1998)</w:t>
      </w:r>
      <w:r w:rsidR="000775D7"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International variations in the connections betw</w:t>
      </w:r>
      <w:r w:rsidR="00394E8F" w:rsidRPr="004B77CC">
        <w:rPr>
          <w:rFonts w:asciiTheme="minorHAnsi" w:hAnsiTheme="minorHAnsi"/>
          <w:sz w:val="24"/>
          <w:szCs w:val="24"/>
        </w:rPr>
        <w:t>een tax and ﬁnancial reporting</w:t>
      </w:r>
      <w:r w:rsidR="000775D7"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Accounting and Business Research</w:t>
      </w:r>
      <w:r w:rsidR="000775D7" w:rsidRPr="004B77CC">
        <w:rPr>
          <w:rFonts w:asciiTheme="minorHAnsi" w:hAnsiTheme="minorHAnsi"/>
          <w:sz w:val="24"/>
          <w:szCs w:val="24"/>
        </w:rPr>
        <w:t>,</w:t>
      </w:r>
      <w:r w:rsidRPr="004B77CC">
        <w:rPr>
          <w:rFonts w:asciiTheme="minorHAnsi" w:hAnsiTheme="minorHAnsi"/>
          <w:sz w:val="24"/>
          <w:szCs w:val="24"/>
        </w:rPr>
        <w:t xml:space="preserve"> 28</w:t>
      </w:r>
      <w:r w:rsidR="000775D7" w:rsidRPr="004B77CC">
        <w:rPr>
          <w:rFonts w:asciiTheme="minorHAnsi" w:hAnsiTheme="minorHAnsi"/>
          <w:sz w:val="24"/>
          <w:szCs w:val="24"/>
        </w:rPr>
        <w:t>(</w:t>
      </w:r>
      <w:r w:rsidRPr="004B77CC">
        <w:rPr>
          <w:rFonts w:asciiTheme="minorHAnsi" w:hAnsiTheme="minorHAnsi"/>
          <w:sz w:val="24"/>
          <w:szCs w:val="24"/>
        </w:rPr>
        <w:t>3</w:t>
      </w:r>
      <w:r w:rsidR="000775D7" w:rsidRPr="004B77CC">
        <w:rPr>
          <w:rFonts w:asciiTheme="minorHAnsi" w:hAnsiTheme="minorHAnsi"/>
          <w:sz w:val="24"/>
          <w:szCs w:val="24"/>
        </w:rPr>
        <w:t xml:space="preserve">), </w:t>
      </w:r>
      <w:r w:rsidRPr="004B77CC">
        <w:rPr>
          <w:rFonts w:asciiTheme="minorHAnsi" w:hAnsiTheme="minorHAnsi"/>
          <w:sz w:val="24"/>
          <w:szCs w:val="24"/>
        </w:rPr>
        <w:t>173-88.</w:t>
      </w:r>
    </w:p>
    <w:p w14:paraId="7A0084DE"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La Porta, R., Lopez-de-</w:t>
      </w:r>
      <w:proofErr w:type="spellStart"/>
      <w:r w:rsidRPr="004B77CC">
        <w:rPr>
          <w:rFonts w:asciiTheme="minorHAnsi" w:hAnsiTheme="minorHAnsi"/>
          <w:sz w:val="24"/>
          <w:szCs w:val="24"/>
        </w:rPr>
        <w:t>Silanes</w:t>
      </w:r>
      <w:proofErr w:type="spellEnd"/>
      <w:r w:rsidRPr="004B77CC">
        <w:rPr>
          <w:rFonts w:asciiTheme="minorHAnsi" w:hAnsiTheme="minorHAnsi"/>
          <w:sz w:val="24"/>
          <w:szCs w:val="24"/>
        </w:rPr>
        <w:t xml:space="preserve">, F., Shleifer, A. and </w:t>
      </w:r>
      <w:proofErr w:type="spellStart"/>
      <w:r w:rsidRPr="004B77CC">
        <w:rPr>
          <w:rFonts w:asciiTheme="minorHAnsi" w:hAnsiTheme="minorHAnsi"/>
          <w:sz w:val="24"/>
          <w:szCs w:val="24"/>
        </w:rPr>
        <w:t>Vishny</w:t>
      </w:r>
      <w:proofErr w:type="spellEnd"/>
      <w:r w:rsidRPr="004B77CC">
        <w:rPr>
          <w:rFonts w:asciiTheme="minorHAnsi" w:hAnsiTheme="minorHAnsi"/>
          <w:sz w:val="24"/>
          <w:szCs w:val="24"/>
        </w:rPr>
        <w:t>, R.W. (1997)</w:t>
      </w:r>
      <w:r w:rsidR="000775D7"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Legal d</w:t>
      </w:r>
      <w:r w:rsidR="00394E8F" w:rsidRPr="004B77CC">
        <w:rPr>
          <w:rFonts w:asciiTheme="minorHAnsi" w:hAnsiTheme="minorHAnsi"/>
          <w:sz w:val="24"/>
          <w:szCs w:val="24"/>
        </w:rPr>
        <w:t>eterminants of external ﬁnance</w:t>
      </w:r>
      <w:r w:rsidR="000775D7"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Journal of Finance</w:t>
      </w:r>
      <w:r w:rsidRPr="004B77CC">
        <w:rPr>
          <w:rFonts w:asciiTheme="minorHAnsi" w:hAnsiTheme="minorHAnsi"/>
          <w:sz w:val="24"/>
          <w:szCs w:val="24"/>
        </w:rPr>
        <w:t>, 52</w:t>
      </w:r>
      <w:r w:rsidR="000775D7" w:rsidRPr="004B77CC">
        <w:rPr>
          <w:rFonts w:asciiTheme="minorHAnsi" w:hAnsiTheme="minorHAnsi"/>
          <w:sz w:val="24"/>
          <w:szCs w:val="24"/>
        </w:rPr>
        <w:t>(</w:t>
      </w:r>
      <w:r w:rsidRPr="004B77CC">
        <w:rPr>
          <w:rFonts w:asciiTheme="minorHAnsi" w:hAnsiTheme="minorHAnsi"/>
          <w:sz w:val="24"/>
          <w:szCs w:val="24"/>
        </w:rPr>
        <w:t>3</w:t>
      </w:r>
      <w:r w:rsidR="000775D7" w:rsidRPr="004B77CC">
        <w:rPr>
          <w:rFonts w:asciiTheme="minorHAnsi" w:hAnsiTheme="minorHAnsi"/>
          <w:sz w:val="24"/>
          <w:szCs w:val="24"/>
        </w:rPr>
        <w:t xml:space="preserve">), </w:t>
      </w:r>
      <w:r w:rsidRPr="004B77CC">
        <w:rPr>
          <w:rFonts w:asciiTheme="minorHAnsi" w:hAnsiTheme="minorHAnsi"/>
          <w:sz w:val="24"/>
          <w:szCs w:val="24"/>
        </w:rPr>
        <w:t>1131-50.</w:t>
      </w:r>
    </w:p>
    <w:p w14:paraId="00F63C74" w14:textId="77777777" w:rsidR="007E7DAC" w:rsidRPr="004B77CC" w:rsidRDefault="007E7DAC" w:rsidP="007E7DAC">
      <w:pPr>
        <w:pStyle w:val="ReferencesFurtherreading"/>
        <w:rPr>
          <w:rFonts w:asciiTheme="minorHAnsi" w:hAnsiTheme="minorHAnsi"/>
          <w:sz w:val="24"/>
          <w:szCs w:val="24"/>
        </w:rPr>
      </w:pPr>
      <w:r w:rsidRPr="004B77CC">
        <w:rPr>
          <w:rFonts w:asciiTheme="minorHAnsi" w:hAnsiTheme="minorHAnsi"/>
          <w:sz w:val="24"/>
          <w:szCs w:val="24"/>
        </w:rPr>
        <w:t>La Porta, R., Lopez-de-</w:t>
      </w:r>
      <w:proofErr w:type="spellStart"/>
      <w:r w:rsidRPr="004B77CC">
        <w:rPr>
          <w:rFonts w:asciiTheme="minorHAnsi" w:hAnsiTheme="minorHAnsi"/>
          <w:sz w:val="24"/>
          <w:szCs w:val="24"/>
        </w:rPr>
        <w:t>Silanes</w:t>
      </w:r>
      <w:proofErr w:type="spellEnd"/>
      <w:r w:rsidRPr="004B77CC">
        <w:rPr>
          <w:rFonts w:asciiTheme="minorHAnsi" w:hAnsiTheme="minorHAnsi"/>
          <w:sz w:val="24"/>
          <w:szCs w:val="24"/>
        </w:rPr>
        <w:t>, F., Shl</w:t>
      </w:r>
      <w:r>
        <w:rPr>
          <w:rFonts w:asciiTheme="minorHAnsi" w:hAnsiTheme="minorHAnsi"/>
          <w:sz w:val="24"/>
          <w:szCs w:val="24"/>
        </w:rPr>
        <w:t xml:space="preserve">eifer, A. and </w:t>
      </w:r>
      <w:proofErr w:type="spellStart"/>
      <w:r>
        <w:rPr>
          <w:rFonts w:asciiTheme="minorHAnsi" w:hAnsiTheme="minorHAnsi"/>
          <w:sz w:val="24"/>
          <w:szCs w:val="24"/>
        </w:rPr>
        <w:t>Vishny</w:t>
      </w:r>
      <w:proofErr w:type="spellEnd"/>
      <w:r>
        <w:rPr>
          <w:rFonts w:asciiTheme="minorHAnsi" w:hAnsiTheme="minorHAnsi"/>
          <w:sz w:val="24"/>
          <w:szCs w:val="24"/>
        </w:rPr>
        <w:t>, R.W. (1998</w:t>
      </w:r>
      <w:r w:rsidRPr="004B77CC">
        <w:rPr>
          <w:rFonts w:asciiTheme="minorHAnsi" w:hAnsiTheme="minorHAnsi"/>
          <w:sz w:val="24"/>
          <w:szCs w:val="24"/>
        </w:rPr>
        <w:t xml:space="preserve">). </w:t>
      </w:r>
      <w:r>
        <w:rPr>
          <w:rFonts w:asciiTheme="minorHAnsi" w:hAnsiTheme="minorHAnsi"/>
          <w:sz w:val="24"/>
          <w:szCs w:val="24"/>
        </w:rPr>
        <w:t xml:space="preserve">Law and </w:t>
      </w:r>
      <w:r w:rsidRPr="004B77CC">
        <w:rPr>
          <w:rFonts w:asciiTheme="minorHAnsi" w:hAnsiTheme="minorHAnsi"/>
          <w:sz w:val="24"/>
          <w:szCs w:val="24"/>
        </w:rPr>
        <w:t xml:space="preserve">ﬁnance. </w:t>
      </w:r>
      <w:r w:rsidRPr="004B77CC">
        <w:rPr>
          <w:rFonts w:asciiTheme="minorHAnsi" w:hAnsiTheme="minorHAnsi"/>
          <w:i/>
          <w:sz w:val="24"/>
          <w:szCs w:val="24"/>
        </w:rPr>
        <w:t xml:space="preserve">Journal of </w:t>
      </w:r>
      <w:r w:rsidR="002E2AD1">
        <w:rPr>
          <w:rFonts w:asciiTheme="minorHAnsi" w:hAnsiTheme="minorHAnsi"/>
          <w:i/>
          <w:sz w:val="24"/>
          <w:szCs w:val="24"/>
        </w:rPr>
        <w:t>Political Economy</w:t>
      </w:r>
      <w:r w:rsidR="002E2AD1">
        <w:rPr>
          <w:rFonts w:asciiTheme="minorHAnsi" w:hAnsiTheme="minorHAnsi"/>
          <w:sz w:val="24"/>
          <w:szCs w:val="24"/>
        </w:rPr>
        <w:t>, 106(6</w:t>
      </w:r>
      <w:r w:rsidRPr="004B77CC">
        <w:rPr>
          <w:rFonts w:asciiTheme="minorHAnsi" w:hAnsiTheme="minorHAnsi"/>
          <w:sz w:val="24"/>
          <w:szCs w:val="24"/>
        </w:rPr>
        <w:t xml:space="preserve">), </w:t>
      </w:r>
      <w:r w:rsidR="002E2AD1">
        <w:rPr>
          <w:rFonts w:asciiTheme="minorHAnsi" w:hAnsiTheme="minorHAnsi"/>
          <w:sz w:val="24"/>
          <w:szCs w:val="24"/>
        </w:rPr>
        <w:t>1113-42</w:t>
      </w:r>
      <w:r w:rsidRPr="004B77CC">
        <w:rPr>
          <w:rFonts w:asciiTheme="minorHAnsi" w:hAnsiTheme="minorHAnsi"/>
          <w:sz w:val="24"/>
          <w:szCs w:val="24"/>
        </w:rPr>
        <w:t>.</w:t>
      </w:r>
    </w:p>
    <w:p w14:paraId="0179CEBD" w14:textId="77777777" w:rsidR="003B5592" w:rsidRPr="004B77CC" w:rsidRDefault="003B5592" w:rsidP="004B77CC">
      <w:pPr>
        <w:pStyle w:val="ReferencesFurtherreading"/>
        <w:rPr>
          <w:rFonts w:asciiTheme="minorHAnsi" w:hAnsiTheme="minorHAnsi" w:cs="AdvGulliv-R"/>
          <w:sz w:val="24"/>
          <w:szCs w:val="24"/>
        </w:rPr>
      </w:pPr>
      <w:r w:rsidRPr="004B77CC">
        <w:rPr>
          <w:rFonts w:asciiTheme="minorHAnsi" w:hAnsiTheme="minorHAnsi" w:cs="AdvGulliv-R"/>
          <w:sz w:val="24"/>
          <w:szCs w:val="24"/>
        </w:rPr>
        <w:t>La Porta, R., Lopez-de-</w:t>
      </w:r>
      <w:proofErr w:type="spellStart"/>
      <w:r w:rsidRPr="004B77CC">
        <w:rPr>
          <w:rFonts w:asciiTheme="minorHAnsi" w:hAnsiTheme="minorHAnsi" w:cs="AdvGulliv-R"/>
          <w:sz w:val="24"/>
          <w:szCs w:val="24"/>
        </w:rPr>
        <w:t>Silanes</w:t>
      </w:r>
      <w:proofErr w:type="spellEnd"/>
      <w:r w:rsidRPr="004B77CC">
        <w:rPr>
          <w:rFonts w:asciiTheme="minorHAnsi" w:hAnsiTheme="minorHAnsi" w:cs="AdvGulliv-R"/>
          <w:sz w:val="24"/>
          <w:szCs w:val="24"/>
        </w:rPr>
        <w:t xml:space="preserve">, F., Shleifer, A. (2006). What works in security laws? </w:t>
      </w:r>
      <w:r w:rsidRPr="004B77CC">
        <w:rPr>
          <w:rFonts w:asciiTheme="minorHAnsi" w:hAnsiTheme="minorHAnsi" w:cs="AdvGulliv-R"/>
          <w:i/>
          <w:sz w:val="24"/>
          <w:szCs w:val="24"/>
        </w:rPr>
        <w:t>Journal of Finance,</w:t>
      </w:r>
      <w:r w:rsidRPr="004B77CC">
        <w:rPr>
          <w:rFonts w:asciiTheme="minorHAnsi" w:hAnsiTheme="minorHAnsi" w:cs="AdvGulliv-R"/>
          <w:sz w:val="24"/>
          <w:szCs w:val="24"/>
        </w:rPr>
        <w:t xml:space="preserve"> 61(1), 1–32.</w:t>
      </w:r>
    </w:p>
    <w:p w14:paraId="38FCDCAA" w14:textId="77777777" w:rsidR="00D92985" w:rsidRPr="004B77CC" w:rsidRDefault="00D92985" w:rsidP="004B77CC">
      <w:pPr>
        <w:pStyle w:val="ReferencesFurtherreading"/>
        <w:rPr>
          <w:rFonts w:asciiTheme="minorHAnsi" w:hAnsiTheme="minorHAnsi"/>
          <w:sz w:val="24"/>
          <w:szCs w:val="24"/>
        </w:rPr>
      </w:pPr>
      <w:r w:rsidRPr="004B77CC">
        <w:rPr>
          <w:rFonts w:asciiTheme="minorHAnsi" w:hAnsiTheme="minorHAnsi" w:cs="AdvGulliv-R"/>
          <w:sz w:val="24"/>
          <w:szCs w:val="24"/>
        </w:rPr>
        <w:t xml:space="preserve">Liao, L. (2014). </w:t>
      </w:r>
      <w:r w:rsidRPr="004B77CC">
        <w:rPr>
          <w:rFonts w:asciiTheme="minorHAnsi" w:hAnsiTheme="minorHAnsi" w:cs="Arial"/>
          <w:i/>
          <w:sz w:val="24"/>
          <w:szCs w:val="24"/>
        </w:rPr>
        <w:t>Relative and incremental value relevance of fair value and historical cost measurements: evidence from European financial institutions</w:t>
      </w:r>
      <w:r w:rsidRPr="004B77CC">
        <w:rPr>
          <w:rFonts w:asciiTheme="minorHAnsi" w:hAnsiTheme="minorHAnsi" w:cs="Arial"/>
          <w:sz w:val="24"/>
          <w:szCs w:val="24"/>
        </w:rPr>
        <w:t>. PhD thesis. Sydney: University of New South Wales.</w:t>
      </w:r>
    </w:p>
    <w:p w14:paraId="57AA26FB" w14:textId="77777777" w:rsidR="00970822" w:rsidRPr="004B77CC" w:rsidRDefault="00970822" w:rsidP="004B77CC">
      <w:pPr>
        <w:pStyle w:val="ReferencesFurtherreading"/>
        <w:rPr>
          <w:rFonts w:asciiTheme="minorHAnsi" w:hAnsiTheme="minorHAnsi"/>
          <w:sz w:val="24"/>
          <w:szCs w:val="24"/>
        </w:rPr>
      </w:pPr>
      <w:proofErr w:type="spellStart"/>
      <w:r w:rsidRPr="004B77CC">
        <w:rPr>
          <w:rFonts w:asciiTheme="minorHAnsi" w:hAnsiTheme="minorHAnsi"/>
          <w:sz w:val="24"/>
          <w:szCs w:val="24"/>
        </w:rPr>
        <w:t>Lindahl</w:t>
      </w:r>
      <w:proofErr w:type="spellEnd"/>
      <w:r w:rsidRPr="004B77CC">
        <w:rPr>
          <w:rFonts w:asciiTheme="minorHAnsi" w:hAnsiTheme="minorHAnsi"/>
          <w:sz w:val="24"/>
          <w:szCs w:val="24"/>
        </w:rPr>
        <w:t xml:space="preserve">, F and </w:t>
      </w:r>
      <w:proofErr w:type="spellStart"/>
      <w:r w:rsidRPr="004B77CC">
        <w:rPr>
          <w:rFonts w:asciiTheme="minorHAnsi" w:hAnsiTheme="minorHAnsi"/>
          <w:sz w:val="24"/>
          <w:szCs w:val="24"/>
        </w:rPr>
        <w:t>Schadéwitz</w:t>
      </w:r>
      <w:proofErr w:type="spellEnd"/>
      <w:r w:rsidRPr="004B77CC">
        <w:rPr>
          <w:rFonts w:asciiTheme="minorHAnsi" w:hAnsiTheme="minorHAnsi"/>
          <w:sz w:val="24"/>
          <w:szCs w:val="24"/>
        </w:rPr>
        <w:t>, H. (2013)</w:t>
      </w:r>
      <w:r w:rsidR="000775D7" w:rsidRPr="004B77CC">
        <w:rPr>
          <w:rFonts w:asciiTheme="minorHAnsi" w:hAnsiTheme="minorHAnsi"/>
          <w:sz w:val="24"/>
          <w:szCs w:val="24"/>
        </w:rPr>
        <w:t>.</w:t>
      </w:r>
      <w:r w:rsidR="00257DFE" w:rsidRPr="004B77CC">
        <w:rPr>
          <w:rFonts w:asciiTheme="minorHAnsi" w:hAnsiTheme="minorHAnsi"/>
          <w:sz w:val="24"/>
          <w:szCs w:val="24"/>
        </w:rPr>
        <w:t xml:space="preserve"> </w:t>
      </w:r>
      <w:r w:rsidRPr="004B77CC">
        <w:rPr>
          <w:rFonts w:asciiTheme="minorHAnsi" w:hAnsiTheme="minorHAnsi"/>
          <w:sz w:val="24"/>
          <w:szCs w:val="24"/>
        </w:rPr>
        <w:t>Are legal families related t</w:t>
      </w:r>
      <w:r w:rsidR="00257DFE" w:rsidRPr="004B77CC">
        <w:rPr>
          <w:rFonts w:asciiTheme="minorHAnsi" w:hAnsiTheme="minorHAnsi"/>
          <w:sz w:val="24"/>
          <w:szCs w:val="24"/>
        </w:rPr>
        <w:t>o financial reporting quality?</w:t>
      </w:r>
      <w:r w:rsidRPr="004B77CC">
        <w:rPr>
          <w:rFonts w:asciiTheme="minorHAnsi" w:hAnsiTheme="minorHAnsi"/>
          <w:sz w:val="24"/>
          <w:szCs w:val="24"/>
        </w:rPr>
        <w:t xml:space="preserve"> </w:t>
      </w:r>
      <w:r w:rsidRPr="004B77CC">
        <w:rPr>
          <w:rFonts w:asciiTheme="minorHAnsi" w:hAnsiTheme="minorHAnsi"/>
          <w:i/>
          <w:sz w:val="24"/>
          <w:szCs w:val="24"/>
        </w:rPr>
        <w:t>Abacus,</w:t>
      </w:r>
      <w:r w:rsidRPr="004B77CC">
        <w:rPr>
          <w:rFonts w:asciiTheme="minorHAnsi" w:hAnsiTheme="minorHAnsi"/>
          <w:sz w:val="24"/>
          <w:szCs w:val="24"/>
        </w:rPr>
        <w:t xml:space="preserve"> 49</w:t>
      </w:r>
      <w:r w:rsidR="000775D7" w:rsidRPr="004B77CC">
        <w:rPr>
          <w:rFonts w:asciiTheme="minorHAnsi" w:hAnsiTheme="minorHAnsi"/>
          <w:sz w:val="24"/>
          <w:szCs w:val="24"/>
        </w:rPr>
        <w:t>(</w:t>
      </w:r>
      <w:r w:rsidRPr="004B77CC">
        <w:rPr>
          <w:rFonts w:asciiTheme="minorHAnsi" w:hAnsiTheme="minorHAnsi"/>
          <w:sz w:val="24"/>
          <w:szCs w:val="24"/>
        </w:rPr>
        <w:t>2</w:t>
      </w:r>
      <w:r w:rsidR="000775D7" w:rsidRPr="004B77CC">
        <w:rPr>
          <w:rFonts w:asciiTheme="minorHAnsi" w:hAnsiTheme="minorHAnsi"/>
          <w:sz w:val="24"/>
          <w:szCs w:val="24"/>
        </w:rPr>
        <w:t>)</w:t>
      </w:r>
      <w:r w:rsidRPr="004B77CC">
        <w:rPr>
          <w:rFonts w:asciiTheme="minorHAnsi" w:hAnsiTheme="minorHAnsi"/>
          <w:sz w:val="24"/>
          <w:szCs w:val="24"/>
        </w:rPr>
        <w:t>, 242-67.</w:t>
      </w:r>
    </w:p>
    <w:p w14:paraId="35A645C6" w14:textId="77777777" w:rsidR="006753ED" w:rsidRPr="006753ED" w:rsidRDefault="006753ED" w:rsidP="006753ED">
      <w:pPr>
        <w:autoSpaceDE w:val="0"/>
        <w:autoSpaceDN w:val="0"/>
        <w:adjustRightInd w:val="0"/>
        <w:spacing w:after="0" w:line="360" w:lineRule="auto"/>
        <w:rPr>
          <w:rFonts w:cs="AdvGulliv-I"/>
          <w:i/>
          <w:szCs w:val="24"/>
          <w:lang w:val="en-AU"/>
        </w:rPr>
      </w:pPr>
      <w:r w:rsidRPr="006753ED">
        <w:rPr>
          <w:rFonts w:cs="AdvGulliv-R"/>
          <w:szCs w:val="24"/>
          <w:lang w:val="en-AU"/>
        </w:rPr>
        <w:t xml:space="preserve">Linnaeus, C. (1751). </w:t>
      </w:r>
      <w:proofErr w:type="spellStart"/>
      <w:r>
        <w:rPr>
          <w:rFonts w:cs="AdvGulliv-I"/>
          <w:i/>
          <w:szCs w:val="24"/>
          <w:lang w:val="en-AU"/>
        </w:rPr>
        <w:t>Philosophia</w:t>
      </w:r>
      <w:proofErr w:type="spellEnd"/>
      <w:r>
        <w:rPr>
          <w:rFonts w:cs="AdvGulliv-I"/>
          <w:i/>
          <w:szCs w:val="24"/>
          <w:lang w:val="en-AU"/>
        </w:rPr>
        <w:t xml:space="preserve"> B</w:t>
      </w:r>
      <w:r w:rsidRPr="006753ED">
        <w:rPr>
          <w:rFonts w:cs="AdvGulliv-I"/>
          <w:i/>
          <w:szCs w:val="24"/>
          <w:lang w:val="en-AU"/>
        </w:rPr>
        <w:t>otanica</w:t>
      </w:r>
      <w:r w:rsidRPr="006753ED">
        <w:rPr>
          <w:rFonts w:cs="AdvGulliv-R"/>
          <w:szCs w:val="24"/>
          <w:lang w:val="en-AU"/>
        </w:rPr>
        <w:t xml:space="preserve">. In S. Freer (Tr.), </w:t>
      </w:r>
      <w:r w:rsidRPr="006753ED">
        <w:rPr>
          <w:rFonts w:cs="AdvGulliv-I"/>
          <w:i/>
          <w:szCs w:val="24"/>
          <w:lang w:val="en-AU"/>
        </w:rPr>
        <w:t>Linnaeus’</w:t>
      </w:r>
    </w:p>
    <w:p w14:paraId="46CF878F" w14:textId="77777777" w:rsidR="006753ED" w:rsidRDefault="00271939" w:rsidP="006753ED">
      <w:pPr>
        <w:keepLines/>
        <w:spacing w:after="0" w:line="360" w:lineRule="auto"/>
        <w:ind w:left="360" w:right="26"/>
        <w:rPr>
          <w:rFonts w:cs="AdvGulliv-R"/>
          <w:szCs w:val="24"/>
          <w:lang w:val="en-AU"/>
        </w:rPr>
      </w:pPr>
      <w:r>
        <w:rPr>
          <w:rFonts w:cs="AdvGulliv-I"/>
          <w:i/>
          <w:szCs w:val="24"/>
          <w:lang w:val="en-AU"/>
        </w:rPr>
        <w:t xml:space="preserve"> </w:t>
      </w:r>
      <w:proofErr w:type="spellStart"/>
      <w:r w:rsidR="006753ED">
        <w:rPr>
          <w:rFonts w:cs="AdvGulliv-I"/>
          <w:i/>
          <w:szCs w:val="24"/>
          <w:lang w:val="en-AU"/>
        </w:rPr>
        <w:t>Philosophia</w:t>
      </w:r>
      <w:proofErr w:type="spellEnd"/>
      <w:r w:rsidR="006753ED">
        <w:rPr>
          <w:rFonts w:cs="AdvGulliv-I"/>
          <w:i/>
          <w:szCs w:val="24"/>
          <w:lang w:val="en-AU"/>
        </w:rPr>
        <w:t xml:space="preserve"> B</w:t>
      </w:r>
      <w:r w:rsidR="006753ED" w:rsidRPr="006753ED">
        <w:rPr>
          <w:rFonts w:cs="AdvGulliv-I"/>
          <w:i/>
          <w:szCs w:val="24"/>
          <w:lang w:val="en-AU"/>
        </w:rPr>
        <w:t>otanica</w:t>
      </w:r>
      <w:r w:rsidR="006753ED" w:rsidRPr="006753ED">
        <w:rPr>
          <w:rFonts w:cs="AdvGulliv-R"/>
          <w:szCs w:val="24"/>
          <w:lang w:val="en-AU"/>
        </w:rPr>
        <w:t>. Oxford</w:t>
      </w:r>
      <w:r w:rsidR="006753ED">
        <w:rPr>
          <w:rFonts w:cs="AdvGulliv-R"/>
          <w:szCs w:val="24"/>
          <w:lang w:val="en-AU"/>
        </w:rPr>
        <w:t>: Oxford University Press, 2003</w:t>
      </w:r>
      <w:r w:rsidR="006753ED" w:rsidRPr="006753ED">
        <w:rPr>
          <w:rFonts w:cs="AdvGulliv-R"/>
          <w:szCs w:val="24"/>
          <w:lang w:val="en-AU"/>
        </w:rPr>
        <w:t>.</w:t>
      </w:r>
    </w:p>
    <w:p w14:paraId="22904F7E" w14:textId="77777777" w:rsidR="0061527C" w:rsidRDefault="0061527C" w:rsidP="006753ED">
      <w:pPr>
        <w:keepLines/>
        <w:spacing w:after="0"/>
        <w:ind w:left="360" w:right="26" w:hanging="360"/>
        <w:rPr>
          <w:rFonts w:cs="Calibri"/>
          <w:szCs w:val="24"/>
        </w:rPr>
      </w:pPr>
      <w:r w:rsidRPr="004B77CC">
        <w:rPr>
          <w:rFonts w:cs="Calibri"/>
          <w:szCs w:val="24"/>
        </w:rPr>
        <w:t xml:space="preserve">Lovejoy, A.O. (1964). </w:t>
      </w:r>
      <w:r w:rsidRPr="004B77CC">
        <w:rPr>
          <w:rFonts w:cs="Calibri"/>
          <w:i/>
          <w:szCs w:val="24"/>
        </w:rPr>
        <w:t>The great chain of being: a study of the history of an idea</w:t>
      </w:r>
      <w:r w:rsidRPr="004B77CC">
        <w:rPr>
          <w:rFonts w:cs="Calibri"/>
          <w:szCs w:val="24"/>
        </w:rPr>
        <w:t>. Cambridge, MA: Harvard University Press.</w:t>
      </w:r>
    </w:p>
    <w:p w14:paraId="154666BF" w14:textId="77777777" w:rsidR="00D36192" w:rsidRDefault="00D36192" w:rsidP="00D36192">
      <w:pPr>
        <w:autoSpaceDE w:val="0"/>
        <w:autoSpaceDN w:val="0"/>
        <w:adjustRightInd w:val="0"/>
        <w:spacing w:after="0" w:line="360" w:lineRule="auto"/>
        <w:rPr>
          <w:rFonts w:cs="NewBaskerville-Italic"/>
          <w:i/>
          <w:iCs/>
          <w:szCs w:val="24"/>
        </w:rPr>
      </w:pPr>
      <w:r w:rsidRPr="00D36192">
        <w:rPr>
          <w:rFonts w:cs="NewBaskerville-Roman"/>
          <w:szCs w:val="24"/>
        </w:rPr>
        <w:t>M</w:t>
      </w:r>
      <w:r>
        <w:rPr>
          <w:rFonts w:cs="NewBaskerville-Roman"/>
          <w:szCs w:val="24"/>
        </w:rPr>
        <w:t xml:space="preserve">ahoney, P. (2009). </w:t>
      </w:r>
      <w:r w:rsidRPr="00D36192">
        <w:rPr>
          <w:rFonts w:cs="NewBaskerville-Roman"/>
          <w:szCs w:val="24"/>
        </w:rPr>
        <w:t>The</w:t>
      </w:r>
      <w:r>
        <w:rPr>
          <w:rFonts w:cs="NewBaskerville-Roman"/>
          <w:szCs w:val="24"/>
        </w:rPr>
        <w:t xml:space="preserve"> development of securities law in the United States.</w:t>
      </w:r>
      <w:r w:rsidRPr="00D36192">
        <w:rPr>
          <w:rFonts w:cs="NewBaskerville-Roman"/>
          <w:szCs w:val="24"/>
        </w:rPr>
        <w:t xml:space="preserve"> </w:t>
      </w:r>
      <w:r>
        <w:rPr>
          <w:rFonts w:cs="NewBaskerville-Italic"/>
          <w:i/>
          <w:iCs/>
          <w:szCs w:val="24"/>
        </w:rPr>
        <w:t xml:space="preserve">Journal of </w:t>
      </w:r>
    </w:p>
    <w:p w14:paraId="48E07C49" w14:textId="77777777" w:rsidR="00D36192" w:rsidRPr="00D36192" w:rsidRDefault="00D36192" w:rsidP="00D36192">
      <w:pPr>
        <w:autoSpaceDE w:val="0"/>
        <w:autoSpaceDN w:val="0"/>
        <w:adjustRightInd w:val="0"/>
        <w:spacing w:after="0" w:line="360" w:lineRule="auto"/>
        <w:rPr>
          <w:rFonts w:cs="NewBaskerville-Roman"/>
          <w:szCs w:val="24"/>
        </w:rPr>
      </w:pPr>
      <w:r>
        <w:rPr>
          <w:rFonts w:cs="NewBaskerville-Italic"/>
          <w:i/>
          <w:iCs/>
          <w:szCs w:val="24"/>
        </w:rPr>
        <w:tab/>
        <w:t xml:space="preserve">Accounting </w:t>
      </w:r>
      <w:r w:rsidRPr="00D36192">
        <w:rPr>
          <w:rFonts w:cs="NewBaskerville-Italic"/>
          <w:i/>
          <w:iCs/>
          <w:szCs w:val="24"/>
        </w:rPr>
        <w:t>Research</w:t>
      </w:r>
      <w:r>
        <w:rPr>
          <w:rFonts w:cs="NewBaskerville-Italic"/>
          <w:i/>
          <w:iCs/>
          <w:szCs w:val="24"/>
        </w:rPr>
        <w:t>,</w:t>
      </w:r>
      <w:r w:rsidRPr="00D36192">
        <w:rPr>
          <w:rFonts w:cs="NewBaskerville-Italic"/>
          <w:i/>
          <w:iCs/>
          <w:szCs w:val="24"/>
        </w:rPr>
        <w:t xml:space="preserve"> </w:t>
      </w:r>
      <w:r>
        <w:rPr>
          <w:rFonts w:cs="NewBaskerville-Roman"/>
          <w:szCs w:val="24"/>
        </w:rPr>
        <w:t xml:space="preserve">47(2), </w:t>
      </w:r>
      <w:r w:rsidR="00E60AD0">
        <w:rPr>
          <w:rFonts w:cs="NewBaskerville-Roman"/>
          <w:szCs w:val="24"/>
        </w:rPr>
        <w:t>325-47.</w:t>
      </w:r>
    </w:p>
    <w:p w14:paraId="670CE09F" w14:textId="77777777" w:rsidR="0025258E" w:rsidRPr="004B77CC" w:rsidRDefault="0025258E" w:rsidP="004B77CC">
      <w:pPr>
        <w:pStyle w:val="ReferencesFurtherreading"/>
        <w:rPr>
          <w:rFonts w:asciiTheme="minorHAnsi" w:hAnsiTheme="minorHAnsi"/>
          <w:sz w:val="24"/>
          <w:szCs w:val="24"/>
        </w:rPr>
      </w:pPr>
      <w:r w:rsidRPr="004B77CC">
        <w:rPr>
          <w:rFonts w:asciiTheme="minorHAnsi" w:hAnsiTheme="minorHAnsi"/>
          <w:sz w:val="24"/>
          <w:szCs w:val="24"/>
        </w:rPr>
        <w:t xml:space="preserve">Malta Chamber of Advocates (2015). </w:t>
      </w:r>
      <w:r w:rsidR="00D142A5" w:rsidRPr="004B77CC">
        <w:rPr>
          <w:rFonts w:asciiTheme="minorHAnsi" w:hAnsiTheme="minorHAnsi"/>
          <w:i/>
          <w:sz w:val="24"/>
          <w:szCs w:val="24"/>
        </w:rPr>
        <w:t>Legal setup</w:t>
      </w:r>
      <w:r w:rsidR="00D142A5" w:rsidRPr="004B77CC">
        <w:rPr>
          <w:rFonts w:asciiTheme="minorHAnsi" w:hAnsiTheme="minorHAnsi"/>
          <w:sz w:val="24"/>
          <w:szCs w:val="24"/>
        </w:rPr>
        <w:t xml:space="preserve">. </w:t>
      </w:r>
      <w:hyperlink r:id="rId8" w:history="1">
        <w:r w:rsidRPr="004B77CC">
          <w:rPr>
            <w:rStyle w:val="Hyperlink"/>
            <w:rFonts w:asciiTheme="minorHAnsi" w:hAnsiTheme="minorHAnsi"/>
            <w:sz w:val="24"/>
            <w:szCs w:val="24"/>
          </w:rPr>
          <w:t>http://www.avukati.org/content.aspx?id=36441</w:t>
        </w:r>
      </w:hyperlink>
      <w:r w:rsidRPr="004B77CC">
        <w:rPr>
          <w:rFonts w:asciiTheme="minorHAnsi" w:hAnsiTheme="minorHAnsi"/>
          <w:sz w:val="24"/>
          <w:szCs w:val="24"/>
        </w:rPr>
        <w:t xml:space="preserve"> (accessed 11.12.2015).</w:t>
      </w:r>
    </w:p>
    <w:p w14:paraId="74122760" w14:textId="77777777" w:rsidR="00264A06" w:rsidRPr="004B77CC" w:rsidRDefault="005212B0" w:rsidP="004B77CC">
      <w:pPr>
        <w:pStyle w:val="ReferencesFurtherreading"/>
        <w:rPr>
          <w:rFonts w:asciiTheme="minorHAnsi" w:hAnsiTheme="minorHAnsi"/>
          <w:sz w:val="24"/>
          <w:szCs w:val="24"/>
        </w:rPr>
      </w:pPr>
      <w:r w:rsidRPr="004B77CC">
        <w:rPr>
          <w:rFonts w:asciiTheme="minorHAnsi" w:hAnsiTheme="minorHAnsi"/>
          <w:sz w:val="24"/>
          <w:szCs w:val="24"/>
        </w:rPr>
        <w:lastRenderedPageBreak/>
        <w:t xml:space="preserve">McSweeney, B. (2002). Hofstede’s model of national cultural differences and their consequences: a triumph of faith; a failure of analysis. </w:t>
      </w:r>
      <w:r w:rsidRPr="004B77CC">
        <w:rPr>
          <w:rFonts w:asciiTheme="minorHAnsi" w:hAnsiTheme="minorHAnsi"/>
          <w:i/>
          <w:sz w:val="24"/>
          <w:szCs w:val="24"/>
        </w:rPr>
        <w:t>Human Relations</w:t>
      </w:r>
      <w:r w:rsidRPr="004B77CC">
        <w:rPr>
          <w:rFonts w:asciiTheme="minorHAnsi" w:hAnsiTheme="minorHAnsi"/>
          <w:sz w:val="24"/>
          <w:szCs w:val="24"/>
        </w:rPr>
        <w:t>, 55(1), 89-118.</w:t>
      </w:r>
    </w:p>
    <w:p w14:paraId="777D7220" w14:textId="77777777" w:rsidR="00E12CBA" w:rsidRPr="004B77CC" w:rsidRDefault="00E12CBA" w:rsidP="004B77CC">
      <w:pPr>
        <w:autoSpaceDE w:val="0"/>
        <w:autoSpaceDN w:val="0"/>
        <w:adjustRightInd w:val="0"/>
        <w:spacing w:after="0"/>
        <w:ind w:left="360" w:hanging="360"/>
        <w:rPr>
          <w:rFonts w:cs="AdvGulliv-R"/>
          <w:szCs w:val="24"/>
        </w:rPr>
      </w:pPr>
      <w:proofErr w:type="spellStart"/>
      <w:r w:rsidRPr="004B77CC">
        <w:rPr>
          <w:rFonts w:cs="AdvGulliv-R"/>
          <w:szCs w:val="24"/>
        </w:rPr>
        <w:t>Mishler</w:t>
      </w:r>
      <w:proofErr w:type="spellEnd"/>
      <w:r w:rsidRPr="004B77CC">
        <w:rPr>
          <w:rFonts w:cs="AdvGulliv-R"/>
          <w:szCs w:val="24"/>
        </w:rPr>
        <w:t xml:space="preserve">, B. D. (2009). Three centuries of paradigm changes in biological classification: is the end in sight? </w:t>
      </w:r>
      <w:r w:rsidRPr="004B77CC">
        <w:rPr>
          <w:rFonts w:cs="AdvGulliv-I"/>
          <w:i/>
          <w:szCs w:val="24"/>
        </w:rPr>
        <w:t>Taxon</w:t>
      </w:r>
      <w:r w:rsidRPr="004B77CC">
        <w:rPr>
          <w:rFonts w:cs="AdvGulliv-I"/>
          <w:szCs w:val="24"/>
        </w:rPr>
        <w:t>, 58</w:t>
      </w:r>
      <w:r w:rsidRPr="004B77CC">
        <w:rPr>
          <w:rFonts w:cs="AdvGulliv-R"/>
          <w:szCs w:val="24"/>
        </w:rPr>
        <w:t>(1), 61–67.</w:t>
      </w:r>
    </w:p>
    <w:p w14:paraId="22903754" w14:textId="77777777" w:rsidR="00B21952" w:rsidRPr="004B77CC" w:rsidRDefault="005212B0" w:rsidP="004B77CC">
      <w:pPr>
        <w:pStyle w:val="ReferencesFurtherreading"/>
        <w:rPr>
          <w:rFonts w:asciiTheme="minorHAnsi" w:hAnsiTheme="minorHAnsi"/>
          <w:sz w:val="24"/>
          <w:szCs w:val="24"/>
        </w:rPr>
      </w:pPr>
      <w:r w:rsidRPr="004B77CC">
        <w:rPr>
          <w:rFonts w:asciiTheme="minorHAnsi" w:hAnsiTheme="minorHAnsi"/>
          <w:sz w:val="24"/>
          <w:szCs w:val="24"/>
        </w:rPr>
        <w:t xml:space="preserve">Nair, R.D. and Frank, W.G. (1980). The impact of disclosure and measurement practices on international accounting classiﬁcations. </w:t>
      </w:r>
      <w:r w:rsidRPr="004B77CC">
        <w:rPr>
          <w:rFonts w:asciiTheme="minorHAnsi" w:hAnsiTheme="minorHAnsi"/>
          <w:i/>
          <w:sz w:val="24"/>
          <w:szCs w:val="24"/>
        </w:rPr>
        <w:t>Accounting Review</w:t>
      </w:r>
      <w:r w:rsidRPr="004B77CC">
        <w:rPr>
          <w:rFonts w:asciiTheme="minorHAnsi" w:hAnsiTheme="minorHAnsi"/>
          <w:sz w:val="24"/>
          <w:szCs w:val="24"/>
        </w:rPr>
        <w:t>, 55(3), 426-50.</w:t>
      </w:r>
    </w:p>
    <w:p w14:paraId="11A7552E"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Nobes, C.W. (1981)</w:t>
      </w:r>
      <w:r w:rsidR="0040508A"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An empirical analysis of international ac</w:t>
      </w:r>
      <w:r w:rsidR="00257DFE" w:rsidRPr="004B77CC">
        <w:rPr>
          <w:rFonts w:asciiTheme="minorHAnsi" w:hAnsiTheme="minorHAnsi"/>
          <w:sz w:val="24"/>
          <w:szCs w:val="24"/>
        </w:rPr>
        <w:t xml:space="preserve">counting principles: </w:t>
      </w:r>
      <w:r w:rsidR="00394E8F" w:rsidRPr="004B77CC">
        <w:rPr>
          <w:rFonts w:asciiTheme="minorHAnsi" w:hAnsiTheme="minorHAnsi"/>
          <w:sz w:val="24"/>
          <w:szCs w:val="24"/>
        </w:rPr>
        <w:t>A comment</w:t>
      </w:r>
      <w:r w:rsidR="0040508A"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Journal of Accounting Research</w:t>
      </w:r>
      <w:r w:rsidRPr="004B77CC">
        <w:rPr>
          <w:rFonts w:asciiTheme="minorHAnsi" w:hAnsiTheme="minorHAnsi"/>
          <w:sz w:val="24"/>
          <w:szCs w:val="24"/>
        </w:rPr>
        <w:t xml:space="preserve">, </w:t>
      </w:r>
      <w:r w:rsidR="0040508A" w:rsidRPr="004B77CC">
        <w:rPr>
          <w:rFonts w:asciiTheme="minorHAnsi" w:hAnsiTheme="minorHAnsi"/>
          <w:sz w:val="24"/>
          <w:szCs w:val="24"/>
        </w:rPr>
        <w:t>19(</w:t>
      </w:r>
      <w:r w:rsidRPr="004B77CC">
        <w:rPr>
          <w:rFonts w:asciiTheme="minorHAnsi" w:hAnsiTheme="minorHAnsi"/>
          <w:sz w:val="24"/>
          <w:szCs w:val="24"/>
        </w:rPr>
        <w:t>1</w:t>
      </w:r>
      <w:r w:rsidR="0040508A" w:rsidRPr="004B77CC">
        <w:rPr>
          <w:rFonts w:asciiTheme="minorHAnsi" w:hAnsiTheme="minorHAnsi"/>
          <w:sz w:val="24"/>
          <w:szCs w:val="24"/>
        </w:rPr>
        <w:t>)</w:t>
      </w:r>
      <w:r w:rsidRPr="004B77CC">
        <w:rPr>
          <w:rFonts w:asciiTheme="minorHAnsi" w:hAnsiTheme="minorHAnsi"/>
          <w:sz w:val="24"/>
          <w:szCs w:val="24"/>
        </w:rPr>
        <w:t>, 268-70.</w:t>
      </w:r>
    </w:p>
    <w:p w14:paraId="5B7B7A02" w14:textId="77777777" w:rsidR="00970822" w:rsidRPr="004B77CC" w:rsidRDefault="006D785B" w:rsidP="004B77CC">
      <w:pPr>
        <w:pStyle w:val="ReferencesFurtherreading"/>
        <w:rPr>
          <w:rFonts w:asciiTheme="minorHAnsi" w:hAnsiTheme="minorHAnsi"/>
          <w:sz w:val="24"/>
          <w:szCs w:val="24"/>
        </w:rPr>
      </w:pPr>
      <w:r>
        <w:rPr>
          <w:rFonts w:asciiTheme="minorHAnsi" w:hAnsiTheme="minorHAnsi"/>
          <w:sz w:val="24"/>
          <w:szCs w:val="24"/>
        </w:rPr>
        <w:t>Nobes, C.W. (1990</w:t>
      </w:r>
      <w:r w:rsidR="00970822" w:rsidRPr="004B77CC">
        <w:rPr>
          <w:rFonts w:asciiTheme="minorHAnsi" w:hAnsiTheme="minorHAnsi"/>
          <w:sz w:val="24"/>
          <w:szCs w:val="24"/>
        </w:rPr>
        <w:t>)</w:t>
      </w:r>
      <w:r w:rsidR="0040508A" w:rsidRPr="004B77CC">
        <w:rPr>
          <w:rFonts w:asciiTheme="minorHAnsi" w:hAnsiTheme="minorHAnsi"/>
          <w:sz w:val="24"/>
          <w:szCs w:val="24"/>
        </w:rPr>
        <w:t>.</w:t>
      </w:r>
      <w:r w:rsidR="00970822" w:rsidRPr="004B77CC">
        <w:rPr>
          <w:rFonts w:asciiTheme="minorHAnsi" w:hAnsiTheme="minorHAnsi"/>
          <w:sz w:val="24"/>
          <w:szCs w:val="24"/>
        </w:rPr>
        <w:t xml:space="preserve"> </w:t>
      </w:r>
      <w:r w:rsidR="00970822" w:rsidRPr="004B77CC">
        <w:rPr>
          <w:rFonts w:asciiTheme="minorHAnsi" w:hAnsiTheme="minorHAnsi"/>
          <w:i/>
          <w:sz w:val="24"/>
          <w:szCs w:val="24"/>
        </w:rPr>
        <w:t xml:space="preserve">Accounting </w:t>
      </w:r>
      <w:r w:rsidR="005C5497" w:rsidRPr="004B77CC">
        <w:rPr>
          <w:rFonts w:asciiTheme="minorHAnsi" w:hAnsiTheme="minorHAnsi"/>
          <w:i/>
          <w:sz w:val="24"/>
          <w:szCs w:val="24"/>
        </w:rPr>
        <w:t>c</w:t>
      </w:r>
      <w:r w:rsidR="00970822" w:rsidRPr="004B77CC">
        <w:rPr>
          <w:rFonts w:asciiTheme="minorHAnsi" w:hAnsiTheme="minorHAnsi"/>
          <w:i/>
          <w:sz w:val="24"/>
          <w:szCs w:val="24"/>
        </w:rPr>
        <w:t>omparisons, UK – Europe Volume III: Denmark, Portugal &amp; Greece</w:t>
      </w:r>
      <w:r w:rsidR="005C5497" w:rsidRPr="004B77CC">
        <w:rPr>
          <w:rFonts w:asciiTheme="minorHAnsi" w:hAnsiTheme="minorHAnsi"/>
          <w:sz w:val="24"/>
          <w:szCs w:val="24"/>
        </w:rPr>
        <w:t>.</w:t>
      </w:r>
      <w:r w:rsidR="00970822" w:rsidRPr="004B77CC">
        <w:rPr>
          <w:rFonts w:asciiTheme="minorHAnsi" w:hAnsiTheme="minorHAnsi"/>
          <w:sz w:val="24"/>
          <w:szCs w:val="24"/>
        </w:rPr>
        <w:t xml:space="preserve"> </w:t>
      </w:r>
      <w:r w:rsidR="005C5497" w:rsidRPr="004B77CC">
        <w:rPr>
          <w:rFonts w:asciiTheme="minorHAnsi" w:hAnsiTheme="minorHAnsi"/>
          <w:sz w:val="24"/>
          <w:szCs w:val="24"/>
        </w:rPr>
        <w:t xml:space="preserve">London: </w:t>
      </w:r>
      <w:r w:rsidR="00970822" w:rsidRPr="004B77CC">
        <w:rPr>
          <w:rFonts w:asciiTheme="minorHAnsi" w:hAnsiTheme="minorHAnsi"/>
          <w:sz w:val="24"/>
          <w:szCs w:val="24"/>
        </w:rPr>
        <w:t>Gee</w:t>
      </w:r>
      <w:r w:rsidR="005C5497" w:rsidRPr="004B77CC">
        <w:rPr>
          <w:rFonts w:asciiTheme="minorHAnsi" w:hAnsiTheme="minorHAnsi"/>
          <w:sz w:val="24"/>
          <w:szCs w:val="24"/>
        </w:rPr>
        <w:t>.</w:t>
      </w:r>
    </w:p>
    <w:p w14:paraId="2B0496B0" w14:textId="77777777" w:rsidR="00970822" w:rsidRPr="004B77CC" w:rsidRDefault="006D785B" w:rsidP="004B77CC">
      <w:pPr>
        <w:pStyle w:val="ReferencesFurtherreading"/>
        <w:rPr>
          <w:rFonts w:asciiTheme="minorHAnsi" w:hAnsiTheme="minorHAnsi"/>
          <w:sz w:val="24"/>
          <w:szCs w:val="24"/>
        </w:rPr>
      </w:pPr>
      <w:r>
        <w:rPr>
          <w:rFonts w:asciiTheme="minorHAnsi" w:hAnsiTheme="minorHAnsi"/>
          <w:sz w:val="24"/>
          <w:szCs w:val="24"/>
        </w:rPr>
        <w:t>Nobes, C.W. (1992</w:t>
      </w:r>
      <w:r w:rsidR="00970822" w:rsidRPr="004B77CC">
        <w:rPr>
          <w:rFonts w:asciiTheme="minorHAnsi" w:hAnsiTheme="minorHAnsi"/>
          <w:sz w:val="24"/>
          <w:szCs w:val="24"/>
        </w:rPr>
        <w:t>)</w:t>
      </w:r>
      <w:r w:rsidR="0040508A" w:rsidRPr="004B77CC">
        <w:rPr>
          <w:rFonts w:asciiTheme="minorHAnsi" w:hAnsiTheme="minorHAnsi"/>
          <w:sz w:val="24"/>
          <w:szCs w:val="24"/>
        </w:rPr>
        <w:t>.</w:t>
      </w:r>
      <w:r w:rsidR="00394E8F" w:rsidRPr="004B77CC">
        <w:rPr>
          <w:rFonts w:asciiTheme="minorHAnsi" w:hAnsiTheme="minorHAnsi"/>
          <w:sz w:val="24"/>
          <w:szCs w:val="24"/>
        </w:rPr>
        <w:t xml:space="preserve"> </w:t>
      </w:r>
      <w:r w:rsidR="00970822" w:rsidRPr="004B77CC">
        <w:rPr>
          <w:rFonts w:asciiTheme="minorHAnsi" w:hAnsiTheme="minorHAnsi"/>
          <w:sz w:val="24"/>
          <w:szCs w:val="24"/>
        </w:rPr>
        <w:t>Classiﬁca</w:t>
      </w:r>
      <w:r w:rsidR="00394E8F" w:rsidRPr="004B77CC">
        <w:rPr>
          <w:rFonts w:asciiTheme="minorHAnsi" w:hAnsiTheme="minorHAnsi"/>
          <w:sz w:val="24"/>
          <w:szCs w:val="24"/>
        </w:rPr>
        <w:t>tion by competencies: a comment</w:t>
      </w:r>
      <w:r w:rsidR="0040508A" w:rsidRPr="004B77CC">
        <w:rPr>
          <w:rFonts w:asciiTheme="minorHAnsi" w:hAnsiTheme="minorHAnsi"/>
          <w:sz w:val="24"/>
          <w:szCs w:val="24"/>
        </w:rPr>
        <w:t>.</w:t>
      </w:r>
      <w:r w:rsidR="00970822" w:rsidRPr="004B77CC">
        <w:rPr>
          <w:rFonts w:asciiTheme="minorHAnsi" w:hAnsiTheme="minorHAnsi"/>
          <w:sz w:val="24"/>
          <w:szCs w:val="24"/>
        </w:rPr>
        <w:t xml:space="preserve"> </w:t>
      </w:r>
      <w:r w:rsidR="00970822" w:rsidRPr="004B77CC">
        <w:rPr>
          <w:rFonts w:asciiTheme="minorHAnsi" w:hAnsiTheme="minorHAnsi"/>
          <w:i/>
          <w:sz w:val="24"/>
          <w:szCs w:val="24"/>
        </w:rPr>
        <w:t>Journal of Business Finance and Accounting</w:t>
      </w:r>
      <w:r w:rsidR="00970822" w:rsidRPr="004B77CC">
        <w:rPr>
          <w:rFonts w:asciiTheme="minorHAnsi" w:hAnsiTheme="minorHAnsi"/>
          <w:sz w:val="24"/>
          <w:szCs w:val="24"/>
        </w:rPr>
        <w:t xml:space="preserve">, </w:t>
      </w:r>
      <w:r w:rsidR="0040508A" w:rsidRPr="004B77CC">
        <w:rPr>
          <w:rFonts w:asciiTheme="minorHAnsi" w:hAnsiTheme="minorHAnsi"/>
          <w:sz w:val="24"/>
          <w:szCs w:val="24"/>
        </w:rPr>
        <w:t>19(</w:t>
      </w:r>
      <w:r w:rsidR="00970822" w:rsidRPr="004B77CC">
        <w:rPr>
          <w:rFonts w:asciiTheme="minorHAnsi" w:hAnsiTheme="minorHAnsi"/>
          <w:sz w:val="24"/>
          <w:szCs w:val="24"/>
        </w:rPr>
        <w:t>1</w:t>
      </w:r>
      <w:r w:rsidR="0040508A" w:rsidRPr="004B77CC">
        <w:rPr>
          <w:rFonts w:asciiTheme="minorHAnsi" w:hAnsiTheme="minorHAnsi"/>
          <w:sz w:val="24"/>
          <w:szCs w:val="24"/>
        </w:rPr>
        <w:t>)</w:t>
      </w:r>
      <w:r w:rsidR="00970822" w:rsidRPr="004B77CC">
        <w:rPr>
          <w:rFonts w:asciiTheme="minorHAnsi" w:hAnsiTheme="minorHAnsi"/>
          <w:sz w:val="24"/>
          <w:szCs w:val="24"/>
        </w:rPr>
        <w:t>, 153-5.</w:t>
      </w:r>
    </w:p>
    <w:p w14:paraId="6A15B05B"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Nobes, C.W. (1993)</w:t>
      </w:r>
      <w:r w:rsidR="0040508A"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 xml:space="preserve">The true and fair view requirement: impact on and of </w:t>
      </w:r>
      <w:r w:rsidR="00394E8F" w:rsidRPr="004B77CC">
        <w:rPr>
          <w:rFonts w:asciiTheme="minorHAnsi" w:hAnsiTheme="minorHAnsi"/>
          <w:sz w:val="24"/>
          <w:szCs w:val="24"/>
        </w:rPr>
        <w:t>the Fourth Directive</w:t>
      </w:r>
      <w:r w:rsidR="0040508A" w:rsidRPr="004B77CC">
        <w:rPr>
          <w:rFonts w:asciiTheme="minorHAnsi" w:hAnsiTheme="minorHAnsi"/>
          <w:sz w:val="24"/>
          <w:szCs w:val="24"/>
        </w:rPr>
        <w:t xml:space="preserve">. </w:t>
      </w:r>
      <w:r w:rsidRPr="004B77CC">
        <w:rPr>
          <w:rFonts w:asciiTheme="minorHAnsi" w:hAnsiTheme="minorHAnsi"/>
          <w:sz w:val="24"/>
          <w:szCs w:val="24"/>
        </w:rPr>
        <w:t xml:space="preserve"> </w:t>
      </w:r>
      <w:r w:rsidRPr="004B77CC">
        <w:rPr>
          <w:rFonts w:asciiTheme="minorHAnsi" w:hAnsiTheme="minorHAnsi"/>
          <w:i/>
          <w:sz w:val="24"/>
          <w:szCs w:val="24"/>
        </w:rPr>
        <w:t>Accounting and Business Research</w:t>
      </w:r>
      <w:r w:rsidRPr="004B77CC">
        <w:rPr>
          <w:rFonts w:asciiTheme="minorHAnsi" w:hAnsiTheme="minorHAnsi"/>
          <w:sz w:val="24"/>
          <w:szCs w:val="24"/>
        </w:rPr>
        <w:t>, 24</w:t>
      </w:r>
      <w:r w:rsidR="0040508A" w:rsidRPr="004B77CC">
        <w:rPr>
          <w:rFonts w:asciiTheme="minorHAnsi" w:hAnsiTheme="minorHAnsi"/>
          <w:sz w:val="24"/>
          <w:szCs w:val="24"/>
        </w:rPr>
        <w:t>(</w:t>
      </w:r>
      <w:r w:rsidRPr="004B77CC">
        <w:rPr>
          <w:rFonts w:asciiTheme="minorHAnsi" w:hAnsiTheme="minorHAnsi"/>
          <w:sz w:val="24"/>
          <w:szCs w:val="24"/>
        </w:rPr>
        <w:t>93</w:t>
      </w:r>
      <w:r w:rsidR="0040508A" w:rsidRPr="004B77CC">
        <w:rPr>
          <w:rFonts w:asciiTheme="minorHAnsi" w:hAnsiTheme="minorHAnsi"/>
          <w:sz w:val="24"/>
          <w:szCs w:val="24"/>
        </w:rPr>
        <w:t>)</w:t>
      </w:r>
      <w:r w:rsidRPr="004B77CC">
        <w:rPr>
          <w:rFonts w:asciiTheme="minorHAnsi" w:hAnsiTheme="minorHAnsi"/>
          <w:sz w:val="24"/>
          <w:szCs w:val="24"/>
        </w:rPr>
        <w:t>, 35-48.</w:t>
      </w:r>
    </w:p>
    <w:p w14:paraId="5D1B8BC4"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Nobes, C.W. (1998)</w:t>
      </w:r>
      <w:r w:rsidR="0040508A"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Towards a general model of the reasons for international dif</w:t>
      </w:r>
      <w:r w:rsidR="00394E8F" w:rsidRPr="004B77CC">
        <w:rPr>
          <w:rFonts w:asciiTheme="minorHAnsi" w:hAnsiTheme="minorHAnsi"/>
          <w:sz w:val="24"/>
          <w:szCs w:val="24"/>
        </w:rPr>
        <w:t>ferences in ﬁnancial reporting</w:t>
      </w:r>
      <w:r w:rsidR="0040508A"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Abacus</w:t>
      </w:r>
      <w:r w:rsidRPr="004B77CC">
        <w:rPr>
          <w:rFonts w:asciiTheme="minorHAnsi" w:hAnsiTheme="minorHAnsi"/>
          <w:sz w:val="24"/>
          <w:szCs w:val="24"/>
        </w:rPr>
        <w:t xml:space="preserve">, </w:t>
      </w:r>
      <w:r w:rsidR="0040508A" w:rsidRPr="004B77CC">
        <w:rPr>
          <w:rFonts w:asciiTheme="minorHAnsi" w:hAnsiTheme="minorHAnsi"/>
          <w:sz w:val="24"/>
          <w:szCs w:val="24"/>
        </w:rPr>
        <w:t>34(</w:t>
      </w:r>
      <w:r w:rsidRPr="004B77CC">
        <w:rPr>
          <w:rFonts w:asciiTheme="minorHAnsi" w:hAnsiTheme="minorHAnsi"/>
          <w:sz w:val="24"/>
          <w:szCs w:val="24"/>
        </w:rPr>
        <w:t>2</w:t>
      </w:r>
      <w:r w:rsidR="0040508A" w:rsidRPr="004B77CC">
        <w:rPr>
          <w:rFonts w:asciiTheme="minorHAnsi" w:hAnsiTheme="minorHAnsi"/>
          <w:sz w:val="24"/>
          <w:szCs w:val="24"/>
        </w:rPr>
        <w:t>)</w:t>
      </w:r>
      <w:r w:rsidRPr="004B77CC">
        <w:rPr>
          <w:rFonts w:asciiTheme="minorHAnsi" w:hAnsiTheme="minorHAnsi"/>
          <w:sz w:val="24"/>
          <w:szCs w:val="24"/>
        </w:rPr>
        <w:t>, 162-87.</w:t>
      </w:r>
    </w:p>
    <w:p w14:paraId="04CDCFF3"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Nobes, C.W. (2003)</w:t>
      </w:r>
      <w:r w:rsidR="0040508A"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On the myth of “Ang</w:t>
      </w:r>
      <w:r w:rsidR="0040508A" w:rsidRPr="004B77CC">
        <w:rPr>
          <w:rFonts w:asciiTheme="minorHAnsi" w:hAnsiTheme="minorHAnsi"/>
          <w:sz w:val="24"/>
          <w:szCs w:val="24"/>
        </w:rPr>
        <w:t xml:space="preserve">lo-Saxon” </w:t>
      </w:r>
      <w:r w:rsidR="00257DFE" w:rsidRPr="004B77CC">
        <w:rPr>
          <w:rFonts w:asciiTheme="minorHAnsi" w:hAnsiTheme="minorHAnsi"/>
          <w:sz w:val="24"/>
          <w:szCs w:val="24"/>
        </w:rPr>
        <w:t xml:space="preserve">ﬁnancial accounting: </w:t>
      </w:r>
      <w:r w:rsidR="00394E8F" w:rsidRPr="004B77CC">
        <w:rPr>
          <w:rFonts w:asciiTheme="minorHAnsi" w:hAnsiTheme="minorHAnsi"/>
          <w:sz w:val="24"/>
          <w:szCs w:val="24"/>
        </w:rPr>
        <w:t>A comment</w:t>
      </w:r>
      <w:r w:rsidR="0040508A"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International Journal of Accounting</w:t>
      </w:r>
      <w:r w:rsidRPr="004B77CC">
        <w:rPr>
          <w:rFonts w:asciiTheme="minorHAnsi" w:hAnsiTheme="minorHAnsi"/>
          <w:sz w:val="24"/>
          <w:szCs w:val="24"/>
        </w:rPr>
        <w:t>, 38</w:t>
      </w:r>
      <w:r w:rsidR="0040508A" w:rsidRPr="004B77CC">
        <w:rPr>
          <w:rFonts w:asciiTheme="minorHAnsi" w:hAnsiTheme="minorHAnsi"/>
          <w:sz w:val="24"/>
          <w:szCs w:val="24"/>
        </w:rPr>
        <w:t>(</w:t>
      </w:r>
      <w:r w:rsidRPr="004B77CC">
        <w:rPr>
          <w:rFonts w:asciiTheme="minorHAnsi" w:hAnsiTheme="minorHAnsi"/>
          <w:sz w:val="24"/>
          <w:szCs w:val="24"/>
        </w:rPr>
        <w:t>1</w:t>
      </w:r>
      <w:r w:rsidR="0040508A" w:rsidRPr="004B77CC">
        <w:rPr>
          <w:rFonts w:asciiTheme="minorHAnsi" w:hAnsiTheme="minorHAnsi"/>
          <w:sz w:val="24"/>
          <w:szCs w:val="24"/>
        </w:rPr>
        <w:t>)</w:t>
      </w:r>
      <w:r w:rsidRPr="004B77CC">
        <w:rPr>
          <w:rFonts w:asciiTheme="minorHAnsi" w:hAnsiTheme="minorHAnsi"/>
          <w:sz w:val="24"/>
          <w:szCs w:val="24"/>
        </w:rPr>
        <w:t>, 95-104.</w:t>
      </w:r>
    </w:p>
    <w:p w14:paraId="66AF4669"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Nobes, C.W. (2004)</w:t>
      </w:r>
      <w:r w:rsidR="0040508A"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On accounting classiﬁcation and the inte</w:t>
      </w:r>
      <w:r w:rsidR="00394E8F" w:rsidRPr="004B77CC">
        <w:rPr>
          <w:rFonts w:asciiTheme="minorHAnsi" w:hAnsiTheme="minorHAnsi"/>
          <w:sz w:val="24"/>
          <w:szCs w:val="24"/>
        </w:rPr>
        <w:t xml:space="preserve">rnational </w:t>
      </w:r>
      <w:proofErr w:type="spellStart"/>
      <w:r w:rsidR="00394E8F" w:rsidRPr="004B77CC">
        <w:rPr>
          <w:rFonts w:asciiTheme="minorHAnsi" w:hAnsiTheme="minorHAnsi"/>
          <w:sz w:val="24"/>
          <w:szCs w:val="24"/>
        </w:rPr>
        <w:t>harmonisation</w:t>
      </w:r>
      <w:proofErr w:type="spellEnd"/>
      <w:r w:rsidR="00394E8F" w:rsidRPr="004B77CC">
        <w:rPr>
          <w:rFonts w:asciiTheme="minorHAnsi" w:hAnsiTheme="minorHAnsi"/>
          <w:sz w:val="24"/>
          <w:szCs w:val="24"/>
        </w:rPr>
        <w:t xml:space="preserve"> debate</w:t>
      </w:r>
      <w:r w:rsidR="0040508A"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Accounting, Organizations and Society</w:t>
      </w:r>
      <w:r w:rsidRPr="004B77CC">
        <w:rPr>
          <w:rFonts w:asciiTheme="minorHAnsi" w:hAnsiTheme="minorHAnsi"/>
          <w:sz w:val="24"/>
          <w:szCs w:val="24"/>
        </w:rPr>
        <w:t>, 29</w:t>
      </w:r>
      <w:r w:rsidR="0040508A" w:rsidRPr="004B77CC">
        <w:rPr>
          <w:rFonts w:asciiTheme="minorHAnsi" w:hAnsiTheme="minorHAnsi"/>
          <w:sz w:val="24"/>
          <w:szCs w:val="24"/>
        </w:rPr>
        <w:t>(</w:t>
      </w:r>
      <w:r w:rsidRPr="004B77CC">
        <w:rPr>
          <w:rFonts w:asciiTheme="minorHAnsi" w:hAnsiTheme="minorHAnsi"/>
          <w:sz w:val="24"/>
          <w:szCs w:val="24"/>
        </w:rPr>
        <w:t>2</w:t>
      </w:r>
      <w:r w:rsidR="0040508A" w:rsidRPr="004B77CC">
        <w:rPr>
          <w:rFonts w:asciiTheme="minorHAnsi" w:hAnsiTheme="minorHAnsi"/>
          <w:sz w:val="24"/>
          <w:szCs w:val="24"/>
        </w:rPr>
        <w:t>)</w:t>
      </w:r>
      <w:r w:rsidRPr="004B77CC">
        <w:rPr>
          <w:rFonts w:asciiTheme="minorHAnsi" w:hAnsiTheme="minorHAnsi"/>
          <w:sz w:val="24"/>
          <w:szCs w:val="24"/>
        </w:rPr>
        <w:t>, 189-200.</w:t>
      </w:r>
    </w:p>
    <w:p w14:paraId="6D2D1FA1" w14:textId="77777777" w:rsidR="00A04CAA" w:rsidRPr="004B77CC" w:rsidRDefault="00E12CBA" w:rsidP="0015736A">
      <w:pPr>
        <w:spacing w:after="0"/>
        <w:ind w:left="360" w:hanging="360"/>
        <w:rPr>
          <w:rFonts w:eastAsia="Times New Roman" w:cs="Times New Roman"/>
          <w:szCs w:val="24"/>
        </w:rPr>
      </w:pPr>
      <w:r w:rsidRPr="004B77CC">
        <w:rPr>
          <w:szCs w:val="24"/>
        </w:rPr>
        <w:t xml:space="preserve">Nobes, C.W. (2009). </w:t>
      </w:r>
      <w:r w:rsidRPr="004B77CC">
        <w:rPr>
          <w:rFonts w:eastAsia="Times New Roman" w:cs="Times New Roman"/>
          <w:szCs w:val="24"/>
        </w:rPr>
        <w:t>Observations on measuring the differences between domestic</w:t>
      </w:r>
      <w:r w:rsidR="004B77CC">
        <w:rPr>
          <w:rFonts w:eastAsia="Times New Roman" w:cs="Times New Roman"/>
          <w:szCs w:val="24"/>
        </w:rPr>
        <w:t xml:space="preserve"> </w:t>
      </w:r>
      <w:r w:rsidRPr="004B77CC">
        <w:rPr>
          <w:rFonts w:eastAsia="Times New Roman" w:cs="Times New Roman"/>
          <w:szCs w:val="24"/>
        </w:rPr>
        <w:t xml:space="preserve">accounting standards and IAS. </w:t>
      </w:r>
      <w:r w:rsidRPr="004B77CC">
        <w:rPr>
          <w:rFonts w:eastAsia="Times New Roman" w:cs="Times New Roman"/>
          <w:i/>
          <w:szCs w:val="24"/>
        </w:rPr>
        <w:t>Journal of Accounting and Public Policy</w:t>
      </w:r>
      <w:r w:rsidR="00A04CAA" w:rsidRPr="004B77CC">
        <w:rPr>
          <w:rFonts w:eastAsia="Times New Roman" w:cs="Times New Roman"/>
          <w:i/>
          <w:szCs w:val="24"/>
        </w:rPr>
        <w:t>,</w:t>
      </w:r>
      <w:r w:rsidRPr="004B77CC">
        <w:rPr>
          <w:rFonts w:eastAsia="Times New Roman" w:cs="Times New Roman"/>
          <w:szCs w:val="24"/>
        </w:rPr>
        <w:t xml:space="preserve"> 28(2),</w:t>
      </w:r>
      <w:r w:rsidR="004B77CC">
        <w:rPr>
          <w:rFonts w:eastAsia="Times New Roman" w:cs="Times New Roman"/>
          <w:szCs w:val="24"/>
        </w:rPr>
        <w:t xml:space="preserve"> 148-</w:t>
      </w:r>
      <w:r w:rsidRPr="004B77CC">
        <w:rPr>
          <w:rFonts w:eastAsia="Times New Roman" w:cs="Times New Roman"/>
          <w:szCs w:val="24"/>
        </w:rPr>
        <w:t>153.</w:t>
      </w:r>
    </w:p>
    <w:p w14:paraId="77235C7F" w14:textId="77777777" w:rsidR="008E4ED7" w:rsidRPr="004B77CC" w:rsidRDefault="008E4ED7" w:rsidP="004B77CC">
      <w:pPr>
        <w:pStyle w:val="ReferencesFurtherreading"/>
        <w:rPr>
          <w:rFonts w:asciiTheme="minorHAnsi" w:hAnsiTheme="minorHAnsi"/>
          <w:sz w:val="24"/>
          <w:szCs w:val="24"/>
        </w:rPr>
      </w:pPr>
      <w:r w:rsidRPr="004B77CC">
        <w:rPr>
          <w:rFonts w:asciiTheme="minorHAnsi" w:hAnsiTheme="minorHAnsi"/>
          <w:sz w:val="24"/>
          <w:szCs w:val="24"/>
        </w:rPr>
        <w:lastRenderedPageBreak/>
        <w:t xml:space="preserve">Nobes, C.W. (2010). On researching into the use of IFRS by private entities in Europe. </w:t>
      </w:r>
      <w:r w:rsidRPr="004B77CC">
        <w:rPr>
          <w:rFonts w:asciiTheme="minorHAnsi" w:hAnsiTheme="minorHAnsi"/>
          <w:i/>
          <w:sz w:val="24"/>
          <w:szCs w:val="24"/>
        </w:rPr>
        <w:t>Accounting in Europe</w:t>
      </w:r>
      <w:r w:rsidR="00D3210B">
        <w:rPr>
          <w:rFonts w:asciiTheme="minorHAnsi" w:hAnsiTheme="minorHAnsi"/>
          <w:sz w:val="24"/>
          <w:szCs w:val="24"/>
        </w:rPr>
        <w:t>, 7(</w:t>
      </w:r>
      <w:r w:rsidRPr="004B77CC">
        <w:rPr>
          <w:rFonts w:asciiTheme="minorHAnsi" w:hAnsiTheme="minorHAnsi"/>
          <w:sz w:val="24"/>
          <w:szCs w:val="24"/>
        </w:rPr>
        <w:t>2</w:t>
      </w:r>
      <w:r w:rsidR="00D3210B">
        <w:rPr>
          <w:rFonts w:asciiTheme="minorHAnsi" w:hAnsiTheme="minorHAnsi"/>
          <w:sz w:val="24"/>
          <w:szCs w:val="24"/>
        </w:rPr>
        <w:t>)</w:t>
      </w:r>
      <w:r w:rsidR="00D71982" w:rsidRPr="004B77CC">
        <w:rPr>
          <w:rFonts w:asciiTheme="minorHAnsi" w:hAnsiTheme="minorHAnsi"/>
          <w:sz w:val="24"/>
          <w:szCs w:val="24"/>
        </w:rPr>
        <w:t>, 213-226</w:t>
      </w:r>
      <w:r w:rsidRPr="004B77CC">
        <w:rPr>
          <w:rFonts w:asciiTheme="minorHAnsi" w:hAnsiTheme="minorHAnsi"/>
          <w:sz w:val="24"/>
          <w:szCs w:val="24"/>
        </w:rPr>
        <w:t>.</w:t>
      </w:r>
    </w:p>
    <w:p w14:paraId="22A05B77"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 xml:space="preserve">Nobes, C.W. and </w:t>
      </w:r>
      <w:proofErr w:type="spellStart"/>
      <w:r w:rsidRPr="004B77CC">
        <w:rPr>
          <w:rFonts w:asciiTheme="minorHAnsi" w:hAnsiTheme="minorHAnsi"/>
          <w:sz w:val="24"/>
          <w:szCs w:val="24"/>
        </w:rPr>
        <w:t>Schwencke</w:t>
      </w:r>
      <w:proofErr w:type="spellEnd"/>
      <w:r w:rsidRPr="004B77CC">
        <w:rPr>
          <w:rFonts w:asciiTheme="minorHAnsi" w:hAnsiTheme="minorHAnsi"/>
          <w:sz w:val="24"/>
          <w:szCs w:val="24"/>
        </w:rPr>
        <w:t>, H.R. (2006)</w:t>
      </w:r>
      <w:r w:rsidR="0040508A"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Tax and ﬁnancial reporting links: a longitudinal examination over 30 years up to IFRS adoption</w:t>
      </w:r>
      <w:r w:rsidR="00394E8F" w:rsidRPr="004B77CC">
        <w:rPr>
          <w:rFonts w:asciiTheme="minorHAnsi" w:hAnsiTheme="minorHAnsi"/>
          <w:sz w:val="24"/>
          <w:szCs w:val="24"/>
        </w:rPr>
        <w:t>, using Norway as a case study</w:t>
      </w:r>
      <w:r w:rsidR="0040508A"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European Accounting Review</w:t>
      </w:r>
      <w:r w:rsidRPr="004B77CC">
        <w:rPr>
          <w:rFonts w:asciiTheme="minorHAnsi" w:hAnsiTheme="minorHAnsi"/>
          <w:sz w:val="24"/>
          <w:szCs w:val="24"/>
        </w:rPr>
        <w:t xml:space="preserve">, </w:t>
      </w:r>
      <w:r w:rsidR="0040508A" w:rsidRPr="004B77CC">
        <w:rPr>
          <w:rFonts w:asciiTheme="minorHAnsi" w:hAnsiTheme="minorHAnsi"/>
          <w:sz w:val="24"/>
          <w:szCs w:val="24"/>
        </w:rPr>
        <w:t>15(</w:t>
      </w:r>
      <w:r w:rsidRPr="004B77CC">
        <w:rPr>
          <w:rFonts w:asciiTheme="minorHAnsi" w:hAnsiTheme="minorHAnsi"/>
          <w:sz w:val="24"/>
          <w:szCs w:val="24"/>
        </w:rPr>
        <w:t>1</w:t>
      </w:r>
      <w:r w:rsidR="0040508A" w:rsidRPr="004B77CC">
        <w:rPr>
          <w:rFonts w:asciiTheme="minorHAnsi" w:hAnsiTheme="minorHAnsi"/>
          <w:sz w:val="24"/>
          <w:szCs w:val="24"/>
        </w:rPr>
        <w:t>)</w:t>
      </w:r>
      <w:r w:rsidRPr="004B77CC">
        <w:rPr>
          <w:rFonts w:asciiTheme="minorHAnsi" w:hAnsiTheme="minorHAnsi"/>
          <w:sz w:val="24"/>
          <w:szCs w:val="24"/>
        </w:rPr>
        <w:t>, 63-87.</w:t>
      </w:r>
    </w:p>
    <w:p w14:paraId="7CE1AA49" w14:textId="77777777" w:rsidR="00970822" w:rsidRPr="004B77CC" w:rsidRDefault="00970822" w:rsidP="004B77CC">
      <w:pPr>
        <w:keepLines/>
        <w:spacing w:after="0"/>
        <w:ind w:left="397" w:hanging="397"/>
        <w:rPr>
          <w:szCs w:val="24"/>
        </w:rPr>
      </w:pPr>
      <w:r w:rsidRPr="004B77CC">
        <w:rPr>
          <w:szCs w:val="24"/>
        </w:rPr>
        <w:t xml:space="preserve">Nobes, C.W. and </w:t>
      </w:r>
      <w:proofErr w:type="spellStart"/>
      <w:r w:rsidRPr="004B77CC">
        <w:rPr>
          <w:szCs w:val="24"/>
        </w:rPr>
        <w:t>Stadler</w:t>
      </w:r>
      <w:proofErr w:type="spellEnd"/>
      <w:r w:rsidRPr="004B77CC">
        <w:rPr>
          <w:szCs w:val="24"/>
        </w:rPr>
        <w:t>, C. (2013)</w:t>
      </w:r>
      <w:r w:rsidR="0040508A" w:rsidRPr="004B77CC">
        <w:rPr>
          <w:szCs w:val="24"/>
        </w:rPr>
        <w:t>.</w:t>
      </w:r>
      <w:r w:rsidR="00394E8F" w:rsidRPr="004B77CC">
        <w:rPr>
          <w:szCs w:val="24"/>
        </w:rPr>
        <w:t xml:space="preserve"> </w:t>
      </w:r>
      <w:r w:rsidRPr="004B77CC">
        <w:rPr>
          <w:szCs w:val="24"/>
        </w:rPr>
        <w:t>How arbitrary are international accounting classifications? Lessons from centuries of classifying in many disciplines,</w:t>
      </w:r>
      <w:r w:rsidR="00394E8F" w:rsidRPr="004B77CC">
        <w:rPr>
          <w:szCs w:val="24"/>
        </w:rPr>
        <w:t xml:space="preserve"> and experiments with IFRS data</w:t>
      </w:r>
      <w:r w:rsidRPr="004B77CC">
        <w:rPr>
          <w:szCs w:val="24"/>
        </w:rPr>
        <w:t xml:space="preserve">. </w:t>
      </w:r>
      <w:r w:rsidRPr="004B77CC">
        <w:rPr>
          <w:i/>
          <w:szCs w:val="24"/>
        </w:rPr>
        <w:t>Accounting, Organizations and Society</w:t>
      </w:r>
      <w:r w:rsidRPr="004B77CC">
        <w:rPr>
          <w:szCs w:val="24"/>
        </w:rPr>
        <w:t>, 38</w:t>
      </w:r>
      <w:r w:rsidR="0040508A" w:rsidRPr="004B77CC">
        <w:rPr>
          <w:szCs w:val="24"/>
        </w:rPr>
        <w:t>(</w:t>
      </w:r>
      <w:r w:rsidRPr="004B77CC">
        <w:rPr>
          <w:szCs w:val="24"/>
        </w:rPr>
        <w:t>8</w:t>
      </w:r>
      <w:r w:rsidR="0040508A" w:rsidRPr="004B77CC">
        <w:rPr>
          <w:szCs w:val="24"/>
        </w:rPr>
        <w:t>)</w:t>
      </w:r>
      <w:r w:rsidRPr="004B77CC">
        <w:rPr>
          <w:szCs w:val="24"/>
        </w:rPr>
        <w:t>, 573-95.</w:t>
      </w:r>
    </w:p>
    <w:p w14:paraId="784EAC5A" w14:textId="5ACC5EEF" w:rsidR="0012550D" w:rsidRPr="004B77CC" w:rsidRDefault="0012550D" w:rsidP="004B77CC">
      <w:pPr>
        <w:keepLines/>
        <w:spacing w:after="0"/>
        <w:ind w:left="397" w:hanging="397"/>
        <w:rPr>
          <w:szCs w:val="24"/>
        </w:rPr>
      </w:pPr>
      <w:r w:rsidRPr="004B77CC">
        <w:rPr>
          <w:szCs w:val="24"/>
        </w:rPr>
        <w:t>Nobes, C.W</w:t>
      </w:r>
      <w:r w:rsidR="00387C41" w:rsidRPr="004B77CC">
        <w:rPr>
          <w:szCs w:val="24"/>
        </w:rPr>
        <w:t xml:space="preserve">. and </w:t>
      </w:r>
      <w:proofErr w:type="spellStart"/>
      <w:r w:rsidR="00387C41" w:rsidRPr="004B77CC">
        <w:rPr>
          <w:szCs w:val="24"/>
        </w:rPr>
        <w:t>Zeff</w:t>
      </w:r>
      <w:proofErr w:type="spellEnd"/>
      <w:r w:rsidR="00387C41" w:rsidRPr="004B77CC">
        <w:rPr>
          <w:szCs w:val="24"/>
        </w:rPr>
        <w:t>, S.A. (2016). Have Canada, Japan and Switzerland adopted IFRS?</w:t>
      </w:r>
      <w:r w:rsidR="00387C41" w:rsidRPr="004B77CC">
        <w:rPr>
          <w:i/>
          <w:szCs w:val="24"/>
        </w:rPr>
        <w:t xml:space="preserve"> Australian Accounting Review,</w:t>
      </w:r>
      <w:r w:rsidR="00387C41" w:rsidRPr="004B77CC">
        <w:rPr>
          <w:szCs w:val="24"/>
        </w:rPr>
        <w:t xml:space="preserve"> </w:t>
      </w:r>
      <w:r w:rsidR="00860BD3">
        <w:rPr>
          <w:szCs w:val="24"/>
        </w:rPr>
        <w:t>26(3), 284-90.</w:t>
      </w:r>
    </w:p>
    <w:p w14:paraId="7D36E005" w14:textId="77777777" w:rsidR="00970822" w:rsidRDefault="00970822" w:rsidP="004B77CC">
      <w:pPr>
        <w:spacing w:after="0"/>
        <w:ind w:left="397" w:hanging="397"/>
        <w:rPr>
          <w:szCs w:val="24"/>
        </w:rPr>
      </w:pPr>
      <w:proofErr w:type="spellStart"/>
      <w:r w:rsidRPr="004B77CC">
        <w:rPr>
          <w:szCs w:val="24"/>
        </w:rPr>
        <w:t>Oliveras</w:t>
      </w:r>
      <w:proofErr w:type="spellEnd"/>
      <w:r w:rsidRPr="004B77CC">
        <w:rPr>
          <w:szCs w:val="24"/>
        </w:rPr>
        <w:t xml:space="preserve">, E. and </w:t>
      </w:r>
      <w:proofErr w:type="spellStart"/>
      <w:r w:rsidRPr="004B77CC">
        <w:rPr>
          <w:szCs w:val="24"/>
        </w:rPr>
        <w:t>Puig</w:t>
      </w:r>
      <w:proofErr w:type="spellEnd"/>
      <w:r w:rsidRPr="004B77CC">
        <w:rPr>
          <w:szCs w:val="24"/>
        </w:rPr>
        <w:t>, X. (2005)</w:t>
      </w:r>
      <w:r w:rsidR="0040508A" w:rsidRPr="004B77CC">
        <w:rPr>
          <w:szCs w:val="24"/>
        </w:rPr>
        <w:t>.</w:t>
      </w:r>
      <w:r w:rsidR="00394E8F" w:rsidRPr="004B77CC">
        <w:rPr>
          <w:szCs w:val="24"/>
        </w:rPr>
        <w:t xml:space="preserve"> </w:t>
      </w:r>
      <w:r w:rsidRPr="004B77CC">
        <w:rPr>
          <w:szCs w:val="24"/>
        </w:rPr>
        <w:t>The changing relationship between tax and</w:t>
      </w:r>
      <w:r w:rsidR="00394E8F" w:rsidRPr="004B77CC">
        <w:rPr>
          <w:szCs w:val="24"/>
        </w:rPr>
        <w:t xml:space="preserve"> financial reporting in Spain</w:t>
      </w:r>
      <w:r w:rsidR="0040508A" w:rsidRPr="004B77CC">
        <w:rPr>
          <w:szCs w:val="24"/>
        </w:rPr>
        <w:t>.</w:t>
      </w:r>
      <w:r w:rsidRPr="004B77CC">
        <w:rPr>
          <w:szCs w:val="24"/>
        </w:rPr>
        <w:t xml:space="preserve"> </w:t>
      </w:r>
      <w:r w:rsidRPr="004B77CC">
        <w:rPr>
          <w:i/>
          <w:szCs w:val="24"/>
        </w:rPr>
        <w:t>Accounting in Europe</w:t>
      </w:r>
      <w:r w:rsidRPr="004B77CC">
        <w:rPr>
          <w:szCs w:val="24"/>
        </w:rPr>
        <w:t>, 2</w:t>
      </w:r>
      <w:r w:rsidR="00201B86" w:rsidRPr="004B77CC">
        <w:rPr>
          <w:szCs w:val="24"/>
        </w:rPr>
        <w:t>(</w:t>
      </w:r>
      <w:r w:rsidRPr="004B77CC">
        <w:rPr>
          <w:szCs w:val="24"/>
        </w:rPr>
        <w:t>1</w:t>
      </w:r>
      <w:r w:rsidR="00201B86" w:rsidRPr="004B77CC">
        <w:rPr>
          <w:szCs w:val="24"/>
        </w:rPr>
        <w:t xml:space="preserve">), </w:t>
      </w:r>
      <w:r w:rsidRPr="004B77CC">
        <w:rPr>
          <w:szCs w:val="24"/>
        </w:rPr>
        <w:t>195-207.</w:t>
      </w:r>
    </w:p>
    <w:p w14:paraId="3D3D0C3D" w14:textId="77777777" w:rsidR="00562AD6" w:rsidRPr="004B77CC" w:rsidRDefault="00562AD6" w:rsidP="004B77CC">
      <w:pPr>
        <w:spacing w:after="0"/>
        <w:ind w:left="397" w:hanging="397"/>
        <w:rPr>
          <w:szCs w:val="24"/>
        </w:rPr>
      </w:pPr>
      <w:r>
        <w:rPr>
          <w:szCs w:val="24"/>
        </w:rPr>
        <w:t xml:space="preserve">Parker, R.H., </w:t>
      </w:r>
      <w:proofErr w:type="spellStart"/>
      <w:r>
        <w:rPr>
          <w:szCs w:val="24"/>
        </w:rPr>
        <w:t>Wolnizer</w:t>
      </w:r>
      <w:proofErr w:type="spellEnd"/>
      <w:r>
        <w:rPr>
          <w:szCs w:val="24"/>
        </w:rPr>
        <w:t xml:space="preserve">, P.W. and Nobes, C.W. (1996). </w:t>
      </w:r>
      <w:r>
        <w:rPr>
          <w:i/>
          <w:szCs w:val="24"/>
        </w:rPr>
        <w:t>Readings in true and f</w:t>
      </w:r>
      <w:r w:rsidRPr="00562AD6">
        <w:rPr>
          <w:i/>
          <w:szCs w:val="24"/>
        </w:rPr>
        <w:t>air</w:t>
      </w:r>
      <w:r>
        <w:rPr>
          <w:szCs w:val="24"/>
        </w:rPr>
        <w:t xml:space="preserve">. New York: Garland. </w:t>
      </w:r>
    </w:p>
    <w:p w14:paraId="6A0B53B4" w14:textId="77777777" w:rsidR="009A075A" w:rsidRPr="004B77CC" w:rsidRDefault="009A075A" w:rsidP="004B77CC">
      <w:pPr>
        <w:keepLines/>
        <w:spacing w:after="0"/>
        <w:ind w:left="360" w:hanging="360"/>
        <w:rPr>
          <w:szCs w:val="24"/>
        </w:rPr>
      </w:pPr>
      <w:proofErr w:type="spellStart"/>
      <w:r w:rsidRPr="004B77CC">
        <w:rPr>
          <w:szCs w:val="24"/>
        </w:rPr>
        <w:t>Perec</w:t>
      </w:r>
      <w:proofErr w:type="spellEnd"/>
      <w:r w:rsidRPr="004B77CC">
        <w:rPr>
          <w:szCs w:val="24"/>
        </w:rPr>
        <w:t xml:space="preserve">, G. (1985). </w:t>
      </w:r>
      <w:proofErr w:type="spellStart"/>
      <w:r w:rsidRPr="004B77CC">
        <w:rPr>
          <w:i/>
          <w:szCs w:val="24"/>
        </w:rPr>
        <w:t>Penser</w:t>
      </w:r>
      <w:proofErr w:type="spellEnd"/>
      <w:r w:rsidRPr="004B77CC">
        <w:rPr>
          <w:i/>
          <w:szCs w:val="24"/>
        </w:rPr>
        <w:t>/classer</w:t>
      </w:r>
      <w:r w:rsidRPr="004B77CC">
        <w:rPr>
          <w:szCs w:val="24"/>
        </w:rPr>
        <w:t xml:space="preserve">. </w:t>
      </w:r>
      <w:proofErr w:type="spellStart"/>
      <w:r w:rsidRPr="004B77CC">
        <w:rPr>
          <w:szCs w:val="24"/>
        </w:rPr>
        <w:t>Rungis</w:t>
      </w:r>
      <w:proofErr w:type="spellEnd"/>
      <w:r w:rsidRPr="004B77CC">
        <w:rPr>
          <w:szCs w:val="24"/>
        </w:rPr>
        <w:t>: Hachette.</w:t>
      </w:r>
    </w:p>
    <w:p w14:paraId="4F970E89"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Price Waterhouse (1973)</w:t>
      </w:r>
      <w:r w:rsidR="00201B86" w:rsidRPr="004B77CC">
        <w:rPr>
          <w:rFonts w:asciiTheme="minorHAnsi" w:hAnsiTheme="minorHAnsi"/>
          <w:sz w:val="24"/>
          <w:szCs w:val="24"/>
        </w:rPr>
        <w:t>.</w:t>
      </w:r>
      <w:r w:rsidRPr="004B77CC">
        <w:rPr>
          <w:rFonts w:asciiTheme="minorHAnsi" w:hAnsiTheme="minorHAnsi"/>
          <w:sz w:val="24"/>
          <w:szCs w:val="24"/>
        </w:rPr>
        <w:t xml:space="preserve"> </w:t>
      </w:r>
      <w:r w:rsidR="00562AD6">
        <w:rPr>
          <w:rFonts w:asciiTheme="minorHAnsi" w:hAnsiTheme="minorHAnsi"/>
          <w:i/>
          <w:sz w:val="24"/>
          <w:szCs w:val="24"/>
        </w:rPr>
        <w:t>Accounting p</w:t>
      </w:r>
      <w:r w:rsidRPr="004B77CC">
        <w:rPr>
          <w:rFonts w:asciiTheme="minorHAnsi" w:hAnsiTheme="minorHAnsi"/>
          <w:i/>
          <w:sz w:val="24"/>
          <w:szCs w:val="24"/>
        </w:rPr>
        <w:t>rincipl</w:t>
      </w:r>
      <w:r w:rsidR="00562AD6">
        <w:rPr>
          <w:rFonts w:asciiTheme="minorHAnsi" w:hAnsiTheme="minorHAnsi"/>
          <w:i/>
          <w:sz w:val="24"/>
          <w:szCs w:val="24"/>
        </w:rPr>
        <w:t>es and reporting p</w:t>
      </w:r>
      <w:r w:rsidRPr="004B77CC">
        <w:rPr>
          <w:rFonts w:asciiTheme="minorHAnsi" w:hAnsiTheme="minorHAnsi"/>
          <w:i/>
          <w:sz w:val="24"/>
          <w:szCs w:val="24"/>
        </w:rPr>
        <w:t xml:space="preserve">ractices: </w:t>
      </w:r>
      <w:r w:rsidR="00562AD6">
        <w:rPr>
          <w:rFonts w:asciiTheme="minorHAnsi" w:hAnsiTheme="minorHAnsi"/>
          <w:i/>
          <w:sz w:val="24"/>
          <w:szCs w:val="24"/>
        </w:rPr>
        <w:t>a survey in 38 c</w:t>
      </w:r>
      <w:r w:rsidRPr="004B77CC">
        <w:rPr>
          <w:rFonts w:asciiTheme="minorHAnsi" w:hAnsiTheme="minorHAnsi"/>
          <w:i/>
          <w:sz w:val="24"/>
          <w:szCs w:val="24"/>
        </w:rPr>
        <w:t>ountries</w:t>
      </w:r>
      <w:r w:rsidR="00201B86" w:rsidRPr="004B77CC">
        <w:rPr>
          <w:rFonts w:asciiTheme="minorHAnsi" w:hAnsiTheme="minorHAnsi"/>
          <w:sz w:val="24"/>
          <w:szCs w:val="24"/>
        </w:rPr>
        <w:t>.</w:t>
      </w:r>
      <w:r w:rsidRPr="004B77CC">
        <w:rPr>
          <w:rFonts w:asciiTheme="minorHAnsi" w:hAnsiTheme="minorHAnsi"/>
          <w:sz w:val="24"/>
          <w:szCs w:val="24"/>
        </w:rPr>
        <w:t xml:space="preserve"> </w:t>
      </w:r>
      <w:r w:rsidR="00201B86" w:rsidRPr="004B77CC">
        <w:rPr>
          <w:rFonts w:asciiTheme="minorHAnsi" w:hAnsiTheme="minorHAnsi"/>
          <w:sz w:val="24"/>
          <w:szCs w:val="24"/>
        </w:rPr>
        <w:t xml:space="preserve">London: </w:t>
      </w:r>
      <w:r w:rsidR="00E40D7B" w:rsidRPr="004B77CC">
        <w:rPr>
          <w:rFonts w:asciiTheme="minorHAnsi" w:hAnsiTheme="minorHAnsi"/>
          <w:sz w:val="24"/>
          <w:szCs w:val="24"/>
        </w:rPr>
        <w:t>Institute of Chartered Accountants in England and Wales</w:t>
      </w:r>
      <w:r w:rsidR="00201B86" w:rsidRPr="004B77CC">
        <w:rPr>
          <w:rFonts w:asciiTheme="minorHAnsi" w:hAnsiTheme="minorHAnsi"/>
          <w:sz w:val="24"/>
          <w:szCs w:val="24"/>
        </w:rPr>
        <w:t>.</w:t>
      </w:r>
    </w:p>
    <w:p w14:paraId="7115780E" w14:textId="77777777" w:rsidR="00970822" w:rsidRPr="004B77CC" w:rsidRDefault="00970822" w:rsidP="004B77CC">
      <w:pPr>
        <w:pStyle w:val="ReferencesFurtherreading"/>
        <w:rPr>
          <w:rFonts w:asciiTheme="minorHAnsi" w:hAnsiTheme="minorHAnsi"/>
          <w:sz w:val="24"/>
          <w:szCs w:val="24"/>
        </w:rPr>
      </w:pPr>
      <w:r w:rsidRPr="004B77CC">
        <w:rPr>
          <w:rFonts w:asciiTheme="minorHAnsi" w:hAnsiTheme="minorHAnsi"/>
          <w:sz w:val="24"/>
          <w:szCs w:val="24"/>
        </w:rPr>
        <w:t>Price Waterhouse (1975)</w:t>
      </w:r>
      <w:r w:rsidR="00201B86" w:rsidRPr="004B77CC">
        <w:rPr>
          <w:rFonts w:asciiTheme="minorHAnsi" w:hAnsiTheme="minorHAnsi"/>
          <w:sz w:val="24"/>
          <w:szCs w:val="24"/>
        </w:rPr>
        <w:t>.</w:t>
      </w:r>
      <w:r w:rsidRPr="004B77CC">
        <w:rPr>
          <w:rFonts w:asciiTheme="minorHAnsi" w:hAnsiTheme="minorHAnsi"/>
          <w:sz w:val="24"/>
          <w:szCs w:val="24"/>
        </w:rPr>
        <w:t xml:space="preserve"> </w:t>
      </w:r>
      <w:r w:rsidR="00562AD6">
        <w:rPr>
          <w:rFonts w:asciiTheme="minorHAnsi" w:hAnsiTheme="minorHAnsi"/>
          <w:i/>
          <w:sz w:val="24"/>
          <w:szCs w:val="24"/>
        </w:rPr>
        <w:t>Accounting principles and reporting practices: a survey in 46 c</w:t>
      </w:r>
      <w:r w:rsidRPr="004B77CC">
        <w:rPr>
          <w:rFonts w:asciiTheme="minorHAnsi" w:hAnsiTheme="minorHAnsi"/>
          <w:i/>
          <w:sz w:val="24"/>
          <w:szCs w:val="24"/>
        </w:rPr>
        <w:t>ountries</w:t>
      </w:r>
      <w:r w:rsidR="00201B86" w:rsidRPr="004B77CC">
        <w:rPr>
          <w:rFonts w:asciiTheme="minorHAnsi" w:hAnsiTheme="minorHAnsi"/>
          <w:sz w:val="24"/>
          <w:szCs w:val="24"/>
        </w:rPr>
        <w:t xml:space="preserve">. </w:t>
      </w:r>
      <w:r w:rsidRPr="004B77CC">
        <w:rPr>
          <w:rFonts w:asciiTheme="minorHAnsi" w:hAnsiTheme="minorHAnsi"/>
          <w:sz w:val="24"/>
          <w:szCs w:val="24"/>
        </w:rPr>
        <w:t>London</w:t>
      </w:r>
      <w:r w:rsidR="00E40D7B" w:rsidRPr="004B77CC">
        <w:rPr>
          <w:rFonts w:asciiTheme="minorHAnsi" w:hAnsiTheme="minorHAnsi"/>
          <w:sz w:val="24"/>
          <w:szCs w:val="24"/>
        </w:rPr>
        <w:t>: Institute of Chartered Accountants in England and Wales</w:t>
      </w:r>
      <w:r w:rsidR="00201B86" w:rsidRPr="004B77CC">
        <w:rPr>
          <w:rFonts w:asciiTheme="minorHAnsi" w:hAnsiTheme="minorHAnsi"/>
          <w:sz w:val="24"/>
          <w:szCs w:val="24"/>
        </w:rPr>
        <w:t>.</w:t>
      </w:r>
    </w:p>
    <w:p w14:paraId="5FABAC91" w14:textId="77777777" w:rsidR="00970822" w:rsidRDefault="00970822" w:rsidP="004B77CC">
      <w:pPr>
        <w:pStyle w:val="ReferencesFurtherreading"/>
        <w:rPr>
          <w:rFonts w:asciiTheme="minorHAnsi" w:hAnsiTheme="minorHAnsi"/>
          <w:sz w:val="24"/>
          <w:szCs w:val="24"/>
        </w:rPr>
      </w:pPr>
      <w:r w:rsidRPr="004B77CC">
        <w:rPr>
          <w:rFonts w:asciiTheme="minorHAnsi" w:hAnsiTheme="minorHAnsi"/>
          <w:sz w:val="24"/>
          <w:szCs w:val="24"/>
        </w:rPr>
        <w:t>Price Waterhouse (1979)</w:t>
      </w:r>
      <w:r w:rsidR="00201B86" w:rsidRPr="004B77CC">
        <w:rPr>
          <w:rFonts w:asciiTheme="minorHAnsi" w:hAnsiTheme="minorHAnsi"/>
          <w:sz w:val="24"/>
          <w:szCs w:val="24"/>
        </w:rPr>
        <w:t>.</w:t>
      </w:r>
      <w:r w:rsidRPr="004B77CC">
        <w:rPr>
          <w:rFonts w:asciiTheme="minorHAnsi" w:hAnsiTheme="minorHAnsi"/>
          <w:sz w:val="24"/>
          <w:szCs w:val="24"/>
        </w:rPr>
        <w:t xml:space="preserve"> </w:t>
      </w:r>
      <w:r w:rsidR="00562AD6">
        <w:rPr>
          <w:rFonts w:asciiTheme="minorHAnsi" w:hAnsiTheme="minorHAnsi"/>
          <w:i/>
          <w:sz w:val="24"/>
          <w:szCs w:val="24"/>
        </w:rPr>
        <w:t>International survey of accounting principles and reporting p</w:t>
      </w:r>
      <w:r w:rsidRPr="004B77CC">
        <w:rPr>
          <w:rFonts w:asciiTheme="minorHAnsi" w:hAnsiTheme="minorHAnsi"/>
          <w:i/>
          <w:sz w:val="24"/>
          <w:szCs w:val="24"/>
        </w:rPr>
        <w:t>ractices</w:t>
      </w:r>
      <w:r w:rsidR="00201B86" w:rsidRPr="004B77CC">
        <w:rPr>
          <w:rFonts w:asciiTheme="minorHAnsi" w:hAnsiTheme="minorHAnsi"/>
          <w:sz w:val="24"/>
          <w:szCs w:val="24"/>
        </w:rPr>
        <w:t>. London: Butterworth.</w:t>
      </w:r>
    </w:p>
    <w:p w14:paraId="58081DB3" w14:textId="77777777" w:rsidR="00EA6B40" w:rsidRDefault="00F75163" w:rsidP="00EA6B40">
      <w:pPr>
        <w:autoSpaceDE w:val="0"/>
        <w:autoSpaceDN w:val="0"/>
        <w:adjustRightInd w:val="0"/>
        <w:spacing w:after="0"/>
        <w:rPr>
          <w:rFonts w:cs="AdvTimes"/>
          <w:szCs w:val="24"/>
          <w:lang w:val="en-AU"/>
        </w:rPr>
      </w:pPr>
      <w:proofErr w:type="spellStart"/>
      <w:r>
        <w:rPr>
          <w:szCs w:val="24"/>
        </w:rPr>
        <w:t>Quadackers</w:t>
      </w:r>
      <w:proofErr w:type="spellEnd"/>
      <w:r>
        <w:rPr>
          <w:szCs w:val="24"/>
        </w:rPr>
        <w:t>, L.</w:t>
      </w:r>
      <w:r w:rsidR="00EA6B40">
        <w:rPr>
          <w:szCs w:val="24"/>
        </w:rPr>
        <w:t>,</w:t>
      </w:r>
      <w:r>
        <w:rPr>
          <w:szCs w:val="24"/>
        </w:rPr>
        <w:t xml:space="preserve"> Groot,</w:t>
      </w:r>
      <w:r w:rsidR="00EA6B40">
        <w:rPr>
          <w:szCs w:val="24"/>
        </w:rPr>
        <w:t xml:space="preserve"> T. and</w:t>
      </w:r>
      <w:r>
        <w:rPr>
          <w:szCs w:val="24"/>
        </w:rPr>
        <w:t xml:space="preserve"> White,</w:t>
      </w:r>
      <w:r w:rsidR="00EA6B40">
        <w:rPr>
          <w:szCs w:val="24"/>
        </w:rPr>
        <w:t xml:space="preserve"> A.</w:t>
      </w:r>
      <w:r>
        <w:rPr>
          <w:szCs w:val="24"/>
        </w:rPr>
        <w:t xml:space="preserve"> (2014). </w:t>
      </w:r>
      <w:r w:rsidR="00EA6B40">
        <w:rPr>
          <w:rFonts w:cs="AdvTimes"/>
          <w:szCs w:val="24"/>
          <w:lang w:val="en-AU"/>
        </w:rPr>
        <w:t xml:space="preserve">Auditors’ professional </w:t>
      </w:r>
      <w:proofErr w:type="spellStart"/>
      <w:r w:rsidR="00EA6B40">
        <w:rPr>
          <w:rFonts w:cs="AdvTimes"/>
          <w:szCs w:val="24"/>
          <w:lang w:val="en-AU"/>
        </w:rPr>
        <w:t>s</w:t>
      </w:r>
      <w:r w:rsidRPr="00F75163">
        <w:rPr>
          <w:rFonts w:cs="AdvTimes"/>
          <w:szCs w:val="24"/>
          <w:lang w:val="en-AU"/>
        </w:rPr>
        <w:t>kepticism</w:t>
      </w:r>
      <w:proofErr w:type="spellEnd"/>
      <w:r w:rsidRPr="00F75163">
        <w:rPr>
          <w:rFonts w:cs="AdvTimes"/>
          <w:szCs w:val="24"/>
          <w:lang w:val="en-AU"/>
        </w:rPr>
        <w:t xml:space="preserve">: </w:t>
      </w:r>
    </w:p>
    <w:p w14:paraId="4A6852DD" w14:textId="77777777" w:rsidR="00F75163" w:rsidRPr="00EA6B40" w:rsidRDefault="00EA6B40" w:rsidP="00EA6B40">
      <w:pPr>
        <w:autoSpaceDE w:val="0"/>
        <w:autoSpaceDN w:val="0"/>
        <w:adjustRightInd w:val="0"/>
        <w:spacing w:after="0"/>
        <w:ind w:left="397"/>
        <w:rPr>
          <w:rFonts w:cs="AdvTimes"/>
          <w:szCs w:val="24"/>
          <w:lang w:val="en-AU"/>
        </w:rPr>
      </w:pPr>
      <w:proofErr w:type="gramStart"/>
      <w:r>
        <w:rPr>
          <w:rFonts w:cs="AdvTimes"/>
          <w:szCs w:val="24"/>
          <w:lang w:val="en-AU"/>
        </w:rPr>
        <w:t>n</w:t>
      </w:r>
      <w:r w:rsidR="00F75163" w:rsidRPr="00F75163">
        <w:rPr>
          <w:rFonts w:cs="AdvTimes"/>
          <w:szCs w:val="24"/>
          <w:lang w:val="en-AU"/>
        </w:rPr>
        <w:t>eutrality</w:t>
      </w:r>
      <w:proofErr w:type="gramEnd"/>
      <w:r w:rsidR="00F75163" w:rsidRPr="00F75163">
        <w:rPr>
          <w:rFonts w:cs="AdvTimes"/>
          <w:szCs w:val="24"/>
          <w:lang w:val="en-AU"/>
        </w:rPr>
        <w:t xml:space="preserve"> versus</w:t>
      </w:r>
      <w:r>
        <w:rPr>
          <w:rFonts w:cs="AdvTimes"/>
          <w:szCs w:val="24"/>
          <w:lang w:val="en-AU"/>
        </w:rPr>
        <w:t xml:space="preserve"> presumptive d</w:t>
      </w:r>
      <w:r w:rsidR="00F75163" w:rsidRPr="00F75163">
        <w:rPr>
          <w:rFonts w:cs="AdvTimes"/>
          <w:szCs w:val="24"/>
          <w:lang w:val="en-AU"/>
        </w:rPr>
        <w:t>oubt</w:t>
      </w:r>
      <w:r>
        <w:rPr>
          <w:rFonts w:cs="AdvTimes"/>
          <w:szCs w:val="24"/>
          <w:lang w:val="en-AU"/>
        </w:rPr>
        <w:t>.</w:t>
      </w:r>
      <w:r w:rsidR="00F75163" w:rsidRPr="00F75163">
        <w:rPr>
          <w:rFonts w:cs="AdvTimes-i"/>
          <w:i/>
          <w:szCs w:val="24"/>
          <w:lang w:val="en-AU"/>
        </w:rPr>
        <w:t xml:space="preserve"> Contemporary Accounting Research</w:t>
      </w:r>
      <w:r w:rsidR="00D3210B">
        <w:rPr>
          <w:rFonts w:cs="AdvTimes-i"/>
          <w:szCs w:val="24"/>
          <w:lang w:val="en-AU"/>
        </w:rPr>
        <w:t>,</w:t>
      </w:r>
      <w:r w:rsidR="00F75163" w:rsidRPr="00F75163">
        <w:rPr>
          <w:rFonts w:cs="AdvTimes-i"/>
          <w:szCs w:val="24"/>
          <w:lang w:val="en-AU"/>
        </w:rPr>
        <w:t xml:space="preserve"> (</w:t>
      </w:r>
      <w:r w:rsidR="00F75163" w:rsidRPr="00F75163">
        <w:rPr>
          <w:rFonts w:cs="AdvTimes"/>
          <w:szCs w:val="24"/>
          <w:lang w:val="en-AU"/>
        </w:rPr>
        <w:t xml:space="preserve">31)3, </w:t>
      </w:r>
      <w:r>
        <w:rPr>
          <w:rFonts w:cs="AdvTimes"/>
          <w:szCs w:val="24"/>
          <w:lang w:val="en-AU"/>
        </w:rPr>
        <w:t>639–</w:t>
      </w:r>
      <w:r w:rsidR="00F75163" w:rsidRPr="00F75163">
        <w:rPr>
          <w:rFonts w:cs="AdvTimes"/>
          <w:szCs w:val="24"/>
          <w:lang w:val="en-AU"/>
        </w:rPr>
        <w:t>57</w:t>
      </w:r>
      <w:r>
        <w:rPr>
          <w:rFonts w:cs="AdvTimes"/>
          <w:szCs w:val="24"/>
          <w:lang w:val="en-AU"/>
        </w:rPr>
        <w:t>.</w:t>
      </w:r>
    </w:p>
    <w:p w14:paraId="1F3FC546" w14:textId="77777777" w:rsidR="00B037B7" w:rsidRPr="004B77CC" w:rsidRDefault="00A10AE6" w:rsidP="004B77CC">
      <w:pPr>
        <w:pStyle w:val="ReferencesFurtherreading"/>
        <w:rPr>
          <w:rFonts w:asciiTheme="minorHAnsi" w:hAnsiTheme="minorHAnsi"/>
          <w:sz w:val="24"/>
          <w:szCs w:val="24"/>
        </w:rPr>
      </w:pPr>
      <w:r w:rsidRPr="004B77CC">
        <w:rPr>
          <w:rFonts w:asciiTheme="minorHAnsi" w:hAnsiTheme="minorHAnsi"/>
          <w:sz w:val="24"/>
          <w:szCs w:val="24"/>
        </w:rPr>
        <w:lastRenderedPageBreak/>
        <w:t xml:space="preserve">Roberts, A.D. (1995). The very idea of classiﬁcation in international accounting. </w:t>
      </w:r>
      <w:r w:rsidRPr="004B77CC">
        <w:rPr>
          <w:rFonts w:asciiTheme="minorHAnsi" w:hAnsiTheme="minorHAnsi"/>
          <w:i/>
          <w:sz w:val="24"/>
          <w:szCs w:val="24"/>
        </w:rPr>
        <w:t>Accounting, Organizations and Society</w:t>
      </w:r>
      <w:r w:rsidRPr="004B77CC">
        <w:rPr>
          <w:rFonts w:asciiTheme="minorHAnsi" w:hAnsiTheme="minorHAnsi"/>
          <w:sz w:val="24"/>
          <w:szCs w:val="24"/>
        </w:rPr>
        <w:t>, 20(7–8), 639-64.</w:t>
      </w:r>
    </w:p>
    <w:p w14:paraId="6C7FD1DD" w14:textId="77777777" w:rsidR="00FA3DF6" w:rsidRDefault="00A10AE6" w:rsidP="004B77CC">
      <w:pPr>
        <w:pStyle w:val="ReferencesFurtherreading"/>
        <w:rPr>
          <w:rFonts w:asciiTheme="minorHAnsi" w:hAnsiTheme="minorHAnsi"/>
          <w:sz w:val="24"/>
          <w:szCs w:val="24"/>
        </w:rPr>
      </w:pPr>
      <w:r w:rsidRPr="004B77CC">
        <w:rPr>
          <w:rFonts w:asciiTheme="minorHAnsi" w:hAnsiTheme="minorHAnsi"/>
          <w:sz w:val="24"/>
          <w:szCs w:val="24"/>
        </w:rPr>
        <w:t xml:space="preserve">Russell, B. (1958). </w:t>
      </w:r>
      <w:r w:rsidR="00FA3DF6" w:rsidRPr="004B77CC">
        <w:rPr>
          <w:rFonts w:asciiTheme="minorHAnsi" w:hAnsiTheme="minorHAnsi"/>
          <w:i/>
          <w:sz w:val="24"/>
          <w:szCs w:val="24"/>
        </w:rPr>
        <w:t>The will to doubt</w:t>
      </w:r>
      <w:r w:rsidR="00FA3DF6" w:rsidRPr="004B77CC">
        <w:rPr>
          <w:rFonts w:asciiTheme="minorHAnsi" w:hAnsiTheme="minorHAnsi"/>
          <w:sz w:val="24"/>
          <w:szCs w:val="24"/>
        </w:rPr>
        <w:t>.</w:t>
      </w:r>
      <w:r w:rsidR="00F71FE6" w:rsidRPr="004B77CC">
        <w:rPr>
          <w:rFonts w:asciiTheme="minorHAnsi" w:hAnsiTheme="minorHAnsi"/>
          <w:sz w:val="24"/>
          <w:szCs w:val="24"/>
        </w:rPr>
        <w:t xml:space="preserve"> New York: Philosophy Library</w:t>
      </w:r>
      <w:r w:rsidR="00371D2A">
        <w:rPr>
          <w:rFonts w:asciiTheme="minorHAnsi" w:hAnsiTheme="minorHAnsi"/>
          <w:sz w:val="24"/>
          <w:szCs w:val="24"/>
        </w:rPr>
        <w:t xml:space="preserve"> (reprinted in 2014 by Welcome Rain Publishers, New York)</w:t>
      </w:r>
      <w:r w:rsidR="00F71FE6" w:rsidRPr="004B77CC">
        <w:rPr>
          <w:rFonts w:asciiTheme="minorHAnsi" w:hAnsiTheme="minorHAnsi"/>
          <w:sz w:val="24"/>
          <w:szCs w:val="24"/>
        </w:rPr>
        <w:t>.</w:t>
      </w:r>
    </w:p>
    <w:p w14:paraId="7EA2F767" w14:textId="77777777" w:rsidR="00562AD6" w:rsidRPr="004B77CC" w:rsidRDefault="00562AD6" w:rsidP="004B77CC">
      <w:pPr>
        <w:pStyle w:val="ReferencesFurtherreading"/>
        <w:rPr>
          <w:rFonts w:asciiTheme="minorHAnsi" w:hAnsiTheme="minorHAnsi"/>
          <w:sz w:val="24"/>
          <w:szCs w:val="24"/>
        </w:rPr>
      </w:pPr>
      <w:r>
        <w:rPr>
          <w:rFonts w:asciiTheme="minorHAnsi" w:hAnsiTheme="minorHAnsi"/>
          <w:sz w:val="24"/>
          <w:szCs w:val="24"/>
        </w:rPr>
        <w:t xml:space="preserve">Rutherford, B.A. (1985). The true and fair doctrine: a search for explication. </w:t>
      </w:r>
      <w:r w:rsidRPr="00562AD6">
        <w:rPr>
          <w:rFonts w:asciiTheme="minorHAnsi" w:hAnsiTheme="minorHAnsi"/>
          <w:i/>
          <w:sz w:val="24"/>
          <w:szCs w:val="24"/>
        </w:rPr>
        <w:t>Journal of Business Finance &amp; Accounting</w:t>
      </w:r>
      <w:r>
        <w:rPr>
          <w:rFonts w:asciiTheme="minorHAnsi" w:hAnsiTheme="minorHAnsi"/>
          <w:sz w:val="24"/>
          <w:szCs w:val="24"/>
        </w:rPr>
        <w:t>, 12(4), 483-94.</w:t>
      </w:r>
    </w:p>
    <w:p w14:paraId="4CFA2ED1" w14:textId="77777777" w:rsidR="005C4D97" w:rsidRPr="004B77CC" w:rsidRDefault="005C4D97" w:rsidP="004B77CC">
      <w:pPr>
        <w:pStyle w:val="ReferencesFurtherreading"/>
        <w:rPr>
          <w:rFonts w:asciiTheme="minorHAnsi" w:hAnsiTheme="minorHAnsi"/>
          <w:sz w:val="24"/>
          <w:szCs w:val="24"/>
        </w:rPr>
      </w:pPr>
      <w:proofErr w:type="spellStart"/>
      <w:r w:rsidRPr="004B77CC">
        <w:rPr>
          <w:rFonts w:asciiTheme="minorHAnsi" w:hAnsiTheme="minorHAnsi"/>
          <w:sz w:val="24"/>
          <w:szCs w:val="24"/>
        </w:rPr>
        <w:t>Sawa</w:t>
      </w:r>
      <w:proofErr w:type="spellEnd"/>
      <w:r w:rsidRPr="004B77CC">
        <w:rPr>
          <w:rFonts w:asciiTheme="minorHAnsi" w:hAnsiTheme="minorHAnsi"/>
          <w:sz w:val="24"/>
          <w:szCs w:val="24"/>
        </w:rPr>
        <w:t xml:space="preserve">, E. (2003). Accounting in Japan, Chapter 7 in P. Walton, A. Haller and B. </w:t>
      </w:r>
      <w:proofErr w:type="spellStart"/>
      <w:r w:rsidRPr="004B77CC">
        <w:rPr>
          <w:rFonts w:asciiTheme="minorHAnsi" w:hAnsiTheme="minorHAnsi"/>
          <w:sz w:val="24"/>
          <w:szCs w:val="24"/>
        </w:rPr>
        <w:t>Raffournier</w:t>
      </w:r>
      <w:proofErr w:type="spellEnd"/>
      <w:r w:rsidRPr="004B77CC">
        <w:rPr>
          <w:rFonts w:asciiTheme="minorHAnsi" w:hAnsiTheme="minorHAnsi"/>
          <w:sz w:val="24"/>
          <w:szCs w:val="24"/>
        </w:rPr>
        <w:t xml:space="preserve"> (</w:t>
      </w:r>
      <w:proofErr w:type="spellStart"/>
      <w:proofErr w:type="gramStart"/>
      <w:r w:rsidRPr="004B77CC">
        <w:rPr>
          <w:rFonts w:asciiTheme="minorHAnsi" w:hAnsiTheme="minorHAnsi"/>
          <w:sz w:val="24"/>
          <w:szCs w:val="24"/>
        </w:rPr>
        <w:t>eds</w:t>
      </w:r>
      <w:proofErr w:type="spellEnd"/>
      <w:proofErr w:type="gramEnd"/>
      <w:r w:rsidRPr="004B77CC">
        <w:rPr>
          <w:rFonts w:asciiTheme="minorHAnsi" w:hAnsiTheme="minorHAnsi"/>
          <w:sz w:val="24"/>
          <w:szCs w:val="24"/>
        </w:rPr>
        <w:t xml:space="preserve">) </w:t>
      </w:r>
      <w:r w:rsidR="00562AD6">
        <w:rPr>
          <w:rFonts w:asciiTheme="minorHAnsi" w:hAnsiTheme="minorHAnsi"/>
          <w:i/>
          <w:sz w:val="24"/>
          <w:szCs w:val="24"/>
        </w:rPr>
        <w:t>International a</w:t>
      </w:r>
      <w:r w:rsidRPr="004B77CC">
        <w:rPr>
          <w:rFonts w:asciiTheme="minorHAnsi" w:hAnsiTheme="minorHAnsi"/>
          <w:i/>
          <w:sz w:val="24"/>
          <w:szCs w:val="24"/>
        </w:rPr>
        <w:t>ccounting</w:t>
      </w:r>
      <w:r w:rsidRPr="004B77CC">
        <w:rPr>
          <w:rFonts w:asciiTheme="minorHAnsi" w:hAnsiTheme="minorHAnsi"/>
          <w:sz w:val="24"/>
          <w:szCs w:val="24"/>
        </w:rPr>
        <w:t>. London: Thomson.</w:t>
      </w:r>
    </w:p>
    <w:p w14:paraId="34E2E044" w14:textId="77777777" w:rsidR="007B0409" w:rsidRPr="004B77CC" w:rsidRDefault="007B0409" w:rsidP="004B77CC">
      <w:pPr>
        <w:keepLines/>
        <w:spacing w:after="0"/>
        <w:ind w:left="360" w:hanging="360"/>
        <w:rPr>
          <w:szCs w:val="24"/>
        </w:rPr>
      </w:pPr>
      <w:proofErr w:type="spellStart"/>
      <w:r w:rsidRPr="004B77CC">
        <w:rPr>
          <w:szCs w:val="24"/>
        </w:rPr>
        <w:t>Sellhorn</w:t>
      </w:r>
      <w:proofErr w:type="spellEnd"/>
      <w:r w:rsidRPr="004B77CC">
        <w:rPr>
          <w:szCs w:val="24"/>
        </w:rPr>
        <w:t xml:space="preserve">, T. and </w:t>
      </w:r>
      <w:proofErr w:type="spellStart"/>
      <w:r w:rsidRPr="004B77CC">
        <w:rPr>
          <w:szCs w:val="24"/>
        </w:rPr>
        <w:t>Gornik-Tomaszewski</w:t>
      </w:r>
      <w:proofErr w:type="spellEnd"/>
      <w:r w:rsidRPr="004B77CC">
        <w:rPr>
          <w:szCs w:val="24"/>
        </w:rPr>
        <w:t xml:space="preserve">, S. (2006). Implications of the ‘IAS Regulation’ for research into the international differences in accounting systems. </w:t>
      </w:r>
      <w:r w:rsidRPr="004B77CC">
        <w:rPr>
          <w:i/>
          <w:szCs w:val="24"/>
        </w:rPr>
        <w:t>Accounting in Europe</w:t>
      </w:r>
      <w:r w:rsidRPr="004B77CC">
        <w:rPr>
          <w:szCs w:val="24"/>
        </w:rPr>
        <w:t>, 3(1),</w:t>
      </w:r>
      <w:r w:rsidR="00D71982" w:rsidRPr="004B77CC">
        <w:rPr>
          <w:szCs w:val="24"/>
        </w:rPr>
        <w:t xml:space="preserve"> 187-217</w:t>
      </w:r>
      <w:r w:rsidRPr="004B77CC">
        <w:rPr>
          <w:szCs w:val="24"/>
        </w:rPr>
        <w:t>.</w:t>
      </w:r>
    </w:p>
    <w:p w14:paraId="7EC27075" w14:textId="77777777" w:rsidR="003F317F" w:rsidRPr="004B77CC" w:rsidRDefault="003F317F" w:rsidP="004B77CC">
      <w:pPr>
        <w:keepLines/>
        <w:spacing w:after="0"/>
        <w:ind w:left="360" w:hanging="360"/>
        <w:rPr>
          <w:szCs w:val="24"/>
        </w:rPr>
      </w:pPr>
      <w:proofErr w:type="spellStart"/>
      <w:r w:rsidRPr="004B77CC">
        <w:rPr>
          <w:szCs w:val="24"/>
        </w:rPr>
        <w:t>Shima</w:t>
      </w:r>
      <w:proofErr w:type="spellEnd"/>
      <w:r w:rsidRPr="004B77CC">
        <w:rPr>
          <w:szCs w:val="24"/>
        </w:rPr>
        <w:t>,</w:t>
      </w:r>
      <w:r w:rsidR="00DD36EF" w:rsidRPr="004B77CC">
        <w:rPr>
          <w:szCs w:val="24"/>
        </w:rPr>
        <w:t xml:space="preserve"> K.M. and Gordon, E.A. (2011). </w:t>
      </w:r>
      <w:r w:rsidRPr="004B77CC">
        <w:rPr>
          <w:szCs w:val="24"/>
        </w:rPr>
        <w:t xml:space="preserve">IFRS </w:t>
      </w:r>
      <w:r w:rsidR="00DD36EF" w:rsidRPr="004B77CC">
        <w:rPr>
          <w:szCs w:val="24"/>
        </w:rPr>
        <w:t>and the regulatory environment:</w:t>
      </w:r>
      <w:r w:rsidRPr="004B77CC">
        <w:rPr>
          <w:szCs w:val="24"/>
        </w:rPr>
        <w:t xml:space="preserve"> the case of U.</w:t>
      </w:r>
      <w:r w:rsidR="00387C41" w:rsidRPr="004B77CC">
        <w:rPr>
          <w:szCs w:val="24"/>
        </w:rPr>
        <w:t xml:space="preserve">S. investor allocation choice. </w:t>
      </w:r>
      <w:r w:rsidRPr="004B77CC">
        <w:rPr>
          <w:i/>
          <w:szCs w:val="24"/>
        </w:rPr>
        <w:t>Journal of Accounting and Public Policy</w:t>
      </w:r>
      <w:r w:rsidRPr="004B77CC">
        <w:rPr>
          <w:szCs w:val="24"/>
        </w:rPr>
        <w:t>, 30(5), 481-500.</w:t>
      </w:r>
    </w:p>
    <w:p w14:paraId="04613DF5" w14:textId="77777777" w:rsidR="00970822" w:rsidRPr="004B77CC" w:rsidRDefault="00970822" w:rsidP="004B77CC">
      <w:pPr>
        <w:pStyle w:val="ReferencesFurtherreading"/>
        <w:rPr>
          <w:rFonts w:asciiTheme="minorHAnsi" w:hAnsiTheme="minorHAnsi"/>
          <w:sz w:val="24"/>
          <w:szCs w:val="24"/>
        </w:rPr>
      </w:pPr>
      <w:proofErr w:type="spellStart"/>
      <w:r w:rsidRPr="004B77CC">
        <w:rPr>
          <w:rFonts w:asciiTheme="minorHAnsi" w:hAnsiTheme="minorHAnsi"/>
          <w:sz w:val="24"/>
          <w:szCs w:val="24"/>
        </w:rPr>
        <w:t>Shoenthal</w:t>
      </w:r>
      <w:proofErr w:type="spellEnd"/>
      <w:r w:rsidRPr="004B77CC">
        <w:rPr>
          <w:rFonts w:asciiTheme="minorHAnsi" w:hAnsiTheme="minorHAnsi"/>
          <w:sz w:val="24"/>
          <w:szCs w:val="24"/>
        </w:rPr>
        <w:t>, E. (1989)</w:t>
      </w:r>
      <w:r w:rsidR="00201B86"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Classiﬁcation of accounting syst</w:t>
      </w:r>
      <w:r w:rsidR="00201B86" w:rsidRPr="004B77CC">
        <w:rPr>
          <w:rFonts w:asciiTheme="minorHAnsi" w:hAnsiTheme="minorHAnsi"/>
          <w:sz w:val="24"/>
          <w:szCs w:val="24"/>
        </w:rPr>
        <w:t>ems using competencies as a dis</w:t>
      </w:r>
      <w:r w:rsidRPr="004B77CC">
        <w:rPr>
          <w:rFonts w:asciiTheme="minorHAnsi" w:hAnsiTheme="minorHAnsi"/>
          <w:sz w:val="24"/>
          <w:szCs w:val="24"/>
        </w:rPr>
        <w:t xml:space="preserve">criminatory variable: </w:t>
      </w:r>
      <w:r w:rsidR="00201B86" w:rsidRPr="004B77CC">
        <w:rPr>
          <w:rFonts w:asciiTheme="minorHAnsi" w:hAnsiTheme="minorHAnsi"/>
          <w:sz w:val="24"/>
          <w:szCs w:val="24"/>
        </w:rPr>
        <w:t xml:space="preserve"> </w:t>
      </w:r>
      <w:r w:rsidRPr="004B77CC">
        <w:rPr>
          <w:rFonts w:asciiTheme="minorHAnsi" w:hAnsiTheme="minorHAnsi"/>
          <w:sz w:val="24"/>
          <w:szCs w:val="24"/>
        </w:rPr>
        <w:t>A Gre</w:t>
      </w:r>
      <w:r w:rsidR="00394E8F" w:rsidRPr="004B77CC">
        <w:rPr>
          <w:rFonts w:asciiTheme="minorHAnsi" w:hAnsiTheme="minorHAnsi"/>
          <w:sz w:val="24"/>
          <w:szCs w:val="24"/>
        </w:rPr>
        <w:t>at Britain–United States study</w:t>
      </w:r>
      <w:r w:rsidR="00201B86"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Journal of Business Finance and Accounting</w:t>
      </w:r>
      <w:r w:rsidRPr="004B77CC">
        <w:rPr>
          <w:rFonts w:asciiTheme="minorHAnsi" w:hAnsiTheme="minorHAnsi"/>
          <w:sz w:val="24"/>
          <w:szCs w:val="24"/>
        </w:rPr>
        <w:t xml:space="preserve">, </w:t>
      </w:r>
      <w:r w:rsidR="00201B86" w:rsidRPr="004B77CC">
        <w:rPr>
          <w:rFonts w:asciiTheme="minorHAnsi" w:hAnsiTheme="minorHAnsi"/>
          <w:sz w:val="24"/>
          <w:szCs w:val="24"/>
        </w:rPr>
        <w:t>16(</w:t>
      </w:r>
      <w:r w:rsidRPr="004B77CC">
        <w:rPr>
          <w:rFonts w:asciiTheme="minorHAnsi" w:hAnsiTheme="minorHAnsi"/>
          <w:sz w:val="24"/>
          <w:szCs w:val="24"/>
        </w:rPr>
        <w:t>4</w:t>
      </w:r>
      <w:r w:rsidR="00201B86" w:rsidRPr="004B77CC">
        <w:rPr>
          <w:rFonts w:asciiTheme="minorHAnsi" w:hAnsiTheme="minorHAnsi"/>
          <w:sz w:val="24"/>
          <w:szCs w:val="24"/>
        </w:rPr>
        <w:t xml:space="preserve">), </w:t>
      </w:r>
      <w:r w:rsidRPr="004B77CC">
        <w:rPr>
          <w:rFonts w:asciiTheme="minorHAnsi" w:hAnsiTheme="minorHAnsi"/>
          <w:sz w:val="24"/>
          <w:szCs w:val="24"/>
        </w:rPr>
        <w:t>549-63.</w:t>
      </w:r>
    </w:p>
    <w:p w14:paraId="21928073" w14:textId="77777777" w:rsidR="00BB3C4E" w:rsidRPr="004B77CC" w:rsidRDefault="00970822" w:rsidP="004B77CC">
      <w:pPr>
        <w:pStyle w:val="ReferencesFurtherreading"/>
        <w:rPr>
          <w:rFonts w:asciiTheme="minorHAnsi" w:hAnsiTheme="minorHAnsi"/>
          <w:sz w:val="24"/>
          <w:szCs w:val="24"/>
        </w:rPr>
      </w:pPr>
      <w:proofErr w:type="spellStart"/>
      <w:r w:rsidRPr="004B77CC">
        <w:rPr>
          <w:rFonts w:asciiTheme="minorHAnsi" w:hAnsiTheme="minorHAnsi"/>
          <w:sz w:val="24"/>
          <w:szCs w:val="24"/>
        </w:rPr>
        <w:t>Shoenthal</w:t>
      </w:r>
      <w:proofErr w:type="spellEnd"/>
      <w:r w:rsidRPr="004B77CC">
        <w:rPr>
          <w:rFonts w:asciiTheme="minorHAnsi" w:hAnsiTheme="minorHAnsi"/>
          <w:sz w:val="24"/>
          <w:szCs w:val="24"/>
        </w:rPr>
        <w:t>, E. (1992)</w:t>
      </w:r>
      <w:r w:rsidR="00201B86" w:rsidRPr="004B77CC">
        <w:rPr>
          <w:rFonts w:asciiTheme="minorHAnsi" w:hAnsiTheme="minorHAnsi"/>
          <w:sz w:val="24"/>
          <w:szCs w:val="24"/>
        </w:rPr>
        <w:t>.</w:t>
      </w:r>
      <w:r w:rsidR="00394E8F" w:rsidRPr="004B77CC">
        <w:rPr>
          <w:rFonts w:asciiTheme="minorHAnsi" w:hAnsiTheme="minorHAnsi"/>
          <w:sz w:val="24"/>
          <w:szCs w:val="24"/>
        </w:rPr>
        <w:t xml:space="preserve"> </w:t>
      </w:r>
      <w:r w:rsidRPr="004B77CC">
        <w:rPr>
          <w:rFonts w:asciiTheme="minorHAnsi" w:hAnsiTheme="minorHAnsi"/>
          <w:sz w:val="24"/>
          <w:szCs w:val="24"/>
        </w:rPr>
        <w:t xml:space="preserve">Classiﬁcation by competencies: </w:t>
      </w:r>
      <w:r w:rsidR="00394E8F" w:rsidRPr="004B77CC">
        <w:rPr>
          <w:rFonts w:asciiTheme="minorHAnsi" w:hAnsiTheme="minorHAnsi"/>
          <w:sz w:val="24"/>
          <w:szCs w:val="24"/>
        </w:rPr>
        <w:t>a reply</w:t>
      </w:r>
      <w:r w:rsidR="00201B86" w:rsidRPr="004B77CC">
        <w:rPr>
          <w:rFonts w:asciiTheme="minorHAnsi" w:hAnsiTheme="minorHAnsi"/>
          <w:sz w:val="24"/>
          <w:szCs w:val="24"/>
        </w:rPr>
        <w:t>.</w:t>
      </w:r>
      <w:r w:rsidRPr="004B77CC">
        <w:rPr>
          <w:rFonts w:asciiTheme="minorHAnsi" w:hAnsiTheme="minorHAnsi"/>
          <w:sz w:val="24"/>
          <w:szCs w:val="24"/>
        </w:rPr>
        <w:t xml:space="preserve"> </w:t>
      </w:r>
      <w:r w:rsidRPr="004B77CC">
        <w:rPr>
          <w:rFonts w:asciiTheme="minorHAnsi" w:hAnsiTheme="minorHAnsi"/>
          <w:i/>
          <w:sz w:val="24"/>
          <w:szCs w:val="24"/>
        </w:rPr>
        <w:t>Journal of Business Finance and Accounting</w:t>
      </w:r>
      <w:r w:rsidR="00201B86" w:rsidRPr="004B77CC">
        <w:rPr>
          <w:rFonts w:asciiTheme="minorHAnsi" w:hAnsiTheme="minorHAnsi"/>
          <w:sz w:val="24"/>
          <w:szCs w:val="24"/>
        </w:rPr>
        <w:t xml:space="preserve">, </w:t>
      </w:r>
      <w:r w:rsidRPr="004B77CC">
        <w:rPr>
          <w:rFonts w:asciiTheme="minorHAnsi" w:hAnsiTheme="minorHAnsi"/>
          <w:sz w:val="24"/>
          <w:szCs w:val="24"/>
        </w:rPr>
        <w:t>19</w:t>
      </w:r>
      <w:r w:rsidR="00201B86" w:rsidRPr="004B77CC">
        <w:rPr>
          <w:rFonts w:asciiTheme="minorHAnsi" w:hAnsiTheme="minorHAnsi"/>
          <w:sz w:val="24"/>
          <w:szCs w:val="24"/>
        </w:rPr>
        <w:t>(</w:t>
      </w:r>
      <w:r w:rsidRPr="004B77CC">
        <w:rPr>
          <w:rFonts w:asciiTheme="minorHAnsi" w:hAnsiTheme="minorHAnsi"/>
          <w:sz w:val="24"/>
          <w:szCs w:val="24"/>
        </w:rPr>
        <w:t>1</w:t>
      </w:r>
      <w:r w:rsidR="00201B86" w:rsidRPr="004B77CC">
        <w:rPr>
          <w:rFonts w:asciiTheme="minorHAnsi" w:hAnsiTheme="minorHAnsi"/>
          <w:sz w:val="24"/>
          <w:szCs w:val="24"/>
        </w:rPr>
        <w:t xml:space="preserve">), </w:t>
      </w:r>
      <w:r w:rsidRPr="004B77CC">
        <w:rPr>
          <w:rFonts w:asciiTheme="minorHAnsi" w:hAnsiTheme="minorHAnsi"/>
          <w:sz w:val="24"/>
          <w:szCs w:val="24"/>
        </w:rPr>
        <w:t>157-60.</w:t>
      </w:r>
    </w:p>
    <w:p w14:paraId="0C568835" w14:textId="77777777" w:rsidR="003F12EE" w:rsidRDefault="003F12EE" w:rsidP="004B77CC">
      <w:pPr>
        <w:autoSpaceDE w:val="0"/>
        <w:autoSpaceDN w:val="0"/>
        <w:adjustRightInd w:val="0"/>
        <w:spacing w:after="0"/>
        <w:ind w:left="360" w:hanging="360"/>
        <w:rPr>
          <w:rFonts w:cs="AdvTimes"/>
          <w:szCs w:val="24"/>
        </w:rPr>
      </w:pPr>
      <w:proofErr w:type="spellStart"/>
      <w:r w:rsidRPr="004B77CC">
        <w:rPr>
          <w:rFonts w:cs="AdvTimes"/>
          <w:szCs w:val="24"/>
        </w:rPr>
        <w:t>Soderstrom</w:t>
      </w:r>
      <w:proofErr w:type="spellEnd"/>
      <w:r w:rsidRPr="004B77CC">
        <w:rPr>
          <w:rFonts w:cs="AdvTimes"/>
          <w:szCs w:val="24"/>
        </w:rPr>
        <w:t>, N., and K. Sun (2007). IFRS adoption and accounting quality: a review.</w:t>
      </w:r>
      <w:r w:rsidR="004B77CC">
        <w:rPr>
          <w:rFonts w:cs="AdvTimes"/>
          <w:szCs w:val="24"/>
        </w:rPr>
        <w:t xml:space="preserve"> </w:t>
      </w:r>
      <w:r w:rsidRPr="004B77CC">
        <w:rPr>
          <w:rFonts w:cs="AdvTimes-i"/>
          <w:i/>
          <w:szCs w:val="24"/>
        </w:rPr>
        <w:t>European Accounting Review</w:t>
      </w:r>
      <w:r w:rsidRPr="004B77CC">
        <w:rPr>
          <w:rFonts w:cs="AdvTimes-i"/>
          <w:szCs w:val="24"/>
        </w:rPr>
        <w:t xml:space="preserve">, </w:t>
      </w:r>
      <w:r w:rsidRPr="004B77CC">
        <w:rPr>
          <w:rFonts w:cs="AdvTimes"/>
          <w:szCs w:val="24"/>
        </w:rPr>
        <w:t>16 (4), 675–702.</w:t>
      </w:r>
    </w:p>
    <w:p w14:paraId="6EB41738" w14:textId="77777777" w:rsidR="0015736A" w:rsidRDefault="0015736A" w:rsidP="0015736A">
      <w:pPr>
        <w:autoSpaceDE w:val="0"/>
        <w:autoSpaceDN w:val="0"/>
        <w:adjustRightInd w:val="0"/>
        <w:spacing w:after="0" w:line="240" w:lineRule="auto"/>
        <w:rPr>
          <w:rFonts w:cs="TimesTen-Italic"/>
          <w:i/>
          <w:iCs/>
          <w:szCs w:val="24"/>
        </w:rPr>
      </w:pPr>
      <w:proofErr w:type="spellStart"/>
      <w:r w:rsidRPr="0015736A">
        <w:rPr>
          <w:rFonts w:cs="TimesTen-Roman"/>
          <w:szCs w:val="24"/>
        </w:rPr>
        <w:t>Spamann</w:t>
      </w:r>
      <w:proofErr w:type="spellEnd"/>
      <w:r w:rsidRPr="0015736A">
        <w:rPr>
          <w:rFonts w:cs="TimesTen-Roman"/>
          <w:szCs w:val="24"/>
        </w:rPr>
        <w:t>, H.</w:t>
      </w:r>
      <w:r>
        <w:rPr>
          <w:rFonts w:cs="TimesTen-Roman"/>
          <w:szCs w:val="24"/>
        </w:rPr>
        <w:t xml:space="preserve"> (2010). </w:t>
      </w:r>
      <w:r w:rsidRPr="0015736A">
        <w:rPr>
          <w:rFonts w:cs="TimesTen-Roman"/>
          <w:szCs w:val="24"/>
        </w:rPr>
        <w:t>The “</w:t>
      </w:r>
      <w:proofErr w:type="spellStart"/>
      <w:r>
        <w:rPr>
          <w:rFonts w:cs="TimesTen-Roman"/>
          <w:szCs w:val="24"/>
        </w:rPr>
        <w:t>antidirector</w:t>
      </w:r>
      <w:proofErr w:type="spellEnd"/>
      <w:r>
        <w:rPr>
          <w:rFonts w:cs="TimesTen-Roman"/>
          <w:szCs w:val="24"/>
        </w:rPr>
        <w:t xml:space="preserve"> rights i</w:t>
      </w:r>
      <w:r w:rsidRPr="0015736A">
        <w:rPr>
          <w:rFonts w:cs="TimesTen-Roman"/>
          <w:szCs w:val="24"/>
        </w:rPr>
        <w:t>ndex”</w:t>
      </w:r>
      <w:r>
        <w:rPr>
          <w:rFonts w:cs="TimesTen-Roman"/>
          <w:szCs w:val="24"/>
        </w:rPr>
        <w:t xml:space="preserve"> r</w:t>
      </w:r>
      <w:r w:rsidRPr="0015736A">
        <w:rPr>
          <w:rFonts w:cs="TimesTen-Roman"/>
          <w:szCs w:val="24"/>
        </w:rPr>
        <w:t>evisited</w:t>
      </w:r>
      <w:r>
        <w:rPr>
          <w:rFonts w:cs="TimesTen-Roman"/>
          <w:szCs w:val="24"/>
        </w:rPr>
        <w:t>.</w:t>
      </w:r>
      <w:r w:rsidRPr="0015736A">
        <w:rPr>
          <w:rFonts w:cs="TimesTen-Roman"/>
          <w:szCs w:val="24"/>
        </w:rPr>
        <w:t xml:space="preserve"> </w:t>
      </w:r>
      <w:r w:rsidRPr="0015736A">
        <w:rPr>
          <w:rFonts w:cs="TimesTen-Italic"/>
          <w:i/>
          <w:iCs/>
          <w:szCs w:val="24"/>
        </w:rPr>
        <w:t xml:space="preserve">Review of Financial </w:t>
      </w:r>
    </w:p>
    <w:p w14:paraId="0DEBA181" w14:textId="77777777" w:rsidR="0015736A" w:rsidRDefault="0015736A" w:rsidP="0015736A">
      <w:pPr>
        <w:autoSpaceDE w:val="0"/>
        <w:autoSpaceDN w:val="0"/>
        <w:adjustRightInd w:val="0"/>
        <w:spacing w:after="0" w:line="240" w:lineRule="auto"/>
        <w:rPr>
          <w:rFonts w:cs="TimesTen-Italic"/>
          <w:i/>
          <w:iCs/>
          <w:szCs w:val="24"/>
        </w:rPr>
      </w:pPr>
    </w:p>
    <w:p w14:paraId="239F838B" w14:textId="77777777" w:rsidR="0015736A" w:rsidRDefault="0015736A" w:rsidP="0015736A">
      <w:pPr>
        <w:autoSpaceDE w:val="0"/>
        <w:autoSpaceDN w:val="0"/>
        <w:adjustRightInd w:val="0"/>
        <w:spacing w:after="0" w:line="240" w:lineRule="auto"/>
        <w:ind w:firstLine="397"/>
        <w:rPr>
          <w:rFonts w:cs="TimesTen-Roman"/>
          <w:szCs w:val="24"/>
        </w:rPr>
      </w:pPr>
      <w:r w:rsidRPr="0015736A">
        <w:rPr>
          <w:rFonts w:cs="TimesTen-Italic"/>
          <w:i/>
          <w:iCs/>
          <w:szCs w:val="24"/>
        </w:rPr>
        <w:t>Studies</w:t>
      </w:r>
      <w:r>
        <w:rPr>
          <w:rFonts w:cs="TimesTen-Roman"/>
          <w:szCs w:val="24"/>
        </w:rPr>
        <w:t>, 23(2), 467-486</w:t>
      </w:r>
      <w:r w:rsidRPr="0015736A">
        <w:rPr>
          <w:rFonts w:cs="TimesTen-Roman"/>
          <w:szCs w:val="24"/>
        </w:rPr>
        <w:t>.</w:t>
      </w:r>
    </w:p>
    <w:p w14:paraId="39862F62" w14:textId="77777777" w:rsidR="0015736A" w:rsidRPr="0015736A" w:rsidRDefault="0015736A" w:rsidP="0015736A">
      <w:pPr>
        <w:autoSpaceDE w:val="0"/>
        <w:autoSpaceDN w:val="0"/>
        <w:adjustRightInd w:val="0"/>
        <w:spacing w:after="0" w:line="240" w:lineRule="auto"/>
        <w:rPr>
          <w:rFonts w:cs="TimesTen-Roman"/>
          <w:szCs w:val="24"/>
        </w:rPr>
      </w:pPr>
    </w:p>
    <w:p w14:paraId="6BD48BCE" w14:textId="77777777" w:rsidR="000854DA" w:rsidRPr="004B77CC" w:rsidRDefault="000854DA" w:rsidP="004B77CC">
      <w:pPr>
        <w:pStyle w:val="ReferencesFurtherreading"/>
        <w:rPr>
          <w:rFonts w:asciiTheme="minorHAnsi" w:hAnsiTheme="minorHAnsi"/>
          <w:sz w:val="24"/>
          <w:szCs w:val="24"/>
        </w:rPr>
      </w:pPr>
      <w:proofErr w:type="spellStart"/>
      <w:r w:rsidRPr="004B77CC">
        <w:rPr>
          <w:rFonts w:asciiTheme="minorHAnsi" w:hAnsiTheme="minorHAnsi"/>
          <w:sz w:val="24"/>
          <w:szCs w:val="24"/>
        </w:rPr>
        <w:lastRenderedPageBreak/>
        <w:t>Stearn</w:t>
      </w:r>
      <w:proofErr w:type="spellEnd"/>
      <w:r w:rsidRPr="004B77CC">
        <w:rPr>
          <w:rFonts w:asciiTheme="minorHAnsi" w:hAnsiTheme="minorHAnsi"/>
          <w:sz w:val="24"/>
          <w:szCs w:val="24"/>
        </w:rPr>
        <w:t xml:space="preserve">, W. T. </w:t>
      </w:r>
      <w:r w:rsidRPr="004B77CC">
        <w:rPr>
          <w:rFonts w:asciiTheme="minorHAnsi" w:eastAsiaTheme="minorHAnsi" w:hAnsiTheme="minorHAnsi" w:cstheme="minorBidi"/>
          <w:iCs/>
          <w:sz w:val="24"/>
          <w:szCs w:val="24"/>
        </w:rPr>
        <w:t>(1959)</w:t>
      </w:r>
      <w:r w:rsidRPr="004B77CC">
        <w:rPr>
          <w:rFonts w:asciiTheme="minorHAnsi" w:eastAsiaTheme="minorHAnsi" w:hAnsiTheme="minorHAnsi" w:cstheme="minorBidi"/>
          <w:i/>
          <w:iCs/>
          <w:sz w:val="24"/>
          <w:szCs w:val="24"/>
        </w:rPr>
        <w:t xml:space="preserve">. </w:t>
      </w:r>
      <w:r w:rsidRPr="004B77CC">
        <w:rPr>
          <w:rFonts w:asciiTheme="minorHAnsi" w:eastAsiaTheme="minorHAnsi" w:hAnsiTheme="minorHAnsi" w:cstheme="minorBidi"/>
          <w:iCs/>
          <w:sz w:val="24"/>
          <w:szCs w:val="24"/>
        </w:rPr>
        <w:t>The background of Linnaeus' contributions to the nomenclature and methods of systematic biology</w:t>
      </w:r>
      <w:r w:rsidRPr="004B77CC">
        <w:rPr>
          <w:rFonts w:asciiTheme="minorHAnsi" w:eastAsiaTheme="minorHAnsi" w:hAnsiTheme="minorHAnsi" w:cstheme="minorBidi"/>
          <w:i/>
          <w:iCs/>
          <w:sz w:val="24"/>
          <w:szCs w:val="24"/>
        </w:rPr>
        <w:t xml:space="preserve">. Systematic Zoology, </w:t>
      </w:r>
      <w:r w:rsidRPr="004B77CC">
        <w:rPr>
          <w:rFonts w:asciiTheme="minorHAnsi" w:eastAsiaTheme="minorHAnsi" w:hAnsiTheme="minorHAnsi" w:cstheme="minorBidi"/>
          <w:iCs/>
          <w:sz w:val="24"/>
          <w:szCs w:val="24"/>
        </w:rPr>
        <w:t>8(1), 4–22</w:t>
      </w:r>
      <w:r w:rsidRPr="004B77CC">
        <w:rPr>
          <w:rFonts w:asciiTheme="minorHAnsi" w:eastAsiaTheme="minorHAnsi" w:hAnsiTheme="minorHAnsi" w:cstheme="minorBidi"/>
          <w:i/>
          <w:iCs/>
          <w:sz w:val="24"/>
          <w:szCs w:val="24"/>
        </w:rPr>
        <w:t>.</w:t>
      </w:r>
    </w:p>
    <w:p w14:paraId="5404496F" w14:textId="77777777" w:rsidR="00B46A54" w:rsidRDefault="00B46A54" w:rsidP="00B46A54">
      <w:pPr>
        <w:keepLines/>
        <w:ind w:left="360" w:hanging="360"/>
      </w:pPr>
      <w:proofErr w:type="spellStart"/>
      <w:r>
        <w:t>Tarca</w:t>
      </w:r>
      <w:proofErr w:type="spellEnd"/>
      <w:r>
        <w:t xml:space="preserve">, A., Morris, R. D. and Moy, M. (2013). </w:t>
      </w:r>
      <w:r w:rsidR="0079044D">
        <w:t xml:space="preserve"> </w:t>
      </w:r>
      <w:r>
        <w:t xml:space="preserve">An investigation of the relationship between use of international accounting standards and source of company finance in Germany. </w:t>
      </w:r>
      <w:r w:rsidRPr="00E37738">
        <w:rPr>
          <w:i/>
        </w:rPr>
        <w:t>Abacus</w:t>
      </w:r>
      <w:r w:rsidRPr="00D05A11">
        <w:t xml:space="preserve">, </w:t>
      </w:r>
      <w:r>
        <w:t>49(1), 74-98.</w:t>
      </w:r>
    </w:p>
    <w:p w14:paraId="4381FADF" w14:textId="77777777" w:rsidR="003F317F" w:rsidRDefault="00EB4499" w:rsidP="004B77CC">
      <w:pPr>
        <w:spacing w:after="0"/>
        <w:ind w:left="360" w:hanging="360"/>
        <w:rPr>
          <w:rFonts w:eastAsia="SimSun"/>
          <w:szCs w:val="24"/>
          <w:lang w:eastAsia="zh-CN"/>
        </w:rPr>
      </w:pPr>
      <w:proofErr w:type="spellStart"/>
      <w:r w:rsidRPr="004B77CC">
        <w:rPr>
          <w:rFonts w:eastAsia="SimSun"/>
          <w:szCs w:val="24"/>
          <w:lang w:eastAsia="zh-CN"/>
        </w:rPr>
        <w:t>Zeff</w:t>
      </w:r>
      <w:proofErr w:type="spellEnd"/>
      <w:r w:rsidRPr="004B77CC">
        <w:rPr>
          <w:rFonts w:eastAsia="SimSun"/>
          <w:szCs w:val="24"/>
          <w:lang w:eastAsia="zh-CN"/>
        </w:rPr>
        <w:t xml:space="preserve">, S. A. (2016). </w:t>
      </w:r>
      <w:r w:rsidR="00A10AE6" w:rsidRPr="004B77CC">
        <w:rPr>
          <w:rFonts w:eastAsia="SimSun"/>
          <w:szCs w:val="24"/>
          <w:lang w:eastAsia="zh-CN"/>
        </w:rPr>
        <w:t>“I</w:t>
      </w:r>
      <w:r w:rsidR="00937ED6" w:rsidRPr="004B77CC">
        <w:rPr>
          <w:rFonts w:eastAsia="SimSun"/>
          <w:szCs w:val="24"/>
          <w:lang w:eastAsia="zh-CN"/>
        </w:rPr>
        <w:t xml:space="preserve">n the literature” but wrong: Switzerland and the adoption of IFRS. </w:t>
      </w:r>
      <w:r w:rsidRPr="004B77CC">
        <w:rPr>
          <w:i/>
          <w:szCs w:val="24"/>
        </w:rPr>
        <w:t>Journal of Accounting and Public Policy</w:t>
      </w:r>
      <w:r w:rsidR="000160D5">
        <w:rPr>
          <w:i/>
          <w:szCs w:val="24"/>
        </w:rPr>
        <w:t xml:space="preserve">, </w:t>
      </w:r>
      <w:r w:rsidR="000160D5" w:rsidRPr="000160D5">
        <w:rPr>
          <w:szCs w:val="24"/>
        </w:rPr>
        <w:t>35(1), 1-2</w:t>
      </w:r>
      <w:r w:rsidR="00937ED6" w:rsidRPr="000160D5">
        <w:rPr>
          <w:szCs w:val="24"/>
        </w:rPr>
        <w:t>.</w:t>
      </w:r>
      <w:r w:rsidR="003F317F">
        <w:rPr>
          <w:rFonts w:eastAsia="SimSun"/>
          <w:szCs w:val="24"/>
          <w:lang w:eastAsia="zh-CN"/>
        </w:rPr>
        <w:br w:type="page"/>
      </w:r>
    </w:p>
    <w:p w14:paraId="6C8204CA" w14:textId="77777777" w:rsidR="003F317F" w:rsidRDefault="003F317F" w:rsidP="003F317F">
      <w:pPr>
        <w:spacing w:after="60" w:line="240" w:lineRule="auto"/>
        <w:rPr>
          <w:b/>
        </w:rPr>
      </w:pPr>
      <w:r>
        <w:rPr>
          <w:b/>
        </w:rPr>
        <w:lastRenderedPageBreak/>
        <w:t>Table 1</w:t>
      </w:r>
    </w:p>
    <w:p w14:paraId="52FEBA09" w14:textId="77777777" w:rsidR="003F317F" w:rsidRDefault="00DD36EF" w:rsidP="003F317F">
      <w:pPr>
        <w:spacing w:line="240" w:lineRule="auto"/>
      </w:pPr>
      <w:r>
        <w:t>Number of l</w:t>
      </w:r>
      <w:r w:rsidR="003F317F">
        <w:t xml:space="preserve">isted companies </w:t>
      </w:r>
      <w:r w:rsidR="00B85DC8">
        <w:t xml:space="preserve">in a country </w:t>
      </w:r>
      <w:r w:rsidR="003F317F">
        <w:t>scaled by millions of population</w:t>
      </w:r>
    </w:p>
    <w:p w14:paraId="1133C077" w14:textId="77777777" w:rsidR="00DD36EF" w:rsidRDefault="00DD36EF" w:rsidP="003F317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60"/>
      </w:tblGrid>
      <w:tr w:rsidR="003F317F" w14:paraId="17C68894" w14:textId="77777777" w:rsidTr="0045697E">
        <w:tc>
          <w:tcPr>
            <w:tcW w:w="2268" w:type="dxa"/>
          </w:tcPr>
          <w:p w14:paraId="096B5CDE" w14:textId="77777777" w:rsidR="003F317F" w:rsidRDefault="0045697E" w:rsidP="0045697E">
            <w:pPr>
              <w:spacing w:line="360" w:lineRule="auto"/>
            </w:pPr>
            <w:r>
              <w:t>Denmark</w:t>
            </w:r>
          </w:p>
        </w:tc>
        <w:tc>
          <w:tcPr>
            <w:tcW w:w="1260" w:type="dxa"/>
          </w:tcPr>
          <w:p w14:paraId="76D656A2" w14:textId="77777777" w:rsidR="003F317F" w:rsidRDefault="0045697E" w:rsidP="0045697E">
            <w:pPr>
              <w:tabs>
                <w:tab w:val="decimal" w:pos="417"/>
              </w:tabs>
              <w:spacing w:line="360" w:lineRule="auto"/>
            </w:pPr>
            <w:r>
              <w:t>47.1</w:t>
            </w:r>
          </w:p>
        </w:tc>
      </w:tr>
      <w:tr w:rsidR="003F317F" w14:paraId="2F1A5230" w14:textId="77777777" w:rsidTr="0045697E">
        <w:tc>
          <w:tcPr>
            <w:tcW w:w="2268" w:type="dxa"/>
          </w:tcPr>
          <w:p w14:paraId="367255D5" w14:textId="77777777" w:rsidR="003F317F" w:rsidRDefault="0045697E" w:rsidP="0045697E">
            <w:pPr>
              <w:spacing w:line="360" w:lineRule="auto"/>
            </w:pPr>
            <w:r>
              <w:t>UK</w:t>
            </w:r>
          </w:p>
        </w:tc>
        <w:tc>
          <w:tcPr>
            <w:tcW w:w="1260" w:type="dxa"/>
          </w:tcPr>
          <w:p w14:paraId="5B538B78" w14:textId="77777777" w:rsidR="0045697E" w:rsidRDefault="0045697E" w:rsidP="0045697E">
            <w:pPr>
              <w:tabs>
                <w:tab w:val="decimal" w:pos="417"/>
              </w:tabs>
              <w:spacing w:line="360" w:lineRule="auto"/>
            </w:pPr>
            <w:r>
              <w:t>29.5</w:t>
            </w:r>
          </w:p>
        </w:tc>
      </w:tr>
      <w:tr w:rsidR="003F317F" w14:paraId="3C3333B0" w14:textId="77777777" w:rsidTr="0045697E">
        <w:tc>
          <w:tcPr>
            <w:tcW w:w="2268" w:type="dxa"/>
          </w:tcPr>
          <w:p w14:paraId="1FCFBBE1" w14:textId="77777777" w:rsidR="003F317F" w:rsidRDefault="0045697E" w:rsidP="0045697E">
            <w:pPr>
              <w:spacing w:line="360" w:lineRule="auto"/>
            </w:pPr>
            <w:r>
              <w:t>France</w:t>
            </w:r>
          </w:p>
        </w:tc>
        <w:tc>
          <w:tcPr>
            <w:tcW w:w="1260" w:type="dxa"/>
          </w:tcPr>
          <w:p w14:paraId="7F67624D" w14:textId="77777777" w:rsidR="003F317F" w:rsidRDefault="0045697E" w:rsidP="0045697E">
            <w:pPr>
              <w:tabs>
                <w:tab w:val="decimal" w:pos="417"/>
              </w:tabs>
              <w:spacing w:line="360" w:lineRule="auto"/>
            </w:pPr>
            <w:r>
              <w:t>7.5</w:t>
            </w:r>
          </w:p>
        </w:tc>
      </w:tr>
      <w:tr w:rsidR="003F317F" w14:paraId="6BC8C63B" w14:textId="77777777" w:rsidTr="0045697E">
        <w:tc>
          <w:tcPr>
            <w:tcW w:w="2268" w:type="dxa"/>
          </w:tcPr>
          <w:p w14:paraId="1352A967" w14:textId="77777777" w:rsidR="003F317F" w:rsidRDefault="0045697E" w:rsidP="0045697E">
            <w:pPr>
              <w:spacing w:line="360" w:lineRule="auto"/>
            </w:pPr>
            <w:r>
              <w:t>Germany</w:t>
            </w:r>
          </w:p>
        </w:tc>
        <w:tc>
          <w:tcPr>
            <w:tcW w:w="1260" w:type="dxa"/>
          </w:tcPr>
          <w:p w14:paraId="65398C50" w14:textId="77777777" w:rsidR="003F317F" w:rsidRDefault="0045697E" w:rsidP="0045697E">
            <w:pPr>
              <w:tabs>
                <w:tab w:val="decimal" w:pos="417"/>
              </w:tabs>
              <w:spacing w:line="360" w:lineRule="auto"/>
            </w:pPr>
            <w:r>
              <w:t>5.1</w:t>
            </w:r>
          </w:p>
        </w:tc>
      </w:tr>
      <w:tr w:rsidR="003F317F" w14:paraId="582B066D" w14:textId="77777777" w:rsidTr="0045697E">
        <w:tc>
          <w:tcPr>
            <w:tcW w:w="2268" w:type="dxa"/>
          </w:tcPr>
          <w:p w14:paraId="1069B83A" w14:textId="77777777" w:rsidR="003F317F" w:rsidRDefault="0045697E" w:rsidP="0045697E">
            <w:pPr>
              <w:spacing w:line="360" w:lineRule="auto"/>
            </w:pPr>
            <w:r>
              <w:t>Italy</w:t>
            </w:r>
          </w:p>
        </w:tc>
        <w:tc>
          <w:tcPr>
            <w:tcW w:w="1260" w:type="dxa"/>
          </w:tcPr>
          <w:p w14:paraId="42CD4709" w14:textId="77777777" w:rsidR="003F317F" w:rsidRDefault="0045697E" w:rsidP="0045697E">
            <w:pPr>
              <w:tabs>
                <w:tab w:val="decimal" w:pos="417"/>
              </w:tabs>
              <w:spacing w:line="360" w:lineRule="auto"/>
            </w:pPr>
            <w:r>
              <w:t>3.8</w:t>
            </w:r>
          </w:p>
        </w:tc>
      </w:tr>
    </w:tbl>
    <w:p w14:paraId="05A25B7E" w14:textId="77777777" w:rsidR="0045697E" w:rsidRDefault="0045697E" w:rsidP="0045697E">
      <w:pPr>
        <w:spacing w:line="240" w:lineRule="auto"/>
      </w:pPr>
    </w:p>
    <w:p w14:paraId="409CA6B9" w14:textId="77777777" w:rsidR="0045697E" w:rsidRPr="003B422A" w:rsidRDefault="0045697E" w:rsidP="0045697E">
      <w:pPr>
        <w:spacing w:line="240" w:lineRule="auto"/>
        <w:rPr>
          <w:sz w:val="22"/>
        </w:rPr>
      </w:pPr>
      <w:r w:rsidRPr="003B422A">
        <w:rPr>
          <w:i/>
          <w:sz w:val="22"/>
        </w:rPr>
        <w:t>Source</w:t>
      </w:r>
      <w:r w:rsidR="00A10AE6" w:rsidRPr="003B422A">
        <w:rPr>
          <w:sz w:val="22"/>
        </w:rPr>
        <w:t xml:space="preserve">: </w:t>
      </w:r>
      <w:proofErr w:type="spellStart"/>
      <w:r w:rsidRPr="003B422A">
        <w:rPr>
          <w:sz w:val="22"/>
        </w:rPr>
        <w:t>Fédération</w:t>
      </w:r>
      <w:proofErr w:type="spellEnd"/>
      <w:r w:rsidRPr="003B422A">
        <w:rPr>
          <w:sz w:val="22"/>
        </w:rPr>
        <w:t xml:space="preserve"> Internationale des Bourses de </w:t>
      </w:r>
      <w:proofErr w:type="spellStart"/>
      <w:r w:rsidRPr="003B422A">
        <w:rPr>
          <w:sz w:val="22"/>
        </w:rPr>
        <w:t>Valeurs</w:t>
      </w:r>
      <w:proofErr w:type="spellEnd"/>
      <w:r w:rsidRPr="003B422A">
        <w:rPr>
          <w:sz w:val="22"/>
        </w:rPr>
        <w:t xml:space="preserve">, </w:t>
      </w:r>
      <w:proofErr w:type="spellStart"/>
      <w:r w:rsidRPr="003B422A">
        <w:rPr>
          <w:i/>
          <w:sz w:val="22"/>
        </w:rPr>
        <w:t>Statistiques</w:t>
      </w:r>
      <w:proofErr w:type="spellEnd"/>
      <w:r w:rsidRPr="003B422A">
        <w:rPr>
          <w:sz w:val="22"/>
        </w:rPr>
        <w:t>, 1990.</w:t>
      </w:r>
    </w:p>
    <w:p w14:paraId="54B4D8A7" w14:textId="77777777" w:rsidR="0045697E" w:rsidRDefault="0045697E">
      <w:r>
        <w:br w:type="page"/>
      </w:r>
    </w:p>
    <w:p w14:paraId="38E86984" w14:textId="77777777" w:rsidR="0045697E" w:rsidRDefault="0045697E" w:rsidP="0045697E">
      <w:pPr>
        <w:spacing w:after="60" w:line="240" w:lineRule="auto"/>
        <w:rPr>
          <w:b/>
        </w:rPr>
      </w:pPr>
      <w:r>
        <w:rPr>
          <w:b/>
        </w:rPr>
        <w:lastRenderedPageBreak/>
        <w:t>Table 2</w:t>
      </w:r>
    </w:p>
    <w:p w14:paraId="4724C78B" w14:textId="77777777" w:rsidR="0045697E" w:rsidRDefault="00DD36EF" w:rsidP="0045697E">
      <w:pPr>
        <w:spacing w:line="240" w:lineRule="auto"/>
      </w:pPr>
      <w:r>
        <w:t>Dates of founding of earliest</w:t>
      </w:r>
      <w:r w:rsidR="0045697E">
        <w:t xml:space="preserve"> private-sector accountancy body</w:t>
      </w:r>
    </w:p>
    <w:p w14:paraId="6907EA1F" w14:textId="77777777" w:rsidR="00DD36EF" w:rsidRDefault="00DD36EF" w:rsidP="0045697E">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60"/>
      </w:tblGrid>
      <w:tr w:rsidR="0045697E" w14:paraId="0A7EB146" w14:textId="77777777" w:rsidTr="005B4813">
        <w:tc>
          <w:tcPr>
            <w:tcW w:w="2268" w:type="dxa"/>
          </w:tcPr>
          <w:p w14:paraId="6FADA42A" w14:textId="77777777" w:rsidR="0045697E" w:rsidRDefault="0045697E" w:rsidP="005B4813">
            <w:pPr>
              <w:spacing w:line="360" w:lineRule="auto"/>
            </w:pPr>
            <w:r>
              <w:t>UK</w:t>
            </w:r>
          </w:p>
        </w:tc>
        <w:tc>
          <w:tcPr>
            <w:tcW w:w="1260" w:type="dxa"/>
          </w:tcPr>
          <w:p w14:paraId="737FD797" w14:textId="77777777" w:rsidR="0045697E" w:rsidRDefault="0045697E" w:rsidP="0045697E">
            <w:pPr>
              <w:tabs>
                <w:tab w:val="right" w:pos="792"/>
              </w:tabs>
              <w:spacing w:line="360" w:lineRule="auto"/>
            </w:pPr>
            <w:r>
              <w:tab/>
              <w:t>1854</w:t>
            </w:r>
          </w:p>
        </w:tc>
      </w:tr>
      <w:tr w:rsidR="0045697E" w14:paraId="5548EC96" w14:textId="77777777" w:rsidTr="005B4813">
        <w:tc>
          <w:tcPr>
            <w:tcW w:w="2268" w:type="dxa"/>
          </w:tcPr>
          <w:p w14:paraId="39636FD2" w14:textId="77777777" w:rsidR="0045697E" w:rsidRDefault="0045697E" w:rsidP="005B4813">
            <w:pPr>
              <w:spacing w:line="360" w:lineRule="auto"/>
            </w:pPr>
            <w:r>
              <w:t>Netherlands</w:t>
            </w:r>
          </w:p>
        </w:tc>
        <w:tc>
          <w:tcPr>
            <w:tcW w:w="1260" w:type="dxa"/>
          </w:tcPr>
          <w:p w14:paraId="36C59744" w14:textId="77777777" w:rsidR="0045697E" w:rsidRDefault="0045697E" w:rsidP="0045697E">
            <w:pPr>
              <w:tabs>
                <w:tab w:val="right" w:pos="792"/>
              </w:tabs>
              <w:spacing w:line="360" w:lineRule="auto"/>
            </w:pPr>
            <w:r>
              <w:tab/>
              <w:t>1894</w:t>
            </w:r>
          </w:p>
        </w:tc>
      </w:tr>
      <w:tr w:rsidR="0045697E" w14:paraId="5F84C260" w14:textId="77777777" w:rsidTr="005B4813">
        <w:tc>
          <w:tcPr>
            <w:tcW w:w="2268" w:type="dxa"/>
          </w:tcPr>
          <w:p w14:paraId="69A90B02" w14:textId="77777777" w:rsidR="0045697E" w:rsidRDefault="0045697E" w:rsidP="005B4813">
            <w:pPr>
              <w:spacing w:line="360" w:lineRule="auto"/>
            </w:pPr>
            <w:r>
              <w:t>Denmark</w:t>
            </w:r>
          </w:p>
        </w:tc>
        <w:tc>
          <w:tcPr>
            <w:tcW w:w="1260" w:type="dxa"/>
          </w:tcPr>
          <w:p w14:paraId="151847BC" w14:textId="77777777" w:rsidR="0045697E" w:rsidRDefault="0045697E" w:rsidP="0045697E">
            <w:pPr>
              <w:tabs>
                <w:tab w:val="right" w:pos="792"/>
              </w:tabs>
              <w:spacing w:line="360" w:lineRule="auto"/>
            </w:pPr>
            <w:r>
              <w:tab/>
              <w:t>1912</w:t>
            </w:r>
          </w:p>
        </w:tc>
      </w:tr>
      <w:tr w:rsidR="0045697E" w14:paraId="7147F157" w14:textId="77777777" w:rsidTr="005B4813">
        <w:tc>
          <w:tcPr>
            <w:tcW w:w="2268" w:type="dxa"/>
          </w:tcPr>
          <w:p w14:paraId="0321B6DE" w14:textId="77777777" w:rsidR="0045697E" w:rsidRDefault="0045697E" w:rsidP="005B4813">
            <w:pPr>
              <w:spacing w:line="360" w:lineRule="auto"/>
            </w:pPr>
            <w:r>
              <w:t>Germany</w:t>
            </w:r>
          </w:p>
        </w:tc>
        <w:tc>
          <w:tcPr>
            <w:tcW w:w="1260" w:type="dxa"/>
          </w:tcPr>
          <w:p w14:paraId="3F711BE5" w14:textId="77777777" w:rsidR="0045697E" w:rsidRDefault="0045697E" w:rsidP="0045697E">
            <w:pPr>
              <w:tabs>
                <w:tab w:val="right" w:pos="792"/>
              </w:tabs>
              <w:spacing w:line="360" w:lineRule="auto"/>
            </w:pPr>
            <w:r>
              <w:tab/>
              <w:t>1932</w:t>
            </w:r>
          </w:p>
        </w:tc>
      </w:tr>
      <w:tr w:rsidR="0045697E" w14:paraId="084FD4A7" w14:textId="77777777" w:rsidTr="005B4813">
        <w:tc>
          <w:tcPr>
            <w:tcW w:w="2268" w:type="dxa"/>
          </w:tcPr>
          <w:p w14:paraId="70027C95" w14:textId="77777777" w:rsidR="0045697E" w:rsidRDefault="0045697E" w:rsidP="005B4813">
            <w:pPr>
              <w:spacing w:line="360" w:lineRule="auto"/>
            </w:pPr>
            <w:r>
              <w:t>France</w:t>
            </w:r>
          </w:p>
          <w:p w14:paraId="2A724236" w14:textId="77777777" w:rsidR="00B67F36" w:rsidRDefault="00B67F36" w:rsidP="005B4813">
            <w:pPr>
              <w:spacing w:line="360" w:lineRule="auto"/>
            </w:pPr>
            <w:r>
              <w:t>Belgium</w:t>
            </w:r>
          </w:p>
          <w:p w14:paraId="7C62E29C" w14:textId="77777777" w:rsidR="003B0CA8" w:rsidRDefault="003B0CA8" w:rsidP="005B4813">
            <w:pPr>
              <w:spacing w:line="360" w:lineRule="auto"/>
            </w:pPr>
            <w:r>
              <w:t>Portugal</w:t>
            </w:r>
          </w:p>
          <w:p w14:paraId="789C886F" w14:textId="77777777" w:rsidR="00B67F36" w:rsidRDefault="00B67F36" w:rsidP="005B4813">
            <w:pPr>
              <w:spacing w:line="360" w:lineRule="auto"/>
            </w:pPr>
          </w:p>
          <w:p w14:paraId="282AFDA4" w14:textId="77777777" w:rsidR="00B67F36" w:rsidRDefault="00B67F36" w:rsidP="005B4813">
            <w:pPr>
              <w:spacing w:line="360" w:lineRule="auto"/>
            </w:pPr>
          </w:p>
        </w:tc>
        <w:tc>
          <w:tcPr>
            <w:tcW w:w="1260" w:type="dxa"/>
          </w:tcPr>
          <w:p w14:paraId="14514509" w14:textId="77777777" w:rsidR="0045697E" w:rsidRDefault="0045697E" w:rsidP="0045697E">
            <w:pPr>
              <w:tabs>
                <w:tab w:val="right" w:pos="792"/>
              </w:tabs>
              <w:spacing w:line="360" w:lineRule="auto"/>
            </w:pPr>
            <w:r>
              <w:tab/>
              <w:t>1945</w:t>
            </w:r>
          </w:p>
          <w:p w14:paraId="0CD2368D" w14:textId="77777777" w:rsidR="00B67F36" w:rsidRDefault="00B67F36" w:rsidP="0045697E">
            <w:pPr>
              <w:tabs>
                <w:tab w:val="right" w:pos="792"/>
              </w:tabs>
              <w:spacing w:line="360" w:lineRule="auto"/>
            </w:pPr>
            <w:r>
              <w:t xml:space="preserve">      1953</w:t>
            </w:r>
          </w:p>
          <w:p w14:paraId="77836F40" w14:textId="77777777" w:rsidR="003B0CA8" w:rsidRDefault="003B0CA8" w:rsidP="0045697E">
            <w:pPr>
              <w:tabs>
                <w:tab w:val="right" w:pos="792"/>
              </w:tabs>
              <w:spacing w:line="360" w:lineRule="auto"/>
            </w:pPr>
            <w:r>
              <w:t xml:space="preserve">      19</w:t>
            </w:r>
            <w:r w:rsidR="00B67F36">
              <w:t>74</w:t>
            </w:r>
          </w:p>
        </w:tc>
      </w:tr>
    </w:tbl>
    <w:p w14:paraId="799DBB71" w14:textId="77777777" w:rsidR="00907CF7" w:rsidRPr="00201B86" w:rsidRDefault="00F9286D" w:rsidP="00F9286D">
      <w:pPr>
        <w:pStyle w:val="ReferencesFurtherreading"/>
        <w:ind w:left="0" w:firstLine="0"/>
        <w:rPr>
          <w:rFonts w:asciiTheme="minorHAnsi" w:hAnsiTheme="minorHAnsi"/>
          <w:sz w:val="24"/>
          <w:szCs w:val="24"/>
        </w:rPr>
      </w:pPr>
      <w:r w:rsidRPr="00F9286D">
        <w:rPr>
          <w:i/>
        </w:rPr>
        <w:t>Source</w:t>
      </w:r>
      <w:r>
        <w:t>: Prepared by the author from the annual reports of the accountancy bodies.</w:t>
      </w:r>
      <w:r w:rsidR="00907CF7">
        <w:br w:type="page"/>
      </w:r>
    </w:p>
    <w:p w14:paraId="332CE7C5" w14:textId="77777777" w:rsidR="000210D1" w:rsidRDefault="00EC5A26" w:rsidP="000210D1">
      <w:pPr>
        <w:spacing w:after="60" w:line="240" w:lineRule="auto"/>
        <w:ind w:right="-245"/>
        <w:rPr>
          <w:b/>
        </w:rPr>
      </w:pPr>
      <w:r>
        <w:rPr>
          <w:b/>
        </w:rPr>
        <w:lastRenderedPageBreak/>
        <w:t>Table 3</w:t>
      </w:r>
    </w:p>
    <w:p w14:paraId="5CC44502" w14:textId="77777777" w:rsidR="00D001CA" w:rsidRPr="00782C8A" w:rsidRDefault="009741D1" w:rsidP="00782C8A">
      <w:pPr>
        <w:spacing w:line="240" w:lineRule="auto"/>
        <w:ind w:right="-245"/>
      </w:pPr>
      <w:r w:rsidRPr="00D71982">
        <w:t>G</w:t>
      </w:r>
      <w:r w:rsidR="006D785B">
        <w:t>roup 1 c</w:t>
      </w:r>
      <w:r w:rsidR="00D71982">
        <w:t xml:space="preserve">ountries ranked by </w:t>
      </w:r>
      <w:r w:rsidRPr="00D71982">
        <w:t>their dissociation from the British model of G</w:t>
      </w:r>
      <w:r w:rsidR="00907CF7" w:rsidRPr="00D71982">
        <w:t>roup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82"/>
      </w:tblGrid>
      <w:tr w:rsidR="00907CF7" w14:paraId="4665611B" w14:textId="77777777" w:rsidTr="00782C8A">
        <w:tc>
          <w:tcPr>
            <w:tcW w:w="2268" w:type="dxa"/>
            <w:tcBorders>
              <w:top w:val="single" w:sz="4" w:space="0" w:color="auto"/>
              <w:bottom w:val="single" w:sz="4" w:space="0" w:color="auto"/>
            </w:tcBorders>
          </w:tcPr>
          <w:p w14:paraId="709852C3" w14:textId="77777777" w:rsidR="00907CF7" w:rsidRPr="00907CF7" w:rsidRDefault="00907CF7" w:rsidP="00782C8A">
            <w:pPr>
              <w:rPr>
                <w:i/>
              </w:rPr>
            </w:pPr>
            <w:r w:rsidRPr="00907CF7">
              <w:rPr>
                <w:i/>
              </w:rPr>
              <w:t>Country</w:t>
            </w:r>
          </w:p>
        </w:tc>
        <w:tc>
          <w:tcPr>
            <w:tcW w:w="2682" w:type="dxa"/>
            <w:tcBorders>
              <w:top w:val="single" w:sz="4" w:space="0" w:color="auto"/>
              <w:bottom w:val="single" w:sz="4" w:space="0" w:color="auto"/>
            </w:tcBorders>
          </w:tcPr>
          <w:p w14:paraId="1EABF868" w14:textId="77777777" w:rsidR="00907CF7" w:rsidRPr="00907CF7" w:rsidRDefault="00907CF7" w:rsidP="00464CB8">
            <w:pPr>
              <w:spacing w:after="120"/>
              <w:jc w:val="center"/>
              <w:rPr>
                <w:i/>
              </w:rPr>
            </w:pPr>
            <w:r w:rsidRPr="00907CF7">
              <w:rPr>
                <w:i/>
              </w:rPr>
              <w:t>Correlation with Group 2</w:t>
            </w:r>
          </w:p>
        </w:tc>
      </w:tr>
      <w:tr w:rsidR="00780081" w14:paraId="24F1117C" w14:textId="77777777" w:rsidTr="00782C8A">
        <w:tc>
          <w:tcPr>
            <w:tcW w:w="2268" w:type="dxa"/>
            <w:tcBorders>
              <w:top w:val="single" w:sz="4" w:space="0" w:color="auto"/>
            </w:tcBorders>
          </w:tcPr>
          <w:p w14:paraId="3A4B32E8" w14:textId="77777777" w:rsidR="00780081" w:rsidRPr="00907CF7" w:rsidRDefault="00780081" w:rsidP="00907CF7">
            <w:pPr>
              <w:spacing w:line="360" w:lineRule="auto"/>
            </w:pPr>
            <w:r w:rsidRPr="00907CF7">
              <w:t xml:space="preserve">United </w:t>
            </w:r>
            <w:r>
              <w:t>States</w:t>
            </w:r>
          </w:p>
        </w:tc>
        <w:tc>
          <w:tcPr>
            <w:tcW w:w="2682" w:type="dxa"/>
            <w:tcBorders>
              <w:top w:val="single" w:sz="4" w:space="0" w:color="auto"/>
            </w:tcBorders>
          </w:tcPr>
          <w:p w14:paraId="71ECCFE9" w14:textId="77777777" w:rsidR="00780081" w:rsidRPr="00907CF7" w:rsidRDefault="00780081" w:rsidP="00780081">
            <w:pPr>
              <w:tabs>
                <w:tab w:val="decimal" w:pos="702"/>
              </w:tabs>
              <w:spacing w:line="360" w:lineRule="auto"/>
            </w:pPr>
            <w:r>
              <w:t>.05</w:t>
            </w:r>
          </w:p>
        </w:tc>
      </w:tr>
      <w:tr w:rsidR="00780081" w14:paraId="706C7B29" w14:textId="77777777" w:rsidTr="00782C8A">
        <w:tc>
          <w:tcPr>
            <w:tcW w:w="2268" w:type="dxa"/>
          </w:tcPr>
          <w:p w14:paraId="4F3894FE" w14:textId="77777777" w:rsidR="00780081" w:rsidRPr="00907CF7" w:rsidRDefault="00780081" w:rsidP="00907CF7">
            <w:pPr>
              <w:spacing w:line="360" w:lineRule="auto"/>
            </w:pPr>
            <w:r>
              <w:t>Japan</w:t>
            </w:r>
          </w:p>
        </w:tc>
        <w:tc>
          <w:tcPr>
            <w:tcW w:w="2682" w:type="dxa"/>
          </w:tcPr>
          <w:p w14:paraId="48B8B109" w14:textId="77777777" w:rsidR="00780081" w:rsidRPr="00907CF7" w:rsidRDefault="00780081" w:rsidP="00780081">
            <w:pPr>
              <w:tabs>
                <w:tab w:val="decimal" w:pos="702"/>
              </w:tabs>
              <w:spacing w:line="360" w:lineRule="auto"/>
            </w:pPr>
            <w:r>
              <w:t>.28</w:t>
            </w:r>
          </w:p>
        </w:tc>
      </w:tr>
      <w:tr w:rsidR="00780081" w14:paraId="59C8EEC3" w14:textId="77777777" w:rsidTr="00782C8A">
        <w:tc>
          <w:tcPr>
            <w:tcW w:w="2268" w:type="dxa"/>
          </w:tcPr>
          <w:p w14:paraId="0CBDCC62" w14:textId="77777777" w:rsidR="00780081" w:rsidRPr="00907CF7" w:rsidRDefault="00780081" w:rsidP="00907CF7">
            <w:pPr>
              <w:spacing w:line="360" w:lineRule="auto"/>
            </w:pPr>
            <w:r>
              <w:t>Philippines</w:t>
            </w:r>
          </w:p>
        </w:tc>
        <w:tc>
          <w:tcPr>
            <w:tcW w:w="2682" w:type="dxa"/>
          </w:tcPr>
          <w:p w14:paraId="68568213" w14:textId="77777777" w:rsidR="00780081" w:rsidRPr="00907CF7" w:rsidRDefault="00780081" w:rsidP="00780081">
            <w:pPr>
              <w:tabs>
                <w:tab w:val="decimal" w:pos="702"/>
              </w:tabs>
              <w:spacing w:line="360" w:lineRule="auto"/>
            </w:pPr>
            <w:r>
              <w:t>.28</w:t>
            </w:r>
          </w:p>
        </w:tc>
      </w:tr>
      <w:tr w:rsidR="00780081" w14:paraId="71B4C0C8" w14:textId="77777777" w:rsidTr="00782C8A">
        <w:tc>
          <w:tcPr>
            <w:tcW w:w="2268" w:type="dxa"/>
          </w:tcPr>
          <w:p w14:paraId="0C7CA335" w14:textId="77777777" w:rsidR="00780081" w:rsidRPr="00907CF7" w:rsidRDefault="00780081" w:rsidP="00907CF7">
            <w:pPr>
              <w:spacing w:line="360" w:lineRule="auto"/>
            </w:pPr>
            <w:r>
              <w:t>Argentina</w:t>
            </w:r>
          </w:p>
        </w:tc>
        <w:tc>
          <w:tcPr>
            <w:tcW w:w="2682" w:type="dxa"/>
          </w:tcPr>
          <w:p w14:paraId="248DDF1A" w14:textId="77777777" w:rsidR="00780081" w:rsidRPr="00907CF7" w:rsidRDefault="00780081" w:rsidP="00780081">
            <w:pPr>
              <w:tabs>
                <w:tab w:val="decimal" w:pos="702"/>
              </w:tabs>
              <w:spacing w:line="360" w:lineRule="auto"/>
            </w:pPr>
            <w:r>
              <w:t>.32</w:t>
            </w:r>
          </w:p>
        </w:tc>
      </w:tr>
      <w:tr w:rsidR="00780081" w14:paraId="12B88AB7" w14:textId="77777777" w:rsidTr="00782C8A">
        <w:tc>
          <w:tcPr>
            <w:tcW w:w="2268" w:type="dxa"/>
          </w:tcPr>
          <w:p w14:paraId="3E54BEC7" w14:textId="77777777" w:rsidR="00780081" w:rsidRPr="00907CF7" w:rsidRDefault="00780081" w:rsidP="00907CF7">
            <w:pPr>
              <w:spacing w:line="360" w:lineRule="auto"/>
            </w:pPr>
            <w:r>
              <w:t>Mexico</w:t>
            </w:r>
          </w:p>
        </w:tc>
        <w:tc>
          <w:tcPr>
            <w:tcW w:w="2682" w:type="dxa"/>
          </w:tcPr>
          <w:p w14:paraId="5427B787" w14:textId="77777777" w:rsidR="00780081" w:rsidRPr="00907CF7" w:rsidRDefault="00780081" w:rsidP="00780081">
            <w:pPr>
              <w:tabs>
                <w:tab w:val="decimal" w:pos="702"/>
              </w:tabs>
              <w:spacing w:line="360" w:lineRule="auto"/>
            </w:pPr>
            <w:r>
              <w:t>.32</w:t>
            </w:r>
          </w:p>
        </w:tc>
      </w:tr>
      <w:tr w:rsidR="00780081" w14:paraId="2FE4FD06" w14:textId="77777777" w:rsidTr="00782C8A">
        <w:tc>
          <w:tcPr>
            <w:tcW w:w="2268" w:type="dxa"/>
          </w:tcPr>
          <w:p w14:paraId="4CAE4BB2" w14:textId="77777777" w:rsidR="00780081" w:rsidRPr="00907CF7" w:rsidRDefault="00780081" w:rsidP="00907CF7">
            <w:pPr>
              <w:spacing w:line="360" w:lineRule="auto"/>
            </w:pPr>
            <w:r>
              <w:t>Chile</w:t>
            </w:r>
          </w:p>
        </w:tc>
        <w:tc>
          <w:tcPr>
            <w:tcW w:w="2682" w:type="dxa"/>
          </w:tcPr>
          <w:p w14:paraId="559AD4DD" w14:textId="77777777" w:rsidR="00780081" w:rsidRPr="00907CF7" w:rsidRDefault="00780081" w:rsidP="00780081">
            <w:pPr>
              <w:tabs>
                <w:tab w:val="decimal" w:pos="702"/>
              </w:tabs>
              <w:spacing w:line="360" w:lineRule="auto"/>
            </w:pPr>
            <w:r>
              <w:t>.41</w:t>
            </w:r>
          </w:p>
        </w:tc>
      </w:tr>
      <w:tr w:rsidR="00780081" w14:paraId="2092EABC" w14:textId="77777777" w:rsidTr="00782C8A">
        <w:tc>
          <w:tcPr>
            <w:tcW w:w="2268" w:type="dxa"/>
          </w:tcPr>
          <w:p w14:paraId="7ECBA7BE" w14:textId="77777777" w:rsidR="00780081" w:rsidRPr="00907CF7" w:rsidRDefault="00780081" w:rsidP="00907CF7">
            <w:pPr>
              <w:spacing w:line="360" w:lineRule="auto"/>
            </w:pPr>
            <w:r>
              <w:t>Germany</w:t>
            </w:r>
          </w:p>
        </w:tc>
        <w:tc>
          <w:tcPr>
            <w:tcW w:w="2682" w:type="dxa"/>
          </w:tcPr>
          <w:p w14:paraId="65EF18AF" w14:textId="77777777" w:rsidR="00780081" w:rsidRPr="00907CF7" w:rsidRDefault="00780081" w:rsidP="00780081">
            <w:pPr>
              <w:tabs>
                <w:tab w:val="decimal" w:pos="702"/>
              </w:tabs>
              <w:spacing w:line="360" w:lineRule="auto"/>
            </w:pPr>
            <w:r>
              <w:t>.42</w:t>
            </w:r>
          </w:p>
        </w:tc>
      </w:tr>
      <w:tr w:rsidR="00780081" w14:paraId="2AEEF96E" w14:textId="77777777" w:rsidTr="00782C8A">
        <w:tc>
          <w:tcPr>
            <w:tcW w:w="2268" w:type="dxa"/>
          </w:tcPr>
          <w:p w14:paraId="3F43FD1F" w14:textId="77777777" w:rsidR="00780081" w:rsidRDefault="00780081" w:rsidP="00907CF7">
            <w:pPr>
              <w:spacing w:line="360" w:lineRule="auto"/>
            </w:pPr>
            <w:r>
              <w:t>Bolivia</w:t>
            </w:r>
          </w:p>
        </w:tc>
        <w:tc>
          <w:tcPr>
            <w:tcW w:w="2682" w:type="dxa"/>
          </w:tcPr>
          <w:p w14:paraId="2E526B66" w14:textId="77777777" w:rsidR="00780081" w:rsidRPr="00907CF7" w:rsidRDefault="00780081" w:rsidP="00780081">
            <w:pPr>
              <w:tabs>
                <w:tab w:val="decimal" w:pos="702"/>
              </w:tabs>
              <w:spacing w:line="360" w:lineRule="auto"/>
            </w:pPr>
            <w:r>
              <w:t>.43</w:t>
            </w:r>
          </w:p>
        </w:tc>
      </w:tr>
      <w:tr w:rsidR="00780081" w14:paraId="3D62C629" w14:textId="77777777" w:rsidTr="00782C8A">
        <w:tc>
          <w:tcPr>
            <w:tcW w:w="2268" w:type="dxa"/>
          </w:tcPr>
          <w:p w14:paraId="2CE3AE7B" w14:textId="77777777" w:rsidR="00780081" w:rsidRDefault="00780081" w:rsidP="00907CF7">
            <w:pPr>
              <w:spacing w:line="360" w:lineRule="auto"/>
            </w:pPr>
            <w:r>
              <w:t>Peru</w:t>
            </w:r>
          </w:p>
        </w:tc>
        <w:tc>
          <w:tcPr>
            <w:tcW w:w="2682" w:type="dxa"/>
          </w:tcPr>
          <w:p w14:paraId="35A95D08" w14:textId="77777777" w:rsidR="00780081" w:rsidRPr="00907CF7" w:rsidRDefault="00780081" w:rsidP="00780081">
            <w:pPr>
              <w:tabs>
                <w:tab w:val="decimal" w:pos="702"/>
              </w:tabs>
              <w:spacing w:line="360" w:lineRule="auto"/>
            </w:pPr>
            <w:r>
              <w:t>.43</w:t>
            </w:r>
          </w:p>
        </w:tc>
      </w:tr>
      <w:tr w:rsidR="00780081" w14:paraId="32847628" w14:textId="77777777" w:rsidTr="00782C8A">
        <w:tc>
          <w:tcPr>
            <w:tcW w:w="2268" w:type="dxa"/>
          </w:tcPr>
          <w:p w14:paraId="1158ECF6" w14:textId="77777777" w:rsidR="00780081" w:rsidRDefault="00780081" w:rsidP="00907CF7">
            <w:pPr>
              <w:spacing w:line="360" w:lineRule="auto"/>
            </w:pPr>
            <w:r>
              <w:t>Italy</w:t>
            </w:r>
          </w:p>
        </w:tc>
        <w:tc>
          <w:tcPr>
            <w:tcW w:w="2682" w:type="dxa"/>
          </w:tcPr>
          <w:p w14:paraId="1B875995" w14:textId="77777777" w:rsidR="00780081" w:rsidRPr="00907CF7" w:rsidRDefault="00780081" w:rsidP="00780081">
            <w:pPr>
              <w:tabs>
                <w:tab w:val="decimal" w:pos="702"/>
              </w:tabs>
              <w:spacing w:line="360" w:lineRule="auto"/>
            </w:pPr>
            <w:r>
              <w:t>.43</w:t>
            </w:r>
          </w:p>
        </w:tc>
      </w:tr>
      <w:tr w:rsidR="00780081" w14:paraId="3783F7C6" w14:textId="77777777" w:rsidTr="00782C8A">
        <w:tc>
          <w:tcPr>
            <w:tcW w:w="2268" w:type="dxa"/>
          </w:tcPr>
          <w:p w14:paraId="1EB5ABE2" w14:textId="77777777" w:rsidR="00780081" w:rsidRDefault="00780081" w:rsidP="00907CF7">
            <w:pPr>
              <w:spacing w:line="360" w:lineRule="auto"/>
            </w:pPr>
            <w:r>
              <w:t>Panama</w:t>
            </w:r>
          </w:p>
        </w:tc>
        <w:tc>
          <w:tcPr>
            <w:tcW w:w="2682" w:type="dxa"/>
          </w:tcPr>
          <w:p w14:paraId="3A8FBE4A" w14:textId="77777777" w:rsidR="00780081" w:rsidRPr="00907CF7" w:rsidRDefault="00780081" w:rsidP="00780081">
            <w:pPr>
              <w:tabs>
                <w:tab w:val="decimal" w:pos="702"/>
              </w:tabs>
              <w:spacing w:line="360" w:lineRule="auto"/>
            </w:pPr>
            <w:r>
              <w:t>.45</w:t>
            </w:r>
          </w:p>
        </w:tc>
      </w:tr>
      <w:tr w:rsidR="00780081" w14:paraId="3928F80E" w14:textId="77777777" w:rsidTr="00782C8A">
        <w:tc>
          <w:tcPr>
            <w:tcW w:w="2268" w:type="dxa"/>
          </w:tcPr>
          <w:p w14:paraId="5CC52711" w14:textId="77777777" w:rsidR="00780081" w:rsidRDefault="00780081" w:rsidP="00907CF7">
            <w:pPr>
              <w:spacing w:line="360" w:lineRule="auto"/>
            </w:pPr>
            <w:r>
              <w:t>Venezuela</w:t>
            </w:r>
          </w:p>
        </w:tc>
        <w:tc>
          <w:tcPr>
            <w:tcW w:w="2682" w:type="dxa"/>
          </w:tcPr>
          <w:p w14:paraId="1278A39A" w14:textId="77777777" w:rsidR="00780081" w:rsidRPr="00907CF7" w:rsidRDefault="00780081" w:rsidP="00780081">
            <w:pPr>
              <w:tabs>
                <w:tab w:val="decimal" w:pos="702"/>
              </w:tabs>
              <w:spacing w:line="360" w:lineRule="auto"/>
            </w:pPr>
            <w:r>
              <w:t>.46</w:t>
            </w:r>
          </w:p>
        </w:tc>
      </w:tr>
      <w:tr w:rsidR="00780081" w14:paraId="256BF27A" w14:textId="77777777" w:rsidTr="00782C8A">
        <w:tc>
          <w:tcPr>
            <w:tcW w:w="2268" w:type="dxa"/>
          </w:tcPr>
          <w:p w14:paraId="73C0F1E5" w14:textId="77777777" w:rsidR="00780081" w:rsidRDefault="00780081" w:rsidP="00907CF7">
            <w:pPr>
              <w:spacing w:line="360" w:lineRule="auto"/>
            </w:pPr>
            <w:r>
              <w:t>Paraguay</w:t>
            </w:r>
          </w:p>
        </w:tc>
        <w:tc>
          <w:tcPr>
            <w:tcW w:w="2682" w:type="dxa"/>
          </w:tcPr>
          <w:p w14:paraId="4C0CE2F7" w14:textId="77777777" w:rsidR="00780081" w:rsidRPr="00907CF7" w:rsidRDefault="00780081" w:rsidP="00780081">
            <w:pPr>
              <w:tabs>
                <w:tab w:val="decimal" w:pos="702"/>
              </w:tabs>
              <w:spacing w:line="360" w:lineRule="auto"/>
            </w:pPr>
            <w:r>
              <w:t>.48</w:t>
            </w:r>
          </w:p>
        </w:tc>
      </w:tr>
      <w:tr w:rsidR="00780081" w14:paraId="6FC3D3A9" w14:textId="77777777" w:rsidTr="00782C8A">
        <w:tc>
          <w:tcPr>
            <w:tcW w:w="2268" w:type="dxa"/>
          </w:tcPr>
          <w:p w14:paraId="3941F681" w14:textId="77777777" w:rsidR="00780081" w:rsidRDefault="00780081" w:rsidP="00907CF7">
            <w:pPr>
              <w:spacing w:line="360" w:lineRule="auto"/>
            </w:pPr>
            <w:r>
              <w:t>Spain</w:t>
            </w:r>
          </w:p>
        </w:tc>
        <w:tc>
          <w:tcPr>
            <w:tcW w:w="2682" w:type="dxa"/>
          </w:tcPr>
          <w:p w14:paraId="329A97F1" w14:textId="77777777" w:rsidR="00780081" w:rsidRPr="00907CF7" w:rsidRDefault="00780081" w:rsidP="00780081">
            <w:pPr>
              <w:tabs>
                <w:tab w:val="decimal" w:pos="702"/>
              </w:tabs>
              <w:spacing w:line="360" w:lineRule="auto"/>
            </w:pPr>
            <w:r>
              <w:t>.49</w:t>
            </w:r>
          </w:p>
        </w:tc>
      </w:tr>
      <w:tr w:rsidR="00780081" w14:paraId="51DEAADF" w14:textId="77777777" w:rsidTr="00782C8A">
        <w:tc>
          <w:tcPr>
            <w:tcW w:w="2268" w:type="dxa"/>
          </w:tcPr>
          <w:p w14:paraId="469BF5CD" w14:textId="77777777" w:rsidR="00780081" w:rsidRDefault="00780081" w:rsidP="00907CF7">
            <w:pPr>
              <w:spacing w:line="360" w:lineRule="auto"/>
            </w:pPr>
            <w:r>
              <w:t>Pakistan</w:t>
            </w:r>
          </w:p>
        </w:tc>
        <w:tc>
          <w:tcPr>
            <w:tcW w:w="2682" w:type="dxa"/>
          </w:tcPr>
          <w:p w14:paraId="6831999B" w14:textId="77777777" w:rsidR="00780081" w:rsidRPr="00907CF7" w:rsidRDefault="00780081" w:rsidP="00780081">
            <w:pPr>
              <w:tabs>
                <w:tab w:val="decimal" w:pos="702"/>
              </w:tabs>
              <w:spacing w:line="360" w:lineRule="auto"/>
            </w:pPr>
            <w:r>
              <w:t>.49</w:t>
            </w:r>
          </w:p>
        </w:tc>
      </w:tr>
      <w:tr w:rsidR="00780081" w14:paraId="61D96E01" w14:textId="77777777" w:rsidTr="00782C8A">
        <w:tc>
          <w:tcPr>
            <w:tcW w:w="2268" w:type="dxa"/>
          </w:tcPr>
          <w:p w14:paraId="664E0580" w14:textId="77777777" w:rsidR="00780081" w:rsidRDefault="00780081" w:rsidP="00907CF7">
            <w:pPr>
              <w:spacing w:line="360" w:lineRule="auto"/>
            </w:pPr>
            <w:r>
              <w:t>Colombia</w:t>
            </w:r>
          </w:p>
        </w:tc>
        <w:tc>
          <w:tcPr>
            <w:tcW w:w="2682" w:type="dxa"/>
          </w:tcPr>
          <w:p w14:paraId="5A35ED32" w14:textId="77777777" w:rsidR="00780081" w:rsidRPr="00907CF7" w:rsidRDefault="00780081" w:rsidP="00780081">
            <w:pPr>
              <w:tabs>
                <w:tab w:val="decimal" w:pos="702"/>
              </w:tabs>
              <w:spacing w:line="360" w:lineRule="auto"/>
            </w:pPr>
            <w:r>
              <w:t>.50</w:t>
            </w:r>
          </w:p>
        </w:tc>
      </w:tr>
      <w:tr w:rsidR="00780081" w14:paraId="4B9BB095" w14:textId="77777777" w:rsidTr="00782C8A">
        <w:tc>
          <w:tcPr>
            <w:tcW w:w="2268" w:type="dxa"/>
          </w:tcPr>
          <w:p w14:paraId="6D5E0A35" w14:textId="77777777" w:rsidR="00780081" w:rsidRDefault="00780081" w:rsidP="00907CF7">
            <w:pPr>
              <w:spacing w:line="360" w:lineRule="auto"/>
            </w:pPr>
            <w:r>
              <w:t>Brazil</w:t>
            </w:r>
          </w:p>
        </w:tc>
        <w:tc>
          <w:tcPr>
            <w:tcW w:w="2682" w:type="dxa"/>
          </w:tcPr>
          <w:p w14:paraId="4BBA7808" w14:textId="77777777" w:rsidR="00780081" w:rsidRPr="00907CF7" w:rsidRDefault="00780081" w:rsidP="00780081">
            <w:pPr>
              <w:tabs>
                <w:tab w:val="decimal" w:pos="702"/>
              </w:tabs>
              <w:spacing w:line="360" w:lineRule="auto"/>
            </w:pPr>
            <w:r>
              <w:t>.51</w:t>
            </w:r>
          </w:p>
        </w:tc>
      </w:tr>
      <w:tr w:rsidR="00780081" w14:paraId="2F732B5E" w14:textId="77777777" w:rsidTr="00782C8A">
        <w:tc>
          <w:tcPr>
            <w:tcW w:w="2268" w:type="dxa"/>
          </w:tcPr>
          <w:p w14:paraId="2ED230A0" w14:textId="77777777" w:rsidR="00780081" w:rsidRDefault="00780081" w:rsidP="00907CF7">
            <w:pPr>
              <w:spacing w:line="360" w:lineRule="auto"/>
            </w:pPr>
            <w:r>
              <w:t>Uruguay</w:t>
            </w:r>
          </w:p>
        </w:tc>
        <w:tc>
          <w:tcPr>
            <w:tcW w:w="2682" w:type="dxa"/>
          </w:tcPr>
          <w:p w14:paraId="50A04490" w14:textId="77777777" w:rsidR="00780081" w:rsidRPr="00907CF7" w:rsidRDefault="00780081" w:rsidP="00780081">
            <w:pPr>
              <w:tabs>
                <w:tab w:val="decimal" w:pos="702"/>
              </w:tabs>
              <w:spacing w:line="360" w:lineRule="auto"/>
            </w:pPr>
            <w:r>
              <w:t>.52</w:t>
            </w:r>
          </w:p>
        </w:tc>
      </w:tr>
      <w:tr w:rsidR="00780081" w14:paraId="45EAE74D" w14:textId="77777777" w:rsidTr="00782C8A">
        <w:tc>
          <w:tcPr>
            <w:tcW w:w="2268" w:type="dxa"/>
          </w:tcPr>
          <w:p w14:paraId="705393EE" w14:textId="77777777" w:rsidR="00780081" w:rsidRDefault="00780081" w:rsidP="00907CF7">
            <w:pPr>
              <w:spacing w:line="360" w:lineRule="auto"/>
            </w:pPr>
            <w:r>
              <w:t>France</w:t>
            </w:r>
          </w:p>
        </w:tc>
        <w:tc>
          <w:tcPr>
            <w:tcW w:w="2682" w:type="dxa"/>
          </w:tcPr>
          <w:p w14:paraId="515F090C" w14:textId="77777777" w:rsidR="00780081" w:rsidRPr="00907CF7" w:rsidRDefault="00780081" w:rsidP="00780081">
            <w:pPr>
              <w:tabs>
                <w:tab w:val="decimal" w:pos="702"/>
              </w:tabs>
              <w:spacing w:line="360" w:lineRule="auto"/>
            </w:pPr>
            <w:r>
              <w:t>.53</w:t>
            </w:r>
          </w:p>
        </w:tc>
      </w:tr>
      <w:tr w:rsidR="00780081" w14:paraId="4F0C610D" w14:textId="77777777" w:rsidTr="00782C8A">
        <w:tc>
          <w:tcPr>
            <w:tcW w:w="2268" w:type="dxa"/>
          </w:tcPr>
          <w:p w14:paraId="5FB85BEC" w14:textId="77777777" w:rsidR="00780081" w:rsidRDefault="00780081" w:rsidP="00907CF7">
            <w:pPr>
              <w:spacing w:line="360" w:lineRule="auto"/>
            </w:pPr>
            <w:r>
              <w:t>Switzerland</w:t>
            </w:r>
          </w:p>
        </w:tc>
        <w:tc>
          <w:tcPr>
            <w:tcW w:w="2682" w:type="dxa"/>
          </w:tcPr>
          <w:p w14:paraId="3EAB5C9A" w14:textId="77777777" w:rsidR="00780081" w:rsidRPr="00907CF7" w:rsidRDefault="00780081" w:rsidP="00780081">
            <w:pPr>
              <w:tabs>
                <w:tab w:val="decimal" w:pos="702"/>
              </w:tabs>
              <w:spacing w:line="360" w:lineRule="auto"/>
            </w:pPr>
            <w:r>
              <w:t>.53</w:t>
            </w:r>
          </w:p>
        </w:tc>
      </w:tr>
      <w:tr w:rsidR="00780081" w14:paraId="34256832" w14:textId="77777777" w:rsidTr="00782C8A">
        <w:tc>
          <w:tcPr>
            <w:tcW w:w="2268" w:type="dxa"/>
          </w:tcPr>
          <w:p w14:paraId="28F41926" w14:textId="77777777" w:rsidR="00780081" w:rsidRDefault="00780081" w:rsidP="00907CF7">
            <w:pPr>
              <w:spacing w:line="360" w:lineRule="auto"/>
            </w:pPr>
            <w:r>
              <w:t>India</w:t>
            </w:r>
          </w:p>
        </w:tc>
        <w:tc>
          <w:tcPr>
            <w:tcW w:w="2682" w:type="dxa"/>
          </w:tcPr>
          <w:p w14:paraId="37759016" w14:textId="77777777" w:rsidR="00780081" w:rsidRPr="00907CF7" w:rsidRDefault="00780081" w:rsidP="00780081">
            <w:pPr>
              <w:tabs>
                <w:tab w:val="decimal" w:pos="702"/>
              </w:tabs>
              <w:spacing w:line="360" w:lineRule="auto"/>
            </w:pPr>
            <w:r>
              <w:t>.57</w:t>
            </w:r>
          </w:p>
        </w:tc>
      </w:tr>
      <w:tr w:rsidR="00780081" w14:paraId="6144EBDB" w14:textId="77777777" w:rsidTr="00782C8A">
        <w:tc>
          <w:tcPr>
            <w:tcW w:w="2268" w:type="dxa"/>
          </w:tcPr>
          <w:p w14:paraId="1A1B1597" w14:textId="77777777" w:rsidR="00780081" w:rsidRDefault="00780081" w:rsidP="00907CF7">
            <w:pPr>
              <w:spacing w:line="360" w:lineRule="auto"/>
            </w:pPr>
            <w:r>
              <w:t>Ethiopia</w:t>
            </w:r>
          </w:p>
        </w:tc>
        <w:tc>
          <w:tcPr>
            <w:tcW w:w="2682" w:type="dxa"/>
          </w:tcPr>
          <w:p w14:paraId="1C180A04" w14:textId="77777777" w:rsidR="00780081" w:rsidRPr="00907CF7" w:rsidRDefault="00780081" w:rsidP="00780081">
            <w:pPr>
              <w:tabs>
                <w:tab w:val="decimal" w:pos="702"/>
              </w:tabs>
              <w:spacing w:line="360" w:lineRule="auto"/>
            </w:pPr>
            <w:r>
              <w:t>.57</w:t>
            </w:r>
          </w:p>
        </w:tc>
      </w:tr>
      <w:tr w:rsidR="00780081" w14:paraId="2620FDF0" w14:textId="77777777" w:rsidTr="00782C8A">
        <w:tc>
          <w:tcPr>
            <w:tcW w:w="2268" w:type="dxa"/>
          </w:tcPr>
          <w:p w14:paraId="2C191770" w14:textId="77777777" w:rsidR="00780081" w:rsidRDefault="00780081" w:rsidP="00907CF7">
            <w:pPr>
              <w:spacing w:line="360" w:lineRule="auto"/>
            </w:pPr>
            <w:r>
              <w:t>Sweden</w:t>
            </w:r>
          </w:p>
        </w:tc>
        <w:tc>
          <w:tcPr>
            <w:tcW w:w="2682" w:type="dxa"/>
          </w:tcPr>
          <w:p w14:paraId="59A4E639" w14:textId="77777777" w:rsidR="00780081" w:rsidRPr="00907CF7" w:rsidRDefault="00780081" w:rsidP="00780081">
            <w:pPr>
              <w:tabs>
                <w:tab w:val="decimal" w:pos="702"/>
              </w:tabs>
              <w:spacing w:line="360" w:lineRule="auto"/>
            </w:pPr>
            <w:r>
              <w:t>.59</w:t>
            </w:r>
          </w:p>
        </w:tc>
      </w:tr>
      <w:tr w:rsidR="00780081" w14:paraId="4102F728" w14:textId="77777777" w:rsidTr="00782C8A">
        <w:tc>
          <w:tcPr>
            <w:tcW w:w="2268" w:type="dxa"/>
          </w:tcPr>
          <w:p w14:paraId="5ABAA2DF" w14:textId="77777777" w:rsidR="00780081" w:rsidRDefault="00780081" w:rsidP="00907CF7">
            <w:pPr>
              <w:spacing w:line="360" w:lineRule="auto"/>
            </w:pPr>
            <w:r>
              <w:t>Belgium</w:t>
            </w:r>
          </w:p>
        </w:tc>
        <w:tc>
          <w:tcPr>
            <w:tcW w:w="2682" w:type="dxa"/>
          </w:tcPr>
          <w:p w14:paraId="4507382D" w14:textId="77777777" w:rsidR="00780081" w:rsidRPr="00907CF7" w:rsidRDefault="00780081" w:rsidP="00780081">
            <w:pPr>
              <w:tabs>
                <w:tab w:val="decimal" w:pos="702"/>
              </w:tabs>
              <w:spacing w:line="360" w:lineRule="auto"/>
            </w:pPr>
            <w:r>
              <w:t>.60</w:t>
            </w:r>
          </w:p>
        </w:tc>
      </w:tr>
      <w:tr w:rsidR="00780081" w14:paraId="512A8F65" w14:textId="77777777" w:rsidTr="00782C8A">
        <w:tc>
          <w:tcPr>
            <w:tcW w:w="2268" w:type="dxa"/>
          </w:tcPr>
          <w:p w14:paraId="29D08715" w14:textId="6AD3D090" w:rsidR="00780081" w:rsidRDefault="00780081" w:rsidP="00907CF7">
            <w:pPr>
              <w:spacing w:line="360" w:lineRule="auto"/>
            </w:pPr>
            <w:r>
              <w:t>Trinidad</w:t>
            </w:r>
            <w:r w:rsidR="00294EE5">
              <w:t xml:space="preserve"> and Tobago</w:t>
            </w:r>
          </w:p>
        </w:tc>
        <w:tc>
          <w:tcPr>
            <w:tcW w:w="2682" w:type="dxa"/>
          </w:tcPr>
          <w:p w14:paraId="3FDB0A65" w14:textId="77777777" w:rsidR="00780081" w:rsidRPr="00907CF7" w:rsidRDefault="00780081" w:rsidP="00780081">
            <w:pPr>
              <w:tabs>
                <w:tab w:val="decimal" w:pos="702"/>
              </w:tabs>
              <w:spacing w:line="360" w:lineRule="auto"/>
            </w:pPr>
            <w:r>
              <w:t>.65</w:t>
            </w:r>
          </w:p>
        </w:tc>
      </w:tr>
      <w:tr w:rsidR="00780081" w14:paraId="27BD4B4D" w14:textId="77777777" w:rsidTr="00782C8A">
        <w:tc>
          <w:tcPr>
            <w:tcW w:w="2268" w:type="dxa"/>
          </w:tcPr>
          <w:p w14:paraId="68CBF333" w14:textId="77777777" w:rsidR="00780081" w:rsidRDefault="00780081" w:rsidP="00907CF7">
            <w:pPr>
              <w:spacing w:line="360" w:lineRule="auto"/>
            </w:pPr>
            <w:r>
              <w:t>Bahamas</w:t>
            </w:r>
          </w:p>
        </w:tc>
        <w:tc>
          <w:tcPr>
            <w:tcW w:w="2682" w:type="dxa"/>
          </w:tcPr>
          <w:p w14:paraId="733DDFBD" w14:textId="77777777" w:rsidR="00780081" w:rsidRPr="00907CF7" w:rsidRDefault="00780081" w:rsidP="00780081">
            <w:pPr>
              <w:tabs>
                <w:tab w:val="decimal" w:pos="702"/>
              </w:tabs>
              <w:spacing w:line="360" w:lineRule="auto"/>
            </w:pPr>
            <w:r>
              <w:t>.65</w:t>
            </w:r>
          </w:p>
        </w:tc>
      </w:tr>
    </w:tbl>
    <w:p w14:paraId="23FE8358" w14:textId="77777777" w:rsidR="000B3707" w:rsidRPr="00782C8A" w:rsidRDefault="00672186" w:rsidP="00782C8A">
      <w:pPr>
        <w:spacing w:before="240" w:line="240" w:lineRule="auto"/>
        <w:rPr>
          <w:b/>
        </w:rPr>
      </w:pPr>
      <w:r w:rsidRPr="00672186">
        <w:rPr>
          <w:i/>
          <w:sz w:val="22"/>
        </w:rPr>
        <w:t>Source:</w:t>
      </w:r>
      <w:r>
        <w:rPr>
          <w:sz w:val="22"/>
        </w:rPr>
        <w:t xml:space="preserve"> </w:t>
      </w:r>
      <w:r w:rsidR="00B85DC8">
        <w:rPr>
          <w:sz w:val="22"/>
        </w:rPr>
        <w:t>This table</w:t>
      </w:r>
      <w:r w:rsidR="00782C8A">
        <w:rPr>
          <w:sz w:val="22"/>
        </w:rPr>
        <w:t xml:space="preserve"> lists the 26 countries classified by da Costa </w:t>
      </w:r>
      <w:r w:rsidR="00782C8A" w:rsidRPr="00782C8A">
        <w:rPr>
          <w:i/>
          <w:sz w:val="22"/>
        </w:rPr>
        <w:t>et al.</w:t>
      </w:r>
      <w:r w:rsidR="00782C8A">
        <w:rPr>
          <w:i/>
          <w:sz w:val="22"/>
        </w:rPr>
        <w:t xml:space="preserve"> </w:t>
      </w:r>
      <w:r w:rsidR="00782C8A" w:rsidRPr="00782C8A">
        <w:rPr>
          <w:sz w:val="22"/>
        </w:rPr>
        <w:t>(1998, Exhibit 2)</w:t>
      </w:r>
      <w:r w:rsidR="00782C8A">
        <w:rPr>
          <w:i/>
          <w:sz w:val="22"/>
        </w:rPr>
        <w:t xml:space="preserve"> </w:t>
      </w:r>
      <w:r w:rsidR="00782C8A" w:rsidRPr="00782C8A">
        <w:rPr>
          <w:sz w:val="22"/>
        </w:rPr>
        <w:t>as belonging to</w:t>
      </w:r>
      <w:r w:rsidR="00782C8A">
        <w:rPr>
          <w:b/>
        </w:rPr>
        <w:t xml:space="preserve"> </w:t>
      </w:r>
      <w:r w:rsidR="00782C8A" w:rsidRPr="00782C8A">
        <w:t>a group led</w:t>
      </w:r>
      <w:r w:rsidR="00782C8A">
        <w:t xml:space="preserve"> by the US. They are shown in order of distance from the ‘British model’.</w:t>
      </w:r>
    </w:p>
    <w:p w14:paraId="76018D8C" w14:textId="77777777" w:rsidR="000210D1" w:rsidRDefault="000210D1" w:rsidP="008A63B7">
      <w:pPr>
        <w:spacing w:after="60" w:line="240" w:lineRule="auto"/>
        <w:rPr>
          <w:b/>
        </w:rPr>
      </w:pPr>
      <w:r>
        <w:rPr>
          <w:b/>
        </w:rPr>
        <w:br w:type="page"/>
      </w:r>
      <w:r w:rsidR="00EC5A26">
        <w:rPr>
          <w:b/>
        </w:rPr>
        <w:lastRenderedPageBreak/>
        <w:t>Table 4</w:t>
      </w:r>
      <w:r w:rsidR="00A20DD9">
        <w:rPr>
          <w:b/>
        </w:rPr>
        <w:t xml:space="preserve"> </w:t>
      </w:r>
    </w:p>
    <w:p w14:paraId="34A0381C" w14:textId="77777777" w:rsidR="00D001CA" w:rsidRPr="008A63B7" w:rsidRDefault="00222716" w:rsidP="00E71DF1">
      <w:pPr>
        <w:spacing w:line="240" w:lineRule="auto"/>
      </w:pPr>
      <w:r w:rsidRPr="00464CB8">
        <w:t xml:space="preserve">Goodrich’s </w:t>
      </w:r>
      <w:r w:rsidR="00A20DD9" w:rsidRPr="00464CB8">
        <w:t>“Group 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800"/>
      </w:tblGrid>
      <w:tr w:rsidR="00F9286D" w14:paraId="4F8A14C1" w14:textId="77777777" w:rsidTr="00A20DD9">
        <w:tc>
          <w:tcPr>
            <w:tcW w:w="1908" w:type="dxa"/>
          </w:tcPr>
          <w:p w14:paraId="01955494" w14:textId="77777777" w:rsidR="00F9286D" w:rsidRDefault="00F9286D" w:rsidP="00A20DD9">
            <w:pPr>
              <w:spacing w:line="360" w:lineRule="auto"/>
            </w:pPr>
          </w:p>
        </w:tc>
        <w:tc>
          <w:tcPr>
            <w:tcW w:w="1800" w:type="dxa"/>
            <w:tcBorders>
              <w:top w:val="single" w:sz="4" w:space="0" w:color="auto"/>
              <w:bottom w:val="single" w:sz="4" w:space="0" w:color="auto"/>
            </w:tcBorders>
          </w:tcPr>
          <w:p w14:paraId="58DA7367" w14:textId="77777777" w:rsidR="00F9286D" w:rsidRPr="00A20DD9" w:rsidRDefault="00F9286D" w:rsidP="00A20DD9">
            <w:pPr>
              <w:spacing w:line="360" w:lineRule="auto"/>
              <w:jc w:val="center"/>
              <w:rPr>
                <w:i/>
              </w:rPr>
            </w:pPr>
            <w:r>
              <w:rPr>
                <w:i/>
              </w:rPr>
              <w:t>Factor Load</w:t>
            </w:r>
          </w:p>
        </w:tc>
      </w:tr>
      <w:tr w:rsidR="00F9286D" w14:paraId="6CF13279" w14:textId="77777777" w:rsidTr="00A20DD9">
        <w:tc>
          <w:tcPr>
            <w:tcW w:w="1908" w:type="dxa"/>
          </w:tcPr>
          <w:p w14:paraId="7F4B0959" w14:textId="77777777" w:rsidR="00F9286D" w:rsidRDefault="00F9286D" w:rsidP="00A20DD9">
            <w:pPr>
              <w:spacing w:line="360" w:lineRule="auto"/>
            </w:pPr>
            <w:r>
              <w:t>Jersey</w:t>
            </w:r>
          </w:p>
        </w:tc>
        <w:tc>
          <w:tcPr>
            <w:tcW w:w="1800" w:type="dxa"/>
            <w:tcBorders>
              <w:top w:val="single" w:sz="4" w:space="0" w:color="auto"/>
            </w:tcBorders>
          </w:tcPr>
          <w:p w14:paraId="7CB2A858" w14:textId="77777777" w:rsidR="00F9286D" w:rsidRDefault="00F9286D" w:rsidP="00A20DD9">
            <w:pPr>
              <w:tabs>
                <w:tab w:val="decimal" w:pos="820"/>
              </w:tabs>
              <w:spacing w:line="360" w:lineRule="auto"/>
            </w:pPr>
            <w:r>
              <w:t>-.65</w:t>
            </w:r>
          </w:p>
        </w:tc>
      </w:tr>
      <w:tr w:rsidR="00F9286D" w14:paraId="3AAB2EE3" w14:textId="77777777" w:rsidTr="00A20DD9">
        <w:tc>
          <w:tcPr>
            <w:tcW w:w="1908" w:type="dxa"/>
          </w:tcPr>
          <w:p w14:paraId="7C2A4B8E" w14:textId="77777777" w:rsidR="00F9286D" w:rsidRDefault="00F9286D" w:rsidP="00A20DD9">
            <w:pPr>
              <w:spacing w:line="360" w:lineRule="auto"/>
            </w:pPr>
            <w:r>
              <w:t>Guatemala</w:t>
            </w:r>
          </w:p>
        </w:tc>
        <w:tc>
          <w:tcPr>
            <w:tcW w:w="1800" w:type="dxa"/>
          </w:tcPr>
          <w:p w14:paraId="7DA193AC" w14:textId="77777777" w:rsidR="00F9286D" w:rsidRDefault="00F9286D" w:rsidP="00A20DD9">
            <w:pPr>
              <w:tabs>
                <w:tab w:val="decimal" w:pos="820"/>
              </w:tabs>
              <w:spacing w:line="360" w:lineRule="auto"/>
            </w:pPr>
            <w:r>
              <w:t>-.63</w:t>
            </w:r>
          </w:p>
        </w:tc>
      </w:tr>
      <w:tr w:rsidR="00F9286D" w14:paraId="42520D2C" w14:textId="77777777" w:rsidTr="00A20DD9">
        <w:tc>
          <w:tcPr>
            <w:tcW w:w="1908" w:type="dxa"/>
          </w:tcPr>
          <w:p w14:paraId="5432889D" w14:textId="77777777" w:rsidR="00F9286D" w:rsidRDefault="00F9286D" w:rsidP="00A20DD9">
            <w:pPr>
              <w:spacing w:line="360" w:lineRule="auto"/>
            </w:pPr>
            <w:r>
              <w:t>Denmark</w:t>
            </w:r>
          </w:p>
        </w:tc>
        <w:tc>
          <w:tcPr>
            <w:tcW w:w="1800" w:type="dxa"/>
          </w:tcPr>
          <w:p w14:paraId="31AFDA2F" w14:textId="77777777" w:rsidR="00F9286D" w:rsidRDefault="00F9286D" w:rsidP="009741D1">
            <w:pPr>
              <w:tabs>
                <w:tab w:val="decimal" w:pos="820"/>
              </w:tabs>
              <w:spacing w:line="360" w:lineRule="auto"/>
            </w:pPr>
            <w:r>
              <w:t>-.60</w:t>
            </w:r>
          </w:p>
        </w:tc>
      </w:tr>
      <w:tr w:rsidR="00F9286D" w14:paraId="71CBC3CF" w14:textId="77777777" w:rsidTr="00A20DD9">
        <w:tc>
          <w:tcPr>
            <w:tcW w:w="1908" w:type="dxa"/>
          </w:tcPr>
          <w:p w14:paraId="60D0317E" w14:textId="77777777" w:rsidR="00F9286D" w:rsidRDefault="00F9286D" w:rsidP="00A20DD9">
            <w:pPr>
              <w:spacing w:line="360" w:lineRule="auto"/>
            </w:pPr>
            <w:r>
              <w:t>Panama</w:t>
            </w:r>
          </w:p>
        </w:tc>
        <w:tc>
          <w:tcPr>
            <w:tcW w:w="1800" w:type="dxa"/>
          </w:tcPr>
          <w:p w14:paraId="2E0786D1" w14:textId="77777777" w:rsidR="00F9286D" w:rsidRDefault="00F9286D" w:rsidP="00A20DD9">
            <w:pPr>
              <w:tabs>
                <w:tab w:val="decimal" w:pos="820"/>
              </w:tabs>
              <w:spacing w:line="360" w:lineRule="auto"/>
            </w:pPr>
            <w:r>
              <w:t>-.57</w:t>
            </w:r>
          </w:p>
        </w:tc>
      </w:tr>
      <w:tr w:rsidR="00F9286D" w14:paraId="3780B0E4" w14:textId="77777777" w:rsidTr="00A20DD9">
        <w:tc>
          <w:tcPr>
            <w:tcW w:w="1908" w:type="dxa"/>
          </w:tcPr>
          <w:p w14:paraId="3123CBC5" w14:textId="77777777" w:rsidR="00F9286D" w:rsidRDefault="00F9286D" w:rsidP="00A20DD9">
            <w:pPr>
              <w:spacing w:line="360" w:lineRule="auto"/>
            </w:pPr>
            <w:r>
              <w:t>Ecuador</w:t>
            </w:r>
          </w:p>
        </w:tc>
        <w:tc>
          <w:tcPr>
            <w:tcW w:w="1800" w:type="dxa"/>
          </w:tcPr>
          <w:p w14:paraId="454D09E0" w14:textId="77777777" w:rsidR="00F9286D" w:rsidRDefault="00F9286D" w:rsidP="00A20DD9">
            <w:pPr>
              <w:tabs>
                <w:tab w:val="decimal" w:pos="820"/>
              </w:tabs>
              <w:spacing w:line="360" w:lineRule="auto"/>
            </w:pPr>
            <w:r>
              <w:t>-.57</w:t>
            </w:r>
          </w:p>
        </w:tc>
      </w:tr>
      <w:tr w:rsidR="00F9286D" w14:paraId="645F767F" w14:textId="77777777" w:rsidTr="00A20DD9">
        <w:tc>
          <w:tcPr>
            <w:tcW w:w="1908" w:type="dxa"/>
          </w:tcPr>
          <w:p w14:paraId="5F0EDE7D" w14:textId="77777777" w:rsidR="00F9286D" w:rsidRDefault="00F9286D" w:rsidP="00A20DD9">
            <w:pPr>
              <w:spacing w:line="360" w:lineRule="auto"/>
            </w:pPr>
            <w:r>
              <w:t>Zaire</w:t>
            </w:r>
          </w:p>
        </w:tc>
        <w:tc>
          <w:tcPr>
            <w:tcW w:w="1800" w:type="dxa"/>
          </w:tcPr>
          <w:p w14:paraId="587A3C12" w14:textId="77777777" w:rsidR="00F9286D" w:rsidRDefault="00F9286D" w:rsidP="00A20DD9">
            <w:pPr>
              <w:tabs>
                <w:tab w:val="decimal" w:pos="820"/>
              </w:tabs>
              <w:spacing w:line="360" w:lineRule="auto"/>
            </w:pPr>
            <w:r>
              <w:t>-.53</w:t>
            </w:r>
          </w:p>
        </w:tc>
      </w:tr>
      <w:tr w:rsidR="00F9286D" w14:paraId="5ADEAF01" w14:textId="77777777" w:rsidTr="00A20DD9">
        <w:tc>
          <w:tcPr>
            <w:tcW w:w="1908" w:type="dxa"/>
          </w:tcPr>
          <w:p w14:paraId="3D51DEEC" w14:textId="77777777" w:rsidR="00F9286D" w:rsidRDefault="00F9286D" w:rsidP="00A20DD9">
            <w:pPr>
              <w:spacing w:line="360" w:lineRule="auto"/>
            </w:pPr>
            <w:r>
              <w:t>Ivory Coast</w:t>
            </w:r>
          </w:p>
        </w:tc>
        <w:tc>
          <w:tcPr>
            <w:tcW w:w="1800" w:type="dxa"/>
          </w:tcPr>
          <w:p w14:paraId="08E1D616" w14:textId="77777777" w:rsidR="00F9286D" w:rsidRDefault="00F9286D" w:rsidP="00A20DD9">
            <w:pPr>
              <w:tabs>
                <w:tab w:val="decimal" w:pos="820"/>
              </w:tabs>
              <w:spacing w:line="360" w:lineRule="auto"/>
            </w:pPr>
            <w:r>
              <w:t>-.52</w:t>
            </w:r>
          </w:p>
        </w:tc>
      </w:tr>
      <w:tr w:rsidR="00F9286D" w14:paraId="6DEC37CF" w14:textId="77777777" w:rsidTr="00A20DD9">
        <w:tc>
          <w:tcPr>
            <w:tcW w:w="1908" w:type="dxa"/>
          </w:tcPr>
          <w:p w14:paraId="2BECAF3A" w14:textId="77777777" w:rsidR="00F9286D" w:rsidRDefault="00F9286D" w:rsidP="00A20DD9">
            <w:pPr>
              <w:spacing w:line="360" w:lineRule="auto"/>
            </w:pPr>
            <w:r>
              <w:t>Senegal</w:t>
            </w:r>
          </w:p>
        </w:tc>
        <w:tc>
          <w:tcPr>
            <w:tcW w:w="1800" w:type="dxa"/>
          </w:tcPr>
          <w:p w14:paraId="320B1332" w14:textId="77777777" w:rsidR="00F9286D" w:rsidRDefault="00F9286D" w:rsidP="00A20DD9">
            <w:pPr>
              <w:tabs>
                <w:tab w:val="decimal" w:pos="820"/>
              </w:tabs>
              <w:spacing w:line="360" w:lineRule="auto"/>
            </w:pPr>
            <w:r>
              <w:t>-.52</w:t>
            </w:r>
          </w:p>
        </w:tc>
      </w:tr>
      <w:tr w:rsidR="00F9286D" w14:paraId="4A3DEAE5" w14:textId="77777777" w:rsidTr="00A20DD9">
        <w:tc>
          <w:tcPr>
            <w:tcW w:w="1908" w:type="dxa"/>
          </w:tcPr>
          <w:p w14:paraId="1A25E774" w14:textId="77777777" w:rsidR="00F9286D" w:rsidRDefault="00F9286D" w:rsidP="00A20DD9">
            <w:pPr>
              <w:spacing w:line="360" w:lineRule="auto"/>
            </w:pPr>
            <w:r>
              <w:t>Germany, W.</w:t>
            </w:r>
          </w:p>
        </w:tc>
        <w:tc>
          <w:tcPr>
            <w:tcW w:w="1800" w:type="dxa"/>
          </w:tcPr>
          <w:p w14:paraId="3B2D0C4E" w14:textId="77777777" w:rsidR="00F9286D" w:rsidRDefault="00F9286D" w:rsidP="00A20DD9">
            <w:pPr>
              <w:tabs>
                <w:tab w:val="decimal" w:pos="820"/>
              </w:tabs>
              <w:spacing w:line="360" w:lineRule="auto"/>
            </w:pPr>
            <w:r>
              <w:t>-.48</w:t>
            </w:r>
          </w:p>
        </w:tc>
      </w:tr>
      <w:tr w:rsidR="00F9286D" w14:paraId="48149F41" w14:textId="77777777" w:rsidTr="00A20DD9">
        <w:tc>
          <w:tcPr>
            <w:tcW w:w="1908" w:type="dxa"/>
          </w:tcPr>
          <w:p w14:paraId="446935DF" w14:textId="77777777" w:rsidR="00F9286D" w:rsidRDefault="00F9286D" w:rsidP="00A20DD9">
            <w:pPr>
              <w:spacing w:line="360" w:lineRule="auto"/>
            </w:pPr>
            <w:r>
              <w:t>Honduras</w:t>
            </w:r>
          </w:p>
        </w:tc>
        <w:tc>
          <w:tcPr>
            <w:tcW w:w="1800" w:type="dxa"/>
          </w:tcPr>
          <w:p w14:paraId="13448E52" w14:textId="77777777" w:rsidR="00F9286D" w:rsidRDefault="00F9286D" w:rsidP="00A20DD9">
            <w:pPr>
              <w:tabs>
                <w:tab w:val="decimal" w:pos="820"/>
              </w:tabs>
              <w:spacing w:line="360" w:lineRule="auto"/>
            </w:pPr>
            <w:r>
              <w:t>-.47</w:t>
            </w:r>
          </w:p>
        </w:tc>
      </w:tr>
      <w:tr w:rsidR="00F9286D" w14:paraId="725F5C5E" w14:textId="77777777" w:rsidTr="00A20DD9">
        <w:tc>
          <w:tcPr>
            <w:tcW w:w="1908" w:type="dxa"/>
          </w:tcPr>
          <w:p w14:paraId="5A2E54AE" w14:textId="77777777" w:rsidR="00F9286D" w:rsidRDefault="00F9286D" w:rsidP="00A20DD9">
            <w:pPr>
              <w:spacing w:line="360" w:lineRule="auto"/>
            </w:pPr>
            <w:r>
              <w:t>Italy</w:t>
            </w:r>
          </w:p>
        </w:tc>
        <w:tc>
          <w:tcPr>
            <w:tcW w:w="1800" w:type="dxa"/>
          </w:tcPr>
          <w:p w14:paraId="3E738FC5" w14:textId="77777777" w:rsidR="00F9286D" w:rsidRDefault="00F9286D" w:rsidP="00A20DD9">
            <w:pPr>
              <w:tabs>
                <w:tab w:val="decimal" w:pos="820"/>
              </w:tabs>
              <w:spacing w:line="360" w:lineRule="auto"/>
            </w:pPr>
            <w:r>
              <w:t>-.42</w:t>
            </w:r>
          </w:p>
        </w:tc>
      </w:tr>
      <w:tr w:rsidR="00F9286D" w14:paraId="0CCBA279" w14:textId="77777777" w:rsidTr="00A20DD9">
        <w:tc>
          <w:tcPr>
            <w:tcW w:w="1908" w:type="dxa"/>
          </w:tcPr>
          <w:p w14:paraId="4F678041" w14:textId="77777777" w:rsidR="00F9286D" w:rsidRDefault="00F9286D" w:rsidP="00A20DD9">
            <w:pPr>
              <w:spacing w:line="360" w:lineRule="auto"/>
            </w:pPr>
            <w:r>
              <w:t>Netherlands</w:t>
            </w:r>
          </w:p>
        </w:tc>
        <w:tc>
          <w:tcPr>
            <w:tcW w:w="1800" w:type="dxa"/>
          </w:tcPr>
          <w:p w14:paraId="50B00C10" w14:textId="77777777" w:rsidR="00F9286D" w:rsidRDefault="00F9286D" w:rsidP="00A20DD9">
            <w:pPr>
              <w:tabs>
                <w:tab w:val="decimal" w:pos="820"/>
              </w:tabs>
              <w:spacing w:line="360" w:lineRule="auto"/>
            </w:pPr>
            <w:r>
              <w:t>-.35</w:t>
            </w:r>
          </w:p>
        </w:tc>
      </w:tr>
    </w:tbl>
    <w:p w14:paraId="7B24BB91" w14:textId="64E018D6" w:rsidR="002A54CF" w:rsidRPr="003B422A" w:rsidRDefault="00A10AE6" w:rsidP="00672186">
      <w:pPr>
        <w:spacing w:before="240" w:line="240" w:lineRule="auto"/>
        <w:rPr>
          <w:sz w:val="22"/>
        </w:rPr>
      </w:pPr>
      <w:r w:rsidRPr="003B422A">
        <w:rPr>
          <w:i/>
          <w:sz w:val="22"/>
        </w:rPr>
        <w:t xml:space="preserve">Source: </w:t>
      </w:r>
      <w:r w:rsidR="00672186" w:rsidRPr="00672186">
        <w:rPr>
          <w:sz w:val="22"/>
        </w:rPr>
        <w:t>This table is extracted from</w:t>
      </w:r>
      <w:r w:rsidR="00672186">
        <w:rPr>
          <w:i/>
          <w:sz w:val="22"/>
        </w:rPr>
        <w:t xml:space="preserve"> </w:t>
      </w:r>
      <w:r w:rsidR="00672186">
        <w:rPr>
          <w:sz w:val="22"/>
        </w:rPr>
        <w:t xml:space="preserve">Goodrich (1982, Table 8). Of the </w:t>
      </w:r>
      <w:r w:rsidR="00670C52">
        <w:rPr>
          <w:sz w:val="22"/>
        </w:rPr>
        <w:t xml:space="preserve">64 </w:t>
      </w:r>
      <w:r w:rsidR="00672186">
        <w:rPr>
          <w:sz w:val="22"/>
        </w:rPr>
        <w:t xml:space="preserve">countries in the PW </w:t>
      </w:r>
      <w:r w:rsidR="00CB7C6F">
        <w:rPr>
          <w:sz w:val="22"/>
        </w:rPr>
        <w:t xml:space="preserve">1979 </w:t>
      </w:r>
      <w:r w:rsidR="00672186">
        <w:rPr>
          <w:sz w:val="22"/>
        </w:rPr>
        <w:t xml:space="preserve">data, it shows the 12 countries classified as </w:t>
      </w:r>
      <w:r w:rsidR="00F9286D">
        <w:rPr>
          <w:sz w:val="22"/>
        </w:rPr>
        <w:t>Group V by Goodrich</w:t>
      </w:r>
      <w:r w:rsidR="00672186">
        <w:rPr>
          <w:sz w:val="22"/>
        </w:rPr>
        <w:t>.</w:t>
      </w:r>
      <w:r w:rsidR="00F9286D">
        <w:rPr>
          <w:sz w:val="22"/>
        </w:rPr>
        <w:t xml:space="preserve"> </w:t>
      </w:r>
    </w:p>
    <w:p w14:paraId="4B3CB20B" w14:textId="77777777" w:rsidR="002B7139" w:rsidRDefault="002B7139"/>
    <w:p w14:paraId="72874050" w14:textId="77777777" w:rsidR="002B7139" w:rsidRDefault="002B7139"/>
    <w:p w14:paraId="49BB219E" w14:textId="77777777" w:rsidR="002B7139" w:rsidRDefault="002B7139"/>
    <w:p w14:paraId="2B057B3F" w14:textId="77777777" w:rsidR="002B7139" w:rsidRDefault="002B7139"/>
    <w:p w14:paraId="0C55F95B" w14:textId="77777777" w:rsidR="002B7139" w:rsidRDefault="002B7139"/>
    <w:p w14:paraId="594BC6E3" w14:textId="77777777" w:rsidR="002B7139" w:rsidRDefault="002B7139"/>
    <w:p w14:paraId="4B19E076" w14:textId="77777777" w:rsidR="002B7139" w:rsidRDefault="002B7139"/>
    <w:p w14:paraId="3AC4DB38" w14:textId="77777777" w:rsidR="002B7139" w:rsidRDefault="002B7139"/>
    <w:p w14:paraId="2D1AD0B5" w14:textId="77777777" w:rsidR="002B7139" w:rsidRDefault="002B7139"/>
    <w:p w14:paraId="78C56FAA" w14:textId="77777777" w:rsidR="002B7139" w:rsidRDefault="002B7139" w:rsidP="002B7139">
      <w:pPr>
        <w:spacing w:after="60" w:line="240" w:lineRule="auto"/>
        <w:rPr>
          <w:b/>
        </w:rPr>
      </w:pPr>
      <w:r>
        <w:rPr>
          <w:b/>
        </w:rPr>
        <w:lastRenderedPageBreak/>
        <w:t>Table 5</w:t>
      </w:r>
    </w:p>
    <w:p w14:paraId="4959CAA3" w14:textId="77777777" w:rsidR="002B7139" w:rsidRDefault="002B7139" w:rsidP="002B7139">
      <w:pPr>
        <w:spacing w:line="240" w:lineRule="auto"/>
      </w:pPr>
      <w:r>
        <w:t>EU private firms voluntarily “adopting” IAS, 1999/2000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10"/>
      </w:tblGrid>
      <w:tr w:rsidR="002B7139" w14:paraId="7D92B61E" w14:textId="77777777" w:rsidTr="004A2EF5">
        <w:tc>
          <w:tcPr>
            <w:tcW w:w="2268" w:type="dxa"/>
            <w:tcBorders>
              <w:top w:val="single" w:sz="4" w:space="0" w:color="auto"/>
              <w:bottom w:val="single" w:sz="4" w:space="0" w:color="auto"/>
            </w:tcBorders>
          </w:tcPr>
          <w:p w14:paraId="14BFAF0D" w14:textId="77777777" w:rsidR="002B7139" w:rsidRPr="00FC6EA0" w:rsidRDefault="002B7139" w:rsidP="004A2EF5">
            <w:pPr>
              <w:spacing w:line="360" w:lineRule="auto"/>
              <w:rPr>
                <w:i/>
              </w:rPr>
            </w:pPr>
            <w:r>
              <w:rPr>
                <w:i/>
              </w:rPr>
              <w:t>Country</w:t>
            </w:r>
          </w:p>
        </w:tc>
        <w:tc>
          <w:tcPr>
            <w:tcW w:w="2610" w:type="dxa"/>
            <w:tcBorders>
              <w:top w:val="single" w:sz="4" w:space="0" w:color="auto"/>
              <w:bottom w:val="single" w:sz="4" w:space="0" w:color="auto"/>
            </w:tcBorders>
          </w:tcPr>
          <w:p w14:paraId="18AB456A" w14:textId="77777777" w:rsidR="002B7139" w:rsidRPr="00FC6EA0" w:rsidRDefault="002B7139" w:rsidP="004A2EF5">
            <w:pPr>
              <w:spacing w:line="360" w:lineRule="auto"/>
              <w:jc w:val="center"/>
              <w:rPr>
                <w:i/>
              </w:rPr>
            </w:pPr>
            <w:r>
              <w:rPr>
                <w:i/>
              </w:rPr>
              <w:t>% of firms adopting IAS</w:t>
            </w:r>
          </w:p>
        </w:tc>
      </w:tr>
      <w:tr w:rsidR="002B7139" w14:paraId="686AA77B" w14:textId="77777777" w:rsidTr="004A2EF5">
        <w:tc>
          <w:tcPr>
            <w:tcW w:w="2268" w:type="dxa"/>
            <w:tcBorders>
              <w:top w:val="single" w:sz="4" w:space="0" w:color="auto"/>
            </w:tcBorders>
          </w:tcPr>
          <w:p w14:paraId="00618919" w14:textId="77777777" w:rsidR="002B7139" w:rsidRDefault="002B7139" w:rsidP="004A2EF5">
            <w:pPr>
              <w:spacing w:line="360" w:lineRule="auto"/>
            </w:pPr>
            <w:r>
              <w:t>France</w:t>
            </w:r>
          </w:p>
        </w:tc>
        <w:tc>
          <w:tcPr>
            <w:tcW w:w="2610" w:type="dxa"/>
            <w:tcBorders>
              <w:top w:val="single" w:sz="4" w:space="0" w:color="auto"/>
            </w:tcBorders>
          </w:tcPr>
          <w:p w14:paraId="38D542A6" w14:textId="77777777" w:rsidR="002B7139" w:rsidRDefault="002B7139" w:rsidP="004A2EF5">
            <w:pPr>
              <w:tabs>
                <w:tab w:val="right" w:pos="1497"/>
              </w:tabs>
              <w:spacing w:line="360" w:lineRule="auto"/>
            </w:pPr>
            <w:r>
              <w:tab/>
              <w:t>47</w:t>
            </w:r>
          </w:p>
        </w:tc>
      </w:tr>
      <w:tr w:rsidR="002B7139" w14:paraId="7AED210F" w14:textId="77777777" w:rsidTr="004A2EF5">
        <w:tc>
          <w:tcPr>
            <w:tcW w:w="2268" w:type="dxa"/>
          </w:tcPr>
          <w:p w14:paraId="5EA8055B" w14:textId="77777777" w:rsidR="002B7139" w:rsidRDefault="002B7139" w:rsidP="004A2EF5">
            <w:pPr>
              <w:spacing w:line="360" w:lineRule="auto"/>
            </w:pPr>
            <w:r>
              <w:t>Germany</w:t>
            </w:r>
          </w:p>
        </w:tc>
        <w:tc>
          <w:tcPr>
            <w:tcW w:w="2610" w:type="dxa"/>
          </w:tcPr>
          <w:p w14:paraId="6EE24E92" w14:textId="77777777" w:rsidR="002B7139" w:rsidRDefault="002B7139" w:rsidP="004A2EF5">
            <w:pPr>
              <w:tabs>
                <w:tab w:val="right" w:pos="1497"/>
              </w:tabs>
              <w:spacing w:line="360" w:lineRule="auto"/>
            </w:pPr>
            <w:r>
              <w:tab/>
              <w:t>44</w:t>
            </w:r>
          </w:p>
        </w:tc>
      </w:tr>
      <w:tr w:rsidR="002B7139" w14:paraId="1E1E4DA2" w14:textId="77777777" w:rsidTr="004A2EF5">
        <w:tc>
          <w:tcPr>
            <w:tcW w:w="2268" w:type="dxa"/>
          </w:tcPr>
          <w:p w14:paraId="761A3D8C" w14:textId="77777777" w:rsidR="002B7139" w:rsidRDefault="002B7139" w:rsidP="004A2EF5">
            <w:pPr>
              <w:spacing w:line="360" w:lineRule="auto"/>
            </w:pPr>
            <w:r>
              <w:t>Italy</w:t>
            </w:r>
          </w:p>
        </w:tc>
        <w:tc>
          <w:tcPr>
            <w:tcW w:w="2610" w:type="dxa"/>
          </w:tcPr>
          <w:p w14:paraId="67B822DC" w14:textId="77777777" w:rsidR="002B7139" w:rsidRDefault="002B7139" w:rsidP="004A2EF5">
            <w:pPr>
              <w:tabs>
                <w:tab w:val="right" w:pos="1497"/>
              </w:tabs>
              <w:spacing w:line="360" w:lineRule="auto"/>
            </w:pPr>
            <w:r>
              <w:tab/>
              <w:t>59</w:t>
            </w:r>
          </w:p>
        </w:tc>
      </w:tr>
      <w:tr w:rsidR="002B7139" w14:paraId="076B0A10" w14:textId="77777777" w:rsidTr="004A2EF5">
        <w:tc>
          <w:tcPr>
            <w:tcW w:w="2268" w:type="dxa"/>
          </w:tcPr>
          <w:p w14:paraId="0B94EF0F" w14:textId="77777777" w:rsidR="002B7139" w:rsidRDefault="002B7139" w:rsidP="004A2EF5">
            <w:pPr>
              <w:spacing w:line="360" w:lineRule="auto"/>
            </w:pPr>
            <w:r>
              <w:t>Portugal</w:t>
            </w:r>
          </w:p>
        </w:tc>
        <w:tc>
          <w:tcPr>
            <w:tcW w:w="2610" w:type="dxa"/>
          </w:tcPr>
          <w:p w14:paraId="6BA3D68F" w14:textId="77777777" w:rsidR="002B7139" w:rsidRDefault="002B7139" w:rsidP="004A2EF5">
            <w:pPr>
              <w:tabs>
                <w:tab w:val="right" w:pos="1497"/>
              </w:tabs>
              <w:spacing w:line="360" w:lineRule="auto"/>
            </w:pPr>
            <w:r>
              <w:tab/>
              <w:t>87</w:t>
            </w:r>
          </w:p>
        </w:tc>
      </w:tr>
      <w:tr w:rsidR="002B7139" w14:paraId="1146041B" w14:textId="77777777" w:rsidTr="004A2EF5">
        <w:tc>
          <w:tcPr>
            <w:tcW w:w="2268" w:type="dxa"/>
          </w:tcPr>
          <w:p w14:paraId="306DC0AF" w14:textId="77777777" w:rsidR="002B7139" w:rsidRDefault="002B7139" w:rsidP="004A2EF5">
            <w:pPr>
              <w:spacing w:line="360" w:lineRule="auto"/>
            </w:pPr>
            <w:r>
              <w:t>Spain</w:t>
            </w:r>
          </w:p>
        </w:tc>
        <w:tc>
          <w:tcPr>
            <w:tcW w:w="2610" w:type="dxa"/>
          </w:tcPr>
          <w:p w14:paraId="7D85CE3D" w14:textId="77777777" w:rsidR="002B7139" w:rsidRDefault="002B7139" w:rsidP="004A2EF5">
            <w:pPr>
              <w:tabs>
                <w:tab w:val="right" w:pos="1497"/>
              </w:tabs>
              <w:spacing w:line="360" w:lineRule="auto"/>
            </w:pPr>
            <w:r>
              <w:tab/>
              <w:t>33</w:t>
            </w:r>
          </w:p>
        </w:tc>
      </w:tr>
      <w:tr w:rsidR="002B7139" w14:paraId="29D1EBAB" w14:textId="77777777" w:rsidTr="004A2EF5">
        <w:tc>
          <w:tcPr>
            <w:tcW w:w="2268" w:type="dxa"/>
          </w:tcPr>
          <w:p w14:paraId="461842B8" w14:textId="77777777" w:rsidR="002B7139" w:rsidRDefault="002B7139" w:rsidP="004A2EF5">
            <w:pPr>
              <w:spacing w:line="360" w:lineRule="auto"/>
            </w:pPr>
            <w:r>
              <w:t>Sweden</w:t>
            </w:r>
          </w:p>
        </w:tc>
        <w:tc>
          <w:tcPr>
            <w:tcW w:w="2610" w:type="dxa"/>
          </w:tcPr>
          <w:p w14:paraId="2BC46E8D" w14:textId="77777777" w:rsidR="002B7139" w:rsidRDefault="002B7139" w:rsidP="004A2EF5">
            <w:pPr>
              <w:tabs>
                <w:tab w:val="right" w:pos="1497"/>
              </w:tabs>
              <w:spacing w:line="360" w:lineRule="auto"/>
            </w:pPr>
            <w:r>
              <w:tab/>
              <w:t>76</w:t>
            </w:r>
          </w:p>
        </w:tc>
      </w:tr>
    </w:tbl>
    <w:p w14:paraId="754ACDCB" w14:textId="34BD4215" w:rsidR="002B7139" w:rsidRPr="003B422A" w:rsidRDefault="002B7139" w:rsidP="00D05813">
      <w:pPr>
        <w:spacing w:before="240" w:line="240" w:lineRule="auto"/>
        <w:rPr>
          <w:sz w:val="22"/>
        </w:rPr>
      </w:pPr>
      <w:r w:rsidRPr="003B422A">
        <w:rPr>
          <w:i/>
          <w:sz w:val="22"/>
        </w:rPr>
        <w:t>Source</w:t>
      </w:r>
      <w:r>
        <w:rPr>
          <w:sz w:val="22"/>
        </w:rPr>
        <w:t xml:space="preserve">: </w:t>
      </w:r>
      <w:r w:rsidRPr="003B422A">
        <w:rPr>
          <w:sz w:val="22"/>
        </w:rPr>
        <w:t xml:space="preserve">Extracted from Francis </w:t>
      </w:r>
      <w:r w:rsidRPr="003B422A">
        <w:rPr>
          <w:i/>
          <w:sz w:val="22"/>
        </w:rPr>
        <w:t>et al</w:t>
      </w:r>
      <w:r w:rsidRPr="003B422A">
        <w:rPr>
          <w:sz w:val="22"/>
        </w:rPr>
        <w:t>. (2008, Table 1).</w:t>
      </w:r>
      <w:r>
        <w:rPr>
          <w:sz w:val="22"/>
        </w:rPr>
        <w:t xml:space="preserve"> The original table contains scores f</w:t>
      </w:r>
      <w:r w:rsidR="00C66C62">
        <w:rPr>
          <w:sz w:val="22"/>
        </w:rPr>
        <w:t>or 56 countries. This table shows only</w:t>
      </w:r>
      <w:r>
        <w:rPr>
          <w:sz w:val="22"/>
        </w:rPr>
        <w:t xml:space="preserve"> those relating to EU members in 1999/2000.</w:t>
      </w:r>
    </w:p>
    <w:p w14:paraId="51C5DA4F" w14:textId="77777777" w:rsidR="009741D1" w:rsidRDefault="009741D1">
      <w:r>
        <w:br w:type="page"/>
      </w:r>
    </w:p>
    <w:p w14:paraId="2E54E264" w14:textId="77777777" w:rsidR="00E71DF1" w:rsidRDefault="002B7139" w:rsidP="00E71DF1">
      <w:pPr>
        <w:spacing w:line="240" w:lineRule="auto"/>
        <w:rPr>
          <w:b/>
        </w:rPr>
      </w:pPr>
      <w:r>
        <w:rPr>
          <w:b/>
        </w:rPr>
        <w:lastRenderedPageBreak/>
        <w:t>Table 6</w:t>
      </w:r>
    </w:p>
    <w:p w14:paraId="097DDA11" w14:textId="77777777" w:rsidR="00E71DF1" w:rsidRDefault="00E71DF1" w:rsidP="00C035D5">
      <w:pPr>
        <w:spacing w:after="240" w:line="240" w:lineRule="auto"/>
      </w:pPr>
      <w:r>
        <w:t>Public enforcement scores</w:t>
      </w:r>
    </w:p>
    <w:p w14:paraId="3C237972" w14:textId="77777777" w:rsidR="00900AA2" w:rsidRDefault="00900AA2" w:rsidP="00C035D5">
      <w:pPr>
        <w:spacing w:after="2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350"/>
      </w:tblGrid>
      <w:tr w:rsidR="00E71DF1" w14:paraId="0B4E80F4" w14:textId="77777777" w:rsidTr="00C035D5">
        <w:tc>
          <w:tcPr>
            <w:tcW w:w="1818" w:type="dxa"/>
          </w:tcPr>
          <w:p w14:paraId="37F6D7E4" w14:textId="77777777" w:rsidR="00E71DF1" w:rsidRDefault="00C035D5" w:rsidP="00E71DF1">
            <w:pPr>
              <w:spacing w:line="360" w:lineRule="auto"/>
            </w:pPr>
            <w:r>
              <w:t>Philippines</w:t>
            </w:r>
          </w:p>
        </w:tc>
        <w:tc>
          <w:tcPr>
            <w:tcW w:w="1350" w:type="dxa"/>
          </w:tcPr>
          <w:p w14:paraId="13C518A0" w14:textId="77777777" w:rsidR="00E71DF1" w:rsidRDefault="00C035D5" w:rsidP="00C035D5">
            <w:pPr>
              <w:tabs>
                <w:tab w:val="decimal" w:pos="432"/>
              </w:tabs>
              <w:spacing w:line="360" w:lineRule="auto"/>
            </w:pPr>
            <w:r>
              <w:t>0.83</w:t>
            </w:r>
          </w:p>
        </w:tc>
      </w:tr>
      <w:tr w:rsidR="00E71DF1" w14:paraId="77D1E19D" w14:textId="77777777" w:rsidTr="00C035D5">
        <w:tc>
          <w:tcPr>
            <w:tcW w:w="1818" w:type="dxa"/>
          </w:tcPr>
          <w:p w14:paraId="5DB5C769" w14:textId="77777777" w:rsidR="00E71DF1" w:rsidRDefault="00C035D5" w:rsidP="00E71DF1">
            <w:pPr>
              <w:spacing w:line="360" w:lineRule="auto"/>
            </w:pPr>
            <w:r>
              <w:t>Peru</w:t>
            </w:r>
          </w:p>
        </w:tc>
        <w:tc>
          <w:tcPr>
            <w:tcW w:w="1350" w:type="dxa"/>
          </w:tcPr>
          <w:p w14:paraId="21AFFEE2" w14:textId="77777777" w:rsidR="00E71DF1" w:rsidRDefault="00C035D5" w:rsidP="00C035D5">
            <w:pPr>
              <w:tabs>
                <w:tab w:val="decimal" w:pos="432"/>
              </w:tabs>
              <w:spacing w:line="360" w:lineRule="auto"/>
            </w:pPr>
            <w:r>
              <w:t>0.78</w:t>
            </w:r>
          </w:p>
        </w:tc>
      </w:tr>
      <w:tr w:rsidR="00E71DF1" w14:paraId="76A00CA9" w14:textId="77777777" w:rsidTr="00C035D5">
        <w:tc>
          <w:tcPr>
            <w:tcW w:w="1818" w:type="dxa"/>
          </w:tcPr>
          <w:p w14:paraId="49C9491C" w14:textId="77777777" w:rsidR="00E71DF1" w:rsidRDefault="00C035D5" w:rsidP="00E71DF1">
            <w:pPr>
              <w:spacing w:line="360" w:lineRule="auto"/>
            </w:pPr>
            <w:r>
              <w:t>Malaysia</w:t>
            </w:r>
          </w:p>
        </w:tc>
        <w:tc>
          <w:tcPr>
            <w:tcW w:w="1350" w:type="dxa"/>
          </w:tcPr>
          <w:p w14:paraId="4A06816D" w14:textId="77777777" w:rsidR="00E71DF1" w:rsidRDefault="00C035D5" w:rsidP="00C035D5">
            <w:pPr>
              <w:tabs>
                <w:tab w:val="decimal" w:pos="432"/>
              </w:tabs>
              <w:spacing w:line="360" w:lineRule="auto"/>
            </w:pPr>
            <w:r>
              <w:t>0.77</w:t>
            </w:r>
          </w:p>
        </w:tc>
      </w:tr>
      <w:tr w:rsidR="00E71DF1" w14:paraId="3B3CCA58" w14:textId="77777777" w:rsidTr="00C035D5">
        <w:tc>
          <w:tcPr>
            <w:tcW w:w="1818" w:type="dxa"/>
          </w:tcPr>
          <w:p w14:paraId="751295F8" w14:textId="77777777" w:rsidR="00E71DF1" w:rsidRDefault="00C035D5" w:rsidP="00E71DF1">
            <w:pPr>
              <w:spacing w:line="360" w:lineRule="auto"/>
            </w:pPr>
            <w:r>
              <w:t>Thailand</w:t>
            </w:r>
          </w:p>
        </w:tc>
        <w:tc>
          <w:tcPr>
            <w:tcW w:w="1350" w:type="dxa"/>
          </w:tcPr>
          <w:p w14:paraId="65103E8E" w14:textId="77777777" w:rsidR="00E71DF1" w:rsidRDefault="00C035D5" w:rsidP="00C035D5">
            <w:pPr>
              <w:tabs>
                <w:tab w:val="decimal" w:pos="432"/>
              </w:tabs>
              <w:spacing w:line="360" w:lineRule="auto"/>
            </w:pPr>
            <w:r>
              <w:t>0.72</w:t>
            </w:r>
          </w:p>
        </w:tc>
      </w:tr>
      <w:tr w:rsidR="00E71DF1" w14:paraId="7CEAA737" w14:textId="77777777" w:rsidTr="00C035D5">
        <w:tc>
          <w:tcPr>
            <w:tcW w:w="1818" w:type="dxa"/>
          </w:tcPr>
          <w:p w14:paraId="262B5601" w14:textId="77777777" w:rsidR="00E71DF1" w:rsidRDefault="00C035D5" w:rsidP="00E71DF1">
            <w:pPr>
              <w:spacing w:line="360" w:lineRule="auto"/>
            </w:pPr>
            <w:r>
              <w:t>UK</w:t>
            </w:r>
          </w:p>
        </w:tc>
        <w:tc>
          <w:tcPr>
            <w:tcW w:w="1350" w:type="dxa"/>
          </w:tcPr>
          <w:p w14:paraId="678F3B81" w14:textId="77777777" w:rsidR="00E71DF1" w:rsidRDefault="00C035D5" w:rsidP="00C035D5">
            <w:pPr>
              <w:tabs>
                <w:tab w:val="decimal" w:pos="432"/>
              </w:tabs>
              <w:spacing w:line="360" w:lineRule="auto"/>
            </w:pPr>
            <w:r>
              <w:t>0.68</w:t>
            </w:r>
          </w:p>
        </w:tc>
      </w:tr>
      <w:tr w:rsidR="00E71DF1" w14:paraId="203199BD" w14:textId="77777777" w:rsidTr="00C035D5">
        <w:tc>
          <w:tcPr>
            <w:tcW w:w="1818" w:type="dxa"/>
          </w:tcPr>
          <w:p w14:paraId="511DE3A3" w14:textId="77777777" w:rsidR="00E71DF1" w:rsidRDefault="00C035D5" w:rsidP="00E71DF1">
            <w:pPr>
              <w:spacing w:line="360" w:lineRule="auto"/>
            </w:pPr>
            <w:r>
              <w:t>Zimbabwe</w:t>
            </w:r>
          </w:p>
        </w:tc>
        <w:tc>
          <w:tcPr>
            <w:tcW w:w="1350" w:type="dxa"/>
          </w:tcPr>
          <w:p w14:paraId="02B2CB65" w14:textId="77777777" w:rsidR="00E71DF1" w:rsidRDefault="00C035D5" w:rsidP="00C035D5">
            <w:pPr>
              <w:tabs>
                <w:tab w:val="decimal" w:pos="432"/>
              </w:tabs>
              <w:spacing w:line="360" w:lineRule="auto"/>
            </w:pPr>
            <w:r>
              <w:t>0.42</w:t>
            </w:r>
          </w:p>
        </w:tc>
      </w:tr>
      <w:tr w:rsidR="00E71DF1" w14:paraId="76C1521A" w14:textId="77777777" w:rsidTr="00C035D5">
        <w:tc>
          <w:tcPr>
            <w:tcW w:w="1818" w:type="dxa"/>
          </w:tcPr>
          <w:p w14:paraId="29E3BC68" w14:textId="77777777" w:rsidR="00E71DF1" w:rsidRDefault="00C035D5" w:rsidP="00E71DF1">
            <w:pPr>
              <w:spacing w:line="360" w:lineRule="auto"/>
            </w:pPr>
            <w:r>
              <w:t>Germany</w:t>
            </w:r>
          </w:p>
        </w:tc>
        <w:tc>
          <w:tcPr>
            <w:tcW w:w="1350" w:type="dxa"/>
          </w:tcPr>
          <w:p w14:paraId="20BFBCF9" w14:textId="77777777" w:rsidR="00E71DF1" w:rsidRDefault="00C035D5" w:rsidP="00C035D5">
            <w:pPr>
              <w:tabs>
                <w:tab w:val="decimal" w:pos="432"/>
              </w:tabs>
              <w:spacing w:line="360" w:lineRule="auto"/>
            </w:pPr>
            <w:r>
              <w:t>0.22</w:t>
            </w:r>
          </w:p>
        </w:tc>
      </w:tr>
      <w:tr w:rsidR="00E71DF1" w14:paraId="240B7919" w14:textId="77777777" w:rsidTr="00C035D5">
        <w:tc>
          <w:tcPr>
            <w:tcW w:w="1818" w:type="dxa"/>
          </w:tcPr>
          <w:p w14:paraId="7177B1BE" w14:textId="77777777" w:rsidR="00E71DF1" w:rsidRDefault="00C035D5" w:rsidP="00E71DF1">
            <w:pPr>
              <w:spacing w:line="360" w:lineRule="auto"/>
            </w:pPr>
            <w:r>
              <w:t>Japan</w:t>
            </w:r>
          </w:p>
        </w:tc>
        <w:tc>
          <w:tcPr>
            <w:tcW w:w="1350" w:type="dxa"/>
          </w:tcPr>
          <w:p w14:paraId="17EAC16F" w14:textId="77777777" w:rsidR="00E71DF1" w:rsidRDefault="00C035D5" w:rsidP="00C035D5">
            <w:pPr>
              <w:tabs>
                <w:tab w:val="decimal" w:pos="432"/>
              </w:tabs>
              <w:spacing w:line="360" w:lineRule="auto"/>
            </w:pPr>
            <w:r>
              <w:t>0.00</w:t>
            </w:r>
          </w:p>
        </w:tc>
      </w:tr>
    </w:tbl>
    <w:p w14:paraId="67316947" w14:textId="77777777" w:rsidR="00C035D5" w:rsidRDefault="00C035D5" w:rsidP="00C035D5">
      <w:pPr>
        <w:spacing w:after="0" w:line="240" w:lineRule="auto"/>
      </w:pPr>
    </w:p>
    <w:p w14:paraId="6DA0C7A5" w14:textId="759C33C1" w:rsidR="000210D1" w:rsidRPr="003B422A" w:rsidRDefault="00C035D5" w:rsidP="00C035D5">
      <w:pPr>
        <w:spacing w:after="0" w:line="240" w:lineRule="auto"/>
        <w:rPr>
          <w:sz w:val="22"/>
        </w:rPr>
      </w:pPr>
      <w:r w:rsidRPr="003B422A">
        <w:rPr>
          <w:i/>
          <w:sz w:val="22"/>
        </w:rPr>
        <w:t>Source</w:t>
      </w:r>
      <w:r w:rsidRPr="003B422A">
        <w:rPr>
          <w:sz w:val="22"/>
        </w:rPr>
        <w:t xml:space="preserve">: </w:t>
      </w:r>
      <w:r w:rsidR="00A10AE6" w:rsidRPr="003B422A">
        <w:rPr>
          <w:sz w:val="22"/>
        </w:rPr>
        <w:t xml:space="preserve">Extracted from </w:t>
      </w:r>
      <w:r w:rsidRPr="003B422A">
        <w:rPr>
          <w:sz w:val="22"/>
        </w:rPr>
        <w:t xml:space="preserve">La Porta </w:t>
      </w:r>
      <w:r w:rsidRPr="003B422A">
        <w:rPr>
          <w:i/>
          <w:sz w:val="22"/>
        </w:rPr>
        <w:t>et al</w:t>
      </w:r>
      <w:r w:rsidRPr="003B422A">
        <w:rPr>
          <w:sz w:val="22"/>
        </w:rPr>
        <w:t>. (2006, Table II)</w:t>
      </w:r>
      <w:r w:rsidR="00900AA2" w:rsidRPr="003B422A">
        <w:rPr>
          <w:sz w:val="22"/>
        </w:rPr>
        <w:t>, as</w:t>
      </w:r>
      <w:r w:rsidRPr="003B422A">
        <w:rPr>
          <w:sz w:val="22"/>
        </w:rPr>
        <w:t xml:space="preserve"> rep</w:t>
      </w:r>
      <w:r w:rsidR="00A10AE6" w:rsidRPr="003B422A">
        <w:rPr>
          <w:sz w:val="22"/>
        </w:rPr>
        <w:t xml:space="preserve">roduced in </w:t>
      </w:r>
      <w:proofErr w:type="spellStart"/>
      <w:r w:rsidR="00A10AE6" w:rsidRPr="003B422A">
        <w:rPr>
          <w:sz w:val="22"/>
        </w:rPr>
        <w:t>Shima</w:t>
      </w:r>
      <w:proofErr w:type="spellEnd"/>
      <w:r w:rsidR="00A10AE6" w:rsidRPr="003B422A">
        <w:rPr>
          <w:sz w:val="22"/>
        </w:rPr>
        <w:t xml:space="preserve"> and Gordon (201</w:t>
      </w:r>
      <w:r w:rsidRPr="003B422A">
        <w:rPr>
          <w:sz w:val="22"/>
        </w:rPr>
        <w:t>1, Table 3).</w:t>
      </w:r>
      <w:r w:rsidR="00672186">
        <w:rPr>
          <w:sz w:val="22"/>
        </w:rPr>
        <w:t xml:space="preserve"> The</w:t>
      </w:r>
      <w:r w:rsidR="00541D3B">
        <w:rPr>
          <w:sz w:val="22"/>
        </w:rPr>
        <w:t xml:space="preserve"> table shows scores for a </w:t>
      </w:r>
      <w:r w:rsidR="00572FD4">
        <w:rPr>
          <w:sz w:val="22"/>
        </w:rPr>
        <w:t>selection</w:t>
      </w:r>
      <w:r w:rsidR="00541D3B">
        <w:rPr>
          <w:sz w:val="22"/>
        </w:rPr>
        <w:t xml:space="preserve"> of 8 of the 44 co</w:t>
      </w:r>
      <w:r w:rsidR="00EB55AD">
        <w:rPr>
          <w:sz w:val="22"/>
        </w:rPr>
        <w:t>untries in the latter paper</w:t>
      </w:r>
      <w:r w:rsidR="00C66C62">
        <w:rPr>
          <w:sz w:val="22"/>
        </w:rPr>
        <w:t>. The author has</w:t>
      </w:r>
      <w:r w:rsidR="00541D3B">
        <w:rPr>
          <w:sz w:val="22"/>
        </w:rPr>
        <w:t xml:space="preserve"> put them i</w:t>
      </w:r>
      <w:r w:rsidR="00EB55AD">
        <w:rPr>
          <w:sz w:val="22"/>
        </w:rPr>
        <w:t>n decreasing order of level of “public enforcement”</w:t>
      </w:r>
      <w:r w:rsidR="00541D3B">
        <w:rPr>
          <w:sz w:val="22"/>
        </w:rPr>
        <w:t xml:space="preserve">, which was measured on a scale of </w:t>
      </w:r>
      <w:r w:rsidR="00DD0D17">
        <w:rPr>
          <w:sz w:val="22"/>
        </w:rPr>
        <w:t>1</w:t>
      </w:r>
      <w:r w:rsidR="00541D3B">
        <w:rPr>
          <w:sz w:val="22"/>
        </w:rPr>
        <w:t xml:space="preserve">.00 to </w:t>
      </w:r>
      <w:r w:rsidR="00DD0D17">
        <w:rPr>
          <w:sz w:val="22"/>
        </w:rPr>
        <w:t>0</w:t>
      </w:r>
      <w:r w:rsidR="00541D3B">
        <w:rPr>
          <w:sz w:val="22"/>
        </w:rPr>
        <w:t>.00.</w:t>
      </w:r>
      <w:r w:rsidR="000210D1" w:rsidRPr="003B422A">
        <w:rPr>
          <w:sz w:val="22"/>
        </w:rPr>
        <w:br w:type="page"/>
      </w:r>
    </w:p>
    <w:p w14:paraId="4C17F2A3" w14:textId="77777777" w:rsidR="000210D1" w:rsidRDefault="002B7139" w:rsidP="000210D1">
      <w:pPr>
        <w:spacing w:after="60" w:line="240" w:lineRule="auto"/>
        <w:rPr>
          <w:b/>
        </w:rPr>
      </w:pPr>
      <w:r>
        <w:rPr>
          <w:b/>
        </w:rPr>
        <w:lastRenderedPageBreak/>
        <w:t>Table 7</w:t>
      </w:r>
    </w:p>
    <w:p w14:paraId="4DC42E0E" w14:textId="77777777" w:rsidR="00D001CA" w:rsidRDefault="00541D3B" w:rsidP="00E71DF1">
      <w:pPr>
        <w:spacing w:line="240" w:lineRule="auto"/>
      </w:pPr>
      <w:r>
        <w:t xml:space="preserve">Hung’s </w:t>
      </w:r>
      <w:r w:rsidR="000210D1">
        <w:t>Index</w:t>
      </w:r>
      <w:r w:rsidRPr="00541D3B">
        <w:t xml:space="preserve"> </w:t>
      </w:r>
      <w:r>
        <w:t>of Book-tax Conformity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970"/>
      </w:tblGrid>
      <w:tr w:rsidR="000210D1" w14:paraId="33F298D7" w14:textId="77777777" w:rsidTr="000210D1">
        <w:tc>
          <w:tcPr>
            <w:tcW w:w="2718" w:type="dxa"/>
            <w:tcBorders>
              <w:top w:val="single" w:sz="4" w:space="0" w:color="auto"/>
              <w:bottom w:val="single" w:sz="4" w:space="0" w:color="auto"/>
            </w:tcBorders>
          </w:tcPr>
          <w:p w14:paraId="7A27BCED" w14:textId="77777777" w:rsidR="000210D1" w:rsidRPr="000210D1" w:rsidRDefault="000210D1" w:rsidP="00D001CA">
            <w:pPr>
              <w:spacing w:line="360" w:lineRule="auto"/>
              <w:rPr>
                <w:i/>
              </w:rPr>
            </w:pPr>
            <w:r>
              <w:rPr>
                <w:i/>
              </w:rPr>
              <w:t>Low BTC</w:t>
            </w:r>
          </w:p>
        </w:tc>
        <w:tc>
          <w:tcPr>
            <w:tcW w:w="2970" w:type="dxa"/>
            <w:tcBorders>
              <w:top w:val="single" w:sz="4" w:space="0" w:color="auto"/>
              <w:bottom w:val="single" w:sz="4" w:space="0" w:color="auto"/>
            </w:tcBorders>
          </w:tcPr>
          <w:p w14:paraId="6187DB3D" w14:textId="77777777" w:rsidR="000210D1" w:rsidRPr="000210D1" w:rsidRDefault="000210D1" w:rsidP="00D001CA">
            <w:pPr>
              <w:spacing w:line="360" w:lineRule="auto"/>
              <w:rPr>
                <w:i/>
              </w:rPr>
            </w:pPr>
            <w:r>
              <w:rPr>
                <w:i/>
              </w:rPr>
              <w:t>High BTC</w:t>
            </w:r>
          </w:p>
        </w:tc>
      </w:tr>
      <w:tr w:rsidR="000210D1" w14:paraId="182B7CB7" w14:textId="77777777" w:rsidTr="000210D1">
        <w:tc>
          <w:tcPr>
            <w:tcW w:w="2718" w:type="dxa"/>
            <w:tcBorders>
              <w:top w:val="single" w:sz="4" w:space="0" w:color="auto"/>
            </w:tcBorders>
          </w:tcPr>
          <w:p w14:paraId="7CDE363C" w14:textId="77777777" w:rsidR="000210D1" w:rsidRDefault="000210D1" w:rsidP="000210D1">
            <w:pPr>
              <w:spacing w:line="360" w:lineRule="auto"/>
            </w:pPr>
            <w:r>
              <w:t>Australia</w:t>
            </w:r>
            <w:r w:rsidR="00034832">
              <w:t xml:space="preserve"> (A)</w:t>
            </w:r>
          </w:p>
        </w:tc>
        <w:tc>
          <w:tcPr>
            <w:tcW w:w="2970" w:type="dxa"/>
            <w:tcBorders>
              <w:top w:val="single" w:sz="4" w:space="0" w:color="auto"/>
            </w:tcBorders>
          </w:tcPr>
          <w:p w14:paraId="73D39C99" w14:textId="77777777" w:rsidR="000210D1" w:rsidRDefault="000210D1" w:rsidP="000210D1">
            <w:pPr>
              <w:spacing w:line="360" w:lineRule="auto"/>
            </w:pPr>
            <w:r>
              <w:t>Belgium</w:t>
            </w:r>
            <w:r w:rsidR="00034832">
              <w:t xml:space="preserve"> (A</w:t>
            </w:r>
            <w:r w:rsidR="00850371">
              <w:t xml:space="preserve">, </w:t>
            </w:r>
            <w:proofErr w:type="spellStart"/>
            <w:r w:rsidR="00850371">
              <w:t>Ho</w:t>
            </w:r>
            <w:proofErr w:type="spellEnd"/>
            <w:r w:rsidR="00034832">
              <w:t>)</w:t>
            </w:r>
          </w:p>
        </w:tc>
      </w:tr>
      <w:tr w:rsidR="000210D1" w14:paraId="7A741FBD" w14:textId="77777777" w:rsidTr="000210D1">
        <w:tc>
          <w:tcPr>
            <w:tcW w:w="2718" w:type="dxa"/>
          </w:tcPr>
          <w:p w14:paraId="575C37F2" w14:textId="77777777" w:rsidR="000210D1" w:rsidRDefault="000210D1" w:rsidP="000210D1">
            <w:pPr>
              <w:spacing w:line="360" w:lineRule="auto"/>
            </w:pPr>
            <w:r>
              <w:t>Canada</w:t>
            </w:r>
            <w:r w:rsidR="00034832">
              <w:t xml:space="preserve"> (A)</w:t>
            </w:r>
          </w:p>
        </w:tc>
        <w:tc>
          <w:tcPr>
            <w:tcW w:w="2970" w:type="dxa"/>
          </w:tcPr>
          <w:p w14:paraId="07DB12FD" w14:textId="77777777" w:rsidR="000210D1" w:rsidRDefault="000210D1" w:rsidP="000210D1">
            <w:pPr>
              <w:spacing w:line="360" w:lineRule="auto"/>
            </w:pPr>
            <w:r>
              <w:t>Finland</w:t>
            </w:r>
            <w:r w:rsidR="00850371">
              <w:t xml:space="preserve"> (</w:t>
            </w:r>
            <w:proofErr w:type="spellStart"/>
            <w:r w:rsidR="00850371">
              <w:t>Ho</w:t>
            </w:r>
            <w:proofErr w:type="spellEnd"/>
            <w:r w:rsidR="00B67F36">
              <w:t>)</w:t>
            </w:r>
          </w:p>
        </w:tc>
      </w:tr>
      <w:tr w:rsidR="000210D1" w14:paraId="436863DA" w14:textId="77777777" w:rsidTr="000210D1">
        <w:tc>
          <w:tcPr>
            <w:tcW w:w="2718" w:type="dxa"/>
          </w:tcPr>
          <w:p w14:paraId="53F29FD4" w14:textId="77777777" w:rsidR="000210D1" w:rsidRDefault="000210D1" w:rsidP="000210D1">
            <w:pPr>
              <w:spacing w:line="360" w:lineRule="auto"/>
            </w:pPr>
            <w:r>
              <w:t>Denmark</w:t>
            </w:r>
            <w:r w:rsidR="00034832">
              <w:t xml:space="preserve"> (A</w:t>
            </w:r>
            <w:r w:rsidR="00E86F35">
              <w:t xml:space="preserve">, </w:t>
            </w:r>
            <w:proofErr w:type="spellStart"/>
            <w:r w:rsidR="00E86F35">
              <w:t>Ho</w:t>
            </w:r>
            <w:proofErr w:type="spellEnd"/>
            <w:r w:rsidR="00034832">
              <w:t>)</w:t>
            </w:r>
          </w:p>
        </w:tc>
        <w:tc>
          <w:tcPr>
            <w:tcW w:w="2970" w:type="dxa"/>
          </w:tcPr>
          <w:p w14:paraId="1DEA5FC2" w14:textId="77777777" w:rsidR="000210D1" w:rsidRDefault="000210D1" w:rsidP="000210D1">
            <w:pPr>
              <w:spacing w:line="360" w:lineRule="auto"/>
            </w:pPr>
            <w:r>
              <w:t>France</w:t>
            </w:r>
            <w:r w:rsidR="003B0CA8">
              <w:t xml:space="preserve"> (A, </w:t>
            </w:r>
            <w:proofErr w:type="spellStart"/>
            <w:r w:rsidR="00850371">
              <w:t>Ho</w:t>
            </w:r>
            <w:proofErr w:type="spellEnd"/>
            <w:r w:rsidR="00850371">
              <w:t xml:space="preserve">, </w:t>
            </w:r>
            <w:r w:rsidR="003B0CA8">
              <w:t>L)</w:t>
            </w:r>
          </w:p>
        </w:tc>
      </w:tr>
      <w:tr w:rsidR="000210D1" w14:paraId="5155C128" w14:textId="77777777" w:rsidTr="000210D1">
        <w:tc>
          <w:tcPr>
            <w:tcW w:w="2718" w:type="dxa"/>
          </w:tcPr>
          <w:p w14:paraId="16CB7BE3" w14:textId="77777777" w:rsidR="000210D1" w:rsidRDefault="000210D1" w:rsidP="000210D1">
            <w:pPr>
              <w:spacing w:line="360" w:lineRule="auto"/>
            </w:pPr>
            <w:r>
              <w:t>Hong Kong</w:t>
            </w:r>
            <w:r w:rsidR="00034832">
              <w:t xml:space="preserve"> (A)</w:t>
            </w:r>
          </w:p>
        </w:tc>
        <w:tc>
          <w:tcPr>
            <w:tcW w:w="2970" w:type="dxa"/>
          </w:tcPr>
          <w:p w14:paraId="175C7734" w14:textId="77777777" w:rsidR="000210D1" w:rsidRDefault="000210D1" w:rsidP="000210D1">
            <w:pPr>
              <w:spacing w:line="360" w:lineRule="auto"/>
            </w:pPr>
            <w:r>
              <w:t>Germany</w:t>
            </w:r>
            <w:r w:rsidR="003B0CA8">
              <w:t xml:space="preserve"> (A, </w:t>
            </w:r>
            <w:r w:rsidR="00034832">
              <w:t>H</w:t>
            </w:r>
            <w:r w:rsidR="00E86F35">
              <w:t>a</w:t>
            </w:r>
            <w:r w:rsidR="00034832">
              <w:t xml:space="preserve">, </w:t>
            </w:r>
            <w:proofErr w:type="spellStart"/>
            <w:r w:rsidR="00850371">
              <w:t>Ho</w:t>
            </w:r>
            <w:proofErr w:type="spellEnd"/>
            <w:r w:rsidR="00B67F36">
              <w:t xml:space="preserve">, </w:t>
            </w:r>
            <w:r w:rsidR="00034832">
              <w:t>L)</w:t>
            </w:r>
          </w:p>
        </w:tc>
      </w:tr>
      <w:tr w:rsidR="000210D1" w14:paraId="6D25DF85" w14:textId="77777777" w:rsidTr="000210D1">
        <w:tc>
          <w:tcPr>
            <w:tcW w:w="2718" w:type="dxa"/>
          </w:tcPr>
          <w:p w14:paraId="61E00F5E" w14:textId="77777777" w:rsidR="000210D1" w:rsidRDefault="000210D1" w:rsidP="000210D1">
            <w:pPr>
              <w:spacing w:line="360" w:lineRule="auto"/>
            </w:pPr>
            <w:r>
              <w:t>Ireland</w:t>
            </w:r>
            <w:r w:rsidR="00034832">
              <w:t xml:space="preserve"> (A</w:t>
            </w:r>
            <w:r w:rsidR="00E86F35">
              <w:t xml:space="preserve">, </w:t>
            </w:r>
            <w:proofErr w:type="spellStart"/>
            <w:r w:rsidR="00E86F35">
              <w:t>Ho</w:t>
            </w:r>
            <w:proofErr w:type="spellEnd"/>
            <w:r w:rsidR="00034832">
              <w:t>)</w:t>
            </w:r>
          </w:p>
        </w:tc>
        <w:tc>
          <w:tcPr>
            <w:tcW w:w="2970" w:type="dxa"/>
          </w:tcPr>
          <w:p w14:paraId="6BBA824E" w14:textId="77777777" w:rsidR="000210D1" w:rsidRDefault="000210D1" w:rsidP="000210D1">
            <w:pPr>
              <w:spacing w:line="360" w:lineRule="auto"/>
            </w:pPr>
            <w:r>
              <w:t>Italy</w:t>
            </w:r>
            <w:r w:rsidR="00034832">
              <w:t xml:space="preserve"> (</w:t>
            </w:r>
            <w:proofErr w:type="spellStart"/>
            <w:r w:rsidR="00850371">
              <w:t>Ho</w:t>
            </w:r>
            <w:proofErr w:type="spellEnd"/>
            <w:r w:rsidR="00850371">
              <w:t>,</w:t>
            </w:r>
            <w:r w:rsidR="00B67F36">
              <w:t xml:space="preserve"> </w:t>
            </w:r>
            <w:r w:rsidR="00034832">
              <w:t>G)</w:t>
            </w:r>
          </w:p>
        </w:tc>
      </w:tr>
      <w:tr w:rsidR="000210D1" w14:paraId="7A15725B" w14:textId="77777777" w:rsidTr="000210D1">
        <w:tc>
          <w:tcPr>
            <w:tcW w:w="2718" w:type="dxa"/>
          </w:tcPr>
          <w:p w14:paraId="60FCF4D0" w14:textId="77777777" w:rsidR="000210D1" w:rsidRDefault="000210D1" w:rsidP="000210D1">
            <w:pPr>
              <w:spacing w:line="360" w:lineRule="auto"/>
            </w:pPr>
            <w:r>
              <w:t>Netherlands</w:t>
            </w:r>
            <w:r w:rsidR="00034832">
              <w:t xml:space="preserve"> (A</w:t>
            </w:r>
            <w:r w:rsidR="00E86F35">
              <w:t xml:space="preserve">, </w:t>
            </w:r>
            <w:proofErr w:type="spellStart"/>
            <w:r w:rsidR="00E86F35">
              <w:t>Ho</w:t>
            </w:r>
            <w:proofErr w:type="spellEnd"/>
            <w:r w:rsidR="00034832">
              <w:t>)</w:t>
            </w:r>
          </w:p>
        </w:tc>
        <w:tc>
          <w:tcPr>
            <w:tcW w:w="2970" w:type="dxa"/>
          </w:tcPr>
          <w:p w14:paraId="6348C75F" w14:textId="77777777" w:rsidR="000210D1" w:rsidRDefault="000210D1" w:rsidP="000210D1">
            <w:pPr>
              <w:spacing w:line="360" w:lineRule="auto"/>
            </w:pPr>
            <w:r>
              <w:t>Japan</w:t>
            </w:r>
            <w:r w:rsidR="00034832">
              <w:t xml:space="preserve"> (A</w:t>
            </w:r>
            <w:r w:rsidR="00850371">
              <w:t>, S</w:t>
            </w:r>
            <w:r w:rsidR="00034832">
              <w:t>)</w:t>
            </w:r>
          </w:p>
        </w:tc>
      </w:tr>
      <w:tr w:rsidR="000210D1" w14:paraId="4E827042" w14:textId="77777777" w:rsidTr="000210D1">
        <w:tc>
          <w:tcPr>
            <w:tcW w:w="2718" w:type="dxa"/>
          </w:tcPr>
          <w:p w14:paraId="23D10E03" w14:textId="77777777" w:rsidR="000210D1" w:rsidRDefault="000210D1" w:rsidP="000210D1">
            <w:pPr>
              <w:spacing w:line="360" w:lineRule="auto"/>
            </w:pPr>
            <w:r>
              <w:t>New Zealand</w:t>
            </w:r>
          </w:p>
        </w:tc>
        <w:tc>
          <w:tcPr>
            <w:tcW w:w="2970" w:type="dxa"/>
          </w:tcPr>
          <w:p w14:paraId="261353CC" w14:textId="77777777" w:rsidR="000210D1" w:rsidRDefault="000210D1" w:rsidP="000210D1">
            <w:pPr>
              <w:spacing w:line="360" w:lineRule="auto"/>
            </w:pPr>
            <w:r>
              <w:t>Spain</w:t>
            </w:r>
            <w:r w:rsidR="00034832">
              <w:t xml:space="preserve"> (</w:t>
            </w:r>
            <w:r w:rsidR="001F2639">
              <w:t xml:space="preserve">N, </w:t>
            </w:r>
            <w:r w:rsidR="00034832">
              <w:t>A, O&amp;P)</w:t>
            </w:r>
          </w:p>
        </w:tc>
      </w:tr>
      <w:tr w:rsidR="000210D1" w14:paraId="6CCBE49D" w14:textId="77777777" w:rsidTr="000210D1">
        <w:tc>
          <w:tcPr>
            <w:tcW w:w="2718" w:type="dxa"/>
          </w:tcPr>
          <w:p w14:paraId="7D1961D3" w14:textId="77777777" w:rsidR="000210D1" w:rsidRDefault="000210D1" w:rsidP="000210D1">
            <w:pPr>
              <w:spacing w:line="360" w:lineRule="auto"/>
            </w:pPr>
            <w:r>
              <w:t>Norway</w:t>
            </w:r>
            <w:r w:rsidR="00034832">
              <w:t xml:space="preserve"> (</w:t>
            </w:r>
            <w:proofErr w:type="spellStart"/>
            <w:r w:rsidR="00850371">
              <w:t>Ho</w:t>
            </w:r>
            <w:proofErr w:type="spellEnd"/>
            <w:r w:rsidR="00850371">
              <w:t xml:space="preserve">, </w:t>
            </w:r>
            <w:r w:rsidR="00034832">
              <w:t>N&amp;S)</w:t>
            </w:r>
          </w:p>
        </w:tc>
        <w:tc>
          <w:tcPr>
            <w:tcW w:w="2970" w:type="dxa"/>
          </w:tcPr>
          <w:p w14:paraId="51CAD14A" w14:textId="77777777" w:rsidR="000210D1" w:rsidRDefault="000210D1" w:rsidP="000210D1">
            <w:pPr>
              <w:spacing w:line="360" w:lineRule="auto"/>
            </w:pPr>
            <w:r>
              <w:t>Sweden</w:t>
            </w:r>
            <w:r w:rsidR="00034832">
              <w:t xml:space="preserve"> (A</w:t>
            </w:r>
            <w:r w:rsidR="00850371">
              <w:t xml:space="preserve">, </w:t>
            </w:r>
            <w:proofErr w:type="spellStart"/>
            <w:r w:rsidR="00850371">
              <w:t>Ho</w:t>
            </w:r>
            <w:proofErr w:type="spellEnd"/>
            <w:r w:rsidR="00034832">
              <w:t>)</w:t>
            </w:r>
          </w:p>
        </w:tc>
      </w:tr>
      <w:tr w:rsidR="000210D1" w14:paraId="564EAA9C" w14:textId="77777777" w:rsidTr="000210D1">
        <w:tc>
          <w:tcPr>
            <w:tcW w:w="2718" w:type="dxa"/>
          </w:tcPr>
          <w:p w14:paraId="650E47FB" w14:textId="77777777" w:rsidR="000210D1" w:rsidRDefault="000210D1" w:rsidP="000210D1">
            <w:pPr>
              <w:spacing w:line="360" w:lineRule="auto"/>
            </w:pPr>
            <w:r>
              <w:t>Singapore</w:t>
            </w:r>
            <w:r w:rsidR="00034832">
              <w:t xml:space="preserve"> (A)</w:t>
            </w:r>
          </w:p>
        </w:tc>
        <w:tc>
          <w:tcPr>
            <w:tcW w:w="2970" w:type="dxa"/>
          </w:tcPr>
          <w:p w14:paraId="6FEC4637" w14:textId="77777777" w:rsidR="000210D1" w:rsidRDefault="000210D1" w:rsidP="000210D1">
            <w:pPr>
              <w:spacing w:line="360" w:lineRule="auto"/>
            </w:pPr>
            <w:r>
              <w:t>Switzerland</w:t>
            </w:r>
            <w:r w:rsidR="00034832">
              <w:t xml:space="preserve"> (A)</w:t>
            </w:r>
          </w:p>
        </w:tc>
      </w:tr>
      <w:tr w:rsidR="000210D1" w14:paraId="3242900B" w14:textId="77777777" w:rsidTr="000210D1">
        <w:tc>
          <w:tcPr>
            <w:tcW w:w="2718" w:type="dxa"/>
          </w:tcPr>
          <w:p w14:paraId="22F3FB9D" w14:textId="77777777" w:rsidR="000210D1" w:rsidRDefault="000210D1" w:rsidP="000210D1">
            <w:pPr>
              <w:spacing w:line="360" w:lineRule="auto"/>
            </w:pPr>
            <w:r>
              <w:t>South Africa</w:t>
            </w:r>
            <w:r w:rsidR="00034832">
              <w:t xml:space="preserve"> </w:t>
            </w:r>
          </w:p>
        </w:tc>
        <w:tc>
          <w:tcPr>
            <w:tcW w:w="2970" w:type="dxa"/>
          </w:tcPr>
          <w:p w14:paraId="050880D1" w14:textId="77777777" w:rsidR="000210D1" w:rsidRDefault="000210D1" w:rsidP="000210D1">
            <w:pPr>
              <w:spacing w:line="360" w:lineRule="auto"/>
            </w:pPr>
          </w:p>
        </w:tc>
      </w:tr>
      <w:tr w:rsidR="000210D1" w14:paraId="65EBCB67" w14:textId="77777777" w:rsidTr="000210D1">
        <w:tc>
          <w:tcPr>
            <w:tcW w:w="2718" w:type="dxa"/>
          </w:tcPr>
          <w:p w14:paraId="3E9CBFBA" w14:textId="77777777" w:rsidR="000210D1" w:rsidRDefault="000210D1" w:rsidP="000210D1">
            <w:pPr>
              <w:spacing w:line="360" w:lineRule="auto"/>
            </w:pPr>
            <w:r>
              <w:t>UK</w:t>
            </w:r>
            <w:r w:rsidR="00034832">
              <w:t xml:space="preserve"> (A, </w:t>
            </w:r>
            <w:proofErr w:type="spellStart"/>
            <w:r w:rsidR="00850371">
              <w:t>Ho</w:t>
            </w:r>
            <w:proofErr w:type="spellEnd"/>
            <w:r w:rsidR="00850371">
              <w:t xml:space="preserve">, </w:t>
            </w:r>
            <w:r w:rsidR="00034832">
              <w:t>L)</w:t>
            </w:r>
          </w:p>
        </w:tc>
        <w:tc>
          <w:tcPr>
            <w:tcW w:w="2970" w:type="dxa"/>
          </w:tcPr>
          <w:p w14:paraId="1E741239" w14:textId="77777777" w:rsidR="000210D1" w:rsidRDefault="000210D1" w:rsidP="000210D1">
            <w:pPr>
              <w:spacing w:line="360" w:lineRule="auto"/>
            </w:pPr>
          </w:p>
        </w:tc>
      </w:tr>
      <w:tr w:rsidR="000210D1" w14:paraId="48BB553D" w14:textId="77777777" w:rsidTr="000210D1">
        <w:tc>
          <w:tcPr>
            <w:tcW w:w="2718" w:type="dxa"/>
          </w:tcPr>
          <w:p w14:paraId="21E71F30" w14:textId="77777777" w:rsidR="000210D1" w:rsidRDefault="000210D1" w:rsidP="000210D1">
            <w:pPr>
              <w:spacing w:line="360" w:lineRule="auto"/>
            </w:pPr>
            <w:r>
              <w:t>US</w:t>
            </w:r>
            <w:r w:rsidR="00034832">
              <w:t xml:space="preserve"> (A, L)</w:t>
            </w:r>
          </w:p>
        </w:tc>
        <w:tc>
          <w:tcPr>
            <w:tcW w:w="2970" w:type="dxa"/>
          </w:tcPr>
          <w:p w14:paraId="3AA43613" w14:textId="77777777" w:rsidR="000210D1" w:rsidRDefault="000210D1" w:rsidP="000210D1">
            <w:pPr>
              <w:spacing w:line="360" w:lineRule="auto"/>
            </w:pPr>
          </w:p>
        </w:tc>
      </w:tr>
    </w:tbl>
    <w:p w14:paraId="55C1D2EF" w14:textId="5DE376DB" w:rsidR="000210D1" w:rsidRPr="003B422A" w:rsidRDefault="000210D1" w:rsidP="000210D1">
      <w:pPr>
        <w:spacing w:before="240" w:line="240" w:lineRule="auto"/>
        <w:rPr>
          <w:sz w:val="22"/>
        </w:rPr>
      </w:pPr>
      <w:r w:rsidRPr="003B422A">
        <w:rPr>
          <w:i/>
          <w:sz w:val="22"/>
        </w:rPr>
        <w:t>Source</w:t>
      </w:r>
      <w:r w:rsidR="00A10AE6" w:rsidRPr="003B422A">
        <w:rPr>
          <w:sz w:val="22"/>
        </w:rPr>
        <w:t xml:space="preserve">: </w:t>
      </w:r>
      <w:r w:rsidRPr="003B422A">
        <w:rPr>
          <w:sz w:val="22"/>
        </w:rPr>
        <w:t>Adapted from Hung (2001, Table 2)</w:t>
      </w:r>
      <w:r w:rsidR="00FC6EA0" w:rsidRPr="003B422A">
        <w:rPr>
          <w:sz w:val="22"/>
        </w:rPr>
        <w:t>.</w:t>
      </w:r>
      <w:r w:rsidR="00C66C62">
        <w:rPr>
          <w:sz w:val="22"/>
        </w:rPr>
        <w:t xml:space="preserve"> The </w:t>
      </w:r>
      <w:r w:rsidR="00672186">
        <w:rPr>
          <w:sz w:val="22"/>
        </w:rPr>
        <w:t>author has added the bracketed information</w:t>
      </w:r>
      <w:r w:rsidR="00DD0D17">
        <w:rPr>
          <w:sz w:val="22"/>
        </w:rPr>
        <w:t xml:space="preserve"> showing which papers support Hung</w:t>
      </w:r>
      <w:r w:rsidR="00672186">
        <w:rPr>
          <w:sz w:val="22"/>
        </w:rPr>
        <w:t>, for which the key is below.</w:t>
      </w:r>
    </w:p>
    <w:p w14:paraId="07C6097F" w14:textId="77777777" w:rsidR="00FC6EA0" w:rsidRDefault="00004EF4" w:rsidP="00004EF4">
      <w:pPr>
        <w:spacing w:line="240" w:lineRule="auto"/>
      </w:pPr>
      <w:r w:rsidRPr="003B422A">
        <w:rPr>
          <w:i/>
          <w:sz w:val="22"/>
        </w:rPr>
        <w:t>Key</w:t>
      </w:r>
      <w:r w:rsidRPr="003B422A">
        <w:rPr>
          <w:sz w:val="22"/>
        </w:rPr>
        <w:t>: H</w:t>
      </w:r>
      <w:r w:rsidR="00E86F35" w:rsidRPr="003B422A">
        <w:rPr>
          <w:sz w:val="22"/>
        </w:rPr>
        <w:t>a = Haller (1992)</w:t>
      </w:r>
      <w:r w:rsidR="00B67F36" w:rsidRPr="003B422A">
        <w:rPr>
          <w:sz w:val="22"/>
        </w:rPr>
        <w:t xml:space="preserve">, </w:t>
      </w:r>
      <w:r w:rsidRPr="003B422A">
        <w:rPr>
          <w:sz w:val="22"/>
        </w:rPr>
        <w:t xml:space="preserve">A = Alford </w:t>
      </w:r>
      <w:r w:rsidRPr="003B422A">
        <w:rPr>
          <w:i/>
          <w:sz w:val="22"/>
        </w:rPr>
        <w:t>et al.</w:t>
      </w:r>
      <w:r w:rsidRPr="003B422A">
        <w:rPr>
          <w:sz w:val="22"/>
        </w:rPr>
        <w:t xml:space="preserve"> (1993), </w:t>
      </w:r>
      <w:proofErr w:type="spellStart"/>
      <w:r w:rsidR="00E86F35" w:rsidRPr="003B422A">
        <w:rPr>
          <w:sz w:val="22"/>
        </w:rPr>
        <w:t>Ho</w:t>
      </w:r>
      <w:proofErr w:type="spellEnd"/>
      <w:r w:rsidR="00E86F35" w:rsidRPr="003B422A">
        <w:rPr>
          <w:sz w:val="22"/>
        </w:rPr>
        <w:t xml:space="preserve"> = Hoogendoor</w:t>
      </w:r>
      <w:r w:rsidR="00850371" w:rsidRPr="003B422A">
        <w:rPr>
          <w:sz w:val="22"/>
        </w:rPr>
        <w:t xml:space="preserve">n (1996), </w:t>
      </w:r>
      <w:r w:rsidRPr="003B422A">
        <w:rPr>
          <w:sz w:val="22"/>
        </w:rPr>
        <w:t xml:space="preserve">L = Lamb </w:t>
      </w:r>
      <w:r w:rsidRPr="003B422A">
        <w:rPr>
          <w:i/>
          <w:sz w:val="22"/>
        </w:rPr>
        <w:t>et al.</w:t>
      </w:r>
      <w:r w:rsidRPr="003B422A">
        <w:rPr>
          <w:sz w:val="22"/>
        </w:rPr>
        <w:t xml:space="preserve"> (1998), </w:t>
      </w:r>
      <w:r w:rsidR="00850371" w:rsidRPr="003B422A">
        <w:rPr>
          <w:sz w:val="22"/>
        </w:rPr>
        <w:t xml:space="preserve">S = </w:t>
      </w:r>
      <w:proofErr w:type="spellStart"/>
      <w:r w:rsidR="00850371" w:rsidRPr="003B422A">
        <w:rPr>
          <w:sz w:val="22"/>
        </w:rPr>
        <w:t>Sawa</w:t>
      </w:r>
      <w:proofErr w:type="spellEnd"/>
      <w:r w:rsidR="00850371" w:rsidRPr="003B422A">
        <w:rPr>
          <w:sz w:val="22"/>
        </w:rPr>
        <w:t xml:space="preserve"> (2003), </w:t>
      </w:r>
      <w:r w:rsidRPr="003B422A">
        <w:rPr>
          <w:sz w:val="22"/>
        </w:rPr>
        <w:t xml:space="preserve">O&amp;P = </w:t>
      </w:r>
      <w:proofErr w:type="spellStart"/>
      <w:r w:rsidRPr="003B422A">
        <w:rPr>
          <w:sz w:val="22"/>
        </w:rPr>
        <w:t>Oliveras</w:t>
      </w:r>
      <w:proofErr w:type="spellEnd"/>
      <w:r w:rsidRPr="003B422A">
        <w:rPr>
          <w:sz w:val="22"/>
        </w:rPr>
        <w:t xml:space="preserve"> and </w:t>
      </w:r>
      <w:proofErr w:type="spellStart"/>
      <w:r w:rsidRPr="003B422A">
        <w:rPr>
          <w:sz w:val="22"/>
        </w:rPr>
        <w:t>Puig</w:t>
      </w:r>
      <w:proofErr w:type="spellEnd"/>
      <w:r w:rsidRPr="003B422A">
        <w:rPr>
          <w:sz w:val="22"/>
        </w:rPr>
        <w:t xml:space="preserve"> (2005), N&amp;S = Nobes and </w:t>
      </w:r>
      <w:proofErr w:type="spellStart"/>
      <w:r w:rsidRPr="003B422A">
        <w:rPr>
          <w:sz w:val="22"/>
        </w:rPr>
        <w:t>Schwencke</w:t>
      </w:r>
      <w:proofErr w:type="spellEnd"/>
      <w:r w:rsidRPr="003B422A">
        <w:rPr>
          <w:sz w:val="22"/>
        </w:rPr>
        <w:t xml:space="preserve"> (2006), </w:t>
      </w:r>
      <w:r w:rsidR="00916B18" w:rsidRPr="003B422A">
        <w:rPr>
          <w:sz w:val="22"/>
        </w:rPr>
        <w:t xml:space="preserve">G = </w:t>
      </w:r>
      <w:proofErr w:type="spellStart"/>
      <w:r w:rsidR="00916B18" w:rsidRPr="003B422A">
        <w:rPr>
          <w:sz w:val="22"/>
        </w:rPr>
        <w:t>Gavana</w:t>
      </w:r>
      <w:proofErr w:type="spellEnd"/>
      <w:r w:rsidR="00916B18" w:rsidRPr="003B422A">
        <w:rPr>
          <w:sz w:val="22"/>
        </w:rPr>
        <w:t xml:space="preserve"> </w:t>
      </w:r>
      <w:r w:rsidR="00916B18" w:rsidRPr="003B422A">
        <w:rPr>
          <w:i/>
          <w:sz w:val="22"/>
        </w:rPr>
        <w:t>et al.</w:t>
      </w:r>
      <w:r w:rsidR="00916B18" w:rsidRPr="003B422A">
        <w:rPr>
          <w:sz w:val="22"/>
        </w:rPr>
        <w:t xml:space="preserve"> (2013)</w:t>
      </w:r>
      <w:r w:rsidR="003B422A">
        <w:rPr>
          <w:sz w:val="22"/>
        </w:rPr>
        <w:t>.</w:t>
      </w:r>
      <w:r w:rsidR="00FC6EA0">
        <w:br w:type="page"/>
      </w:r>
    </w:p>
    <w:p w14:paraId="53670B7A" w14:textId="77777777" w:rsidR="00FC6EA0" w:rsidRDefault="002B7139" w:rsidP="00FC6EA0">
      <w:pPr>
        <w:spacing w:after="60" w:line="240" w:lineRule="auto"/>
        <w:rPr>
          <w:b/>
        </w:rPr>
      </w:pPr>
      <w:r>
        <w:rPr>
          <w:b/>
        </w:rPr>
        <w:lastRenderedPageBreak/>
        <w:t>Table 8</w:t>
      </w:r>
    </w:p>
    <w:p w14:paraId="333025F5" w14:textId="77777777" w:rsidR="00FC6EA0" w:rsidRDefault="00796F84" w:rsidP="00E71DF1">
      <w:pPr>
        <w:spacing w:line="240" w:lineRule="auto"/>
      </w:pPr>
      <w:r>
        <w:t>Book-tax conformity</w:t>
      </w:r>
      <w:r w:rsidR="00FC6EA0">
        <w:t xml:space="preserve"> measures</w:t>
      </w:r>
      <w:r w:rsidR="00D001CA">
        <w:t xml:space="preserve"> </w:t>
      </w:r>
      <w:r>
        <w:t xml:space="preserve">of Atwood </w:t>
      </w:r>
      <w:r w:rsidRPr="00796F84">
        <w:rPr>
          <w:i/>
        </w:rPr>
        <w:t>et al.</w:t>
      </w:r>
      <w:r>
        <w:t xml:space="preserve"> (lowest five and highest five</w:t>
      </w:r>
      <w:r w:rsidR="00D001CA" w:rsidRPr="00D001CA">
        <w:t>)</w:t>
      </w:r>
      <w:r w:rsidR="00FC6EA0" w:rsidRPr="00D001CA">
        <w:t>,</w:t>
      </w:r>
      <w:r w:rsidR="001E3C9C">
        <w:t xml:space="preserve"> 1992-200</w:t>
      </w:r>
      <w:r w:rsidR="00FC6EA0">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10"/>
      </w:tblGrid>
      <w:tr w:rsidR="00FC6EA0" w14:paraId="03E4F662" w14:textId="77777777" w:rsidTr="00FC6EA0">
        <w:tc>
          <w:tcPr>
            <w:tcW w:w="2268" w:type="dxa"/>
            <w:tcBorders>
              <w:top w:val="single" w:sz="4" w:space="0" w:color="auto"/>
              <w:bottom w:val="single" w:sz="4" w:space="0" w:color="auto"/>
            </w:tcBorders>
          </w:tcPr>
          <w:p w14:paraId="592CEB4A" w14:textId="77777777" w:rsidR="00FC6EA0" w:rsidRDefault="00FC6EA0" w:rsidP="00FC6EA0">
            <w:pPr>
              <w:spacing w:line="360" w:lineRule="auto"/>
            </w:pPr>
          </w:p>
        </w:tc>
        <w:tc>
          <w:tcPr>
            <w:tcW w:w="2610" w:type="dxa"/>
            <w:tcBorders>
              <w:top w:val="single" w:sz="4" w:space="0" w:color="auto"/>
              <w:bottom w:val="single" w:sz="4" w:space="0" w:color="auto"/>
            </w:tcBorders>
          </w:tcPr>
          <w:p w14:paraId="2B4B5412" w14:textId="77777777" w:rsidR="00FC6EA0" w:rsidRPr="00FC6EA0" w:rsidRDefault="00FC6EA0" w:rsidP="00D001CA">
            <w:pPr>
              <w:jc w:val="center"/>
              <w:rPr>
                <w:i/>
              </w:rPr>
            </w:pPr>
            <w:r>
              <w:rPr>
                <w:i/>
              </w:rPr>
              <w:t xml:space="preserve">Average standard error </w:t>
            </w:r>
          </w:p>
        </w:tc>
      </w:tr>
      <w:tr w:rsidR="00FC6EA0" w14:paraId="71F49F22" w14:textId="77777777" w:rsidTr="00FC6EA0">
        <w:tc>
          <w:tcPr>
            <w:tcW w:w="2268" w:type="dxa"/>
            <w:tcBorders>
              <w:top w:val="single" w:sz="4" w:space="0" w:color="auto"/>
            </w:tcBorders>
          </w:tcPr>
          <w:p w14:paraId="01CCB7CA" w14:textId="77777777" w:rsidR="00FC6EA0" w:rsidRDefault="00FC6EA0" w:rsidP="00FC6EA0">
            <w:pPr>
              <w:spacing w:line="360" w:lineRule="auto"/>
            </w:pPr>
            <w:r>
              <w:t>Canada</w:t>
            </w:r>
          </w:p>
        </w:tc>
        <w:tc>
          <w:tcPr>
            <w:tcW w:w="2610" w:type="dxa"/>
            <w:tcBorders>
              <w:top w:val="single" w:sz="4" w:space="0" w:color="auto"/>
            </w:tcBorders>
          </w:tcPr>
          <w:p w14:paraId="25B37DFA" w14:textId="77777777" w:rsidR="00FC6EA0" w:rsidRDefault="00FC6EA0" w:rsidP="00FC6EA0">
            <w:pPr>
              <w:tabs>
                <w:tab w:val="decimal" w:pos="1152"/>
              </w:tabs>
              <w:spacing w:line="360" w:lineRule="auto"/>
            </w:pPr>
            <w:r>
              <w:t>0.017</w:t>
            </w:r>
          </w:p>
        </w:tc>
      </w:tr>
      <w:tr w:rsidR="00FC6EA0" w14:paraId="6238D86D" w14:textId="77777777" w:rsidTr="00FC6EA0">
        <w:tc>
          <w:tcPr>
            <w:tcW w:w="2268" w:type="dxa"/>
          </w:tcPr>
          <w:p w14:paraId="5089DEDA" w14:textId="77777777" w:rsidR="00FC6EA0" w:rsidRDefault="00FC6EA0" w:rsidP="00FC6EA0">
            <w:pPr>
              <w:spacing w:line="360" w:lineRule="auto"/>
            </w:pPr>
            <w:r>
              <w:t>South Africa</w:t>
            </w:r>
          </w:p>
        </w:tc>
        <w:tc>
          <w:tcPr>
            <w:tcW w:w="2610" w:type="dxa"/>
          </w:tcPr>
          <w:p w14:paraId="543722A4" w14:textId="77777777" w:rsidR="00FC6EA0" w:rsidRDefault="00FC6EA0" w:rsidP="00FC6EA0">
            <w:pPr>
              <w:tabs>
                <w:tab w:val="decimal" w:pos="1152"/>
              </w:tabs>
              <w:spacing w:line="360" w:lineRule="auto"/>
            </w:pPr>
            <w:r>
              <w:t>0.016</w:t>
            </w:r>
          </w:p>
        </w:tc>
      </w:tr>
      <w:tr w:rsidR="00FC6EA0" w14:paraId="6AF0D6B7" w14:textId="77777777" w:rsidTr="00FC6EA0">
        <w:tc>
          <w:tcPr>
            <w:tcW w:w="2268" w:type="dxa"/>
          </w:tcPr>
          <w:p w14:paraId="39D3A830" w14:textId="77777777" w:rsidR="00FC6EA0" w:rsidRDefault="00FC6EA0" w:rsidP="00FC6EA0">
            <w:pPr>
              <w:spacing w:line="360" w:lineRule="auto"/>
            </w:pPr>
            <w:r>
              <w:t>Germany</w:t>
            </w:r>
          </w:p>
        </w:tc>
        <w:tc>
          <w:tcPr>
            <w:tcW w:w="2610" w:type="dxa"/>
          </w:tcPr>
          <w:p w14:paraId="07E80412" w14:textId="77777777" w:rsidR="00FC6EA0" w:rsidRDefault="00FC6EA0" w:rsidP="00FC6EA0">
            <w:pPr>
              <w:tabs>
                <w:tab w:val="decimal" w:pos="1152"/>
              </w:tabs>
              <w:spacing w:line="360" w:lineRule="auto"/>
            </w:pPr>
            <w:r>
              <w:t>0.016</w:t>
            </w:r>
          </w:p>
        </w:tc>
      </w:tr>
      <w:tr w:rsidR="00FC6EA0" w14:paraId="6768947F" w14:textId="77777777" w:rsidTr="00FC6EA0">
        <w:tc>
          <w:tcPr>
            <w:tcW w:w="2268" w:type="dxa"/>
          </w:tcPr>
          <w:p w14:paraId="346A22D1" w14:textId="5EE3E605" w:rsidR="00FC6EA0" w:rsidRDefault="009C2FB9" w:rsidP="00FC6EA0">
            <w:pPr>
              <w:spacing w:line="360" w:lineRule="auto"/>
            </w:pPr>
            <w:r>
              <w:t>United States</w:t>
            </w:r>
          </w:p>
        </w:tc>
        <w:tc>
          <w:tcPr>
            <w:tcW w:w="2610" w:type="dxa"/>
          </w:tcPr>
          <w:p w14:paraId="66C67AF9" w14:textId="77777777" w:rsidR="00FC6EA0" w:rsidRDefault="00FC6EA0" w:rsidP="00FC6EA0">
            <w:pPr>
              <w:tabs>
                <w:tab w:val="decimal" w:pos="1152"/>
              </w:tabs>
              <w:spacing w:line="360" w:lineRule="auto"/>
            </w:pPr>
            <w:r>
              <w:t>0.015</w:t>
            </w:r>
          </w:p>
        </w:tc>
      </w:tr>
      <w:tr w:rsidR="00FC6EA0" w14:paraId="1AA501CE" w14:textId="77777777" w:rsidTr="00FC6EA0">
        <w:tc>
          <w:tcPr>
            <w:tcW w:w="2268" w:type="dxa"/>
          </w:tcPr>
          <w:p w14:paraId="3215B783" w14:textId="77777777" w:rsidR="00FC6EA0" w:rsidRDefault="00FC6EA0" w:rsidP="00FC6EA0">
            <w:pPr>
              <w:spacing w:line="360" w:lineRule="auto"/>
            </w:pPr>
            <w:r>
              <w:t>India</w:t>
            </w:r>
          </w:p>
          <w:p w14:paraId="062DDB3C" w14:textId="77777777" w:rsidR="00D001CA" w:rsidRDefault="00D001CA" w:rsidP="00FC6EA0">
            <w:pPr>
              <w:spacing w:line="360" w:lineRule="auto"/>
            </w:pPr>
            <w:r>
              <w:t>.</w:t>
            </w:r>
          </w:p>
          <w:p w14:paraId="28403A94" w14:textId="77777777" w:rsidR="00D001CA" w:rsidRDefault="00D001CA" w:rsidP="00FC6EA0">
            <w:pPr>
              <w:spacing w:line="360" w:lineRule="auto"/>
            </w:pPr>
            <w:r>
              <w:t>.</w:t>
            </w:r>
          </w:p>
        </w:tc>
        <w:tc>
          <w:tcPr>
            <w:tcW w:w="2610" w:type="dxa"/>
          </w:tcPr>
          <w:p w14:paraId="431418EE" w14:textId="77777777" w:rsidR="00D001CA" w:rsidRDefault="00FC6EA0" w:rsidP="00FC6EA0">
            <w:pPr>
              <w:tabs>
                <w:tab w:val="decimal" w:pos="1152"/>
              </w:tabs>
              <w:spacing w:line="360" w:lineRule="auto"/>
            </w:pPr>
            <w:r>
              <w:t>0.014</w:t>
            </w:r>
          </w:p>
          <w:p w14:paraId="750D4224" w14:textId="77777777" w:rsidR="00D001CA" w:rsidRDefault="00D001CA" w:rsidP="00FC6EA0">
            <w:pPr>
              <w:tabs>
                <w:tab w:val="decimal" w:pos="1152"/>
              </w:tabs>
              <w:spacing w:line="360" w:lineRule="auto"/>
            </w:pPr>
            <w:r>
              <w:t>.</w:t>
            </w:r>
          </w:p>
          <w:p w14:paraId="18AF5D8F" w14:textId="77777777" w:rsidR="00D001CA" w:rsidRDefault="00D001CA" w:rsidP="00FC6EA0">
            <w:pPr>
              <w:tabs>
                <w:tab w:val="decimal" w:pos="1152"/>
              </w:tabs>
              <w:spacing w:line="360" w:lineRule="auto"/>
            </w:pPr>
            <w:r>
              <w:t>.</w:t>
            </w:r>
          </w:p>
        </w:tc>
      </w:tr>
      <w:tr w:rsidR="00FC6EA0" w14:paraId="0B63B6FF" w14:textId="77777777" w:rsidTr="00FC6EA0">
        <w:tc>
          <w:tcPr>
            <w:tcW w:w="2268" w:type="dxa"/>
          </w:tcPr>
          <w:p w14:paraId="474300EB" w14:textId="77777777" w:rsidR="00FC6EA0" w:rsidRDefault="00FC6EA0" w:rsidP="00FC6EA0"/>
        </w:tc>
        <w:tc>
          <w:tcPr>
            <w:tcW w:w="2610" w:type="dxa"/>
          </w:tcPr>
          <w:p w14:paraId="70872357" w14:textId="77777777" w:rsidR="00FC6EA0" w:rsidRDefault="00FC6EA0" w:rsidP="00FC6EA0">
            <w:pPr>
              <w:tabs>
                <w:tab w:val="decimal" w:pos="1152"/>
              </w:tabs>
            </w:pPr>
          </w:p>
        </w:tc>
      </w:tr>
      <w:tr w:rsidR="00FC6EA0" w14:paraId="6C51AD14" w14:textId="77777777" w:rsidTr="00FC6EA0">
        <w:tc>
          <w:tcPr>
            <w:tcW w:w="2268" w:type="dxa"/>
          </w:tcPr>
          <w:p w14:paraId="0B7007D1" w14:textId="77777777" w:rsidR="00FC6EA0" w:rsidRDefault="00FC6EA0" w:rsidP="00FC6EA0">
            <w:pPr>
              <w:spacing w:line="360" w:lineRule="auto"/>
            </w:pPr>
            <w:r>
              <w:t>Japan</w:t>
            </w:r>
          </w:p>
        </w:tc>
        <w:tc>
          <w:tcPr>
            <w:tcW w:w="2610" w:type="dxa"/>
          </w:tcPr>
          <w:p w14:paraId="63E892B9" w14:textId="77777777" w:rsidR="00FC6EA0" w:rsidRDefault="00FC6EA0" w:rsidP="00FC6EA0">
            <w:pPr>
              <w:tabs>
                <w:tab w:val="decimal" w:pos="1152"/>
              </w:tabs>
              <w:spacing w:line="360" w:lineRule="auto"/>
            </w:pPr>
            <w:r>
              <w:t>0.007</w:t>
            </w:r>
          </w:p>
        </w:tc>
      </w:tr>
      <w:tr w:rsidR="00FC6EA0" w14:paraId="7925B839" w14:textId="77777777" w:rsidTr="00FC6EA0">
        <w:tc>
          <w:tcPr>
            <w:tcW w:w="2268" w:type="dxa"/>
          </w:tcPr>
          <w:p w14:paraId="1469CB5C" w14:textId="51505545" w:rsidR="00FC6EA0" w:rsidRDefault="009C2FB9" w:rsidP="00FC6EA0">
            <w:pPr>
              <w:spacing w:line="360" w:lineRule="auto"/>
            </w:pPr>
            <w:r>
              <w:t>South</w:t>
            </w:r>
            <w:r w:rsidR="00FC6EA0">
              <w:t xml:space="preserve"> Korea</w:t>
            </w:r>
          </w:p>
        </w:tc>
        <w:tc>
          <w:tcPr>
            <w:tcW w:w="2610" w:type="dxa"/>
          </w:tcPr>
          <w:p w14:paraId="39AB3BE6" w14:textId="77777777" w:rsidR="00FC6EA0" w:rsidRDefault="00FC6EA0" w:rsidP="00FC6EA0">
            <w:pPr>
              <w:tabs>
                <w:tab w:val="decimal" w:pos="1152"/>
              </w:tabs>
              <w:spacing w:line="360" w:lineRule="auto"/>
            </w:pPr>
            <w:r>
              <w:t>0.007</w:t>
            </w:r>
          </w:p>
        </w:tc>
      </w:tr>
      <w:tr w:rsidR="00FC6EA0" w14:paraId="19FC9F58" w14:textId="77777777" w:rsidTr="00FC6EA0">
        <w:tc>
          <w:tcPr>
            <w:tcW w:w="2268" w:type="dxa"/>
          </w:tcPr>
          <w:p w14:paraId="37196276" w14:textId="77777777" w:rsidR="00FC6EA0" w:rsidRDefault="00FC6EA0" w:rsidP="00FC6EA0">
            <w:pPr>
              <w:spacing w:line="360" w:lineRule="auto"/>
            </w:pPr>
            <w:r>
              <w:t>China</w:t>
            </w:r>
          </w:p>
        </w:tc>
        <w:tc>
          <w:tcPr>
            <w:tcW w:w="2610" w:type="dxa"/>
          </w:tcPr>
          <w:p w14:paraId="63E3172A" w14:textId="77777777" w:rsidR="00FC6EA0" w:rsidRDefault="00FC6EA0" w:rsidP="00FC6EA0">
            <w:pPr>
              <w:tabs>
                <w:tab w:val="decimal" w:pos="1152"/>
              </w:tabs>
              <w:spacing w:line="360" w:lineRule="auto"/>
            </w:pPr>
            <w:r>
              <w:t>0.007</w:t>
            </w:r>
          </w:p>
        </w:tc>
      </w:tr>
      <w:tr w:rsidR="00FC6EA0" w14:paraId="3C18E8A5" w14:textId="77777777" w:rsidTr="00FC6EA0">
        <w:tc>
          <w:tcPr>
            <w:tcW w:w="2268" w:type="dxa"/>
          </w:tcPr>
          <w:p w14:paraId="0B79BAD4" w14:textId="77777777" w:rsidR="00FC6EA0" w:rsidRDefault="00FC6EA0" w:rsidP="00FC6EA0">
            <w:pPr>
              <w:spacing w:line="360" w:lineRule="auto"/>
            </w:pPr>
            <w:r>
              <w:t>Hong Kong</w:t>
            </w:r>
          </w:p>
        </w:tc>
        <w:tc>
          <w:tcPr>
            <w:tcW w:w="2610" w:type="dxa"/>
          </w:tcPr>
          <w:p w14:paraId="580111E8" w14:textId="77777777" w:rsidR="00FC6EA0" w:rsidRDefault="00FC6EA0" w:rsidP="00FC6EA0">
            <w:pPr>
              <w:tabs>
                <w:tab w:val="decimal" w:pos="1152"/>
              </w:tabs>
              <w:spacing w:line="360" w:lineRule="auto"/>
            </w:pPr>
            <w:r>
              <w:t>0.007</w:t>
            </w:r>
          </w:p>
        </w:tc>
      </w:tr>
      <w:tr w:rsidR="00FC6EA0" w14:paraId="5359DB18" w14:textId="77777777" w:rsidTr="00FC6EA0">
        <w:tc>
          <w:tcPr>
            <w:tcW w:w="2268" w:type="dxa"/>
          </w:tcPr>
          <w:p w14:paraId="22A1C2FB" w14:textId="77777777" w:rsidR="00FC6EA0" w:rsidRDefault="00FC6EA0" w:rsidP="00FC6EA0">
            <w:pPr>
              <w:spacing w:line="360" w:lineRule="auto"/>
            </w:pPr>
            <w:r>
              <w:t>Chile</w:t>
            </w:r>
          </w:p>
        </w:tc>
        <w:tc>
          <w:tcPr>
            <w:tcW w:w="2610" w:type="dxa"/>
          </w:tcPr>
          <w:p w14:paraId="32C1E423" w14:textId="77777777" w:rsidR="00FC6EA0" w:rsidRDefault="00FC6EA0" w:rsidP="00FC6EA0">
            <w:pPr>
              <w:tabs>
                <w:tab w:val="decimal" w:pos="1152"/>
              </w:tabs>
              <w:spacing w:line="360" w:lineRule="auto"/>
            </w:pPr>
            <w:r>
              <w:t>0.006</w:t>
            </w:r>
          </w:p>
        </w:tc>
      </w:tr>
    </w:tbl>
    <w:p w14:paraId="39371364" w14:textId="77777777" w:rsidR="00FC6EA0" w:rsidRPr="003B422A" w:rsidRDefault="00FC6EA0" w:rsidP="00FC6EA0">
      <w:pPr>
        <w:spacing w:before="240" w:line="240" w:lineRule="auto"/>
        <w:rPr>
          <w:sz w:val="22"/>
        </w:rPr>
      </w:pPr>
      <w:r w:rsidRPr="003B422A">
        <w:rPr>
          <w:i/>
          <w:sz w:val="22"/>
        </w:rPr>
        <w:t>Source</w:t>
      </w:r>
      <w:r w:rsidR="00796F84">
        <w:rPr>
          <w:sz w:val="22"/>
        </w:rPr>
        <w:t xml:space="preserve">: </w:t>
      </w:r>
      <w:r w:rsidRPr="003B422A">
        <w:rPr>
          <w:sz w:val="22"/>
        </w:rPr>
        <w:t xml:space="preserve">Extracted from Atwood </w:t>
      </w:r>
      <w:r w:rsidRPr="003B422A">
        <w:rPr>
          <w:i/>
          <w:sz w:val="22"/>
        </w:rPr>
        <w:t>et al</w:t>
      </w:r>
      <w:r w:rsidRPr="003B422A">
        <w:rPr>
          <w:sz w:val="22"/>
        </w:rPr>
        <w:t>. (2010, Table 1).</w:t>
      </w:r>
      <w:r w:rsidR="00796F84">
        <w:rPr>
          <w:sz w:val="22"/>
        </w:rPr>
        <w:t xml:space="preserve"> As explained in the text, a high standard error suggests a low BTC. The table shows the countries with the lowest five and the highest five BTC scores of the 33 countries studied.</w:t>
      </w:r>
    </w:p>
    <w:p w14:paraId="10EFBDD8" w14:textId="77777777" w:rsidR="00672814" w:rsidRDefault="00672814" w:rsidP="00AB13E6"/>
    <w:p w14:paraId="5852CB21" w14:textId="77777777" w:rsidR="002B7139" w:rsidRDefault="002B7139" w:rsidP="00AB13E6"/>
    <w:p w14:paraId="7B478BA6" w14:textId="77777777" w:rsidR="002B7139" w:rsidRDefault="002B7139" w:rsidP="00AB13E6"/>
    <w:p w14:paraId="02C55745" w14:textId="77777777" w:rsidR="002B7139" w:rsidRDefault="002B7139" w:rsidP="00AB13E6"/>
    <w:p w14:paraId="67B19E32" w14:textId="77777777" w:rsidR="002B7139" w:rsidRDefault="002B7139" w:rsidP="00AB13E6"/>
    <w:p w14:paraId="240EE3D9" w14:textId="77777777" w:rsidR="002B7139" w:rsidRDefault="002B7139" w:rsidP="00AB13E6"/>
    <w:p w14:paraId="6A47B3BA" w14:textId="77777777" w:rsidR="002B7139" w:rsidRDefault="002B7139" w:rsidP="00AB13E6"/>
    <w:p w14:paraId="5BC6D3BD" w14:textId="77777777" w:rsidR="002B7139" w:rsidRDefault="002B7139" w:rsidP="00AB13E6"/>
    <w:p w14:paraId="75B5EC73" w14:textId="77777777" w:rsidR="00672814" w:rsidRDefault="00672814" w:rsidP="00AB13E6"/>
    <w:p w14:paraId="5F3CDC1B" w14:textId="77777777" w:rsidR="00672814" w:rsidRDefault="00672814" w:rsidP="00672814">
      <w:pPr>
        <w:spacing w:after="60" w:line="240" w:lineRule="auto"/>
        <w:rPr>
          <w:b/>
        </w:rPr>
      </w:pPr>
      <w:r>
        <w:rPr>
          <w:b/>
        </w:rPr>
        <w:lastRenderedPageBreak/>
        <w:t>Table 9</w:t>
      </w:r>
    </w:p>
    <w:p w14:paraId="3CD4DA0A" w14:textId="05899D4D" w:rsidR="00672814" w:rsidRDefault="00672814" w:rsidP="00672814">
      <w:pPr>
        <w:spacing w:after="60" w:line="240" w:lineRule="auto"/>
      </w:pPr>
      <w:r w:rsidRPr="00464CB8">
        <w:t>Misclassified language distances</w:t>
      </w:r>
      <w:r>
        <w:t xml:space="preserve"> </w:t>
      </w:r>
    </w:p>
    <w:p w14:paraId="4CBD907E" w14:textId="77777777" w:rsidR="00672814" w:rsidRPr="000210D1" w:rsidRDefault="00672814" w:rsidP="00672814">
      <w:pPr>
        <w:spacing w:after="6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700"/>
      </w:tblGrid>
      <w:tr w:rsidR="00672814" w14:paraId="688B7A8C" w14:textId="77777777" w:rsidTr="00782C8A">
        <w:tc>
          <w:tcPr>
            <w:tcW w:w="2538" w:type="dxa"/>
            <w:tcBorders>
              <w:top w:val="single" w:sz="4" w:space="0" w:color="auto"/>
              <w:bottom w:val="single" w:sz="4" w:space="0" w:color="auto"/>
            </w:tcBorders>
          </w:tcPr>
          <w:p w14:paraId="1F5D09F7" w14:textId="77777777" w:rsidR="00672814" w:rsidRPr="009741D1" w:rsidRDefault="00672814" w:rsidP="00782C8A">
            <w:pPr>
              <w:spacing w:line="360" w:lineRule="auto"/>
              <w:jc w:val="center"/>
              <w:rPr>
                <w:i/>
              </w:rPr>
            </w:pPr>
            <w:r>
              <w:rPr>
                <w:i/>
              </w:rPr>
              <w:t>Distance from English</w:t>
            </w:r>
          </w:p>
        </w:tc>
        <w:tc>
          <w:tcPr>
            <w:tcW w:w="2700" w:type="dxa"/>
            <w:tcBorders>
              <w:top w:val="single" w:sz="4" w:space="0" w:color="auto"/>
              <w:bottom w:val="single" w:sz="4" w:space="0" w:color="auto"/>
            </w:tcBorders>
          </w:tcPr>
          <w:p w14:paraId="4F541A8D" w14:textId="77777777" w:rsidR="00672814" w:rsidRPr="009741D1" w:rsidRDefault="00672814" w:rsidP="00782C8A">
            <w:pPr>
              <w:spacing w:line="360" w:lineRule="auto"/>
              <w:jc w:val="center"/>
              <w:rPr>
                <w:i/>
              </w:rPr>
            </w:pPr>
            <w:r>
              <w:rPr>
                <w:i/>
              </w:rPr>
              <w:t>Language</w:t>
            </w:r>
          </w:p>
        </w:tc>
      </w:tr>
      <w:tr w:rsidR="00672814" w14:paraId="43F34169" w14:textId="77777777" w:rsidTr="00782C8A">
        <w:tc>
          <w:tcPr>
            <w:tcW w:w="2538" w:type="dxa"/>
            <w:tcBorders>
              <w:top w:val="single" w:sz="4" w:space="0" w:color="auto"/>
            </w:tcBorders>
          </w:tcPr>
          <w:p w14:paraId="49E93935" w14:textId="77777777" w:rsidR="0016740C" w:rsidRDefault="00672814" w:rsidP="00782C8A">
            <w:pPr>
              <w:tabs>
                <w:tab w:val="center" w:pos="1080"/>
              </w:tabs>
              <w:spacing w:line="360" w:lineRule="auto"/>
            </w:pPr>
            <w:r>
              <w:tab/>
              <w:t>2</w:t>
            </w:r>
          </w:p>
        </w:tc>
        <w:tc>
          <w:tcPr>
            <w:tcW w:w="2700" w:type="dxa"/>
            <w:tcBorders>
              <w:top w:val="single" w:sz="4" w:space="0" w:color="auto"/>
            </w:tcBorders>
          </w:tcPr>
          <w:p w14:paraId="134472C2" w14:textId="77777777" w:rsidR="00672814" w:rsidRDefault="00672814" w:rsidP="00782C8A">
            <w:pPr>
              <w:spacing w:line="360" w:lineRule="auto"/>
            </w:pPr>
            <w:r>
              <w:t xml:space="preserve">                Dutch</w:t>
            </w:r>
          </w:p>
        </w:tc>
      </w:tr>
      <w:tr w:rsidR="00672814" w14:paraId="1DF4CA9D" w14:textId="77777777" w:rsidTr="00782C8A">
        <w:tc>
          <w:tcPr>
            <w:tcW w:w="2538" w:type="dxa"/>
          </w:tcPr>
          <w:p w14:paraId="6621372D" w14:textId="77777777" w:rsidR="00672814" w:rsidRDefault="0016740C" w:rsidP="00782C8A">
            <w:pPr>
              <w:tabs>
                <w:tab w:val="center" w:pos="1080"/>
              </w:tabs>
              <w:spacing w:line="360" w:lineRule="auto"/>
            </w:pPr>
            <w:r>
              <w:t xml:space="preserve">                   2</w:t>
            </w:r>
          </w:p>
        </w:tc>
        <w:tc>
          <w:tcPr>
            <w:tcW w:w="2700" w:type="dxa"/>
          </w:tcPr>
          <w:p w14:paraId="234EB7FB" w14:textId="77777777" w:rsidR="00672814" w:rsidRDefault="00672814" w:rsidP="00782C8A">
            <w:pPr>
              <w:spacing w:line="360" w:lineRule="auto"/>
            </w:pPr>
            <w:r>
              <w:t xml:space="preserve">                German</w:t>
            </w:r>
          </w:p>
        </w:tc>
      </w:tr>
      <w:tr w:rsidR="00672814" w14:paraId="452FDB10" w14:textId="77777777" w:rsidTr="00782C8A">
        <w:tc>
          <w:tcPr>
            <w:tcW w:w="2538" w:type="dxa"/>
          </w:tcPr>
          <w:p w14:paraId="530DA5E0" w14:textId="77777777" w:rsidR="00672814" w:rsidRDefault="00672814" w:rsidP="00782C8A">
            <w:pPr>
              <w:tabs>
                <w:tab w:val="center" w:pos="1080"/>
              </w:tabs>
            </w:pPr>
          </w:p>
        </w:tc>
        <w:tc>
          <w:tcPr>
            <w:tcW w:w="2700" w:type="dxa"/>
          </w:tcPr>
          <w:p w14:paraId="4DA16F18" w14:textId="77777777" w:rsidR="00672814" w:rsidRDefault="00672814" w:rsidP="00782C8A"/>
        </w:tc>
      </w:tr>
      <w:tr w:rsidR="00672814" w14:paraId="3DDEB996" w14:textId="77777777" w:rsidTr="00782C8A">
        <w:tc>
          <w:tcPr>
            <w:tcW w:w="2538" w:type="dxa"/>
          </w:tcPr>
          <w:p w14:paraId="57F3CB81" w14:textId="77777777" w:rsidR="00672814" w:rsidRDefault="00672814" w:rsidP="00782C8A">
            <w:pPr>
              <w:tabs>
                <w:tab w:val="center" w:pos="1080"/>
              </w:tabs>
              <w:spacing w:line="360" w:lineRule="auto"/>
            </w:pPr>
            <w:r>
              <w:tab/>
              <w:t>3</w:t>
            </w:r>
          </w:p>
        </w:tc>
        <w:tc>
          <w:tcPr>
            <w:tcW w:w="2700" w:type="dxa"/>
          </w:tcPr>
          <w:p w14:paraId="3ED2F3C6" w14:textId="77777777" w:rsidR="00672814" w:rsidRDefault="00672814" w:rsidP="00782C8A">
            <w:pPr>
              <w:spacing w:line="360" w:lineRule="auto"/>
            </w:pPr>
            <w:r>
              <w:t xml:space="preserve">                Danish</w:t>
            </w:r>
          </w:p>
        </w:tc>
      </w:tr>
      <w:tr w:rsidR="00672814" w14:paraId="518FEF8A" w14:textId="77777777" w:rsidTr="00782C8A">
        <w:tc>
          <w:tcPr>
            <w:tcW w:w="2538" w:type="dxa"/>
          </w:tcPr>
          <w:p w14:paraId="24829459" w14:textId="77777777" w:rsidR="00672814" w:rsidRDefault="0016740C" w:rsidP="00782C8A">
            <w:pPr>
              <w:tabs>
                <w:tab w:val="center" w:pos="1080"/>
              </w:tabs>
              <w:spacing w:line="360" w:lineRule="auto"/>
            </w:pPr>
            <w:r>
              <w:t xml:space="preserve">                   3</w:t>
            </w:r>
          </w:p>
        </w:tc>
        <w:tc>
          <w:tcPr>
            <w:tcW w:w="2700" w:type="dxa"/>
          </w:tcPr>
          <w:p w14:paraId="4081E08A" w14:textId="77777777" w:rsidR="00672814" w:rsidRDefault="00672814" w:rsidP="00782C8A">
            <w:pPr>
              <w:spacing w:line="360" w:lineRule="auto"/>
            </w:pPr>
            <w:r>
              <w:t xml:space="preserve">                Norwegian</w:t>
            </w:r>
          </w:p>
        </w:tc>
      </w:tr>
      <w:tr w:rsidR="00672814" w14:paraId="068DEFF2" w14:textId="77777777" w:rsidTr="00782C8A">
        <w:tc>
          <w:tcPr>
            <w:tcW w:w="2538" w:type="dxa"/>
          </w:tcPr>
          <w:p w14:paraId="19E56012" w14:textId="77777777" w:rsidR="00672814" w:rsidRDefault="0016740C" w:rsidP="00782C8A">
            <w:pPr>
              <w:tabs>
                <w:tab w:val="center" w:pos="1080"/>
              </w:tabs>
              <w:spacing w:line="360" w:lineRule="auto"/>
            </w:pPr>
            <w:r>
              <w:t xml:space="preserve">                   3</w:t>
            </w:r>
          </w:p>
        </w:tc>
        <w:tc>
          <w:tcPr>
            <w:tcW w:w="2700" w:type="dxa"/>
          </w:tcPr>
          <w:p w14:paraId="0FA34B57" w14:textId="77777777" w:rsidR="00672814" w:rsidRDefault="00672814" w:rsidP="00782C8A">
            <w:pPr>
              <w:spacing w:line="360" w:lineRule="auto"/>
            </w:pPr>
            <w:r>
              <w:t xml:space="preserve">                Swedish</w:t>
            </w:r>
          </w:p>
        </w:tc>
      </w:tr>
      <w:tr w:rsidR="00672814" w14:paraId="0EE7CF2A" w14:textId="77777777" w:rsidTr="00782C8A">
        <w:tc>
          <w:tcPr>
            <w:tcW w:w="2538" w:type="dxa"/>
          </w:tcPr>
          <w:p w14:paraId="0E3AD841" w14:textId="77777777" w:rsidR="00672814" w:rsidRDefault="00672814" w:rsidP="00782C8A">
            <w:pPr>
              <w:tabs>
                <w:tab w:val="center" w:pos="1080"/>
              </w:tabs>
            </w:pPr>
          </w:p>
        </w:tc>
        <w:tc>
          <w:tcPr>
            <w:tcW w:w="2700" w:type="dxa"/>
          </w:tcPr>
          <w:p w14:paraId="0286F814" w14:textId="77777777" w:rsidR="00672814" w:rsidRDefault="00672814" w:rsidP="00782C8A"/>
        </w:tc>
      </w:tr>
      <w:tr w:rsidR="00672814" w14:paraId="7FBB95A5" w14:textId="77777777" w:rsidTr="00782C8A">
        <w:tc>
          <w:tcPr>
            <w:tcW w:w="2538" w:type="dxa"/>
          </w:tcPr>
          <w:p w14:paraId="6E034511" w14:textId="77777777" w:rsidR="00672814" w:rsidRDefault="00672814" w:rsidP="00782C8A">
            <w:pPr>
              <w:tabs>
                <w:tab w:val="center" w:pos="1080"/>
              </w:tabs>
              <w:spacing w:line="360" w:lineRule="auto"/>
            </w:pPr>
            <w:r>
              <w:tab/>
              <w:t>4</w:t>
            </w:r>
          </w:p>
        </w:tc>
        <w:tc>
          <w:tcPr>
            <w:tcW w:w="2700" w:type="dxa"/>
          </w:tcPr>
          <w:p w14:paraId="0E7D809C" w14:textId="77777777" w:rsidR="00672814" w:rsidRDefault="00672814" w:rsidP="00782C8A">
            <w:pPr>
              <w:spacing w:line="360" w:lineRule="auto"/>
            </w:pPr>
            <w:r>
              <w:t xml:space="preserve">                Greek</w:t>
            </w:r>
          </w:p>
        </w:tc>
      </w:tr>
      <w:tr w:rsidR="00672814" w14:paraId="05E2D425" w14:textId="77777777" w:rsidTr="00782C8A">
        <w:tc>
          <w:tcPr>
            <w:tcW w:w="2538" w:type="dxa"/>
          </w:tcPr>
          <w:p w14:paraId="5A68C4E4" w14:textId="77777777" w:rsidR="00672814" w:rsidRDefault="0016740C" w:rsidP="00782C8A">
            <w:pPr>
              <w:tabs>
                <w:tab w:val="center" w:pos="1080"/>
              </w:tabs>
              <w:spacing w:line="360" w:lineRule="auto"/>
            </w:pPr>
            <w:r>
              <w:t xml:space="preserve">                   4</w:t>
            </w:r>
          </w:p>
        </w:tc>
        <w:tc>
          <w:tcPr>
            <w:tcW w:w="2700" w:type="dxa"/>
          </w:tcPr>
          <w:p w14:paraId="005632AD" w14:textId="77777777" w:rsidR="00672814" w:rsidRDefault="00672814" w:rsidP="00782C8A">
            <w:pPr>
              <w:spacing w:line="360" w:lineRule="auto"/>
            </w:pPr>
            <w:r>
              <w:t xml:space="preserve">                Turkish [5]</w:t>
            </w:r>
          </w:p>
        </w:tc>
      </w:tr>
      <w:tr w:rsidR="00672814" w14:paraId="7A496F02" w14:textId="77777777" w:rsidTr="00782C8A">
        <w:tc>
          <w:tcPr>
            <w:tcW w:w="2538" w:type="dxa"/>
          </w:tcPr>
          <w:p w14:paraId="69F132E2" w14:textId="77777777" w:rsidR="00672814" w:rsidRDefault="00672814" w:rsidP="00782C8A">
            <w:pPr>
              <w:tabs>
                <w:tab w:val="center" w:pos="1080"/>
              </w:tabs>
            </w:pPr>
          </w:p>
        </w:tc>
        <w:tc>
          <w:tcPr>
            <w:tcW w:w="2700" w:type="dxa"/>
          </w:tcPr>
          <w:p w14:paraId="6539ED17" w14:textId="77777777" w:rsidR="00672814" w:rsidRDefault="00672814" w:rsidP="00782C8A"/>
        </w:tc>
      </w:tr>
      <w:tr w:rsidR="00672814" w14:paraId="00F13017" w14:textId="77777777" w:rsidTr="00782C8A">
        <w:tc>
          <w:tcPr>
            <w:tcW w:w="2538" w:type="dxa"/>
          </w:tcPr>
          <w:p w14:paraId="6E348FE4" w14:textId="77777777" w:rsidR="00672814" w:rsidRDefault="00672814" w:rsidP="00782C8A">
            <w:pPr>
              <w:tabs>
                <w:tab w:val="center" w:pos="1080"/>
              </w:tabs>
              <w:spacing w:line="360" w:lineRule="auto"/>
            </w:pPr>
            <w:r>
              <w:tab/>
              <w:t>5</w:t>
            </w:r>
          </w:p>
        </w:tc>
        <w:tc>
          <w:tcPr>
            <w:tcW w:w="2700" w:type="dxa"/>
          </w:tcPr>
          <w:p w14:paraId="71811AE1" w14:textId="77777777" w:rsidR="00672814" w:rsidRDefault="00672814" w:rsidP="00782C8A">
            <w:pPr>
              <w:spacing w:line="360" w:lineRule="auto"/>
            </w:pPr>
            <w:r>
              <w:t xml:space="preserve">                Finnish [4]</w:t>
            </w:r>
          </w:p>
        </w:tc>
      </w:tr>
      <w:tr w:rsidR="00672814" w14:paraId="1E027B4B" w14:textId="77777777" w:rsidTr="00782C8A">
        <w:tc>
          <w:tcPr>
            <w:tcW w:w="2538" w:type="dxa"/>
          </w:tcPr>
          <w:p w14:paraId="3FCE89B1" w14:textId="77777777" w:rsidR="00672814" w:rsidRDefault="0016740C" w:rsidP="00782C8A">
            <w:pPr>
              <w:tabs>
                <w:tab w:val="center" w:pos="1080"/>
              </w:tabs>
              <w:spacing w:line="360" w:lineRule="auto"/>
            </w:pPr>
            <w:r>
              <w:t xml:space="preserve">                   5</w:t>
            </w:r>
          </w:p>
        </w:tc>
        <w:tc>
          <w:tcPr>
            <w:tcW w:w="2700" w:type="dxa"/>
          </w:tcPr>
          <w:p w14:paraId="71853300" w14:textId="77777777" w:rsidR="00672814" w:rsidRDefault="00672814" w:rsidP="00782C8A">
            <w:pPr>
              <w:spacing w:line="360" w:lineRule="auto"/>
            </w:pPr>
            <w:r>
              <w:t xml:space="preserve">                French [4]</w:t>
            </w:r>
          </w:p>
        </w:tc>
      </w:tr>
      <w:tr w:rsidR="00672814" w14:paraId="3950AF60" w14:textId="77777777" w:rsidTr="00782C8A">
        <w:tc>
          <w:tcPr>
            <w:tcW w:w="2538" w:type="dxa"/>
          </w:tcPr>
          <w:p w14:paraId="60409C20" w14:textId="77777777" w:rsidR="00672814" w:rsidRDefault="0016740C" w:rsidP="00782C8A">
            <w:pPr>
              <w:tabs>
                <w:tab w:val="center" w:pos="1080"/>
              </w:tabs>
              <w:spacing w:line="360" w:lineRule="auto"/>
            </w:pPr>
            <w:r>
              <w:t xml:space="preserve">                   5</w:t>
            </w:r>
          </w:p>
        </w:tc>
        <w:tc>
          <w:tcPr>
            <w:tcW w:w="2700" w:type="dxa"/>
          </w:tcPr>
          <w:p w14:paraId="29B25417" w14:textId="77777777" w:rsidR="00672814" w:rsidRDefault="00672814" w:rsidP="00782C8A">
            <w:pPr>
              <w:spacing w:line="360" w:lineRule="auto"/>
            </w:pPr>
            <w:r>
              <w:t xml:space="preserve">                Hebrew</w:t>
            </w:r>
          </w:p>
        </w:tc>
      </w:tr>
      <w:tr w:rsidR="00672814" w14:paraId="640D23C3" w14:textId="77777777" w:rsidTr="00782C8A">
        <w:tc>
          <w:tcPr>
            <w:tcW w:w="2538" w:type="dxa"/>
          </w:tcPr>
          <w:p w14:paraId="6764D87B" w14:textId="77777777" w:rsidR="00672814" w:rsidRDefault="0016740C" w:rsidP="00782C8A">
            <w:pPr>
              <w:tabs>
                <w:tab w:val="center" w:pos="1080"/>
              </w:tabs>
              <w:spacing w:line="360" w:lineRule="auto"/>
            </w:pPr>
            <w:r>
              <w:t xml:space="preserve">                   5</w:t>
            </w:r>
          </w:p>
        </w:tc>
        <w:tc>
          <w:tcPr>
            <w:tcW w:w="2700" w:type="dxa"/>
          </w:tcPr>
          <w:p w14:paraId="22D1C206" w14:textId="77777777" w:rsidR="00672814" w:rsidRDefault="00672814" w:rsidP="00782C8A">
            <w:pPr>
              <w:spacing w:line="360" w:lineRule="auto"/>
            </w:pPr>
            <w:r>
              <w:t xml:space="preserve">                Indonesian</w:t>
            </w:r>
          </w:p>
        </w:tc>
      </w:tr>
      <w:tr w:rsidR="00672814" w14:paraId="5A59397A" w14:textId="77777777" w:rsidTr="00782C8A">
        <w:tc>
          <w:tcPr>
            <w:tcW w:w="2538" w:type="dxa"/>
          </w:tcPr>
          <w:p w14:paraId="6721E9E5" w14:textId="77777777" w:rsidR="00672814" w:rsidRDefault="0016740C" w:rsidP="00782C8A">
            <w:pPr>
              <w:tabs>
                <w:tab w:val="center" w:pos="1080"/>
              </w:tabs>
              <w:spacing w:line="360" w:lineRule="auto"/>
            </w:pPr>
            <w:r>
              <w:t xml:space="preserve">                   5</w:t>
            </w:r>
          </w:p>
        </w:tc>
        <w:tc>
          <w:tcPr>
            <w:tcW w:w="2700" w:type="dxa"/>
          </w:tcPr>
          <w:p w14:paraId="1B16F246" w14:textId="77777777" w:rsidR="00672814" w:rsidRDefault="00672814" w:rsidP="00782C8A">
            <w:pPr>
              <w:spacing w:line="360" w:lineRule="auto"/>
            </w:pPr>
            <w:r>
              <w:t xml:space="preserve">                Italian [4]</w:t>
            </w:r>
          </w:p>
        </w:tc>
      </w:tr>
      <w:tr w:rsidR="00672814" w14:paraId="05C7D4DD" w14:textId="77777777" w:rsidTr="00782C8A">
        <w:tc>
          <w:tcPr>
            <w:tcW w:w="2538" w:type="dxa"/>
          </w:tcPr>
          <w:p w14:paraId="2BFED331" w14:textId="77777777" w:rsidR="00672814" w:rsidRDefault="0016740C" w:rsidP="00782C8A">
            <w:pPr>
              <w:tabs>
                <w:tab w:val="center" w:pos="1080"/>
              </w:tabs>
              <w:spacing w:line="360" w:lineRule="auto"/>
            </w:pPr>
            <w:r>
              <w:t xml:space="preserve">                   5</w:t>
            </w:r>
          </w:p>
        </w:tc>
        <w:tc>
          <w:tcPr>
            <w:tcW w:w="2700" w:type="dxa"/>
          </w:tcPr>
          <w:p w14:paraId="69F8B86B" w14:textId="77777777" w:rsidR="00672814" w:rsidRDefault="00672814" w:rsidP="00782C8A">
            <w:pPr>
              <w:spacing w:line="360" w:lineRule="auto"/>
            </w:pPr>
            <w:r>
              <w:t xml:space="preserve">                Japanese</w:t>
            </w:r>
          </w:p>
        </w:tc>
      </w:tr>
      <w:tr w:rsidR="00672814" w14:paraId="67FD67EB" w14:textId="77777777" w:rsidTr="00782C8A">
        <w:tc>
          <w:tcPr>
            <w:tcW w:w="2538" w:type="dxa"/>
          </w:tcPr>
          <w:p w14:paraId="5E3DDCA7" w14:textId="77777777" w:rsidR="00672814" w:rsidRDefault="0016740C" w:rsidP="00782C8A">
            <w:pPr>
              <w:tabs>
                <w:tab w:val="center" w:pos="1080"/>
              </w:tabs>
              <w:spacing w:line="360" w:lineRule="auto"/>
            </w:pPr>
            <w:r>
              <w:t xml:space="preserve">                   5</w:t>
            </w:r>
          </w:p>
        </w:tc>
        <w:tc>
          <w:tcPr>
            <w:tcW w:w="2700" w:type="dxa"/>
          </w:tcPr>
          <w:p w14:paraId="0646DF9E" w14:textId="77777777" w:rsidR="00672814" w:rsidRDefault="00672814" w:rsidP="00782C8A">
            <w:pPr>
              <w:spacing w:line="360" w:lineRule="auto"/>
            </w:pPr>
            <w:r>
              <w:t xml:space="preserve">                Mandarin</w:t>
            </w:r>
          </w:p>
        </w:tc>
      </w:tr>
      <w:tr w:rsidR="00672814" w14:paraId="57E01A00" w14:textId="77777777" w:rsidTr="00782C8A">
        <w:tc>
          <w:tcPr>
            <w:tcW w:w="2538" w:type="dxa"/>
          </w:tcPr>
          <w:p w14:paraId="7F88930F" w14:textId="77777777" w:rsidR="00672814" w:rsidRDefault="0016740C" w:rsidP="00782C8A">
            <w:pPr>
              <w:tabs>
                <w:tab w:val="center" w:pos="1080"/>
              </w:tabs>
              <w:spacing w:line="360" w:lineRule="auto"/>
            </w:pPr>
            <w:r>
              <w:t xml:space="preserve">                   5</w:t>
            </w:r>
          </w:p>
        </w:tc>
        <w:tc>
          <w:tcPr>
            <w:tcW w:w="2700" w:type="dxa"/>
          </w:tcPr>
          <w:p w14:paraId="357EADD8" w14:textId="77777777" w:rsidR="00672814" w:rsidRDefault="00672814" w:rsidP="00782C8A">
            <w:pPr>
              <w:spacing w:line="360" w:lineRule="auto"/>
            </w:pPr>
            <w:r>
              <w:t xml:space="preserve">                Portuguese [4]</w:t>
            </w:r>
          </w:p>
        </w:tc>
      </w:tr>
      <w:tr w:rsidR="00672814" w14:paraId="11C4A1AB" w14:textId="77777777" w:rsidTr="00782C8A">
        <w:tc>
          <w:tcPr>
            <w:tcW w:w="2538" w:type="dxa"/>
          </w:tcPr>
          <w:p w14:paraId="4B52465E" w14:textId="77777777" w:rsidR="00672814" w:rsidRDefault="0016740C" w:rsidP="00782C8A">
            <w:pPr>
              <w:tabs>
                <w:tab w:val="center" w:pos="1080"/>
              </w:tabs>
              <w:spacing w:line="360" w:lineRule="auto"/>
            </w:pPr>
            <w:r>
              <w:t xml:space="preserve">                   5</w:t>
            </w:r>
          </w:p>
        </w:tc>
        <w:tc>
          <w:tcPr>
            <w:tcW w:w="2700" w:type="dxa"/>
          </w:tcPr>
          <w:p w14:paraId="2E627238" w14:textId="77777777" w:rsidR="00672814" w:rsidRDefault="00672814" w:rsidP="00782C8A">
            <w:pPr>
              <w:spacing w:line="360" w:lineRule="auto"/>
            </w:pPr>
            <w:r>
              <w:t xml:space="preserve">                Spanish [4]</w:t>
            </w:r>
          </w:p>
        </w:tc>
      </w:tr>
    </w:tbl>
    <w:p w14:paraId="064354F8" w14:textId="529DD1E8" w:rsidR="00745381" w:rsidRDefault="00672814" w:rsidP="00F758FC">
      <w:pPr>
        <w:spacing w:before="240" w:line="240" w:lineRule="auto"/>
        <w:rPr>
          <w:sz w:val="22"/>
        </w:rPr>
      </w:pPr>
      <w:r w:rsidRPr="003B422A">
        <w:rPr>
          <w:i/>
          <w:sz w:val="22"/>
        </w:rPr>
        <w:t>Source:</w:t>
      </w:r>
      <w:r w:rsidRPr="003B422A">
        <w:rPr>
          <w:sz w:val="22"/>
        </w:rPr>
        <w:t xml:space="preserve"> Prepared from </w:t>
      </w:r>
      <w:proofErr w:type="spellStart"/>
      <w:r w:rsidRPr="003B422A">
        <w:rPr>
          <w:sz w:val="22"/>
        </w:rPr>
        <w:t>Jeanjean</w:t>
      </w:r>
      <w:proofErr w:type="spellEnd"/>
      <w:r w:rsidRPr="003B422A">
        <w:rPr>
          <w:sz w:val="22"/>
        </w:rPr>
        <w:t xml:space="preserve"> </w:t>
      </w:r>
      <w:r w:rsidRPr="003B422A">
        <w:rPr>
          <w:i/>
          <w:sz w:val="22"/>
        </w:rPr>
        <w:t>et al.</w:t>
      </w:r>
      <w:r w:rsidR="0016740C">
        <w:rPr>
          <w:sz w:val="22"/>
        </w:rPr>
        <w:t xml:space="preserve"> (2010, Table 4, Panel B). The left-hand column shows the purported distance of a language from English (on a scale of 1 to 5). In square brackets</w:t>
      </w:r>
      <w:r w:rsidR="00D86CCC">
        <w:rPr>
          <w:sz w:val="22"/>
        </w:rPr>
        <w:t xml:space="preserve"> on the right, the author has</w:t>
      </w:r>
      <w:bookmarkStart w:id="0" w:name="_GoBack"/>
      <w:bookmarkEnd w:id="0"/>
      <w:r w:rsidR="0016740C">
        <w:rPr>
          <w:sz w:val="22"/>
        </w:rPr>
        <w:t xml:space="preserve"> </w:t>
      </w:r>
      <w:r w:rsidRPr="003B422A">
        <w:rPr>
          <w:sz w:val="22"/>
        </w:rPr>
        <w:t xml:space="preserve">corrected </w:t>
      </w:r>
      <w:r w:rsidR="0016740C">
        <w:rPr>
          <w:sz w:val="22"/>
        </w:rPr>
        <w:t xml:space="preserve">the scores, based on an analysis of the source used by </w:t>
      </w:r>
      <w:proofErr w:type="spellStart"/>
      <w:r w:rsidR="0016740C" w:rsidRPr="003B422A">
        <w:rPr>
          <w:sz w:val="22"/>
        </w:rPr>
        <w:t>Jeanjean</w:t>
      </w:r>
      <w:proofErr w:type="spellEnd"/>
      <w:r w:rsidR="0016740C" w:rsidRPr="003B422A">
        <w:rPr>
          <w:sz w:val="22"/>
        </w:rPr>
        <w:t xml:space="preserve"> </w:t>
      </w:r>
      <w:r w:rsidR="0016740C" w:rsidRPr="003B422A">
        <w:rPr>
          <w:i/>
          <w:sz w:val="22"/>
        </w:rPr>
        <w:t>et al.</w:t>
      </w:r>
    </w:p>
    <w:p w14:paraId="7B1BC275" w14:textId="77777777" w:rsidR="00F758FC" w:rsidRDefault="00F758FC" w:rsidP="00F758FC">
      <w:pPr>
        <w:spacing w:before="240" w:line="240" w:lineRule="auto"/>
        <w:rPr>
          <w:sz w:val="22"/>
        </w:rPr>
      </w:pPr>
    </w:p>
    <w:p w14:paraId="72FFE961" w14:textId="77777777" w:rsidR="00F758FC" w:rsidRDefault="00F758FC" w:rsidP="00F758FC">
      <w:pPr>
        <w:spacing w:before="240" w:line="240" w:lineRule="auto"/>
        <w:rPr>
          <w:sz w:val="22"/>
        </w:rPr>
      </w:pPr>
    </w:p>
    <w:p w14:paraId="5EA91736" w14:textId="77777777" w:rsidR="00F758FC" w:rsidRDefault="00F758FC" w:rsidP="00F758FC">
      <w:pPr>
        <w:spacing w:before="240" w:line="240" w:lineRule="auto"/>
        <w:rPr>
          <w:sz w:val="22"/>
        </w:rPr>
      </w:pPr>
    </w:p>
    <w:p w14:paraId="17EC5EE4" w14:textId="77777777" w:rsidR="00F758FC" w:rsidRDefault="00F758FC" w:rsidP="00F758FC">
      <w:pPr>
        <w:spacing w:before="240" w:line="240" w:lineRule="auto"/>
        <w:rPr>
          <w:sz w:val="22"/>
        </w:rPr>
      </w:pPr>
    </w:p>
    <w:p w14:paraId="6201165C" w14:textId="77777777" w:rsidR="00F758FC" w:rsidRDefault="00F758FC" w:rsidP="00F758FC">
      <w:pPr>
        <w:spacing w:before="240" w:line="240" w:lineRule="auto"/>
        <w:rPr>
          <w:sz w:val="22"/>
        </w:rPr>
      </w:pPr>
    </w:p>
    <w:p w14:paraId="5EC3B6D7" w14:textId="77777777" w:rsidR="00F758FC" w:rsidRDefault="00F758FC" w:rsidP="00F758FC">
      <w:pPr>
        <w:spacing w:before="240" w:line="240" w:lineRule="auto"/>
        <w:rPr>
          <w:sz w:val="22"/>
        </w:rPr>
      </w:pPr>
    </w:p>
    <w:p w14:paraId="154A33C5" w14:textId="77777777" w:rsidR="00F758FC" w:rsidRPr="00F758FC" w:rsidRDefault="00F758FC" w:rsidP="00F758FC">
      <w:pPr>
        <w:spacing w:before="240" w:line="240" w:lineRule="auto"/>
        <w:rPr>
          <w:sz w:val="22"/>
        </w:rPr>
      </w:pPr>
    </w:p>
    <w:p w14:paraId="12A3A567" w14:textId="77777777" w:rsidR="00F758FC" w:rsidRDefault="00F758FC" w:rsidP="00F758FC">
      <w:pPr>
        <w:spacing w:after="60" w:line="240" w:lineRule="auto"/>
        <w:rPr>
          <w:b/>
        </w:rPr>
      </w:pPr>
      <w:r>
        <w:rPr>
          <w:b/>
        </w:rPr>
        <w:t>Table 10</w:t>
      </w:r>
    </w:p>
    <w:p w14:paraId="2B0D1C96" w14:textId="77777777" w:rsidR="00F758FC" w:rsidRDefault="00F758FC" w:rsidP="00F758FC">
      <w:r>
        <w:t>Classes of flaw in classifications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297"/>
        <w:gridCol w:w="2806"/>
        <w:gridCol w:w="2693"/>
      </w:tblGrid>
      <w:tr w:rsidR="00F758FC" w14:paraId="01194B0D" w14:textId="77777777" w:rsidTr="00F758FC">
        <w:tc>
          <w:tcPr>
            <w:tcW w:w="1951" w:type="dxa"/>
            <w:tcBorders>
              <w:top w:val="single" w:sz="4" w:space="0" w:color="auto"/>
              <w:bottom w:val="single" w:sz="4" w:space="0" w:color="auto"/>
              <w:right w:val="single" w:sz="4" w:space="0" w:color="auto"/>
            </w:tcBorders>
          </w:tcPr>
          <w:p w14:paraId="310E7ADD" w14:textId="77777777" w:rsidR="00F758FC" w:rsidRDefault="00F758FC" w:rsidP="00F758FC">
            <w:pPr>
              <w:tabs>
                <w:tab w:val="right" w:pos="1590"/>
              </w:tabs>
              <w:spacing w:before="120"/>
              <w:rPr>
                <w:b/>
                <w:i/>
              </w:rPr>
            </w:pPr>
            <w:r>
              <w:rPr>
                <w:b/>
                <w:i/>
                <w:noProof/>
                <w:lang w:eastAsia="en-GB"/>
              </w:rPr>
              <mc:AlternateContent>
                <mc:Choice Requires="wps">
                  <w:drawing>
                    <wp:anchor distT="0" distB="0" distL="114300" distR="114300" simplePos="0" relativeHeight="251668992" behindDoc="0" locked="0" layoutInCell="1" allowOverlap="1" wp14:anchorId="22C07970" wp14:editId="4CFF8611">
                      <wp:simplePos x="0" y="0"/>
                      <wp:positionH relativeFrom="column">
                        <wp:posOffset>-66675</wp:posOffset>
                      </wp:positionH>
                      <wp:positionV relativeFrom="paragraph">
                        <wp:posOffset>6985</wp:posOffset>
                      </wp:positionV>
                      <wp:extent cx="1219200" cy="5238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1219200" cy="523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A212051" id="Straight Connector 15"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0.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"/>
                  </w:pict>
                </mc:Fallback>
              </mc:AlternateContent>
            </w:r>
            <w:r>
              <w:rPr>
                <w:b/>
                <w:i/>
              </w:rPr>
              <w:tab/>
              <w:t>Flaw</w:t>
            </w:r>
          </w:p>
          <w:p w14:paraId="138C37FF" w14:textId="77777777" w:rsidR="00F758FC" w:rsidRPr="00064DEF" w:rsidRDefault="00F758FC" w:rsidP="00F758FC">
            <w:pPr>
              <w:spacing w:line="360" w:lineRule="auto"/>
              <w:rPr>
                <w:b/>
                <w:i/>
              </w:rPr>
            </w:pPr>
            <w:r>
              <w:rPr>
                <w:b/>
                <w:i/>
              </w:rPr>
              <w:t>Domain</w:t>
            </w:r>
          </w:p>
        </w:tc>
        <w:tc>
          <w:tcPr>
            <w:tcW w:w="2297" w:type="dxa"/>
            <w:tcBorders>
              <w:top w:val="single" w:sz="4" w:space="0" w:color="auto"/>
              <w:left w:val="single" w:sz="4" w:space="0" w:color="auto"/>
              <w:bottom w:val="single" w:sz="4" w:space="0" w:color="auto"/>
            </w:tcBorders>
          </w:tcPr>
          <w:p w14:paraId="054CDE99" w14:textId="77777777" w:rsidR="00F758FC" w:rsidRDefault="00F758FC" w:rsidP="00F758FC">
            <w:pPr>
              <w:jc w:val="center"/>
              <w:rPr>
                <w:i/>
              </w:rPr>
            </w:pPr>
          </w:p>
          <w:p w14:paraId="71044675" w14:textId="289DC70C" w:rsidR="00F758FC" w:rsidRPr="006660E8" w:rsidRDefault="00F56877" w:rsidP="00F758FC">
            <w:pPr>
              <w:jc w:val="center"/>
              <w:rPr>
                <w:i/>
              </w:rPr>
            </w:pPr>
            <w:r>
              <w:rPr>
                <w:i/>
              </w:rPr>
              <w:t>Data n</w:t>
            </w:r>
            <w:r w:rsidR="00F758FC">
              <w:rPr>
                <w:i/>
              </w:rPr>
              <w:t>ot true</w:t>
            </w:r>
          </w:p>
        </w:tc>
        <w:tc>
          <w:tcPr>
            <w:tcW w:w="2806" w:type="dxa"/>
            <w:tcBorders>
              <w:top w:val="single" w:sz="4" w:space="0" w:color="auto"/>
              <w:bottom w:val="single" w:sz="4" w:space="0" w:color="auto"/>
            </w:tcBorders>
          </w:tcPr>
          <w:p w14:paraId="4C0FDD28" w14:textId="77777777" w:rsidR="00F758FC" w:rsidRDefault="00F758FC" w:rsidP="00F758FC">
            <w:pPr>
              <w:rPr>
                <w:i/>
              </w:rPr>
            </w:pPr>
            <w:r>
              <w:rPr>
                <w:i/>
              </w:rPr>
              <w:tab/>
            </w:r>
          </w:p>
          <w:p w14:paraId="17A41BAE" w14:textId="7036B87B" w:rsidR="00F758FC" w:rsidRPr="006660E8" w:rsidRDefault="00F56877" w:rsidP="00F758FC">
            <w:pPr>
              <w:jc w:val="center"/>
              <w:rPr>
                <w:i/>
              </w:rPr>
            </w:pPr>
            <w:r>
              <w:rPr>
                <w:i/>
              </w:rPr>
              <w:t>Data n</w:t>
            </w:r>
            <w:r w:rsidR="00F758FC">
              <w:rPr>
                <w:i/>
              </w:rPr>
              <w:t>ot fair</w:t>
            </w:r>
          </w:p>
        </w:tc>
        <w:tc>
          <w:tcPr>
            <w:tcW w:w="2693" w:type="dxa"/>
            <w:tcBorders>
              <w:top w:val="single" w:sz="4" w:space="0" w:color="auto"/>
              <w:bottom w:val="single" w:sz="4" w:space="0" w:color="auto"/>
            </w:tcBorders>
          </w:tcPr>
          <w:p w14:paraId="0DC69504" w14:textId="77777777" w:rsidR="00F758FC" w:rsidRDefault="00F758FC" w:rsidP="00F758FC">
            <w:pPr>
              <w:jc w:val="center"/>
              <w:rPr>
                <w:i/>
              </w:rPr>
            </w:pPr>
          </w:p>
          <w:p w14:paraId="164F73C7" w14:textId="6466B621" w:rsidR="00F758FC" w:rsidRPr="006660E8" w:rsidRDefault="00F56877" w:rsidP="00F758FC">
            <w:pPr>
              <w:jc w:val="center"/>
              <w:rPr>
                <w:i/>
              </w:rPr>
            </w:pPr>
            <w:r>
              <w:rPr>
                <w:i/>
              </w:rPr>
              <w:t>Result n</w:t>
            </w:r>
            <w:r w:rsidR="00F758FC">
              <w:rPr>
                <w:i/>
              </w:rPr>
              <w:t>ot relevant/useful</w:t>
            </w:r>
          </w:p>
        </w:tc>
      </w:tr>
      <w:tr w:rsidR="00F758FC" w14:paraId="50EC4190" w14:textId="77777777" w:rsidTr="00F758FC">
        <w:tc>
          <w:tcPr>
            <w:tcW w:w="1951" w:type="dxa"/>
            <w:tcBorders>
              <w:top w:val="single" w:sz="4" w:space="0" w:color="auto"/>
            </w:tcBorders>
          </w:tcPr>
          <w:p w14:paraId="4260D637" w14:textId="77777777" w:rsidR="00F758FC" w:rsidRPr="00064DEF" w:rsidRDefault="00F758FC" w:rsidP="00F758FC">
            <w:pPr>
              <w:rPr>
                <w:i/>
              </w:rPr>
            </w:pPr>
            <w:r w:rsidRPr="00064DEF">
              <w:rPr>
                <w:i/>
              </w:rPr>
              <w:t>Non-accounting</w:t>
            </w:r>
          </w:p>
        </w:tc>
        <w:tc>
          <w:tcPr>
            <w:tcW w:w="2297" w:type="dxa"/>
            <w:tcBorders>
              <w:top w:val="single" w:sz="4" w:space="0" w:color="auto"/>
            </w:tcBorders>
          </w:tcPr>
          <w:p w14:paraId="1806C111" w14:textId="0B041409" w:rsidR="00F758FC" w:rsidRDefault="00F758FC" w:rsidP="00F758FC">
            <w:pPr>
              <w:spacing w:after="120"/>
            </w:pPr>
            <w:r>
              <w:t>Man as not animal.</w:t>
            </w:r>
          </w:p>
          <w:p w14:paraId="56297A3F" w14:textId="368154F1" w:rsidR="00F758FC" w:rsidRDefault="00F758FC" w:rsidP="00F758FC">
            <w:pPr>
              <w:spacing w:after="120"/>
            </w:pPr>
            <w:r>
              <w:t>Sun as planet.</w:t>
            </w:r>
          </w:p>
          <w:p w14:paraId="1043B142" w14:textId="1AA479D2" w:rsidR="00F758FC" w:rsidRDefault="00F758FC" w:rsidP="00F758FC">
            <w:pPr>
              <w:spacing w:after="360"/>
            </w:pPr>
            <w:r>
              <w:t>Earth as not planet.</w:t>
            </w:r>
          </w:p>
        </w:tc>
        <w:tc>
          <w:tcPr>
            <w:tcW w:w="2806" w:type="dxa"/>
            <w:tcBorders>
              <w:top w:val="single" w:sz="4" w:space="0" w:color="auto"/>
            </w:tcBorders>
          </w:tcPr>
          <w:p w14:paraId="0FF3F9CF" w14:textId="32E21FB8" w:rsidR="00F758FC" w:rsidRDefault="00F758FC" w:rsidP="00F758FC">
            <w:pPr>
              <w:spacing w:after="120"/>
            </w:pPr>
            <w:r>
              <w:t>Man as featherless biped.</w:t>
            </w:r>
          </w:p>
          <w:p w14:paraId="1DC342F5" w14:textId="27E792B0" w:rsidR="00F758FC" w:rsidRDefault="00F758FC" w:rsidP="00F758FC">
            <w:pPr>
              <w:spacing w:after="120"/>
            </w:pPr>
            <w:r>
              <w:t>Elements by liquidness.</w:t>
            </w:r>
          </w:p>
        </w:tc>
        <w:tc>
          <w:tcPr>
            <w:tcW w:w="2693" w:type="dxa"/>
            <w:tcBorders>
              <w:top w:val="single" w:sz="4" w:space="0" w:color="auto"/>
            </w:tcBorders>
          </w:tcPr>
          <w:p w14:paraId="66EC72CA" w14:textId="79F3304B" w:rsidR="00F758FC" w:rsidRDefault="00F758FC" w:rsidP="00F758FC">
            <w:pPr>
              <w:spacing w:after="120"/>
            </w:pPr>
            <w:r>
              <w:t>Pluto as planet.</w:t>
            </w:r>
          </w:p>
          <w:p w14:paraId="17FC9BA8" w14:textId="01909C98" w:rsidR="00F758FC" w:rsidRDefault="00F758FC" w:rsidP="00F758FC">
            <w:pPr>
              <w:spacing w:after="120"/>
            </w:pPr>
            <w:r>
              <w:t>Books by colour.</w:t>
            </w:r>
          </w:p>
        </w:tc>
      </w:tr>
      <w:tr w:rsidR="00F758FC" w14:paraId="488B605C" w14:textId="77777777" w:rsidTr="00F758FC">
        <w:tc>
          <w:tcPr>
            <w:tcW w:w="1951" w:type="dxa"/>
          </w:tcPr>
          <w:p w14:paraId="129C20BC" w14:textId="77777777" w:rsidR="00F758FC" w:rsidRPr="00064DEF" w:rsidRDefault="00F758FC" w:rsidP="00F758FC">
            <w:pPr>
              <w:spacing w:after="120"/>
              <w:rPr>
                <w:i/>
              </w:rPr>
            </w:pPr>
            <w:r w:rsidRPr="00064DEF">
              <w:rPr>
                <w:i/>
              </w:rPr>
              <w:t>Accounting systems</w:t>
            </w:r>
          </w:p>
        </w:tc>
        <w:tc>
          <w:tcPr>
            <w:tcW w:w="2297" w:type="dxa"/>
          </w:tcPr>
          <w:p w14:paraId="0AA08399" w14:textId="328D2AEA" w:rsidR="00F758FC" w:rsidRDefault="00F758FC" w:rsidP="00F758FC">
            <w:pPr>
              <w:spacing w:after="120"/>
            </w:pPr>
            <w:r>
              <w:t>Australia unlike UK/US.</w:t>
            </w:r>
          </w:p>
        </w:tc>
        <w:tc>
          <w:tcPr>
            <w:tcW w:w="2806" w:type="dxa"/>
          </w:tcPr>
          <w:p w14:paraId="4AE53A01" w14:textId="35C5D882" w:rsidR="00F758FC" w:rsidRDefault="00F758FC" w:rsidP="00F758FC">
            <w:pPr>
              <w:spacing w:after="120"/>
            </w:pPr>
            <w:r>
              <w:t>Denmark by geography.</w:t>
            </w:r>
          </w:p>
          <w:p w14:paraId="56EF25C2" w14:textId="4404443C" w:rsidR="00F758FC" w:rsidRDefault="005C31B4" w:rsidP="00F758FC">
            <w:pPr>
              <w:spacing w:after="120"/>
            </w:pPr>
            <w:r>
              <w:t>UK and US l</w:t>
            </w:r>
            <w:r w:rsidR="00F758FC">
              <w:t>eading opposing groups.</w:t>
            </w:r>
          </w:p>
          <w:p w14:paraId="2F8864CF" w14:textId="31705B70" w:rsidR="00F758FC" w:rsidRDefault="00F758FC" w:rsidP="00F758FC">
            <w:pPr>
              <w:spacing w:after="120"/>
            </w:pPr>
            <w:r>
              <w:t>Group headed by Jersey.</w:t>
            </w:r>
          </w:p>
          <w:p w14:paraId="1E90312B" w14:textId="3E70B2BA" w:rsidR="00F758FC" w:rsidRDefault="00F758FC" w:rsidP="00F758FC">
            <w:pPr>
              <w:spacing w:after="120"/>
            </w:pPr>
            <w:r>
              <w:t>US/England/other classification.</w:t>
            </w:r>
          </w:p>
          <w:p w14:paraId="1CBAFB8A" w14:textId="04856EA7" w:rsidR="00F758FC" w:rsidRDefault="00F758FC" w:rsidP="00F758FC">
            <w:pPr>
              <w:spacing w:after="120"/>
            </w:pPr>
            <w:r>
              <w:t>US and UK in separate groups by competencies of accountants.</w:t>
            </w:r>
          </w:p>
          <w:p w14:paraId="4C50AA75" w14:textId="0DF2B16C" w:rsidR="00F758FC" w:rsidRDefault="00F758FC" w:rsidP="00F758FC">
            <w:pPr>
              <w:spacing w:after="360"/>
            </w:pPr>
            <w:r>
              <w:t>US and UK in separate groups by regulation.</w:t>
            </w:r>
          </w:p>
        </w:tc>
        <w:tc>
          <w:tcPr>
            <w:tcW w:w="2693" w:type="dxa"/>
          </w:tcPr>
          <w:p w14:paraId="4DA835BA" w14:textId="23D423B3" w:rsidR="00F758FC" w:rsidRDefault="00F758FC" w:rsidP="00F758FC">
            <w:pPr>
              <w:spacing w:after="120"/>
            </w:pPr>
            <w:r>
              <w:t>Classification based on KPMG data about rules.</w:t>
            </w:r>
          </w:p>
          <w:p w14:paraId="4921F7A3" w14:textId="1C6A5183" w:rsidR="00F758FC" w:rsidRDefault="00F758FC" w:rsidP="00F758FC">
            <w:pPr>
              <w:spacing w:after="120"/>
            </w:pPr>
            <w:r>
              <w:t>Classification based on GAAP (2001) data.</w:t>
            </w:r>
          </w:p>
          <w:p w14:paraId="3726049A" w14:textId="77777777" w:rsidR="00F758FC" w:rsidRDefault="00F758FC" w:rsidP="00F758FC">
            <w:pPr>
              <w:spacing w:after="120"/>
            </w:pPr>
          </w:p>
        </w:tc>
      </w:tr>
      <w:tr w:rsidR="00F758FC" w14:paraId="57C5A1F0" w14:textId="77777777" w:rsidTr="00F758FC">
        <w:tc>
          <w:tcPr>
            <w:tcW w:w="1951" w:type="dxa"/>
          </w:tcPr>
          <w:p w14:paraId="25FC9027" w14:textId="77777777" w:rsidR="00F758FC" w:rsidRPr="00064DEF" w:rsidRDefault="00F758FC" w:rsidP="00F758FC">
            <w:pPr>
              <w:spacing w:after="120"/>
              <w:rPr>
                <w:i/>
              </w:rPr>
            </w:pPr>
            <w:r w:rsidRPr="00064DEF">
              <w:rPr>
                <w:i/>
              </w:rPr>
              <w:t>Adoption of IFRS</w:t>
            </w:r>
          </w:p>
        </w:tc>
        <w:tc>
          <w:tcPr>
            <w:tcW w:w="2297" w:type="dxa"/>
          </w:tcPr>
          <w:p w14:paraId="6532DCC4" w14:textId="51C94EA4" w:rsidR="00F758FC" w:rsidRDefault="00F758FC" w:rsidP="00F758FC">
            <w:pPr>
              <w:spacing w:after="120"/>
            </w:pPr>
            <w:r>
              <w:t>Portugal as a</w:t>
            </w:r>
            <w:r w:rsidR="00261F26">
              <w:t xml:space="preserve"> major</w:t>
            </w:r>
            <w:r>
              <w:t xml:space="preserve"> adopter of IFRS in 2000.</w:t>
            </w:r>
          </w:p>
          <w:p w14:paraId="6B4C38AC" w14:textId="5817E7C5" w:rsidR="00F758FC" w:rsidRDefault="00F758FC" w:rsidP="00F758FC">
            <w:pPr>
              <w:spacing w:after="360"/>
            </w:pPr>
            <w:r>
              <w:t>Switzerland as IFRS adopter.</w:t>
            </w:r>
          </w:p>
        </w:tc>
        <w:tc>
          <w:tcPr>
            <w:tcW w:w="2806" w:type="dxa"/>
          </w:tcPr>
          <w:p w14:paraId="662706C8" w14:textId="77777777" w:rsidR="00F758FC" w:rsidRDefault="00F758FC" w:rsidP="00F758FC">
            <w:pPr>
              <w:spacing w:after="120"/>
            </w:pPr>
          </w:p>
        </w:tc>
        <w:tc>
          <w:tcPr>
            <w:tcW w:w="2693" w:type="dxa"/>
          </w:tcPr>
          <w:p w14:paraId="023C20DE" w14:textId="77777777" w:rsidR="00F758FC" w:rsidRDefault="00F758FC" w:rsidP="00F758FC">
            <w:pPr>
              <w:spacing w:after="120"/>
            </w:pPr>
          </w:p>
        </w:tc>
      </w:tr>
      <w:tr w:rsidR="00F758FC" w14:paraId="05BA9493" w14:textId="77777777" w:rsidTr="00F758FC">
        <w:tc>
          <w:tcPr>
            <w:tcW w:w="1951" w:type="dxa"/>
          </w:tcPr>
          <w:p w14:paraId="53E2645B" w14:textId="77777777" w:rsidR="00F758FC" w:rsidRPr="00064DEF" w:rsidRDefault="00F758FC" w:rsidP="00F758FC">
            <w:pPr>
              <w:spacing w:after="120"/>
              <w:rPr>
                <w:i/>
              </w:rPr>
            </w:pPr>
            <w:r w:rsidRPr="00064DEF">
              <w:rPr>
                <w:i/>
              </w:rPr>
              <w:t>Independent variables</w:t>
            </w:r>
          </w:p>
        </w:tc>
        <w:tc>
          <w:tcPr>
            <w:tcW w:w="2297" w:type="dxa"/>
          </w:tcPr>
          <w:p w14:paraId="2F30E4AE" w14:textId="28234D41" w:rsidR="00F758FC" w:rsidRDefault="00F758FC" w:rsidP="00F758FC">
            <w:pPr>
              <w:spacing w:after="120"/>
            </w:pPr>
            <w:r>
              <w:t>Argentina as common law.</w:t>
            </w:r>
          </w:p>
          <w:p w14:paraId="01C1B717" w14:textId="18D08FA0" w:rsidR="00F758FC" w:rsidRDefault="00F758FC" w:rsidP="00F758FC">
            <w:pPr>
              <w:spacing w:after="120"/>
            </w:pPr>
            <w:proofErr w:type="spellStart"/>
            <w:r>
              <w:t>Antidirector</w:t>
            </w:r>
            <w:proofErr w:type="spellEnd"/>
            <w:r>
              <w:t xml:space="preserve"> rights index.</w:t>
            </w:r>
          </w:p>
          <w:p w14:paraId="7F999297" w14:textId="1422A27A" w:rsidR="00F758FC" w:rsidRDefault="00F758FC" w:rsidP="00F758FC">
            <w:pPr>
              <w:spacing w:after="120"/>
            </w:pPr>
            <w:r>
              <w:t>Public enforcement scores.</w:t>
            </w:r>
          </w:p>
          <w:p w14:paraId="4199B5A0" w14:textId="0FBFE263" w:rsidR="00F758FC" w:rsidRDefault="00F758FC" w:rsidP="00F758FC">
            <w:pPr>
              <w:spacing w:after="360"/>
            </w:pPr>
            <w:r>
              <w:t>French more distant than Turkish from English.</w:t>
            </w:r>
          </w:p>
        </w:tc>
        <w:tc>
          <w:tcPr>
            <w:tcW w:w="2806" w:type="dxa"/>
          </w:tcPr>
          <w:p w14:paraId="40D994F7" w14:textId="6D578489" w:rsidR="00F758FC" w:rsidRDefault="00F758FC" w:rsidP="00F758FC">
            <w:pPr>
              <w:spacing w:after="120"/>
            </w:pPr>
            <w:r>
              <w:t>Germany with low BTC.</w:t>
            </w:r>
          </w:p>
          <w:p w14:paraId="76349966" w14:textId="54F6BD7F" w:rsidR="00F758FC" w:rsidRDefault="00F758FC" w:rsidP="00F758FC">
            <w:pPr>
              <w:spacing w:after="120"/>
            </w:pPr>
            <w:r>
              <w:t>East Africa as a cultural bloc.</w:t>
            </w:r>
          </w:p>
          <w:p w14:paraId="5AEDDDCE" w14:textId="77777777" w:rsidR="00F758FC" w:rsidRDefault="00F758FC" w:rsidP="00F758FC">
            <w:pPr>
              <w:spacing w:after="120"/>
            </w:pPr>
          </w:p>
        </w:tc>
        <w:tc>
          <w:tcPr>
            <w:tcW w:w="2693" w:type="dxa"/>
          </w:tcPr>
          <w:p w14:paraId="72631C7F" w14:textId="51847860" w:rsidR="00F758FC" w:rsidRDefault="00F758FC" w:rsidP="00F758FC">
            <w:pPr>
              <w:spacing w:after="120"/>
            </w:pPr>
            <w:r>
              <w:t>Malta as code law.</w:t>
            </w:r>
          </w:p>
          <w:p w14:paraId="5F492D38" w14:textId="620AD769" w:rsidR="00F758FC" w:rsidRDefault="00F758FC" w:rsidP="00F758FC">
            <w:pPr>
              <w:spacing w:after="120"/>
            </w:pPr>
            <w:r>
              <w:t>Language distance as a proxy for cost.</w:t>
            </w:r>
          </w:p>
          <w:p w14:paraId="1558AB91" w14:textId="77777777" w:rsidR="00F758FC" w:rsidRDefault="00F758FC" w:rsidP="00F758FC">
            <w:pPr>
              <w:spacing w:after="120"/>
            </w:pPr>
          </w:p>
        </w:tc>
      </w:tr>
    </w:tbl>
    <w:p w14:paraId="61E27609" w14:textId="77777777" w:rsidR="00F758FC" w:rsidRDefault="00F758FC" w:rsidP="00F758FC">
      <w:pPr>
        <w:spacing w:line="240" w:lineRule="auto"/>
      </w:pPr>
      <w:r>
        <w:br w:type="page"/>
      </w:r>
    </w:p>
    <w:p w14:paraId="47D71EAC" w14:textId="77777777" w:rsidR="00F758FC" w:rsidRDefault="00F758FC" w:rsidP="00F758FC">
      <w:pPr>
        <w:sectPr w:rsidR="00F758FC" w:rsidSect="00B111EB">
          <w:headerReference w:type="default" r:id="rId9"/>
          <w:pgSz w:w="11906" w:h="16838" w:code="9"/>
          <w:pgMar w:top="1440" w:right="1800" w:bottom="1440" w:left="1440" w:header="706" w:footer="706" w:gutter="0"/>
          <w:cols w:space="708"/>
          <w:titlePg/>
          <w:docGrid w:linePitch="360"/>
        </w:sectPr>
      </w:pPr>
    </w:p>
    <w:p w14:paraId="64D540B0" w14:textId="77777777" w:rsidR="00F758FC" w:rsidRDefault="00F758FC" w:rsidP="00F758FC">
      <w:pPr>
        <w:spacing w:after="60" w:line="240" w:lineRule="auto"/>
        <w:rPr>
          <w:b/>
        </w:rPr>
      </w:pPr>
      <w:r>
        <w:rPr>
          <w:b/>
        </w:rPr>
        <w:lastRenderedPageBreak/>
        <w:t>Figure 1</w:t>
      </w:r>
    </w:p>
    <w:p w14:paraId="641F890F" w14:textId="4D47FAF6" w:rsidR="00F758FC" w:rsidRPr="00AB13E6" w:rsidRDefault="00F758FC" w:rsidP="00F758FC">
      <w:pPr>
        <w:spacing w:after="60" w:line="240" w:lineRule="auto"/>
      </w:pPr>
      <w:r>
        <w:t xml:space="preserve">Proposed </w:t>
      </w:r>
      <w:r w:rsidR="00572FD4">
        <w:t xml:space="preserve">partial </w:t>
      </w:r>
      <w:r>
        <w:t>zoological classification based on a superficial foot count</w:t>
      </w:r>
    </w:p>
    <w:p w14:paraId="28D9FE96" w14:textId="77777777" w:rsidR="00F758FC" w:rsidRDefault="00F758FC" w:rsidP="00F758FC">
      <w:pPr>
        <w:spacing w:before="240" w:line="240" w:lineRule="auto"/>
      </w:pPr>
    </w:p>
    <w:p w14:paraId="4E0876D1" w14:textId="77777777" w:rsidR="00F758FC" w:rsidRDefault="00F758FC" w:rsidP="00F758FC">
      <w:pPr>
        <w:spacing w:before="240" w:line="240" w:lineRule="auto"/>
      </w:pPr>
      <w:r>
        <w:rPr>
          <w:noProof/>
          <w:lang w:eastAsia="en-GB"/>
        </w:rPr>
        <mc:AlternateContent>
          <mc:Choice Requires="wps">
            <w:drawing>
              <wp:anchor distT="0" distB="0" distL="114300" distR="114300" simplePos="0" relativeHeight="251673088" behindDoc="0" locked="0" layoutInCell="1" allowOverlap="1" wp14:anchorId="29AD2727" wp14:editId="72C3BC30">
                <wp:simplePos x="0" y="0"/>
                <wp:positionH relativeFrom="column">
                  <wp:posOffset>2466975</wp:posOffset>
                </wp:positionH>
                <wp:positionV relativeFrom="paragraph">
                  <wp:posOffset>60325</wp:posOffset>
                </wp:positionV>
                <wp:extent cx="819150" cy="371475"/>
                <wp:effectExtent l="0" t="0" r="0" b="0"/>
                <wp:wrapNone/>
                <wp:docPr id="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71475"/>
                        </a:xfrm>
                        <a:prstGeom prst="rect">
                          <a:avLst/>
                        </a:prstGeom>
                        <a:noFill/>
                      </wps:spPr>
                      <wps:txbx>
                        <w:txbxContent>
                          <w:p w14:paraId="0FC0EC37"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Animals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9AD2727" id="_x0000_t202" coordsize="21600,21600" o:spt="202" path="m,l,21600r21600,l21600,xe">
                <v:stroke joinstyle="miter"/>
                <v:path gradientshapeok="t" o:connecttype="rect"/>
              </v:shapetype>
              <v:shape id="TextBox 2" o:spid="_x0000_s1026" type="#_x0000_t202" style="position:absolute;margin-left:194.25pt;margin-top:4.75pt;width:64.5pt;height:2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" filled="f" stroked="f">
                <v:path arrowok="t"/>
                <v:textbox>
                  <w:txbxContent>
                    <w:p w14:paraId="0FC0EC37"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Animals</w:t>
                      </w:r>
                    </w:p>
                  </w:txbxContent>
                </v:textbox>
              </v:shape>
            </w:pict>
          </mc:Fallback>
        </mc:AlternateContent>
      </w:r>
    </w:p>
    <w:p w14:paraId="14916A71" w14:textId="198ABAFB" w:rsidR="00F758FC" w:rsidRDefault="00F758FC" w:rsidP="00F758FC">
      <w:pPr>
        <w:spacing w:before="240" w:line="240" w:lineRule="auto"/>
        <w:sectPr w:rsidR="00F758FC" w:rsidSect="00C154F0">
          <w:headerReference w:type="default" r:id="rId10"/>
          <w:pgSz w:w="16838" w:h="11906" w:orient="landscape" w:code="9"/>
          <w:pgMar w:top="1440" w:right="1440" w:bottom="1800" w:left="1440" w:header="706" w:footer="706" w:gutter="0"/>
          <w:cols w:space="708"/>
          <w:titlePg/>
          <w:docGrid w:linePitch="360"/>
        </w:sectPr>
      </w:pPr>
      <w:r>
        <w:rPr>
          <w:noProof/>
          <w:lang w:eastAsia="en-GB"/>
        </w:rPr>
        <mc:AlternateContent>
          <mc:Choice Requires="wps">
            <w:drawing>
              <wp:anchor distT="0" distB="0" distL="114294" distR="114294" simplePos="0" relativeHeight="251689472" behindDoc="0" locked="0" layoutInCell="1" allowOverlap="1" wp14:anchorId="5A17600B" wp14:editId="4DCC6155">
                <wp:simplePos x="0" y="0"/>
                <wp:positionH relativeFrom="column">
                  <wp:posOffset>6438900</wp:posOffset>
                </wp:positionH>
                <wp:positionV relativeFrom="paragraph">
                  <wp:posOffset>436880</wp:posOffset>
                </wp:positionV>
                <wp:extent cx="0" cy="565785"/>
                <wp:effectExtent l="0" t="0" r="19050" b="24765"/>
                <wp:wrapNone/>
                <wp:docPr id="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5785"/>
                        </a:xfrm>
                        <a:prstGeom prst="line">
                          <a:avLst/>
                        </a:prstGeom>
                        <a:noFill/>
                        <a:ln w="9525"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5AA6487" id="Straight Connector 5" o:spid="_x0000_s1026" style="position:absolute;z-index:2516894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507pt,34.4pt" to="507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" strokecolor="#1f497d">
                <o:lock v:ext="edit" shapetype="f"/>
              </v:line>
            </w:pict>
          </mc:Fallback>
        </mc:AlternateContent>
      </w:r>
      <w:r>
        <w:rPr>
          <w:noProof/>
          <w:lang w:eastAsia="en-GB"/>
        </w:rPr>
        <mc:AlternateContent>
          <mc:Choice Requires="wps">
            <w:drawing>
              <wp:anchor distT="0" distB="0" distL="114300" distR="114300" simplePos="0" relativeHeight="251684352" behindDoc="0" locked="0" layoutInCell="1" allowOverlap="1" wp14:anchorId="34BEE3D4" wp14:editId="1A370FB7">
                <wp:simplePos x="0" y="0"/>
                <wp:positionH relativeFrom="column">
                  <wp:posOffset>209550</wp:posOffset>
                </wp:positionH>
                <wp:positionV relativeFrom="paragraph">
                  <wp:posOffset>427355</wp:posOffset>
                </wp:positionV>
                <wp:extent cx="6233160" cy="8890"/>
                <wp:effectExtent l="0" t="0" r="15240" b="2921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160" cy="8890"/>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105F0EB" id="Straight Connector 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3.65pt" to="507.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" strokecolor="#1f497d">
                <o:lock v:ext="edit" shapetype="f"/>
              </v:line>
            </w:pict>
          </mc:Fallback>
        </mc:AlternateContent>
      </w:r>
      <w:r>
        <w:rPr>
          <w:noProof/>
          <w:lang w:eastAsia="en-GB"/>
        </w:rPr>
        <mc:AlternateContent>
          <mc:Choice Requires="wps">
            <w:drawing>
              <wp:anchor distT="0" distB="0" distL="114300" distR="114300" simplePos="0" relativeHeight="251674112" behindDoc="0" locked="0" layoutInCell="1" allowOverlap="1" wp14:anchorId="4D628ED6" wp14:editId="590E79CA">
                <wp:simplePos x="0" y="0"/>
                <wp:positionH relativeFrom="column">
                  <wp:posOffset>-152400</wp:posOffset>
                </wp:positionH>
                <wp:positionV relativeFrom="paragraph">
                  <wp:posOffset>3284220</wp:posOffset>
                </wp:positionV>
                <wp:extent cx="6595110" cy="466725"/>
                <wp:effectExtent l="0" t="0" r="0" b="952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AECC3" w14:textId="77777777" w:rsidR="00C66C62" w:rsidRPr="003B422A" w:rsidRDefault="00C66C62" w:rsidP="00F758FC">
                            <w:pPr>
                              <w:pStyle w:val="CommentText"/>
                              <w:rPr>
                                <w:sz w:val="22"/>
                                <w:szCs w:val="22"/>
                              </w:rPr>
                            </w:pPr>
                            <w:r w:rsidRPr="003B422A">
                              <w:rPr>
                                <w:sz w:val="22"/>
                                <w:szCs w:val="22"/>
                              </w:rPr>
                              <w:t xml:space="preserve">Note: </w:t>
                            </w:r>
                            <w:r>
                              <w:rPr>
                                <w:sz w:val="22"/>
                                <w:szCs w:val="22"/>
                              </w:rPr>
                              <w:t>The author prepared this chart. The objects classified</w:t>
                            </w:r>
                            <w:r w:rsidRPr="003B422A">
                              <w:rPr>
                                <w:sz w:val="22"/>
                                <w:szCs w:val="22"/>
                              </w:rPr>
                              <w:t xml:space="preserve"> vary in domain (e.g. some ar</w:t>
                            </w:r>
                            <w:r>
                              <w:rPr>
                                <w:sz w:val="22"/>
                                <w:szCs w:val="22"/>
                              </w:rPr>
                              <w:t>e species and others are genera</w:t>
                            </w:r>
                            <w:r w:rsidRPr="003B422A">
                              <w:rPr>
                                <w:sz w:val="22"/>
                                <w:szCs w:val="22"/>
                              </w:rPr>
                              <w:t>) but this does not affect the point being made.</w:t>
                            </w:r>
                          </w:p>
                          <w:p w14:paraId="79A9F856" w14:textId="77777777" w:rsidR="00C66C62" w:rsidRPr="003B422A" w:rsidRDefault="00C66C62" w:rsidP="00F758F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8ED6" id="Text Box 21" o:spid="_x0000_s1027" type="#_x0000_t202" style="position:absolute;margin-left:-12pt;margin-top:258.6pt;width:519.3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" stroked="f">
                <v:textbox>
                  <w:txbxContent>
                    <w:p w14:paraId="718AECC3" w14:textId="77777777" w:rsidR="00C66C62" w:rsidRPr="003B422A" w:rsidRDefault="00C66C62" w:rsidP="00F758FC">
                      <w:pPr>
                        <w:pStyle w:val="CommentText"/>
                        <w:rPr>
                          <w:sz w:val="22"/>
                          <w:szCs w:val="22"/>
                        </w:rPr>
                      </w:pPr>
                      <w:r w:rsidRPr="003B422A">
                        <w:rPr>
                          <w:sz w:val="22"/>
                          <w:szCs w:val="22"/>
                        </w:rPr>
                        <w:t xml:space="preserve">Note: </w:t>
                      </w:r>
                      <w:r>
                        <w:rPr>
                          <w:sz w:val="22"/>
                          <w:szCs w:val="22"/>
                        </w:rPr>
                        <w:t>The author prepared this chart. The objects classified</w:t>
                      </w:r>
                      <w:r w:rsidRPr="003B422A">
                        <w:rPr>
                          <w:sz w:val="22"/>
                          <w:szCs w:val="22"/>
                        </w:rPr>
                        <w:t xml:space="preserve"> vary in domain (e.g. some ar</w:t>
                      </w:r>
                      <w:r>
                        <w:rPr>
                          <w:sz w:val="22"/>
                          <w:szCs w:val="22"/>
                        </w:rPr>
                        <w:t>e species and others are genera</w:t>
                      </w:r>
                      <w:r w:rsidRPr="003B422A">
                        <w:rPr>
                          <w:sz w:val="22"/>
                          <w:szCs w:val="22"/>
                        </w:rPr>
                        <w:t>) but this does not affect the point being made.</w:t>
                      </w:r>
                    </w:p>
                    <w:p w14:paraId="79A9F856" w14:textId="77777777" w:rsidR="00C66C62" w:rsidRPr="003B422A" w:rsidRDefault="00C66C62" w:rsidP="00F758FC">
                      <w:pPr>
                        <w:rPr>
                          <w:sz w:val="22"/>
                        </w:rPr>
                      </w:pP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1B631041" wp14:editId="4273473C">
                <wp:simplePos x="0" y="0"/>
                <wp:positionH relativeFrom="column">
                  <wp:posOffset>-152400</wp:posOffset>
                </wp:positionH>
                <wp:positionV relativeFrom="paragraph">
                  <wp:posOffset>2855595</wp:posOffset>
                </wp:positionV>
                <wp:extent cx="2581275" cy="304800"/>
                <wp:effectExtent l="0" t="0" r="9525"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124A5" w14:textId="77777777" w:rsidR="00C66C62" w:rsidRPr="003B422A" w:rsidRDefault="00C66C62" w:rsidP="00F758FC">
                            <w:pPr>
                              <w:rPr>
                                <w:color w:val="000000" w:themeColor="text1"/>
                                <w:kern w:val="24"/>
                                <w:sz w:val="22"/>
                              </w:rPr>
                            </w:pPr>
                            <w:r w:rsidRPr="003B422A">
                              <w:rPr>
                                <w:sz w:val="22"/>
                              </w:rPr>
                              <w:t>Key:  * = tetrapo</w:t>
                            </w:r>
                            <w:r>
                              <w:rPr>
                                <w:sz w:val="22"/>
                              </w:rPr>
                              <w:t xml:space="preserve">d; </w:t>
                            </w:r>
                            <w:r w:rsidRPr="003B422A">
                              <w:rPr>
                                <w:color w:val="000000" w:themeColor="text1"/>
                                <w:kern w:val="24"/>
                                <w:sz w:val="22"/>
                              </w:rPr>
                              <w:t>† = mammal</w:t>
                            </w:r>
                          </w:p>
                          <w:p w14:paraId="7967AF7F" w14:textId="77777777" w:rsidR="00C66C62" w:rsidRPr="003B422A" w:rsidRDefault="00C66C62" w:rsidP="00F758FC">
                            <w:pPr>
                              <w:rPr>
                                <w:color w:val="000000" w:themeColor="text1"/>
                                <w:kern w:val="24"/>
                                <w:sz w:val="22"/>
                              </w:rPr>
                            </w:pPr>
                          </w:p>
                          <w:p w14:paraId="19C48803" w14:textId="77777777" w:rsidR="00C66C62" w:rsidRDefault="00C66C62" w:rsidP="00F758FC">
                            <w:pPr>
                              <w:rPr>
                                <w:color w:val="000000" w:themeColor="text1"/>
                                <w:kern w:val="24"/>
                                <w:szCs w:val="24"/>
                              </w:rPr>
                            </w:pPr>
                          </w:p>
                          <w:p w14:paraId="23A28BB8" w14:textId="77777777" w:rsidR="00C66C62" w:rsidRDefault="00C66C62" w:rsidP="00F758FC">
                            <w:pPr>
                              <w:rPr>
                                <w:color w:val="000000" w:themeColor="text1"/>
                                <w:kern w:val="24"/>
                                <w:szCs w:val="24"/>
                              </w:rPr>
                            </w:pPr>
                          </w:p>
                          <w:p w14:paraId="2DD6E743" w14:textId="77777777" w:rsidR="00C66C62" w:rsidRDefault="00C66C62" w:rsidP="00F75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31041" id="Text Box 20" o:spid="_x0000_s1028" type="#_x0000_t202" style="position:absolute;margin-left:-12pt;margin-top:224.85pt;width:203.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k4iA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" stroked="f">
                <v:textbox>
                  <w:txbxContent>
                    <w:p w14:paraId="548124A5" w14:textId="77777777" w:rsidR="00C66C62" w:rsidRPr="003B422A" w:rsidRDefault="00C66C62" w:rsidP="00F758FC">
                      <w:pPr>
                        <w:rPr>
                          <w:color w:val="000000" w:themeColor="text1"/>
                          <w:kern w:val="24"/>
                          <w:sz w:val="22"/>
                        </w:rPr>
                      </w:pPr>
                      <w:r w:rsidRPr="003B422A">
                        <w:rPr>
                          <w:sz w:val="22"/>
                        </w:rPr>
                        <w:t>Key:  * = tetrapo</w:t>
                      </w:r>
                      <w:r>
                        <w:rPr>
                          <w:sz w:val="22"/>
                        </w:rPr>
                        <w:t xml:space="preserve">d; </w:t>
                      </w:r>
                      <w:r w:rsidRPr="003B422A">
                        <w:rPr>
                          <w:color w:val="000000" w:themeColor="text1"/>
                          <w:kern w:val="24"/>
                          <w:sz w:val="22"/>
                        </w:rPr>
                        <w:t>† = mammal</w:t>
                      </w:r>
                    </w:p>
                    <w:p w14:paraId="7967AF7F" w14:textId="77777777" w:rsidR="00C66C62" w:rsidRPr="003B422A" w:rsidRDefault="00C66C62" w:rsidP="00F758FC">
                      <w:pPr>
                        <w:rPr>
                          <w:color w:val="000000" w:themeColor="text1"/>
                          <w:kern w:val="24"/>
                          <w:sz w:val="22"/>
                        </w:rPr>
                      </w:pPr>
                    </w:p>
                    <w:p w14:paraId="19C48803" w14:textId="77777777" w:rsidR="00C66C62" w:rsidRDefault="00C66C62" w:rsidP="00F758FC">
                      <w:pPr>
                        <w:rPr>
                          <w:color w:val="000000" w:themeColor="text1"/>
                          <w:kern w:val="24"/>
                          <w:szCs w:val="24"/>
                        </w:rPr>
                      </w:pPr>
                    </w:p>
                    <w:p w14:paraId="23A28BB8" w14:textId="77777777" w:rsidR="00C66C62" w:rsidRDefault="00C66C62" w:rsidP="00F758FC">
                      <w:pPr>
                        <w:rPr>
                          <w:color w:val="000000" w:themeColor="text1"/>
                          <w:kern w:val="24"/>
                          <w:szCs w:val="24"/>
                        </w:rPr>
                      </w:pPr>
                    </w:p>
                    <w:p w14:paraId="2DD6E743" w14:textId="77777777" w:rsidR="00C66C62" w:rsidRDefault="00C66C62" w:rsidP="00F758FC"/>
                  </w:txbxContent>
                </v:textbox>
              </v:shape>
            </w:pict>
          </mc:Fallback>
        </mc:AlternateContent>
      </w:r>
      <w:r>
        <w:rPr>
          <w:noProof/>
          <w:lang w:eastAsia="en-GB"/>
        </w:rPr>
        <mc:AlternateContent>
          <mc:Choice Requires="wps">
            <w:drawing>
              <wp:anchor distT="0" distB="0" distL="114300" distR="114300" simplePos="0" relativeHeight="251676160" behindDoc="0" locked="0" layoutInCell="1" allowOverlap="1" wp14:anchorId="5B80966C" wp14:editId="6F178DF7">
                <wp:simplePos x="0" y="0"/>
                <wp:positionH relativeFrom="column">
                  <wp:posOffset>952500</wp:posOffset>
                </wp:positionH>
                <wp:positionV relativeFrom="paragraph">
                  <wp:posOffset>988060</wp:posOffset>
                </wp:positionV>
                <wp:extent cx="1057275" cy="1057910"/>
                <wp:effectExtent l="0" t="0" r="0" b="0"/>
                <wp:wrapNone/>
                <wp:docPr id="28"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057910"/>
                        </a:xfrm>
                        <a:prstGeom prst="rect">
                          <a:avLst/>
                        </a:prstGeom>
                        <a:noFill/>
                      </wps:spPr>
                      <wps:txbx>
                        <w:txbxContent>
                          <w:p w14:paraId="57EA64BA"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Two feet</w:t>
                            </w:r>
                          </w:p>
                          <w:p w14:paraId="5627120E"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Ostrich</w:t>
                            </w:r>
                            <w:r>
                              <w:rPr>
                                <w:rFonts w:asciiTheme="minorHAnsi" w:hAnsi="Calibri" w:cstheme="minorBidi"/>
                                <w:color w:val="000000" w:themeColor="text1"/>
                                <w:kern w:val="24"/>
                                <w:sz w:val="28"/>
                                <w:szCs w:val="28"/>
                              </w:rPr>
                              <w:t>*</w:t>
                            </w:r>
                          </w:p>
                          <w:p w14:paraId="33EC7ECD" w14:textId="77777777" w:rsidR="00C66C62" w:rsidRDefault="00C66C62" w:rsidP="00F758FC">
                            <w:pPr>
                              <w:pStyle w:val="NormalWeb"/>
                              <w:spacing w:before="0" w:beforeAutospacing="0" w:after="0" w:afterAutospacing="0"/>
                              <w:jc w:val="center"/>
                              <w:rPr>
                                <w:rFonts w:asciiTheme="minorHAnsi" w:hAnsiTheme="minorHAnsi" w:cstheme="minorBidi"/>
                                <w:color w:val="000000" w:themeColor="text1"/>
                                <w:kern w:val="24"/>
                                <w:sz w:val="28"/>
                                <w:szCs w:val="28"/>
                              </w:rPr>
                            </w:pPr>
                            <w:r w:rsidRPr="00894CCE">
                              <w:rPr>
                                <w:rFonts w:asciiTheme="minorHAnsi" w:hAnsi="Calibri" w:cstheme="minorBidi"/>
                                <w:color w:val="000000" w:themeColor="text1"/>
                                <w:kern w:val="24"/>
                                <w:sz w:val="28"/>
                                <w:szCs w:val="28"/>
                              </w:rPr>
                              <w:t>Man</w:t>
                            </w:r>
                            <w:r>
                              <w:rPr>
                                <w:rFonts w:asciiTheme="minorHAnsi" w:hAnsi="Calibri" w:cstheme="minorBidi"/>
                                <w:color w:val="000000" w:themeColor="text1"/>
                                <w:kern w:val="24"/>
                                <w:sz w:val="28"/>
                                <w:szCs w:val="28"/>
                              </w:rPr>
                              <w:t>*</w:t>
                            </w:r>
                            <w:r>
                              <w:rPr>
                                <w:rFonts w:asciiTheme="minorHAnsi" w:hAnsiTheme="minorHAnsi" w:cstheme="minorBidi"/>
                                <w:color w:val="000000" w:themeColor="text1"/>
                                <w:kern w:val="24"/>
                                <w:sz w:val="28"/>
                                <w:szCs w:val="28"/>
                              </w:rPr>
                              <w:t>†</w:t>
                            </w:r>
                          </w:p>
                          <w:p w14:paraId="12C93E8A" w14:textId="77777777" w:rsidR="00C66C62" w:rsidRPr="00894CCE" w:rsidRDefault="00C66C62" w:rsidP="00F758FC">
                            <w:pPr>
                              <w:pStyle w:val="NormalWeb"/>
                              <w:spacing w:before="0" w:beforeAutospacing="0" w:after="0" w:afterAutospacing="0"/>
                              <w:jc w:val="center"/>
                              <w:rPr>
                                <w:sz w:val="28"/>
                                <w:szCs w:val="28"/>
                              </w:rPr>
                            </w:pPr>
                            <w:r>
                              <w:rPr>
                                <w:rFonts w:asciiTheme="minorHAnsi" w:hAnsiTheme="minorHAnsi" w:cstheme="minorBidi"/>
                                <w:color w:val="000000" w:themeColor="text1"/>
                                <w:kern w:val="24"/>
                                <w:sz w:val="28"/>
                                <w:szCs w:val="28"/>
                              </w:rPr>
                              <w:t>Bat</w:t>
                            </w:r>
                            <w:r>
                              <w:rPr>
                                <w:rFonts w:asciiTheme="minorHAnsi" w:hAnsi="Calibri" w:cstheme="minorBidi"/>
                                <w:color w:val="000000" w:themeColor="text1"/>
                                <w:kern w:val="24"/>
                                <w:sz w:val="28"/>
                                <w:szCs w:val="28"/>
                              </w:rPr>
                              <w:t>*</w:t>
                            </w:r>
                            <w:r>
                              <w:rPr>
                                <w:rFonts w:asciiTheme="minorHAnsi" w:hAnsiTheme="minorHAnsi" w:cstheme="minorBidi"/>
                                <w:color w:val="000000" w:themeColor="text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B80966C" id="TextBox 15" o:spid="_x0000_s1029" type="#_x0000_t202" style="position:absolute;margin-left:75pt;margin-top:77.8pt;width:83.25pt;height:83.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" filled="f" stroked="f">
                <v:path arrowok="t"/>
                <v:textbox>
                  <w:txbxContent>
                    <w:p w14:paraId="57EA64BA"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Two feet</w:t>
                      </w:r>
                    </w:p>
                    <w:p w14:paraId="5627120E"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Ostrich</w:t>
                      </w:r>
                      <w:r>
                        <w:rPr>
                          <w:rFonts w:asciiTheme="minorHAnsi" w:hAnsi="Calibri" w:cstheme="minorBidi"/>
                          <w:color w:val="000000" w:themeColor="text1"/>
                          <w:kern w:val="24"/>
                          <w:sz w:val="28"/>
                          <w:szCs w:val="28"/>
                        </w:rPr>
                        <w:t>*</w:t>
                      </w:r>
                    </w:p>
                    <w:p w14:paraId="33EC7ECD" w14:textId="77777777" w:rsidR="00C66C62" w:rsidRDefault="00C66C62" w:rsidP="00F758FC">
                      <w:pPr>
                        <w:pStyle w:val="NormalWeb"/>
                        <w:spacing w:before="0" w:beforeAutospacing="0" w:after="0" w:afterAutospacing="0"/>
                        <w:jc w:val="center"/>
                        <w:rPr>
                          <w:rFonts w:asciiTheme="minorHAnsi" w:hAnsiTheme="minorHAnsi" w:cstheme="minorBidi"/>
                          <w:color w:val="000000" w:themeColor="text1"/>
                          <w:kern w:val="24"/>
                          <w:sz w:val="28"/>
                          <w:szCs w:val="28"/>
                        </w:rPr>
                      </w:pPr>
                      <w:r w:rsidRPr="00894CCE">
                        <w:rPr>
                          <w:rFonts w:asciiTheme="minorHAnsi" w:hAnsi="Calibri" w:cstheme="minorBidi"/>
                          <w:color w:val="000000" w:themeColor="text1"/>
                          <w:kern w:val="24"/>
                          <w:sz w:val="28"/>
                          <w:szCs w:val="28"/>
                        </w:rPr>
                        <w:t>Man</w:t>
                      </w:r>
                      <w:r>
                        <w:rPr>
                          <w:rFonts w:asciiTheme="minorHAnsi" w:hAnsi="Calibri" w:cstheme="minorBidi"/>
                          <w:color w:val="000000" w:themeColor="text1"/>
                          <w:kern w:val="24"/>
                          <w:sz w:val="28"/>
                          <w:szCs w:val="28"/>
                        </w:rPr>
                        <w:t>*</w:t>
                      </w:r>
                      <w:r>
                        <w:rPr>
                          <w:rFonts w:asciiTheme="minorHAnsi" w:hAnsiTheme="minorHAnsi" w:cstheme="minorBidi"/>
                          <w:color w:val="000000" w:themeColor="text1"/>
                          <w:kern w:val="24"/>
                          <w:sz w:val="28"/>
                          <w:szCs w:val="28"/>
                        </w:rPr>
                        <w:t>†</w:t>
                      </w:r>
                    </w:p>
                    <w:p w14:paraId="12C93E8A" w14:textId="77777777" w:rsidR="00C66C62" w:rsidRPr="00894CCE" w:rsidRDefault="00C66C62" w:rsidP="00F758FC">
                      <w:pPr>
                        <w:pStyle w:val="NormalWeb"/>
                        <w:spacing w:before="0" w:beforeAutospacing="0" w:after="0" w:afterAutospacing="0"/>
                        <w:jc w:val="center"/>
                        <w:rPr>
                          <w:sz w:val="28"/>
                          <w:szCs w:val="28"/>
                        </w:rPr>
                      </w:pPr>
                      <w:r>
                        <w:rPr>
                          <w:rFonts w:asciiTheme="minorHAnsi" w:hAnsiTheme="minorHAnsi" w:cstheme="minorBidi"/>
                          <w:color w:val="000000" w:themeColor="text1"/>
                          <w:kern w:val="24"/>
                          <w:sz w:val="28"/>
                          <w:szCs w:val="28"/>
                        </w:rPr>
                        <w:t>Bat</w:t>
                      </w:r>
                      <w:r>
                        <w:rPr>
                          <w:rFonts w:asciiTheme="minorHAnsi" w:hAnsi="Calibri" w:cstheme="minorBidi"/>
                          <w:color w:val="000000" w:themeColor="text1"/>
                          <w:kern w:val="24"/>
                          <w:sz w:val="28"/>
                          <w:szCs w:val="28"/>
                        </w:rPr>
                        <w:t>*</w:t>
                      </w:r>
                      <w:r>
                        <w:rPr>
                          <w:rFonts w:asciiTheme="minorHAnsi" w:hAnsiTheme="minorHAnsi" w:cstheme="minorBidi"/>
                          <w:color w:val="000000" w:themeColor="text1"/>
                          <w:kern w:val="24"/>
                          <w:sz w:val="28"/>
                          <w:szCs w:val="28"/>
                        </w:rPr>
                        <w:t>†</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75AE29AC" wp14:editId="3581AFE2">
                <wp:simplePos x="0" y="0"/>
                <wp:positionH relativeFrom="column">
                  <wp:posOffset>2228850</wp:posOffset>
                </wp:positionH>
                <wp:positionV relativeFrom="paragraph">
                  <wp:posOffset>969645</wp:posOffset>
                </wp:positionV>
                <wp:extent cx="1257300" cy="1076325"/>
                <wp:effectExtent l="0" t="0" r="0" b="0"/>
                <wp:wrapNone/>
                <wp:docPr id="29"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76325"/>
                        </a:xfrm>
                        <a:prstGeom prst="rect">
                          <a:avLst/>
                        </a:prstGeom>
                        <a:noFill/>
                      </wps:spPr>
                      <wps:txbx>
                        <w:txbxContent>
                          <w:p w14:paraId="012FA94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Four feet</w:t>
                            </w:r>
                          </w:p>
                          <w:p w14:paraId="1C7EAF6A"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Dog</w:t>
                            </w:r>
                            <w:r>
                              <w:rPr>
                                <w:rFonts w:asciiTheme="minorHAnsi" w:hAnsi="Calibri" w:cstheme="minorBidi"/>
                                <w:color w:val="000000" w:themeColor="text1"/>
                                <w:kern w:val="24"/>
                                <w:sz w:val="28"/>
                                <w:szCs w:val="28"/>
                              </w:rPr>
                              <w:t>*</w:t>
                            </w:r>
                            <w:r>
                              <w:rPr>
                                <w:rFonts w:asciiTheme="minorHAnsi" w:hAnsiTheme="minorHAnsi" w:cstheme="minorBidi"/>
                                <w:color w:val="000000" w:themeColor="text1"/>
                                <w:kern w:val="24"/>
                                <w:sz w:val="28"/>
                                <w:szCs w:val="28"/>
                              </w:rPr>
                              <w:t>†</w:t>
                            </w:r>
                          </w:p>
                          <w:p w14:paraId="431C3114" w14:textId="77777777" w:rsidR="00C66C62" w:rsidRDefault="00C66C62" w:rsidP="00F758FC">
                            <w:pPr>
                              <w:pStyle w:val="NormalWeb"/>
                              <w:spacing w:before="0" w:beforeAutospacing="0" w:after="0" w:afterAutospacing="0"/>
                              <w:jc w:val="center"/>
                              <w:rPr>
                                <w:rFonts w:asciiTheme="minorHAnsi" w:hAnsi="Calibri" w:cstheme="minorBidi"/>
                                <w:color w:val="000000" w:themeColor="text1"/>
                                <w:kern w:val="24"/>
                                <w:sz w:val="28"/>
                                <w:szCs w:val="28"/>
                              </w:rPr>
                            </w:pPr>
                            <w:r w:rsidRPr="00894CCE">
                              <w:rPr>
                                <w:rFonts w:asciiTheme="minorHAnsi" w:hAnsi="Calibri" w:cstheme="minorBidi"/>
                                <w:color w:val="000000" w:themeColor="text1"/>
                                <w:kern w:val="24"/>
                                <w:sz w:val="28"/>
                                <w:szCs w:val="28"/>
                              </w:rPr>
                              <w:t>Tyrannosaur</w:t>
                            </w:r>
                            <w:r>
                              <w:rPr>
                                <w:rFonts w:asciiTheme="minorHAnsi" w:hAnsi="Calibri" w:cstheme="minorBidi"/>
                                <w:color w:val="000000" w:themeColor="text1"/>
                                <w:kern w:val="24"/>
                                <w:sz w:val="28"/>
                                <w:szCs w:val="28"/>
                              </w:rPr>
                              <w:t>*</w:t>
                            </w:r>
                          </w:p>
                          <w:p w14:paraId="2B939AC1" w14:textId="77777777" w:rsidR="00C66C62" w:rsidRPr="00894CCE" w:rsidRDefault="00C66C62" w:rsidP="00F758FC">
                            <w:pPr>
                              <w:pStyle w:val="NormalWeb"/>
                              <w:spacing w:before="0" w:beforeAutospacing="0" w:after="0" w:afterAutospacing="0"/>
                              <w:jc w:val="center"/>
                              <w:rPr>
                                <w:sz w:val="28"/>
                                <w:szCs w:val="28"/>
                              </w:rPr>
                            </w:pPr>
                            <w:r>
                              <w:rPr>
                                <w:rFonts w:asciiTheme="minorHAnsi" w:hAnsi="Calibri" w:cstheme="minorBidi"/>
                                <w:color w:val="000000" w:themeColor="text1"/>
                                <w:kern w:val="24"/>
                                <w:sz w:val="28"/>
                                <w:szCs w:val="28"/>
                              </w:rPr>
                              <w:t>Turtle*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5AE29AC" id="TextBox 16" o:spid="_x0000_s1030" type="#_x0000_t202" style="position:absolute;margin-left:175.5pt;margin-top:76.35pt;width:99pt;height:8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" filled="f" stroked="f">
                <v:path arrowok="t"/>
                <v:textbox>
                  <w:txbxContent>
                    <w:p w14:paraId="012FA94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Four feet</w:t>
                      </w:r>
                    </w:p>
                    <w:p w14:paraId="1C7EAF6A"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Dog</w:t>
                      </w:r>
                      <w:r>
                        <w:rPr>
                          <w:rFonts w:asciiTheme="minorHAnsi" w:hAnsi="Calibri" w:cstheme="minorBidi"/>
                          <w:color w:val="000000" w:themeColor="text1"/>
                          <w:kern w:val="24"/>
                          <w:sz w:val="28"/>
                          <w:szCs w:val="28"/>
                        </w:rPr>
                        <w:t>*</w:t>
                      </w:r>
                      <w:r>
                        <w:rPr>
                          <w:rFonts w:asciiTheme="minorHAnsi" w:hAnsiTheme="minorHAnsi" w:cstheme="minorBidi"/>
                          <w:color w:val="000000" w:themeColor="text1"/>
                          <w:kern w:val="24"/>
                          <w:sz w:val="28"/>
                          <w:szCs w:val="28"/>
                        </w:rPr>
                        <w:t>†</w:t>
                      </w:r>
                    </w:p>
                    <w:p w14:paraId="431C3114" w14:textId="77777777" w:rsidR="00C66C62" w:rsidRDefault="00C66C62" w:rsidP="00F758FC">
                      <w:pPr>
                        <w:pStyle w:val="NormalWeb"/>
                        <w:spacing w:before="0" w:beforeAutospacing="0" w:after="0" w:afterAutospacing="0"/>
                        <w:jc w:val="center"/>
                        <w:rPr>
                          <w:rFonts w:asciiTheme="minorHAnsi" w:hAnsi="Calibri" w:cstheme="minorBidi"/>
                          <w:color w:val="000000" w:themeColor="text1"/>
                          <w:kern w:val="24"/>
                          <w:sz w:val="28"/>
                          <w:szCs w:val="28"/>
                        </w:rPr>
                      </w:pPr>
                      <w:r w:rsidRPr="00894CCE">
                        <w:rPr>
                          <w:rFonts w:asciiTheme="minorHAnsi" w:hAnsi="Calibri" w:cstheme="minorBidi"/>
                          <w:color w:val="000000" w:themeColor="text1"/>
                          <w:kern w:val="24"/>
                          <w:sz w:val="28"/>
                          <w:szCs w:val="28"/>
                        </w:rPr>
                        <w:t>Tyrannosaur</w:t>
                      </w:r>
                      <w:r>
                        <w:rPr>
                          <w:rFonts w:asciiTheme="minorHAnsi" w:hAnsi="Calibri" w:cstheme="minorBidi"/>
                          <w:color w:val="000000" w:themeColor="text1"/>
                          <w:kern w:val="24"/>
                          <w:sz w:val="28"/>
                          <w:szCs w:val="28"/>
                        </w:rPr>
                        <w:t>*</w:t>
                      </w:r>
                    </w:p>
                    <w:p w14:paraId="2B939AC1" w14:textId="77777777" w:rsidR="00C66C62" w:rsidRPr="00894CCE" w:rsidRDefault="00C66C62" w:rsidP="00F758FC">
                      <w:pPr>
                        <w:pStyle w:val="NormalWeb"/>
                        <w:spacing w:before="0" w:beforeAutospacing="0" w:after="0" w:afterAutospacing="0"/>
                        <w:jc w:val="center"/>
                        <w:rPr>
                          <w:sz w:val="28"/>
                          <w:szCs w:val="28"/>
                        </w:rPr>
                      </w:pPr>
                      <w:r>
                        <w:rPr>
                          <w:rFonts w:asciiTheme="minorHAnsi" w:hAnsi="Calibri" w:cstheme="minorBidi"/>
                          <w:color w:val="000000" w:themeColor="text1"/>
                          <w:kern w:val="24"/>
                          <w:sz w:val="28"/>
                          <w:szCs w:val="28"/>
                        </w:rPr>
                        <w:t>Turtle*</w:t>
                      </w:r>
                    </w:p>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14:anchorId="4B454971" wp14:editId="3C1F53CF">
                <wp:simplePos x="0" y="0"/>
                <wp:positionH relativeFrom="column">
                  <wp:posOffset>-342900</wp:posOffset>
                </wp:positionH>
                <wp:positionV relativeFrom="paragraph">
                  <wp:posOffset>1007745</wp:posOffset>
                </wp:positionV>
                <wp:extent cx="1238250" cy="1285875"/>
                <wp:effectExtent l="0" t="0" r="0" b="0"/>
                <wp:wrapNone/>
                <wp:docPr id="30"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85875"/>
                        </a:xfrm>
                        <a:prstGeom prst="rect">
                          <a:avLst/>
                        </a:prstGeom>
                        <a:noFill/>
                      </wps:spPr>
                      <wps:txbx>
                        <w:txbxContent>
                          <w:p w14:paraId="40DBCCB4"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cstheme="minorBidi"/>
                                <w:i/>
                                <w:iCs/>
                                <w:color w:val="000000" w:themeColor="text1"/>
                                <w:kern w:val="24"/>
                                <w:sz w:val="28"/>
                                <w:szCs w:val="28"/>
                              </w:rPr>
                              <w:t>No feet</w:t>
                            </w:r>
                          </w:p>
                          <w:p w14:paraId="4B48E676"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cstheme="minorBidi"/>
                                <w:color w:val="000000" w:themeColor="text1"/>
                                <w:kern w:val="24"/>
                                <w:sz w:val="28"/>
                                <w:szCs w:val="28"/>
                              </w:rPr>
                              <w:t>Dolphin*†</w:t>
                            </w:r>
                          </w:p>
                          <w:p w14:paraId="46BE2B3D"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cstheme="minorBidi"/>
                                <w:color w:val="000000" w:themeColor="text1"/>
                                <w:kern w:val="24"/>
                                <w:sz w:val="28"/>
                                <w:szCs w:val="28"/>
                              </w:rPr>
                              <w:t>Anaconda*</w:t>
                            </w:r>
                          </w:p>
                          <w:p w14:paraId="088D8BFF" w14:textId="77777777" w:rsidR="00C66C62" w:rsidRPr="00685FA4" w:rsidRDefault="00C66C62" w:rsidP="00F758FC">
                            <w:pPr>
                              <w:pStyle w:val="NormalWeb"/>
                              <w:spacing w:before="0" w:beforeAutospacing="0" w:after="0" w:afterAutospacing="0"/>
                              <w:jc w:val="center"/>
                              <w:rPr>
                                <w:rFonts w:asciiTheme="minorHAnsi" w:hAnsiTheme="minorHAnsi" w:cstheme="minorBidi"/>
                                <w:color w:val="000000" w:themeColor="text1"/>
                                <w:kern w:val="24"/>
                                <w:sz w:val="28"/>
                                <w:szCs w:val="28"/>
                              </w:rPr>
                            </w:pPr>
                            <w:r w:rsidRPr="00685FA4">
                              <w:rPr>
                                <w:rFonts w:asciiTheme="minorHAnsi" w:hAnsiTheme="minorHAnsi" w:cstheme="minorBidi"/>
                                <w:color w:val="000000" w:themeColor="text1"/>
                                <w:kern w:val="24"/>
                                <w:sz w:val="28"/>
                                <w:szCs w:val="28"/>
                              </w:rPr>
                              <w:t>Shark</w:t>
                            </w:r>
                          </w:p>
                          <w:p w14:paraId="39405808"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sz w:val="28"/>
                                <w:szCs w:val="28"/>
                              </w:rPr>
                              <w:t>Worm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B454971" id="TextBox 13" o:spid="_x0000_s1031" type="#_x0000_t202" style="position:absolute;margin-left:-27pt;margin-top:79.35pt;width:97.5pt;height:10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" filled="f" stroked="f">
                <v:path arrowok="t"/>
                <v:textbox>
                  <w:txbxContent>
                    <w:p w14:paraId="40DBCCB4"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cstheme="minorBidi"/>
                          <w:i/>
                          <w:iCs/>
                          <w:color w:val="000000" w:themeColor="text1"/>
                          <w:kern w:val="24"/>
                          <w:sz w:val="28"/>
                          <w:szCs w:val="28"/>
                        </w:rPr>
                        <w:t>No feet</w:t>
                      </w:r>
                    </w:p>
                    <w:p w14:paraId="4B48E676"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cstheme="minorBidi"/>
                          <w:color w:val="000000" w:themeColor="text1"/>
                          <w:kern w:val="24"/>
                          <w:sz w:val="28"/>
                          <w:szCs w:val="28"/>
                        </w:rPr>
                        <w:t>Dolphin*†</w:t>
                      </w:r>
                    </w:p>
                    <w:p w14:paraId="46BE2B3D"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cstheme="minorBidi"/>
                          <w:color w:val="000000" w:themeColor="text1"/>
                          <w:kern w:val="24"/>
                          <w:sz w:val="28"/>
                          <w:szCs w:val="28"/>
                        </w:rPr>
                        <w:t>Anaconda*</w:t>
                      </w:r>
                    </w:p>
                    <w:p w14:paraId="088D8BFF" w14:textId="77777777" w:rsidR="00C66C62" w:rsidRPr="00685FA4" w:rsidRDefault="00C66C62" w:rsidP="00F758FC">
                      <w:pPr>
                        <w:pStyle w:val="NormalWeb"/>
                        <w:spacing w:before="0" w:beforeAutospacing="0" w:after="0" w:afterAutospacing="0"/>
                        <w:jc w:val="center"/>
                        <w:rPr>
                          <w:rFonts w:asciiTheme="minorHAnsi" w:hAnsiTheme="minorHAnsi" w:cstheme="minorBidi"/>
                          <w:color w:val="000000" w:themeColor="text1"/>
                          <w:kern w:val="24"/>
                          <w:sz w:val="28"/>
                          <w:szCs w:val="28"/>
                        </w:rPr>
                      </w:pPr>
                      <w:r w:rsidRPr="00685FA4">
                        <w:rPr>
                          <w:rFonts w:asciiTheme="minorHAnsi" w:hAnsiTheme="minorHAnsi" w:cstheme="minorBidi"/>
                          <w:color w:val="000000" w:themeColor="text1"/>
                          <w:kern w:val="24"/>
                          <w:sz w:val="28"/>
                          <w:szCs w:val="28"/>
                        </w:rPr>
                        <w:t>Shark</w:t>
                      </w:r>
                    </w:p>
                    <w:p w14:paraId="39405808" w14:textId="77777777" w:rsidR="00C66C62" w:rsidRPr="00685FA4" w:rsidRDefault="00C66C62" w:rsidP="00F758FC">
                      <w:pPr>
                        <w:pStyle w:val="NormalWeb"/>
                        <w:spacing w:before="0" w:beforeAutospacing="0" w:after="0" w:afterAutospacing="0"/>
                        <w:jc w:val="center"/>
                        <w:rPr>
                          <w:rFonts w:asciiTheme="minorHAnsi" w:hAnsiTheme="minorHAnsi"/>
                          <w:sz w:val="28"/>
                          <w:szCs w:val="28"/>
                        </w:rPr>
                      </w:pPr>
                      <w:r w:rsidRPr="00685FA4">
                        <w:rPr>
                          <w:rFonts w:asciiTheme="minorHAnsi" w:hAnsiTheme="minorHAnsi"/>
                          <w:sz w:val="28"/>
                          <w:szCs w:val="28"/>
                        </w:rPr>
                        <w:t>Worm</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18DF0B49" wp14:editId="3FC0B641">
                <wp:simplePos x="0" y="0"/>
                <wp:positionH relativeFrom="column">
                  <wp:posOffset>4800600</wp:posOffset>
                </wp:positionH>
                <wp:positionV relativeFrom="paragraph">
                  <wp:posOffset>1026795</wp:posOffset>
                </wp:positionV>
                <wp:extent cx="981075" cy="790575"/>
                <wp:effectExtent l="0" t="0" r="0" b="0"/>
                <wp:wrapNone/>
                <wp:docPr id="31"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790575"/>
                        </a:xfrm>
                        <a:prstGeom prst="rect">
                          <a:avLst/>
                        </a:prstGeom>
                        <a:noFill/>
                      </wps:spPr>
                      <wps:txbx>
                        <w:txbxContent>
                          <w:p w14:paraId="1DEE2E93"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Six feet</w:t>
                            </w:r>
                          </w:p>
                          <w:p w14:paraId="557D8302"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Bee</w:t>
                            </w:r>
                          </w:p>
                          <w:p w14:paraId="4B17DA1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Ant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8DF0B49" id="TextBox 19" o:spid="_x0000_s1032" type="#_x0000_t202" style="position:absolute;margin-left:378pt;margin-top:80.85pt;width:77.25pt;height:6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" filled="f" stroked="f">
                <v:path arrowok="t"/>
                <v:textbox>
                  <w:txbxContent>
                    <w:p w14:paraId="1DEE2E93"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Six feet</w:t>
                      </w:r>
                    </w:p>
                    <w:p w14:paraId="557D8302"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Bee</w:t>
                      </w:r>
                    </w:p>
                    <w:p w14:paraId="4B17DA1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Ant</w:t>
                      </w:r>
                    </w:p>
                  </w:txbxContent>
                </v:textbox>
              </v:shape>
            </w:pict>
          </mc:Fallback>
        </mc:AlternateContent>
      </w:r>
      <w:r>
        <w:rPr>
          <w:noProof/>
          <w:lang w:eastAsia="en-GB"/>
        </w:rPr>
        <mc:AlternateContent>
          <mc:Choice Requires="wps">
            <w:drawing>
              <wp:anchor distT="0" distB="0" distL="114300" distR="114300" simplePos="0" relativeHeight="251680256" behindDoc="0" locked="0" layoutInCell="1" allowOverlap="1" wp14:anchorId="5F1CA112" wp14:editId="685C17FD">
                <wp:simplePos x="0" y="0"/>
                <wp:positionH relativeFrom="column">
                  <wp:posOffset>3486150</wp:posOffset>
                </wp:positionH>
                <wp:positionV relativeFrom="paragraph">
                  <wp:posOffset>998220</wp:posOffset>
                </wp:positionV>
                <wp:extent cx="1223645" cy="628650"/>
                <wp:effectExtent l="0" t="0" r="0" b="0"/>
                <wp:wrapNone/>
                <wp:docPr id="3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628650"/>
                        </a:xfrm>
                        <a:prstGeom prst="rect">
                          <a:avLst/>
                        </a:prstGeom>
                        <a:noFill/>
                      </wps:spPr>
                      <wps:txbx>
                        <w:txbxContent>
                          <w:p w14:paraId="35670911"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Five feet</w:t>
                            </w:r>
                          </w:p>
                          <w:p w14:paraId="4CD394D6"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Starfish</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shape w14:anchorId="5F1CA112" id="TextBox 18" o:spid="_x0000_s1033" type="#_x0000_t202" style="position:absolute;margin-left:274.5pt;margin-top:78.6pt;width:96.35pt;height: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" filled="f" stroked="f">
                <v:path arrowok="t"/>
                <v:textbox>
                  <w:txbxContent>
                    <w:p w14:paraId="35670911"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Five feet</w:t>
                      </w:r>
                    </w:p>
                    <w:p w14:paraId="4CD394D6"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Starfish</w:t>
                      </w:r>
                    </w:p>
                  </w:txbxContent>
                </v:textbox>
              </v:shape>
            </w:pict>
          </mc:Fallback>
        </mc:AlternateContent>
      </w:r>
      <w:r>
        <w:rPr>
          <w:noProof/>
          <w:lang w:eastAsia="en-GB"/>
        </w:rPr>
        <mc:AlternateContent>
          <mc:Choice Requires="wps">
            <w:drawing>
              <wp:anchor distT="0" distB="0" distL="114294" distR="114294" simplePos="0" relativeHeight="251681280" behindDoc="0" locked="0" layoutInCell="1" allowOverlap="1" wp14:anchorId="301126B1" wp14:editId="1D062FB7">
                <wp:simplePos x="0" y="0"/>
                <wp:positionH relativeFrom="column">
                  <wp:posOffset>5267324</wp:posOffset>
                </wp:positionH>
                <wp:positionV relativeFrom="paragraph">
                  <wp:posOffset>436245</wp:posOffset>
                </wp:positionV>
                <wp:extent cx="0" cy="565785"/>
                <wp:effectExtent l="0" t="0" r="19050" b="24765"/>
                <wp:wrapNone/>
                <wp:docPr id="3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5785"/>
                        </a:xfrm>
                        <a:prstGeom prst="line">
                          <a:avLst/>
                        </a:prstGeom>
                        <a:noFill/>
                        <a:ln w="9525" cap="flat" cmpd="sng" algn="ctr">
                          <a:solidFill>
                            <a:srgbClr val="1F497D"/>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A28EBCE" id="Straight Connector 11" o:spid="_x0000_s1026" style="position:absolute;z-index:2516812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from="414.75pt,34.35pt" to="414.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" strokecolor="#1f497d">
                <o:lock v:ext="edit" shapetype="f"/>
              </v:line>
            </w:pict>
          </mc:Fallback>
        </mc:AlternateContent>
      </w:r>
      <w:r>
        <w:rPr>
          <w:noProof/>
          <w:lang w:eastAsia="en-GB"/>
        </w:rPr>
        <mc:AlternateContent>
          <mc:Choice Requires="wps">
            <w:drawing>
              <wp:anchor distT="0" distB="0" distL="114294" distR="114294" simplePos="0" relativeHeight="251682304" behindDoc="0" locked="0" layoutInCell="1" allowOverlap="1" wp14:anchorId="11614A0A" wp14:editId="5C620AD8">
                <wp:simplePos x="0" y="0"/>
                <wp:positionH relativeFrom="column">
                  <wp:posOffset>1457959</wp:posOffset>
                </wp:positionH>
                <wp:positionV relativeFrom="paragraph">
                  <wp:posOffset>425450</wp:posOffset>
                </wp:positionV>
                <wp:extent cx="0" cy="567055"/>
                <wp:effectExtent l="0" t="0" r="19050" b="23495"/>
                <wp:wrapNone/>
                <wp:docPr id="3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7055"/>
                        </a:xfrm>
                        <a:prstGeom prst="line">
                          <a:avLst/>
                        </a:prstGeom>
                        <a:noFill/>
                        <a:ln w="9525"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3FACE34" id="Straight Connector 9" o:spid="_x0000_s1026" style="position:absolute;z-index:2516823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14.8pt,33.5pt" to="114.8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" strokecolor="#1f497d">
                <o:lock v:ext="edit" shapetype="f"/>
              </v:line>
            </w:pict>
          </mc:Fallback>
        </mc:AlternateContent>
      </w:r>
      <w:r>
        <w:rPr>
          <w:noProof/>
          <w:lang w:eastAsia="en-GB"/>
        </w:rPr>
        <mc:AlternateContent>
          <mc:Choice Requires="wps">
            <w:drawing>
              <wp:anchor distT="0" distB="0" distL="114294" distR="114294" simplePos="0" relativeHeight="251683328" behindDoc="0" locked="0" layoutInCell="1" allowOverlap="1" wp14:anchorId="3846D690" wp14:editId="10A220D7">
                <wp:simplePos x="0" y="0"/>
                <wp:positionH relativeFrom="column">
                  <wp:posOffset>4069079</wp:posOffset>
                </wp:positionH>
                <wp:positionV relativeFrom="paragraph">
                  <wp:posOffset>429260</wp:posOffset>
                </wp:positionV>
                <wp:extent cx="0" cy="603885"/>
                <wp:effectExtent l="0" t="0" r="19050" b="24765"/>
                <wp:wrapNone/>
                <wp:docPr id="3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noFill/>
                        <a:ln w="9525"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FC24BF5" id="Straight Connector 10" o:spid="_x0000_s1026" style="position:absolute;z-index:2516833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20.4pt,33.8pt" to="320.4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" strokecolor="#1f497d">
                <o:lock v:ext="edit" shapetype="f"/>
              </v:line>
            </w:pict>
          </mc:Fallback>
        </mc:AlternateContent>
      </w:r>
      <w:r>
        <w:rPr>
          <w:noProof/>
          <w:lang w:eastAsia="en-GB"/>
        </w:rPr>
        <mc:AlternateContent>
          <mc:Choice Requires="wps">
            <w:drawing>
              <wp:anchor distT="0" distB="0" distL="114294" distR="114294" simplePos="0" relativeHeight="251685376" behindDoc="0" locked="0" layoutInCell="1" allowOverlap="1" wp14:anchorId="36D2995E" wp14:editId="48528D01">
                <wp:simplePos x="0" y="0"/>
                <wp:positionH relativeFrom="column">
                  <wp:posOffset>208279</wp:posOffset>
                </wp:positionH>
                <wp:positionV relativeFrom="paragraph">
                  <wp:posOffset>432435</wp:posOffset>
                </wp:positionV>
                <wp:extent cx="0" cy="594360"/>
                <wp:effectExtent l="0" t="0" r="19050" b="34290"/>
                <wp:wrapNone/>
                <wp:docPr id="3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4360"/>
                        </a:xfrm>
                        <a:prstGeom prst="line">
                          <a:avLst/>
                        </a:prstGeom>
                        <a:noFill/>
                        <a:ln w="9525"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3A758E9" id="Straight Connector 4" o:spid="_x0000_s1026" style="position:absolute;z-index:2516853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6.4pt,34.05pt" to="16.4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" strokecolor="#1f497d">
                <o:lock v:ext="edit" shapetype="f"/>
              </v:line>
            </w:pict>
          </mc:Fallback>
        </mc:AlternateContent>
      </w:r>
      <w:r>
        <w:rPr>
          <w:noProof/>
          <w:lang w:eastAsia="en-GB"/>
        </w:rPr>
        <mc:AlternateContent>
          <mc:Choice Requires="wps">
            <w:drawing>
              <wp:anchor distT="0" distB="0" distL="114294" distR="114294" simplePos="0" relativeHeight="251686400" behindDoc="0" locked="0" layoutInCell="1" allowOverlap="1" wp14:anchorId="21F841BF" wp14:editId="4BFF02D2">
                <wp:simplePos x="0" y="0"/>
                <wp:positionH relativeFrom="column">
                  <wp:posOffset>2847339</wp:posOffset>
                </wp:positionH>
                <wp:positionV relativeFrom="paragraph">
                  <wp:posOffset>39370</wp:posOffset>
                </wp:positionV>
                <wp:extent cx="0" cy="363220"/>
                <wp:effectExtent l="0" t="0" r="19050" b="36830"/>
                <wp:wrapNone/>
                <wp:docPr id="3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line">
                          <a:avLst/>
                        </a:prstGeom>
                        <a:noFill/>
                        <a:ln w="9525"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D43FA22" id="Straight Connector 17" o:spid="_x0000_s1026" style="position:absolute;z-index:2516864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24.2pt,3.1pt" to="224.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" strokecolor="#1f497d">
                <o:lock v:ext="edit" shapetype="f"/>
              </v:line>
            </w:pict>
          </mc:Fallback>
        </mc:AlternateContent>
      </w:r>
      <w:r>
        <w:rPr>
          <w:noProof/>
          <w:lang w:eastAsia="en-GB"/>
        </w:rPr>
        <mc:AlternateContent>
          <mc:Choice Requires="wps">
            <w:drawing>
              <wp:anchor distT="0" distB="0" distL="114294" distR="114294" simplePos="0" relativeHeight="251687424" behindDoc="0" locked="0" layoutInCell="1" allowOverlap="1" wp14:anchorId="111C023E" wp14:editId="7A8EB0BA">
                <wp:simplePos x="0" y="0"/>
                <wp:positionH relativeFrom="column">
                  <wp:posOffset>2847339</wp:posOffset>
                </wp:positionH>
                <wp:positionV relativeFrom="paragraph">
                  <wp:posOffset>410845</wp:posOffset>
                </wp:positionV>
                <wp:extent cx="0" cy="594360"/>
                <wp:effectExtent l="0" t="0" r="19050" b="34290"/>
                <wp:wrapNone/>
                <wp:docPr id="3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4360"/>
                        </a:xfrm>
                        <a:prstGeom prst="line">
                          <a:avLst/>
                        </a:prstGeom>
                        <a:noFill/>
                        <a:ln w="9525"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2E41E38" id="Straight Connector 12" o:spid="_x0000_s1026" style="position:absolute;z-index:2516874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24.2pt,32.35pt" to="224.2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" strokecolor="#1f497d">
                <o:lock v:ext="edit" shapetype="f"/>
              </v:line>
            </w:pict>
          </mc:Fallback>
        </mc:AlternateContent>
      </w:r>
      <w:r>
        <w:rPr>
          <w:noProof/>
          <w:lang w:eastAsia="en-GB"/>
        </w:rPr>
        <mc:AlternateContent>
          <mc:Choice Requires="wps">
            <w:drawing>
              <wp:anchor distT="0" distB="0" distL="114300" distR="114300" simplePos="0" relativeHeight="251688448" behindDoc="0" locked="0" layoutInCell="1" allowOverlap="1" wp14:anchorId="4F1ED637" wp14:editId="6D0CE58D">
                <wp:simplePos x="0" y="0"/>
                <wp:positionH relativeFrom="column">
                  <wp:posOffset>5953125</wp:posOffset>
                </wp:positionH>
                <wp:positionV relativeFrom="paragraph">
                  <wp:posOffset>993775</wp:posOffset>
                </wp:positionV>
                <wp:extent cx="1047750" cy="819150"/>
                <wp:effectExtent l="0" t="0" r="0" b="0"/>
                <wp:wrapNone/>
                <wp:docPr id="39"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819150"/>
                        </a:xfrm>
                        <a:prstGeom prst="rect">
                          <a:avLst/>
                        </a:prstGeom>
                        <a:noFill/>
                      </wps:spPr>
                      <wps:txbx>
                        <w:txbxContent>
                          <w:p w14:paraId="17D95762"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Eight feet</w:t>
                            </w:r>
                          </w:p>
                          <w:p w14:paraId="07F9F6B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Spider</w:t>
                            </w:r>
                          </w:p>
                          <w:p w14:paraId="1B7B639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Octopus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F1ED637" id="TextBox 20" o:spid="_x0000_s1034" type="#_x0000_t202" style="position:absolute;margin-left:468.75pt;margin-top:78.25pt;width:82.5pt;height: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" filled="f" stroked="f">
                <v:path arrowok="t"/>
                <v:textbox>
                  <w:txbxContent>
                    <w:p w14:paraId="17D95762"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Eight feet</w:t>
                      </w:r>
                    </w:p>
                    <w:p w14:paraId="07F9F6B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Spider</w:t>
                      </w:r>
                    </w:p>
                    <w:p w14:paraId="1B7B639D"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Octopus</w:t>
                      </w:r>
                    </w:p>
                  </w:txbxContent>
                </v:textbox>
              </v:shape>
            </w:pict>
          </mc:Fallback>
        </mc:AlternateContent>
      </w:r>
    </w:p>
    <w:p w14:paraId="71567619" w14:textId="6465E6F7" w:rsidR="00C656C3" w:rsidRDefault="00F758FC" w:rsidP="00F758FC">
      <w:pPr>
        <w:rPr>
          <w:b/>
        </w:rPr>
      </w:pPr>
      <w:r>
        <w:rPr>
          <w:noProof/>
          <w:lang w:eastAsia="en-GB"/>
        </w:rPr>
        <w:lastRenderedPageBreak/>
        <mc:AlternateContent>
          <mc:Choice Requires="wps">
            <w:drawing>
              <wp:anchor distT="0" distB="0" distL="114300" distR="114300" simplePos="0" relativeHeight="251671040" behindDoc="0" locked="0" layoutInCell="1" allowOverlap="1" wp14:anchorId="264AF330" wp14:editId="46F047EC">
                <wp:simplePos x="0" y="0"/>
                <wp:positionH relativeFrom="column">
                  <wp:posOffset>1566545</wp:posOffset>
                </wp:positionH>
                <wp:positionV relativeFrom="paragraph">
                  <wp:posOffset>8890</wp:posOffset>
                </wp:positionV>
                <wp:extent cx="45719" cy="171450"/>
                <wp:effectExtent l="0" t="0" r="0" b="0"/>
                <wp:wrapNone/>
                <wp:docPr id="2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719" cy="171450"/>
                        </a:xfrm>
                        <a:prstGeom prst="rect">
                          <a:avLst/>
                        </a:prstGeom>
                        <a:noFill/>
                      </wps:spPr>
                      <wps:txbx>
                        <w:txbxContent>
                          <w:p w14:paraId="2EF1A262"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Five feet</w:t>
                            </w:r>
                          </w:p>
                          <w:p w14:paraId="06EF62D8"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Starfish</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shape w14:anchorId="264AF330" id="_x0000_s1035" type="#_x0000_t202" style="position:absolute;margin-left:123.35pt;margin-top:.7pt;width:3.6pt;height:13.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" filled="f" stroked="f">
                <v:path arrowok="t"/>
                <v:textbox>
                  <w:txbxContent>
                    <w:p w14:paraId="2EF1A262"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i/>
                          <w:iCs/>
                          <w:color w:val="000000" w:themeColor="text1"/>
                          <w:kern w:val="24"/>
                          <w:sz w:val="28"/>
                          <w:szCs w:val="28"/>
                        </w:rPr>
                        <w:t>Five feet</w:t>
                      </w:r>
                    </w:p>
                    <w:p w14:paraId="06EF62D8" w14:textId="77777777" w:rsidR="00C66C62" w:rsidRPr="00894CCE" w:rsidRDefault="00C66C62" w:rsidP="00F758FC">
                      <w:pPr>
                        <w:pStyle w:val="NormalWeb"/>
                        <w:spacing w:before="0" w:beforeAutospacing="0" w:after="0" w:afterAutospacing="0"/>
                        <w:jc w:val="center"/>
                        <w:rPr>
                          <w:sz w:val="28"/>
                          <w:szCs w:val="28"/>
                        </w:rPr>
                      </w:pPr>
                      <w:r w:rsidRPr="00894CCE">
                        <w:rPr>
                          <w:rFonts w:asciiTheme="minorHAnsi" w:hAnsi="Calibri" w:cstheme="minorBidi"/>
                          <w:color w:val="000000" w:themeColor="text1"/>
                          <w:kern w:val="24"/>
                          <w:sz w:val="28"/>
                          <w:szCs w:val="28"/>
                        </w:rPr>
                        <w:t>Starfish</w:t>
                      </w:r>
                    </w:p>
                  </w:txbxContent>
                </v:textbox>
              </v:shape>
            </w:pict>
          </mc:Fallback>
        </mc:AlternateContent>
      </w:r>
      <w:r w:rsidR="00012C4B">
        <w:rPr>
          <w:b/>
        </w:rPr>
        <w:t>Figure 2</w:t>
      </w:r>
    </w:p>
    <w:p w14:paraId="1CFD8B9B" w14:textId="77777777" w:rsidR="00012C4B" w:rsidRDefault="00012C4B" w:rsidP="0045697E">
      <w:pPr>
        <w:spacing w:before="240" w:line="240" w:lineRule="auto"/>
      </w:pPr>
      <w:r>
        <w:t>The d’Arcy clas</w:t>
      </w:r>
      <w:r w:rsidR="00925E02">
        <w:t>sification</w:t>
      </w:r>
    </w:p>
    <w:p w14:paraId="45E169CA" w14:textId="77777777" w:rsidR="00012C4B" w:rsidRDefault="00012C4B" w:rsidP="0045697E">
      <w:pPr>
        <w:spacing w:before="240" w:line="240" w:lineRule="auto"/>
      </w:pPr>
    </w:p>
    <w:p w14:paraId="73A431DD" w14:textId="77777777" w:rsidR="007E6A95" w:rsidRDefault="007E6A95" w:rsidP="007E6A95">
      <w:r>
        <w:rPr>
          <w:noProof/>
          <w:lang w:eastAsia="en-GB"/>
        </w:rPr>
        <w:drawing>
          <wp:inline distT="0" distB="0" distL="0" distR="0" wp14:anchorId="52283EEB" wp14:editId="6D02A0E0">
            <wp:extent cx="5638800" cy="3724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19D00F" w14:textId="17BC8342" w:rsidR="007E6A95" w:rsidRPr="003B422A" w:rsidRDefault="00925E02" w:rsidP="007E6A95">
      <w:pPr>
        <w:spacing w:before="240" w:line="240" w:lineRule="auto"/>
        <w:rPr>
          <w:sz w:val="22"/>
        </w:rPr>
      </w:pPr>
      <w:r w:rsidRPr="003B422A">
        <w:rPr>
          <w:i/>
          <w:sz w:val="22"/>
        </w:rPr>
        <w:t>Source</w:t>
      </w:r>
      <w:r w:rsidRPr="003B422A">
        <w:rPr>
          <w:sz w:val="22"/>
        </w:rPr>
        <w:t>: d’Arcy (2001, Figure 2), except that, f</w:t>
      </w:r>
      <w:r w:rsidR="007E6A95" w:rsidRPr="003B422A">
        <w:rPr>
          <w:sz w:val="22"/>
        </w:rPr>
        <w:t xml:space="preserve">or clarity, </w:t>
      </w:r>
      <w:r w:rsidR="00C66C62">
        <w:rPr>
          <w:sz w:val="22"/>
        </w:rPr>
        <w:t xml:space="preserve">the author has deleted Switzerland </w:t>
      </w:r>
      <w:r w:rsidR="007E6A95" w:rsidRPr="003B422A">
        <w:rPr>
          <w:sz w:val="22"/>
        </w:rPr>
        <w:t>because it overlapped the UK.</w:t>
      </w:r>
    </w:p>
    <w:sectPr w:rsidR="007E6A95" w:rsidRPr="003B422A" w:rsidSect="00AB13E6">
      <w:headerReference w:type="default" r:id="rId12"/>
      <w:pgSz w:w="11906" w:h="16838" w:code="9"/>
      <w:pgMar w:top="1440" w:right="180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0770" w14:textId="77777777" w:rsidR="00C66C62" w:rsidRDefault="00C66C62" w:rsidP="006E164C">
      <w:pPr>
        <w:spacing w:after="0" w:line="240" w:lineRule="auto"/>
      </w:pPr>
      <w:r>
        <w:separator/>
      </w:r>
    </w:p>
  </w:endnote>
  <w:endnote w:type="continuationSeparator" w:id="0">
    <w:p w14:paraId="07C8FF11" w14:textId="77777777" w:rsidR="00C66C62" w:rsidRDefault="00C66C62" w:rsidP="006E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dvGulliv-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PS6F00">
    <w:panose1 w:val="00000000000000000000"/>
    <w:charset w:val="00"/>
    <w:family w:val="roman"/>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AdvTimes">
    <w:altName w:val="MS Mincho"/>
    <w:panose1 w:val="00000000000000000000"/>
    <w:charset w:val="00"/>
    <w:family w:val="auto"/>
    <w:notTrueType/>
    <w:pitch w:val="default"/>
    <w:sig w:usb0="00000001" w:usb1="08070000" w:usb2="00000010" w:usb3="00000000" w:csb0="00020001" w:csb1="00000000"/>
  </w:font>
  <w:font w:name="AdvTimes-i">
    <w:panose1 w:val="00000000000000000000"/>
    <w:charset w:val="00"/>
    <w:family w:val="auto"/>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1888" w14:textId="77777777" w:rsidR="00C66C62" w:rsidRDefault="00C66C62" w:rsidP="006E164C">
      <w:pPr>
        <w:spacing w:after="0" w:line="240" w:lineRule="auto"/>
      </w:pPr>
      <w:r>
        <w:separator/>
      </w:r>
    </w:p>
  </w:footnote>
  <w:footnote w:type="continuationSeparator" w:id="0">
    <w:p w14:paraId="63230620" w14:textId="77777777" w:rsidR="00C66C62" w:rsidRDefault="00C66C62" w:rsidP="006E164C">
      <w:pPr>
        <w:spacing w:after="0" w:line="240" w:lineRule="auto"/>
      </w:pPr>
      <w:r>
        <w:continuationSeparator/>
      </w:r>
    </w:p>
  </w:footnote>
  <w:footnote w:id="1">
    <w:p w14:paraId="5C8AAB3E" w14:textId="105C62B5" w:rsidR="00C66C62" w:rsidRDefault="00C66C62" w:rsidP="00456467">
      <w:pPr>
        <w:pStyle w:val="FootnoteText"/>
      </w:pPr>
      <w:r>
        <w:rPr>
          <w:rStyle w:val="FootnoteReference"/>
        </w:rPr>
        <w:footnoteRef/>
      </w:r>
      <w:r>
        <w:t xml:space="preserve"> By “accounting system”, I mean a set of financial reporting practices used in common by a population of entities. For example, US listed companies use US generally accepted accounting principles (US GAAP). That system is also used by some Canadian, Japanese and Swiss companies (Nobes and </w:t>
      </w:r>
      <w:proofErr w:type="spellStart"/>
      <w:r>
        <w:t>Zeff</w:t>
      </w:r>
      <w:proofErr w:type="spellEnd"/>
      <w:r>
        <w:t>, 2016). Other companies in those countries use other accounting systems, e.g. Japanese GAAP.</w:t>
      </w:r>
    </w:p>
  </w:footnote>
  <w:footnote w:id="2">
    <w:p w14:paraId="270F0D26" w14:textId="62C130A5" w:rsidR="00C66C62" w:rsidRPr="007E5495" w:rsidRDefault="00C66C62" w:rsidP="009E7590">
      <w:pPr>
        <w:autoSpaceDE w:val="0"/>
        <w:autoSpaceDN w:val="0"/>
        <w:adjustRightInd w:val="0"/>
        <w:spacing w:after="0" w:line="240" w:lineRule="auto"/>
        <w:rPr>
          <w:rFonts w:cs="AdvGulliv-R"/>
          <w:sz w:val="20"/>
          <w:szCs w:val="20"/>
        </w:rPr>
      </w:pPr>
      <w:r>
        <w:rPr>
          <w:rStyle w:val="FootnoteReference"/>
        </w:rPr>
        <w:footnoteRef/>
      </w:r>
      <w:r>
        <w:t xml:space="preserve"> </w:t>
      </w:r>
      <w:r w:rsidRPr="007E5495">
        <w:rPr>
          <w:rFonts w:cs="AdvGulliv-R"/>
          <w:sz w:val="20"/>
          <w:szCs w:val="20"/>
        </w:rPr>
        <w:t xml:space="preserve">I use the term </w:t>
      </w:r>
      <w:r>
        <w:rPr>
          <w:rFonts w:cs="AdvGulliv-R"/>
          <w:sz w:val="20"/>
          <w:szCs w:val="20"/>
        </w:rPr>
        <w:t>“</w:t>
      </w:r>
      <w:r w:rsidRPr="007E5495">
        <w:rPr>
          <w:rFonts w:cs="AdvGulliv-R"/>
          <w:sz w:val="20"/>
          <w:szCs w:val="20"/>
        </w:rPr>
        <w:t>man</w:t>
      </w:r>
      <w:r>
        <w:rPr>
          <w:rFonts w:cs="AdvGulliv-R"/>
          <w:sz w:val="20"/>
          <w:szCs w:val="20"/>
        </w:rPr>
        <w:t>”</w:t>
      </w:r>
      <w:r w:rsidRPr="007E5495">
        <w:rPr>
          <w:rFonts w:cs="AdvGulliv-R"/>
          <w:sz w:val="20"/>
          <w:szCs w:val="20"/>
        </w:rPr>
        <w:t xml:space="preserve"> when discussing</w:t>
      </w:r>
      <w:r>
        <w:rPr>
          <w:rFonts w:cs="AdvGulliv-R"/>
          <w:sz w:val="20"/>
          <w:szCs w:val="20"/>
        </w:rPr>
        <w:t xml:space="preserve"> authors who used the term (i.e. those </w:t>
      </w:r>
      <w:r w:rsidRPr="007E5495">
        <w:rPr>
          <w:rFonts w:cs="AdvGulliv-R"/>
          <w:sz w:val="20"/>
          <w:szCs w:val="20"/>
        </w:rPr>
        <w:t>until the late twentieth century).</w:t>
      </w:r>
    </w:p>
    <w:p w14:paraId="64B669B9" w14:textId="16F0984A" w:rsidR="00C66C62" w:rsidRDefault="00C66C62">
      <w:pPr>
        <w:pStyle w:val="FootnoteText"/>
      </w:pPr>
    </w:p>
  </w:footnote>
  <w:footnote w:id="3">
    <w:p w14:paraId="4ED84F33" w14:textId="77777777" w:rsidR="00C66C62" w:rsidRPr="00DF7D28" w:rsidRDefault="00C66C62">
      <w:pPr>
        <w:pStyle w:val="FootnoteText"/>
        <w:rPr>
          <w:lang w:val="en-AU"/>
        </w:rPr>
      </w:pPr>
      <w:r>
        <w:rPr>
          <w:rStyle w:val="FootnoteReference"/>
        </w:rPr>
        <w:footnoteRef/>
      </w:r>
      <w:r>
        <w:t xml:space="preserve"> </w:t>
      </w:r>
      <w:r>
        <w:rPr>
          <w:lang w:val="en-AU"/>
        </w:rPr>
        <w:t>For a discussion on hybrids or transitions in language, see Komatsu and Harris (1993, p. 30a).</w:t>
      </w:r>
    </w:p>
  </w:footnote>
  <w:footnote w:id="4">
    <w:p w14:paraId="5B634406" w14:textId="77777777" w:rsidR="00C66C62" w:rsidRDefault="00C66C62" w:rsidP="009C0132">
      <w:pPr>
        <w:pStyle w:val="FootnoteText"/>
      </w:pPr>
      <w:r>
        <w:rPr>
          <w:rStyle w:val="FootnoteReference"/>
        </w:rPr>
        <w:footnoteRef/>
      </w:r>
      <w:r>
        <w:t xml:space="preserve"> See, for example, </w:t>
      </w:r>
      <w:proofErr w:type="spellStart"/>
      <w:r>
        <w:t>Mishler</w:t>
      </w:r>
      <w:proofErr w:type="spellEnd"/>
      <w:r>
        <w:t xml:space="preserve"> (2009, p. 65).</w:t>
      </w:r>
    </w:p>
  </w:footnote>
  <w:footnote w:id="5">
    <w:p w14:paraId="0A35749F" w14:textId="0706B2B8" w:rsidR="00C66C62" w:rsidRDefault="00C66C62">
      <w:pPr>
        <w:pStyle w:val="FootnoteText"/>
      </w:pPr>
      <w:r>
        <w:rPr>
          <w:rStyle w:val="FootnoteReference"/>
        </w:rPr>
        <w:footnoteRef/>
      </w:r>
      <w:r>
        <w:t xml:space="preserve"> Strictly speaking, the requirement applies to the directors rather than to the accountants. The requirement derives from the UK’s Companies Act 1947, and is now found in S.396 of the Companies Act 2006. It can be found in the EU’s Fourth Directive on company law (Article 2; now Article 4 of the 2013 Directive) and therefore in EU laws (Nobes, 1993). It can also be found in the laws of many Commonwealth countries. The equivalent in IFRS is in IAS 1, paras. 15 and 19.</w:t>
      </w:r>
    </w:p>
  </w:footnote>
  <w:footnote w:id="6">
    <w:p w14:paraId="3FC7B474" w14:textId="77777777" w:rsidR="00C66C62" w:rsidRDefault="00C66C62">
      <w:pPr>
        <w:pStyle w:val="FootnoteText"/>
      </w:pPr>
      <w:r>
        <w:rPr>
          <w:rStyle w:val="FootnoteReference"/>
        </w:rPr>
        <w:footnoteRef/>
      </w:r>
      <w:r>
        <w:t xml:space="preserve"> There is a large literature on “true and fair”, including comments on this particular point. See, for example, Rutherford (1985) and other papers reprinted in Parker </w:t>
      </w:r>
      <w:r w:rsidRPr="00562AD6">
        <w:rPr>
          <w:i/>
        </w:rPr>
        <w:t>et al.</w:t>
      </w:r>
      <w:r>
        <w:t xml:space="preserve"> (1996).</w:t>
      </w:r>
    </w:p>
  </w:footnote>
  <w:footnote w:id="7">
    <w:p w14:paraId="6B62A4EC" w14:textId="77777777" w:rsidR="00C66C62" w:rsidRDefault="00C66C62" w:rsidP="00CC7794">
      <w:pPr>
        <w:pStyle w:val="FootnoteText"/>
      </w:pPr>
      <w:r>
        <w:rPr>
          <w:rStyle w:val="FootnoteReference"/>
        </w:rPr>
        <w:footnoteRef/>
      </w:r>
      <w:r>
        <w:t xml:space="preserve"> The criticism is said to have come from Diogenes (Diogenes Laertius, 1925, IV: 40). </w:t>
      </w:r>
    </w:p>
  </w:footnote>
  <w:footnote w:id="8">
    <w:p w14:paraId="362113E2" w14:textId="14BD89D4" w:rsidR="00C66C62" w:rsidRDefault="00C66C62">
      <w:pPr>
        <w:pStyle w:val="FootnoteText"/>
      </w:pPr>
      <w:r>
        <w:rPr>
          <w:rStyle w:val="FootnoteReference"/>
        </w:rPr>
        <w:footnoteRef/>
      </w:r>
      <w:r>
        <w:t xml:space="preserve"> This is still partial, of course. It only includes a few animals and it omits classes for centipedes and millipedes.</w:t>
      </w:r>
    </w:p>
  </w:footnote>
  <w:footnote w:id="9">
    <w:p w14:paraId="425DE952" w14:textId="77777777" w:rsidR="00C66C62" w:rsidRDefault="00C66C62" w:rsidP="00CC7794">
      <w:pPr>
        <w:pStyle w:val="FootnoteText"/>
      </w:pPr>
      <w:r>
        <w:rPr>
          <w:rStyle w:val="FootnoteReference"/>
        </w:rPr>
        <w:footnoteRef/>
      </w:r>
      <w:r>
        <w:t xml:space="preserve"> For a note on the vestigial legs of some snakes, see the website of the American Museum of Natural History: </w:t>
      </w:r>
      <w:hyperlink r:id="rId1" w:history="1">
        <w:r w:rsidRPr="00D15570">
          <w:rPr>
            <w:rStyle w:val="Hyperlink"/>
          </w:rPr>
          <w:t>http://www.amnh.org/exhibitions/darwin/evolution-today/how-do-we-know-living-things-are-related/vestigial-organs</w:t>
        </w:r>
      </w:hyperlink>
      <w:r>
        <w:t xml:space="preserve"> (accessed 3.1.2016).</w:t>
      </w:r>
    </w:p>
  </w:footnote>
  <w:footnote w:id="10">
    <w:p w14:paraId="75A420E2" w14:textId="77777777" w:rsidR="00C66C62" w:rsidRDefault="00C66C62" w:rsidP="00CC7794">
      <w:pPr>
        <w:pStyle w:val="FootnoteText"/>
      </w:pPr>
      <w:r>
        <w:rPr>
          <w:rStyle w:val="FootnoteReference"/>
        </w:rPr>
        <w:footnoteRef/>
      </w:r>
      <w:r>
        <w:t xml:space="preserve"> As discussed below the Inquisition was still attempting to enforce this view in the 17</w:t>
      </w:r>
      <w:r w:rsidRPr="00F836BD">
        <w:rPr>
          <w:vertAlign w:val="superscript"/>
        </w:rPr>
        <w:t>th</w:t>
      </w:r>
      <w:r>
        <w:t xml:space="preserve"> century.</w:t>
      </w:r>
    </w:p>
  </w:footnote>
  <w:footnote w:id="11">
    <w:p w14:paraId="348E6DF8" w14:textId="77777777" w:rsidR="00C66C62" w:rsidRDefault="00C66C62" w:rsidP="00CC7794">
      <w:pPr>
        <w:pStyle w:val="FootnoteText"/>
      </w:pPr>
      <w:r>
        <w:rPr>
          <w:rStyle w:val="FootnoteReference"/>
        </w:rPr>
        <w:footnoteRef/>
      </w:r>
      <w:r>
        <w:t xml:space="preserve"> See </w:t>
      </w:r>
      <w:proofErr w:type="spellStart"/>
      <w:r>
        <w:t>Basri</w:t>
      </w:r>
      <w:proofErr w:type="spellEnd"/>
      <w:r>
        <w:t xml:space="preserve"> and Brown (2006) for a discussion of Pluto.</w:t>
      </w:r>
    </w:p>
  </w:footnote>
  <w:footnote w:id="12">
    <w:p w14:paraId="571DA446" w14:textId="460F0D6F" w:rsidR="00C66C62" w:rsidRDefault="00C66C62" w:rsidP="00C054BE">
      <w:pPr>
        <w:pStyle w:val="FootnoteText"/>
      </w:pPr>
      <w:r>
        <w:rPr>
          <w:rStyle w:val="FootnoteReference"/>
        </w:rPr>
        <w:footnoteRef/>
      </w:r>
      <w:r>
        <w:t xml:space="preserve"> The word “planet” derives f</w:t>
      </w:r>
      <w:r w:rsidRPr="00CF44F4">
        <w:t xml:space="preserve">rom the Greek: </w:t>
      </w:r>
      <w:r>
        <w:t>“</w:t>
      </w:r>
      <w:r w:rsidRPr="00CF44F4">
        <w:rPr>
          <w:rStyle w:val="foreign1"/>
          <w:color w:val="000000"/>
        </w:rPr>
        <w:t>(</w:t>
      </w:r>
      <w:proofErr w:type="spellStart"/>
      <w:r w:rsidRPr="00CF44F4">
        <w:rPr>
          <w:rStyle w:val="foreign1"/>
          <w:color w:val="000000"/>
        </w:rPr>
        <w:t>asteres</w:t>
      </w:r>
      <w:proofErr w:type="spellEnd"/>
      <w:r w:rsidRPr="00CF44F4">
        <w:rPr>
          <w:rStyle w:val="foreign1"/>
          <w:color w:val="000000"/>
        </w:rPr>
        <w:t xml:space="preserve">) </w:t>
      </w:r>
      <w:proofErr w:type="spellStart"/>
      <w:r w:rsidRPr="00CF44F4">
        <w:rPr>
          <w:rStyle w:val="foreign1"/>
          <w:color w:val="000000"/>
        </w:rPr>
        <w:t>planetai</w:t>
      </w:r>
      <w:proofErr w:type="spellEnd"/>
      <w:r>
        <w:rPr>
          <w:rStyle w:val="foreign1"/>
          <w:color w:val="000000"/>
        </w:rPr>
        <w:t>”</w:t>
      </w:r>
      <w:r>
        <w:rPr>
          <w:color w:val="000000"/>
        </w:rPr>
        <w:t>, meaning “</w:t>
      </w:r>
      <w:r w:rsidRPr="00CF44F4">
        <w:rPr>
          <w:color w:val="000000"/>
        </w:rPr>
        <w:t>wandering (stars)</w:t>
      </w:r>
      <w:r>
        <w:rPr>
          <w:color w:val="000000"/>
        </w:rPr>
        <w:t>”</w:t>
      </w:r>
      <w:r w:rsidRPr="00CF44F4">
        <w:rPr>
          <w:color w:val="000000"/>
        </w:rPr>
        <w:t>.</w:t>
      </w:r>
      <w:r>
        <w:rPr>
          <w:rFonts w:ascii="Georgia" w:hAnsi="Georgia"/>
          <w:color w:val="000000"/>
        </w:rPr>
        <w:t xml:space="preserve"> </w:t>
      </w:r>
      <w:r>
        <w:t>Of course, the Sun wanders compared, for example, to the centre of the galaxy. Galileo is reported to have said “</w:t>
      </w:r>
      <w:proofErr w:type="spellStart"/>
      <w:r w:rsidRPr="005750E2">
        <w:rPr>
          <w:i/>
        </w:rPr>
        <w:t>Eppur</w:t>
      </w:r>
      <w:proofErr w:type="spellEnd"/>
      <w:r w:rsidRPr="005750E2">
        <w:rPr>
          <w:i/>
        </w:rPr>
        <w:t xml:space="preserve"> </w:t>
      </w:r>
      <w:proofErr w:type="spellStart"/>
      <w:r w:rsidRPr="005750E2">
        <w:rPr>
          <w:i/>
        </w:rPr>
        <w:t>si</w:t>
      </w:r>
      <w:proofErr w:type="spellEnd"/>
      <w:r w:rsidRPr="005750E2">
        <w:rPr>
          <w:i/>
        </w:rPr>
        <w:t xml:space="preserve"> </w:t>
      </w:r>
      <w:proofErr w:type="spellStart"/>
      <w:r w:rsidRPr="005750E2">
        <w:rPr>
          <w:i/>
        </w:rPr>
        <w:t>muove</w:t>
      </w:r>
      <w:proofErr w:type="spellEnd"/>
      <w:r>
        <w:t xml:space="preserve">” (“and yet it moves”) about the Earth, presumably </w:t>
      </w:r>
      <w:r w:rsidRPr="005750E2">
        <w:rPr>
          <w:i/>
        </w:rPr>
        <w:t>sotto voce</w:t>
      </w:r>
      <w:r>
        <w:t>, after the Inquisiti</w:t>
      </w:r>
      <w:r w:rsidR="00E31FF4">
        <w:t>on had forced him to affirm</w:t>
      </w:r>
      <w:r>
        <w:t xml:space="preserve"> </w:t>
      </w:r>
      <w:proofErr w:type="spellStart"/>
      <w:r>
        <w:t>heliocentrism</w:t>
      </w:r>
      <w:proofErr w:type="spellEnd"/>
      <w:r>
        <w:t>.</w:t>
      </w:r>
    </w:p>
  </w:footnote>
  <w:footnote w:id="13">
    <w:p w14:paraId="273401D3" w14:textId="231710E5" w:rsidR="00C66C62" w:rsidRDefault="00C66C62">
      <w:pPr>
        <w:pStyle w:val="FootnoteText"/>
      </w:pPr>
      <w:r>
        <w:rPr>
          <w:rStyle w:val="FootnoteReference"/>
        </w:rPr>
        <w:footnoteRef/>
      </w:r>
      <w:r>
        <w:t xml:space="preserve"> That is the UK firm of Deloitte, Haskins &amp; Sells, which became part of the UK firm temporarily called Coopers &amp; Lybrand Deloitte, which was part of Coopers &amp; Lybrand and eventually of PwC.</w:t>
      </w:r>
    </w:p>
  </w:footnote>
  <w:footnote w:id="14">
    <w:p w14:paraId="1136C0D0" w14:textId="77777777" w:rsidR="00C66C62" w:rsidRDefault="00C66C62">
      <w:pPr>
        <w:pStyle w:val="FootnoteText"/>
      </w:pPr>
      <w:r>
        <w:rPr>
          <w:rStyle w:val="FootnoteReference"/>
        </w:rPr>
        <w:footnoteRef/>
      </w:r>
      <w:r>
        <w:t xml:space="preserve"> Da Costa </w:t>
      </w:r>
      <w:r w:rsidRPr="004127F1">
        <w:rPr>
          <w:i/>
        </w:rPr>
        <w:t>et al</w:t>
      </w:r>
      <w:r>
        <w:t>. used 100 of the attributes scored by PW (1973).</w:t>
      </w:r>
    </w:p>
  </w:footnote>
  <w:footnote w:id="15">
    <w:p w14:paraId="7C8FB823" w14:textId="77777777" w:rsidR="00C66C62" w:rsidRDefault="00C66C62">
      <w:pPr>
        <w:pStyle w:val="FootnoteText"/>
      </w:pPr>
      <w:r>
        <w:rPr>
          <w:rStyle w:val="FootnoteReference"/>
        </w:rPr>
        <w:footnoteRef/>
      </w:r>
      <w:r>
        <w:t xml:space="preserve"> Goodrich used 29 of the 264 attributes scored in PW (1979).</w:t>
      </w:r>
    </w:p>
  </w:footnote>
  <w:footnote w:id="16">
    <w:p w14:paraId="309808FB" w14:textId="14B1432B" w:rsidR="00C66C62" w:rsidRDefault="00C66C62">
      <w:pPr>
        <w:pStyle w:val="FootnoteText"/>
      </w:pPr>
      <w:r>
        <w:rPr>
          <w:rStyle w:val="FootnoteReference"/>
        </w:rPr>
        <w:footnoteRef/>
      </w:r>
      <w:r>
        <w:t xml:space="preserve"> The Channel Islands are not part of the United Kingdom, nor were they ever part of the European Union. In practice, companies tend to follow UK practice. In the 1970s and 1980s, the author presented several seminars on UK company law and accounting standards in the Channel Islands for the Association of Chartered Certified Accountants.</w:t>
      </w:r>
    </w:p>
  </w:footnote>
  <w:footnote w:id="17">
    <w:p w14:paraId="5758FA97" w14:textId="77777777" w:rsidR="00C66C62" w:rsidRDefault="00C66C62">
      <w:pPr>
        <w:pStyle w:val="FootnoteText"/>
      </w:pPr>
      <w:r>
        <w:rPr>
          <w:rStyle w:val="FootnoteReference"/>
        </w:rPr>
        <w:footnoteRef/>
      </w:r>
      <w:r>
        <w:t xml:space="preserve"> Nair and Frank used all 233 and 264 attributes of the 1973 and 1975 data, respectively.</w:t>
      </w:r>
    </w:p>
  </w:footnote>
  <w:footnote w:id="18">
    <w:p w14:paraId="0B926A5F" w14:textId="77777777" w:rsidR="00C66C62" w:rsidRDefault="00C66C62">
      <w:pPr>
        <w:pStyle w:val="FootnoteText"/>
      </w:pPr>
      <w:r>
        <w:rPr>
          <w:rStyle w:val="FootnoteReference"/>
        </w:rPr>
        <w:footnoteRef/>
      </w:r>
      <w:r>
        <w:t xml:space="preserve"> Scandinavian countries, Belgium, France, Germany and Switzerland plus Zaire, a former Belgian colony (p.433).</w:t>
      </w:r>
    </w:p>
  </w:footnote>
  <w:footnote w:id="19">
    <w:p w14:paraId="3DE16205" w14:textId="77777777" w:rsidR="00C66C62" w:rsidRDefault="00C66C62" w:rsidP="005D3ECA">
      <w:pPr>
        <w:pStyle w:val="FootnoteText"/>
      </w:pPr>
      <w:r>
        <w:rPr>
          <w:rStyle w:val="FootnoteReference"/>
        </w:rPr>
        <w:footnoteRef/>
      </w:r>
      <w:r>
        <w:t xml:space="preserve"> Items 79-81, 124 and 217 of PW (1973). </w:t>
      </w:r>
    </w:p>
  </w:footnote>
  <w:footnote w:id="20">
    <w:p w14:paraId="0B076720" w14:textId="00CE87DE" w:rsidR="00C66C62" w:rsidRDefault="00C66C62">
      <w:pPr>
        <w:pStyle w:val="FootnoteText"/>
      </w:pPr>
      <w:r>
        <w:rPr>
          <w:rStyle w:val="FootnoteReference"/>
        </w:rPr>
        <w:footnoteRef/>
      </w:r>
      <w:r w:rsidR="00D12694">
        <w:t xml:space="preserve"> For </w:t>
      </w:r>
      <w:proofErr w:type="gramStart"/>
      <w:r w:rsidR="00D12694">
        <w:t>example</w:t>
      </w:r>
      <w:r w:rsidR="00AC159E">
        <w:t xml:space="preserve">  </w:t>
      </w:r>
      <w:r>
        <w:t>,</w:t>
      </w:r>
      <w:proofErr w:type="gramEnd"/>
      <w:r>
        <w:t xml:space="preserve"> see ICAEW (2007, pp. 88, 123) and </w:t>
      </w:r>
      <w:proofErr w:type="spellStart"/>
      <w:r>
        <w:t>Kvaal</w:t>
      </w:r>
      <w:proofErr w:type="spellEnd"/>
      <w:r>
        <w:t xml:space="preserve"> and Nobes (2010, Table 3). I have examined hundreds of further IFRS financial statements from many countries and never seen “subsequent measurement” of intangibles at fair value.</w:t>
      </w:r>
    </w:p>
  </w:footnote>
  <w:footnote w:id="21">
    <w:p w14:paraId="360BFB56" w14:textId="77777777" w:rsidR="00C66C62" w:rsidRDefault="00C66C62">
      <w:pPr>
        <w:pStyle w:val="FootnoteText"/>
      </w:pPr>
      <w:r>
        <w:rPr>
          <w:rStyle w:val="FootnoteReference"/>
        </w:rPr>
        <w:footnoteRef/>
      </w:r>
      <w:r>
        <w:t xml:space="preserve"> They were designed to show that the financial reporting rules of many countries fell well short of the requirements of international standards, so that rule-makers rather than auditors would be blamed for accounting failures.</w:t>
      </w:r>
    </w:p>
  </w:footnote>
  <w:footnote w:id="22">
    <w:p w14:paraId="04B5DB60" w14:textId="78A83335" w:rsidR="00C66C62" w:rsidRDefault="00C66C62">
      <w:pPr>
        <w:pStyle w:val="FootnoteText"/>
      </w:pPr>
      <w:r>
        <w:rPr>
          <w:rStyle w:val="FootnoteReference"/>
        </w:rPr>
        <w:footnoteRef/>
      </w:r>
      <w:r>
        <w:t xml:space="preserve"> At first sight, the PW data are a mixture of rules and practices. However, they can be interpreted as an attempt to measure practices if the score “Not permitted” is treated as “0%” use and the score “Required” as “100%” use.</w:t>
      </w:r>
    </w:p>
  </w:footnote>
  <w:footnote w:id="23">
    <w:p w14:paraId="4FADB024" w14:textId="77777777" w:rsidR="00C66C62" w:rsidRDefault="00C66C62" w:rsidP="009C2E77">
      <w:pPr>
        <w:pStyle w:val="FootnoteText"/>
      </w:pPr>
      <w:r>
        <w:rPr>
          <w:rStyle w:val="FootnoteReference"/>
        </w:rPr>
        <w:footnoteRef/>
      </w:r>
      <w:r>
        <w:t xml:space="preserve"> See the debate in Nobes (1992) and </w:t>
      </w:r>
      <w:proofErr w:type="spellStart"/>
      <w:r>
        <w:t>Shoenthal</w:t>
      </w:r>
      <w:proofErr w:type="spellEnd"/>
      <w:r>
        <w:t xml:space="preserve"> (1992).</w:t>
      </w:r>
    </w:p>
  </w:footnote>
  <w:footnote w:id="24">
    <w:p w14:paraId="554B2CBE" w14:textId="77777777" w:rsidR="00C66C62" w:rsidRDefault="00C66C62" w:rsidP="00284572">
      <w:pPr>
        <w:pStyle w:val="FootnoteText"/>
      </w:pPr>
      <w:r>
        <w:rPr>
          <w:rStyle w:val="FootnoteReference"/>
        </w:rPr>
        <w:footnoteRef/>
      </w:r>
      <w:r>
        <w:t xml:space="preserve"> See the debate in Nobes (2003) and Alexander and Archer (2003).</w:t>
      </w:r>
    </w:p>
  </w:footnote>
  <w:footnote w:id="25">
    <w:p w14:paraId="400062CB" w14:textId="77777777" w:rsidR="00C66C62" w:rsidRDefault="00C66C62" w:rsidP="00C054BE">
      <w:pPr>
        <w:pStyle w:val="FootnoteText"/>
      </w:pPr>
      <w:r>
        <w:rPr>
          <w:rStyle w:val="FootnoteReference"/>
        </w:rPr>
        <w:footnoteRef/>
      </w:r>
      <w:r>
        <w:t xml:space="preserve"> “International Accounting Standards” was the correct description at that date.</w:t>
      </w:r>
    </w:p>
  </w:footnote>
  <w:footnote w:id="26">
    <w:p w14:paraId="69DAE38E" w14:textId="617B06B5" w:rsidR="00C66C62" w:rsidRPr="00A31507" w:rsidRDefault="00C66C62" w:rsidP="00C054BE">
      <w:pPr>
        <w:autoSpaceDE w:val="0"/>
        <w:autoSpaceDN w:val="0"/>
        <w:adjustRightInd w:val="0"/>
        <w:spacing w:after="0" w:line="240" w:lineRule="auto"/>
        <w:rPr>
          <w:rFonts w:cs="AdvPS6F00"/>
          <w:color w:val="231F20"/>
          <w:sz w:val="20"/>
          <w:szCs w:val="20"/>
        </w:rPr>
      </w:pPr>
      <w:r w:rsidRPr="00A31507">
        <w:rPr>
          <w:rStyle w:val="FootnoteReference"/>
          <w:sz w:val="20"/>
          <w:szCs w:val="20"/>
        </w:rPr>
        <w:footnoteRef/>
      </w:r>
      <w:r w:rsidRPr="00A31507">
        <w:rPr>
          <w:sz w:val="20"/>
          <w:szCs w:val="20"/>
        </w:rPr>
        <w:t xml:space="preserve"> </w:t>
      </w:r>
      <w:r>
        <w:rPr>
          <w:sz w:val="20"/>
          <w:szCs w:val="20"/>
        </w:rPr>
        <w:t xml:space="preserve">Laws in EU countries were based instead on the Fourth and Seventh Directives on company law. These were incompatible with IAS (see: </w:t>
      </w:r>
      <w:hyperlink r:id="rId2" w:history="1">
        <w:r w:rsidRPr="00E82B29">
          <w:rPr>
            <w:rStyle w:val="Hyperlink"/>
            <w:sz w:val="20"/>
            <w:szCs w:val="20"/>
          </w:rPr>
          <w:t>http://www.iasplus.com/en/binary/resource/feepaper.pdf</w:t>
        </w:r>
      </w:hyperlink>
      <w:r>
        <w:rPr>
          <w:sz w:val="20"/>
          <w:szCs w:val="20"/>
        </w:rPr>
        <w:t xml:space="preserve">; accessed 20.3.2016). </w:t>
      </w:r>
      <w:r w:rsidRPr="00A31507">
        <w:rPr>
          <w:sz w:val="20"/>
          <w:szCs w:val="20"/>
        </w:rPr>
        <w:t xml:space="preserve">In principle, voluntary additional IAS statements could have been published, but this seems highly unlikely for the great majority of private companies. For example, </w:t>
      </w:r>
      <w:proofErr w:type="spellStart"/>
      <w:r>
        <w:rPr>
          <w:rFonts w:cs="AdvPS6F00"/>
          <w:color w:val="231F20"/>
          <w:sz w:val="20"/>
          <w:szCs w:val="20"/>
        </w:rPr>
        <w:t>Sellhorn</w:t>
      </w:r>
      <w:proofErr w:type="spellEnd"/>
      <w:r>
        <w:rPr>
          <w:rFonts w:cs="AdvPS6F00"/>
          <w:color w:val="231F20"/>
          <w:sz w:val="20"/>
          <w:szCs w:val="20"/>
        </w:rPr>
        <w:t xml:space="preserve"> and </w:t>
      </w:r>
      <w:proofErr w:type="spellStart"/>
      <w:r>
        <w:rPr>
          <w:rFonts w:cs="AdvPS6F00"/>
          <w:color w:val="231F20"/>
          <w:sz w:val="20"/>
          <w:szCs w:val="20"/>
        </w:rPr>
        <w:t>Gornik-Tomaszewski</w:t>
      </w:r>
      <w:proofErr w:type="spellEnd"/>
      <w:r>
        <w:rPr>
          <w:rFonts w:cs="AdvPS6F00"/>
          <w:color w:val="231F20"/>
          <w:sz w:val="20"/>
          <w:szCs w:val="20"/>
        </w:rPr>
        <w:t xml:space="preserve"> </w:t>
      </w:r>
      <w:r w:rsidRPr="00A31507">
        <w:rPr>
          <w:rFonts w:cs="AdvPS6F00"/>
          <w:color w:val="231F20"/>
          <w:sz w:val="20"/>
          <w:szCs w:val="20"/>
        </w:rPr>
        <w:t>(2006, p. 208) report that a survey of 600 Ge</w:t>
      </w:r>
      <w:r>
        <w:rPr>
          <w:rFonts w:cs="AdvPS6F00"/>
          <w:color w:val="231F20"/>
          <w:sz w:val="20"/>
          <w:szCs w:val="20"/>
        </w:rPr>
        <w:t xml:space="preserve">rman unlisted firms showed only </w:t>
      </w:r>
      <w:r w:rsidRPr="00A31507">
        <w:rPr>
          <w:rFonts w:cs="AdvPS6F00"/>
          <w:color w:val="231F20"/>
          <w:sz w:val="20"/>
          <w:szCs w:val="20"/>
        </w:rPr>
        <w:t>8% usage of IFRS (</w:t>
      </w:r>
      <w:r>
        <w:rPr>
          <w:rFonts w:cs="AdvPS6F00"/>
          <w:color w:val="231F20"/>
          <w:sz w:val="20"/>
          <w:szCs w:val="20"/>
        </w:rPr>
        <w:t xml:space="preserve">which itself was only </w:t>
      </w:r>
      <w:r w:rsidRPr="00A31507">
        <w:rPr>
          <w:rFonts w:cs="AdvPS6F00"/>
          <w:color w:val="231F20"/>
          <w:sz w:val="20"/>
          <w:szCs w:val="20"/>
        </w:rPr>
        <w:t>achieved by dual reporting) even by 2004</w:t>
      </w:r>
      <w:r w:rsidRPr="00A31507">
        <w:rPr>
          <w:sz w:val="20"/>
          <w:szCs w:val="20"/>
        </w:rPr>
        <w:t>.</w:t>
      </w:r>
    </w:p>
  </w:footnote>
  <w:footnote w:id="27">
    <w:p w14:paraId="0D58A850" w14:textId="77777777" w:rsidR="00C66C62" w:rsidRPr="004F6B79" w:rsidRDefault="00C66C62" w:rsidP="00C054BE">
      <w:pPr>
        <w:spacing w:after="0" w:line="240" w:lineRule="auto"/>
        <w:rPr>
          <w:i/>
          <w:sz w:val="20"/>
          <w:szCs w:val="20"/>
        </w:rPr>
      </w:pPr>
      <w:r w:rsidRPr="002C68CA">
        <w:rPr>
          <w:rStyle w:val="FootnoteReference"/>
          <w:sz w:val="20"/>
          <w:szCs w:val="20"/>
        </w:rPr>
        <w:footnoteRef/>
      </w:r>
      <w:r w:rsidRPr="002C68CA">
        <w:rPr>
          <w:sz w:val="20"/>
          <w:szCs w:val="20"/>
        </w:rPr>
        <w:t xml:space="preserve"> Nobes (2010) examines the issue in greater detail.</w:t>
      </w:r>
    </w:p>
  </w:footnote>
  <w:footnote w:id="28">
    <w:p w14:paraId="1D3DC3DB" w14:textId="77777777" w:rsidR="00C66C62" w:rsidRDefault="00C66C62" w:rsidP="00C054BE">
      <w:pPr>
        <w:pStyle w:val="FootnoteText"/>
      </w:pPr>
      <w:r>
        <w:rPr>
          <w:rStyle w:val="FootnoteReference"/>
        </w:rPr>
        <w:footnoteRef/>
      </w:r>
      <w:r>
        <w:t xml:space="preserve"> Switzerland has never mandatorily adopted IFRS (IFRS Foundation, 2015). About 65% of all Swiss listed companies volunteer to use IFRS. The number is slowly falling (Deloitte, 2014). </w:t>
      </w:r>
    </w:p>
  </w:footnote>
  <w:footnote w:id="29">
    <w:p w14:paraId="658F6446" w14:textId="77777777" w:rsidR="00C66C62" w:rsidRDefault="00C66C62" w:rsidP="00C054BE">
      <w:pPr>
        <w:pStyle w:val="FootnoteText"/>
      </w:pPr>
      <w:r>
        <w:rPr>
          <w:rStyle w:val="FootnoteReference"/>
        </w:rPr>
        <w:footnoteRef/>
      </w:r>
      <w:r>
        <w:t xml:space="preserve"> I am grateful to Stephen </w:t>
      </w:r>
      <w:proofErr w:type="spellStart"/>
      <w:r>
        <w:t>Zeff</w:t>
      </w:r>
      <w:proofErr w:type="spellEnd"/>
      <w:r>
        <w:t xml:space="preserve"> for discovering this as part of our work on Nobes and </w:t>
      </w:r>
      <w:proofErr w:type="spellStart"/>
      <w:r>
        <w:t>Zeff</w:t>
      </w:r>
      <w:proofErr w:type="spellEnd"/>
      <w:r>
        <w:t xml:space="preserve"> (2016).</w:t>
      </w:r>
    </w:p>
  </w:footnote>
  <w:footnote w:id="30">
    <w:p w14:paraId="4906C8B7" w14:textId="0481F1FC" w:rsidR="00C66C62" w:rsidRDefault="00C66C62">
      <w:pPr>
        <w:pStyle w:val="FootnoteText"/>
      </w:pPr>
      <w:r>
        <w:rPr>
          <w:rStyle w:val="FootnoteReference"/>
        </w:rPr>
        <w:footnoteRef/>
      </w:r>
      <w:r>
        <w:t xml:space="preserve"> I am grateful to Brian Singleton-Green for pointing this out, and for drawing my attention to the issue concerning “public enforcement” below.</w:t>
      </w:r>
    </w:p>
  </w:footnote>
  <w:footnote w:id="31">
    <w:p w14:paraId="244EF4EA" w14:textId="77777777" w:rsidR="00C66C62" w:rsidRDefault="00C66C62">
      <w:pPr>
        <w:pStyle w:val="FootnoteText"/>
      </w:pPr>
      <w:r>
        <w:rPr>
          <w:rStyle w:val="FootnoteReference"/>
        </w:rPr>
        <w:footnoteRef/>
      </w:r>
      <w:r>
        <w:t xml:space="preserve"> La Porta </w:t>
      </w:r>
      <w:r w:rsidRPr="00F456FC">
        <w:rPr>
          <w:i/>
        </w:rPr>
        <w:t>et al.</w:t>
      </w:r>
      <w:r>
        <w:t xml:space="preserve"> (2006, p. 5) refer to 49 respondents to questionnaires sent to 49 countries.</w:t>
      </w:r>
    </w:p>
  </w:footnote>
  <w:footnote w:id="32">
    <w:p w14:paraId="04168616" w14:textId="77777777" w:rsidR="00C66C62" w:rsidRDefault="00C66C62">
      <w:pPr>
        <w:pStyle w:val="FootnoteText"/>
      </w:pPr>
      <w:r>
        <w:rPr>
          <w:rStyle w:val="FootnoteReference"/>
        </w:rPr>
        <w:footnoteRef/>
      </w:r>
      <w:r>
        <w:t xml:space="preserve"> </w:t>
      </w:r>
      <w:r>
        <w:rPr>
          <w:szCs w:val="24"/>
        </w:rPr>
        <w:t>The Financial Supervisory Authority was set up in 1998 (</w:t>
      </w:r>
      <w:proofErr w:type="spellStart"/>
      <w:r>
        <w:rPr>
          <w:szCs w:val="24"/>
        </w:rPr>
        <w:t>Briault</w:t>
      </w:r>
      <w:proofErr w:type="spellEnd"/>
      <w:r>
        <w:rPr>
          <w:szCs w:val="24"/>
        </w:rPr>
        <w:t xml:space="preserve">, 1999, p. 12), to be replaced by the Financial Services Agency in 2000 (Hoshi and Ito, 2004, p. 230). </w:t>
      </w:r>
    </w:p>
  </w:footnote>
  <w:footnote w:id="33">
    <w:p w14:paraId="6F229BA2" w14:textId="77777777" w:rsidR="00C66C62" w:rsidRDefault="00C66C62">
      <w:pPr>
        <w:pStyle w:val="FootnoteText"/>
      </w:pPr>
      <w:r>
        <w:rPr>
          <w:rStyle w:val="FootnoteReference"/>
        </w:rPr>
        <w:footnoteRef/>
      </w:r>
      <w:r>
        <w:t xml:space="preserve"> A private-sector Financial Reporting Review Panel, set up in 1990, which can take companies to court for ‘defective accounts’.</w:t>
      </w:r>
    </w:p>
  </w:footnote>
  <w:footnote w:id="34">
    <w:p w14:paraId="1DB9850C" w14:textId="77777777" w:rsidR="00C66C62" w:rsidRDefault="00C66C62" w:rsidP="003A7F98">
      <w:pPr>
        <w:pStyle w:val="FootnoteText"/>
      </w:pPr>
      <w:r>
        <w:rPr>
          <w:rStyle w:val="FootnoteReference"/>
        </w:rPr>
        <w:footnoteRef/>
      </w:r>
      <w:r>
        <w:t xml:space="preserve"> The items considered are: the existence of deferred taxes and substance over form, the non-existence of accelerated depreciation, and the independence from tax laws of amortization periods and lease capitalisation. </w:t>
      </w:r>
    </w:p>
  </w:footnote>
  <w:footnote w:id="35">
    <w:p w14:paraId="7131E61D" w14:textId="77777777" w:rsidR="00C66C62" w:rsidRDefault="00C66C62">
      <w:pPr>
        <w:pStyle w:val="FootnoteText"/>
      </w:pPr>
      <w:r>
        <w:rPr>
          <w:rStyle w:val="FootnoteReference"/>
        </w:rPr>
        <w:footnoteRef/>
      </w:r>
      <w:r>
        <w:t xml:space="preserve"> The only exception is that Alford </w:t>
      </w:r>
      <w:r w:rsidRPr="004B0C9C">
        <w:rPr>
          <w:i/>
        </w:rPr>
        <w:t>et al.</w:t>
      </w:r>
      <w:r>
        <w:t xml:space="preserve"> classify Norway as having high BTC. However, difference might be explained by Hoogendoorn (1996) and Nobes and </w:t>
      </w:r>
      <w:proofErr w:type="spellStart"/>
      <w:r>
        <w:t>Schwencke’s</w:t>
      </w:r>
      <w:proofErr w:type="spellEnd"/>
      <w:r>
        <w:t xml:space="preserve"> (2006) study which shows a gradual change in Norway, but particularly from a tax reform of 1992. </w:t>
      </w:r>
    </w:p>
  </w:footnote>
  <w:footnote w:id="36">
    <w:p w14:paraId="2255CEB0" w14:textId="77777777" w:rsidR="00C66C62" w:rsidRDefault="00C66C62" w:rsidP="00BD68F5">
      <w:pPr>
        <w:pStyle w:val="FootnoteText"/>
      </w:pPr>
      <w:r>
        <w:rPr>
          <w:rStyle w:val="FootnoteReference"/>
        </w:rPr>
        <w:footnoteRef/>
      </w:r>
      <w:r>
        <w:t xml:space="preserve"> The authors refer to this as the root mean squared error. </w:t>
      </w:r>
    </w:p>
  </w:footnote>
  <w:footnote w:id="37">
    <w:p w14:paraId="50E6FBFF" w14:textId="77777777" w:rsidR="00C66C62" w:rsidRDefault="00C66C62">
      <w:pPr>
        <w:pStyle w:val="FootnoteText"/>
      </w:pPr>
      <w:r>
        <w:rPr>
          <w:rStyle w:val="FootnoteReference"/>
        </w:rPr>
        <w:footnoteRef/>
      </w:r>
      <w:r>
        <w:t xml:space="preserve"> I am most grateful to </w:t>
      </w:r>
      <w:proofErr w:type="spellStart"/>
      <w:r>
        <w:t>Erlend</w:t>
      </w:r>
      <w:proofErr w:type="spellEnd"/>
      <w:r>
        <w:t xml:space="preserve"> </w:t>
      </w:r>
      <w:proofErr w:type="spellStart"/>
      <w:r>
        <w:t>Kvaal</w:t>
      </w:r>
      <w:proofErr w:type="spellEnd"/>
      <w:r>
        <w:t xml:space="preserve"> (Norwegian Business School) for assistance with this sub-section of the paper.</w:t>
      </w:r>
    </w:p>
  </w:footnote>
  <w:footnote w:id="38">
    <w:p w14:paraId="485E391B" w14:textId="2F0E5220" w:rsidR="00C66C62" w:rsidRDefault="00C66C62">
      <w:pPr>
        <w:pStyle w:val="FootnoteText"/>
      </w:pPr>
      <w:r>
        <w:rPr>
          <w:rStyle w:val="FootnoteReference"/>
        </w:rPr>
        <w:footnoteRef/>
      </w:r>
      <w:r>
        <w:t xml:space="preserve"> I acknowledge here the continuing help of many colleagues and co-authors. My longest-serving helpers have been the late Bob Parker and Steve </w:t>
      </w:r>
      <w:proofErr w:type="spellStart"/>
      <w:r>
        <w:t>Zeff</w:t>
      </w:r>
      <w:proofErr w:type="spellEnd"/>
      <w:r>
        <w:t xml:space="preserve"> whose criticism has been both fearless and merciless, which is a priceless combination.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19023"/>
      <w:docPartObj>
        <w:docPartGallery w:val="Page Numbers (Top of Page)"/>
        <w:docPartUnique/>
      </w:docPartObj>
    </w:sdtPr>
    <w:sdtEndPr>
      <w:rPr>
        <w:noProof/>
      </w:rPr>
    </w:sdtEndPr>
    <w:sdtContent>
      <w:p w14:paraId="1367CF24" w14:textId="4438D204" w:rsidR="00C66C62" w:rsidRDefault="00C66C62">
        <w:pPr>
          <w:pStyle w:val="Header"/>
          <w:jc w:val="right"/>
        </w:pPr>
        <w:r>
          <w:fldChar w:fldCharType="begin"/>
        </w:r>
        <w:r>
          <w:instrText xml:space="preserve"> PAGE   \* MERGEFORMAT </w:instrText>
        </w:r>
        <w:r>
          <w:fldChar w:fldCharType="separate"/>
        </w:r>
        <w:r w:rsidR="00D86CCC">
          <w:rPr>
            <w:noProof/>
          </w:rPr>
          <w:t>54</w:t>
        </w:r>
        <w:r>
          <w:rPr>
            <w:noProof/>
          </w:rPr>
          <w:fldChar w:fldCharType="end"/>
        </w:r>
      </w:p>
    </w:sdtContent>
  </w:sdt>
  <w:p w14:paraId="108242A4" w14:textId="77777777" w:rsidR="00C66C62" w:rsidRDefault="00C66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85770"/>
      <w:docPartObj>
        <w:docPartGallery w:val="Page Numbers (Top of Page)"/>
        <w:docPartUnique/>
      </w:docPartObj>
    </w:sdtPr>
    <w:sdtEndPr>
      <w:rPr>
        <w:noProof/>
      </w:rPr>
    </w:sdtEndPr>
    <w:sdtContent>
      <w:p w14:paraId="24EE2A31" w14:textId="77777777" w:rsidR="00C66C62" w:rsidRDefault="00C66C62">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14:paraId="5FD55F7C" w14:textId="77777777" w:rsidR="00C66C62" w:rsidRDefault="00C66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209783"/>
      <w:docPartObj>
        <w:docPartGallery w:val="Page Numbers (Top of Page)"/>
        <w:docPartUnique/>
      </w:docPartObj>
    </w:sdtPr>
    <w:sdtEndPr>
      <w:rPr>
        <w:noProof/>
      </w:rPr>
    </w:sdtEndPr>
    <w:sdtContent>
      <w:p w14:paraId="7EF0EC19" w14:textId="77777777" w:rsidR="00C66C62" w:rsidRDefault="00C66C62">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14:paraId="7B9E7762" w14:textId="77777777" w:rsidR="00C66C62" w:rsidRDefault="00C66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75A"/>
    <w:multiLevelType w:val="hybridMultilevel"/>
    <w:tmpl w:val="C4D4832E"/>
    <w:lvl w:ilvl="0" w:tplc="A536A3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3E8"/>
    <w:multiLevelType w:val="hybridMultilevel"/>
    <w:tmpl w:val="8D32488E"/>
    <w:lvl w:ilvl="0" w:tplc="EFDC869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1038AA"/>
    <w:multiLevelType w:val="multilevel"/>
    <w:tmpl w:val="3A5E8892"/>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5D4128B"/>
    <w:multiLevelType w:val="multilevel"/>
    <w:tmpl w:val="24A6358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63513F0"/>
    <w:multiLevelType w:val="multilevel"/>
    <w:tmpl w:val="27A8A9E8"/>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A0F4F5B"/>
    <w:multiLevelType w:val="multilevel"/>
    <w:tmpl w:val="8EAA7E4C"/>
    <w:lvl w:ilvl="0">
      <w:start w:val="1"/>
      <w:numFmt w:val="decimal"/>
      <w:lvlText w:val="%1."/>
      <w:lvlJc w:val="left"/>
      <w:pPr>
        <w:ind w:left="108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8984D64"/>
    <w:multiLevelType w:val="hybridMultilevel"/>
    <w:tmpl w:val="E6CA535C"/>
    <w:lvl w:ilvl="0" w:tplc="FEFA6408">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D2D4C"/>
    <w:multiLevelType w:val="hybridMultilevel"/>
    <w:tmpl w:val="364EA238"/>
    <w:lvl w:ilvl="0" w:tplc="EC900D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E154A"/>
    <w:multiLevelType w:val="multilevel"/>
    <w:tmpl w:val="8EAA7E4C"/>
    <w:lvl w:ilvl="0">
      <w:start w:val="1"/>
      <w:numFmt w:val="decimal"/>
      <w:lvlText w:val="%1."/>
      <w:lvlJc w:val="left"/>
      <w:pPr>
        <w:ind w:left="108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D9B5363"/>
    <w:multiLevelType w:val="hybridMultilevel"/>
    <w:tmpl w:val="10C4AFA0"/>
    <w:lvl w:ilvl="0" w:tplc="3C48E8FE">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363F9A"/>
    <w:multiLevelType w:val="multilevel"/>
    <w:tmpl w:val="5A6AFB14"/>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BD77859"/>
    <w:multiLevelType w:val="multilevel"/>
    <w:tmpl w:val="A0C08FA2"/>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2"/>
  </w:num>
  <w:num w:numId="3">
    <w:abstractNumId w:val="3"/>
  </w:num>
  <w:num w:numId="4">
    <w:abstractNumId w:val="10"/>
  </w:num>
  <w:num w:numId="5">
    <w:abstractNumId w:val="1"/>
  </w:num>
  <w:num w:numId="6">
    <w:abstractNumId w:val="11"/>
  </w:num>
  <w:num w:numId="7">
    <w:abstractNumId w:val="7"/>
  </w:num>
  <w:num w:numId="8">
    <w:abstractNumId w:val="0"/>
  </w:num>
  <w:num w:numId="9">
    <w:abstractNumId w:val="4"/>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95"/>
    <w:rsid w:val="0000030F"/>
    <w:rsid w:val="00000A3A"/>
    <w:rsid w:val="000049E9"/>
    <w:rsid w:val="00004EF4"/>
    <w:rsid w:val="00012C4B"/>
    <w:rsid w:val="000160D5"/>
    <w:rsid w:val="000171C3"/>
    <w:rsid w:val="000210D1"/>
    <w:rsid w:val="00023B1A"/>
    <w:rsid w:val="00026601"/>
    <w:rsid w:val="00034832"/>
    <w:rsid w:val="00044CE1"/>
    <w:rsid w:val="00046408"/>
    <w:rsid w:val="00046C38"/>
    <w:rsid w:val="0004755A"/>
    <w:rsid w:val="00050856"/>
    <w:rsid w:val="00051992"/>
    <w:rsid w:val="00060924"/>
    <w:rsid w:val="000627CD"/>
    <w:rsid w:val="00064DEF"/>
    <w:rsid w:val="0006526C"/>
    <w:rsid w:val="00065CC1"/>
    <w:rsid w:val="00066B9C"/>
    <w:rsid w:val="00070584"/>
    <w:rsid w:val="00076098"/>
    <w:rsid w:val="000775D7"/>
    <w:rsid w:val="000854DA"/>
    <w:rsid w:val="00094316"/>
    <w:rsid w:val="000A09FB"/>
    <w:rsid w:val="000A35E6"/>
    <w:rsid w:val="000B00C1"/>
    <w:rsid w:val="000B21CE"/>
    <w:rsid w:val="000B3707"/>
    <w:rsid w:val="000C11D6"/>
    <w:rsid w:val="000C2106"/>
    <w:rsid w:val="000C2A24"/>
    <w:rsid w:val="000E3570"/>
    <w:rsid w:val="000F2553"/>
    <w:rsid w:val="000F37E8"/>
    <w:rsid w:val="00106740"/>
    <w:rsid w:val="0010765F"/>
    <w:rsid w:val="001134E5"/>
    <w:rsid w:val="00121D9E"/>
    <w:rsid w:val="0012341D"/>
    <w:rsid w:val="00125369"/>
    <w:rsid w:val="0012550D"/>
    <w:rsid w:val="00136A93"/>
    <w:rsid w:val="001439C3"/>
    <w:rsid w:val="00147BEA"/>
    <w:rsid w:val="001540C6"/>
    <w:rsid w:val="001548D6"/>
    <w:rsid w:val="0015736A"/>
    <w:rsid w:val="00162D3E"/>
    <w:rsid w:val="0016473B"/>
    <w:rsid w:val="0016740C"/>
    <w:rsid w:val="001824B4"/>
    <w:rsid w:val="001856E4"/>
    <w:rsid w:val="001931A3"/>
    <w:rsid w:val="00195F1B"/>
    <w:rsid w:val="00197932"/>
    <w:rsid w:val="001B62E9"/>
    <w:rsid w:val="001B76A3"/>
    <w:rsid w:val="001C2B84"/>
    <w:rsid w:val="001C5EE9"/>
    <w:rsid w:val="001D688F"/>
    <w:rsid w:val="001E238E"/>
    <w:rsid w:val="001E3C9C"/>
    <w:rsid w:val="001E568F"/>
    <w:rsid w:val="001F2639"/>
    <w:rsid w:val="00201554"/>
    <w:rsid w:val="00201B86"/>
    <w:rsid w:val="00205AA8"/>
    <w:rsid w:val="00205B38"/>
    <w:rsid w:val="002127A1"/>
    <w:rsid w:val="00222716"/>
    <w:rsid w:val="0022351E"/>
    <w:rsid w:val="00230AE4"/>
    <w:rsid w:val="00232527"/>
    <w:rsid w:val="0023344D"/>
    <w:rsid w:val="0025258E"/>
    <w:rsid w:val="00257DFE"/>
    <w:rsid w:val="00261F26"/>
    <w:rsid w:val="0026421E"/>
    <w:rsid w:val="00264A06"/>
    <w:rsid w:val="00266594"/>
    <w:rsid w:val="00271458"/>
    <w:rsid w:val="00271939"/>
    <w:rsid w:val="002741BA"/>
    <w:rsid w:val="00274B04"/>
    <w:rsid w:val="0027708C"/>
    <w:rsid w:val="00284572"/>
    <w:rsid w:val="002900DF"/>
    <w:rsid w:val="002911C8"/>
    <w:rsid w:val="00294DEB"/>
    <w:rsid w:val="00294EE5"/>
    <w:rsid w:val="002A00A9"/>
    <w:rsid w:val="002A3C3B"/>
    <w:rsid w:val="002A54CF"/>
    <w:rsid w:val="002B6855"/>
    <w:rsid w:val="002B7139"/>
    <w:rsid w:val="002C1FBF"/>
    <w:rsid w:val="002C57DB"/>
    <w:rsid w:val="002C68CA"/>
    <w:rsid w:val="002C6A0A"/>
    <w:rsid w:val="002D01AB"/>
    <w:rsid w:val="002D6454"/>
    <w:rsid w:val="002E2AD1"/>
    <w:rsid w:val="002E5D89"/>
    <w:rsid w:val="002F24BD"/>
    <w:rsid w:val="002F355C"/>
    <w:rsid w:val="0030079B"/>
    <w:rsid w:val="00323D2F"/>
    <w:rsid w:val="003363DF"/>
    <w:rsid w:val="00337828"/>
    <w:rsid w:val="00345F33"/>
    <w:rsid w:val="00351951"/>
    <w:rsid w:val="003552BA"/>
    <w:rsid w:val="00370A1A"/>
    <w:rsid w:val="00371D2A"/>
    <w:rsid w:val="003855E7"/>
    <w:rsid w:val="00385B99"/>
    <w:rsid w:val="00387C41"/>
    <w:rsid w:val="00390780"/>
    <w:rsid w:val="00394E8F"/>
    <w:rsid w:val="003974C3"/>
    <w:rsid w:val="003A1248"/>
    <w:rsid w:val="003A7F98"/>
    <w:rsid w:val="003B0CA8"/>
    <w:rsid w:val="003B1D89"/>
    <w:rsid w:val="003B422A"/>
    <w:rsid w:val="003B4F84"/>
    <w:rsid w:val="003B5592"/>
    <w:rsid w:val="003B6FD7"/>
    <w:rsid w:val="003C049F"/>
    <w:rsid w:val="003C52D7"/>
    <w:rsid w:val="003C5504"/>
    <w:rsid w:val="003D0815"/>
    <w:rsid w:val="003D732E"/>
    <w:rsid w:val="003D7EE3"/>
    <w:rsid w:val="003E24DC"/>
    <w:rsid w:val="003E56A1"/>
    <w:rsid w:val="003E5B9E"/>
    <w:rsid w:val="003F12EE"/>
    <w:rsid w:val="003F317F"/>
    <w:rsid w:val="00400549"/>
    <w:rsid w:val="00405041"/>
    <w:rsid w:val="0040508A"/>
    <w:rsid w:val="004068A8"/>
    <w:rsid w:val="004127F1"/>
    <w:rsid w:val="004329ED"/>
    <w:rsid w:val="00443E7A"/>
    <w:rsid w:val="004444D0"/>
    <w:rsid w:val="00451F8E"/>
    <w:rsid w:val="0045245E"/>
    <w:rsid w:val="00456467"/>
    <w:rsid w:val="0045697E"/>
    <w:rsid w:val="00461ABC"/>
    <w:rsid w:val="00462571"/>
    <w:rsid w:val="00464CB8"/>
    <w:rsid w:val="00465062"/>
    <w:rsid w:val="0047166E"/>
    <w:rsid w:val="00474E16"/>
    <w:rsid w:val="00481A27"/>
    <w:rsid w:val="00492B28"/>
    <w:rsid w:val="0049304C"/>
    <w:rsid w:val="00494753"/>
    <w:rsid w:val="004A0EAB"/>
    <w:rsid w:val="004A2EF5"/>
    <w:rsid w:val="004B0C9C"/>
    <w:rsid w:val="004B0DF7"/>
    <w:rsid w:val="004B47F7"/>
    <w:rsid w:val="004B77CC"/>
    <w:rsid w:val="004C492C"/>
    <w:rsid w:val="004C6947"/>
    <w:rsid w:val="004D7C34"/>
    <w:rsid w:val="004E178A"/>
    <w:rsid w:val="004E65CC"/>
    <w:rsid w:val="004F4681"/>
    <w:rsid w:val="004F613E"/>
    <w:rsid w:val="004F6360"/>
    <w:rsid w:val="004F6B79"/>
    <w:rsid w:val="004F6E8B"/>
    <w:rsid w:val="005010FB"/>
    <w:rsid w:val="00502A37"/>
    <w:rsid w:val="005035FF"/>
    <w:rsid w:val="00515F19"/>
    <w:rsid w:val="005204FC"/>
    <w:rsid w:val="005205C6"/>
    <w:rsid w:val="005212B0"/>
    <w:rsid w:val="00521BD5"/>
    <w:rsid w:val="00530C07"/>
    <w:rsid w:val="005337A5"/>
    <w:rsid w:val="00541B68"/>
    <w:rsid w:val="00541D3B"/>
    <w:rsid w:val="00544157"/>
    <w:rsid w:val="00562AD6"/>
    <w:rsid w:val="00572FD4"/>
    <w:rsid w:val="00573344"/>
    <w:rsid w:val="005746E7"/>
    <w:rsid w:val="005750E2"/>
    <w:rsid w:val="00575F12"/>
    <w:rsid w:val="00584D72"/>
    <w:rsid w:val="00586B2E"/>
    <w:rsid w:val="005A22FE"/>
    <w:rsid w:val="005B4813"/>
    <w:rsid w:val="005B7D57"/>
    <w:rsid w:val="005C2891"/>
    <w:rsid w:val="005C31B4"/>
    <w:rsid w:val="005C4D97"/>
    <w:rsid w:val="005C4DD3"/>
    <w:rsid w:val="005C5497"/>
    <w:rsid w:val="005D08CB"/>
    <w:rsid w:val="005D3ECA"/>
    <w:rsid w:val="005D67F2"/>
    <w:rsid w:val="005E006B"/>
    <w:rsid w:val="00604802"/>
    <w:rsid w:val="00606139"/>
    <w:rsid w:val="00607B14"/>
    <w:rsid w:val="00610713"/>
    <w:rsid w:val="0061527C"/>
    <w:rsid w:val="00615AD7"/>
    <w:rsid w:val="00616CB5"/>
    <w:rsid w:val="00620A20"/>
    <w:rsid w:val="00622CBC"/>
    <w:rsid w:val="0062494A"/>
    <w:rsid w:val="00631626"/>
    <w:rsid w:val="00633244"/>
    <w:rsid w:val="006540D6"/>
    <w:rsid w:val="00655B31"/>
    <w:rsid w:val="00657D81"/>
    <w:rsid w:val="0066285A"/>
    <w:rsid w:val="0066322C"/>
    <w:rsid w:val="006656F5"/>
    <w:rsid w:val="00670C52"/>
    <w:rsid w:val="00671350"/>
    <w:rsid w:val="00672186"/>
    <w:rsid w:val="00672814"/>
    <w:rsid w:val="006753ED"/>
    <w:rsid w:val="006820F1"/>
    <w:rsid w:val="00685FA4"/>
    <w:rsid w:val="00692E7A"/>
    <w:rsid w:val="006974DD"/>
    <w:rsid w:val="006A400E"/>
    <w:rsid w:val="006B0694"/>
    <w:rsid w:val="006B0B20"/>
    <w:rsid w:val="006B39B4"/>
    <w:rsid w:val="006B53FA"/>
    <w:rsid w:val="006B5534"/>
    <w:rsid w:val="006B7123"/>
    <w:rsid w:val="006C2970"/>
    <w:rsid w:val="006C739E"/>
    <w:rsid w:val="006C75A8"/>
    <w:rsid w:val="006D785B"/>
    <w:rsid w:val="006E164C"/>
    <w:rsid w:val="006E3E86"/>
    <w:rsid w:val="006E6795"/>
    <w:rsid w:val="006F6566"/>
    <w:rsid w:val="006F7BAD"/>
    <w:rsid w:val="00705541"/>
    <w:rsid w:val="007149F8"/>
    <w:rsid w:val="007208F5"/>
    <w:rsid w:val="007250C6"/>
    <w:rsid w:val="00731397"/>
    <w:rsid w:val="00733B2A"/>
    <w:rsid w:val="00736977"/>
    <w:rsid w:val="007447AA"/>
    <w:rsid w:val="00745381"/>
    <w:rsid w:val="00745AB3"/>
    <w:rsid w:val="00746021"/>
    <w:rsid w:val="0074780D"/>
    <w:rsid w:val="007516B7"/>
    <w:rsid w:val="00752F8C"/>
    <w:rsid w:val="00754E3A"/>
    <w:rsid w:val="00755881"/>
    <w:rsid w:val="00762950"/>
    <w:rsid w:val="00764E50"/>
    <w:rsid w:val="00765A55"/>
    <w:rsid w:val="00766708"/>
    <w:rsid w:val="00767254"/>
    <w:rsid w:val="0077454C"/>
    <w:rsid w:val="00775202"/>
    <w:rsid w:val="00775E82"/>
    <w:rsid w:val="00780081"/>
    <w:rsid w:val="0078053B"/>
    <w:rsid w:val="00782C8A"/>
    <w:rsid w:val="00784673"/>
    <w:rsid w:val="00786787"/>
    <w:rsid w:val="0079044D"/>
    <w:rsid w:val="007961D5"/>
    <w:rsid w:val="00796F84"/>
    <w:rsid w:val="007A19DD"/>
    <w:rsid w:val="007A2C44"/>
    <w:rsid w:val="007A73C8"/>
    <w:rsid w:val="007B0409"/>
    <w:rsid w:val="007B55DD"/>
    <w:rsid w:val="007C310E"/>
    <w:rsid w:val="007C6969"/>
    <w:rsid w:val="007C6F6C"/>
    <w:rsid w:val="007D2783"/>
    <w:rsid w:val="007D4095"/>
    <w:rsid w:val="007E5020"/>
    <w:rsid w:val="007E5495"/>
    <w:rsid w:val="007E6A95"/>
    <w:rsid w:val="007E7DAC"/>
    <w:rsid w:val="007F0580"/>
    <w:rsid w:val="007F14CA"/>
    <w:rsid w:val="007F56C5"/>
    <w:rsid w:val="00801D27"/>
    <w:rsid w:val="00817E21"/>
    <w:rsid w:val="0082382F"/>
    <w:rsid w:val="00823EF7"/>
    <w:rsid w:val="00827D6B"/>
    <w:rsid w:val="00832122"/>
    <w:rsid w:val="00837F3B"/>
    <w:rsid w:val="008408F9"/>
    <w:rsid w:val="008447BE"/>
    <w:rsid w:val="00850371"/>
    <w:rsid w:val="00852537"/>
    <w:rsid w:val="00860BD3"/>
    <w:rsid w:val="008657E0"/>
    <w:rsid w:val="00872D21"/>
    <w:rsid w:val="00872DA5"/>
    <w:rsid w:val="00873B2E"/>
    <w:rsid w:val="00876B3F"/>
    <w:rsid w:val="00894CCE"/>
    <w:rsid w:val="00897442"/>
    <w:rsid w:val="008A2AA2"/>
    <w:rsid w:val="008A54E3"/>
    <w:rsid w:val="008A63B7"/>
    <w:rsid w:val="008C5D6E"/>
    <w:rsid w:val="008C6A61"/>
    <w:rsid w:val="008D5A3B"/>
    <w:rsid w:val="008E0F74"/>
    <w:rsid w:val="008E2944"/>
    <w:rsid w:val="008E4ED7"/>
    <w:rsid w:val="008F0DF5"/>
    <w:rsid w:val="008F205D"/>
    <w:rsid w:val="008F2C05"/>
    <w:rsid w:val="008F3EF4"/>
    <w:rsid w:val="008F639B"/>
    <w:rsid w:val="00900AA2"/>
    <w:rsid w:val="00907A25"/>
    <w:rsid w:val="00907CF7"/>
    <w:rsid w:val="009127B0"/>
    <w:rsid w:val="00914A37"/>
    <w:rsid w:val="009157EC"/>
    <w:rsid w:val="00916B18"/>
    <w:rsid w:val="00922D8E"/>
    <w:rsid w:val="00925E02"/>
    <w:rsid w:val="00934179"/>
    <w:rsid w:val="009354C2"/>
    <w:rsid w:val="00936DA4"/>
    <w:rsid w:val="00937ED6"/>
    <w:rsid w:val="00950846"/>
    <w:rsid w:val="00961FA2"/>
    <w:rsid w:val="00970822"/>
    <w:rsid w:val="009708B7"/>
    <w:rsid w:val="009741D1"/>
    <w:rsid w:val="00976E0F"/>
    <w:rsid w:val="0098019B"/>
    <w:rsid w:val="00980575"/>
    <w:rsid w:val="009817CF"/>
    <w:rsid w:val="00991783"/>
    <w:rsid w:val="009A075A"/>
    <w:rsid w:val="009A3768"/>
    <w:rsid w:val="009A67FF"/>
    <w:rsid w:val="009B4A50"/>
    <w:rsid w:val="009B5824"/>
    <w:rsid w:val="009C0132"/>
    <w:rsid w:val="009C15D2"/>
    <w:rsid w:val="009C2E77"/>
    <w:rsid w:val="009C2FB9"/>
    <w:rsid w:val="009C56F0"/>
    <w:rsid w:val="009C70F9"/>
    <w:rsid w:val="009C75B1"/>
    <w:rsid w:val="009D2043"/>
    <w:rsid w:val="009D28DE"/>
    <w:rsid w:val="009E1A1D"/>
    <w:rsid w:val="009E20A1"/>
    <w:rsid w:val="009E7590"/>
    <w:rsid w:val="009F0320"/>
    <w:rsid w:val="009F1B4B"/>
    <w:rsid w:val="009F28A0"/>
    <w:rsid w:val="00A005EC"/>
    <w:rsid w:val="00A0394A"/>
    <w:rsid w:val="00A04CAA"/>
    <w:rsid w:val="00A0607F"/>
    <w:rsid w:val="00A10AE6"/>
    <w:rsid w:val="00A20DD9"/>
    <w:rsid w:val="00A26720"/>
    <w:rsid w:val="00A2766A"/>
    <w:rsid w:val="00A31507"/>
    <w:rsid w:val="00A41FAB"/>
    <w:rsid w:val="00A4244C"/>
    <w:rsid w:val="00A51F07"/>
    <w:rsid w:val="00A5220D"/>
    <w:rsid w:val="00A529C7"/>
    <w:rsid w:val="00A54632"/>
    <w:rsid w:val="00A62D2C"/>
    <w:rsid w:val="00A6571A"/>
    <w:rsid w:val="00A72FDA"/>
    <w:rsid w:val="00A75C8F"/>
    <w:rsid w:val="00A91CCB"/>
    <w:rsid w:val="00A927C9"/>
    <w:rsid w:val="00A93091"/>
    <w:rsid w:val="00AA1810"/>
    <w:rsid w:val="00AA30ED"/>
    <w:rsid w:val="00AA76A8"/>
    <w:rsid w:val="00AB13E6"/>
    <w:rsid w:val="00AB3671"/>
    <w:rsid w:val="00AC159E"/>
    <w:rsid w:val="00AC4421"/>
    <w:rsid w:val="00AC6489"/>
    <w:rsid w:val="00AD4648"/>
    <w:rsid w:val="00AE2D65"/>
    <w:rsid w:val="00AE5A96"/>
    <w:rsid w:val="00AF2D2C"/>
    <w:rsid w:val="00AF5968"/>
    <w:rsid w:val="00B037B7"/>
    <w:rsid w:val="00B111EB"/>
    <w:rsid w:val="00B13DFD"/>
    <w:rsid w:val="00B21952"/>
    <w:rsid w:val="00B24A7A"/>
    <w:rsid w:val="00B25B30"/>
    <w:rsid w:val="00B267A6"/>
    <w:rsid w:val="00B279C6"/>
    <w:rsid w:val="00B3379E"/>
    <w:rsid w:val="00B3461B"/>
    <w:rsid w:val="00B36C15"/>
    <w:rsid w:val="00B43751"/>
    <w:rsid w:val="00B46A54"/>
    <w:rsid w:val="00B662DD"/>
    <w:rsid w:val="00B67F36"/>
    <w:rsid w:val="00B82649"/>
    <w:rsid w:val="00B85DC8"/>
    <w:rsid w:val="00B97527"/>
    <w:rsid w:val="00BA1E09"/>
    <w:rsid w:val="00BB3C4E"/>
    <w:rsid w:val="00BC4084"/>
    <w:rsid w:val="00BC4708"/>
    <w:rsid w:val="00BD3A1A"/>
    <w:rsid w:val="00BD5F3C"/>
    <w:rsid w:val="00BD68F5"/>
    <w:rsid w:val="00BE1021"/>
    <w:rsid w:val="00BF022A"/>
    <w:rsid w:val="00C035D5"/>
    <w:rsid w:val="00C054BE"/>
    <w:rsid w:val="00C11C35"/>
    <w:rsid w:val="00C12A95"/>
    <w:rsid w:val="00C14EB3"/>
    <w:rsid w:val="00C154F0"/>
    <w:rsid w:val="00C232C5"/>
    <w:rsid w:val="00C31231"/>
    <w:rsid w:val="00C60C12"/>
    <w:rsid w:val="00C656C3"/>
    <w:rsid w:val="00C66C62"/>
    <w:rsid w:val="00C678F0"/>
    <w:rsid w:val="00C77DD8"/>
    <w:rsid w:val="00C8218F"/>
    <w:rsid w:val="00C91683"/>
    <w:rsid w:val="00C92EE7"/>
    <w:rsid w:val="00CA0359"/>
    <w:rsid w:val="00CB312E"/>
    <w:rsid w:val="00CB42F8"/>
    <w:rsid w:val="00CB7C6F"/>
    <w:rsid w:val="00CC7794"/>
    <w:rsid w:val="00CE0396"/>
    <w:rsid w:val="00CE2AD4"/>
    <w:rsid w:val="00CE41CB"/>
    <w:rsid w:val="00CE7A70"/>
    <w:rsid w:val="00CF44F4"/>
    <w:rsid w:val="00CF53D7"/>
    <w:rsid w:val="00CF5B2D"/>
    <w:rsid w:val="00D001CA"/>
    <w:rsid w:val="00D05813"/>
    <w:rsid w:val="00D12694"/>
    <w:rsid w:val="00D129C7"/>
    <w:rsid w:val="00D142A5"/>
    <w:rsid w:val="00D15E9F"/>
    <w:rsid w:val="00D16D16"/>
    <w:rsid w:val="00D219DB"/>
    <w:rsid w:val="00D30299"/>
    <w:rsid w:val="00D3210B"/>
    <w:rsid w:val="00D36192"/>
    <w:rsid w:val="00D460A7"/>
    <w:rsid w:val="00D5683C"/>
    <w:rsid w:val="00D71982"/>
    <w:rsid w:val="00D73B56"/>
    <w:rsid w:val="00D8185A"/>
    <w:rsid w:val="00D86A41"/>
    <w:rsid w:val="00D86CCC"/>
    <w:rsid w:val="00D916D9"/>
    <w:rsid w:val="00D92985"/>
    <w:rsid w:val="00D9442E"/>
    <w:rsid w:val="00DA02DA"/>
    <w:rsid w:val="00DA692C"/>
    <w:rsid w:val="00DA704A"/>
    <w:rsid w:val="00DB7964"/>
    <w:rsid w:val="00DC0FDD"/>
    <w:rsid w:val="00DD0D17"/>
    <w:rsid w:val="00DD36EF"/>
    <w:rsid w:val="00DE49A3"/>
    <w:rsid w:val="00DF0B73"/>
    <w:rsid w:val="00DF7D28"/>
    <w:rsid w:val="00E07023"/>
    <w:rsid w:val="00E07B58"/>
    <w:rsid w:val="00E12139"/>
    <w:rsid w:val="00E128E3"/>
    <w:rsid w:val="00E12CBA"/>
    <w:rsid w:val="00E160F9"/>
    <w:rsid w:val="00E31FF4"/>
    <w:rsid w:val="00E320CC"/>
    <w:rsid w:val="00E32B04"/>
    <w:rsid w:val="00E40D7B"/>
    <w:rsid w:val="00E43A8C"/>
    <w:rsid w:val="00E52888"/>
    <w:rsid w:val="00E56800"/>
    <w:rsid w:val="00E60AD0"/>
    <w:rsid w:val="00E62AC4"/>
    <w:rsid w:val="00E718D0"/>
    <w:rsid w:val="00E71DF1"/>
    <w:rsid w:val="00E72334"/>
    <w:rsid w:val="00E74552"/>
    <w:rsid w:val="00E77266"/>
    <w:rsid w:val="00E86F35"/>
    <w:rsid w:val="00E871F1"/>
    <w:rsid w:val="00E8757C"/>
    <w:rsid w:val="00E90024"/>
    <w:rsid w:val="00E944DD"/>
    <w:rsid w:val="00E94644"/>
    <w:rsid w:val="00E95771"/>
    <w:rsid w:val="00E97794"/>
    <w:rsid w:val="00EA3BFC"/>
    <w:rsid w:val="00EA6B40"/>
    <w:rsid w:val="00EB4499"/>
    <w:rsid w:val="00EB55AD"/>
    <w:rsid w:val="00EB6BA7"/>
    <w:rsid w:val="00EC3BDB"/>
    <w:rsid w:val="00EC43E5"/>
    <w:rsid w:val="00EC5A26"/>
    <w:rsid w:val="00EC70DD"/>
    <w:rsid w:val="00ED72B7"/>
    <w:rsid w:val="00EE54B4"/>
    <w:rsid w:val="00EF0EE2"/>
    <w:rsid w:val="00EF36FB"/>
    <w:rsid w:val="00EF5BCC"/>
    <w:rsid w:val="00F01401"/>
    <w:rsid w:val="00F10B82"/>
    <w:rsid w:val="00F1713A"/>
    <w:rsid w:val="00F23A4E"/>
    <w:rsid w:val="00F2752B"/>
    <w:rsid w:val="00F34E47"/>
    <w:rsid w:val="00F3709D"/>
    <w:rsid w:val="00F40126"/>
    <w:rsid w:val="00F426A3"/>
    <w:rsid w:val="00F4284A"/>
    <w:rsid w:val="00F44BD4"/>
    <w:rsid w:val="00F4527E"/>
    <w:rsid w:val="00F456FC"/>
    <w:rsid w:val="00F524AC"/>
    <w:rsid w:val="00F56877"/>
    <w:rsid w:val="00F569B5"/>
    <w:rsid w:val="00F6041C"/>
    <w:rsid w:val="00F66130"/>
    <w:rsid w:val="00F67E7C"/>
    <w:rsid w:val="00F71FD8"/>
    <w:rsid w:val="00F71FE6"/>
    <w:rsid w:val="00F729B5"/>
    <w:rsid w:val="00F7479C"/>
    <w:rsid w:val="00F75163"/>
    <w:rsid w:val="00F758FC"/>
    <w:rsid w:val="00F8015D"/>
    <w:rsid w:val="00F836BD"/>
    <w:rsid w:val="00F879A0"/>
    <w:rsid w:val="00F87B65"/>
    <w:rsid w:val="00F9286D"/>
    <w:rsid w:val="00F95AF6"/>
    <w:rsid w:val="00FA3DF6"/>
    <w:rsid w:val="00FA5CBE"/>
    <w:rsid w:val="00FC066A"/>
    <w:rsid w:val="00FC1B4A"/>
    <w:rsid w:val="00FC22E1"/>
    <w:rsid w:val="00FC3472"/>
    <w:rsid w:val="00FC6EA0"/>
    <w:rsid w:val="00FD1727"/>
    <w:rsid w:val="00FD471A"/>
    <w:rsid w:val="00FD7B14"/>
    <w:rsid w:val="00FE1CC8"/>
    <w:rsid w:val="00FE3E4F"/>
    <w:rsid w:val="00FE3ECC"/>
    <w:rsid w:val="00FE5845"/>
    <w:rsid w:val="00FE6881"/>
    <w:rsid w:val="00FE73A1"/>
    <w:rsid w:val="00FF46A3"/>
    <w:rsid w:val="00FF538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C5EF"/>
  <w15:docId w15:val="{74798B4C-ED63-4DDE-A75C-23AA647F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1C"/>
  </w:style>
  <w:style w:type="paragraph" w:styleId="Heading1">
    <w:name w:val="heading 1"/>
    <w:basedOn w:val="Normal"/>
    <w:next w:val="Normal"/>
    <w:link w:val="Heading1Char"/>
    <w:uiPriority w:val="9"/>
    <w:qFormat/>
    <w:rsid w:val="00970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64C"/>
  </w:style>
  <w:style w:type="paragraph" w:styleId="Footer">
    <w:name w:val="footer"/>
    <w:basedOn w:val="Normal"/>
    <w:link w:val="FooterChar"/>
    <w:uiPriority w:val="99"/>
    <w:unhideWhenUsed/>
    <w:rsid w:val="006E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64C"/>
  </w:style>
  <w:style w:type="table" w:styleId="TableGrid">
    <w:name w:val="Table Grid"/>
    <w:basedOn w:val="TableNormal"/>
    <w:uiPriority w:val="59"/>
    <w:rsid w:val="0090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Furtherreading">
    <w:name w:val="References/Further reading"/>
    <w:basedOn w:val="Normal"/>
    <w:link w:val="ReferencesFurtherreadingChar"/>
    <w:uiPriority w:val="99"/>
    <w:rsid w:val="00970822"/>
    <w:pPr>
      <w:spacing w:after="0"/>
      <w:ind w:left="397" w:hanging="397"/>
    </w:pPr>
    <w:rPr>
      <w:rFonts w:ascii="Times New Roman" w:eastAsia="Times New Roman" w:hAnsi="Times New Roman" w:cs="Times New Roman"/>
      <w:sz w:val="22"/>
      <w:szCs w:val="20"/>
      <w:lang w:val="en-US"/>
    </w:rPr>
  </w:style>
  <w:style w:type="paragraph" w:customStyle="1" w:styleId="Aheading">
    <w:name w:val="A heading"/>
    <w:basedOn w:val="Heading1"/>
    <w:next w:val="Normal"/>
    <w:link w:val="AheadingChar"/>
    <w:autoRedefine/>
    <w:uiPriority w:val="99"/>
    <w:rsid w:val="00970822"/>
    <w:pPr>
      <w:keepNext w:val="0"/>
      <w:keepLines w:val="0"/>
      <w:widowControl w:val="0"/>
      <w:spacing w:before="440" w:after="240" w:line="240" w:lineRule="auto"/>
      <w:outlineLvl w:val="9"/>
    </w:pPr>
    <w:rPr>
      <w:rFonts w:ascii="Arial" w:eastAsia="Times New Roman" w:hAnsi="Arial" w:cs="Times New Roman"/>
      <w:b/>
      <w:color w:val="auto"/>
      <w:kern w:val="28"/>
      <w:sz w:val="24"/>
      <w:szCs w:val="24"/>
      <w:lang w:val="en-IN" w:eastAsia="en-IN"/>
    </w:rPr>
  </w:style>
  <w:style w:type="character" w:customStyle="1" w:styleId="AheadingChar">
    <w:name w:val="A heading Char"/>
    <w:basedOn w:val="Heading1Char"/>
    <w:link w:val="Aheading"/>
    <w:uiPriority w:val="99"/>
    <w:locked/>
    <w:rsid w:val="00970822"/>
    <w:rPr>
      <w:rFonts w:ascii="Arial" w:eastAsia="Times New Roman" w:hAnsi="Arial" w:cs="Times New Roman"/>
      <w:b/>
      <w:color w:val="365F91" w:themeColor="accent1" w:themeShade="BF"/>
      <w:kern w:val="28"/>
      <w:sz w:val="32"/>
      <w:szCs w:val="24"/>
      <w:lang w:val="en-IN" w:eastAsia="en-IN"/>
    </w:rPr>
  </w:style>
  <w:style w:type="character" w:customStyle="1" w:styleId="Heading1Char">
    <w:name w:val="Heading 1 Char"/>
    <w:basedOn w:val="DefaultParagraphFont"/>
    <w:link w:val="Heading1"/>
    <w:uiPriority w:val="9"/>
    <w:rsid w:val="0097082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70822"/>
    <w:pPr>
      <w:ind w:left="720"/>
      <w:contextualSpacing/>
    </w:pPr>
  </w:style>
  <w:style w:type="character" w:styleId="CommentReference">
    <w:name w:val="annotation reference"/>
    <w:basedOn w:val="DefaultParagraphFont"/>
    <w:uiPriority w:val="99"/>
    <w:semiHidden/>
    <w:unhideWhenUsed/>
    <w:rsid w:val="005C5497"/>
    <w:rPr>
      <w:sz w:val="16"/>
      <w:szCs w:val="16"/>
    </w:rPr>
  </w:style>
  <w:style w:type="paragraph" w:styleId="CommentText">
    <w:name w:val="annotation text"/>
    <w:basedOn w:val="Normal"/>
    <w:link w:val="CommentTextChar"/>
    <w:uiPriority w:val="99"/>
    <w:semiHidden/>
    <w:unhideWhenUsed/>
    <w:rsid w:val="005C5497"/>
    <w:pPr>
      <w:spacing w:line="240" w:lineRule="auto"/>
    </w:pPr>
    <w:rPr>
      <w:sz w:val="20"/>
      <w:szCs w:val="20"/>
    </w:rPr>
  </w:style>
  <w:style w:type="character" w:customStyle="1" w:styleId="CommentTextChar">
    <w:name w:val="Comment Text Char"/>
    <w:basedOn w:val="DefaultParagraphFont"/>
    <w:link w:val="CommentText"/>
    <w:uiPriority w:val="99"/>
    <w:semiHidden/>
    <w:rsid w:val="005C5497"/>
    <w:rPr>
      <w:sz w:val="20"/>
      <w:szCs w:val="20"/>
    </w:rPr>
  </w:style>
  <w:style w:type="paragraph" w:styleId="CommentSubject">
    <w:name w:val="annotation subject"/>
    <w:basedOn w:val="CommentText"/>
    <w:next w:val="CommentText"/>
    <w:link w:val="CommentSubjectChar"/>
    <w:uiPriority w:val="99"/>
    <w:semiHidden/>
    <w:unhideWhenUsed/>
    <w:rsid w:val="005C5497"/>
    <w:rPr>
      <w:b/>
      <w:bCs/>
    </w:rPr>
  </w:style>
  <w:style w:type="character" w:customStyle="1" w:styleId="CommentSubjectChar">
    <w:name w:val="Comment Subject Char"/>
    <w:basedOn w:val="CommentTextChar"/>
    <w:link w:val="CommentSubject"/>
    <w:uiPriority w:val="99"/>
    <w:semiHidden/>
    <w:rsid w:val="005C5497"/>
    <w:rPr>
      <w:b/>
      <w:bCs/>
      <w:sz w:val="20"/>
      <w:szCs w:val="20"/>
    </w:rPr>
  </w:style>
  <w:style w:type="paragraph" w:styleId="BalloonText">
    <w:name w:val="Balloon Text"/>
    <w:basedOn w:val="Normal"/>
    <w:link w:val="BalloonTextChar"/>
    <w:uiPriority w:val="99"/>
    <w:semiHidden/>
    <w:unhideWhenUsed/>
    <w:rsid w:val="005C5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97"/>
    <w:rPr>
      <w:rFonts w:ascii="Segoe UI" w:hAnsi="Segoe UI" w:cs="Segoe UI"/>
      <w:sz w:val="18"/>
      <w:szCs w:val="18"/>
    </w:rPr>
  </w:style>
  <w:style w:type="paragraph" w:styleId="FootnoteText">
    <w:name w:val="footnote text"/>
    <w:basedOn w:val="Normal"/>
    <w:link w:val="FootnoteTextChar"/>
    <w:uiPriority w:val="99"/>
    <w:semiHidden/>
    <w:unhideWhenUsed/>
    <w:rsid w:val="007E5020"/>
    <w:pPr>
      <w:spacing w:after="0" w:line="240" w:lineRule="auto"/>
    </w:pPr>
    <w:rPr>
      <w:sz w:val="20"/>
      <w:szCs w:val="20"/>
    </w:rPr>
  </w:style>
  <w:style w:type="character" w:customStyle="1" w:styleId="FootnoteTextChar">
    <w:name w:val="Footnote Text Char"/>
    <w:basedOn w:val="DefaultParagraphFont"/>
    <w:link w:val="FootnoteText"/>
    <w:uiPriority w:val="99"/>
    <w:rsid w:val="007E5020"/>
    <w:rPr>
      <w:sz w:val="20"/>
      <w:szCs w:val="20"/>
    </w:rPr>
  </w:style>
  <w:style w:type="character" w:styleId="FootnoteReference">
    <w:name w:val="footnote reference"/>
    <w:basedOn w:val="DefaultParagraphFont"/>
    <w:uiPriority w:val="99"/>
    <w:semiHidden/>
    <w:unhideWhenUsed/>
    <w:rsid w:val="007E5020"/>
    <w:rPr>
      <w:vertAlign w:val="superscript"/>
    </w:rPr>
  </w:style>
  <w:style w:type="paragraph" w:customStyle="1" w:styleId="Default">
    <w:name w:val="Default"/>
    <w:rsid w:val="00604802"/>
    <w:pPr>
      <w:autoSpaceDE w:val="0"/>
      <w:autoSpaceDN w:val="0"/>
      <w:adjustRightInd w:val="0"/>
      <w:spacing w:after="0" w:line="240" w:lineRule="auto"/>
    </w:pPr>
    <w:rPr>
      <w:rFonts w:ascii="Times New Roman" w:hAnsi="Times New Roman" w:cs="Times New Roman"/>
      <w:color w:val="000000"/>
      <w:szCs w:val="24"/>
    </w:rPr>
  </w:style>
  <w:style w:type="paragraph" w:styleId="BodyText">
    <w:name w:val="Body Text"/>
    <w:basedOn w:val="Normal"/>
    <w:link w:val="BodyTextChar"/>
    <w:rsid w:val="003A7F98"/>
    <w:pPr>
      <w:spacing w:after="0"/>
    </w:pPr>
    <w:rPr>
      <w:rFonts w:ascii="Times New Roman" w:eastAsia="Times New Roman" w:hAnsi="Times New Roman" w:cs="Times New Roman"/>
      <w:szCs w:val="20"/>
      <w:lang w:val="en-US" w:eastAsia="nb-NO"/>
    </w:rPr>
  </w:style>
  <w:style w:type="character" w:customStyle="1" w:styleId="BodyTextChar">
    <w:name w:val="Body Text Char"/>
    <w:basedOn w:val="DefaultParagraphFont"/>
    <w:link w:val="BodyText"/>
    <w:rsid w:val="003A7F98"/>
    <w:rPr>
      <w:rFonts w:ascii="Times New Roman" w:eastAsia="Times New Roman" w:hAnsi="Times New Roman" w:cs="Times New Roman"/>
      <w:szCs w:val="20"/>
      <w:lang w:val="en-US" w:eastAsia="nb-NO"/>
    </w:rPr>
  </w:style>
  <w:style w:type="character" w:styleId="Hyperlink">
    <w:name w:val="Hyperlink"/>
    <w:basedOn w:val="DefaultParagraphFont"/>
    <w:uiPriority w:val="99"/>
    <w:unhideWhenUsed/>
    <w:rsid w:val="00205B38"/>
    <w:rPr>
      <w:color w:val="0000FF" w:themeColor="hyperlink"/>
      <w:u w:val="single"/>
    </w:rPr>
  </w:style>
  <w:style w:type="paragraph" w:styleId="NormalWeb">
    <w:name w:val="Normal (Web)"/>
    <w:basedOn w:val="Normal"/>
    <w:uiPriority w:val="99"/>
    <w:semiHidden/>
    <w:unhideWhenUsed/>
    <w:rsid w:val="00C656C3"/>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searchword">
    <w:name w:val="searchword"/>
    <w:basedOn w:val="DefaultParagraphFont"/>
    <w:rsid w:val="00515F19"/>
    <w:rPr>
      <w:shd w:val="clear" w:color="auto" w:fill="FFFF00"/>
    </w:rPr>
  </w:style>
  <w:style w:type="character" w:customStyle="1" w:styleId="ReferencesFurtherreadingChar">
    <w:name w:val="References/Further reading Char"/>
    <w:basedOn w:val="DefaultParagraphFont"/>
    <w:link w:val="ReferencesFurtherreading"/>
    <w:uiPriority w:val="99"/>
    <w:locked/>
    <w:rsid w:val="003B1D89"/>
    <w:rPr>
      <w:rFonts w:ascii="Times New Roman" w:eastAsia="Times New Roman" w:hAnsi="Times New Roman" w:cs="Times New Roman"/>
      <w:sz w:val="22"/>
      <w:szCs w:val="20"/>
      <w:lang w:val="en-US"/>
    </w:rPr>
  </w:style>
  <w:style w:type="paragraph" w:customStyle="1" w:styleId="References">
    <w:name w:val="_ References"/>
    <w:basedOn w:val="Normal"/>
    <w:uiPriority w:val="99"/>
    <w:rsid w:val="00E74552"/>
    <w:pPr>
      <w:ind w:left="567" w:hanging="567"/>
    </w:pPr>
    <w:rPr>
      <w:rFonts w:ascii="Times New Roman" w:eastAsia="SimSun" w:hAnsi="Times New Roman" w:cs="Times New Roman"/>
      <w:sz w:val="20"/>
      <w:szCs w:val="24"/>
      <w:lang w:val="en-US" w:eastAsia="de-DE"/>
    </w:rPr>
  </w:style>
  <w:style w:type="paragraph" w:customStyle="1" w:styleId="Frontpages">
    <w:name w:val="_ Front pages"/>
    <w:basedOn w:val="Normal"/>
    <w:qFormat/>
    <w:rsid w:val="005205C6"/>
    <w:pPr>
      <w:spacing w:after="0" w:line="240" w:lineRule="auto"/>
    </w:pPr>
    <w:rPr>
      <w:rFonts w:ascii="Times New Roman" w:hAnsi="Times New Roman"/>
      <w:sz w:val="20"/>
      <w:lang w:val="en-US"/>
    </w:rPr>
  </w:style>
  <w:style w:type="character" w:customStyle="1" w:styleId="foreign1">
    <w:name w:val="foreign1"/>
    <w:basedOn w:val="DefaultParagraphFont"/>
    <w:rsid w:val="00CF44F4"/>
    <w:rPr>
      <w:i/>
      <w:iCs/>
    </w:rPr>
  </w:style>
  <w:style w:type="character" w:styleId="Emphasis">
    <w:name w:val="Emphasis"/>
    <w:basedOn w:val="DefaultParagraphFont"/>
    <w:uiPriority w:val="20"/>
    <w:qFormat/>
    <w:rsid w:val="00AA1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ukati.org/content.aspx?id=364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asplus.com/en/binary/resource/feepaper.pdf" TargetMode="External"/><Relationship Id="rId1" Type="http://schemas.openxmlformats.org/officeDocument/2006/relationships/hyperlink" Target="http://www.amnh.org/exhibitions/darwin/evolution-today/how-do-we-know-living-things-are-related/vestigial-organ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702418954387459"/>
          <c:y val="4.8090433708574173E-2"/>
          <c:w val="0.76498634461232851"/>
          <c:h val="0.84261151499285092"/>
        </c:manualLayout>
      </c:layout>
      <c:scatterChart>
        <c:scatterStyle val="lineMarker"/>
        <c:varyColors val="0"/>
        <c:ser>
          <c:idx val="0"/>
          <c:order val="0"/>
          <c:tx>
            <c:strRef>
              <c:f>Sheet1!$B$1</c:f>
              <c:strCache>
                <c:ptCount val="1"/>
                <c:pt idx="0">
                  <c:v>Y-Values</c:v>
                </c:pt>
              </c:strCache>
            </c:strRef>
          </c:tx>
          <c:spPr>
            <a:ln w="28575">
              <a:noFill/>
            </a:ln>
          </c:spPr>
          <c:marker>
            <c:spPr>
              <a:solidFill>
                <a:schemeClr val="bg1"/>
              </a:solidFill>
            </c:spPr>
          </c:marker>
          <c:dLbls>
            <c:dLbl>
              <c:idx val="0"/>
              <c:layout>
                <c:manualLayout>
                  <c:x val="-6.0765765765765763E-2"/>
                  <c:y val="-3.4450195004396882E-2"/>
                </c:manualLayout>
              </c:layout>
              <c:tx>
                <c:rich>
                  <a:bodyPr/>
                  <a:lstStyle/>
                  <a:p>
                    <a:r>
                      <a:rPr lang="en-US"/>
                      <a:t>australia</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4E5C-416C-92AE-352E494467C2}"/>
                </c:ext>
                <c:ext xmlns:c15="http://schemas.microsoft.com/office/drawing/2012/chart" uri="{CE6537A1-D6FC-4f65-9D91-7224C49458BB}">
                  <c15:layout/>
                </c:ext>
              </c:extLst>
            </c:dLbl>
            <c:dLbl>
              <c:idx val="1"/>
              <c:layout>
                <c:manualLayout>
                  <c:x val="-4.5630630630630803E-2"/>
                  <c:y val="-3.7860254680441227E-2"/>
                </c:manualLayout>
              </c:layout>
              <c:tx>
                <c:rich>
                  <a:bodyPr/>
                  <a:lstStyle/>
                  <a:p>
                    <a:r>
                      <a:rPr lang="en-US"/>
                      <a:t>sweden</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1-4E5C-416C-92AE-352E494467C2}"/>
                </c:ext>
                <c:ext xmlns:c15="http://schemas.microsoft.com/office/drawing/2012/chart" uri="{CE6537A1-D6FC-4f65-9D91-7224C49458BB}">
                  <c15:layout/>
                </c:ext>
              </c:extLst>
            </c:dLbl>
            <c:dLbl>
              <c:idx val="2"/>
              <c:layout>
                <c:manualLayout>
                  <c:x val="-4.7612612612612779E-2"/>
                  <c:y val="-3.7860254680441227E-2"/>
                </c:manualLayout>
              </c:layout>
              <c:tx>
                <c:rich>
                  <a:bodyPr/>
                  <a:lstStyle/>
                  <a:p>
                    <a:r>
                      <a:rPr lang="en-US"/>
                      <a:t>japan</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4E5C-416C-92AE-352E494467C2}"/>
                </c:ext>
                <c:ext xmlns:c15="http://schemas.microsoft.com/office/drawing/2012/chart" uri="{CE6537A1-D6FC-4f65-9D91-7224C49458BB}">
                  <c15:layout/>
                </c:ext>
              </c:extLst>
            </c:dLbl>
            <c:dLbl>
              <c:idx val="3"/>
              <c:layout>
                <c:manualLayout>
                  <c:x val="-4.5613783074413113E-2"/>
                  <c:y val="-3.7860254680441227E-2"/>
                </c:manualLayout>
              </c:layout>
              <c:tx>
                <c:rich>
                  <a:bodyPr/>
                  <a:lstStyle/>
                  <a:p>
                    <a:r>
                      <a:rPr lang="en-US"/>
                      <a:t>spain</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3-4E5C-416C-92AE-352E494467C2}"/>
                </c:ext>
                <c:ext xmlns:c15="http://schemas.microsoft.com/office/drawing/2012/chart" uri="{CE6537A1-D6FC-4f65-9D91-7224C49458BB}">
                  <c15:layout/>
                </c:ext>
              </c:extLst>
            </c:dLbl>
            <c:dLbl>
              <c:idx val="4"/>
              <c:layout>
                <c:manualLayout>
                  <c:x val="-4.6458466340356094E-2"/>
                  <c:y val="-3.7860254680441227E-2"/>
                </c:manualLayout>
              </c:layout>
              <c:tx>
                <c:rich>
                  <a:bodyPr/>
                  <a:lstStyle/>
                  <a:p>
                    <a:r>
                      <a:rPr lang="en-US"/>
                      <a:t>france</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4E5C-416C-92AE-352E494467C2}"/>
                </c:ext>
                <c:ext xmlns:c15="http://schemas.microsoft.com/office/drawing/2012/chart" uri="{CE6537A1-D6FC-4f65-9D91-7224C49458BB}">
                  <c15:layout/>
                </c:ext>
              </c:extLst>
            </c:dLbl>
            <c:dLbl>
              <c:idx val="5"/>
              <c:layout>
                <c:manualLayout>
                  <c:x val="-5.8299638220898134E-2"/>
                  <c:y val="-3.4450195004396882E-2"/>
                </c:manualLayout>
              </c:layout>
              <c:tx>
                <c:rich>
                  <a:bodyPr/>
                  <a:lstStyle/>
                  <a:p>
                    <a:r>
                      <a:rPr lang="en-US"/>
                      <a:t>belgium</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5-4E5C-416C-92AE-352E494467C2}"/>
                </c:ext>
                <c:ext xmlns:c15="http://schemas.microsoft.com/office/drawing/2012/chart" uri="{CE6537A1-D6FC-4f65-9D91-7224C49458BB}">
                  <c15:layout/>
                </c:ext>
              </c:extLst>
            </c:dLbl>
            <c:dLbl>
              <c:idx val="6"/>
              <c:layout>
                <c:manualLayout>
                  <c:x val="-4.6030538412428192E-2"/>
                  <c:y val="-3.1040135328352581E-2"/>
                </c:manualLayout>
              </c:layout>
              <c:tx>
                <c:rich>
                  <a:bodyPr/>
                  <a:lstStyle/>
                  <a:p>
                    <a:r>
                      <a:rPr lang="en-US"/>
                      <a:t>austria</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4E5C-416C-92AE-352E494467C2}"/>
                </c:ext>
                <c:ext xmlns:c15="http://schemas.microsoft.com/office/drawing/2012/chart" uri="{CE6537A1-D6FC-4f65-9D91-7224C49458BB}">
                  <c15:layout/>
                </c:ext>
              </c:extLst>
            </c:dLbl>
            <c:dLbl>
              <c:idx val="7"/>
              <c:layout>
                <c:manualLayout>
                  <c:x val="-6.3879548840178782E-2"/>
                  <c:y val="-2.7630075652308256E-2"/>
                </c:manualLayout>
              </c:layout>
              <c:tx>
                <c:rich>
                  <a:bodyPr/>
                  <a:lstStyle/>
                  <a:p>
                    <a:r>
                      <a:rPr lang="en-US"/>
                      <a:t>germany</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7-4E5C-416C-92AE-352E494467C2}"/>
                </c:ext>
                <c:ext xmlns:c15="http://schemas.microsoft.com/office/drawing/2012/chart" uri="{CE6537A1-D6FC-4f65-9D91-7224C49458BB}">
                  <c15:layout/>
                </c:ext>
              </c:extLst>
            </c:dLbl>
            <c:dLbl>
              <c:idx val="8"/>
              <c:layout>
                <c:manualLayout>
                  <c:x val="-7.6351351351351404E-2"/>
                  <c:y val="-3.7860254680441227E-2"/>
                </c:manualLayout>
              </c:layout>
              <c:tx>
                <c:rich>
                  <a:bodyPr/>
                  <a:lstStyle/>
                  <a:p>
                    <a:r>
                      <a:rPr lang="en-US"/>
                      <a:t>netherlands</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8-4E5C-416C-92AE-352E494467C2}"/>
                </c:ext>
                <c:ext xmlns:c15="http://schemas.microsoft.com/office/drawing/2012/chart" uri="{CE6537A1-D6FC-4f65-9D91-7224C49458BB}">
                  <c15:layout/>
                </c:ext>
              </c:extLst>
            </c:dLbl>
            <c:dLbl>
              <c:idx val="9"/>
              <c:layout>
                <c:manualLayout>
                  <c:x val="-6.2269277151167028E-2"/>
                  <c:y val="-3.7860254680441227E-2"/>
                </c:manualLayout>
              </c:layout>
              <c:tx>
                <c:rich>
                  <a:bodyPr/>
                  <a:lstStyle/>
                  <a:p>
                    <a:r>
                      <a:rPr lang="en-US"/>
                      <a:t>denmark</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9-4E5C-416C-92AE-352E494467C2}"/>
                </c:ext>
                <c:ext xmlns:c15="http://schemas.microsoft.com/office/drawing/2012/chart" uri="{CE6537A1-D6FC-4f65-9D91-7224C49458BB}">
                  <c15:layout/>
                </c:ext>
              </c:extLst>
            </c:dLbl>
            <c:dLbl>
              <c:idx val="10"/>
              <c:layout>
                <c:manualLayout>
                  <c:x val="-3.2432432432432455E-2"/>
                  <c:y val="-3.4450195004396882E-2"/>
                </c:manualLayout>
              </c:layout>
              <c:tx>
                <c:rich>
                  <a:bodyPr/>
                  <a:lstStyle/>
                  <a:p>
                    <a:r>
                      <a:rPr lang="en-US"/>
                      <a:t>uk</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A-4E5C-416C-92AE-352E494467C2}"/>
                </c:ext>
                <c:ext xmlns:c15="http://schemas.microsoft.com/office/drawing/2012/chart" uri="{CE6537A1-D6FC-4f65-9D91-7224C49458BB}">
                  <c15:layout/>
                </c:ext>
              </c:extLst>
            </c:dLbl>
            <c:dLbl>
              <c:idx val="11"/>
              <c:layout>
                <c:manualLayout>
                  <c:x val="-3.8541711002340988E-2"/>
                  <c:y val="-3.7860254680441227E-2"/>
                </c:manualLayout>
              </c:layout>
              <c:tx>
                <c:rich>
                  <a:bodyPr/>
                  <a:lstStyle/>
                  <a:p>
                    <a:r>
                      <a:rPr lang="en-US"/>
                      <a:t>iasc</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B-4E5C-416C-92AE-352E494467C2}"/>
                </c:ext>
                <c:ext xmlns:c15="http://schemas.microsoft.com/office/drawing/2012/chart" uri="{CE6537A1-D6FC-4f65-9D91-7224C49458BB}">
                  <c15:layout/>
                </c:ext>
              </c:extLst>
            </c:dLbl>
            <c:dLbl>
              <c:idx val="12"/>
              <c:layout>
                <c:manualLayout>
                  <c:x val="-5.4178016599276492E-2"/>
                  <c:y val="-3.7860254680441227E-2"/>
                </c:manualLayout>
              </c:layout>
              <c:tx>
                <c:rich>
                  <a:bodyPr/>
                  <a:lstStyle/>
                  <a:p>
                    <a:r>
                      <a:rPr lang="en-US"/>
                      <a:t>canada</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C-4E5C-416C-92AE-352E494467C2}"/>
                </c:ext>
                <c:ext xmlns:c15="http://schemas.microsoft.com/office/drawing/2012/chart" uri="{CE6537A1-D6FC-4f65-9D91-7224C49458BB}">
                  <c15:layout/>
                </c:ext>
              </c:extLst>
            </c:dLbl>
            <c:dLbl>
              <c:idx val="13"/>
              <c:layout>
                <c:manualLayout>
                  <c:x val="-3.7111619493509378E-2"/>
                  <c:y val="-2.7630075652308256E-2"/>
                </c:manualLayout>
              </c:layout>
              <c:tx>
                <c:rich>
                  <a:bodyPr/>
                  <a:lstStyle/>
                  <a:p>
                    <a:r>
                      <a:rPr lang="en-US"/>
                      <a:t>usa</a:t>
                    </a:r>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D-4E5C-416C-92AE-352E494467C2}"/>
                </c:ext>
                <c:ext xmlns:c15="http://schemas.microsoft.com/office/drawing/2012/chart" uri="{CE6537A1-D6FC-4f65-9D91-7224C49458BB}">
                  <c15:layout/>
                </c:ext>
              </c:extLst>
            </c:dLbl>
            <c:spPr>
              <a:noFill/>
              <a:ln>
                <a:noFill/>
              </a:ln>
              <a:effectLst/>
            </c:spPr>
            <c:dLblPos val="t"/>
            <c:showLegendKey val="0"/>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Sheet1!$A$2:$A$15</c:f>
              <c:numCache>
                <c:formatCode>General</c:formatCode>
                <c:ptCount val="14"/>
                <c:pt idx="0">
                  <c:v>1.4</c:v>
                </c:pt>
                <c:pt idx="1">
                  <c:v>0.25</c:v>
                </c:pt>
                <c:pt idx="2">
                  <c:v>-0.60000000000000064</c:v>
                </c:pt>
                <c:pt idx="3">
                  <c:v>0.1</c:v>
                </c:pt>
                <c:pt idx="4">
                  <c:v>-1.25</c:v>
                </c:pt>
                <c:pt idx="5">
                  <c:v>-1.05</c:v>
                </c:pt>
                <c:pt idx="6">
                  <c:v>-1.2</c:v>
                </c:pt>
                <c:pt idx="7">
                  <c:v>-1.2</c:v>
                </c:pt>
                <c:pt idx="8">
                  <c:v>-1.1499999999999975</c:v>
                </c:pt>
                <c:pt idx="9">
                  <c:v>-0.2</c:v>
                </c:pt>
                <c:pt idx="10">
                  <c:v>-0.4</c:v>
                </c:pt>
                <c:pt idx="11">
                  <c:v>1.4</c:v>
                </c:pt>
                <c:pt idx="12">
                  <c:v>1.5</c:v>
                </c:pt>
                <c:pt idx="13">
                  <c:v>2.9</c:v>
                </c:pt>
              </c:numCache>
            </c:numRef>
          </c:xVal>
          <c:yVal>
            <c:numRef>
              <c:f>Sheet1!$B$2:$B$15</c:f>
              <c:numCache>
                <c:formatCode>General</c:formatCode>
                <c:ptCount val="14"/>
                <c:pt idx="0">
                  <c:v>1.5</c:v>
                </c:pt>
                <c:pt idx="1">
                  <c:v>1.1499999999999975</c:v>
                </c:pt>
                <c:pt idx="2">
                  <c:v>0.8</c:v>
                </c:pt>
                <c:pt idx="3">
                  <c:v>0.5</c:v>
                </c:pt>
                <c:pt idx="4">
                  <c:v>0.4</c:v>
                </c:pt>
                <c:pt idx="5">
                  <c:v>0.2</c:v>
                </c:pt>
                <c:pt idx="6">
                  <c:v>-0.1</c:v>
                </c:pt>
                <c:pt idx="7">
                  <c:v>-0.25</c:v>
                </c:pt>
                <c:pt idx="8">
                  <c:v>-0.8</c:v>
                </c:pt>
                <c:pt idx="9">
                  <c:v>-0.5</c:v>
                </c:pt>
                <c:pt idx="10">
                  <c:v>-0.8</c:v>
                </c:pt>
                <c:pt idx="11">
                  <c:v>-0.35000000000000031</c:v>
                </c:pt>
                <c:pt idx="12">
                  <c:v>-0.9</c:v>
                </c:pt>
                <c:pt idx="13">
                  <c:v>-0.1</c:v>
                </c:pt>
              </c:numCache>
            </c:numRef>
          </c:yVal>
          <c:smooth val="0"/>
          <c:extLst xmlns:c16r2="http://schemas.microsoft.com/office/drawing/2015/06/chart">
            <c:ext xmlns:c16="http://schemas.microsoft.com/office/drawing/2014/chart" uri="{C3380CC4-5D6E-409C-BE32-E72D297353CC}">
              <c16:uniqueId val="{0000000E-4E5C-416C-92AE-352E494467C2}"/>
            </c:ext>
          </c:extLst>
        </c:ser>
        <c:dLbls>
          <c:showLegendKey val="0"/>
          <c:showVal val="1"/>
          <c:showCatName val="0"/>
          <c:showSerName val="0"/>
          <c:showPercent val="0"/>
          <c:showBubbleSize val="0"/>
        </c:dLbls>
        <c:axId val="215179328"/>
        <c:axId val="215179720"/>
      </c:scatterChart>
      <c:valAx>
        <c:axId val="215179328"/>
        <c:scaling>
          <c:orientation val="minMax"/>
          <c:max val="3"/>
          <c:min val="-2"/>
        </c:scaling>
        <c:delete val="0"/>
        <c:axPos val="b"/>
        <c:title>
          <c:tx>
            <c:rich>
              <a:bodyPr/>
              <a:lstStyle/>
              <a:p>
                <a:pPr>
                  <a:defRPr/>
                </a:pPr>
                <a:r>
                  <a:rPr lang="en-GB"/>
                  <a:t>Dimension 1</a:t>
                </a:r>
              </a:p>
            </c:rich>
          </c:tx>
          <c:layout>
            <c:manualLayout>
              <c:xMode val="edge"/>
              <c:yMode val="edge"/>
              <c:x val="0.12121781230048946"/>
              <c:y val="0.93861892583120099"/>
            </c:manualLayout>
          </c:layout>
          <c:overlay val="0"/>
        </c:title>
        <c:numFmt formatCode="General" sourceLinked="1"/>
        <c:majorTickMark val="out"/>
        <c:minorTickMark val="none"/>
        <c:tickLblPos val="nextTo"/>
        <c:crossAx val="215179720"/>
        <c:crossesAt val="-1"/>
        <c:crossBetween val="midCat"/>
        <c:majorUnit val="1"/>
        <c:minorUnit val="0.1"/>
      </c:valAx>
      <c:valAx>
        <c:axId val="215179720"/>
        <c:scaling>
          <c:orientation val="minMax"/>
          <c:max val="2"/>
          <c:min val="-1"/>
        </c:scaling>
        <c:delete val="0"/>
        <c:axPos val="l"/>
        <c:title>
          <c:tx>
            <c:rich>
              <a:bodyPr rot="-5400000" vert="horz"/>
              <a:lstStyle/>
              <a:p>
                <a:pPr>
                  <a:defRPr/>
                </a:pPr>
                <a:r>
                  <a:rPr lang="en-GB"/>
                  <a:t>Dimension 2</a:t>
                </a:r>
              </a:p>
            </c:rich>
          </c:tx>
          <c:layout>
            <c:manualLayout>
              <c:xMode val="edge"/>
              <c:yMode val="edge"/>
              <c:x val="1.1235014542101161E-2"/>
              <c:y val="0.62658289197226136"/>
            </c:manualLayout>
          </c:layout>
          <c:overlay val="0"/>
        </c:title>
        <c:numFmt formatCode="#,##0.0" sourceLinked="0"/>
        <c:majorTickMark val="out"/>
        <c:minorTickMark val="none"/>
        <c:tickLblPos val="nextTo"/>
        <c:crossAx val="215179328"/>
        <c:crossesAt val="-2"/>
        <c:crossBetween val="midCat"/>
        <c:majorUnit val="0.5"/>
        <c:minorUnit val="0.1"/>
      </c:valAx>
      <c:spPr>
        <a:solidFill>
          <a:schemeClr val="lt1"/>
        </a:solidFill>
        <a:ln w="3175" cap="flat" cmpd="sng" algn="ctr">
          <a:solidFill>
            <a:schemeClr val="dk1"/>
          </a:solidFill>
          <a:prstDash val="solid"/>
        </a:ln>
        <a:effectLst/>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0.12838</cdr:x>
      <cdr:y>0.60102</cdr:y>
    </cdr:from>
    <cdr:to>
      <cdr:x>0.89189</cdr:x>
      <cdr:y>0.61125</cdr:y>
    </cdr:to>
    <cdr:cxnSp macro="">
      <cdr:nvCxnSpPr>
        <cdr:cNvPr id="3" name="Straight Connector 2"/>
        <cdr:cNvCxnSpPr/>
      </cdr:nvCxnSpPr>
      <cdr:spPr>
        <a:xfrm xmlns:a="http://schemas.openxmlformats.org/drawingml/2006/main" flipV="1">
          <a:off x="723900" y="2238375"/>
          <a:ext cx="4305300" cy="38101"/>
        </a:xfrm>
        <a:prstGeom xmlns:a="http://schemas.openxmlformats.org/drawingml/2006/main" prst="line">
          <a:avLst/>
        </a:prstGeom>
        <a:ln xmlns:a="http://schemas.openxmlformats.org/drawingml/2006/main" w="31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0.42905</cdr:x>
      <cdr:y>0.04348</cdr:y>
    </cdr:from>
    <cdr:to>
      <cdr:x>0.43243</cdr:x>
      <cdr:y>0.89514</cdr:y>
    </cdr:to>
    <cdr:cxnSp macro="">
      <cdr:nvCxnSpPr>
        <cdr:cNvPr id="6" name="Straight Connector 5"/>
        <cdr:cNvCxnSpPr/>
      </cdr:nvCxnSpPr>
      <cdr:spPr>
        <a:xfrm xmlns:a="http://schemas.openxmlformats.org/drawingml/2006/main" flipH="1">
          <a:off x="2419342" y="161925"/>
          <a:ext cx="19058" cy="3171823"/>
        </a:xfrm>
        <a:prstGeom xmlns:a="http://schemas.openxmlformats.org/drawingml/2006/main" prst="line">
          <a:avLst/>
        </a:prstGeom>
        <a:ln xmlns:a="http://schemas.openxmlformats.org/drawingml/2006/main" w="31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0.58953</cdr:x>
      <cdr:y>0.10742</cdr:y>
    </cdr:from>
    <cdr:to>
      <cdr:x>0.7027</cdr:x>
      <cdr:y>0.20716</cdr:y>
    </cdr:to>
    <cdr:sp macro="" textlink="">
      <cdr:nvSpPr>
        <cdr:cNvPr id="10" name="Oval 9"/>
        <cdr:cNvSpPr/>
      </cdr:nvSpPr>
      <cdr:spPr>
        <a:xfrm xmlns:a="http://schemas.openxmlformats.org/drawingml/2006/main">
          <a:off x="3324225" y="400049"/>
          <a:ext cx="638175" cy="371475"/>
        </a:xfrm>
        <a:prstGeom xmlns:a="http://schemas.openxmlformats.org/drawingml/2006/main" prst="ellipse">
          <a:avLst/>
        </a:prstGeom>
        <a:noFill xmlns:a="http://schemas.openxmlformats.org/drawingml/2006/main"/>
        <a:ln xmlns:a="http://schemas.openxmlformats.org/drawingml/2006/main" w="3175"/>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0.29899</cdr:x>
      <cdr:y>0.20205</cdr:y>
    </cdr:from>
    <cdr:to>
      <cdr:x>0.56926</cdr:x>
      <cdr:y>0.48082</cdr:y>
    </cdr:to>
    <cdr:sp macro="" textlink="">
      <cdr:nvSpPr>
        <cdr:cNvPr id="17" name="Oval 16"/>
        <cdr:cNvSpPr/>
      </cdr:nvSpPr>
      <cdr:spPr>
        <a:xfrm xmlns:a="http://schemas.openxmlformats.org/drawingml/2006/main">
          <a:off x="1685925" y="752475"/>
          <a:ext cx="1524000" cy="1038225"/>
        </a:xfrm>
        <a:prstGeom xmlns:a="http://schemas.openxmlformats.org/drawingml/2006/main" prst="ellipse">
          <a:avLst/>
        </a:prstGeom>
        <a:noFill xmlns:a="http://schemas.openxmlformats.org/drawingml/2006/main"/>
        <a:ln xmlns:a="http://schemas.openxmlformats.org/drawingml/2006/main" w="3175"/>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0.58953</cdr:x>
      <cdr:y>0.55243</cdr:y>
    </cdr:from>
    <cdr:to>
      <cdr:x>0.96622</cdr:x>
      <cdr:y>0.92839</cdr:y>
    </cdr:to>
    <cdr:sp macro="" textlink="">
      <cdr:nvSpPr>
        <cdr:cNvPr id="18" name="Oval 17"/>
        <cdr:cNvSpPr/>
      </cdr:nvSpPr>
      <cdr:spPr>
        <a:xfrm xmlns:a="http://schemas.openxmlformats.org/drawingml/2006/main">
          <a:off x="3324225" y="2057400"/>
          <a:ext cx="2124075" cy="1400175"/>
        </a:xfrm>
        <a:prstGeom xmlns:a="http://schemas.openxmlformats.org/drawingml/2006/main" prst="ellipse">
          <a:avLst/>
        </a:prstGeom>
        <a:noFill xmlns:a="http://schemas.openxmlformats.org/drawingml/2006/main"/>
        <a:ln xmlns:a="http://schemas.openxmlformats.org/drawingml/2006/main" w="3175"/>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0.12331</cdr:x>
      <cdr:y>0.41432</cdr:y>
    </cdr:from>
    <cdr:to>
      <cdr:x>0.44932</cdr:x>
      <cdr:y>0.8977</cdr:y>
    </cdr:to>
    <cdr:sp macro="" textlink="">
      <cdr:nvSpPr>
        <cdr:cNvPr id="19" name="Oval 18"/>
        <cdr:cNvSpPr/>
      </cdr:nvSpPr>
      <cdr:spPr>
        <a:xfrm xmlns:a="http://schemas.openxmlformats.org/drawingml/2006/main">
          <a:off x="695325" y="1543051"/>
          <a:ext cx="1838325" cy="1800224"/>
        </a:xfrm>
        <a:prstGeom xmlns:a="http://schemas.openxmlformats.org/drawingml/2006/main" prst="ellipse">
          <a:avLst/>
        </a:prstGeom>
        <a:noFill xmlns:a="http://schemas.openxmlformats.org/drawingml/2006/main"/>
        <a:ln xmlns:a="http://schemas.openxmlformats.org/drawingml/2006/main" w="3175"/>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6F00-132D-4F9C-A306-F56297AC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56</Pages>
  <Words>11126</Words>
  <Characters>63424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Wright</dc:creator>
  <cp:lastModifiedBy>Nobes, Chris</cp:lastModifiedBy>
  <cp:revision>4</cp:revision>
  <cp:lastPrinted>2016-08-24T17:30:00Z</cp:lastPrinted>
  <dcterms:created xsi:type="dcterms:W3CDTF">2017-05-17T08:05:00Z</dcterms:created>
  <dcterms:modified xsi:type="dcterms:W3CDTF">2017-08-02T12:55:00Z</dcterms:modified>
</cp:coreProperties>
</file>