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C61160" w14:textId="089CAEFA" w:rsidR="00165665" w:rsidRDefault="00FC0ACD" w:rsidP="007E5EF2">
      <w:pPr>
        <w:pStyle w:val="JPaperTitle"/>
      </w:pPr>
      <w:bookmarkStart w:id="0" w:name="_GoBack"/>
      <w:bookmarkEnd w:id="0"/>
      <w:r>
        <w:t>drive-witness acceleration scheme</w:t>
      </w:r>
      <w:r w:rsidR="00E5600C">
        <w:t xml:space="preserve"> based on Corrugated dielectric mm-scale capillary </w:t>
      </w:r>
    </w:p>
    <w:p w14:paraId="219560BA" w14:textId="6C17CA2A" w:rsidR="00F347FB" w:rsidRPr="00794856" w:rsidRDefault="00FC0ACD" w:rsidP="00A2164D">
      <w:pPr>
        <w:pStyle w:val="JAuthorList"/>
        <w:rPr>
          <w:lang w:val="en-GB"/>
        </w:rPr>
      </w:pPr>
      <w:r w:rsidRPr="00794856">
        <w:rPr>
          <w:lang w:val="en-GB"/>
        </w:rPr>
        <w:t>K. Lekomtsev</w:t>
      </w:r>
      <w:r w:rsidRPr="00794856">
        <w:rPr>
          <w:vertAlign w:val="superscript"/>
          <w:lang w:val="en-GB"/>
        </w:rPr>
        <w:t>†</w:t>
      </w:r>
      <w:r w:rsidR="00635DAA" w:rsidRPr="00794856">
        <w:rPr>
          <w:vertAlign w:val="superscript"/>
          <w:lang w:val="en-GB"/>
        </w:rPr>
        <w:t>,</w:t>
      </w:r>
      <w:r w:rsidR="00872A76">
        <w:rPr>
          <w:vertAlign w:val="superscript"/>
          <w:lang w:val="en-GB"/>
        </w:rPr>
        <w:t>4</w:t>
      </w:r>
      <w:r w:rsidRPr="00794856">
        <w:rPr>
          <w:lang w:val="en-GB"/>
        </w:rPr>
        <w:t xml:space="preserve">, A. Lyapin, </w:t>
      </w:r>
      <w:r w:rsidR="00B273B7" w:rsidRPr="00794856">
        <w:rPr>
          <w:lang w:val="en-GB"/>
        </w:rPr>
        <w:t xml:space="preserve">S. Boogert, </w:t>
      </w:r>
      <w:r w:rsidRPr="00794856">
        <w:rPr>
          <w:lang w:val="en-GB"/>
        </w:rPr>
        <w:t>P. Karataev, John Ad</w:t>
      </w:r>
      <w:r w:rsidR="00657150" w:rsidRPr="00794856">
        <w:rPr>
          <w:lang w:val="en-GB"/>
        </w:rPr>
        <w:t xml:space="preserve">ams Institute at Royal </w:t>
      </w:r>
      <w:r w:rsidR="00794856" w:rsidRPr="00794856">
        <w:rPr>
          <w:lang w:val="en-GB"/>
        </w:rPr>
        <w:t xml:space="preserve">Holloway </w:t>
      </w:r>
      <w:r w:rsidR="006E76D4">
        <w:rPr>
          <w:lang w:val="en-GB"/>
        </w:rPr>
        <w:br/>
      </w:r>
      <w:r w:rsidR="00794856" w:rsidRPr="00794856">
        <w:rPr>
          <w:lang w:val="en-GB"/>
        </w:rPr>
        <w:t>University</w:t>
      </w:r>
      <w:r w:rsidRPr="00794856">
        <w:rPr>
          <w:lang w:val="en-GB"/>
        </w:rPr>
        <w:t xml:space="preserve"> of London, Egham, UK</w:t>
      </w:r>
      <w:r w:rsidR="00D6236A" w:rsidRPr="00794856">
        <w:rPr>
          <w:lang w:val="en-GB"/>
        </w:rPr>
        <w:t xml:space="preserve"> </w:t>
      </w:r>
      <w:r w:rsidR="00D6236A" w:rsidRPr="00794856">
        <w:rPr>
          <w:lang w:val="en-GB"/>
        </w:rPr>
        <w:br/>
      </w:r>
      <w:r w:rsidRPr="00794856">
        <w:rPr>
          <w:lang w:val="en-GB"/>
        </w:rPr>
        <w:t>A. Aryshev</w:t>
      </w:r>
      <w:r w:rsidRPr="00794856">
        <w:rPr>
          <w:vertAlign w:val="superscript"/>
          <w:lang w:val="en-GB"/>
        </w:rPr>
        <w:t>1</w:t>
      </w:r>
      <w:r w:rsidR="00872A76">
        <w:rPr>
          <w:vertAlign w:val="superscript"/>
          <w:lang w:val="en-GB"/>
        </w:rPr>
        <w:t>,</w:t>
      </w:r>
      <w:r w:rsidR="00217BCE">
        <w:rPr>
          <w:vertAlign w:val="superscript"/>
          <w:lang w:val="en-GB"/>
        </w:rPr>
        <w:t>2</w:t>
      </w:r>
      <w:r w:rsidRPr="00794856">
        <w:rPr>
          <w:lang w:val="en-GB"/>
        </w:rPr>
        <w:t>, M. Shevelev</w:t>
      </w:r>
      <w:r w:rsidRPr="00794856">
        <w:rPr>
          <w:vertAlign w:val="superscript"/>
          <w:lang w:val="en-GB"/>
        </w:rPr>
        <w:t>1</w:t>
      </w:r>
      <w:r w:rsidR="00872A76">
        <w:rPr>
          <w:vertAlign w:val="superscript"/>
          <w:lang w:val="en-GB"/>
        </w:rPr>
        <w:t>,</w:t>
      </w:r>
      <w:r w:rsidR="00217BCE">
        <w:rPr>
          <w:vertAlign w:val="superscript"/>
          <w:lang w:val="en-GB"/>
        </w:rPr>
        <w:t>3</w:t>
      </w:r>
      <w:r w:rsidRPr="00794856">
        <w:rPr>
          <w:lang w:val="en-GB"/>
        </w:rPr>
        <w:t>, N. Terunuma</w:t>
      </w:r>
      <w:r w:rsidRPr="00794856">
        <w:rPr>
          <w:vertAlign w:val="superscript"/>
          <w:lang w:val="en-GB"/>
        </w:rPr>
        <w:t>1</w:t>
      </w:r>
      <w:r w:rsidR="00872A76">
        <w:rPr>
          <w:vertAlign w:val="superscript"/>
          <w:lang w:val="en-GB"/>
        </w:rPr>
        <w:t>,</w:t>
      </w:r>
      <w:r w:rsidR="00217BCE">
        <w:rPr>
          <w:vertAlign w:val="superscript"/>
          <w:lang w:val="en-GB"/>
        </w:rPr>
        <w:t>2</w:t>
      </w:r>
      <w:r w:rsidRPr="00794856">
        <w:rPr>
          <w:lang w:val="en-GB"/>
        </w:rPr>
        <w:t>, J. Urakawa</w:t>
      </w:r>
      <w:r w:rsidRPr="00794856">
        <w:rPr>
          <w:vertAlign w:val="superscript"/>
          <w:lang w:val="en-GB"/>
        </w:rPr>
        <w:t>1</w:t>
      </w:r>
      <w:r w:rsidRPr="00794856">
        <w:rPr>
          <w:lang w:val="en-GB"/>
        </w:rPr>
        <w:t xml:space="preserve">, </w:t>
      </w:r>
      <w:r w:rsidRPr="00794856">
        <w:rPr>
          <w:vertAlign w:val="superscript"/>
          <w:lang w:val="en-GB"/>
        </w:rPr>
        <w:t>1</w:t>
      </w:r>
      <w:r w:rsidR="00794856">
        <w:rPr>
          <w:lang w:val="en-GB"/>
        </w:rPr>
        <w:t>KEK</w:t>
      </w:r>
      <w:r w:rsidRPr="00794856">
        <w:rPr>
          <w:lang w:val="en-GB"/>
        </w:rPr>
        <w:t xml:space="preserve">: High Energy Accelerator </w:t>
      </w:r>
      <w:r w:rsidR="005C5DA2">
        <w:rPr>
          <w:lang w:val="en-GB"/>
        </w:rPr>
        <w:br/>
      </w:r>
      <w:r w:rsidRPr="00794856">
        <w:rPr>
          <w:lang w:val="en-GB"/>
        </w:rPr>
        <w:t>Research Organization, Tsukuba, Japan</w:t>
      </w:r>
      <w:r w:rsidR="00B65DA5">
        <w:rPr>
          <w:lang w:val="en-GB"/>
        </w:rPr>
        <w:t xml:space="preserve">, </w:t>
      </w:r>
      <w:r w:rsidR="00217BCE">
        <w:rPr>
          <w:vertAlign w:val="superscript"/>
          <w:lang w:val="en-GB"/>
        </w:rPr>
        <w:t>2</w:t>
      </w:r>
      <w:r w:rsidR="00217BCE">
        <w:rPr>
          <w:lang w:val="en-GB"/>
        </w:rPr>
        <w:t xml:space="preserve">SOKENDAI: The Graduate University for Advanced studies, Tsukuba, Japan, </w:t>
      </w:r>
      <w:r w:rsidR="00217BCE">
        <w:rPr>
          <w:vertAlign w:val="superscript"/>
          <w:lang w:val="en-GB"/>
        </w:rPr>
        <w:t>3</w:t>
      </w:r>
      <w:r w:rsidR="00872A76">
        <w:rPr>
          <w:lang w:val="en-GB"/>
        </w:rPr>
        <w:t xml:space="preserve">Tomsk Polytechnic University, Institute of Physics and Technology, Tomsk, </w:t>
      </w:r>
      <w:r w:rsidR="00217BCE">
        <w:rPr>
          <w:lang w:val="en-GB"/>
        </w:rPr>
        <w:t>Russia</w:t>
      </w:r>
      <w:r w:rsidR="006E765C" w:rsidRPr="00794856">
        <w:rPr>
          <w:lang w:val="en-GB"/>
        </w:rPr>
        <w:br/>
      </w:r>
      <w:r w:rsidRPr="00794856">
        <w:rPr>
          <w:lang w:val="en-GB"/>
        </w:rPr>
        <w:t>A.</w:t>
      </w:r>
      <w:r w:rsidR="005F70F7">
        <w:rPr>
          <w:lang w:val="en-GB"/>
        </w:rPr>
        <w:t> </w:t>
      </w:r>
      <w:r w:rsidRPr="00794856">
        <w:rPr>
          <w:lang w:val="en-GB"/>
        </w:rPr>
        <w:t>A. Tishchenko</w:t>
      </w:r>
      <w:r w:rsidR="00872A76">
        <w:rPr>
          <w:vertAlign w:val="superscript"/>
          <w:lang w:val="en-GB"/>
        </w:rPr>
        <w:t>4</w:t>
      </w:r>
      <w:r w:rsidRPr="00794856">
        <w:rPr>
          <w:lang w:val="en-GB"/>
        </w:rPr>
        <w:t xml:space="preserve">, </w:t>
      </w:r>
      <w:r w:rsidR="00872A76">
        <w:rPr>
          <w:vertAlign w:val="superscript"/>
          <w:lang w:val="en-GB"/>
        </w:rPr>
        <w:t>4</w:t>
      </w:r>
      <w:r w:rsidRPr="00794856">
        <w:rPr>
          <w:lang w:val="en-GB"/>
        </w:rPr>
        <w:t>National Research Nuclear University MEPhI, Moscow, Russia</w:t>
      </w:r>
    </w:p>
    <w:p w14:paraId="7AAC72AB" w14:textId="77777777" w:rsidR="009201DC" w:rsidRPr="00AA3EDF" w:rsidRDefault="009201DC" w:rsidP="004D15C1">
      <w:pPr>
        <w:pStyle w:val="Caption"/>
        <w:rPr>
          <w:lang w:val="fr-FR"/>
        </w:rPr>
        <w:sectPr w:rsidR="009201DC" w:rsidRPr="00AA3EDF" w:rsidSect="00D90022">
          <w:footnotePr>
            <w:pos w:val="beneathText"/>
            <w:numFmt w:val="chicago"/>
          </w:footnotePr>
          <w:endnotePr>
            <w:numFmt w:val="decimal"/>
          </w:endnotePr>
          <w:type w:val="continuous"/>
          <w:pgSz w:w="11907" w:h="16840" w:code="9"/>
          <w:pgMar w:top="2098" w:right="1134" w:bottom="1077" w:left="1134" w:header="1077" w:footer="1077" w:gutter="0"/>
          <w:cols w:space="720"/>
          <w:titlePg/>
          <w:docGrid w:linePitch="360"/>
        </w:sectPr>
      </w:pPr>
    </w:p>
    <w:p w14:paraId="44B805AE" w14:textId="77777777" w:rsidR="00165665" w:rsidRDefault="00165665" w:rsidP="00B36423">
      <w:pPr>
        <w:pStyle w:val="JAbstractTitle"/>
      </w:pPr>
      <w:r w:rsidRPr="00B36423">
        <w:t>Abstract</w:t>
      </w:r>
    </w:p>
    <w:p w14:paraId="62BEABEA" w14:textId="57CD8846" w:rsidR="00FC0ACD" w:rsidRDefault="00FC0ACD" w:rsidP="00FC0ACD">
      <w:pPr>
        <w:pStyle w:val="BodyTextIndent"/>
        <w:rPr>
          <w:kern w:val="16"/>
        </w:rPr>
      </w:pPr>
      <w:r>
        <w:rPr>
          <w:rStyle w:val="JBodyTextIndentChar"/>
        </w:rPr>
        <w:t>In this paper, we investigate a corrugated</w:t>
      </w:r>
      <w:r w:rsidR="007E5EF2">
        <w:rPr>
          <w:rStyle w:val="JBodyTextIndentChar"/>
        </w:rPr>
        <w:t xml:space="preserve"> mm-scale</w:t>
      </w:r>
      <w:r>
        <w:rPr>
          <w:rStyle w:val="JBodyTextIndentChar"/>
        </w:rPr>
        <w:t xml:space="preserve"> capillary as a compact accelerating structure in a drive – witness acceleration scheme</w:t>
      </w:r>
      <w:r w:rsidR="0052002F">
        <w:rPr>
          <w:rStyle w:val="JBodyTextIndentChar"/>
        </w:rPr>
        <w:t>, and suggest a methodology to measure</w:t>
      </w:r>
      <w:r w:rsidR="00CF54CA">
        <w:rPr>
          <w:rStyle w:val="JBodyTextIndentChar"/>
        </w:rPr>
        <w:t xml:space="preserve"> acceleration of</w:t>
      </w:r>
      <w:r w:rsidR="0052002F">
        <w:rPr>
          <w:rStyle w:val="JBodyTextIndentChar"/>
        </w:rPr>
        <w:t xml:space="preserve"> a witness bunch</w:t>
      </w:r>
      <w:r>
        <w:rPr>
          <w:rStyle w:val="JBodyTextIndentChar"/>
        </w:rPr>
        <w:t xml:space="preserve">. </w:t>
      </w:r>
      <w:r w:rsidR="007E5EF2">
        <w:rPr>
          <w:rStyle w:val="JBodyTextIndentChar"/>
        </w:rPr>
        <w:t>Two typical measurements and</w:t>
      </w:r>
      <w:r w:rsidR="0052002F">
        <w:rPr>
          <w:rStyle w:val="JBodyTextIndentChar"/>
        </w:rPr>
        <w:t xml:space="preserve"> the </w:t>
      </w:r>
      <w:r w:rsidR="00F17C64">
        <w:rPr>
          <w:rStyle w:val="JBodyTextIndentChar"/>
        </w:rPr>
        <w:t>energy gain</w:t>
      </w:r>
      <w:r w:rsidR="00C87D80">
        <w:rPr>
          <w:rStyle w:val="JBodyTextIndentChar"/>
        </w:rPr>
        <w:t xml:space="preserve"> in</w:t>
      </w:r>
      <w:r w:rsidR="0052002F">
        <w:rPr>
          <w:rStyle w:val="JBodyTextIndentChar"/>
        </w:rPr>
        <w:t xml:space="preserve"> </w:t>
      </w:r>
      <w:r w:rsidR="00CF54CA">
        <w:rPr>
          <w:rStyle w:val="JBodyTextIndentChar"/>
        </w:rPr>
        <w:t xml:space="preserve">a </w:t>
      </w:r>
      <w:r w:rsidR="0052002F">
        <w:rPr>
          <w:rStyle w:val="JBodyTextIndentChar"/>
        </w:rPr>
        <w:t>witness bunch</w:t>
      </w:r>
      <w:r w:rsidR="007E5EF2">
        <w:rPr>
          <w:rStyle w:val="JBodyTextIndentChar"/>
        </w:rPr>
        <w:t xml:space="preserve"> as a function of the distance between bunches</w:t>
      </w:r>
      <w:r w:rsidR="00940DB5">
        <w:rPr>
          <w:rStyle w:val="JBodyTextIndentChar"/>
        </w:rPr>
        <w:t xml:space="preserve"> are discussed.</w:t>
      </w:r>
      <w:r w:rsidR="007E5EF2">
        <w:rPr>
          <w:rStyle w:val="JBodyTextIndentChar"/>
        </w:rPr>
        <w:t xml:space="preserve"> </w:t>
      </w:r>
      <w:r w:rsidR="005402DA">
        <w:rPr>
          <w:rStyle w:val="JBodyTextIndentChar"/>
        </w:rPr>
        <w:t>A</w:t>
      </w:r>
      <w:r w:rsidR="00BC4534">
        <w:rPr>
          <w:rStyle w:val="JBodyTextIndentChar"/>
        </w:rPr>
        <w:t xml:space="preserve"> corrugated capillary is </w:t>
      </w:r>
      <w:r w:rsidR="00E5600C">
        <w:rPr>
          <w:rStyle w:val="JBodyTextIndentChar"/>
        </w:rPr>
        <w:t>considered</w:t>
      </w:r>
      <w:r w:rsidR="00BC4534">
        <w:rPr>
          <w:rStyle w:val="JBodyTextIndentChar"/>
        </w:rPr>
        <w:t xml:space="preserve"> as an accelerator/decelerator with an adjustable wakefield pattern depending on a </w:t>
      </w:r>
      <w:r w:rsidR="00E5600C">
        <w:rPr>
          <w:rStyle w:val="JBodyTextIndentChar"/>
        </w:rPr>
        <w:t xml:space="preserve">transverse </w:t>
      </w:r>
      <w:r w:rsidR="00BC4534">
        <w:rPr>
          <w:rStyle w:val="JBodyTextIndentChar"/>
        </w:rPr>
        <w:t xml:space="preserve">beam </w:t>
      </w:r>
      <w:r w:rsidR="005402DA">
        <w:rPr>
          <w:rStyle w:val="JBodyTextIndentChar"/>
        </w:rPr>
        <w:t>position</w:t>
      </w:r>
      <w:r w:rsidR="00BC4534">
        <w:rPr>
          <w:rStyle w:val="JBodyTextIndentChar"/>
        </w:rPr>
        <w:t>.</w:t>
      </w:r>
    </w:p>
    <w:p w14:paraId="47D629B1" w14:textId="77777777" w:rsidR="00FC0ACD" w:rsidRDefault="00FC0ACD" w:rsidP="00FC0ACD">
      <w:pPr>
        <w:pStyle w:val="JSectionHeading"/>
      </w:pPr>
      <w:r>
        <w:t>INTRODUCTION</w:t>
      </w:r>
    </w:p>
    <w:p w14:paraId="7E0A4489" w14:textId="25F9E04B" w:rsidR="00FC0ACD" w:rsidRDefault="00FC0ACD" w:rsidP="00FC0ACD">
      <w:pPr>
        <w:pStyle w:val="BodyTextIndent"/>
        <w:rPr>
          <w:kern w:val="16"/>
        </w:rPr>
      </w:pPr>
      <w:r>
        <w:rPr>
          <w:rStyle w:val="JBodyTextIndentChar"/>
        </w:rPr>
        <w:t>Dielectric wakefield acceleration</w:t>
      </w:r>
      <w:r w:rsidR="00630703">
        <w:rPr>
          <w:rStyle w:val="JBodyTextIndentChar"/>
        </w:rPr>
        <w:t xml:space="preserve"> (DWA)</w:t>
      </w:r>
      <w:r>
        <w:rPr>
          <w:rStyle w:val="JBodyTextIndentChar"/>
        </w:rPr>
        <w:t xml:space="preserve"> in planar and circular dielectric structures has seen major developments in understanding</w:t>
      </w:r>
      <w:r w:rsidR="00A57E80">
        <w:rPr>
          <w:rStyle w:val="JBodyTextIndentChar"/>
        </w:rPr>
        <w:t xml:space="preserve"> of</w:t>
      </w:r>
      <w:r>
        <w:rPr>
          <w:rStyle w:val="JBodyTextIndentChar"/>
        </w:rPr>
        <w:t xml:space="preserve"> the maximum achievable accelerating gradients [1], dielectric breakdown limits [2] as well as the applications for beam compression [3],</w:t>
      </w:r>
      <w:r w:rsidR="00940DB5">
        <w:rPr>
          <w:rStyle w:val="JBodyTextIndentChar"/>
        </w:rPr>
        <w:t xml:space="preserve"> modulation [4] and</w:t>
      </w:r>
      <w:r>
        <w:rPr>
          <w:rStyle w:val="JBodyTextIndentChar"/>
        </w:rPr>
        <w:t xml:space="preserve"> correlated en</w:t>
      </w:r>
      <w:r w:rsidR="00940DB5">
        <w:rPr>
          <w:rStyle w:val="JBodyTextIndentChar"/>
        </w:rPr>
        <w:t>ergy spread compensation [5]</w:t>
      </w:r>
      <w:r w:rsidR="00A57E80">
        <w:rPr>
          <w:rStyle w:val="JBodyTextIndentChar"/>
        </w:rPr>
        <w:t>. Achieving</w:t>
      </w:r>
      <w:r>
        <w:rPr>
          <w:rStyle w:val="JBodyTextIndentChar"/>
        </w:rPr>
        <w:t xml:space="preserve"> high accelerating gradients (</w:t>
      </w:r>
      <m:oMath>
        <m:r>
          <w:rPr>
            <w:rStyle w:val="JBodyTextIndentChar"/>
            <w:rFonts w:ascii="Cambria Math" w:hAnsi="Cambria Math"/>
          </w:rPr>
          <m:t>~</m:t>
        </m:r>
      </m:oMath>
      <w:r>
        <w:rPr>
          <w:rStyle w:val="JBodyTextIndentChar"/>
        </w:rPr>
        <w:t xml:space="preserve">GeV/m) using extremely compact structures (fraction of a millimetre aperture or diameter and few millimetre length) is one of the major motivations behind these developments. In DWA schemes </w:t>
      </w:r>
      <w:r w:rsidR="00991018">
        <w:rPr>
          <w:rStyle w:val="JBodyTextIndentChar"/>
        </w:rPr>
        <w:t xml:space="preserve">a </w:t>
      </w:r>
      <w:r>
        <w:rPr>
          <w:rStyle w:val="JBodyTextIndentChar"/>
        </w:rPr>
        <w:t>high charge drive bunch excites Cherenkov radiation in</w:t>
      </w:r>
      <w:r w:rsidR="00630703">
        <w:rPr>
          <w:rStyle w:val="JBodyTextIndentChar"/>
        </w:rPr>
        <w:t xml:space="preserve"> a</w:t>
      </w:r>
      <w:r>
        <w:rPr>
          <w:rStyle w:val="JBodyTextIndentChar"/>
        </w:rPr>
        <w:t xml:space="preserve"> dielectric that is reflected by metallic coating and can be used as an acceleration mechanism for a low charge witness bunch following the drive [6]. Key advantages of the DWA compared to laser wakefield or plasma wakefie</w:t>
      </w:r>
      <w:r w:rsidR="00872D76">
        <w:rPr>
          <w:rStyle w:val="JBodyTextIndentChar"/>
        </w:rPr>
        <w:t>ld acceleration schemes are:</w:t>
      </w:r>
      <w:r>
        <w:rPr>
          <w:rStyle w:val="JBodyTextIndentChar"/>
        </w:rPr>
        <w:t xml:space="preserve"> dielectric structures themselves can be manufactured relatively </w:t>
      </w:r>
      <w:r w:rsidR="00A57E80">
        <w:rPr>
          <w:rStyle w:val="JBodyTextIndentChar"/>
        </w:rPr>
        <w:t>easily using variety of techniques</w:t>
      </w:r>
      <w:r>
        <w:rPr>
          <w:rStyle w:val="JBodyTextIndentChar"/>
        </w:rPr>
        <w:t xml:space="preserve">; high power laser systems are not needed, because a short and intense drive bunch serves as a source of a powerful accelerating wakefield.         </w:t>
      </w:r>
    </w:p>
    <w:p w14:paraId="6AF448C8" w14:textId="77777777" w:rsidR="00FC0ACD" w:rsidRDefault="00FC0ACD" w:rsidP="00FC0ACD">
      <w:pPr>
        <w:pStyle w:val="JSectionHeading"/>
      </w:pPr>
      <w:bookmarkStart w:id="1" w:name="OLE_LINK5"/>
      <w:bookmarkStart w:id="2" w:name="OLE_LINK6"/>
      <w:r>
        <w:t>Experiment</w:t>
      </w:r>
    </w:p>
    <w:bookmarkEnd w:id="1"/>
    <w:bookmarkEnd w:id="2"/>
    <w:p w14:paraId="38991B2A" w14:textId="749C424F" w:rsidR="00FC0ACD" w:rsidRDefault="00635DAA" w:rsidP="00FC0ACD">
      <w:pPr>
        <w:pStyle w:val="BodyTextIndent"/>
        <w:rPr>
          <w:rStyle w:val="JBodyTextIndentChar"/>
        </w:rPr>
      </w:pPr>
      <w:r w:rsidRPr="000C7727">
        <w:rPr>
          <w:rStyle w:val="JBodyTextIndentChar"/>
          <w:noProof/>
          <w:lang w:eastAsia="en-GB"/>
        </w:rPr>
        <mc:AlternateContent>
          <mc:Choice Requires="wps">
            <w:drawing>
              <wp:anchor distT="0" distB="0" distL="114300" distR="114300" simplePos="0" relativeHeight="251657728" behindDoc="0" locked="0" layoutInCell="1" allowOverlap="0" wp14:anchorId="331DFF2D" wp14:editId="597501FF">
                <wp:simplePos x="0" y="0"/>
                <wp:positionH relativeFrom="column">
                  <wp:posOffset>-80645</wp:posOffset>
                </wp:positionH>
                <wp:positionV relativeFrom="page">
                  <wp:posOffset>10166350</wp:posOffset>
                </wp:positionV>
                <wp:extent cx="3009900" cy="234315"/>
                <wp:effectExtent l="0" t="0" r="12700" b="19685"/>
                <wp:wrapTopAndBottom/>
                <wp:docPr id="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343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71656A3" w14:textId="77777777" w:rsidR="00654562" w:rsidRDefault="00654562" w:rsidP="00165665">
                            <w:pPr>
                              <w:pStyle w:val="BodyTextIndent"/>
                              <w:tabs>
                                <w:tab w:val="left" w:leader="underscore" w:pos="1800"/>
                              </w:tabs>
                              <w:ind w:firstLine="0"/>
                              <w:rPr>
                                <w:kern w:val="16"/>
                                <w:sz w:val="8"/>
                              </w:rPr>
                            </w:pPr>
                            <w:r>
                              <w:rPr>
                                <w:kern w:val="16"/>
                                <w:sz w:val="8"/>
                              </w:rPr>
                              <w:tab/>
                            </w:r>
                          </w:p>
                          <w:p w14:paraId="4F067339" w14:textId="77777777" w:rsidR="00654562" w:rsidRPr="00E56880" w:rsidRDefault="00654562" w:rsidP="00726E9D">
                            <w:pPr>
                              <w:pStyle w:val="FootnoteText"/>
                              <w:jc w:val="both"/>
                            </w:pPr>
                            <w:r>
                              <w:t>† email address</w:t>
                            </w:r>
                            <w:r w:rsidR="008414B2">
                              <w:rPr>
                                <w:kern w:val="16"/>
                              </w:rPr>
                              <w:tab/>
                            </w:r>
                            <w:r w:rsidR="00FC0ACD">
                              <w:rPr>
                                <w:kern w:val="16"/>
                              </w:rPr>
                              <w:t>Konstantin.Lekomtsev@rhul.ac.uk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1DFF2D" id="_x0000_t202" coordsize="21600,21600" o:spt="202" path="m,l,21600r21600,l21600,xe">
                <v:stroke joinstyle="miter"/>
                <v:path gradientshapeok="t" o:connecttype="rect"/>
              </v:shapetype>
              <v:shape id="Text Box 38" o:spid="_x0000_s1026" type="#_x0000_t202" style="position:absolute;left:0;text-align:left;margin-left:-6.35pt;margin-top:800.5pt;width:237pt;height:18.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" o:allowoverlap="f" filled="f" stroked="f">
                <v:textbox inset="0,0,0,0">
                  <w:txbxContent>
                    <w:p w14:paraId="171656A3" w14:textId="77777777" w:rsidR="00654562" w:rsidRDefault="00654562" w:rsidP="00165665">
                      <w:pPr>
                        <w:pStyle w:val="BodyTextIndent"/>
                        <w:tabs>
                          <w:tab w:val="left" w:leader="underscore" w:pos="1800"/>
                        </w:tabs>
                        <w:ind w:firstLine="0"/>
                        <w:rPr>
                          <w:kern w:val="16"/>
                          <w:sz w:val="8"/>
                        </w:rPr>
                      </w:pPr>
                      <w:r>
                        <w:rPr>
                          <w:kern w:val="16"/>
                          <w:sz w:val="8"/>
                        </w:rPr>
                        <w:tab/>
                      </w:r>
                    </w:p>
                    <w:p w14:paraId="4F067339" w14:textId="77777777" w:rsidR="00654562" w:rsidRPr="00E56880" w:rsidRDefault="00654562" w:rsidP="00726E9D">
                      <w:pPr>
                        <w:pStyle w:val="FootnoteText"/>
                        <w:jc w:val="both"/>
                      </w:pPr>
                      <w:r>
                        <w:t>† email address</w:t>
                      </w:r>
                      <w:r w:rsidR="008414B2">
                        <w:rPr>
                          <w:kern w:val="16"/>
                        </w:rPr>
                        <w:tab/>
                      </w:r>
                      <w:r w:rsidR="00FC0ACD">
                        <w:rPr>
                          <w:kern w:val="16"/>
                        </w:rPr>
                        <w:t>Konstantin.Lekomtsev@rhul.ac.uk</w:t>
                      </w:r>
                    </w:p>
                  </w:txbxContent>
                </v:textbox>
                <w10:wrap type="topAndBottom" anchory="page"/>
              </v:shape>
            </w:pict>
          </mc:Fallback>
        </mc:AlternateContent>
      </w:r>
      <w:r w:rsidR="00940DB5">
        <w:rPr>
          <w:rStyle w:val="JBodyTextIndentChar"/>
        </w:rPr>
        <w:t>An experimental study was carried out at the Laser Undulator Compact X-ray facility (LUCX) in KEK, Japan</w:t>
      </w:r>
      <w:r w:rsidR="00872D76">
        <w:rPr>
          <w:rStyle w:val="JBodyTextIndentChar"/>
        </w:rPr>
        <w:t xml:space="preserve"> [7]</w:t>
      </w:r>
      <w:r w:rsidR="00940DB5">
        <w:rPr>
          <w:rStyle w:val="JBodyTextIndentChar"/>
        </w:rPr>
        <w:t xml:space="preserve">. </w:t>
      </w:r>
      <w:r w:rsidR="00FC0ACD">
        <w:rPr>
          <w:rStyle w:val="JBodyTextIndentChar"/>
        </w:rPr>
        <w:t xml:space="preserve">The </w:t>
      </w:r>
      <w:r w:rsidR="00A57E80">
        <w:rPr>
          <w:rStyle w:val="JBodyTextIndentChar"/>
        </w:rPr>
        <w:t xml:space="preserve">mm-scale </w:t>
      </w:r>
      <w:r w:rsidR="00FC0ACD">
        <w:rPr>
          <w:rStyle w:val="JBodyTextIndentChar"/>
        </w:rPr>
        <w:t>capillary used in the experiment was constructed as a set of dielectric cylindrical rings mounted into a copper casing and secured by holders on both sides.</w:t>
      </w:r>
      <w:r w:rsidR="000E4F4D">
        <w:rPr>
          <w:rStyle w:val="JBodyTextIndentChar"/>
        </w:rPr>
        <w:t xml:space="preserve"> The term “</w:t>
      </w:r>
      <w:r w:rsidR="007E5EF2">
        <w:rPr>
          <w:rStyle w:val="JBodyTextIndentChar"/>
        </w:rPr>
        <w:t>mm-scale</w:t>
      </w:r>
      <w:r w:rsidR="000E4F4D">
        <w:rPr>
          <w:rStyle w:val="JBodyTextIndentChar"/>
        </w:rPr>
        <w:t>”</w:t>
      </w:r>
      <w:r w:rsidR="009F1AA2">
        <w:rPr>
          <w:rStyle w:val="JBodyTextIndentChar"/>
        </w:rPr>
        <w:t xml:space="preserve"> was used to differentiate the structure discussed here with typical transverse sizes in the order of mm from </w:t>
      </w:r>
      <m:oMath>
        <m:r>
          <w:rPr>
            <w:rStyle w:val="JBodyTextIndentChar"/>
            <w:rFonts w:ascii="Cambria Math" w:hAnsi="Cambria Math"/>
          </w:rPr>
          <m:t>μ</m:t>
        </m:r>
      </m:oMath>
      <w:r w:rsidR="009F1AA2">
        <w:rPr>
          <w:rStyle w:val="JBodyTextIndentChar"/>
        </w:rPr>
        <w:t>m</w:t>
      </w:r>
      <w:r w:rsidR="00FC0ACD">
        <w:rPr>
          <w:rStyle w:val="JBodyTextIndentChar"/>
        </w:rPr>
        <w:t xml:space="preserve"> </w:t>
      </w:r>
      <w:r w:rsidR="009F1AA2">
        <w:rPr>
          <w:rStyle w:val="JBodyTextIndentChar"/>
        </w:rPr>
        <w:t xml:space="preserve">scale </w:t>
      </w:r>
      <w:r w:rsidR="000A7D6B">
        <w:rPr>
          <w:rStyle w:val="JBodyTextIndentChar"/>
        </w:rPr>
        <w:t>capillaries</w:t>
      </w:r>
      <w:r w:rsidR="009F1AA2">
        <w:rPr>
          <w:rStyle w:val="JBodyTextIndentChar"/>
        </w:rPr>
        <w:t xml:space="preserve">. </w:t>
      </w:r>
      <w:r w:rsidR="000A7D6B">
        <w:rPr>
          <w:rStyle w:val="JBodyTextIndentChar"/>
        </w:rPr>
        <w:t>A s</w:t>
      </w:r>
      <w:r w:rsidR="00FC0ACD">
        <w:rPr>
          <w:rStyle w:val="JBodyTextIndentChar"/>
        </w:rPr>
        <w:t xml:space="preserve">cheme of </w:t>
      </w:r>
      <w:r w:rsidR="000A7D6B">
        <w:rPr>
          <w:rStyle w:val="JBodyTextIndentChar"/>
        </w:rPr>
        <w:t>a</w:t>
      </w:r>
      <w:r w:rsidR="00FC0ACD">
        <w:rPr>
          <w:rStyle w:val="JBodyTextIndentChar"/>
        </w:rPr>
        <w:t xml:space="preserve"> corrug</w:t>
      </w:r>
      <w:r w:rsidR="00AD5EA6">
        <w:rPr>
          <w:rStyle w:val="JBodyTextIndentChar"/>
        </w:rPr>
        <w:t>ated channel is shown in Fig. 1</w:t>
      </w:r>
      <w:r w:rsidR="00FC0ACD">
        <w:rPr>
          <w:rStyle w:val="JBodyTextIndentChar"/>
        </w:rPr>
        <w:t xml:space="preserve">(a), a cross-section of the assembly of the capillary </w:t>
      </w:r>
      <w:r w:rsidR="00AD5EA6">
        <w:rPr>
          <w:rStyle w:val="JBodyTextIndentChar"/>
        </w:rPr>
        <w:t>with holders is shown in Fig. 1</w:t>
      </w:r>
      <w:r w:rsidR="00FC0ACD">
        <w:rPr>
          <w:rStyle w:val="JBodyTextIndentChar"/>
        </w:rPr>
        <w:t>(b). The ca</w:t>
      </w:r>
      <w:r w:rsidR="007E2471">
        <w:rPr>
          <w:rStyle w:val="JBodyTextIndentChar"/>
        </w:rPr>
        <w:t>pillary was attached to a</w:t>
      </w:r>
      <w:r w:rsidR="00FC0ACD">
        <w:rPr>
          <w:rStyle w:val="JBodyTextIndentChar"/>
        </w:rPr>
        <w:t xml:space="preserve"> manipulator that </w:t>
      </w:r>
      <w:r w:rsidR="00FC0ACD">
        <w:rPr>
          <w:rStyle w:val="JBodyTextIndentChar"/>
        </w:rPr>
        <w:t>was used to position the structure with respect to an electron beam</w:t>
      </w:r>
      <w:r w:rsidR="007E2471">
        <w:rPr>
          <w:rStyle w:val="JBodyTextIndentChar"/>
        </w:rPr>
        <w:t xml:space="preserve"> in a vacuum chamber (the chamber location marked as “</w:t>
      </w:r>
      <w:r w:rsidR="00561C01">
        <w:rPr>
          <w:rStyle w:val="JBodyTextIndentChar"/>
        </w:rPr>
        <w:t>THz chamber</w:t>
      </w:r>
      <w:r w:rsidR="007E2471">
        <w:rPr>
          <w:rStyle w:val="JBodyTextIndentChar"/>
        </w:rPr>
        <w:t>” in Fig. 2)</w:t>
      </w:r>
      <w:r w:rsidR="00FC0ACD">
        <w:rPr>
          <w:rStyle w:val="JBodyTextIndentChar"/>
        </w:rPr>
        <w:t xml:space="preserve">. The positioning of the capillary in </w:t>
      </w:r>
      <w:r w:rsidR="00C47C34">
        <w:rPr>
          <w:rStyle w:val="JBodyTextIndentChar"/>
        </w:rPr>
        <w:t>the</w:t>
      </w:r>
      <w:r w:rsidR="00FC0ACD">
        <w:rPr>
          <w:rStyle w:val="JBodyTextIndentChar"/>
        </w:rPr>
        <w:t xml:space="preserve"> chamber was performed using so called gamma scans, when the beam was scanned transversely across the capillary and </w:t>
      </w:r>
      <w:r w:rsidR="00286C65">
        <w:rPr>
          <w:rStyle w:val="JBodyTextIndentChar"/>
        </w:rPr>
        <w:t>bremsstrahlung</w:t>
      </w:r>
      <w:r w:rsidR="00FC0ACD">
        <w:rPr>
          <w:rStyle w:val="JBodyTextIndentChar"/>
        </w:rPr>
        <w:t xml:space="preserve"> radiation produced when th</w:t>
      </w:r>
      <w:r w:rsidR="009F1AA2">
        <w:rPr>
          <w:rStyle w:val="JBodyTextIndentChar"/>
        </w:rPr>
        <w:t>e beam was hitting the</w:t>
      </w:r>
      <w:r w:rsidR="00FC0ACD">
        <w:rPr>
          <w:rStyle w:val="JBodyTextIndentChar"/>
        </w:rPr>
        <w:t xml:space="preserve"> </w:t>
      </w:r>
      <w:r w:rsidR="00E91201">
        <w:rPr>
          <w:rStyle w:val="JBodyTextIndentChar"/>
        </w:rPr>
        <w:t>material was detected by</w:t>
      </w:r>
      <w:r w:rsidR="00555255">
        <w:rPr>
          <w:rStyle w:val="JBodyTextIndentChar"/>
        </w:rPr>
        <w:t xml:space="preserve"> an</w:t>
      </w:r>
      <w:r w:rsidR="00E91201">
        <w:rPr>
          <w:rStyle w:val="JBodyTextIndentChar"/>
        </w:rPr>
        <w:t xml:space="preserve"> a</w:t>
      </w:r>
      <w:r w:rsidR="00286C65">
        <w:rPr>
          <w:rStyle w:val="JBodyTextIndentChar"/>
        </w:rPr>
        <w:t xml:space="preserve">ir - Cherenkov detector. </w:t>
      </w:r>
      <w:r w:rsidR="00FC0ACD">
        <w:rPr>
          <w:rStyle w:val="JBodyTextIndentChar"/>
        </w:rPr>
        <w:t>The scan</w:t>
      </w:r>
      <w:r w:rsidR="0092627C">
        <w:rPr>
          <w:rStyle w:val="JBodyTextIndentChar"/>
        </w:rPr>
        <w:t>ning</w:t>
      </w:r>
      <w:r w:rsidR="00FC0ACD">
        <w:rPr>
          <w:rStyle w:val="JBodyTextIndentChar"/>
        </w:rPr>
        <w:t xml:space="preserve"> region where the </w:t>
      </w:r>
      <w:r w:rsidR="000B2D95">
        <w:rPr>
          <w:rStyle w:val="JBodyTextIndentChar"/>
        </w:rPr>
        <w:t>weakest</w:t>
      </w:r>
      <w:r w:rsidR="00FC0ACD">
        <w:rPr>
          <w:rStyle w:val="JBodyTextIndentChar"/>
        </w:rPr>
        <w:t xml:space="preserve"> signal was detected corresponded to the beam propagation through the capillary aperture. </w:t>
      </w:r>
    </w:p>
    <w:p w14:paraId="669135C9" w14:textId="77777777" w:rsidR="00FC0ACD" w:rsidRPr="000D7676" w:rsidRDefault="00FC0ACD" w:rsidP="00FC0ACD">
      <w:pPr>
        <w:pStyle w:val="JSubsectionHeading"/>
        <w:jc w:val="center"/>
        <w:rPr>
          <w:i w:val="0"/>
        </w:rPr>
      </w:pPr>
      <w:r>
        <w:rPr>
          <w:i w:val="0"/>
          <w:noProof/>
          <w:lang w:eastAsia="en-GB"/>
        </w:rPr>
        <w:drawing>
          <wp:inline distT="0" distB="0" distL="0" distR="0" wp14:anchorId="5F119A75" wp14:editId="415F67AD">
            <wp:extent cx="2968625" cy="1670050"/>
            <wp:effectExtent l="0" t="0" r="317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illary design.png"/>
                    <pic:cNvPicPr/>
                  </pic:nvPicPr>
                  <pic:blipFill>
                    <a:blip r:embed="rId8">
                      <a:extLst>
                        <a:ext uri="{28A0092B-C50C-407E-A947-70E740481C1C}">
                          <a14:useLocalDpi xmlns:a14="http://schemas.microsoft.com/office/drawing/2010/main" val="0"/>
                        </a:ext>
                      </a:extLst>
                    </a:blip>
                    <a:stretch>
                      <a:fillRect/>
                    </a:stretch>
                  </pic:blipFill>
                  <pic:spPr>
                    <a:xfrm>
                      <a:off x="0" y="0"/>
                      <a:ext cx="2968625" cy="1670050"/>
                    </a:xfrm>
                    <a:prstGeom prst="rect">
                      <a:avLst/>
                    </a:prstGeom>
                  </pic:spPr>
                </pic:pic>
              </a:graphicData>
            </a:graphic>
          </wp:inline>
        </w:drawing>
      </w:r>
    </w:p>
    <w:p w14:paraId="6BC95A60" w14:textId="53202C72" w:rsidR="00FC0ACD" w:rsidRPr="00BE1892" w:rsidRDefault="00FC0ACD" w:rsidP="004D15C1">
      <w:pPr>
        <w:pStyle w:val="Caption"/>
      </w:pPr>
      <w:r w:rsidRPr="0063734F">
        <w:t xml:space="preserve">Figure </w:t>
      </w:r>
      <w:r w:rsidRPr="0063734F">
        <w:fldChar w:fldCharType="begin"/>
      </w:r>
      <w:r w:rsidRPr="0063734F">
        <w:instrText xml:space="preserve"> SEQ Figure \* ARABIC </w:instrText>
      </w:r>
      <w:r w:rsidRPr="0063734F">
        <w:fldChar w:fldCharType="separate"/>
      </w:r>
      <w:r w:rsidR="00217BCE">
        <w:rPr>
          <w:noProof/>
        </w:rPr>
        <w:t>1</w:t>
      </w:r>
      <w:r w:rsidRPr="0063734F">
        <w:fldChar w:fldCharType="end"/>
      </w:r>
      <w:r w:rsidR="00872D76">
        <w:rPr>
          <w:rStyle w:val="CaptionChar"/>
        </w:rPr>
        <w:t>: Section of</w:t>
      </w:r>
      <w:r>
        <w:rPr>
          <w:rStyle w:val="CaptionChar"/>
        </w:rPr>
        <w:t xml:space="preserve"> corrugated c</w:t>
      </w:r>
      <w:r w:rsidR="00872D76">
        <w:rPr>
          <w:rStyle w:val="CaptionChar"/>
        </w:rPr>
        <w:t>hannel (a), cross-section of</w:t>
      </w:r>
      <w:r>
        <w:rPr>
          <w:rStyle w:val="CaptionChar"/>
        </w:rPr>
        <w:t xml:space="preserve"> corrugated</w:t>
      </w:r>
      <w:r w:rsidR="00872D76">
        <w:rPr>
          <w:rStyle w:val="CaptionChar"/>
        </w:rPr>
        <w:t xml:space="preserve"> mm-scale</w:t>
      </w:r>
      <w:r>
        <w:rPr>
          <w:rStyle w:val="CaptionChar"/>
        </w:rPr>
        <w:t xml:space="preserve"> capillary with holders</w:t>
      </w:r>
      <w:r w:rsidR="00630703">
        <w:rPr>
          <w:rStyle w:val="CaptionChar"/>
        </w:rPr>
        <w:t xml:space="preserve"> (b)</w:t>
      </w:r>
      <w:r w:rsidRPr="00BA703E">
        <w:t>.</w:t>
      </w:r>
    </w:p>
    <w:p w14:paraId="5119F856" w14:textId="5C111B2E" w:rsidR="00CC59C3" w:rsidRDefault="00223792" w:rsidP="00E032CB">
      <w:pPr>
        <w:pStyle w:val="BodyTextIndent"/>
        <w:rPr>
          <w:kern w:val="16"/>
        </w:rPr>
      </w:pPr>
      <w:r>
        <w:rPr>
          <w:rStyle w:val="JBodyTextIndentChar"/>
        </w:rPr>
        <w:t>An electron beam was produced by illuminating a photocathode using a Titanium-Sapphire laser system</w:t>
      </w:r>
      <w:r w:rsidR="008905DF">
        <w:rPr>
          <w:rStyle w:val="JBodyTextIndentChar"/>
        </w:rPr>
        <w:t xml:space="preserve"> with fs duration pulses</w:t>
      </w:r>
      <w:r>
        <w:rPr>
          <w:rStyle w:val="JBodyTextIndentChar"/>
        </w:rPr>
        <w:t xml:space="preserve">. Drive and witness bunches of unequal charge were produced by introducing laser pulses intensity imbalance by mechanical adjustment of a half-wave plate inside the laser buncher system [8]. </w:t>
      </w:r>
    </w:p>
    <w:p w14:paraId="710DEB27" w14:textId="1FDD040A" w:rsidR="00FC0ACD" w:rsidRPr="00BA703E" w:rsidRDefault="00FC0ACD" w:rsidP="004D15C1">
      <w:pPr>
        <w:pStyle w:val="Caption"/>
        <w:jc w:val="center"/>
        <w:rPr>
          <w:b/>
        </w:rPr>
      </w:pPr>
      <w:r w:rsidRPr="00BA703E">
        <w:t xml:space="preserve">Table 1: </w:t>
      </w:r>
      <w:r>
        <w:t>Parameters.</w:t>
      </w:r>
    </w:p>
    <w:tbl>
      <w:tblPr>
        <w:tblW w:w="0" w:type="auto"/>
        <w:jc w:val="center"/>
        <w:tblBorders>
          <w:top w:val="single" w:sz="12" w:space="0" w:color="auto"/>
          <w:bottom w:val="single" w:sz="12" w:space="0" w:color="auto"/>
          <w:insideH w:val="single" w:sz="4" w:space="0" w:color="auto"/>
        </w:tblBorders>
        <w:tblLook w:val="0000" w:firstRow="0" w:lastRow="0" w:firstColumn="0" w:lastColumn="0" w:noHBand="0" w:noVBand="0"/>
      </w:tblPr>
      <w:tblGrid>
        <w:gridCol w:w="2675"/>
        <w:gridCol w:w="1952"/>
      </w:tblGrid>
      <w:tr w:rsidR="00FC0ACD" w:rsidRPr="00E56880" w14:paraId="5A0F42D0" w14:textId="77777777" w:rsidTr="001255BC">
        <w:trPr>
          <w:trHeight w:val="297"/>
          <w:jc w:val="center"/>
        </w:trPr>
        <w:tc>
          <w:tcPr>
            <w:tcW w:w="2675" w:type="dxa"/>
            <w:tcBorders>
              <w:top w:val="single" w:sz="8" w:space="0" w:color="auto"/>
              <w:bottom w:val="single" w:sz="4" w:space="0" w:color="auto"/>
            </w:tcBorders>
          </w:tcPr>
          <w:p w14:paraId="3E0334E6" w14:textId="77777777" w:rsidR="00FC0ACD" w:rsidRPr="00D90022" w:rsidRDefault="00FC0ACD" w:rsidP="000826DD">
            <w:pPr>
              <w:pStyle w:val="TableCaption"/>
              <w:keepNext/>
              <w:spacing w:before="20" w:after="20"/>
              <w:jc w:val="left"/>
              <w:rPr>
                <w:b/>
                <w:bCs/>
                <w:kern w:val="16"/>
                <w:szCs w:val="18"/>
              </w:rPr>
            </w:pPr>
            <w:r>
              <w:rPr>
                <w:b/>
                <w:bCs/>
                <w:kern w:val="16"/>
                <w:szCs w:val="18"/>
              </w:rPr>
              <w:t>Parameter</w:t>
            </w:r>
          </w:p>
        </w:tc>
        <w:tc>
          <w:tcPr>
            <w:tcW w:w="1952" w:type="dxa"/>
            <w:tcBorders>
              <w:top w:val="single" w:sz="8" w:space="0" w:color="auto"/>
              <w:bottom w:val="single" w:sz="4" w:space="0" w:color="auto"/>
            </w:tcBorders>
          </w:tcPr>
          <w:p w14:paraId="1C112D9B" w14:textId="77777777" w:rsidR="00FC0ACD" w:rsidRPr="00D90022" w:rsidRDefault="00FC0ACD" w:rsidP="000F0D5B">
            <w:pPr>
              <w:pStyle w:val="TableCaption"/>
              <w:keepNext/>
              <w:spacing w:before="20" w:after="20"/>
              <w:rPr>
                <w:b/>
                <w:bCs/>
                <w:kern w:val="16"/>
                <w:szCs w:val="18"/>
              </w:rPr>
            </w:pPr>
            <w:r>
              <w:rPr>
                <w:b/>
                <w:bCs/>
                <w:kern w:val="16"/>
                <w:szCs w:val="18"/>
              </w:rPr>
              <w:t>Value</w:t>
            </w:r>
          </w:p>
        </w:tc>
      </w:tr>
      <w:tr w:rsidR="00FC0ACD" w:rsidRPr="00E56880" w14:paraId="1CA50AC8" w14:textId="77777777" w:rsidTr="001255BC">
        <w:trPr>
          <w:trHeight w:val="288"/>
          <w:jc w:val="center"/>
        </w:trPr>
        <w:tc>
          <w:tcPr>
            <w:tcW w:w="2675" w:type="dxa"/>
            <w:tcBorders>
              <w:top w:val="single" w:sz="4" w:space="0" w:color="auto"/>
              <w:bottom w:val="nil"/>
            </w:tcBorders>
          </w:tcPr>
          <w:p w14:paraId="1683058C" w14:textId="2523A75B" w:rsidR="00FC0ACD" w:rsidRPr="00D90022" w:rsidRDefault="00FC0ACD" w:rsidP="000826DD">
            <w:pPr>
              <w:pStyle w:val="TableCaption"/>
              <w:keepNext/>
              <w:spacing w:before="20" w:after="20"/>
              <w:jc w:val="left"/>
              <w:rPr>
                <w:kern w:val="16"/>
                <w:szCs w:val="18"/>
              </w:rPr>
            </w:pPr>
            <w:r>
              <w:rPr>
                <w:kern w:val="16"/>
                <w:szCs w:val="18"/>
              </w:rPr>
              <w:t>Drive bunch charge</w:t>
            </w:r>
          </w:p>
        </w:tc>
        <w:tc>
          <w:tcPr>
            <w:tcW w:w="1952" w:type="dxa"/>
            <w:tcBorders>
              <w:top w:val="single" w:sz="4" w:space="0" w:color="auto"/>
              <w:bottom w:val="nil"/>
            </w:tcBorders>
          </w:tcPr>
          <w:p w14:paraId="3B78997C" w14:textId="63D80727" w:rsidR="00FC0ACD" w:rsidRPr="000F0D5B" w:rsidRDefault="00395578" w:rsidP="000F0D5B">
            <w:pPr>
              <w:pStyle w:val="TableCaption"/>
              <w:keepNext/>
              <w:spacing w:before="20" w:after="20"/>
              <w:jc w:val="left"/>
              <w:rPr>
                <w:kern w:val="16"/>
                <w:szCs w:val="18"/>
              </w:rPr>
            </w:pPr>
            <m:oMathPara>
              <m:oMathParaPr>
                <m:jc m:val="center"/>
              </m:oMathParaPr>
              <m:oMath>
                <m:r>
                  <w:rPr>
                    <w:rFonts w:ascii="Cambria Math" w:hAnsi="Cambria Math"/>
                    <w:kern w:val="16"/>
                    <w:szCs w:val="18"/>
                  </w:rPr>
                  <m:t xml:space="preserve">~2 </m:t>
                </m:r>
                <m:r>
                  <m:rPr>
                    <m:sty m:val="p"/>
                  </m:rPr>
                  <w:rPr>
                    <w:rFonts w:ascii="Cambria Math" w:hAnsi="Cambria Math"/>
                    <w:kern w:val="16"/>
                    <w:szCs w:val="18"/>
                  </w:rPr>
                  <m:t>pC</m:t>
                </m:r>
              </m:oMath>
            </m:oMathPara>
          </w:p>
        </w:tc>
      </w:tr>
      <w:tr w:rsidR="00FC0ACD" w:rsidRPr="00E56880" w14:paraId="57F579B0" w14:textId="77777777" w:rsidTr="001255BC">
        <w:trPr>
          <w:trHeight w:val="288"/>
          <w:jc w:val="center"/>
        </w:trPr>
        <w:tc>
          <w:tcPr>
            <w:tcW w:w="2675" w:type="dxa"/>
            <w:tcBorders>
              <w:top w:val="nil"/>
              <w:bottom w:val="nil"/>
            </w:tcBorders>
          </w:tcPr>
          <w:p w14:paraId="029B613E" w14:textId="62732D47" w:rsidR="00FC0ACD" w:rsidRPr="00D90022" w:rsidRDefault="00FC0ACD" w:rsidP="000826DD">
            <w:pPr>
              <w:pStyle w:val="TableCaption"/>
              <w:keepNext/>
              <w:spacing w:before="20" w:after="20"/>
              <w:jc w:val="left"/>
              <w:rPr>
                <w:kern w:val="16"/>
                <w:szCs w:val="18"/>
              </w:rPr>
            </w:pPr>
            <w:r>
              <w:rPr>
                <w:kern w:val="16"/>
                <w:szCs w:val="18"/>
              </w:rPr>
              <w:t xml:space="preserve">Drive bunch </w:t>
            </w:r>
            <m:oMath>
              <m:sSub>
                <m:sSubPr>
                  <m:ctrlPr>
                    <w:rPr>
                      <w:rFonts w:ascii="Cambria Math" w:hAnsi="Cambria Math"/>
                      <w:i/>
                      <w:kern w:val="16"/>
                      <w:szCs w:val="18"/>
                    </w:rPr>
                  </m:ctrlPr>
                </m:sSubPr>
                <m:e>
                  <m:r>
                    <w:rPr>
                      <w:rFonts w:ascii="Cambria Math" w:hAnsi="Cambria Math"/>
                      <w:kern w:val="16"/>
                      <w:szCs w:val="18"/>
                    </w:rPr>
                    <m:t>σ</m:t>
                  </m:r>
                </m:e>
                <m:sub>
                  <m:r>
                    <m:rPr>
                      <m:sty m:val="p"/>
                    </m:rPr>
                    <w:rPr>
                      <w:rFonts w:ascii="Cambria Math" w:hAnsi="Cambria Math"/>
                      <w:kern w:val="16"/>
                      <w:szCs w:val="18"/>
                    </w:rPr>
                    <m:t>transv</m:t>
                  </m:r>
                </m:sub>
              </m:sSub>
            </m:oMath>
          </w:p>
        </w:tc>
        <w:tc>
          <w:tcPr>
            <w:tcW w:w="1952" w:type="dxa"/>
            <w:tcBorders>
              <w:top w:val="nil"/>
              <w:bottom w:val="nil"/>
            </w:tcBorders>
          </w:tcPr>
          <w:p w14:paraId="1DEE3F0C" w14:textId="61D919FA" w:rsidR="00FC0ACD" w:rsidRPr="000F0D5B" w:rsidRDefault="00395578" w:rsidP="000F0D5B">
            <w:pPr>
              <w:pStyle w:val="TableCaption"/>
              <w:keepNext/>
              <w:spacing w:before="20" w:after="20"/>
              <w:jc w:val="left"/>
              <w:rPr>
                <w:kern w:val="16"/>
                <w:szCs w:val="18"/>
              </w:rPr>
            </w:pPr>
            <m:oMathPara>
              <m:oMathParaPr>
                <m:jc m:val="center"/>
              </m:oMathParaPr>
              <m:oMath>
                <m:r>
                  <w:rPr>
                    <w:rFonts w:ascii="Cambria Math" w:hAnsi="Cambria Math"/>
                    <w:kern w:val="16"/>
                    <w:szCs w:val="18"/>
                  </w:rPr>
                  <m:t xml:space="preserve">~300 </m:t>
                </m:r>
                <m:r>
                  <m:rPr>
                    <m:sty m:val="p"/>
                  </m:rPr>
                  <w:rPr>
                    <w:rFonts w:ascii="Cambria Math" w:hAnsi="Cambria Math"/>
                    <w:kern w:val="16"/>
                    <w:szCs w:val="18"/>
                  </w:rPr>
                  <m:t>μm</m:t>
                </m:r>
              </m:oMath>
            </m:oMathPara>
          </w:p>
        </w:tc>
      </w:tr>
      <w:tr w:rsidR="00FC0ACD" w:rsidRPr="00E56880" w14:paraId="6DEDE421" w14:textId="77777777" w:rsidTr="001255BC">
        <w:trPr>
          <w:trHeight w:val="288"/>
          <w:jc w:val="center"/>
        </w:trPr>
        <w:tc>
          <w:tcPr>
            <w:tcW w:w="2675" w:type="dxa"/>
            <w:tcBorders>
              <w:top w:val="nil"/>
              <w:bottom w:val="nil"/>
            </w:tcBorders>
          </w:tcPr>
          <w:p w14:paraId="7F4A4CF8" w14:textId="5A46EF77" w:rsidR="00FC0ACD" w:rsidRPr="00D90022" w:rsidRDefault="00FC0ACD" w:rsidP="000826DD">
            <w:pPr>
              <w:pStyle w:val="TableCaption"/>
              <w:keepNext/>
              <w:spacing w:before="20" w:after="20"/>
              <w:jc w:val="left"/>
              <w:rPr>
                <w:kern w:val="16"/>
                <w:szCs w:val="18"/>
              </w:rPr>
            </w:pPr>
            <w:r>
              <w:rPr>
                <w:kern w:val="16"/>
                <w:szCs w:val="18"/>
              </w:rPr>
              <w:t xml:space="preserve">Drive bunch </w:t>
            </w:r>
            <m:oMath>
              <m:sSub>
                <m:sSubPr>
                  <m:ctrlPr>
                    <w:rPr>
                      <w:rFonts w:ascii="Cambria Math" w:hAnsi="Cambria Math"/>
                      <w:i/>
                      <w:kern w:val="16"/>
                      <w:szCs w:val="18"/>
                    </w:rPr>
                  </m:ctrlPr>
                </m:sSubPr>
                <m:e>
                  <m:r>
                    <w:rPr>
                      <w:rFonts w:ascii="Cambria Math" w:hAnsi="Cambria Math"/>
                      <w:kern w:val="16"/>
                      <w:szCs w:val="18"/>
                    </w:rPr>
                    <m:t>σ</m:t>
                  </m:r>
                </m:e>
                <m:sub>
                  <m:r>
                    <m:rPr>
                      <m:sty m:val="p"/>
                    </m:rPr>
                    <w:rPr>
                      <w:rFonts w:ascii="Cambria Math" w:hAnsi="Cambria Math"/>
                      <w:kern w:val="16"/>
                      <w:szCs w:val="18"/>
                    </w:rPr>
                    <m:t>long</m:t>
                  </m:r>
                </m:sub>
              </m:sSub>
            </m:oMath>
          </w:p>
        </w:tc>
        <w:tc>
          <w:tcPr>
            <w:tcW w:w="1952" w:type="dxa"/>
            <w:tcBorders>
              <w:top w:val="nil"/>
              <w:bottom w:val="nil"/>
            </w:tcBorders>
          </w:tcPr>
          <w:p w14:paraId="6077C5D8" w14:textId="394792C3" w:rsidR="00FC0ACD" w:rsidRPr="000F0D5B" w:rsidRDefault="00395578" w:rsidP="000F0D5B">
            <w:pPr>
              <w:pStyle w:val="TableCaption"/>
              <w:keepNext/>
              <w:spacing w:before="20" w:after="20"/>
              <w:jc w:val="left"/>
              <w:rPr>
                <w:kern w:val="16"/>
                <w:szCs w:val="18"/>
              </w:rPr>
            </w:pPr>
            <m:oMathPara>
              <m:oMathParaPr>
                <m:jc m:val="center"/>
              </m:oMathParaPr>
              <m:oMath>
                <m:r>
                  <w:rPr>
                    <w:rFonts w:ascii="Cambria Math" w:hAnsi="Cambria Math"/>
                    <w:kern w:val="16"/>
                    <w:szCs w:val="18"/>
                  </w:rPr>
                  <m:t xml:space="preserve">~70 </m:t>
                </m:r>
                <m:r>
                  <m:rPr>
                    <m:sty m:val="p"/>
                  </m:rPr>
                  <w:rPr>
                    <w:rFonts w:ascii="Cambria Math" w:hAnsi="Cambria Math"/>
                    <w:kern w:val="16"/>
                    <w:szCs w:val="18"/>
                  </w:rPr>
                  <m:t>fs</m:t>
                </m:r>
              </m:oMath>
            </m:oMathPara>
          </w:p>
        </w:tc>
      </w:tr>
      <w:tr w:rsidR="00FC0ACD" w:rsidRPr="00E56880" w14:paraId="7DED0ABB" w14:textId="77777777" w:rsidTr="001255BC">
        <w:trPr>
          <w:trHeight w:val="297"/>
          <w:jc w:val="center"/>
        </w:trPr>
        <w:tc>
          <w:tcPr>
            <w:tcW w:w="2675" w:type="dxa"/>
            <w:tcBorders>
              <w:top w:val="nil"/>
              <w:bottom w:val="nil"/>
            </w:tcBorders>
          </w:tcPr>
          <w:p w14:paraId="5A55BF12" w14:textId="77777777" w:rsidR="00FC0ACD" w:rsidRPr="00D90022" w:rsidRDefault="00FC0ACD" w:rsidP="000826DD">
            <w:pPr>
              <w:pStyle w:val="TableCaption"/>
              <w:spacing w:before="20" w:after="20"/>
              <w:jc w:val="left"/>
              <w:rPr>
                <w:kern w:val="16"/>
                <w:szCs w:val="18"/>
              </w:rPr>
            </w:pPr>
            <w:r>
              <w:rPr>
                <w:kern w:val="16"/>
                <w:szCs w:val="18"/>
              </w:rPr>
              <w:t>Witness bunch charge</w:t>
            </w:r>
          </w:p>
        </w:tc>
        <w:tc>
          <w:tcPr>
            <w:tcW w:w="1952" w:type="dxa"/>
            <w:tcBorders>
              <w:top w:val="nil"/>
              <w:bottom w:val="nil"/>
            </w:tcBorders>
          </w:tcPr>
          <w:p w14:paraId="269003C3" w14:textId="7425C741" w:rsidR="00FC0ACD" w:rsidRPr="000F0D5B" w:rsidRDefault="00395578" w:rsidP="000F0D5B">
            <w:pPr>
              <w:pStyle w:val="TableCaption"/>
              <w:spacing w:before="20" w:after="20"/>
              <w:jc w:val="left"/>
              <w:rPr>
                <w:kern w:val="16"/>
                <w:szCs w:val="18"/>
              </w:rPr>
            </w:pPr>
            <m:oMathPara>
              <m:oMathParaPr>
                <m:jc m:val="center"/>
              </m:oMathParaPr>
              <m:oMath>
                <m:r>
                  <w:rPr>
                    <w:rFonts w:ascii="Cambria Math" w:hAnsi="Cambria Math"/>
                    <w:kern w:val="16"/>
                    <w:szCs w:val="18"/>
                  </w:rPr>
                  <m:t xml:space="preserve">~0.67 </m:t>
                </m:r>
                <m:r>
                  <m:rPr>
                    <m:sty m:val="p"/>
                  </m:rPr>
                  <w:rPr>
                    <w:rFonts w:ascii="Cambria Math" w:hAnsi="Cambria Math"/>
                    <w:kern w:val="16"/>
                    <w:szCs w:val="18"/>
                  </w:rPr>
                  <m:t>pC</m:t>
                </m:r>
              </m:oMath>
            </m:oMathPara>
          </w:p>
        </w:tc>
      </w:tr>
      <w:tr w:rsidR="00FC0ACD" w:rsidRPr="00E56880" w14:paraId="44AE7820" w14:textId="77777777" w:rsidTr="001255BC">
        <w:trPr>
          <w:trHeight w:val="305"/>
          <w:jc w:val="center"/>
        </w:trPr>
        <w:tc>
          <w:tcPr>
            <w:tcW w:w="2675" w:type="dxa"/>
            <w:tcBorders>
              <w:top w:val="nil"/>
              <w:bottom w:val="nil"/>
            </w:tcBorders>
          </w:tcPr>
          <w:p w14:paraId="09C19F4C" w14:textId="17789A01" w:rsidR="00FC0ACD" w:rsidRPr="00D90022" w:rsidRDefault="00FC0ACD" w:rsidP="000826DD">
            <w:pPr>
              <w:pStyle w:val="TableCaption"/>
              <w:spacing w:before="20" w:after="20"/>
              <w:jc w:val="left"/>
              <w:rPr>
                <w:kern w:val="16"/>
                <w:szCs w:val="18"/>
              </w:rPr>
            </w:pPr>
            <w:r>
              <w:rPr>
                <w:kern w:val="16"/>
                <w:szCs w:val="18"/>
              </w:rPr>
              <w:t xml:space="preserve">Witness bunch </w:t>
            </w:r>
            <m:oMath>
              <m:sSub>
                <m:sSubPr>
                  <m:ctrlPr>
                    <w:rPr>
                      <w:rFonts w:ascii="Cambria Math" w:hAnsi="Cambria Math"/>
                      <w:i/>
                      <w:kern w:val="16"/>
                      <w:szCs w:val="18"/>
                    </w:rPr>
                  </m:ctrlPr>
                </m:sSubPr>
                <m:e>
                  <m:r>
                    <w:rPr>
                      <w:rFonts w:ascii="Cambria Math" w:hAnsi="Cambria Math"/>
                      <w:kern w:val="16"/>
                      <w:szCs w:val="18"/>
                    </w:rPr>
                    <m:t>σ</m:t>
                  </m:r>
                </m:e>
                <m:sub>
                  <m:r>
                    <m:rPr>
                      <m:sty m:val="p"/>
                    </m:rPr>
                    <w:rPr>
                      <w:rFonts w:ascii="Cambria Math" w:hAnsi="Cambria Math"/>
                      <w:kern w:val="16"/>
                      <w:szCs w:val="18"/>
                    </w:rPr>
                    <m:t>transv</m:t>
                  </m:r>
                </m:sub>
              </m:sSub>
            </m:oMath>
          </w:p>
        </w:tc>
        <w:tc>
          <w:tcPr>
            <w:tcW w:w="1952" w:type="dxa"/>
            <w:tcBorders>
              <w:top w:val="nil"/>
              <w:bottom w:val="nil"/>
            </w:tcBorders>
          </w:tcPr>
          <w:p w14:paraId="6408E7B8" w14:textId="5E9B87EB" w:rsidR="00FC0ACD" w:rsidRPr="000F0D5B" w:rsidRDefault="00395578" w:rsidP="000F0D5B">
            <w:pPr>
              <w:pStyle w:val="TableCaption"/>
              <w:spacing w:before="20" w:after="20"/>
              <w:jc w:val="left"/>
              <w:rPr>
                <w:kern w:val="16"/>
                <w:szCs w:val="18"/>
              </w:rPr>
            </w:pPr>
            <m:oMathPara>
              <m:oMathParaPr>
                <m:jc m:val="center"/>
              </m:oMathParaPr>
              <m:oMath>
                <m:r>
                  <w:rPr>
                    <w:rFonts w:ascii="Cambria Math" w:hAnsi="Cambria Math"/>
                    <w:kern w:val="16"/>
                    <w:szCs w:val="18"/>
                  </w:rPr>
                  <m:t xml:space="preserve">~100 </m:t>
                </m:r>
                <m:r>
                  <m:rPr>
                    <m:sty m:val="p"/>
                  </m:rPr>
                  <w:rPr>
                    <w:rFonts w:ascii="Cambria Math" w:hAnsi="Cambria Math"/>
                    <w:kern w:val="16"/>
                    <w:szCs w:val="18"/>
                  </w:rPr>
                  <m:t>μm</m:t>
                </m:r>
              </m:oMath>
            </m:oMathPara>
          </w:p>
        </w:tc>
      </w:tr>
      <w:tr w:rsidR="00FC0ACD" w:rsidRPr="00E56880" w14:paraId="6F6651F7" w14:textId="77777777" w:rsidTr="001255BC">
        <w:trPr>
          <w:trHeight w:val="297"/>
          <w:jc w:val="center"/>
        </w:trPr>
        <w:tc>
          <w:tcPr>
            <w:tcW w:w="2675" w:type="dxa"/>
            <w:tcBorders>
              <w:top w:val="nil"/>
              <w:bottom w:val="nil"/>
            </w:tcBorders>
          </w:tcPr>
          <w:p w14:paraId="74434E3F" w14:textId="33F24E78" w:rsidR="00FC0ACD" w:rsidRPr="00D90022" w:rsidRDefault="00FC0ACD" w:rsidP="000826DD">
            <w:pPr>
              <w:pStyle w:val="TableCaption"/>
              <w:spacing w:before="20" w:after="20"/>
              <w:jc w:val="left"/>
              <w:rPr>
                <w:kern w:val="16"/>
                <w:szCs w:val="18"/>
              </w:rPr>
            </w:pPr>
            <w:r>
              <w:rPr>
                <w:kern w:val="16"/>
                <w:szCs w:val="18"/>
              </w:rPr>
              <w:t xml:space="preserve">Witness bunch </w:t>
            </w:r>
            <m:oMath>
              <m:sSub>
                <m:sSubPr>
                  <m:ctrlPr>
                    <w:rPr>
                      <w:rFonts w:ascii="Cambria Math" w:hAnsi="Cambria Math"/>
                      <w:i/>
                      <w:kern w:val="16"/>
                      <w:szCs w:val="18"/>
                    </w:rPr>
                  </m:ctrlPr>
                </m:sSubPr>
                <m:e>
                  <m:r>
                    <w:rPr>
                      <w:rFonts w:ascii="Cambria Math" w:hAnsi="Cambria Math"/>
                      <w:kern w:val="16"/>
                      <w:szCs w:val="18"/>
                    </w:rPr>
                    <m:t>σ</m:t>
                  </m:r>
                </m:e>
                <m:sub>
                  <m:r>
                    <m:rPr>
                      <m:sty m:val="p"/>
                    </m:rPr>
                    <w:rPr>
                      <w:rFonts w:ascii="Cambria Math" w:hAnsi="Cambria Math"/>
                      <w:kern w:val="16"/>
                      <w:szCs w:val="18"/>
                    </w:rPr>
                    <m:t>long</m:t>
                  </m:r>
                </m:sub>
              </m:sSub>
            </m:oMath>
          </w:p>
        </w:tc>
        <w:tc>
          <w:tcPr>
            <w:tcW w:w="1952" w:type="dxa"/>
            <w:tcBorders>
              <w:top w:val="nil"/>
              <w:bottom w:val="nil"/>
            </w:tcBorders>
          </w:tcPr>
          <w:p w14:paraId="551DB2EF" w14:textId="74501ED0" w:rsidR="00FC0ACD" w:rsidRPr="000F0D5B" w:rsidRDefault="00395578" w:rsidP="000F0D5B">
            <w:pPr>
              <w:pStyle w:val="TableCaption"/>
              <w:spacing w:before="20" w:after="20"/>
              <w:jc w:val="left"/>
              <w:rPr>
                <w:kern w:val="16"/>
                <w:szCs w:val="18"/>
              </w:rPr>
            </w:pPr>
            <m:oMathPara>
              <m:oMathParaPr>
                <m:jc m:val="center"/>
              </m:oMathParaPr>
              <m:oMath>
                <m:r>
                  <w:rPr>
                    <w:rFonts w:ascii="Cambria Math" w:hAnsi="Cambria Math"/>
                    <w:kern w:val="16"/>
                    <w:szCs w:val="18"/>
                  </w:rPr>
                  <m:t xml:space="preserve">~70 </m:t>
                </m:r>
                <m:r>
                  <m:rPr>
                    <m:sty m:val="p"/>
                  </m:rPr>
                  <w:rPr>
                    <w:rFonts w:ascii="Cambria Math" w:hAnsi="Cambria Math"/>
                    <w:kern w:val="16"/>
                    <w:szCs w:val="18"/>
                  </w:rPr>
                  <m:t>fs</m:t>
                </m:r>
              </m:oMath>
            </m:oMathPara>
          </w:p>
        </w:tc>
      </w:tr>
      <w:tr w:rsidR="00FC0ACD" w:rsidRPr="00E56880" w14:paraId="3EBA2B5D" w14:textId="77777777" w:rsidTr="001255BC">
        <w:trPr>
          <w:trHeight w:val="297"/>
          <w:jc w:val="center"/>
        </w:trPr>
        <w:tc>
          <w:tcPr>
            <w:tcW w:w="2675" w:type="dxa"/>
            <w:tcBorders>
              <w:top w:val="nil"/>
              <w:bottom w:val="nil"/>
            </w:tcBorders>
          </w:tcPr>
          <w:p w14:paraId="43635416" w14:textId="2F94039C" w:rsidR="00FC0ACD" w:rsidRDefault="00531902" w:rsidP="000826DD">
            <w:pPr>
              <w:pStyle w:val="TableCaption"/>
              <w:spacing w:before="20" w:after="20"/>
              <w:jc w:val="left"/>
              <w:rPr>
                <w:kern w:val="16"/>
                <w:szCs w:val="18"/>
              </w:rPr>
            </w:pPr>
            <w:r>
              <w:rPr>
                <w:kern w:val="16"/>
                <w:szCs w:val="18"/>
              </w:rPr>
              <w:t>Capillary r</w:t>
            </w:r>
            <w:r w:rsidR="00FC0ACD">
              <w:rPr>
                <w:kern w:val="16"/>
                <w:szCs w:val="18"/>
              </w:rPr>
              <w:t xml:space="preserve">adii </w:t>
            </w:r>
            <m:oMath>
              <m:sSub>
                <m:sSubPr>
                  <m:ctrlPr>
                    <w:rPr>
                      <w:rFonts w:ascii="Cambria Math" w:hAnsi="Cambria Math"/>
                      <w:i/>
                      <w:kern w:val="16"/>
                      <w:szCs w:val="18"/>
                    </w:rPr>
                  </m:ctrlPr>
                </m:sSubPr>
                <m:e>
                  <m:r>
                    <w:rPr>
                      <w:rFonts w:ascii="Cambria Math" w:hAnsi="Cambria Math"/>
                      <w:kern w:val="16"/>
                      <w:szCs w:val="18"/>
                    </w:rPr>
                    <m:t>r</m:t>
                  </m:r>
                </m:e>
                <m:sub>
                  <m:r>
                    <w:rPr>
                      <w:rFonts w:ascii="Cambria Math" w:hAnsi="Cambria Math"/>
                      <w:kern w:val="16"/>
                      <w:szCs w:val="18"/>
                    </w:rPr>
                    <m:t>1</m:t>
                  </m:r>
                </m:sub>
              </m:sSub>
              <m:r>
                <w:rPr>
                  <w:rFonts w:ascii="Cambria Math" w:hAnsi="Cambria Math"/>
                  <w:kern w:val="16"/>
                  <w:szCs w:val="18"/>
                </w:rPr>
                <m:t xml:space="preserve">; </m:t>
              </m:r>
              <m:sSub>
                <m:sSubPr>
                  <m:ctrlPr>
                    <w:rPr>
                      <w:rFonts w:ascii="Cambria Math" w:hAnsi="Cambria Math"/>
                      <w:i/>
                      <w:kern w:val="16"/>
                      <w:szCs w:val="18"/>
                    </w:rPr>
                  </m:ctrlPr>
                </m:sSubPr>
                <m:e>
                  <m:r>
                    <w:rPr>
                      <w:rFonts w:ascii="Cambria Math" w:hAnsi="Cambria Math"/>
                      <w:kern w:val="16"/>
                      <w:szCs w:val="18"/>
                    </w:rPr>
                    <m:t>r</m:t>
                  </m:r>
                </m:e>
                <m:sub>
                  <m:r>
                    <w:rPr>
                      <w:rFonts w:ascii="Cambria Math" w:hAnsi="Cambria Math"/>
                      <w:kern w:val="16"/>
                      <w:szCs w:val="18"/>
                    </w:rPr>
                    <m:t>2</m:t>
                  </m:r>
                </m:sub>
              </m:sSub>
              <m:r>
                <w:rPr>
                  <w:rFonts w:ascii="Cambria Math" w:hAnsi="Cambria Math"/>
                  <w:kern w:val="16"/>
                  <w:szCs w:val="18"/>
                </w:rPr>
                <m:t xml:space="preserve">; </m:t>
              </m:r>
              <m:sSub>
                <m:sSubPr>
                  <m:ctrlPr>
                    <w:rPr>
                      <w:rFonts w:ascii="Cambria Math" w:hAnsi="Cambria Math"/>
                      <w:i/>
                      <w:kern w:val="16"/>
                      <w:szCs w:val="18"/>
                    </w:rPr>
                  </m:ctrlPr>
                </m:sSubPr>
                <m:e>
                  <m:r>
                    <w:rPr>
                      <w:rFonts w:ascii="Cambria Math" w:hAnsi="Cambria Math"/>
                      <w:kern w:val="16"/>
                      <w:szCs w:val="18"/>
                    </w:rPr>
                    <m:t>r</m:t>
                  </m:r>
                </m:e>
                <m:sub>
                  <m:r>
                    <w:rPr>
                      <w:rFonts w:ascii="Cambria Math" w:hAnsi="Cambria Math"/>
                      <w:kern w:val="16"/>
                      <w:szCs w:val="18"/>
                    </w:rPr>
                    <m:t>3</m:t>
                  </m:r>
                </m:sub>
              </m:sSub>
            </m:oMath>
          </w:p>
        </w:tc>
        <w:tc>
          <w:tcPr>
            <w:tcW w:w="1952" w:type="dxa"/>
            <w:tcBorders>
              <w:top w:val="nil"/>
              <w:bottom w:val="nil"/>
            </w:tcBorders>
          </w:tcPr>
          <w:p w14:paraId="549DA46F" w14:textId="08C728A4" w:rsidR="00FC0ACD" w:rsidRDefault="00FC0ACD" w:rsidP="000F0D5B">
            <w:pPr>
              <w:pStyle w:val="TableCaption"/>
              <w:spacing w:before="20" w:after="20"/>
              <w:rPr>
                <w:kern w:val="16"/>
                <w:szCs w:val="18"/>
              </w:rPr>
            </w:pPr>
            <w:r>
              <w:rPr>
                <w:kern w:val="16"/>
                <w:szCs w:val="18"/>
              </w:rPr>
              <w:t>2; 2.2; 2.7 mm</w:t>
            </w:r>
          </w:p>
        </w:tc>
      </w:tr>
      <w:tr w:rsidR="00FC0ACD" w:rsidRPr="00E56880" w14:paraId="64441606" w14:textId="77777777" w:rsidTr="001255BC">
        <w:trPr>
          <w:trHeight w:val="297"/>
          <w:jc w:val="center"/>
        </w:trPr>
        <w:tc>
          <w:tcPr>
            <w:tcW w:w="2675" w:type="dxa"/>
            <w:tcBorders>
              <w:top w:val="nil"/>
              <w:bottom w:val="single" w:sz="8" w:space="0" w:color="auto"/>
            </w:tcBorders>
          </w:tcPr>
          <w:p w14:paraId="071E5DFD" w14:textId="77777777" w:rsidR="00FC0ACD" w:rsidRDefault="00FC0ACD" w:rsidP="000826DD">
            <w:pPr>
              <w:pStyle w:val="TableCaption"/>
              <w:spacing w:before="20" w:after="20"/>
              <w:jc w:val="left"/>
              <w:rPr>
                <w:kern w:val="16"/>
                <w:szCs w:val="18"/>
              </w:rPr>
            </w:pPr>
            <w:r>
              <w:rPr>
                <w:kern w:val="16"/>
                <w:szCs w:val="18"/>
              </w:rPr>
              <w:t xml:space="preserve">Capillary length, </w:t>
            </w:r>
            <w:r w:rsidRPr="002B2302">
              <w:rPr>
                <w:i/>
                <w:kern w:val="16"/>
                <w:szCs w:val="18"/>
              </w:rPr>
              <w:t>L</w:t>
            </w:r>
          </w:p>
        </w:tc>
        <w:tc>
          <w:tcPr>
            <w:tcW w:w="1952" w:type="dxa"/>
            <w:tcBorders>
              <w:top w:val="nil"/>
              <w:bottom w:val="single" w:sz="8" w:space="0" w:color="auto"/>
            </w:tcBorders>
          </w:tcPr>
          <w:p w14:paraId="3308662A" w14:textId="77777777" w:rsidR="00FC0ACD" w:rsidRDefault="00FC0ACD" w:rsidP="000F0D5B">
            <w:pPr>
              <w:pStyle w:val="TableCaption"/>
              <w:spacing w:before="20" w:after="20"/>
              <w:rPr>
                <w:kern w:val="16"/>
                <w:szCs w:val="18"/>
              </w:rPr>
            </w:pPr>
            <w:r>
              <w:rPr>
                <w:kern w:val="16"/>
                <w:szCs w:val="18"/>
              </w:rPr>
              <w:t>60 mm</w:t>
            </w:r>
          </w:p>
        </w:tc>
      </w:tr>
    </w:tbl>
    <w:p w14:paraId="5D5F346A" w14:textId="625C38FA" w:rsidR="00165665" w:rsidRPr="00C952DB" w:rsidRDefault="00561C01" w:rsidP="00C952DB">
      <w:pPr>
        <w:pStyle w:val="BodyTextIndent"/>
        <w:ind w:firstLine="0"/>
        <w:sectPr w:rsidR="00165665" w:rsidRPr="00C952DB" w:rsidSect="00992B4F">
          <w:footnotePr>
            <w:pos w:val="beneathText"/>
            <w:numFmt w:val="chicago"/>
          </w:footnotePr>
          <w:endnotePr>
            <w:numFmt w:val="decimal"/>
          </w:endnotePr>
          <w:type w:val="continuous"/>
          <w:pgSz w:w="11907" w:h="16840" w:code="9"/>
          <w:pgMar w:top="2098" w:right="1134" w:bottom="1077" w:left="1134" w:header="2104" w:footer="1077" w:gutter="0"/>
          <w:cols w:num="2" w:space="288"/>
          <w:docGrid w:linePitch="360"/>
        </w:sectPr>
      </w:pPr>
      <w:r>
        <w:rPr>
          <w:noProof/>
          <w:lang w:eastAsia="en-GB"/>
        </w:rPr>
        <w:lastRenderedPageBreak/>
        <w:drawing>
          <wp:anchor distT="0" distB="0" distL="114300" distR="114300" simplePos="0" relativeHeight="251659776" behindDoc="0" locked="0" layoutInCell="1" allowOverlap="1" wp14:anchorId="04192447" wp14:editId="509ABBA3">
            <wp:simplePos x="0" y="0"/>
            <wp:positionH relativeFrom="column">
              <wp:posOffset>-6350</wp:posOffset>
            </wp:positionH>
            <wp:positionV relativeFrom="paragraph">
              <wp:posOffset>42545</wp:posOffset>
            </wp:positionV>
            <wp:extent cx="6105525" cy="86804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UCX_scheme.png"/>
                    <pic:cNvPicPr/>
                  </pic:nvPicPr>
                  <pic:blipFill>
                    <a:blip r:embed="rId9">
                      <a:extLst>
                        <a:ext uri="{28A0092B-C50C-407E-A947-70E740481C1C}">
                          <a14:useLocalDpi xmlns:a14="http://schemas.microsoft.com/office/drawing/2010/main" val="0"/>
                        </a:ext>
                      </a:extLst>
                    </a:blip>
                    <a:stretch>
                      <a:fillRect/>
                    </a:stretch>
                  </pic:blipFill>
                  <pic:spPr>
                    <a:xfrm>
                      <a:off x="0" y="0"/>
                      <a:ext cx="6105525" cy="868045"/>
                    </a:xfrm>
                    <a:prstGeom prst="rect">
                      <a:avLst/>
                    </a:prstGeom>
                  </pic:spPr>
                </pic:pic>
              </a:graphicData>
            </a:graphic>
            <wp14:sizeRelH relativeFrom="page">
              <wp14:pctWidth>0</wp14:pctWidth>
            </wp14:sizeRelH>
            <wp14:sizeRelV relativeFrom="page">
              <wp14:pctHeight>0</wp14:pctHeight>
            </wp14:sizeRelV>
          </wp:anchor>
        </w:drawing>
      </w:r>
    </w:p>
    <w:p w14:paraId="286AA9F0" w14:textId="3D8678FF" w:rsidR="00165665" w:rsidRPr="007F6BAF" w:rsidRDefault="00DB5F26" w:rsidP="00F24C22">
      <w:pPr>
        <w:pStyle w:val="BodyTextIndent"/>
        <w:keepNext/>
        <w:ind w:firstLine="0"/>
        <w:jc w:val="center"/>
      </w:pPr>
      <w:r w:rsidRPr="00733D2E">
        <w:rPr>
          <w:rStyle w:val="CaptionChar"/>
        </w:rPr>
        <w:t xml:space="preserve">Figure 2: </w:t>
      </w:r>
      <w:r w:rsidR="00FC0ACD">
        <w:rPr>
          <w:rStyle w:val="CaptionChar"/>
        </w:rPr>
        <w:t>LUCX beamline</w:t>
      </w:r>
      <w:r w:rsidRPr="00733D2E">
        <w:rPr>
          <w:rStyle w:val="CaptionChar"/>
        </w:rPr>
        <w:t>.</w:t>
      </w:r>
    </w:p>
    <w:p w14:paraId="1F063774" w14:textId="77777777" w:rsidR="00165665" w:rsidRDefault="00165665" w:rsidP="0007678C">
      <w:pPr>
        <w:pStyle w:val="BodyTextIndent"/>
        <w:rPr>
          <w:kern w:val="16"/>
        </w:rPr>
        <w:sectPr w:rsidR="00165665" w:rsidSect="00D90022">
          <w:footnotePr>
            <w:pos w:val="beneathText"/>
            <w:numFmt w:val="chicago"/>
          </w:footnotePr>
          <w:endnotePr>
            <w:numFmt w:val="decimal"/>
          </w:endnotePr>
          <w:type w:val="continuous"/>
          <w:pgSz w:w="11907" w:h="16840" w:code="9"/>
          <w:pgMar w:top="2098" w:right="1134" w:bottom="1077" w:left="1134" w:header="2102" w:footer="1080" w:gutter="0"/>
          <w:cols w:space="288"/>
          <w:docGrid w:linePitch="360"/>
        </w:sectPr>
      </w:pPr>
    </w:p>
    <w:p w14:paraId="4C8A19C2" w14:textId="77777777" w:rsidR="008414B2" w:rsidRDefault="008414B2" w:rsidP="00FC0ACD">
      <w:pPr>
        <w:pStyle w:val="BodyTextIndent"/>
      </w:pPr>
    </w:p>
    <w:p w14:paraId="2F906FD1" w14:textId="437B0E09" w:rsidR="009F1AA2" w:rsidRPr="008905DF" w:rsidRDefault="00714B5A" w:rsidP="008905DF">
      <w:pPr>
        <w:pStyle w:val="BodyTextIndent"/>
        <w:rPr>
          <w:kern w:val="16"/>
        </w:rPr>
      </w:pPr>
      <w:r>
        <w:rPr>
          <w:rStyle w:val="JBodyTextIndentChar"/>
        </w:rPr>
        <w:t>The d</w:t>
      </w:r>
      <w:r w:rsidR="008905DF">
        <w:rPr>
          <w:rStyle w:val="JBodyTextIndentChar"/>
        </w:rPr>
        <w:t>istance between bunches was</w:t>
      </w:r>
      <w:r>
        <w:rPr>
          <w:rStyle w:val="JBodyTextIndentChar"/>
        </w:rPr>
        <w:t xml:space="preserve"> controlled in the range of 1 to 4 mm by moving a mirror inside the buncher. The two bunches were accelerated up to 8 MeV in a 3.6 cell S-band RF gun. </w:t>
      </w:r>
      <w:r w:rsidR="000B2D95">
        <w:t>The RF gun introduced</w:t>
      </w:r>
      <w:r w:rsidR="003426C1">
        <w:t xml:space="preserve"> time – energy correlation in the beam, producing a drive and a witness of slightly different energies. When the beam </w:t>
      </w:r>
      <w:r w:rsidR="000B2D95">
        <w:t>was</w:t>
      </w:r>
      <w:r w:rsidR="003426C1">
        <w:t xml:space="preserve"> dispersed by the bending magnet BH1G the different time slices </w:t>
      </w:r>
      <w:r w:rsidR="000B2D95">
        <w:t>were</w:t>
      </w:r>
      <w:r w:rsidR="003426C1">
        <w:t xml:space="preserve"> projected to </w:t>
      </w:r>
      <w:r w:rsidR="000B2D95">
        <w:t xml:space="preserve">the </w:t>
      </w:r>
      <w:r w:rsidR="009F1AA2">
        <w:t>different transverse coordinates on the Yttrium Aluminium Garnet screen (</w:t>
      </w:r>
      <w:r w:rsidR="00D105F3">
        <w:t xml:space="preserve">YAG, </w:t>
      </w:r>
      <w:r w:rsidR="009F1AA2">
        <w:t xml:space="preserve">MS3G in Fig. 2). </w:t>
      </w:r>
    </w:p>
    <w:p w14:paraId="690AFF4A" w14:textId="3F6BC5AA" w:rsidR="00FC0ACD" w:rsidRDefault="007E2471" w:rsidP="00FC0ACD">
      <w:pPr>
        <w:pStyle w:val="BodyTextIndent"/>
      </w:pPr>
      <w:r>
        <w:t xml:space="preserve">The beam parameters </w:t>
      </w:r>
      <w:r w:rsidR="000B2D95">
        <w:t>and</w:t>
      </w:r>
      <w:r>
        <w:t xml:space="preserve"> the capillary dimensions are given in Table 1. </w:t>
      </w:r>
      <w:r w:rsidR="00FC0ACD">
        <w:t xml:space="preserve">The beam parameters at the location of the beam interaction with the </w:t>
      </w:r>
      <w:r w:rsidR="0092627C">
        <w:t>ca</w:t>
      </w:r>
      <w:r w:rsidR="00D62CD3">
        <w:t>pillary were simulated using A</w:t>
      </w:r>
      <w:r w:rsidR="00FC0ACD">
        <w:t xml:space="preserve"> Space Charge Tracking Algorithm (ASTRA).  </w:t>
      </w:r>
      <w:r w:rsidR="000C1C52">
        <w:t>According to the simulation, t</w:t>
      </w:r>
      <w:r w:rsidR="00FC0ACD">
        <w:t xml:space="preserve">he transverse beam dimensions </w:t>
      </w:r>
      <w:r w:rsidR="000C1C52">
        <w:t>varied</w:t>
      </w:r>
      <w:r w:rsidR="00FC0ACD">
        <w:t xml:space="preserve"> depending on the distance between</w:t>
      </w:r>
      <w:r w:rsidR="00086FB2">
        <w:t xml:space="preserve"> the</w:t>
      </w:r>
      <w:r w:rsidR="00FC0ACD">
        <w:t xml:space="preserve"> drive and</w:t>
      </w:r>
      <w:r w:rsidR="00086FB2">
        <w:t xml:space="preserve"> the</w:t>
      </w:r>
      <w:r w:rsidR="00FC0ACD">
        <w:t xml:space="preserve"> witness bunch, Table 1 demonstrates </w:t>
      </w:r>
      <w:r w:rsidR="00D3162E">
        <w:t xml:space="preserve">the </w:t>
      </w:r>
      <w:r w:rsidR="00FC0ACD">
        <w:t>average values</w:t>
      </w:r>
      <w:r w:rsidR="00D3162E">
        <w:t xml:space="preserve"> of the transverse dimensions</w:t>
      </w:r>
      <w:r w:rsidR="00FC0ACD">
        <w:t xml:space="preserve">. </w:t>
      </w:r>
    </w:p>
    <w:p w14:paraId="65F0B596" w14:textId="7989FA65" w:rsidR="00FC0ACD" w:rsidRDefault="0033601C" w:rsidP="00FC0ACD">
      <w:pPr>
        <w:pStyle w:val="JSectionHeading"/>
      </w:pPr>
      <w:r>
        <w:t>results</w:t>
      </w:r>
      <w:r w:rsidR="00EE6386">
        <w:t xml:space="preserve"> and discussion</w:t>
      </w:r>
    </w:p>
    <w:p w14:paraId="5E73376C" w14:textId="5DC52A43" w:rsidR="00FC0ACD" w:rsidRDefault="00D3162E" w:rsidP="00FC0ACD">
      <w:pPr>
        <w:pStyle w:val="BodyTextIndent"/>
      </w:pPr>
      <w:r>
        <w:t xml:space="preserve">During the experiment </w:t>
      </w:r>
      <w:r w:rsidR="00FC0ACD">
        <w:t>the energy distribution in the beam</w:t>
      </w:r>
      <w:r w:rsidR="0040101B">
        <w:t xml:space="preserve"> was measured</w:t>
      </w:r>
      <w:r w:rsidR="00FC0ACD">
        <w:t xml:space="preserve"> as a function of the bunch</w:t>
      </w:r>
      <w:r w:rsidR="00C374C9">
        <w:t>-to</w:t>
      </w:r>
      <w:r w:rsidR="00C952DB">
        <w:t>-bunch</w:t>
      </w:r>
      <w:r w:rsidR="00FC0ACD">
        <w:t xml:space="preserve"> distance</w:t>
      </w:r>
      <w:r w:rsidR="0040101B">
        <w:t xml:space="preserve">. </w:t>
      </w:r>
      <w:r w:rsidR="000B2D95">
        <w:t xml:space="preserve">We discuss </w:t>
      </w:r>
      <w:r w:rsidR="007F3927">
        <w:t>two cases</w:t>
      </w:r>
      <w:r w:rsidR="0040101B">
        <w:t>: beam propagation</w:t>
      </w:r>
      <w:r w:rsidR="00FC0ACD">
        <w:t xml:space="preserve"> </w:t>
      </w:r>
      <w:r>
        <w:t>without the capillary (a reference measurement)</w:t>
      </w:r>
      <w:r w:rsidR="00FC0ACD">
        <w:t xml:space="preserve"> and </w:t>
      </w:r>
      <w:r w:rsidR="004B44FD">
        <w:t xml:space="preserve">an </w:t>
      </w:r>
      <w:r w:rsidR="00FC0ACD">
        <w:t xml:space="preserve">off-central beam propagation </w:t>
      </w:r>
      <w:r>
        <w:t>through the</w:t>
      </w:r>
      <w:r w:rsidR="00FC0ACD">
        <w:t xml:space="preserve"> </w:t>
      </w:r>
      <w:r>
        <w:t>structure</w:t>
      </w:r>
      <w:r w:rsidR="00FC0ACD">
        <w:t xml:space="preserve"> with an off-set of 1.5</w:t>
      </w:r>
      <w:r w:rsidR="0005658F">
        <w:t> </w:t>
      </w:r>
      <w:r w:rsidR="00FC0ACD">
        <w:t xml:space="preserve">mm with respect to the </w:t>
      </w:r>
      <w:r>
        <w:t>capillary</w:t>
      </w:r>
      <w:r w:rsidR="00C952DB">
        <w:t xml:space="preserve"> central</w:t>
      </w:r>
      <w:r>
        <w:t xml:space="preserve"> axis</w:t>
      </w:r>
      <w:r w:rsidR="00FC0ACD">
        <w:t xml:space="preserve">. </w:t>
      </w:r>
      <w:r>
        <w:t>The o</w:t>
      </w:r>
      <w:r w:rsidR="00FC0ACD">
        <w:t>ff-central propagation provides more efficient interaction of the drive self-field with the dielectric, therefore yielding</w:t>
      </w:r>
      <w:r w:rsidR="00C15028">
        <w:t xml:space="preserve"> a</w:t>
      </w:r>
      <w:r w:rsidR="00FC0ACD">
        <w:t xml:space="preserve"> higher intensity wakefield. </w:t>
      </w:r>
    </w:p>
    <w:p w14:paraId="7210DEE7" w14:textId="2AF3786F" w:rsidR="00CF2586" w:rsidRDefault="00CF2586" w:rsidP="00CF2586">
      <w:pPr>
        <w:pStyle w:val="BodyTextIndent"/>
      </w:pPr>
      <w:r>
        <w:t xml:space="preserve">The diameter of the capillary is much larger than the typical </w:t>
      </w:r>
      <m:oMath>
        <m:sSub>
          <m:sSubPr>
            <m:ctrlPr>
              <w:rPr>
                <w:rFonts w:ascii="Cambria Math" w:hAnsi="Cambria Math"/>
                <w:i/>
              </w:rPr>
            </m:ctrlPr>
          </m:sSubPr>
          <m:e>
            <m:r>
              <w:rPr>
                <w:rFonts w:ascii="Cambria Math" w:hAnsi="Cambria Math"/>
              </w:rPr>
              <m:t>σ</m:t>
            </m:r>
          </m:e>
          <m:sub>
            <m:r>
              <m:rPr>
                <m:sty m:val="p"/>
              </m:rPr>
              <w:rPr>
                <w:rFonts w:ascii="Cambria Math" w:hAnsi="Cambria Math"/>
              </w:rPr>
              <m:t>transv</m:t>
            </m:r>
          </m:sub>
        </m:sSub>
      </m:oMath>
      <w:r>
        <w:t xml:space="preserve"> of the drive beam, so beam clipping can be avoided, allowing one to study wakefield maps for different off-central propagations.  We show two typical measurements, firstly without capillary (Fig. 3)</w:t>
      </w:r>
      <w:r w:rsidR="003A551B">
        <w:t xml:space="preserve"> and secondly with</w:t>
      </w:r>
      <w:r>
        <w:t xml:space="preserve"> capillary (Fig. 4). To obtain an absolute value of the energy difference between the drive and the witness, the YAG screen CCD image was projected in the vertical direction within a narrow vertical region of interest. </w:t>
      </w:r>
      <w:r w:rsidR="00645EE6">
        <w:t>Pixel units were</w:t>
      </w:r>
      <w:r>
        <w:t xml:space="preserve"> then converted into distance on screen. As a final step, using a distance-energy calibration the energy difference was recalculated to units of energy. Light blue lines in Figs. 3 and 4, mark integration regions where a skew-double-Gaussian fitting procedure was applied:</w:t>
      </w:r>
    </w:p>
    <w:p w14:paraId="0C444459" w14:textId="77777777" w:rsidR="00CF2586" w:rsidRPr="003146BB" w:rsidRDefault="00CF2586" w:rsidP="00CF2586">
      <w:pPr>
        <w:pStyle w:val="BodyTextIndent"/>
      </w:pPr>
    </w:p>
    <w:p w14:paraId="31FECAB2" w14:textId="77777777" w:rsidR="00CF2586" w:rsidRDefault="00CF2586" w:rsidP="00CF2586">
      <w:pPr>
        <w:pStyle w:val="BodyTextIndent"/>
      </w:pPr>
      <m:oMath>
        <m:r>
          <w:rPr>
            <w:rFonts w:ascii="Cambria Math" w:hAnsi="Cambria Math"/>
          </w:rPr>
          <m:t>f</m:t>
        </m:r>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μ</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w</m:t>
                </m:r>
              </m:sub>
            </m:sSub>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dr</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dr</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dr</m:t>
                </m:r>
              </m:sub>
            </m:sSub>
          </m:e>
        </m:d>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1+erf</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w</m:t>
                            </m:r>
                          </m:sub>
                        </m:sSub>
                        <m:r>
                          <w:rPr>
                            <w:rFonts w:ascii="Cambria Math" w:hAnsi="Cambria Math"/>
                          </w:rPr>
                          <m:t>(x-</m:t>
                        </m:r>
                        <m:sSub>
                          <m:sSubPr>
                            <m:ctrlPr>
                              <w:rPr>
                                <w:rFonts w:ascii="Cambria Math" w:hAnsi="Cambria Math"/>
                                <w:i/>
                              </w:rPr>
                            </m:ctrlPr>
                          </m:sSubPr>
                          <m:e>
                            <m:r>
                              <w:rPr>
                                <w:rFonts w:ascii="Cambria Math" w:hAnsi="Cambria Math"/>
                              </w:rPr>
                              <m:t>μ</m:t>
                            </m:r>
                          </m:e>
                          <m:sub>
                            <m:r>
                              <w:rPr>
                                <w:rFonts w:ascii="Cambria Math" w:hAnsi="Cambria Math"/>
                              </w:rPr>
                              <m:t>w</m:t>
                            </m:r>
                          </m:sub>
                        </m:sSub>
                        <m:r>
                          <w:rPr>
                            <w:rFonts w:ascii="Cambria Math" w:hAnsi="Cambria Math"/>
                          </w:rPr>
                          <m:t>)</m:t>
                        </m:r>
                      </m:num>
                      <m:den>
                        <m:rad>
                          <m:radPr>
                            <m:degHide m:val="1"/>
                            <m:ctrlPr>
                              <w:rPr>
                                <w:rFonts w:ascii="Cambria Math" w:hAnsi="Cambria Math"/>
                                <w:i/>
                              </w:rPr>
                            </m:ctrlPr>
                          </m:radPr>
                          <m:deg/>
                          <m:e>
                            <m:r>
                              <w:rPr>
                                <w:rFonts w:ascii="Cambria Math" w:hAnsi="Cambria Math"/>
                              </w:rPr>
                              <m:t>2</m:t>
                            </m:r>
                          </m:e>
                        </m:rad>
                      </m:den>
                    </m:f>
                  </m:e>
                </m:d>
              </m:e>
            </m:d>
          </m:num>
          <m:den>
            <m:rad>
              <m:radPr>
                <m:degHide m:val="1"/>
                <m:ctrlPr>
                  <w:rPr>
                    <w:rFonts w:ascii="Cambria Math" w:hAnsi="Cambria Math"/>
                    <w:i/>
                  </w:rPr>
                </m:ctrlPr>
              </m:radPr>
              <m:deg/>
              <m:e>
                <m:r>
                  <w:rPr>
                    <w:rFonts w:ascii="Cambria Math" w:hAnsi="Cambria Math"/>
                  </w:rPr>
                  <m:t>2π</m:t>
                </m:r>
                <m:sSubSup>
                  <m:sSubSupPr>
                    <m:ctrlPr>
                      <w:rPr>
                        <w:rFonts w:ascii="Cambria Math" w:hAnsi="Cambria Math"/>
                        <w:i/>
                      </w:rPr>
                    </m:ctrlPr>
                  </m:sSubSupPr>
                  <m:e>
                    <m:r>
                      <w:rPr>
                        <w:rFonts w:ascii="Cambria Math" w:hAnsi="Cambria Math"/>
                      </w:rPr>
                      <m:t>σ</m:t>
                    </m:r>
                  </m:e>
                  <m:sub>
                    <m:r>
                      <w:rPr>
                        <w:rFonts w:ascii="Cambria Math" w:hAnsi="Cambria Math"/>
                      </w:rPr>
                      <m:t>w</m:t>
                    </m:r>
                  </m:sub>
                  <m:sup>
                    <m:r>
                      <w:rPr>
                        <w:rFonts w:ascii="Cambria Math" w:hAnsi="Cambria Math"/>
                      </w:rPr>
                      <m:t>2</m:t>
                    </m:r>
                  </m:sup>
                </m:sSubSup>
              </m:e>
            </m:rad>
          </m:den>
        </m:f>
        <m:r>
          <w:rPr>
            <w:rFonts w:ascii="Cambria Math" w:hAnsi="Cambria Math"/>
          </w:rPr>
          <m:t>×exp</m:t>
        </m:r>
        <m:d>
          <m:dPr>
            <m:ctrlPr>
              <w:rPr>
                <w:rFonts w:ascii="Cambria Math" w:hAnsi="Cambria Math"/>
                <w:i/>
              </w:rPr>
            </m:ctrlPr>
          </m:dPr>
          <m:e>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μ</m:t>
                            </m:r>
                          </m:e>
                          <m:sub>
                            <m:r>
                              <w:rPr>
                                <w:rFonts w:ascii="Cambria Math" w:hAnsi="Cambria Math"/>
                              </w:rPr>
                              <m:t>w</m:t>
                            </m:r>
                          </m:sub>
                        </m:sSub>
                      </m:e>
                    </m:d>
                  </m:e>
                  <m:sup>
                    <m:r>
                      <w:rPr>
                        <w:rFonts w:ascii="Cambria Math" w:hAnsi="Cambria Math"/>
                      </w:rPr>
                      <m:t>2</m:t>
                    </m:r>
                  </m:sup>
                </m:sSup>
              </m:num>
              <m:den>
                <m:r>
                  <w:rPr>
                    <w:rFonts w:ascii="Cambria Math" w:hAnsi="Cambria Math"/>
                  </w:rPr>
                  <m:t>2</m:t>
                </m:r>
                <m:sSubSup>
                  <m:sSubSupPr>
                    <m:ctrlPr>
                      <w:rPr>
                        <w:rFonts w:ascii="Cambria Math" w:hAnsi="Cambria Math"/>
                        <w:i/>
                      </w:rPr>
                    </m:ctrlPr>
                  </m:sSubSupPr>
                  <m:e>
                    <m:r>
                      <w:rPr>
                        <w:rFonts w:ascii="Cambria Math" w:hAnsi="Cambria Math"/>
                      </w:rPr>
                      <m:t>σ</m:t>
                    </m:r>
                  </m:e>
                  <m:sub>
                    <m:r>
                      <w:rPr>
                        <w:rFonts w:ascii="Cambria Math" w:hAnsi="Cambria Math"/>
                      </w:rPr>
                      <m:t>w</m:t>
                    </m:r>
                  </m:sub>
                  <m:sup>
                    <m:r>
                      <w:rPr>
                        <w:rFonts w:ascii="Cambria Math" w:hAnsi="Cambria Math"/>
                      </w:rPr>
                      <m:t>2</m:t>
                    </m:r>
                  </m:sup>
                </m:sSubSup>
              </m:den>
            </m:f>
          </m:e>
        </m:d>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1+erf</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dr</m:t>
                            </m:r>
                          </m:sub>
                        </m:sSub>
                        <m:r>
                          <w:rPr>
                            <w:rFonts w:ascii="Cambria Math" w:hAnsi="Cambria Math"/>
                          </w:rPr>
                          <m:t>(x-</m:t>
                        </m:r>
                        <m:sSub>
                          <m:sSubPr>
                            <m:ctrlPr>
                              <w:rPr>
                                <w:rFonts w:ascii="Cambria Math" w:hAnsi="Cambria Math"/>
                                <w:i/>
                              </w:rPr>
                            </m:ctrlPr>
                          </m:sSubPr>
                          <m:e>
                            <m:r>
                              <w:rPr>
                                <w:rFonts w:ascii="Cambria Math" w:hAnsi="Cambria Math"/>
                              </w:rPr>
                              <m:t>μ</m:t>
                            </m:r>
                          </m:e>
                          <m:sub>
                            <m:r>
                              <w:rPr>
                                <w:rFonts w:ascii="Cambria Math" w:hAnsi="Cambria Math"/>
                              </w:rPr>
                              <m:t>dr</m:t>
                            </m:r>
                          </m:sub>
                        </m:sSub>
                        <m:r>
                          <w:rPr>
                            <w:rFonts w:ascii="Cambria Math" w:hAnsi="Cambria Math"/>
                          </w:rPr>
                          <m:t>)</m:t>
                        </m:r>
                      </m:num>
                      <m:den>
                        <m:rad>
                          <m:radPr>
                            <m:degHide m:val="1"/>
                            <m:ctrlPr>
                              <w:rPr>
                                <w:rFonts w:ascii="Cambria Math" w:hAnsi="Cambria Math"/>
                                <w:i/>
                              </w:rPr>
                            </m:ctrlPr>
                          </m:radPr>
                          <m:deg/>
                          <m:e>
                            <m:r>
                              <w:rPr>
                                <w:rFonts w:ascii="Cambria Math" w:hAnsi="Cambria Math"/>
                              </w:rPr>
                              <m:t>2</m:t>
                            </m:r>
                          </m:e>
                        </m:rad>
                      </m:den>
                    </m:f>
                  </m:e>
                </m:d>
              </m:e>
            </m:d>
          </m:num>
          <m:den>
            <m:rad>
              <m:radPr>
                <m:degHide m:val="1"/>
                <m:ctrlPr>
                  <w:rPr>
                    <w:rFonts w:ascii="Cambria Math" w:hAnsi="Cambria Math"/>
                    <w:i/>
                  </w:rPr>
                </m:ctrlPr>
              </m:radPr>
              <m:deg/>
              <m:e>
                <m:r>
                  <w:rPr>
                    <w:rFonts w:ascii="Cambria Math" w:hAnsi="Cambria Math"/>
                  </w:rPr>
                  <m:t>2π</m:t>
                </m:r>
                <m:sSubSup>
                  <m:sSubSupPr>
                    <m:ctrlPr>
                      <w:rPr>
                        <w:rFonts w:ascii="Cambria Math" w:hAnsi="Cambria Math"/>
                        <w:i/>
                      </w:rPr>
                    </m:ctrlPr>
                  </m:sSubSupPr>
                  <m:e>
                    <m:r>
                      <w:rPr>
                        <w:rFonts w:ascii="Cambria Math" w:hAnsi="Cambria Math"/>
                      </w:rPr>
                      <m:t>σ</m:t>
                    </m:r>
                  </m:e>
                  <m:sub>
                    <m:r>
                      <w:rPr>
                        <w:rFonts w:ascii="Cambria Math" w:hAnsi="Cambria Math"/>
                      </w:rPr>
                      <m:t>dr</m:t>
                    </m:r>
                  </m:sub>
                  <m:sup>
                    <m:r>
                      <w:rPr>
                        <w:rFonts w:ascii="Cambria Math" w:hAnsi="Cambria Math"/>
                      </w:rPr>
                      <m:t>2</m:t>
                    </m:r>
                  </m:sup>
                </m:sSubSup>
              </m:e>
            </m:rad>
          </m:den>
        </m:f>
        <m:r>
          <w:rPr>
            <w:rFonts w:ascii="Cambria Math" w:hAnsi="Cambria Math"/>
          </w:rPr>
          <m:t>×exp</m:t>
        </m:r>
        <m:d>
          <m:dPr>
            <m:ctrlPr>
              <w:rPr>
                <w:rFonts w:ascii="Cambria Math" w:hAnsi="Cambria Math"/>
                <w:i/>
              </w:rPr>
            </m:ctrlPr>
          </m:dPr>
          <m:e>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μ</m:t>
                            </m:r>
                          </m:e>
                          <m:sub>
                            <m:r>
                              <w:rPr>
                                <w:rFonts w:ascii="Cambria Math" w:hAnsi="Cambria Math"/>
                              </w:rPr>
                              <m:t>dr</m:t>
                            </m:r>
                          </m:sub>
                        </m:sSub>
                      </m:e>
                    </m:d>
                  </m:e>
                  <m:sup>
                    <m:r>
                      <w:rPr>
                        <w:rFonts w:ascii="Cambria Math" w:hAnsi="Cambria Math"/>
                      </w:rPr>
                      <m:t>2</m:t>
                    </m:r>
                  </m:sup>
                </m:sSup>
              </m:num>
              <m:den>
                <m:r>
                  <w:rPr>
                    <w:rFonts w:ascii="Cambria Math" w:hAnsi="Cambria Math"/>
                  </w:rPr>
                  <m:t>2</m:t>
                </m:r>
                <m:sSubSup>
                  <m:sSubSupPr>
                    <m:ctrlPr>
                      <w:rPr>
                        <w:rFonts w:ascii="Cambria Math" w:hAnsi="Cambria Math"/>
                        <w:i/>
                      </w:rPr>
                    </m:ctrlPr>
                  </m:sSubSupPr>
                  <m:e>
                    <m:r>
                      <w:rPr>
                        <w:rFonts w:ascii="Cambria Math" w:hAnsi="Cambria Math"/>
                      </w:rPr>
                      <m:t>σ</m:t>
                    </m:r>
                  </m:e>
                  <m:sub>
                    <m:r>
                      <w:rPr>
                        <w:rFonts w:ascii="Cambria Math" w:hAnsi="Cambria Math"/>
                      </w:rPr>
                      <m:t>dr</m:t>
                    </m:r>
                  </m:sub>
                  <m:sup>
                    <m:r>
                      <w:rPr>
                        <w:rFonts w:ascii="Cambria Math" w:hAnsi="Cambria Math"/>
                      </w:rPr>
                      <m:t>2</m:t>
                    </m:r>
                  </m:sup>
                </m:sSubSup>
              </m:den>
            </m:f>
          </m:e>
        </m:d>
      </m:oMath>
      <w:r>
        <w:t xml:space="preserve">, </w:t>
      </w:r>
    </w:p>
    <w:p w14:paraId="16B2E9A1" w14:textId="77777777" w:rsidR="00CF2586" w:rsidRPr="00BC202B" w:rsidRDefault="00CF2586" w:rsidP="00CF2586">
      <w:pPr>
        <w:pStyle w:val="BodyTextIndent"/>
        <w:rPr>
          <w:sz w:val="24"/>
          <w:szCs w:val="24"/>
        </w:rPr>
      </w:pPr>
    </w:p>
    <w:p w14:paraId="2411F921" w14:textId="59600CAB" w:rsidR="00CF2586" w:rsidRDefault="00CF2586" w:rsidP="00410541">
      <w:pPr>
        <w:pStyle w:val="BodyTextIndent"/>
        <w:ind w:firstLine="0"/>
      </w:pPr>
      <w:r>
        <w:t xml:space="preserve">where </w:t>
      </w:r>
      <m:oMath>
        <m:sSub>
          <m:sSubPr>
            <m:ctrlPr>
              <w:rPr>
                <w:rFonts w:ascii="Cambria Math" w:hAnsi="Cambria Math"/>
                <w:i/>
              </w:rPr>
            </m:ctrlPr>
          </m:sSubPr>
          <m:e>
            <m:r>
              <w:rPr>
                <w:rFonts w:ascii="Cambria Math" w:hAnsi="Cambria Math"/>
              </w:rPr>
              <m:t>μ</m:t>
            </m:r>
          </m:e>
          <m:sub>
            <m:r>
              <m:rPr>
                <m:sty m:val="p"/>
              </m:rPr>
              <w:rPr>
                <w:rFonts w:ascii="Cambria Math" w:hAnsi="Cambria Math"/>
              </w:rPr>
              <m:t>w</m:t>
            </m:r>
          </m:sub>
        </m:sSub>
        <m:r>
          <w:rPr>
            <w:rFonts w:ascii="Cambria Math" w:hAnsi="Cambria Math"/>
          </w:rPr>
          <m:t xml:space="preserve">, </m:t>
        </m:r>
        <m:sSub>
          <m:sSubPr>
            <m:ctrlPr>
              <w:rPr>
                <w:rFonts w:ascii="Cambria Math" w:hAnsi="Cambria Math"/>
                <w:i/>
              </w:rPr>
            </m:ctrlPr>
          </m:sSubPr>
          <m:e>
            <m:r>
              <w:rPr>
                <w:rFonts w:ascii="Cambria Math" w:hAnsi="Cambria Math"/>
              </w:rPr>
              <m:t>σ</m:t>
            </m:r>
          </m:e>
          <m:sub>
            <m:r>
              <m:rPr>
                <m:sty m:val="p"/>
              </m:rPr>
              <w:rPr>
                <w:rFonts w:ascii="Cambria Math" w:hAnsi="Cambria Math"/>
              </w:rPr>
              <m:t>w</m:t>
            </m:r>
          </m:sub>
        </m:sSub>
        <m:r>
          <w:rPr>
            <w:rFonts w:ascii="Cambria Math" w:hAnsi="Cambria Math"/>
          </w:rPr>
          <m:t xml:space="preserve">, </m:t>
        </m:r>
        <m:sSub>
          <m:sSubPr>
            <m:ctrlPr>
              <w:rPr>
                <w:rFonts w:ascii="Cambria Math" w:hAnsi="Cambria Math"/>
                <w:i/>
              </w:rPr>
            </m:ctrlPr>
          </m:sSubPr>
          <m:e>
            <m:r>
              <w:rPr>
                <w:rFonts w:ascii="Cambria Math" w:hAnsi="Cambria Math"/>
              </w:rPr>
              <m:t>α</m:t>
            </m:r>
          </m:e>
          <m:sub>
            <m:r>
              <m:rPr>
                <m:sty m:val="p"/>
              </m:rPr>
              <w:rPr>
                <w:rFonts w:ascii="Cambria Math" w:hAnsi="Cambria Math"/>
              </w:rPr>
              <m:t>w</m:t>
            </m:r>
          </m:sub>
        </m:sSub>
      </m:oMath>
      <w:r>
        <w:t xml:space="preserve"> are mean, standard deviation and skewness parameter for the energy distribution of the witness beam, </w:t>
      </w:r>
      <m:oMath>
        <m:sSub>
          <m:sSubPr>
            <m:ctrlPr>
              <w:rPr>
                <w:rFonts w:ascii="Cambria Math" w:hAnsi="Cambria Math"/>
                <w:i/>
              </w:rPr>
            </m:ctrlPr>
          </m:sSubPr>
          <m:e>
            <m:r>
              <w:rPr>
                <w:rFonts w:ascii="Cambria Math" w:hAnsi="Cambria Math"/>
              </w:rPr>
              <m:t>μ</m:t>
            </m:r>
          </m:e>
          <m:sub>
            <m:r>
              <m:rPr>
                <m:sty m:val="p"/>
              </m:rPr>
              <w:rPr>
                <w:rFonts w:ascii="Cambria Math" w:hAnsi="Cambria Math"/>
              </w:rPr>
              <m:t>dr</m:t>
            </m:r>
          </m:sub>
        </m:sSub>
        <m:r>
          <w:rPr>
            <w:rFonts w:ascii="Cambria Math" w:hAnsi="Cambria Math"/>
          </w:rPr>
          <m:t xml:space="preserve">, </m:t>
        </m:r>
        <m:sSub>
          <m:sSubPr>
            <m:ctrlPr>
              <w:rPr>
                <w:rFonts w:ascii="Cambria Math" w:hAnsi="Cambria Math"/>
                <w:i/>
              </w:rPr>
            </m:ctrlPr>
          </m:sSubPr>
          <m:e>
            <m:r>
              <w:rPr>
                <w:rFonts w:ascii="Cambria Math" w:hAnsi="Cambria Math"/>
              </w:rPr>
              <m:t>σ</m:t>
            </m:r>
          </m:e>
          <m:sub>
            <m:r>
              <m:rPr>
                <m:sty m:val="p"/>
              </m:rPr>
              <w:rPr>
                <w:rFonts w:ascii="Cambria Math" w:hAnsi="Cambria Math"/>
              </w:rPr>
              <m:t>dr</m:t>
            </m:r>
          </m:sub>
        </m:sSub>
        <m:r>
          <w:rPr>
            <w:rFonts w:ascii="Cambria Math" w:hAnsi="Cambria Math"/>
          </w:rPr>
          <m:t xml:space="preserve">, </m:t>
        </m:r>
        <m:sSub>
          <m:sSubPr>
            <m:ctrlPr>
              <w:rPr>
                <w:rFonts w:ascii="Cambria Math" w:hAnsi="Cambria Math"/>
                <w:i/>
              </w:rPr>
            </m:ctrlPr>
          </m:sSubPr>
          <m:e>
            <m:r>
              <w:rPr>
                <w:rFonts w:ascii="Cambria Math" w:hAnsi="Cambria Math"/>
              </w:rPr>
              <m:t>α</m:t>
            </m:r>
          </m:e>
          <m:sub>
            <m:r>
              <m:rPr>
                <m:sty m:val="p"/>
              </m:rPr>
              <w:rPr>
                <w:rFonts w:ascii="Cambria Math" w:hAnsi="Cambria Math"/>
              </w:rPr>
              <m:t>dr</m:t>
            </m:r>
          </m:sub>
        </m:sSub>
      </m:oMath>
      <w:r>
        <w:t xml:space="preserve"> are the same parameters but for the drive beam. For the results discussed here a measure of the witness bunch acceleration is the relative energy difference between the drive and the witness with respect to the reference measurement. If the value </w:t>
      </w:r>
      <w:bookmarkStart w:id="3" w:name="OLE_LINK7"/>
      <w:bookmarkStart w:id="4" w:name="OLE_LINK8"/>
      <m:oMath>
        <m:sSub>
          <m:sSubPr>
            <m:ctrlPr>
              <w:rPr>
                <w:rFonts w:ascii="Cambria Math" w:hAnsi="Cambria Math"/>
                <w:i/>
              </w:rPr>
            </m:ctrlPr>
          </m:sSubPr>
          <m:e>
            <m:r>
              <w:rPr>
                <w:rFonts w:ascii="Cambria Math" w:hAnsi="Cambria Math"/>
              </w:rPr>
              <m:t>∆E</m:t>
            </m:r>
          </m:e>
          <m:sub>
            <m:r>
              <m:rPr>
                <m:sty m:val="p"/>
              </m:rPr>
              <w:rPr>
                <w:rFonts w:ascii="Cambria Math" w:hAnsi="Cambria Math"/>
              </w:rPr>
              <m:t>capillary</m:t>
            </m:r>
            <m:r>
              <w:rPr>
                <w:rFonts w:ascii="Cambria Math" w:hAnsi="Cambria Math"/>
              </w:rPr>
              <m:t xml:space="preserve"> </m:t>
            </m:r>
          </m:sub>
        </m:sSub>
        <m:r>
          <w:rPr>
            <w:rFonts w:ascii="Cambria Math" w:hAnsi="Cambria Math"/>
          </w:rPr>
          <m:t>&lt;</m:t>
        </m:r>
        <m:sSub>
          <m:sSubPr>
            <m:ctrlPr>
              <w:rPr>
                <w:rFonts w:ascii="Cambria Math" w:hAnsi="Cambria Math"/>
                <w:i/>
              </w:rPr>
            </m:ctrlPr>
          </m:sSubPr>
          <m:e>
            <m:r>
              <w:rPr>
                <w:rFonts w:ascii="Cambria Math" w:hAnsi="Cambria Math"/>
              </w:rPr>
              <m:t>∆E</m:t>
            </m:r>
          </m:e>
          <m:sub>
            <m:r>
              <m:rPr>
                <m:sty m:val="p"/>
              </m:rPr>
              <w:rPr>
                <w:rFonts w:ascii="Cambria Math" w:hAnsi="Cambria Math"/>
              </w:rPr>
              <m:t>ref</m:t>
            </m:r>
            <m:r>
              <w:rPr>
                <w:rFonts w:ascii="Cambria Math" w:hAnsi="Cambria Math"/>
              </w:rPr>
              <m:t xml:space="preserve"> </m:t>
            </m:r>
          </m:sub>
        </m:sSub>
      </m:oMath>
      <w:bookmarkEnd w:id="3"/>
      <w:bookmarkEnd w:id="4"/>
      <w:r>
        <w:t>we observe acceleration of the witness beam, on the contrary</w:t>
      </w:r>
      <w:r w:rsidR="00645EE6">
        <w:t>,</w:t>
      </w:r>
      <w:r>
        <w:t xml:space="preserve"> if </w:t>
      </w:r>
      <m:oMath>
        <m:sSub>
          <m:sSubPr>
            <m:ctrlPr>
              <w:rPr>
                <w:rFonts w:ascii="Cambria Math" w:hAnsi="Cambria Math"/>
                <w:i/>
              </w:rPr>
            </m:ctrlPr>
          </m:sSubPr>
          <m:e>
            <m:r>
              <w:rPr>
                <w:rFonts w:ascii="Cambria Math" w:hAnsi="Cambria Math"/>
              </w:rPr>
              <m:t>∆E</m:t>
            </m:r>
          </m:e>
          <m:sub>
            <m:r>
              <m:rPr>
                <m:sty m:val="p"/>
              </m:rPr>
              <w:rPr>
                <w:rFonts w:ascii="Cambria Math" w:hAnsi="Cambria Math"/>
              </w:rPr>
              <m:t>capillary</m:t>
            </m:r>
            <m:r>
              <w:rPr>
                <w:rFonts w:ascii="Cambria Math" w:hAnsi="Cambria Math"/>
              </w:rPr>
              <m:t xml:space="preserve"> </m:t>
            </m:r>
          </m:sub>
        </m:sSub>
        <m:r>
          <w:rPr>
            <w:rFonts w:ascii="Cambria Math" w:hAnsi="Cambria Math"/>
          </w:rPr>
          <m:t>&gt;</m:t>
        </m:r>
        <m:sSub>
          <m:sSubPr>
            <m:ctrlPr>
              <w:rPr>
                <w:rFonts w:ascii="Cambria Math" w:hAnsi="Cambria Math"/>
                <w:i/>
              </w:rPr>
            </m:ctrlPr>
          </m:sSubPr>
          <m:e>
            <m:r>
              <w:rPr>
                <w:rFonts w:ascii="Cambria Math" w:hAnsi="Cambria Math"/>
              </w:rPr>
              <m:t>∆E</m:t>
            </m:r>
          </m:e>
          <m:sub>
            <m:r>
              <m:rPr>
                <m:sty m:val="p"/>
              </m:rPr>
              <w:rPr>
                <w:rFonts w:ascii="Cambria Math" w:hAnsi="Cambria Math"/>
              </w:rPr>
              <m:t>ref</m:t>
            </m:r>
            <m:r>
              <w:rPr>
                <w:rFonts w:ascii="Cambria Math" w:hAnsi="Cambria Math"/>
              </w:rPr>
              <m:t xml:space="preserve"> </m:t>
            </m:r>
          </m:sub>
        </m:sSub>
      </m:oMath>
      <w:r>
        <w:t xml:space="preserve"> we observe deceleration.</w:t>
      </w:r>
    </w:p>
    <w:p w14:paraId="306B4218" w14:textId="72A45D57" w:rsidR="00CF2586" w:rsidRDefault="00CF2586" w:rsidP="00CF2586">
      <w:pPr>
        <w:pStyle w:val="BodyTextIndent"/>
      </w:pPr>
      <w:r>
        <w:t xml:space="preserve">Fig. 3 shows the energy distribution on the YAG screen without the capillary for the initial distance between bunches </w:t>
      </w:r>
      <m:oMath>
        <m:r>
          <w:rPr>
            <w:rFonts w:ascii="Cambria Math" w:hAnsi="Cambria Math"/>
          </w:rPr>
          <m:t>≅2.7</m:t>
        </m:r>
      </m:oMath>
      <w:r>
        <w:t xml:space="preserve"> mm. The direction of energy increase is from left to right, the energy difference between the drive and witness centroids is </w:t>
      </w:r>
      <m:oMath>
        <m:sSub>
          <m:sSubPr>
            <m:ctrlPr>
              <w:rPr>
                <w:rFonts w:ascii="Cambria Math" w:hAnsi="Cambria Math"/>
                <w:i/>
              </w:rPr>
            </m:ctrlPr>
          </m:sSubPr>
          <m:e>
            <m:r>
              <w:rPr>
                <w:rFonts w:ascii="Cambria Math" w:hAnsi="Cambria Math"/>
              </w:rPr>
              <m:t>∆E</m:t>
            </m:r>
          </m:e>
          <m:sub>
            <m:r>
              <m:rPr>
                <m:sty m:val="p"/>
              </m:rPr>
              <w:rPr>
                <w:rFonts w:ascii="Cambria Math" w:hAnsi="Cambria Math"/>
              </w:rPr>
              <m:t>ref</m:t>
            </m:r>
          </m:sub>
        </m:sSub>
        <m:r>
          <w:rPr>
            <w:rFonts w:ascii="Cambria Math" w:hAnsi="Cambria Math"/>
          </w:rPr>
          <m:t>=91.5±0.4</m:t>
        </m:r>
      </m:oMath>
      <w:r>
        <w:t xml:space="preserve"> keV, skewness of the drive bunch energy distribution is </w:t>
      </w:r>
      <m:oMath>
        <m:r>
          <w:rPr>
            <w:rFonts w:ascii="Cambria Math" w:hAnsi="Cambria Math"/>
          </w:rPr>
          <m:t>α=0.25±0.02</m:t>
        </m:r>
      </m:oMath>
      <w:r>
        <w:t>.</w:t>
      </w:r>
    </w:p>
    <w:p w14:paraId="052214B6" w14:textId="5EE50FC2" w:rsidR="00FC0ACD" w:rsidRPr="000D7676" w:rsidRDefault="00FC72B6" w:rsidP="00FC0ACD">
      <w:pPr>
        <w:pStyle w:val="JSubsectionHeading"/>
        <w:jc w:val="center"/>
        <w:rPr>
          <w:i w:val="0"/>
        </w:rPr>
      </w:pPr>
      <w:r>
        <w:rPr>
          <w:i w:val="0"/>
          <w:noProof/>
          <w:lang w:eastAsia="en-GB"/>
        </w:rPr>
        <w:drawing>
          <wp:inline distT="0" distB="0" distL="0" distR="0" wp14:anchorId="149A684F" wp14:editId="54BAC21C">
            <wp:extent cx="2966085" cy="2762885"/>
            <wp:effectExtent l="0" t="0" r="571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am.png"/>
                    <pic:cNvPicPr/>
                  </pic:nvPicPr>
                  <pic:blipFill>
                    <a:blip r:embed="rId10">
                      <a:extLst>
                        <a:ext uri="{28A0092B-C50C-407E-A947-70E740481C1C}">
                          <a14:useLocalDpi xmlns:a14="http://schemas.microsoft.com/office/drawing/2010/main" val="0"/>
                        </a:ext>
                      </a:extLst>
                    </a:blip>
                    <a:stretch>
                      <a:fillRect/>
                    </a:stretch>
                  </pic:blipFill>
                  <pic:spPr>
                    <a:xfrm>
                      <a:off x="0" y="0"/>
                      <a:ext cx="2966085" cy="2762885"/>
                    </a:xfrm>
                    <a:prstGeom prst="rect">
                      <a:avLst/>
                    </a:prstGeom>
                  </pic:spPr>
                </pic:pic>
              </a:graphicData>
            </a:graphic>
          </wp:inline>
        </w:drawing>
      </w:r>
    </w:p>
    <w:p w14:paraId="6923D8E1" w14:textId="5F3C6C1B" w:rsidR="00580FFF" w:rsidRDefault="00FC0ACD" w:rsidP="004D15C1">
      <w:pPr>
        <w:pStyle w:val="Caption"/>
      </w:pPr>
      <w:r w:rsidRPr="0063734F">
        <w:t xml:space="preserve">Figure </w:t>
      </w:r>
      <w:r w:rsidR="00170AF8">
        <w:t>3</w:t>
      </w:r>
      <w:r>
        <w:rPr>
          <w:rStyle w:val="CaptionChar"/>
        </w:rPr>
        <w:t xml:space="preserve">: Energy dispersion on </w:t>
      </w:r>
      <w:r w:rsidR="00280E2C">
        <w:rPr>
          <w:rStyle w:val="CaptionChar"/>
        </w:rPr>
        <w:t>MS3G sc</w:t>
      </w:r>
      <w:r w:rsidR="0086401A">
        <w:rPr>
          <w:rStyle w:val="CaptionChar"/>
        </w:rPr>
        <w:t>reen for beam without capillary (reference)</w:t>
      </w:r>
      <w:r>
        <w:t>.</w:t>
      </w:r>
    </w:p>
    <w:p w14:paraId="1F44223B" w14:textId="334D8A17" w:rsidR="00580FFF" w:rsidRPr="00580FFF" w:rsidRDefault="00580FFF" w:rsidP="00580FFF">
      <w:pPr>
        <w:pStyle w:val="BodyTextIndent"/>
      </w:pPr>
      <w:r>
        <w:t xml:space="preserve">Fig. 4 demonstrates the same measurement as in Fig. 3, but </w:t>
      </w:r>
      <w:r w:rsidR="00645EE6">
        <w:t xml:space="preserve">this time </w:t>
      </w:r>
      <w:r>
        <w:t xml:space="preserve">the beam was propagating </w:t>
      </w:r>
      <w:r w:rsidR="00645EE6">
        <w:t xml:space="preserve">through the capillary </w:t>
      </w:r>
      <w:r>
        <w:t xml:space="preserve">at an off-set of 1.5 mm from </w:t>
      </w:r>
      <w:r w:rsidR="00645EE6">
        <w:t>its</w:t>
      </w:r>
      <w:r>
        <w:t xml:space="preserve"> central axis. For this measurement, skewness of the drive bunch energy distribution is </w:t>
      </w:r>
      <m:oMath>
        <m:r>
          <w:rPr>
            <w:rFonts w:ascii="Cambria Math" w:hAnsi="Cambria Math"/>
          </w:rPr>
          <m:t>α=0.35±0.02</m:t>
        </m:r>
      </m:oMath>
      <w:r>
        <w:t xml:space="preserve"> and the energy difference is</w:t>
      </w:r>
      <m:oMath>
        <m:sSub>
          <m:sSubPr>
            <m:ctrlPr>
              <w:rPr>
                <w:rFonts w:ascii="Cambria Math" w:hAnsi="Cambria Math"/>
                <w:i/>
              </w:rPr>
            </m:ctrlPr>
          </m:sSubPr>
          <m:e>
            <m:r>
              <m:rPr>
                <m:sty m:val="p"/>
              </m:rPr>
              <w:rPr>
                <w:rFonts w:ascii="Cambria Math" w:hAnsi="Cambria Math"/>
              </w:rPr>
              <m:t xml:space="preserve"> </m:t>
            </m:r>
            <m:r>
              <w:rPr>
                <w:rFonts w:ascii="Cambria Math" w:hAnsi="Cambria Math"/>
              </w:rPr>
              <m:t>∆E</m:t>
            </m:r>
          </m:e>
          <m:sub>
            <m:r>
              <m:rPr>
                <m:sty m:val="p"/>
              </m:rPr>
              <w:rPr>
                <w:rFonts w:ascii="Cambria Math" w:hAnsi="Cambria Math"/>
              </w:rPr>
              <m:t>capillary</m:t>
            </m:r>
          </m:sub>
        </m:sSub>
        <m:r>
          <w:rPr>
            <w:rFonts w:ascii="Cambria Math" w:hAnsi="Cambria Math"/>
          </w:rPr>
          <m:t>=79.8±0.4</m:t>
        </m:r>
      </m:oMath>
      <w:r>
        <w:t xml:space="preserve"> keV, giving the energy gain of the witness beam </w:t>
      </w:r>
      <m:oMath>
        <m:sSub>
          <m:sSubPr>
            <m:ctrlPr>
              <w:rPr>
                <w:rFonts w:ascii="Cambria Math" w:hAnsi="Cambria Math"/>
                <w:i/>
              </w:rPr>
            </m:ctrlPr>
          </m:sSubPr>
          <m:e>
            <m:r>
              <m:rPr>
                <m:sty m:val="p"/>
              </m:rPr>
              <w:rPr>
                <w:rFonts w:ascii="Cambria Math" w:hAnsi="Cambria Math"/>
              </w:rPr>
              <m:t xml:space="preserve"> </m:t>
            </m:r>
            <m:r>
              <w:rPr>
                <w:rFonts w:ascii="Cambria Math" w:hAnsi="Cambria Math"/>
              </w:rPr>
              <m:t>∆E</m:t>
            </m:r>
          </m:e>
          <m:sub>
            <m:r>
              <m:rPr>
                <m:sty m:val="p"/>
              </m:rPr>
              <w:rPr>
                <w:rFonts w:ascii="Cambria Math" w:hAnsi="Cambria Math"/>
              </w:rPr>
              <m:t>witness</m:t>
            </m:r>
          </m:sub>
        </m:sSub>
        <m:r>
          <w:rPr>
            <w:rFonts w:ascii="Cambria Math" w:hAnsi="Cambria Math"/>
          </w:rPr>
          <m:t>=11.7±0.6</m:t>
        </m:r>
      </m:oMath>
      <w:r>
        <w:t xml:space="preserve"> keV in 60 mm of the corrugated structure, or </w:t>
      </w:r>
      <m:oMath>
        <m:r>
          <w:rPr>
            <w:rFonts w:ascii="Cambria Math" w:hAnsi="Cambria Math"/>
          </w:rPr>
          <m:t>~</m:t>
        </m:r>
      </m:oMath>
      <w:r w:rsidR="00FD6E4A">
        <w:t>200</w:t>
      </w:r>
      <w:r>
        <w:t xml:space="preserve"> keV/m accelerating gradient. In principle, the gradient could be significantly increased if a larger drive charge and a larger drive – witness charge imbalance were achievable in this experiment. </w:t>
      </w:r>
    </w:p>
    <w:p w14:paraId="1EDCB4FD" w14:textId="5FFAB95D" w:rsidR="00FC0ACD" w:rsidRPr="000D7676" w:rsidRDefault="003E7A53" w:rsidP="00FC0ACD">
      <w:pPr>
        <w:pStyle w:val="JSubsectionHeading"/>
        <w:jc w:val="center"/>
        <w:rPr>
          <w:i w:val="0"/>
        </w:rPr>
      </w:pPr>
      <w:r>
        <w:rPr>
          <w:i w:val="0"/>
          <w:noProof/>
          <w:lang w:eastAsia="en-GB"/>
        </w:rPr>
        <w:lastRenderedPageBreak/>
        <w:drawing>
          <wp:inline distT="0" distB="0" distL="0" distR="0" wp14:anchorId="30A611A8" wp14:editId="58E41EEB">
            <wp:extent cx="2966085" cy="277114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rrug_manx3500.png"/>
                    <pic:cNvPicPr/>
                  </pic:nvPicPr>
                  <pic:blipFill>
                    <a:blip r:embed="rId11">
                      <a:extLst>
                        <a:ext uri="{28A0092B-C50C-407E-A947-70E740481C1C}">
                          <a14:useLocalDpi xmlns:a14="http://schemas.microsoft.com/office/drawing/2010/main" val="0"/>
                        </a:ext>
                      </a:extLst>
                    </a:blip>
                    <a:stretch>
                      <a:fillRect/>
                    </a:stretch>
                  </pic:blipFill>
                  <pic:spPr>
                    <a:xfrm>
                      <a:off x="0" y="0"/>
                      <a:ext cx="2966085" cy="2771140"/>
                    </a:xfrm>
                    <a:prstGeom prst="rect">
                      <a:avLst/>
                    </a:prstGeom>
                  </pic:spPr>
                </pic:pic>
              </a:graphicData>
            </a:graphic>
          </wp:inline>
        </w:drawing>
      </w:r>
    </w:p>
    <w:p w14:paraId="14180B21" w14:textId="609F1ABE" w:rsidR="00FC0ACD" w:rsidRDefault="00FC0ACD" w:rsidP="004D15C1">
      <w:pPr>
        <w:pStyle w:val="Caption"/>
      </w:pPr>
      <w:r w:rsidRPr="0063734F">
        <w:t xml:space="preserve">Figure </w:t>
      </w:r>
      <w:r w:rsidR="00170AF8">
        <w:t>4</w:t>
      </w:r>
      <w:r>
        <w:rPr>
          <w:rStyle w:val="CaptionChar"/>
        </w:rPr>
        <w:t xml:space="preserve">: Energy dispersion on MS3G screen for </w:t>
      </w:r>
      <w:r w:rsidR="00AE0C35">
        <w:rPr>
          <w:rStyle w:val="CaptionChar"/>
        </w:rPr>
        <w:t>beam</w:t>
      </w:r>
      <w:r w:rsidR="00120DF6">
        <w:rPr>
          <w:rStyle w:val="CaptionChar"/>
        </w:rPr>
        <w:t xml:space="preserve"> with capillary</w:t>
      </w:r>
      <w:r>
        <w:t>.</w:t>
      </w:r>
    </w:p>
    <w:p w14:paraId="3014C062" w14:textId="5D25B07B" w:rsidR="009803F9" w:rsidRDefault="00580FFF" w:rsidP="009803F9">
      <w:pPr>
        <w:pStyle w:val="BodyTextIndent"/>
      </w:pPr>
      <w:r>
        <w:t>Two typical measurements from the complete data sets were discussed to provide a demonstration of the methodology used for data analysis.</w:t>
      </w:r>
      <w:r w:rsidR="00EA682B">
        <w:t xml:space="preserve"> </w:t>
      </w:r>
      <w:r w:rsidR="009B43F1">
        <w:t xml:space="preserve">The calculation of the energy difference for the reference measurement, for the measurement with capillary and the resulting energy gain of the witness bunch are summarized in Table 2. </w:t>
      </w:r>
      <w:r>
        <w:t xml:space="preserve"> </w:t>
      </w:r>
    </w:p>
    <w:p w14:paraId="570687B7" w14:textId="21DA9323" w:rsidR="009803F9" w:rsidRPr="004D15C1" w:rsidRDefault="004D15C1" w:rsidP="004D15C1">
      <w:pPr>
        <w:pStyle w:val="Caption"/>
        <w:jc w:val="center"/>
      </w:pPr>
      <w:r>
        <w:t>Table 2</w:t>
      </w:r>
      <w:r w:rsidR="009803F9" w:rsidRPr="00BA703E">
        <w:t xml:space="preserve">: </w:t>
      </w:r>
      <w:r>
        <w:t xml:space="preserve">Energy </w:t>
      </w:r>
      <w:r w:rsidR="00C36333">
        <w:t>measurements</w:t>
      </w:r>
      <w:r w:rsidR="009803F9">
        <w:t>.</w:t>
      </w:r>
    </w:p>
    <w:tbl>
      <w:tblPr>
        <w:tblW w:w="0" w:type="auto"/>
        <w:jc w:val="center"/>
        <w:tblBorders>
          <w:top w:val="single" w:sz="12" w:space="0" w:color="auto"/>
          <w:bottom w:val="single" w:sz="12" w:space="0" w:color="auto"/>
          <w:insideH w:val="single" w:sz="4" w:space="0" w:color="auto"/>
        </w:tblBorders>
        <w:tblLook w:val="0000" w:firstRow="0" w:lastRow="0" w:firstColumn="0" w:lastColumn="0" w:noHBand="0" w:noVBand="0"/>
      </w:tblPr>
      <w:tblGrid>
        <w:gridCol w:w="2011"/>
        <w:gridCol w:w="1636"/>
      </w:tblGrid>
      <w:tr w:rsidR="000826DD" w:rsidRPr="00E56880" w14:paraId="0F1DD7D6" w14:textId="77777777" w:rsidTr="000826DD">
        <w:trPr>
          <w:trHeight w:val="267"/>
          <w:jc w:val="center"/>
        </w:trPr>
        <w:tc>
          <w:tcPr>
            <w:tcW w:w="2011" w:type="dxa"/>
            <w:tcBorders>
              <w:top w:val="single" w:sz="8" w:space="0" w:color="auto"/>
              <w:bottom w:val="single" w:sz="4" w:space="0" w:color="auto"/>
            </w:tcBorders>
          </w:tcPr>
          <w:p w14:paraId="30914D80" w14:textId="77777777" w:rsidR="009803F9" w:rsidRPr="00D90022" w:rsidRDefault="009803F9" w:rsidP="000826DD">
            <w:pPr>
              <w:pStyle w:val="TableCaption"/>
              <w:keepNext/>
              <w:spacing w:before="20" w:after="20"/>
              <w:jc w:val="left"/>
              <w:rPr>
                <w:b/>
                <w:bCs/>
                <w:kern w:val="16"/>
                <w:szCs w:val="18"/>
              </w:rPr>
            </w:pPr>
            <w:r>
              <w:rPr>
                <w:b/>
                <w:bCs/>
                <w:kern w:val="16"/>
                <w:szCs w:val="18"/>
              </w:rPr>
              <w:t>Parameter</w:t>
            </w:r>
          </w:p>
        </w:tc>
        <w:tc>
          <w:tcPr>
            <w:tcW w:w="1636" w:type="dxa"/>
            <w:tcBorders>
              <w:top w:val="single" w:sz="8" w:space="0" w:color="auto"/>
              <w:bottom w:val="single" w:sz="4" w:space="0" w:color="auto"/>
            </w:tcBorders>
          </w:tcPr>
          <w:p w14:paraId="5156EF0E" w14:textId="77777777" w:rsidR="009803F9" w:rsidRPr="00D90022" w:rsidRDefault="009803F9" w:rsidP="00B269B3">
            <w:pPr>
              <w:pStyle w:val="TableCaption"/>
              <w:keepNext/>
              <w:spacing w:before="20" w:after="20"/>
              <w:rPr>
                <w:b/>
                <w:bCs/>
                <w:kern w:val="16"/>
                <w:szCs w:val="18"/>
              </w:rPr>
            </w:pPr>
            <w:r>
              <w:rPr>
                <w:b/>
                <w:bCs/>
                <w:kern w:val="16"/>
                <w:szCs w:val="18"/>
              </w:rPr>
              <w:t>Value</w:t>
            </w:r>
          </w:p>
        </w:tc>
      </w:tr>
      <w:tr w:rsidR="000826DD" w:rsidRPr="00E56880" w14:paraId="36F921B1" w14:textId="77777777" w:rsidTr="000826DD">
        <w:trPr>
          <w:trHeight w:val="258"/>
          <w:jc w:val="center"/>
        </w:trPr>
        <w:tc>
          <w:tcPr>
            <w:tcW w:w="2011" w:type="dxa"/>
            <w:tcBorders>
              <w:top w:val="single" w:sz="4" w:space="0" w:color="auto"/>
              <w:bottom w:val="nil"/>
            </w:tcBorders>
          </w:tcPr>
          <w:p w14:paraId="06EDE7DD" w14:textId="1AD9D707" w:rsidR="009803F9" w:rsidRPr="000826DD" w:rsidRDefault="00F03F49" w:rsidP="000826DD">
            <w:pPr>
              <w:pStyle w:val="TableCaption"/>
              <w:keepNext/>
              <w:spacing w:before="20" w:after="20"/>
              <w:jc w:val="left"/>
              <w:rPr>
                <w:kern w:val="16"/>
                <w:szCs w:val="18"/>
              </w:rPr>
            </w:pPr>
            <m:oMathPara>
              <m:oMathParaPr>
                <m:jc m:val="left"/>
              </m:oMathParaPr>
              <m:oMath>
                <m:sSub>
                  <m:sSubPr>
                    <m:ctrlPr>
                      <w:rPr>
                        <w:rFonts w:ascii="Cambria Math" w:hAnsi="Cambria Math"/>
                        <w:i/>
                      </w:rPr>
                    </m:ctrlPr>
                  </m:sSubPr>
                  <m:e>
                    <m:r>
                      <w:rPr>
                        <w:rFonts w:ascii="Cambria Math" w:hAnsi="Cambria Math"/>
                      </w:rPr>
                      <m:t>∆E</m:t>
                    </m:r>
                  </m:e>
                  <m:sub>
                    <m:r>
                      <m:rPr>
                        <m:sty m:val="p"/>
                      </m:rPr>
                      <w:rPr>
                        <w:rFonts w:ascii="Cambria Math" w:hAnsi="Cambria Math"/>
                      </w:rPr>
                      <m:t>ref</m:t>
                    </m:r>
                  </m:sub>
                </m:sSub>
              </m:oMath>
            </m:oMathPara>
          </w:p>
        </w:tc>
        <w:tc>
          <w:tcPr>
            <w:tcW w:w="1636" w:type="dxa"/>
            <w:tcBorders>
              <w:top w:val="single" w:sz="4" w:space="0" w:color="auto"/>
              <w:bottom w:val="nil"/>
            </w:tcBorders>
          </w:tcPr>
          <w:p w14:paraId="6FE4C8D2" w14:textId="6D89D5B6" w:rsidR="009803F9" w:rsidRPr="00D90022" w:rsidRDefault="000F0D5B" w:rsidP="000F0D5B">
            <w:pPr>
              <w:pStyle w:val="TableCaption"/>
              <w:keepNext/>
              <w:spacing w:before="20" w:after="20"/>
              <w:rPr>
                <w:kern w:val="16"/>
                <w:szCs w:val="18"/>
              </w:rPr>
            </w:pPr>
            <m:oMath>
              <m:r>
                <w:rPr>
                  <w:rFonts w:ascii="Cambria Math" w:hAnsi="Cambria Math"/>
                </w:rPr>
                <m:t>91.5±0.4</m:t>
              </m:r>
            </m:oMath>
            <w:r w:rsidR="009803F9">
              <w:rPr>
                <w:kern w:val="16"/>
                <w:szCs w:val="18"/>
              </w:rPr>
              <w:t xml:space="preserve"> </w:t>
            </w:r>
            <w:r>
              <w:rPr>
                <w:kern w:val="16"/>
                <w:szCs w:val="18"/>
              </w:rPr>
              <w:t>keV</w:t>
            </w:r>
          </w:p>
        </w:tc>
      </w:tr>
      <w:tr w:rsidR="000826DD" w:rsidRPr="00E56880" w14:paraId="5D52BB32" w14:textId="77777777" w:rsidTr="000826DD">
        <w:trPr>
          <w:trHeight w:val="258"/>
          <w:jc w:val="center"/>
        </w:trPr>
        <w:tc>
          <w:tcPr>
            <w:tcW w:w="2011" w:type="dxa"/>
            <w:tcBorders>
              <w:top w:val="nil"/>
              <w:bottom w:val="nil"/>
            </w:tcBorders>
          </w:tcPr>
          <w:p w14:paraId="0E8E5174" w14:textId="175C5841" w:rsidR="009803F9" w:rsidRPr="000826DD" w:rsidRDefault="00F03F49" w:rsidP="000826DD">
            <w:pPr>
              <w:pStyle w:val="TableCaption"/>
              <w:keepNext/>
              <w:spacing w:before="20" w:after="20"/>
              <w:jc w:val="left"/>
              <w:rPr>
                <w:kern w:val="16"/>
                <w:szCs w:val="18"/>
              </w:rPr>
            </w:pPr>
            <m:oMathPara>
              <m:oMathParaPr>
                <m:jc m:val="left"/>
              </m:oMathParaPr>
              <m:oMath>
                <m:sSub>
                  <m:sSubPr>
                    <m:ctrlPr>
                      <w:rPr>
                        <w:rFonts w:ascii="Cambria Math" w:hAnsi="Cambria Math"/>
                        <w:i/>
                      </w:rPr>
                    </m:ctrlPr>
                  </m:sSubPr>
                  <m:e>
                    <m:r>
                      <w:rPr>
                        <w:rFonts w:ascii="Cambria Math" w:hAnsi="Cambria Math"/>
                      </w:rPr>
                      <m:t>∆E</m:t>
                    </m:r>
                  </m:e>
                  <m:sub>
                    <m:r>
                      <m:rPr>
                        <m:sty m:val="p"/>
                      </m:rPr>
                      <w:rPr>
                        <w:rFonts w:ascii="Cambria Math" w:hAnsi="Cambria Math"/>
                      </w:rPr>
                      <m:t>capillary</m:t>
                    </m:r>
                  </m:sub>
                </m:sSub>
              </m:oMath>
            </m:oMathPara>
          </w:p>
        </w:tc>
        <w:tc>
          <w:tcPr>
            <w:tcW w:w="1636" w:type="dxa"/>
            <w:tcBorders>
              <w:top w:val="nil"/>
              <w:bottom w:val="nil"/>
            </w:tcBorders>
          </w:tcPr>
          <w:p w14:paraId="04D793EE" w14:textId="6C94C621" w:rsidR="009803F9" w:rsidRPr="00D90022" w:rsidRDefault="000F0D5B" w:rsidP="000F0D5B">
            <w:pPr>
              <w:pStyle w:val="TableCaption"/>
              <w:keepNext/>
              <w:spacing w:before="20" w:after="20"/>
              <w:rPr>
                <w:kern w:val="16"/>
                <w:szCs w:val="18"/>
              </w:rPr>
            </w:pPr>
            <m:oMath>
              <m:r>
                <w:rPr>
                  <w:rFonts w:ascii="Cambria Math" w:hAnsi="Cambria Math"/>
                </w:rPr>
                <m:t>79.8±0.4</m:t>
              </m:r>
            </m:oMath>
            <w:r>
              <w:t xml:space="preserve"> keV</w:t>
            </w:r>
          </w:p>
        </w:tc>
      </w:tr>
      <w:tr w:rsidR="000826DD" w:rsidRPr="00E56880" w14:paraId="1150A063" w14:textId="77777777" w:rsidTr="000826DD">
        <w:trPr>
          <w:trHeight w:val="267"/>
          <w:jc w:val="center"/>
        </w:trPr>
        <w:tc>
          <w:tcPr>
            <w:tcW w:w="2011" w:type="dxa"/>
            <w:tcBorders>
              <w:top w:val="nil"/>
              <w:bottom w:val="nil"/>
            </w:tcBorders>
          </w:tcPr>
          <w:p w14:paraId="024703A9" w14:textId="4CB27860" w:rsidR="009803F9" w:rsidRPr="000826DD" w:rsidRDefault="00F03F49" w:rsidP="000826DD">
            <w:pPr>
              <w:pStyle w:val="TableCaption"/>
              <w:spacing w:before="20" w:after="20"/>
              <w:jc w:val="left"/>
              <w:rPr>
                <w:kern w:val="16"/>
                <w:szCs w:val="18"/>
              </w:rPr>
            </w:pPr>
            <m:oMathPara>
              <m:oMathParaPr>
                <m:jc m:val="left"/>
              </m:oMathParaPr>
              <m:oMath>
                <m:sSub>
                  <m:sSubPr>
                    <m:ctrlPr>
                      <w:rPr>
                        <w:rFonts w:ascii="Cambria Math" w:hAnsi="Cambria Math"/>
                        <w:i/>
                      </w:rPr>
                    </m:ctrlPr>
                  </m:sSubPr>
                  <m:e>
                    <m:r>
                      <w:rPr>
                        <w:rFonts w:ascii="Cambria Math" w:hAnsi="Cambria Math"/>
                      </w:rPr>
                      <m:t>∆E</m:t>
                    </m:r>
                  </m:e>
                  <m:sub>
                    <m:r>
                      <m:rPr>
                        <m:sty m:val="p"/>
                      </m:rPr>
                      <w:rPr>
                        <w:rFonts w:ascii="Cambria Math" w:hAnsi="Cambria Math"/>
                      </w:rPr>
                      <m:t>witness</m:t>
                    </m:r>
                  </m:sub>
                </m:sSub>
              </m:oMath>
            </m:oMathPara>
          </w:p>
        </w:tc>
        <w:tc>
          <w:tcPr>
            <w:tcW w:w="1636" w:type="dxa"/>
            <w:tcBorders>
              <w:top w:val="nil"/>
              <w:bottom w:val="nil"/>
            </w:tcBorders>
          </w:tcPr>
          <w:p w14:paraId="796420F0" w14:textId="04184A54" w:rsidR="009803F9" w:rsidRDefault="00FD6E4A" w:rsidP="000F0D5B">
            <w:pPr>
              <w:pStyle w:val="TableCaption"/>
              <w:spacing w:before="20" w:after="20"/>
              <w:rPr>
                <w:kern w:val="16"/>
                <w:szCs w:val="18"/>
              </w:rPr>
            </w:pPr>
            <m:oMath>
              <m:r>
                <w:rPr>
                  <w:rFonts w:ascii="Cambria Math" w:hAnsi="Cambria Math"/>
                </w:rPr>
                <m:t>11.7±0.6</m:t>
              </m:r>
            </m:oMath>
            <w:r w:rsidR="000F0D5B">
              <w:t xml:space="preserve"> keV</w:t>
            </w:r>
          </w:p>
        </w:tc>
      </w:tr>
      <w:tr w:rsidR="000826DD" w:rsidRPr="00E56880" w14:paraId="5C7B762C" w14:textId="77777777" w:rsidTr="000826DD">
        <w:trPr>
          <w:trHeight w:val="267"/>
          <w:jc w:val="center"/>
        </w:trPr>
        <w:tc>
          <w:tcPr>
            <w:tcW w:w="2011" w:type="dxa"/>
            <w:tcBorders>
              <w:top w:val="nil"/>
              <w:bottom w:val="single" w:sz="8" w:space="0" w:color="auto"/>
            </w:tcBorders>
          </w:tcPr>
          <w:p w14:paraId="349EDD71" w14:textId="4819E99A" w:rsidR="000F0D5B" w:rsidRDefault="000F0D5B" w:rsidP="000826DD">
            <w:pPr>
              <w:pStyle w:val="TableCaption"/>
              <w:spacing w:before="20" w:after="20"/>
              <w:jc w:val="left"/>
              <w:rPr>
                <w:rFonts w:ascii="Times" w:hAnsi="Times"/>
              </w:rPr>
            </w:pPr>
            <w:r>
              <w:rPr>
                <w:rFonts w:ascii="Times" w:hAnsi="Times"/>
              </w:rPr>
              <w:t>Acceleration gradient</w:t>
            </w:r>
          </w:p>
        </w:tc>
        <w:tc>
          <w:tcPr>
            <w:tcW w:w="1636" w:type="dxa"/>
            <w:tcBorders>
              <w:top w:val="nil"/>
              <w:bottom w:val="single" w:sz="8" w:space="0" w:color="auto"/>
            </w:tcBorders>
          </w:tcPr>
          <w:p w14:paraId="4DA20A8C" w14:textId="091E8DC9" w:rsidR="000F0D5B" w:rsidRDefault="000F0D5B" w:rsidP="000F0D5B">
            <w:pPr>
              <w:pStyle w:val="TableCaption"/>
              <w:spacing w:before="20" w:after="20"/>
            </w:pPr>
            <m:oMath>
              <m:r>
                <w:rPr>
                  <w:rFonts w:ascii="Cambria Math" w:hAnsi="Cambria Math"/>
                </w:rPr>
                <m:t>~</m:t>
              </m:r>
            </m:oMath>
            <w:r w:rsidR="00FD6E4A">
              <w:t>200</w:t>
            </w:r>
            <w:r>
              <w:t xml:space="preserve"> keV/m</w:t>
            </w:r>
          </w:p>
        </w:tc>
      </w:tr>
    </w:tbl>
    <w:p w14:paraId="27253BA8" w14:textId="77777777" w:rsidR="009803F9" w:rsidRDefault="009803F9" w:rsidP="009803F9">
      <w:pPr>
        <w:pStyle w:val="BodyTextIndent"/>
        <w:ind w:firstLine="0"/>
      </w:pPr>
    </w:p>
    <w:p w14:paraId="67EF74EC" w14:textId="51B25349" w:rsidR="00580FFF" w:rsidRPr="00580FFF" w:rsidRDefault="00580FFF" w:rsidP="00580FFF">
      <w:pPr>
        <w:pStyle w:val="BodyTextIndent"/>
      </w:pPr>
      <w:r>
        <w:t>Fig. 5 shows the measurement of the di</w:t>
      </w:r>
      <w:r w:rsidR="00A67E03">
        <w:t xml:space="preserve">stance between </w:t>
      </w:r>
      <w:r w:rsidR="00645EE6">
        <w:t>centroids on the YAG</w:t>
      </w:r>
      <w:r>
        <w:t xml:space="preserve"> screen as a function of </w:t>
      </w:r>
      <w:r w:rsidR="00A15559">
        <w:t>a drive-witness separation</w:t>
      </w:r>
      <w:r w:rsidR="00A67E03">
        <w:t>.</w:t>
      </w:r>
    </w:p>
    <w:p w14:paraId="722DC6DC" w14:textId="70F57FAD" w:rsidR="00985D75" w:rsidRPr="000D7676" w:rsidRDefault="00A15559" w:rsidP="00985D75">
      <w:pPr>
        <w:pStyle w:val="JSubsectionHeading"/>
        <w:jc w:val="center"/>
        <w:rPr>
          <w:i w:val="0"/>
        </w:rPr>
      </w:pPr>
      <w:r>
        <w:rPr>
          <w:i w:val="0"/>
          <w:noProof/>
          <w:lang w:eastAsia="en-GB"/>
        </w:rPr>
        <w:drawing>
          <wp:inline distT="0" distB="0" distL="0" distR="0" wp14:anchorId="15300F14" wp14:editId="339A14AA">
            <wp:extent cx="2966085" cy="2149475"/>
            <wp:effectExtent l="0" t="0" r="571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1_scan.png"/>
                    <pic:cNvPicPr/>
                  </pic:nvPicPr>
                  <pic:blipFill>
                    <a:blip r:embed="rId12">
                      <a:extLst>
                        <a:ext uri="{28A0092B-C50C-407E-A947-70E740481C1C}">
                          <a14:useLocalDpi xmlns:a14="http://schemas.microsoft.com/office/drawing/2010/main" val="0"/>
                        </a:ext>
                      </a:extLst>
                    </a:blip>
                    <a:stretch>
                      <a:fillRect/>
                    </a:stretch>
                  </pic:blipFill>
                  <pic:spPr>
                    <a:xfrm>
                      <a:off x="0" y="0"/>
                      <a:ext cx="2966085" cy="2149475"/>
                    </a:xfrm>
                    <a:prstGeom prst="rect">
                      <a:avLst/>
                    </a:prstGeom>
                  </pic:spPr>
                </pic:pic>
              </a:graphicData>
            </a:graphic>
          </wp:inline>
        </w:drawing>
      </w:r>
    </w:p>
    <w:p w14:paraId="6132D8EF" w14:textId="1F0036D3" w:rsidR="00985D75" w:rsidRPr="00BA703E" w:rsidRDefault="00985D75" w:rsidP="004D15C1">
      <w:pPr>
        <w:pStyle w:val="Caption"/>
      </w:pPr>
      <w:r w:rsidRPr="0063734F">
        <w:t xml:space="preserve">Figure </w:t>
      </w:r>
      <w:r>
        <w:t>5</w:t>
      </w:r>
      <w:r w:rsidR="00A67E03">
        <w:rPr>
          <w:rStyle w:val="CaptionChar"/>
        </w:rPr>
        <w:t xml:space="preserve">: </w:t>
      </w:r>
      <w:r w:rsidR="007A5081">
        <w:t>Red filling – acceleration, green filling – deceleration.</w:t>
      </w:r>
      <w:r w:rsidR="00A67E03">
        <w:t xml:space="preserve"> Transverse beam off-set 1.5 mm.</w:t>
      </w:r>
    </w:p>
    <w:p w14:paraId="5F6CF632" w14:textId="7682D7F7" w:rsidR="00985D75" w:rsidRPr="000F7CBD" w:rsidRDefault="008E46EE" w:rsidP="00C64AD3">
      <w:pPr>
        <w:pStyle w:val="BodyTextIndent"/>
      </w:pPr>
      <w:r>
        <w:t xml:space="preserve">For each drive-witness separation the difference between the centroids was binned and the mean and </w:t>
      </w:r>
      <w:r w:rsidR="0004717F">
        <w:t xml:space="preserve">the </w:t>
      </w:r>
      <w:r>
        <w:t xml:space="preserve">RMS </w:t>
      </w:r>
      <w:r w:rsidR="00E3322F">
        <w:t xml:space="preserve">error </w:t>
      </w:r>
      <w:r>
        <w:t xml:space="preserve">computed. This is shown in Fig. 5, with the means as points and </w:t>
      </w:r>
      <w:r w:rsidR="00CC2A21">
        <w:t>the</w:t>
      </w:r>
      <w:r>
        <w:t xml:space="preserve"> RMS</w:t>
      </w:r>
      <w:r w:rsidR="00E3322F">
        <w:t xml:space="preserve"> errors as </w:t>
      </w:r>
      <w:r w:rsidR="00C24DBF">
        <w:t xml:space="preserve">point </w:t>
      </w:r>
      <w:r w:rsidR="00E3322F">
        <w:t>errors</w:t>
      </w:r>
      <w:r>
        <w:t xml:space="preserve">. Regions in the plot with red or green filling, correspondingly, show acceleration or deceleration of the witness bunch in the capillary. </w:t>
      </w:r>
      <w:r w:rsidR="00580FFF">
        <w:t>Different transverse beam off-sets can produce different acceleration/deceleration patterns, so the structure can be used as an accelerator or a decelerator by displacing a beam transversely. However, one needs to consider that other beam parameters may deteriorate, for example due to beam clipping by the capillary aperture or due to the change in the efficiency of the beam’s self-field interaction with dielectric.</w:t>
      </w:r>
    </w:p>
    <w:p w14:paraId="711454F7" w14:textId="603779EE" w:rsidR="00166944" w:rsidRDefault="00ED6AC0" w:rsidP="00166944">
      <w:pPr>
        <w:pStyle w:val="JSectionHeading"/>
      </w:pPr>
      <w:r>
        <w:t>Conclusions</w:t>
      </w:r>
    </w:p>
    <w:p w14:paraId="340C835D" w14:textId="273A2B2D" w:rsidR="00166944" w:rsidRDefault="005A4FBF" w:rsidP="00166944">
      <w:pPr>
        <w:pStyle w:val="BodyTextIndent"/>
      </w:pPr>
      <w:r>
        <w:t>We discussed t</w:t>
      </w:r>
      <w:r w:rsidR="00762850">
        <w:t>he measu</w:t>
      </w:r>
      <w:r w:rsidR="00DB3E03">
        <w:t>rement of the energy gain of a</w:t>
      </w:r>
      <w:r w:rsidR="00762850">
        <w:t xml:space="preserve"> witness bunch due t</w:t>
      </w:r>
      <w:r w:rsidR="00DB3E03">
        <w:t>o the wakefield generated by a</w:t>
      </w:r>
      <w:r w:rsidR="00762850">
        <w:t xml:space="preserve"> drive bunch for </w:t>
      </w:r>
      <w:r w:rsidR="00DB3E03">
        <w:t>an</w:t>
      </w:r>
      <w:r w:rsidR="00B609D5">
        <w:t xml:space="preserve"> </w:t>
      </w:r>
      <w:r w:rsidR="00762850">
        <w:t xml:space="preserve">off-central beam propagation through the </w:t>
      </w:r>
      <w:r w:rsidR="006456AC">
        <w:t xml:space="preserve">mm-scale </w:t>
      </w:r>
      <w:r w:rsidR="00762850">
        <w:t>corrugat</w:t>
      </w:r>
      <w:r w:rsidR="00832CE7">
        <w:t xml:space="preserve">ed </w:t>
      </w:r>
      <w:r>
        <w:t>capillary</w:t>
      </w:r>
      <w:r w:rsidR="00762850">
        <w:t xml:space="preserve">. </w:t>
      </w:r>
      <w:r w:rsidR="006569CA">
        <w:t>We have demonstrated that t</w:t>
      </w:r>
      <w:r w:rsidR="00084127">
        <w:t>he measurement of the relative energy change between the centroids of the drive and the witness</w:t>
      </w:r>
      <w:r w:rsidR="006456AC">
        <w:t xml:space="preserve"> bunches</w:t>
      </w:r>
      <w:r w:rsidR="0005658F">
        <w:t xml:space="preserve"> provided information about the </w:t>
      </w:r>
      <w:r w:rsidR="006456AC">
        <w:t xml:space="preserve">distances between bunches </w:t>
      </w:r>
      <w:r w:rsidR="008517B1">
        <w:t>leading</w:t>
      </w:r>
      <w:r w:rsidR="0005658F">
        <w:t xml:space="preserve"> to</w:t>
      </w:r>
      <w:r w:rsidR="00084127">
        <w:t xml:space="preserve"> either acceleration or deceleration. </w:t>
      </w:r>
      <w:r w:rsidR="0076773C">
        <w:t>The corrugated capillar</w:t>
      </w:r>
      <w:r w:rsidR="00370794">
        <w:t>y</w:t>
      </w:r>
      <w:r w:rsidR="0076773C">
        <w:t xml:space="preserve"> </w:t>
      </w:r>
      <w:r w:rsidR="00370794">
        <w:t xml:space="preserve">and the beam used in the experiment </w:t>
      </w:r>
      <w:r w:rsidR="00FC0662">
        <w:t xml:space="preserve">produced only </w:t>
      </w:r>
      <w:r w:rsidR="00DB3E03">
        <w:t xml:space="preserve">a </w:t>
      </w:r>
      <w:r w:rsidR="00FC0662">
        <w:t>moderate</w:t>
      </w:r>
      <w:r w:rsidR="00DB3E03">
        <w:t xml:space="preserve"> </w:t>
      </w:r>
      <m:oMath>
        <m:r>
          <w:rPr>
            <w:rFonts w:ascii="Cambria Math" w:hAnsi="Cambria Math"/>
          </w:rPr>
          <m:t>~</m:t>
        </m:r>
      </m:oMath>
      <w:r w:rsidR="00FD6E4A">
        <w:t>200</w:t>
      </w:r>
      <w:r w:rsidR="00DB3E03">
        <w:t> keV/m acceleration gradient</w:t>
      </w:r>
      <w:r w:rsidR="00FC0662">
        <w:t xml:space="preserve"> due to limitations on the beam parameters.</w:t>
      </w:r>
      <w:r w:rsidR="00370794">
        <w:t xml:space="preserve"> </w:t>
      </w:r>
      <w:r w:rsidR="003E7FE4">
        <w:t>The</w:t>
      </w:r>
      <w:r w:rsidR="000444F9">
        <w:t xml:space="preserve"> </w:t>
      </w:r>
      <w:r w:rsidR="00957C48">
        <w:t xml:space="preserve">suggested </w:t>
      </w:r>
      <w:r w:rsidR="00FC0662">
        <w:t>experim</w:t>
      </w:r>
      <w:r w:rsidR="00F948D1">
        <w:t>ental</w:t>
      </w:r>
      <w:r w:rsidR="009F27DC">
        <w:t xml:space="preserve"> </w:t>
      </w:r>
      <w:r w:rsidR="00F23A4B">
        <w:t>scheme</w:t>
      </w:r>
      <w:r w:rsidR="000444F9">
        <w:t xml:space="preserve"> based on</w:t>
      </w:r>
      <w:r w:rsidR="00724A1D">
        <w:t xml:space="preserve"> </w:t>
      </w:r>
      <w:r w:rsidR="000444F9">
        <w:t>a mm-scale corrugated capillary</w:t>
      </w:r>
      <w:r w:rsidR="008517B1">
        <w:t xml:space="preserve"> can</w:t>
      </w:r>
      <w:r w:rsidR="0076773C">
        <w:t xml:space="preserve"> </w:t>
      </w:r>
      <w:r w:rsidR="008517B1">
        <w:t xml:space="preserve">be </w:t>
      </w:r>
      <w:r w:rsidR="003E7FE4">
        <w:t>very important</w:t>
      </w:r>
      <w:r w:rsidR="001D7D36">
        <w:t xml:space="preserve"> for studies of</w:t>
      </w:r>
      <w:r w:rsidR="00AD4D72">
        <w:t xml:space="preserve"> beam dynamics at</w:t>
      </w:r>
      <w:r w:rsidR="0076773C">
        <w:t xml:space="preserve"> different</w:t>
      </w:r>
      <w:r w:rsidR="000444F9">
        <w:t xml:space="preserve"> transverse</w:t>
      </w:r>
      <w:r w:rsidR="0076773C">
        <w:t xml:space="preserve"> beam off-sets</w:t>
      </w:r>
      <w:r w:rsidR="009D4832">
        <w:t>,</w:t>
      </w:r>
      <w:r w:rsidR="008517B1">
        <w:t xml:space="preserve"> and,</w:t>
      </w:r>
      <w:r w:rsidR="0076773C">
        <w:t xml:space="preserve"> </w:t>
      </w:r>
      <w:r w:rsidR="000444F9">
        <w:t>potentially, it</w:t>
      </w:r>
      <w:r w:rsidR="009D4832">
        <w:t xml:space="preserve"> may also be </w:t>
      </w:r>
      <w:r w:rsidR="008517B1">
        <w:t>explored further</w:t>
      </w:r>
      <w:r w:rsidR="009D4832">
        <w:t xml:space="preserve"> as an</w:t>
      </w:r>
      <w:r w:rsidR="0076773C">
        <w:t xml:space="preserve"> accelerator/decelerator with </w:t>
      </w:r>
      <w:r w:rsidR="006456AC">
        <w:t xml:space="preserve">an </w:t>
      </w:r>
      <w:r w:rsidR="0076773C">
        <w:t xml:space="preserve">adjustable wakefield pattern. </w:t>
      </w:r>
      <w:r w:rsidR="00084127">
        <w:t xml:space="preserve"> </w:t>
      </w:r>
    </w:p>
    <w:p w14:paraId="01B47473" w14:textId="02729DEE" w:rsidR="00252C49" w:rsidRDefault="00252C49" w:rsidP="00252C49">
      <w:pPr>
        <w:pStyle w:val="JSectionHeading"/>
      </w:pPr>
      <w:r>
        <w:t>acknowledgement</w:t>
      </w:r>
    </w:p>
    <w:p w14:paraId="0713125F" w14:textId="1CBD1BE9" w:rsidR="00252C49" w:rsidRPr="00F20A62" w:rsidRDefault="00B95667" w:rsidP="00166944">
      <w:pPr>
        <w:pStyle w:val="BodyTextIndent"/>
        <w:rPr>
          <w:lang w:val="en-US"/>
        </w:rPr>
      </w:pPr>
      <w:r w:rsidRPr="00B95667">
        <w:rPr>
          <w:lang w:val="en-US"/>
        </w:rPr>
        <w:t>This project has received funding from the European Union’s Horizon 2020 research and innovation programme under the Marie Sk</w:t>
      </w:r>
      <w:r w:rsidRPr="00B95667">
        <w:rPr>
          <w:rFonts w:hint="eastAsia"/>
          <w:lang w:val="en-US"/>
        </w:rPr>
        <w:t>ł</w:t>
      </w:r>
      <w:r w:rsidRPr="00B95667">
        <w:rPr>
          <w:lang w:val="en-US"/>
        </w:rPr>
        <w:t>odowska-Curie grant agreement No 655179</w:t>
      </w:r>
      <w:r>
        <w:rPr>
          <w:lang w:val="en-US"/>
        </w:rPr>
        <w:t>.</w:t>
      </w:r>
      <w:r w:rsidR="00754207">
        <w:rPr>
          <w:lang w:val="en-US"/>
        </w:rPr>
        <w:t xml:space="preserve"> </w:t>
      </w:r>
      <w:r w:rsidR="00F17C64">
        <w:rPr>
          <w:lang w:val="en-US"/>
        </w:rPr>
        <w:t>One of the authors (A.T.)</w:t>
      </w:r>
      <w:r w:rsidR="00754207" w:rsidRPr="00754207">
        <w:rPr>
          <w:lang w:val="en-US"/>
        </w:rPr>
        <w:t xml:space="preserve"> is thankful for support to the Ministry of Science and </w:t>
      </w:r>
      <w:r w:rsidR="001A14CA">
        <w:rPr>
          <w:lang w:val="en-US"/>
        </w:rPr>
        <w:t>Education of the Russian Federa</w:t>
      </w:r>
      <w:r w:rsidR="00754207" w:rsidRPr="00754207">
        <w:rPr>
          <w:lang w:val="en-US"/>
        </w:rPr>
        <w:t xml:space="preserve">tion, grant </w:t>
      </w:r>
      <w:r w:rsidR="00754207" w:rsidRPr="00754207">
        <w:rPr>
          <w:rFonts w:hint="eastAsia"/>
          <w:lang w:val="en-US"/>
        </w:rPr>
        <w:t>№</w:t>
      </w:r>
      <w:r w:rsidR="00754207" w:rsidRPr="00754207">
        <w:rPr>
          <w:lang w:val="en-US"/>
        </w:rPr>
        <w:t xml:space="preserve"> 3.262</w:t>
      </w:r>
      <w:r w:rsidR="003E7FE4">
        <w:rPr>
          <w:lang w:val="en-US"/>
        </w:rPr>
        <w:t>1.2017/PCh, and the Competitive</w:t>
      </w:r>
      <w:r w:rsidR="00754207" w:rsidRPr="00754207">
        <w:rPr>
          <w:lang w:val="en-US"/>
        </w:rPr>
        <w:t>ness Programme of National Research Nuclear University “MEPhI”.</w:t>
      </w:r>
      <w:r w:rsidR="005F70F7">
        <w:rPr>
          <w:lang w:val="en-US"/>
        </w:rPr>
        <w:t xml:space="preserve"> </w:t>
      </w:r>
      <w:r w:rsidR="00F17C64">
        <w:rPr>
          <w:lang w:val="en-US"/>
        </w:rPr>
        <w:t>This work</w:t>
      </w:r>
      <w:r w:rsidR="005F70F7" w:rsidRPr="005F70F7">
        <w:rPr>
          <w:lang w:val="en-US"/>
        </w:rPr>
        <w:t xml:space="preserve"> was supported by the Science Technology Facilities Council [grant numbers ST/J002038/1 and ST/P00203X/1].</w:t>
      </w:r>
    </w:p>
    <w:p w14:paraId="5F185589" w14:textId="77777777" w:rsidR="00FC0ACD" w:rsidRPr="00753F1B" w:rsidRDefault="00FC0ACD" w:rsidP="00FC0ACD">
      <w:pPr>
        <w:pStyle w:val="JSectionHeading"/>
      </w:pPr>
      <w:r>
        <w:t>REFERENCES</w:t>
      </w:r>
    </w:p>
    <w:p w14:paraId="43963EF0" w14:textId="77777777" w:rsidR="00FC0ACD" w:rsidRDefault="00FC0ACD" w:rsidP="00FC0ACD">
      <w:pPr>
        <w:pStyle w:val="JReference"/>
        <w:tabs>
          <w:tab w:val="left" w:pos="386"/>
        </w:tabs>
        <w:spacing w:before="60"/>
        <w:ind w:left="295" w:hanging="295"/>
        <w:jc w:val="both"/>
        <w:rPr>
          <w:rFonts w:ascii="Times New Roman" w:hAnsi="Times New Roman"/>
          <w:sz w:val="18"/>
          <w:szCs w:val="18"/>
        </w:rPr>
      </w:pPr>
      <w:r w:rsidRPr="0052322A">
        <w:rPr>
          <w:rFonts w:ascii="Times New Roman" w:hAnsi="Times New Roman"/>
          <w:sz w:val="18"/>
          <w:szCs w:val="18"/>
        </w:rPr>
        <w:t>[</w:t>
      </w:r>
      <w:r>
        <w:rPr>
          <w:rFonts w:ascii="Times New Roman" w:hAnsi="Times New Roman"/>
          <w:sz w:val="18"/>
          <w:szCs w:val="18"/>
        </w:rPr>
        <w:t>1]</w:t>
      </w:r>
      <w:r>
        <w:rPr>
          <w:rFonts w:ascii="Times New Roman" w:hAnsi="Times New Roman"/>
          <w:sz w:val="18"/>
          <w:szCs w:val="18"/>
        </w:rPr>
        <w:tab/>
        <w:t xml:space="preserve">B.D. O’Shea </w:t>
      </w:r>
      <w:r w:rsidRPr="00CD2C4F">
        <w:rPr>
          <w:rFonts w:ascii="Times New Roman" w:hAnsi="Times New Roman"/>
          <w:i/>
          <w:sz w:val="18"/>
          <w:szCs w:val="18"/>
        </w:rPr>
        <w:t>et al.</w:t>
      </w:r>
      <w:r>
        <w:rPr>
          <w:rFonts w:ascii="Times New Roman" w:hAnsi="Times New Roman"/>
          <w:sz w:val="18"/>
          <w:szCs w:val="18"/>
        </w:rPr>
        <w:t xml:space="preserve">, “Observation of acceleration and deceleration in gigaelectron-volt-per-meter gradient dielectric wakefield accelerators”, </w:t>
      </w:r>
      <w:r w:rsidRPr="00CD2C4F">
        <w:rPr>
          <w:rFonts w:ascii="Times New Roman" w:hAnsi="Times New Roman"/>
          <w:i/>
          <w:sz w:val="18"/>
          <w:szCs w:val="18"/>
        </w:rPr>
        <w:t>Nat. Comm</w:t>
      </w:r>
      <w:r>
        <w:rPr>
          <w:rFonts w:ascii="Times New Roman" w:hAnsi="Times New Roman"/>
          <w:i/>
          <w:sz w:val="18"/>
          <w:szCs w:val="18"/>
        </w:rPr>
        <w:t>un</w:t>
      </w:r>
      <w:r w:rsidRPr="00CD2C4F">
        <w:rPr>
          <w:rFonts w:ascii="Times New Roman" w:hAnsi="Times New Roman"/>
          <w:i/>
          <w:sz w:val="18"/>
          <w:szCs w:val="18"/>
        </w:rPr>
        <w:t>.</w:t>
      </w:r>
      <w:r>
        <w:rPr>
          <w:rFonts w:ascii="Times New Roman" w:hAnsi="Times New Roman"/>
          <w:i/>
          <w:sz w:val="18"/>
          <w:szCs w:val="18"/>
        </w:rPr>
        <w:t>,</w:t>
      </w:r>
      <w:r>
        <w:rPr>
          <w:rFonts w:ascii="Times New Roman" w:hAnsi="Times New Roman"/>
          <w:sz w:val="18"/>
          <w:szCs w:val="18"/>
        </w:rPr>
        <w:t>7:12763</w:t>
      </w:r>
      <w:r>
        <w:rPr>
          <w:rFonts w:ascii="Times New Roman" w:hAnsi="Times New Roman"/>
          <w:i/>
          <w:sz w:val="18"/>
          <w:szCs w:val="18"/>
        </w:rPr>
        <w:t xml:space="preserve"> </w:t>
      </w:r>
      <w:r>
        <w:rPr>
          <w:rFonts w:ascii="Times New Roman" w:hAnsi="Times New Roman"/>
          <w:sz w:val="18"/>
          <w:szCs w:val="18"/>
        </w:rPr>
        <w:t>doi: 10.1038/ncomms12763 (2016).</w:t>
      </w:r>
    </w:p>
    <w:p w14:paraId="75F952AD" w14:textId="77777777" w:rsidR="00FC0ACD" w:rsidRDefault="00FC0ACD" w:rsidP="00FC0ACD">
      <w:pPr>
        <w:pStyle w:val="JReference"/>
        <w:tabs>
          <w:tab w:val="left" w:pos="386"/>
        </w:tabs>
        <w:spacing w:before="60"/>
        <w:ind w:left="295" w:hanging="295"/>
        <w:jc w:val="both"/>
        <w:rPr>
          <w:rFonts w:ascii="Times New Roman" w:hAnsi="Times New Roman"/>
          <w:sz w:val="18"/>
          <w:szCs w:val="18"/>
        </w:rPr>
      </w:pPr>
      <w:r w:rsidRPr="0052322A">
        <w:rPr>
          <w:rFonts w:ascii="Times New Roman" w:hAnsi="Times New Roman"/>
          <w:sz w:val="18"/>
          <w:szCs w:val="18"/>
        </w:rPr>
        <w:t>[</w:t>
      </w:r>
      <w:r>
        <w:rPr>
          <w:rFonts w:ascii="Times New Roman" w:hAnsi="Times New Roman"/>
          <w:sz w:val="18"/>
          <w:szCs w:val="18"/>
        </w:rPr>
        <w:t>2]</w:t>
      </w:r>
      <w:r>
        <w:rPr>
          <w:rFonts w:ascii="Times New Roman" w:hAnsi="Times New Roman"/>
          <w:sz w:val="18"/>
          <w:szCs w:val="18"/>
        </w:rPr>
        <w:tab/>
        <w:t xml:space="preserve">M.C. Thompson </w:t>
      </w:r>
      <w:r w:rsidRPr="00973EDD">
        <w:rPr>
          <w:rFonts w:ascii="Times New Roman" w:hAnsi="Times New Roman"/>
          <w:i/>
          <w:sz w:val="18"/>
          <w:szCs w:val="18"/>
        </w:rPr>
        <w:t>et al.</w:t>
      </w:r>
      <w:r>
        <w:rPr>
          <w:rFonts w:ascii="Times New Roman" w:hAnsi="Times New Roman"/>
          <w:sz w:val="18"/>
          <w:szCs w:val="18"/>
        </w:rPr>
        <w:t xml:space="preserve">, “Breakdown Limits on Gigavolt-per-Meter Electron-Beam-Driven Wakefields in Dielectric Structures”, </w:t>
      </w:r>
      <w:r w:rsidRPr="00C058C3">
        <w:rPr>
          <w:rFonts w:ascii="Times New Roman" w:hAnsi="Times New Roman"/>
          <w:i/>
          <w:sz w:val="18"/>
          <w:szCs w:val="18"/>
        </w:rPr>
        <w:t>Phys. Rev. Lett.</w:t>
      </w:r>
      <w:r>
        <w:rPr>
          <w:rFonts w:ascii="Times New Roman" w:hAnsi="Times New Roman"/>
          <w:sz w:val="18"/>
          <w:szCs w:val="18"/>
        </w:rPr>
        <w:t>, vol. 100, no. 21, p. 214801-1, May. 2008.</w:t>
      </w:r>
    </w:p>
    <w:p w14:paraId="78E5C0B6" w14:textId="77777777" w:rsidR="00FC0ACD" w:rsidRDefault="00FC0ACD" w:rsidP="00FC0ACD">
      <w:pPr>
        <w:pStyle w:val="JReference"/>
        <w:tabs>
          <w:tab w:val="left" w:pos="386"/>
        </w:tabs>
        <w:spacing w:before="60"/>
        <w:ind w:left="295" w:hanging="295"/>
        <w:jc w:val="both"/>
        <w:rPr>
          <w:rFonts w:ascii="Times New Roman" w:hAnsi="Times New Roman"/>
          <w:sz w:val="18"/>
          <w:szCs w:val="18"/>
        </w:rPr>
      </w:pPr>
      <w:r w:rsidRPr="0052322A">
        <w:rPr>
          <w:rFonts w:ascii="Times New Roman" w:hAnsi="Times New Roman"/>
          <w:sz w:val="18"/>
          <w:szCs w:val="18"/>
        </w:rPr>
        <w:t>[</w:t>
      </w:r>
      <w:r>
        <w:rPr>
          <w:rFonts w:ascii="Times New Roman" w:hAnsi="Times New Roman"/>
          <w:sz w:val="18"/>
          <w:szCs w:val="18"/>
        </w:rPr>
        <w:t>3]</w:t>
      </w:r>
      <w:r>
        <w:rPr>
          <w:rFonts w:ascii="Times New Roman" w:hAnsi="Times New Roman"/>
          <w:sz w:val="18"/>
          <w:szCs w:val="18"/>
        </w:rPr>
        <w:tab/>
        <w:t xml:space="preserve">Liang Jie Wong </w:t>
      </w:r>
      <w:r w:rsidRPr="00973EDD">
        <w:rPr>
          <w:rFonts w:ascii="Times New Roman" w:hAnsi="Times New Roman"/>
          <w:i/>
          <w:sz w:val="18"/>
          <w:szCs w:val="18"/>
        </w:rPr>
        <w:t>et al.</w:t>
      </w:r>
      <w:r>
        <w:rPr>
          <w:rFonts w:ascii="Times New Roman" w:hAnsi="Times New Roman"/>
          <w:sz w:val="18"/>
          <w:szCs w:val="18"/>
        </w:rPr>
        <w:t xml:space="preserve">, “Compact electron acceleration and bunch compression in THz waveguides”, </w:t>
      </w:r>
      <w:r>
        <w:rPr>
          <w:rFonts w:ascii="Times New Roman" w:hAnsi="Times New Roman"/>
          <w:i/>
          <w:sz w:val="18"/>
          <w:szCs w:val="18"/>
        </w:rPr>
        <w:t>Optics Express</w:t>
      </w:r>
      <w:r>
        <w:rPr>
          <w:rFonts w:ascii="Times New Roman" w:hAnsi="Times New Roman"/>
          <w:sz w:val="18"/>
          <w:szCs w:val="18"/>
        </w:rPr>
        <w:t>, vol. 21, no. 8, pp. 9792-9806, Apr. 2013.</w:t>
      </w:r>
    </w:p>
    <w:p w14:paraId="211F0EB7" w14:textId="77777777" w:rsidR="00FC0ACD" w:rsidRDefault="00FC0ACD" w:rsidP="00FC0ACD">
      <w:pPr>
        <w:pStyle w:val="JReference"/>
        <w:tabs>
          <w:tab w:val="left" w:pos="386"/>
        </w:tabs>
        <w:spacing w:before="60"/>
        <w:ind w:left="295" w:hanging="295"/>
        <w:jc w:val="both"/>
        <w:rPr>
          <w:rFonts w:ascii="Times New Roman" w:hAnsi="Times New Roman"/>
          <w:sz w:val="18"/>
          <w:szCs w:val="18"/>
        </w:rPr>
      </w:pPr>
      <w:r w:rsidRPr="0052322A">
        <w:rPr>
          <w:rFonts w:ascii="Times New Roman" w:hAnsi="Times New Roman"/>
          <w:sz w:val="18"/>
          <w:szCs w:val="18"/>
        </w:rPr>
        <w:t>[</w:t>
      </w:r>
      <w:r>
        <w:rPr>
          <w:rFonts w:ascii="Times New Roman" w:hAnsi="Times New Roman"/>
          <w:sz w:val="18"/>
          <w:szCs w:val="18"/>
        </w:rPr>
        <w:t>4]</w:t>
      </w:r>
      <w:r>
        <w:rPr>
          <w:rFonts w:ascii="Times New Roman" w:hAnsi="Times New Roman"/>
          <w:sz w:val="18"/>
          <w:szCs w:val="18"/>
        </w:rPr>
        <w:tab/>
        <w:t xml:space="preserve">S. Antipov </w:t>
      </w:r>
      <w:r w:rsidRPr="00973EDD">
        <w:rPr>
          <w:rFonts w:ascii="Times New Roman" w:hAnsi="Times New Roman"/>
          <w:i/>
          <w:sz w:val="18"/>
          <w:szCs w:val="18"/>
        </w:rPr>
        <w:t>et al.</w:t>
      </w:r>
      <w:r>
        <w:rPr>
          <w:rFonts w:ascii="Times New Roman" w:hAnsi="Times New Roman"/>
          <w:sz w:val="18"/>
          <w:szCs w:val="18"/>
        </w:rPr>
        <w:t xml:space="preserve">, “Experimental Observation of Energy Modulation in Electron Beams Passing through Terahertz Dielectric Wakefield Structures”, </w:t>
      </w:r>
      <w:r w:rsidRPr="00C058C3">
        <w:rPr>
          <w:rFonts w:ascii="Times New Roman" w:hAnsi="Times New Roman"/>
          <w:i/>
          <w:sz w:val="18"/>
          <w:szCs w:val="18"/>
        </w:rPr>
        <w:t>Phys. Rev. Lett.</w:t>
      </w:r>
      <w:r>
        <w:rPr>
          <w:rFonts w:ascii="Times New Roman" w:hAnsi="Times New Roman"/>
          <w:sz w:val="18"/>
          <w:szCs w:val="18"/>
        </w:rPr>
        <w:t>, vol. 108, no.14, p. 144801-1, Apr. 2012.</w:t>
      </w:r>
    </w:p>
    <w:p w14:paraId="3F843B0D" w14:textId="77777777" w:rsidR="00FC0ACD" w:rsidRPr="00B06A38" w:rsidRDefault="00FC0ACD" w:rsidP="00FC0ACD">
      <w:pPr>
        <w:pStyle w:val="JReference"/>
        <w:tabs>
          <w:tab w:val="left" w:pos="386"/>
        </w:tabs>
        <w:spacing w:before="60"/>
        <w:ind w:left="295" w:hanging="295"/>
        <w:jc w:val="both"/>
        <w:rPr>
          <w:rFonts w:ascii="Times New Roman" w:hAnsi="Times New Roman"/>
          <w:sz w:val="18"/>
          <w:szCs w:val="18"/>
        </w:rPr>
      </w:pPr>
      <w:r w:rsidRPr="0052322A">
        <w:rPr>
          <w:rFonts w:ascii="Times New Roman" w:hAnsi="Times New Roman"/>
          <w:sz w:val="18"/>
          <w:szCs w:val="18"/>
        </w:rPr>
        <w:lastRenderedPageBreak/>
        <w:t>[</w:t>
      </w:r>
      <w:r>
        <w:rPr>
          <w:rFonts w:ascii="Times New Roman" w:hAnsi="Times New Roman"/>
          <w:sz w:val="18"/>
          <w:szCs w:val="18"/>
        </w:rPr>
        <w:t>5]</w:t>
      </w:r>
      <w:r>
        <w:rPr>
          <w:rFonts w:ascii="Times New Roman" w:hAnsi="Times New Roman"/>
          <w:sz w:val="18"/>
          <w:szCs w:val="18"/>
        </w:rPr>
        <w:tab/>
        <w:t xml:space="preserve">Y.C. Nie </w:t>
      </w:r>
      <w:r w:rsidRPr="00973EDD">
        <w:rPr>
          <w:rFonts w:ascii="Times New Roman" w:hAnsi="Times New Roman"/>
          <w:i/>
          <w:sz w:val="18"/>
          <w:szCs w:val="18"/>
        </w:rPr>
        <w:t>et al.</w:t>
      </w:r>
      <w:r>
        <w:rPr>
          <w:rFonts w:ascii="Times New Roman" w:hAnsi="Times New Roman"/>
          <w:sz w:val="18"/>
          <w:szCs w:val="18"/>
        </w:rPr>
        <w:t xml:space="preserve">, “Potential applications of the dielectric wakefield accelerators in the SINBAD facility at DESY”, </w:t>
      </w:r>
      <w:r>
        <w:rPr>
          <w:rFonts w:ascii="Times New Roman" w:hAnsi="Times New Roman"/>
          <w:i/>
          <w:sz w:val="18"/>
          <w:szCs w:val="18"/>
        </w:rPr>
        <w:t>Nucl. Instr. Meth.</w:t>
      </w:r>
      <w:r>
        <w:rPr>
          <w:rFonts w:ascii="Times New Roman" w:hAnsi="Times New Roman"/>
          <w:sz w:val="18"/>
          <w:szCs w:val="18"/>
        </w:rPr>
        <w:t>, vol. 829, pp. 183-186, 2016.</w:t>
      </w:r>
    </w:p>
    <w:p w14:paraId="4EDA40E2" w14:textId="77777777" w:rsidR="00FC0ACD" w:rsidRDefault="00FC0ACD" w:rsidP="00FC0ACD">
      <w:pPr>
        <w:pStyle w:val="JReference"/>
        <w:tabs>
          <w:tab w:val="left" w:pos="386"/>
        </w:tabs>
        <w:spacing w:before="60"/>
        <w:ind w:left="295" w:hanging="295"/>
        <w:jc w:val="both"/>
        <w:rPr>
          <w:rFonts w:ascii="Times New Roman" w:hAnsi="Times New Roman"/>
          <w:sz w:val="18"/>
          <w:szCs w:val="18"/>
        </w:rPr>
      </w:pPr>
      <w:r w:rsidRPr="0052322A">
        <w:rPr>
          <w:rFonts w:ascii="Times New Roman" w:hAnsi="Times New Roman"/>
          <w:sz w:val="18"/>
          <w:szCs w:val="18"/>
        </w:rPr>
        <w:t>[</w:t>
      </w:r>
      <w:r>
        <w:rPr>
          <w:rFonts w:ascii="Times New Roman" w:hAnsi="Times New Roman"/>
          <w:sz w:val="18"/>
          <w:szCs w:val="18"/>
        </w:rPr>
        <w:t>6]</w:t>
      </w:r>
      <w:r>
        <w:rPr>
          <w:rFonts w:ascii="Times New Roman" w:hAnsi="Times New Roman"/>
          <w:sz w:val="18"/>
          <w:szCs w:val="18"/>
        </w:rPr>
        <w:tab/>
        <w:t xml:space="preserve">W. Gai </w:t>
      </w:r>
      <w:r w:rsidRPr="00973EDD">
        <w:rPr>
          <w:rFonts w:ascii="Times New Roman" w:hAnsi="Times New Roman"/>
          <w:i/>
          <w:sz w:val="18"/>
          <w:szCs w:val="18"/>
        </w:rPr>
        <w:t>et al.</w:t>
      </w:r>
      <w:r>
        <w:rPr>
          <w:rFonts w:ascii="Times New Roman" w:hAnsi="Times New Roman"/>
          <w:sz w:val="18"/>
          <w:szCs w:val="18"/>
        </w:rPr>
        <w:t xml:space="preserve">, “Experimental demonstration of Wake-Field Effects in Dielectric structures”, </w:t>
      </w:r>
      <w:r w:rsidRPr="00C058C3">
        <w:rPr>
          <w:rFonts w:ascii="Times New Roman" w:hAnsi="Times New Roman"/>
          <w:i/>
          <w:sz w:val="18"/>
          <w:szCs w:val="18"/>
        </w:rPr>
        <w:t>Phys. Rev. Lett.</w:t>
      </w:r>
      <w:r>
        <w:rPr>
          <w:rFonts w:ascii="Times New Roman" w:hAnsi="Times New Roman"/>
          <w:sz w:val="18"/>
          <w:szCs w:val="18"/>
        </w:rPr>
        <w:t>, vol. 61, no. 24, p. 2756, Dec. 1988.</w:t>
      </w:r>
    </w:p>
    <w:p w14:paraId="0AAF05BD" w14:textId="631A40AC" w:rsidR="00786EAC" w:rsidRDefault="00786EAC" w:rsidP="00786EAC">
      <w:pPr>
        <w:pStyle w:val="JReference"/>
        <w:tabs>
          <w:tab w:val="left" w:pos="386"/>
        </w:tabs>
        <w:spacing w:before="60"/>
        <w:ind w:left="295" w:hanging="295"/>
        <w:jc w:val="both"/>
        <w:rPr>
          <w:rFonts w:ascii="Times New Roman" w:hAnsi="Times New Roman"/>
          <w:sz w:val="18"/>
          <w:szCs w:val="18"/>
        </w:rPr>
      </w:pPr>
      <w:r w:rsidRPr="0052322A">
        <w:rPr>
          <w:rFonts w:ascii="Times New Roman" w:hAnsi="Times New Roman"/>
          <w:sz w:val="18"/>
          <w:szCs w:val="18"/>
        </w:rPr>
        <w:t>[</w:t>
      </w:r>
      <w:r>
        <w:rPr>
          <w:rFonts w:ascii="Times New Roman" w:hAnsi="Times New Roman"/>
          <w:sz w:val="18"/>
          <w:szCs w:val="18"/>
        </w:rPr>
        <w:t>7]</w:t>
      </w:r>
      <w:r>
        <w:rPr>
          <w:rFonts w:ascii="Times New Roman" w:hAnsi="Times New Roman"/>
          <w:sz w:val="18"/>
          <w:szCs w:val="18"/>
        </w:rPr>
        <w:tab/>
      </w:r>
      <w:r w:rsidR="00356D60">
        <w:rPr>
          <w:rFonts w:ascii="Times New Roman" w:hAnsi="Times New Roman"/>
          <w:sz w:val="18"/>
          <w:szCs w:val="18"/>
        </w:rPr>
        <w:t xml:space="preserve">A. Aryshev </w:t>
      </w:r>
      <w:r w:rsidR="00356D60" w:rsidRPr="00356D60">
        <w:rPr>
          <w:rFonts w:ascii="Times New Roman" w:hAnsi="Times New Roman"/>
          <w:i/>
          <w:sz w:val="18"/>
          <w:szCs w:val="18"/>
        </w:rPr>
        <w:t>et al.</w:t>
      </w:r>
      <w:r w:rsidR="00356D60">
        <w:rPr>
          <w:rFonts w:ascii="Times New Roman" w:hAnsi="Times New Roman"/>
          <w:sz w:val="18"/>
          <w:szCs w:val="18"/>
        </w:rPr>
        <w:t xml:space="preserve">, </w:t>
      </w:r>
      <w:r w:rsidR="003926CC">
        <w:rPr>
          <w:rFonts w:ascii="Times New Roman" w:hAnsi="Times New Roman"/>
          <w:sz w:val="18"/>
          <w:szCs w:val="18"/>
        </w:rPr>
        <w:t xml:space="preserve">“Femtosecond response time measurements of a Cs2Te photocathode”, </w:t>
      </w:r>
      <w:r w:rsidR="003926CC" w:rsidRPr="000B7270">
        <w:rPr>
          <w:rFonts w:ascii="Times New Roman" w:hAnsi="Times New Roman"/>
          <w:i/>
          <w:sz w:val="18"/>
          <w:szCs w:val="18"/>
        </w:rPr>
        <w:t>arXiv:1507.03302v2 [physics.acc-ph]</w:t>
      </w:r>
      <w:r w:rsidR="003926CC">
        <w:rPr>
          <w:rFonts w:ascii="Times New Roman" w:hAnsi="Times New Roman"/>
          <w:sz w:val="18"/>
          <w:szCs w:val="18"/>
        </w:rPr>
        <w:t xml:space="preserve"> 11 Jan 2017.</w:t>
      </w:r>
    </w:p>
    <w:p w14:paraId="25F7EBCE" w14:textId="20658A7F" w:rsidR="005C76FE" w:rsidRPr="00724A1D" w:rsidRDefault="00786EAC" w:rsidP="00724A1D">
      <w:pPr>
        <w:pStyle w:val="JReference"/>
        <w:tabs>
          <w:tab w:val="left" w:pos="386"/>
        </w:tabs>
        <w:spacing w:before="60"/>
        <w:ind w:left="295" w:hanging="295"/>
        <w:jc w:val="both"/>
        <w:rPr>
          <w:rFonts w:ascii="Times New Roman" w:hAnsi="Times New Roman"/>
          <w:sz w:val="18"/>
          <w:szCs w:val="18"/>
        </w:rPr>
      </w:pPr>
      <w:r w:rsidRPr="0052322A">
        <w:rPr>
          <w:rFonts w:ascii="Times New Roman" w:hAnsi="Times New Roman"/>
          <w:sz w:val="18"/>
          <w:szCs w:val="18"/>
        </w:rPr>
        <w:t>[</w:t>
      </w:r>
      <w:r w:rsidR="000B7270">
        <w:rPr>
          <w:rFonts w:ascii="Times New Roman" w:hAnsi="Times New Roman"/>
          <w:sz w:val="18"/>
          <w:szCs w:val="18"/>
        </w:rPr>
        <w:t>8]</w:t>
      </w:r>
      <w:r w:rsidR="000B7270">
        <w:rPr>
          <w:rFonts w:ascii="Times New Roman" w:hAnsi="Times New Roman"/>
          <w:sz w:val="18"/>
          <w:szCs w:val="18"/>
        </w:rPr>
        <w:tab/>
        <w:t xml:space="preserve">M. Shevelev </w:t>
      </w:r>
      <w:r w:rsidR="000B7270" w:rsidRPr="000B7270">
        <w:rPr>
          <w:rFonts w:ascii="Times New Roman" w:hAnsi="Times New Roman"/>
          <w:i/>
          <w:sz w:val="18"/>
          <w:szCs w:val="18"/>
        </w:rPr>
        <w:t>et al.</w:t>
      </w:r>
      <w:r w:rsidR="000B7270">
        <w:rPr>
          <w:rFonts w:ascii="Times New Roman" w:hAnsi="Times New Roman"/>
          <w:sz w:val="18"/>
          <w:szCs w:val="18"/>
        </w:rPr>
        <w:t>, “Generation of a femtosecond electron micro-bunch tr</w:t>
      </w:r>
      <w:r w:rsidR="00B76584">
        <w:rPr>
          <w:rFonts w:ascii="Times New Roman" w:hAnsi="Times New Roman"/>
          <w:sz w:val="18"/>
          <w:szCs w:val="18"/>
        </w:rPr>
        <w:t>ain from a photocathode using two</w:t>
      </w:r>
      <w:r w:rsidR="000B7270">
        <w:rPr>
          <w:rFonts w:ascii="Times New Roman" w:hAnsi="Times New Roman"/>
          <w:sz w:val="18"/>
          <w:szCs w:val="18"/>
        </w:rPr>
        <w:t xml:space="preserve">fold Michelson interferometer”, </w:t>
      </w:r>
      <w:r w:rsidR="000B7270" w:rsidRPr="000B7270">
        <w:rPr>
          <w:rFonts w:ascii="Times New Roman" w:hAnsi="Times New Roman"/>
          <w:i/>
          <w:sz w:val="18"/>
          <w:szCs w:val="18"/>
        </w:rPr>
        <w:t>Phys. Rev. Accel. Beams</w:t>
      </w:r>
      <w:r w:rsidR="000B7270">
        <w:rPr>
          <w:rFonts w:ascii="Times New Roman" w:hAnsi="Times New Roman"/>
          <w:sz w:val="18"/>
          <w:szCs w:val="18"/>
        </w:rPr>
        <w:t>, to be published.</w:t>
      </w:r>
    </w:p>
    <w:sectPr w:rsidR="005C76FE" w:rsidRPr="00724A1D" w:rsidSect="00FC0ACD">
      <w:footnotePr>
        <w:pos w:val="beneathText"/>
        <w:numFmt w:val="chicago"/>
      </w:footnotePr>
      <w:endnotePr>
        <w:numFmt w:val="decimal"/>
      </w:endnotePr>
      <w:type w:val="continuous"/>
      <w:pgSz w:w="11907" w:h="16840" w:code="9"/>
      <w:pgMar w:top="2102" w:right="1138" w:bottom="1080" w:left="1138" w:header="720" w:footer="720" w:gutter="0"/>
      <w:cols w:num="2"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EDA84B" w14:textId="77777777" w:rsidR="00F03F49" w:rsidRDefault="00F03F49"/>
  </w:endnote>
  <w:endnote w:type="continuationSeparator" w:id="0">
    <w:p w14:paraId="711C78A0" w14:textId="77777777" w:rsidR="00F03F49" w:rsidRDefault="00F03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embedRegular r:id="rId1" w:fontKey="{64EDFE1A-4868-4E14-85B7-3EBB2624DCBB}"/>
    <w:embedBold r:id="rId2" w:fontKey="{D0C4FC41-872B-485A-91C6-7CCC7A583547}"/>
    <w:embedItalic r:id="rId3" w:fontKey="{91B6BC36-812B-4106-A83E-16B0E982DF40}"/>
    <w:embedBoldItalic r:id="rId4" w:fontKey="{3E8F9F74-E008-4B1E-9A2A-6C258C8614F5}"/>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5" w:fontKey="{4BF9E8A2-3A82-4F25-B90C-F6B9A6EFE661}"/>
    <w:embedBold r:id="rId6" w:fontKey="{3C637F21-083A-4243-B7B8-8A6FEB6BD318}"/>
    <w:embedItalic r:id="rId7" w:fontKey="{2494DAC3-098B-482A-8B5D-DCF4576B27DB}"/>
    <w:embedBoldItalic r:id="rId8" w:fontKey="{B630D4CE-4CBF-485D-9031-BFD0189676E7}"/>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auto"/>
    <w:pitch w:val="variable"/>
    <w:sig w:usb0="E1002EFF" w:usb1="C000605B" w:usb2="00000029" w:usb3="00000000" w:csb0="000101FF" w:csb1="00000000"/>
    <w:embedRegular r:id="rId9" w:fontKey="{F1B144D5-4EC5-4BBA-8D36-08C901E30687}"/>
  </w:font>
  <w:font w:name="Calibri">
    <w:panose1 w:val="020F0502020204030204"/>
    <w:charset w:val="00"/>
    <w:family w:val="swiss"/>
    <w:pitch w:val="variable"/>
    <w:sig w:usb0="E00002FF" w:usb1="4000ACFF" w:usb2="00000001" w:usb3="00000000" w:csb0="0000019F" w:csb1="00000000"/>
    <w:embedRegular r:id="rId10" w:fontKey="{A553CF5C-B6A4-4EC3-9F61-F3265101A39C}"/>
    <w:embedItalic r:id="rId11" w:fontKey="{07EAD78D-1CC6-4D17-B025-2C560E0DAC3D}"/>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auto"/>
    <w:pitch w:val="variable"/>
    <w:sig w:usb0="E10002FF" w:usb1="4000FCFF" w:usb2="00000009" w:usb3="00000000" w:csb0="0000019F" w:csb1="00000000"/>
    <w:embedRegular r:id="rId12" w:fontKey="{00F5452F-3A3B-4E2C-8D9B-F39611E4BBD2}"/>
  </w:font>
  <w:font w:name="Cambria Math">
    <w:panose1 w:val="02040503050406030204"/>
    <w:charset w:val="00"/>
    <w:family w:val="roman"/>
    <w:pitch w:val="variable"/>
    <w:sig w:usb0="E00002FF" w:usb1="420024FF" w:usb2="00000000" w:usb3="00000000" w:csb0="0000019F" w:csb1="00000000"/>
    <w:embedRegular r:id="rId13" w:fontKey="{6A57FC8A-F7B2-4A86-8BD6-1336207A306F}"/>
    <w:embedItalic r:id="rId14" w:fontKey="{757971BC-B5CB-4CF8-8F89-A8F7B71E602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04EBE0" w14:textId="77777777" w:rsidR="00F03F49" w:rsidRDefault="00F03F49">
      <w:r>
        <w:separator/>
      </w:r>
    </w:p>
  </w:footnote>
  <w:footnote w:type="continuationSeparator" w:id="0">
    <w:p w14:paraId="78BA197B" w14:textId="77777777" w:rsidR="00F03F49" w:rsidRDefault="00F03F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558D40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3CA23E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270694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ACA95B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DB6FC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C6BB9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654F7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D64F0B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228641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A506F9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1324CD7"/>
    <w:multiLevelType w:val="hybridMultilevel"/>
    <w:tmpl w:val="0C5A38BE"/>
    <w:lvl w:ilvl="0" w:tplc="6D8E591C">
      <w:start w:val="1"/>
      <w:numFmt w:val="bullet"/>
      <w:pStyle w:val="JBulletedList"/>
      <w:lvlText w:val=""/>
      <w:lvlJc w:val="left"/>
      <w:pPr>
        <w:tabs>
          <w:tab w:val="num" w:pos="344"/>
        </w:tabs>
        <w:ind w:left="344" w:hanging="20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 w15:restartNumberingAfterBreak="0">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EF90EFD"/>
    <w:multiLevelType w:val="hybridMultilevel"/>
    <w:tmpl w:val="59FA4BF6"/>
    <w:lvl w:ilvl="0" w:tplc="08070001">
      <w:start w:val="1"/>
      <w:numFmt w:val="bullet"/>
      <w:lvlText w:val=""/>
      <w:lvlJc w:val="left"/>
      <w:pPr>
        <w:ind w:left="3195" w:hanging="360"/>
      </w:pPr>
      <w:rPr>
        <w:rFonts w:ascii="Symbol" w:hAnsi="Symbol"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4" w15:restartNumberingAfterBreak="0">
    <w:nsid w:val="44635A35"/>
    <w:multiLevelType w:val="hybridMultilevel"/>
    <w:tmpl w:val="DFA6737A"/>
    <w:lvl w:ilvl="0" w:tplc="B80C1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F72675"/>
    <w:multiLevelType w:val="hybridMultilevel"/>
    <w:tmpl w:val="252A4992"/>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17" w15:restartNumberingAfterBreak="0">
    <w:nsid w:val="5EFC4232"/>
    <w:multiLevelType w:val="hybridMultilevel"/>
    <w:tmpl w:val="72B044C4"/>
    <w:lvl w:ilvl="0" w:tplc="0409000F">
      <w:start w:val="1"/>
      <w:numFmt w:val="decimal"/>
      <w:lvlText w:val="%1."/>
      <w:lvlJc w:val="left"/>
      <w:pPr>
        <w:ind w:left="3195" w:hanging="360"/>
      </w:pPr>
      <w:rPr>
        <w:rFonts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8" w15:restartNumberingAfterBreak="0">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9" w15:restartNumberingAfterBreak="0">
    <w:nsid w:val="694A0248"/>
    <w:multiLevelType w:val="hybridMultilevel"/>
    <w:tmpl w:val="15060BE0"/>
    <w:lvl w:ilvl="0" w:tplc="0409000F">
      <w:start w:val="1"/>
      <w:numFmt w:val="decimal"/>
      <w:lvlText w:val="%1."/>
      <w:lvlJc w:val="left"/>
      <w:pPr>
        <w:ind w:left="1069" w:hanging="360"/>
      </w:pPr>
      <w:rPr>
        <w:rFont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E8905F5E">
      <w:start w:val="1"/>
      <w:numFmt w:val="decimal"/>
      <w:lvlText w:val="%4."/>
      <w:lvlJc w:val="left"/>
      <w:pPr>
        <w:ind w:left="1069" w:hanging="360"/>
      </w:pPr>
      <w:rPr>
        <w:rFonts w:hint="default"/>
        <w:b w:val="0"/>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16"/>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8"/>
  </w:num>
  <w:num w:numId="16">
    <w:abstractNumId w:val="17"/>
  </w:num>
  <w:num w:numId="17">
    <w:abstractNumId w:val="15"/>
  </w:num>
  <w:num w:numId="18">
    <w:abstractNumId w:val="13"/>
  </w:num>
  <w:num w:numId="19">
    <w:abstractNumId w:val="19"/>
  </w:num>
  <w:num w:numId="20">
    <w:abstractNumId w:val="14"/>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028" w:allStyles="0" w:customStyles="0" w:latentStyles="0" w:stylesInUse="1" w:headingStyles="1" w:numberingStyles="0" w:tableStyles="0" w:directFormattingOnRuns="0" w:directFormattingOnParagraphs="0" w:directFormattingOnNumbering="0" w:directFormattingOnTables="0" w:clearFormatting="1" w:top3HeadingStyles="1" w:visibleStyles="0" w:alternateStyleNames="0"/>
  <w:stylePaneSortMethod w:val="0000"/>
  <w:defaultTabStop w:val="357"/>
  <w:autoHyphenation/>
  <w:hyphenationZone w:val="425"/>
  <w:drawingGridHorizontalSpacing w:val="29"/>
  <w:drawingGridVerticalSpacing w:val="187"/>
  <w:displayHorizontalDrawingGridEvery w:val="2"/>
  <w:displayVerticalDrawingGridEvery w:val="2"/>
  <w:noPunctuationKerning/>
  <w:characterSpacingControl w:val="doNotCompress"/>
  <w:hdrShapeDefaults>
    <o:shapedefaults v:ext="edit" spidmax="2049"/>
  </w:hdrShapeDefaults>
  <w:footnotePr>
    <w:pos w:val="beneathText"/>
    <w:numFmt w:val="chicago"/>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95B"/>
    <w:rsid w:val="00000DB8"/>
    <w:rsid w:val="00002360"/>
    <w:rsid w:val="000030C7"/>
    <w:rsid w:val="00007CCD"/>
    <w:rsid w:val="000120AA"/>
    <w:rsid w:val="00013861"/>
    <w:rsid w:val="00013ABB"/>
    <w:rsid w:val="00013D04"/>
    <w:rsid w:val="00020432"/>
    <w:rsid w:val="0002257C"/>
    <w:rsid w:val="00023333"/>
    <w:rsid w:val="000259C8"/>
    <w:rsid w:val="000264AD"/>
    <w:rsid w:val="000305F3"/>
    <w:rsid w:val="000310E1"/>
    <w:rsid w:val="000312DC"/>
    <w:rsid w:val="000321B1"/>
    <w:rsid w:val="000322EF"/>
    <w:rsid w:val="000334AD"/>
    <w:rsid w:val="0003675C"/>
    <w:rsid w:val="00041FEC"/>
    <w:rsid w:val="00042A9C"/>
    <w:rsid w:val="00042B73"/>
    <w:rsid w:val="000444F9"/>
    <w:rsid w:val="000460AE"/>
    <w:rsid w:val="00046FE8"/>
    <w:rsid w:val="0004717F"/>
    <w:rsid w:val="00047219"/>
    <w:rsid w:val="00052CB4"/>
    <w:rsid w:val="00053CF4"/>
    <w:rsid w:val="0005658F"/>
    <w:rsid w:val="00056950"/>
    <w:rsid w:val="00056E9E"/>
    <w:rsid w:val="000634BB"/>
    <w:rsid w:val="00066F1A"/>
    <w:rsid w:val="00070532"/>
    <w:rsid w:val="0007331E"/>
    <w:rsid w:val="00074291"/>
    <w:rsid w:val="00074A20"/>
    <w:rsid w:val="0007606F"/>
    <w:rsid w:val="0007678C"/>
    <w:rsid w:val="000826DD"/>
    <w:rsid w:val="00083FA2"/>
    <w:rsid w:val="00084085"/>
    <w:rsid w:val="00084127"/>
    <w:rsid w:val="000859BC"/>
    <w:rsid w:val="00086FB2"/>
    <w:rsid w:val="00087B99"/>
    <w:rsid w:val="00087D3D"/>
    <w:rsid w:val="00092076"/>
    <w:rsid w:val="000974D8"/>
    <w:rsid w:val="000A1CA7"/>
    <w:rsid w:val="000A2A9A"/>
    <w:rsid w:val="000A7D6B"/>
    <w:rsid w:val="000B2D95"/>
    <w:rsid w:val="000B7270"/>
    <w:rsid w:val="000C1534"/>
    <w:rsid w:val="000C1815"/>
    <w:rsid w:val="000C1C52"/>
    <w:rsid w:val="000C27C1"/>
    <w:rsid w:val="000C7727"/>
    <w:rsid w:val="000D0EE2"/>
    <w:rsid w:val="000D3DAF"/>
    <w:rsid w:val="000D6A43"/>
    <w:rsid w:val="000E0E16"/>
    <w:rsid w:val="000E1BEA"/>
    <w:rsid w:val="000E1EAA"/>
    <w:rsid w:val="000E28FD"/>
    <w:rsid w:val="000E34D4"/>
    <w:rsid w:val="000E38F0"/>
    <w:rsid w:val="000E4F4D"/>
    <w:rsid w:val="000E57D6"/>
    <w:rsid w:val="000E61A5"/>
    <w:rsid w:val="000F0D5B"/>
    <w:rsid w:val="000F18A9"/>
    <w:rsid w:val="000F2B12"/>
    <w:rsid w:val="000F3F19"/>
    <w:rsid w:val="000F7CBD"/>
    <w:rsid w:val="001020F0"/>
    <w:rsid w:val="00103192"/>
    <w:rsid w:val="00104B6A"/>
    <w:rsid w:val="00106DCF"/>
    <w:rsid w:val="00112CA3"/>
    <w:rsid w:val="00113EB7"/>
    <w:rsid w:val="0011613C"/>
    <w:rsid w:val="00117DC0"/>
    <w:rsid w:val="00120DF6"/>
    <w:rsid w:val="0012558B"/>
    <w:rsid w:val="00134D02"/>
    <w:rsid w:val="00137E9E"/>
    <w:rsid w:val="0014145F"/>
    <w:rsid w:val="00142809"/>
    <w:rsid w:val="001458AE"/>
    <w:rsid w:val="00147417"/>
    <w:rsid w:val="0015344C"/>
    <w:rsid w:val="0016080C"/>
    <w:rsid w:val="00165665"/>
    <w:rsid w:val="00166737"/>
    <w:rsid w:val="00166944"/>
    <w:rsid w:val="001670AE"/>
    <w:rsid w:val="00170AF8"/>
    <w:rsid w:val="00171805"/>
    <w:rsid w:val="00176D85"/>
    <w:rsid w:val="001822D4"/>
    <w:rsid w:val="00183A3C"/>
    <w:rsid w:val="00193D45"/>
    <w:rsid w:val="00195713"/>
    <w:rsid w:val="00196E58"/>
    <w:rsid w:val="0019740F"/>
    <w:rsid w:val="00197F96"/>
    <w:rsid w:val="001A14CA"/>
    <w:rsid w:val="001A5136"/>
    <w:rsid w:val="001A51A4"/>
    <w:rsid w:val="001A7620"/>
    <w:rsid w:val="001B051D"/>
    <w:rsid w:val="001B365D"/>
    <w:rsid w:val="001B3A18"/>
    <w:rsid w:val="001B4D9B"/>
    <w:rsid w:val="001C3129"/>
    <w:rsid w:val="001C63B1"/>
    <w:rsid w:val="001D11F9"/>
    <w:rsid w:val="001D1E2F"/>
    <w:rsid w:val="001D3F8F"/>
    <w:rsid w:val="001D4D72"/>
    <w:rsid w:val="001D589B"/>
    <w:rsid w:val="001D5B04"/>
    <w:rsid w:val="001D6284"/>
    <w:rsid w:val="001D6D53"/>
    <w:rsid w:val="001D7D36"/>
    <w:rsid w:val="001E08FF"/>
    <w:rsid w:val="001E78D7"/>
    <w:rsid w:val="001F001B"/>
    <w:rsid w:val="001F0A73"/>
    <w:rsid w:val="001F30E3"/>
    <w:rsid w:val="001F4B40"/>
    <w:rsid w:val="001F586F"/>
    <w:rsid w:val="001F5C87"/>
    <w:rsid w:val="00200AA7"/>
    <w:rsid w:val="0020166C"/>
    <w:rsid w:val="00203434"/>
    <w:rsid w:val="002044BC"/>
    <w:rsid w:val="00217BCE"/>
    <w:rsid w:val="00222B2A"/>
    <w:rsid w:val="0022320C"/>
    <w:rsid w:val="00223792"/>
    <w:rsid w:val="00224DC7"/>
    <w:rsid w:val="0022653C"/>
    <w:rsid w:val="00230405"/>
    <w:rsid w:val="00230B0C"/>
    <w:rsid w:val="00230FD4"/>
    <w:rsid w:val="00231EF7"/>
    <w:rsid w:val="00234D91"/>
    <w:rsid w:val="002350C2"/>
    <w:rsid w:val="0023626E"/>
    <w:rsid w:val="002363EF"/>
    <w:rsid w:val="00237FC9"/>
    <w:rsid w:val="002428E5"/>
    <w:rsid w:val="0024303B"/>
    <w:rsid w:val="00243C3F"/>
    <w:rsid w:val="00244CE7"/>
    <w:rsid w:val="00244E8F"/>
    <w:rsid w:val="002457DA"/>
    <w:rsid w:val="00246525"/>
    <w:rsid w:val="002479E5"/>
    <w:rsid w:val="00251BA1"/>
    <w:rsid w:val="00252C49"/>
    <w:rsid w:val="0025549D"/>
    <w:rsid w:val="00256197"/>
    <w:rsid w:val="00260AAD"/>
    <w:rsid w:val="00262CBB"/>
    <w:rsid w:val="00262E0B"/>
    <w:rsid w:val="00263536"/>
    <w:rsid w:val="0026595D"/>
    <w:rsid w:val="00272022"/>
    <w:rsid w:val="002742E8"/>
    <w:rsid w:val="00276784"/>
    <w:rsid w:val="002801AC"/>
    <w:rsid w:val="00280D5D"/>
    <w:rsid w:val="00280E2C"/>
    <w:rsid w:val="0028217A"/>
    <w:rsid w:val="002847D7"/>
    <w:rsid w:val="00286352"/>
    <w:rsid w:val="002868F9"/>
    <w:rsid w:val="00286C65"/>
    <w:rsid w:val="0029335B"/>
    <w:rsid w:val="00293AFA"/>
    <w:rsid w:val="0029448C"/>
    <w:rsid w:val="002A0422"/>
    <w:rsid w:val="002A18A3"/>
    <w:rsid w:val="002A2611"/>
    <w:rsid w:val="002A3230"/>
    <w:rsid w:val="002A3E47"/>
    <w:rsid w:val="002A54C0"/>
    <w:rsid w:val="002B04DD"/>
    <w:rsid w:val="002B1D09"/>
    <w:rsid w:val="002B3946"/>
    <w:rsid w:val="002B3C84"/>
    <w:rsid w:val="002B4E01"/>
    <w:rsid w:val="002B5375"/>
    <w:rsid w:val="002B5873"/>
    <w:rsid w:val="002B6C38"/>
    <w:rsid w:val="002C1823"/>
    <w:rsid w:val="002C1B07"/>
    <w:rsid w:val="002C31F5"/>
    <w:rsid w:val="002C35E9"/>
    <w:rsid w:val="002C4825"/>
    <w:rsid w:val="002C6318"/>
    <w:rsid w:val="002D0904"/>
    <w:rsid w:val="002D2A47"/>
    <w:rsid w:val="002D4660"/>
    <w:rsid w:val="002D5D05"/>
    <w:rsid w:val="002D6CC9"/>
    <w:rsid w:val="002D7BCB"/>
    <w:rsid w:val="002E1B10"/>
    <w:rsid w:val="002E25B9"/>
    <w:rsid w:val="002E3F0A"/>
    <w:rsid w:val="002F19A4"/>
    <w:rsid w:val="002F33F6"/>
    <w:rsid w:val="002F64EC"/>
    <w:rsid w:val="002F7830"/>
    <w:rsid w:val="003003BA"/>
    <w:rsid w:val="003017FB"/>
    <w:rsid w:val="003037CD"/>
    <w:rsid w:val="003059D4"/>
    <w:rsid w:val="003109B7"/>
    <w:rsid w:val="003146BB"/>
    <w:rsid w:val="00314DD8"/>
    <w:rsid w:val="003204D7"/>
    <w:rsid w:val="00323071"/>
    <w:rsid w:val="00327D81"/>
    <w:rsid w:val="003317EB"/>
    <w:rsid w:val="0033459F"/>
    <w:rsid w:val="00335D2C"/>
    <w:rsid w:val="0033601C"/>
    <w:rsid w:val="003412C6"/>
    <w:rsid w:val="003426C1"/>
    <w:rsid w:val="003444F4"/>
    <w:rsid w:val="00344F25"/>
    <w:rsid w:val="0034790E"/>
    <w:rsid w:val="00351109"/>
    <w:rsid w:val="0035141C"/>
    <w:rsid w:val="00353DD9"/>
    <w:rsid w:val="00355963"/>
    <w:rsid w:val="00356D60"/>
    <w:rsid w:val="003574D8"/>
    <w:rsid w:val="0036194C"/>
    <w:rsid w:val="00362807"/>
    <w:rsid w:val="0036387E"/>
    <w:rsid w:val="00365AA7"/>
    <w:rsid w:val="00370789"/>
    <w:rsid w:val="00370794"/>
    <w:rsid w:val="00370F22"/>
    <w:rsid w:val="00371999"/>
    <w:rsid w:val="00374198"/>
    <w:rsid w:val="00375CF3"/>
    <w:rsid w:val="003762B4"/>
    <w:rsid w:val="0037743E"/>
    <w:rsid w:val="00383DCE"/>
    <w:rsid w:val="003926CC"/>
    <w:rsid w:val="00393423"/>
    <w:rsid w:val="00394F4B"/>
    <w:rsid w:val="00395578"/>
    <w:rsid w:val="003963BD"/>
    <w:rsid w:val="003A007C"/>
    <w:rsid w:val="003A23AA"/>
    <w:rsid w:val="003A2652"/>
    <w:rsid w:val="003A2EA5"/>
    <w:rsid w:val="003A32A6"/>
    <w:rsid w:val="003A551B"/>
    <w:rsid w:val="003A575A"/>
    <w:rsid w:val="003A6E3C"/>
    <w:rsid w:val="003B566E"/>
    <w:rsid w:val="003B6127"/>
    <w:rsid w:val="003B77D2"/>
    <w:rsid w:val="003C0637"/>
    <w:rsid w:val="003C078A"/>
    <w:rsid w:val="003C2B35"/>
    <w:rsid w:val="003C3B01"/>
    <w:rsid w:val="003C450B"/>
    <w:rsid w:val="003C52DD"/>
    <w:rsid w:val="003C72D6"/>
    <w:rsid w:val="003D16E0"/>
    <w:rsid w:val="003D4DD7"/>
    <w:rsid w:val="003D7F85"/>
    <w:rsid w:val="003E141A"/>
    <w:rsid w:val="003E150A"/>
    <w:rsid w:val="003E4017"/>
    <w:rsid w:val="003E4735"/>
    <w:rsid w:val="003E7A53"/>
    <w:rsid w:val="003E7FE4"/>
    <w:rsid w:val="003F7D07"/>
    <w:rsid w:val="0040101B"/>
    <w:rsid w:val="00404AD2"/>
    <w:rsid w:val="00410541"/>
    <w:rsid w:val="00415C65"/>
    <w:rsid w:val="00416283"/>
    <w:rsid w:val="004200D6"/>
    <w:rsid w:val="00423885"/>
    <w:rsid w:val="00424847"/>
    <w:rsid w:val="004305F8"/>
    <w:rsid w:val="0043795B"/>
    <w:rsid w:val="0044168C"/>
    <w:rsid w:val="0044185D"/>
    <w:rsid w:val="00442933"/>
    <w:rsid w:val="00442E1E"/>
    <w:rsid w:val="0044789D"/>
    <w:rsid w:val="00450CD1"/>
    <w:rsid w:val="004575E5"/>
    <w:rsid w:val="00462300"/>
    <w:rsid w:val="00464470"/>
    <w:rsid w:val="00470285"/>
    <w:rsid w:val="00470E6B"/>
    <w:rsid w:val="0047339A"/>
    <w:rsid w:val="004743BF"/>
    <w:rsid w:val="004770FF"/>
    <w:rsid w:val="00482845"/>
    <w:rsid w:val="00482B6F"/>
    <w:rsid w:val="00482EFD"/>
    <w:rsid w:val="0049346D"/>
    <w:rsid w:val="00497C61"/>
    <w:rsid w:val="004A1546"/>
    <w:rsid w:val="004A222C"/>
    <w:rsid w:val="004A258F"/>
    <w:rsid w:val="004A33B3"/>
    <w:rsid w:val="004A7EC2"/>
    <w:rsid w:val="004B0E16"/>
    <w:rsid w:val="004B1914"/>
    <w:rsid w:val="004B44FD"/>
    <w:rsid w:val="004C2501"/>
    <w:rsid w:val="004C32D9"/>
    <w:rsid w:val="004D0A4E"/>
    <w:rsid w:val="004D15C1"/>
    <w:rsid w:val="004D2226"/>
    <w:rsid w:val="004D5B62"/>
    <w:rsid w:val="004E2AE5"/>
    <w:rsid w:val="004F1273"/>
    <w:rsid w:val="004F12E4"/>
    <w:rsid w:val="004F2A1D"/>
    <w:rsid w:val="004F2BE4"/>
    <w:rsid w:val="004F3CBB"/>
    <w:rsid w:val="004F4079"/>
    <w:rsid w:val="004F42FD"/>
    <w:rsid w:val="00500A60"/>
    <w:rsid w:val="00502EEC"/>
    <w:rsid w:val="00503492"/>
    <w:rsid w:val="005050AC"/>
    <w:rsid w:val="00506C6C"/>
    <w:rsid w:val="00506C77"/>
    <w:rsid w:val="00506D70"/>
    <w:rsid w:val="00510CEC"/>
    <w:rsid w:val="005113D5"/>
    <w:rsid w:val="00512817"/>
    <w:rsid w:val="00512D78"/>
    <w:rsid w:val="005144BD"/>
    <w:rsid w:val="0051464B"/>
    <w:rsid w:val="00515141"/>
    <w:rsid w:val="005179F9"/>
    <w:rsid w:val="00517BF7"/>
    <w:rsid w:val="0052002F"/>
    <w:rsid w:val="0052322A"/>
    <w:rsid w:val="00523CFC"/>
    <w:rsid w:val="005242C1"/>
    <w:rsid w:val="00526DAF"/>
    <w:rsid w:val="00531902"/>
    <w:rsid w:val="00533A91"/>
    <w:rsid w:val="0053537C"/>
    <w:rsid w:val="005402DA"/>
    <w:rsid w:val="00541B68"/>
    <w:rsid w:val="00545331"/>
    <w:rsid w:val="00550344"/>
    <w:rsid w:val="00551C35"/>
    <w:rsid w:val="00552146"/>
    <w:rsid w:val="00552435"/>
    <w:rsid w:val="005528B0"/>
    <w:rsid w:val="0055295C"/>
    <w:rsid w:val="00553403"/>
    <w:rsid w:val="00555255"/>
    <w:rsid w:val="00557D51"/>
    <w:rsid w:val="00561C01"/>
    <w:rsid w:val="005659FD"/>
    <w:rsid w:val="0057326B"/>
    <w:rsid w:val="005779BE"/>
    <w:rsid w:val="00580FFF"/>
    <w:rsid w:val="005821D0"/>
    <w:rsid w:val="00583248"/>
    <w:rsid w:val="005833BD"/>
    <w:rsid w:val="00584256"/>
    <w:rsid w:val="00587206"/>
    <w:rsid w:val="00587745"/>
    <w:rsid w:val="005901B7"/>
    <w:rsid w:val="005909C8"/>
    <w:rsid w:val="0059390B"/>
    <w:rsid w:val="005955D5"/>
    <w:rsid w:val="00597699"/>
    <w:rsid w:val="005A2BEC"/>
    <w:rsid w:val="005A4FBF"/>
    <w:rsid w:val="005A7749"/>
    <w:rsid w:val="005B132E"/>
    <w:rsid w:val="005B3DC2"/>
    <w:rsid w:val="005B4790"/>
    <w:rsid w:val="005C0C67"/>
    <w:rsid w:val="005C1983"/>
    <w:rsid w:val="005C50D7"/>
    <w:rsid w:val="005C5DA2"/>
    <w:rsid w:val="005C7693"/>
    <w:rsid w:val="005C76FE"/>
    <w:rsid w:val="005D1D59"/>
    <w:rsid w:val="005D4B67"/>
    <w:rsid w:val="005D568C"/>
    <w:rsid w:val="005D707E"/>
    <w:rsid w:val="005E0D2F"/>
    <w:rsid w:val="005E19BF"/>
    <w:rsid w:val="005E1A41"/>
    <w:rsid w:val="005E24F7"/>
    <w:rsid w:val="005E2946"/>
    <w:rsid w:val="005F038E"/>
    <w:rsid w:val="005F0A7A"/>
    <w:rsid w:val="005F1707"/>
    <w:rsid w:val="005F6709"/>
    <w:rsid w:val="005F70F7"/>
    <w:rsid w:val="00610912"/>
    <w:rsid w:val="00610E67"/>
    <w:rsid w:val="0061123B"/>
    <w:rsid w:val="0061379B"/>
    <w:rsid w:val="00617974"/>
    <w:rsid w:val="00621BD3"/>
    <w:rsid w:val="0062238D"/>
    <w:rsid w:val="006227CD"/>
    <w:rsid w:val="00622E8D"/>
    <w:rsid w:val="00625DAF"/>
    <w:rsid w:val="0062615A"/>
    <w:rsid w:val="00627BA3"/>
    <w:rsid w:val="00630703"/>
    <w:rsid w:val="00635DAA"/>
    <w:rsid w:val="00637081"/>
    <w:rsid w:val="0063734F"/>
    <w:rsid w:val="0064089E"/>
    <w:rsid w:val="006456AC"/>
    <w:rsid w:val="00645EE6"/>
    <w:rsid w:val="0065308E"/>
    <w:rsid w:val="00653993"/>
    <w:rsid w:val="00653CD0"/>
    <w:rsid w:val="00654562"/>
    <w:rsid w:val="006560C3"/>
    <w:rsid w:val="006569CA"/>
    <w:rsid w:val="00656A37"/>
    <w:rsid w:val="00657150"/>
    <w:rsid w:val="00657BC8"/>
    <w:rsid w:val="006604BF"/>
    <w:rsid w:val="00661659"/>
    <w:rsid w:val="00662324"/>
    <w:rsid w:val="00662C6C"/>
    <w:rsid w:val="00663FAF"/>
    <w:rsid w:val="006708F1"/>
    <w:rsid w:val="006721C6"/>
    <w:rsid w:val="00675E82"/>
    <w:rsid w:val="006767CC"/>
    <w:rsid w:val="00676CF6"/>
    <w:rsid w:val="006773E4"/>
    <w:rsid w:val="006811B5"/>
    <w:rsid w:val="00683E11"/>
    <w:rsid w:val="00684271"/>
    <w:rsid w:val="006845B5"/>
    <w:rsid w:val="00686738"/>
    <w:rsid w:val="00687CF1"/>
    <w:rsid w:val="006907B3"/>
    <w:rsid w:val="006923BF"/>
    <w:rsid w:val="006926F9"/>
    <w:rsid w:val="00692879"/>
    <w:rsid w:val="00696786"/>
    <w:rsid w:val="006A095B"/>
    <w:rsid w:val="006A11F7"/>
    <w:rsid w:val="006A69B9"/>
    <w:rsid w:val="006A6BB6"/>
    <w:rsid w:val="006A769B"/>
    <w:rsid w:val="006B5BEE"/>
    <w:rsid w:val="006B7AAA"/>
    <w:rsid w:val="006C09EF"/>
    <w:rsid w:val="006C117D"/>
    <w:rsid w:val="006C3F6B"/>
    <w:rsid w:val="006C4610"/>
    <w:rsid w:val="006C58CD"/>
    <w:rsid w:val="006C6043"/>
    <w:rsid w:val="006C7DD7"/>
    <w:rsid w:val="006D1219"/>
    <w:rsid w:val="006D277F"/>
    <w:rsid w:val="006E3122"/>
    <w:rsid w:val="006E5C40"/>
    <w:rsid w:val="006E765C"/>
    <w:rsid w:val="006E76D4"/>
    <w:rsid w:val="006E7C52"/>
    <w:rsid w:val="006E7F7E"/>
    <w:rsid w:val="006F4E4B"/>
    <w:rsid w:val="006F51F0"/>
    <w:rsid w:val="006F5964"/>
    <w:rsid w:val="006F69A8"/>
    <w:rsid w:val="006F6BAA"/>
    <w:rsid w:val="007036CC"/>
    <w:rsid w:val="00705910"/>
    <w:rsid w:val="00707E26"/>
    <w:rsid w:val="00714B5A"/>
    <w:rsid w:val="00720305"/>
    <w:rsid w:val="00721765"/>
    <w:rsid w:val="00722532"/>
    <w:rsid w:val="00722DEB"/>
    <w:rsid w:val="00724A1D"/>
    <w:rsid w:val="00726191"/>
    <w:rsid w:val="007263D5"/>
    <w:rsid w:val="00726E9D"/>
    <w:rsid w:val="00733D2E"/>
    <w:rsid w:val="007465F3"/>
    <w:rsid w:val="007469C1"/>
    <w:rsid w:val="007478CB"/>
    <w:rsid w:val="0075081E"/>
    <w:rsid w:val="00754207"/>
    <w:rsid w:val="00756040"/>
    <w:rsid w:val="0075617C"/>
    <w:rsid w:val="007561DC"/>
    <w:rsid w:val="00756CF5"/>
    <w:rsid w:val="00757AFD"/>
    <w:rsid w:val="00761218"/>
    <w:rsid w:val="0076152D"/>
    <w:rsid w:val="007623C6"/>
    <w:rsid w:val="00762813"/>
    <w:rsid w:val="00762850"/>
    <w:rsid w:val="00764F7F"/>
    <w:rsid w:val="00764FE2"/>
    <w:rsid w:val="00765020"/>
    <w:rsid w:val="00766AF3"/>
    <w:rsid w:val="0076773C"/>
    <w:rsid w:val="007715C6"/>
    <w:rsid w:val="007719C2"/>
    <w:rsid w:val="00771B5C"/>
    <w:rsid w:val="00771E97"/>
    <w:rsid w:val="00775FD6"/>
    <w:rsid w:val="0077709B"/>
    <w:rsid w:val="0078021B"/>
    <w:rsid w:val="007828B2"/>
    <w:rsid w:val="00783F34"/>
    <w:rsid w:val="00786EAC"/>
    <w:rsid w:val="00793DE9"/>
    <w:rsid w:val="007942C8"/>
    <w:rsid w:val="00794856"/>
    <w:rsid w:val="0079597D"/>
    <w:rsid w:val="0079632F"/>
    <w:rsid w:val="007974D1"/>
    <w:rsid w:val="007A3099"/>
    <w:rsid w:val="007A3A4B"/>
    <w:rsid w:val="007A4573"/>
    <w:rsid w:val="007A5081"/>
    <w:rsid w:val="007A5582"/>
    <w:rsid w:val="007B00CC"/>
    <w:rsid w:val="007B1409"/>
    <w:rsid w:val="007B1A5A"/>
    <w:rsid w:val="007B2A7A"/>
    <w:rsid w:val="007B50CC"/>
    <w:rsid w:val="007B5D6A"/>
    <w:rsid w:val="007B7D38"/>
    <w:rsid w:val="007C3FB8"/>
    <w:rsid w:val="007C5D5B"/>
    <w:rsid w:val="007C765B"/>
    <w:rsid w:val="007D0AF0"/>
    <w:rsid w:val="007D16CE"/>
    <w:rsid w:val="007D1859"/>
    <w:rsid w:val="007D1B74"/>
    <w:rsid w:val="007D1D1F"/>
    <w:rsid w:val="007D3CA7"/>
    <w:rsid w:val="007E2471"/>
    <w:rsid w:val="007E2476"/>
    <w:rsid w:val="007E27C9"/>
    <w:rsid w:val="007E3582"/>
    <w:rsid w:val="007E40B4"/>
    <w:rsid w:val="007E4CC2"/>
    <w:rsid w:val="007E5EF2"/>
    <w:rsid w:val="007F0E02"/>
    <w:rsid w:val="007F0EDC"/>
    <w:rsid w:val="007F248E"/>
    <w:rsid w:val="007F29FF"/>
    <w:rsid w:val="007F33E6"/>
    <w:rsid w:val="007F3927"/>
    <w:rsid w:val="007F6BAF"/>
    <w:rsid w:val="007F7397"/>
    <w:rsid w:val="007F7423"/>
    <w:rsid w:val="008001AA"/>
    <w:rsid w:val="00800210"/>
    <w:rsid w:val="00801CB2"/>
    <w:rsid w:val="00802734"/>
    <w:rsid w:val="008032FD"/>
    <w:rsid w:val="00803C80"/>
    <w:rsid w:val="00803E7E"/>
    <w:rsid w:val="0080588E"/>
    <w:rsid w:val="008104CC"/>
    <w:rsid w:val="0081054E"/>
    <w:rsid w:val="00813138"/>
    <w:rsid w:val="00815922"/>
    <w:rsid w:val="00815DB3"/>
    <w:rsid w:val="0082594C"/>
    <w:rsid w:val="0082679D"/>
    <w:rsid w:val="008312C6"/>
    <w:rsid w:val="00832B1A"/>
    <w:rsid w:val="00832CE7"/>
    <w:rsid w:val="0083327C"/>
    <w:rsid w:val="00833A77"/>
    <w:rsid w:val="00836743"/>
    <w:rsid w:val="008414B2"/>
    <w:rsid w:val="0084230F"/>
    <w:rsid w:val="00842686"/>
    <w:rsid w:val="00844A34"/>
    <w:rsid w:val="008517B1"/>
    <w:rsid w:val="00852CBA"/>
    <w:rsid w:val="00855D8E"/>
    <w:rsid w:val="00857936"/>
    <w:rsid w:val="0086401A"/>
    <w:rsid w:val="008729D8"/>
    <w:rsid w:val="00872A76"/>
    <w:rsid w:val="00872D76"/>
    <w:rsid w:val="00872F5A"/>
    <w:rsid w:val="00873F19"/>
    <w:rsid w:val="0087511D"/>
    <w:rsid w:val="00875D2B"/>
    <w:rsid w:val="00880E9F"/>
    <w:rsid w:val="00887CE3"/>
    <w:rsid w:val="008905DF"/>
    <w:rsid w:val="00891323"/>
    <w:rsid w:val="008928FF"/>
    <w:rsid w:val="0089317D"/>
    <w:rsid w:val="00895F27"/>
    <w:rsid w:val="008962AC"/>
    <w:rsid w:val="008A0059"/>
    <w:rsid w:val="008A01FD"/>
    <w:rsid w:val="008A0449"/>
    <w:rsid w:val="008A115C"/>
    <w:rsid w:val="008A1ECF"/>
    <w:rsid w:val="008A2B11"/>
    <w:rsid w:val="008B10C8"/>
    <w:rsid w:val="008B11B6"/>
    <w:rsid w:val="008B129E"/>
    <w:rsid w:val="008B1F0F"/>
    <w:rsid w:val="008B5D52"/>
    <w:rsid w:val="008B7036"/>
    <w:rsid w:val="008C1AA1"/>
    <w:rsid w:val="008C430B"/>
    <w:rsid w:val="008D2A83"/>
    <w:rsid w:val="008D451B"/>
    <w:rsid w:val="008D7BA2"/>
    <w:rsid w:val="008E46EE"/>
    <w:rsid w:val="008E54E5"/>
    <w:rsid w:val="008F0A19"/>
    <w:rsid w:val="008F312D"/>
    <w:rsid w:val="008F5E79"/>
    <w:rsid w:val="008F6E35"/>
    <w:rsid w:val="00900521"/>
    <w:rsid w:val="009014E5"/>
    <w:rsid w:val="009026BB"/>
    <w:rsid w:val="00903AC0"/>
    <w:rsid w:val="00904C17"/>
    <w:rsid w:val="00907533"/>
    <w:rsid w:val="00910B4C"/>
    <w:rsid w:val="00914423"/>
    <w:rsid w:val="00914F8F"/>
    <w:rsid w:val="00917711"/>
    <w:rsid w:val="009201DC"/>
    <w:rsid w:val="009218D1"/>
    <w:rsid w:val="00923246"/>
    <w:rsid w:val="00925D1D"/>
    <w:rsid w:val="0092627C"/>
    <w:rsid w:val="00927AF1"/>
    <w:rsid w:val="00935E47"/>
    <w:rsid w:val="00940DB5"/>
    <w:rsid w:val="00940F1B"/>
    <w:rsid w:val="00952A79"/>
    <w:rsid w:val="009556F2"/>
    <w:rsid w:val="009557DD"/>
    <w:rsid w:val="0095596C"/>
    <w:rsid w:val="00957C48"/>
    <w:rsid w:val="00960A03"/>
    <w:rsid w:val="009623EA"/>
    <w:rsid w:val="00963032"/>
    <w:rsid w:val="00963151"/>
    <w:rsid w:val="00964B6F"/>
    <w:rsid w:val="00972675"/>
    <w:rsid w:val="00973EE7"/>
    <w:rsid w:val="009740B3"/>
    <w:rsid w:val="00974299"/>
    <w:rsid w:val="0097465B"/>
    <w:rsid w:val="00976507"/>
    <w:rsid w:val="00976955"/>
    <w:rsid w:val="00977FFC"/>
    <w:rsid w:val="00977FFE"/>
    <w:rsid w:val="009803F9"/>
    <w:rsid w:val="00981024"/>
    <w:rsid w:val="009839C0"/>
    <w:rsid w:val="00985D75"/>
    <w:rsid w:val="00986D0F"/>
    <w:rsid w:val="0098738F"/>
    <w:rsid w:val="009902A0"/>
    <w:rsid w:val="00991018"/>
    <w:rsid w:val="0099184A"/>
    <w:rsid w:val="0099288F"/>
    <w:rsid w:val="00992B4F"/>
    <w:rsid w:val="00997E01"/>
    <w:rsid w:val="009A311F"/>
    <w:rsid w:val="009A4A3C"/>
    <w:rsid w:val="009A75EB"/>
    <w:rsid w:val="009A7940"/>
    <w:rsid w:val="009B15A2"/>
    <w:rsid w:val="009B373D"/>
    <w:rsid w:val="009B3971"/>
    <w:rsid w:val="009B43F1"/>
    <w:rsid w:val="009B4E11"/>
    <w:rsid w:val="009B6E2B"/>
    <w:rsid w:val="009B713A"/>
    <w:rsid w:val="009C1FF0"/>
    <w:rsid w:val="009C5CEC"/>
    <w:rsid w:val="009C5D88"/>
    <w:rsid w:val="009D099F"/>
    <w:rsid w:val="009D1438"/>
    <w:rsid w:val="009D1F01"/>
    <w:rsid w:val="009D4832"/>
    <w:rsid w:val="009D54BC"/>
    <w:rsid w:val="009D701A"/>
    <w:rsid w:val="009E24BD"/>
    <w:rsid w:val="009E281A"/>
    <w:rsid w:val="009E7CE2"/>
    <w:rsid w:val="009F06CD"/>
    <w:rsid w:val="009F1AA2"/>
    <w:rsid w:val="009F1BEC"/>
    <w:rsid w:val="009F27DC"/>
    <w:rsid w:val="009F5F17"/>
    <w:rsid w:val="009F69B8"/>
    <w:rsid w:val="00A0056F"/>
    <w:rsid w:val="00A006C4"/>
    <w:rsid w:val="00A00BB2"/>
    <w:rsid w:val="00A01532"/>
    <w:rsid w:val="00A045D8"/>
    <w:rsid w:val="00A06B28"/>
    <w:rsid w:val="00A079D7"/>
    <w:rsid w:val="00A113C5"/>
    <w:rsid w:val="00A117E6"/>
    <w:rsid w:val="00A133DA"/>
    <w:rsid w:val="00A1537A"/>
    <w:rsid w:val="00A15559"/>
    <w:rsid w:val="00A160EF"/>
    <w:rsid w:val="00A203D9"/>
    <w:rsid w:val="00A2164D"/>
    <w:rsid w:val="00A21E3E"/>
    <w:rsid w:val="00A27FB8"/>
    <w:rsid w:val="00A31956"/>
    <w:rsid w:val="00A334B1"/>
    <w:rsid w:val="00A35069"/>
    <w:rsid w:val="00A350F0"/>
    <w:rsid w:val="00A35CA3"/>
    <w:rsid w:val="00A43529"/>
    <w:rsid w:val="00A4461D"/>
    <w:rsid w:val="00A450C6"/>
    <w:rsid w:val="00A45AC9"/>
    <w:rsid w:val="00A47B36"/>
    <w:rsid w:val="00A5111A"/>
    <w:rsid w:val="00A51CFD"/>
    <w:rsid w:val="00A53915"/>
    <w:rsid w:val="00A54024"/>
    <w:rsid w:val="00A5460F"/>
    <w:rsid w:val="00A57E80"/>
    <w:rsid w:val="00A61EFF"/>
    <w:rsid w:val="00A62D73"/>
    <w:rsid w:val="00A67E03"/>
    <w:rsid w:val="00A7027C"/>
    <w:rsid w:val="00A70702"/>
    <w:rsid w:val="00A7105E"/>
    <w:rsid w:val="00A748B1"/>
    <w:rsid w:val="00A75079"/>
    <w:rsid w:val="00A81759"/>
    <w:rsid w:val="00A828C3"/>
    <w:rsid w:val="00A85461"/>
    <w:rsid w:val="00A9000F"/>
    <w:rsid w:val="00A97E28"/>
    <w:rsid w:val="00AA2402"/>
    <w:rsid w:val="00AA2C56"/>
    <w:rsid w:val="00AA378F"/>
    <w:rsid w:val="00AA3EDF"/>
    <w:rsid w:val="00AA4C01"/>
    <w:rsid w:val="00AA56E5"/>
    <w:rsid w:val="00AB0584"/>
    <w:rsid w:val="00AB1310"/>
    <w:rsid w:val="00AB2D00"/>
    <w:rsid w:val="00AB3AE8"/>
    <w:rsid w:val="00AB4461"/>
    <w:rsid w:val="00AB45C6"/>
    <w:rsid w:val="00AB4C0E"/>
    <w:rsid w:val="00AB5D1E"/>
    <w:rsid w:val="00AB615C"/>
    <w:rsid w:val="00AB6C76"/>
    <w:rsid w:val="00AC0124"/>
    <w:rsid w:val="00AC118A"/>
    <w:rsid w:val="00AC5F9C"/>
    <w:rsid w:val="00AD2276"/>
    <w:rsid w:val="00AD33D5"/>
    <w:rsid w:val="00AD4D72"/>
    <w:rsid w:val="00AD5354"/>
    <w:rsid w:val="00AD583B"/>
    <w:rsid w:val="00AD5EA6"/>
    <w:rsid w:val="00AE0C35"/>
    <w:rsid w:val="00AE1E3B"/>
    <w:rsid w:val="00AE5D8C"/>
    <w:rsid w:val="00AE6B2D"/>
    <w:rsid w:val="00AE755A"/>
    <w:rsid w:val="00AF6B2F"/>
    <w:rsid w:val="00AF78D0"/>
    <w:rsid w:val="00B01ED7"/>
    <w:rsid w:val="00B03D6B"/>
    <w:rsid w:val="00B06473"/>
    <w:rsid w:val="00B10A73"/>
    <w:rsid w:val="00B10B1E"/>
    <w:rsid w:val="00B10FAD"/>
    <w:rsid w:val="00B21606"/>
    <w:rsid w:val="00B216A3"/>
    <w:rsid w:val="00B229FB"/>
    <w:rsid w:val="00B23B2F"/>
    <w:rsid w:val="00B25FC2"/>
    <w:rsid w:val="00B273B7"/>
    <w:rsid w:val="00B27488"/>
    <w:rsid w:val="00B32865"/>
    <w:rsid w:val="00B33853"/>
    <w:rsid w:val="00B338E2"/>
    <w:rsid w:val="00B36423"/>
    <w:rsid w:val="00B42430"/>
    <w:rsid w:val="00B55255"/>
    <w:rsid w:val="00B554EE"/>
    <w:rsid w:val="00B55671"/>
    <w:rsid w:val="00B557F5"/>
    <w:rsid w:val="00B55DC7"/>
    <w:rsid w:val="00B609D5"/>
    <w:rsid w:val="00B6364F"/>
    <w:rsid w:val="00B63797"/>
    <w:rsid w:val="00B65DA5"/>
    <w:rsid w:val="00B67101"/>
    <w:rsid w:val="00B7421D"/>
    <w:rsid w:val="00B75D5E"/>
    <w:rsid w:val="00B76584"/>
    <w:rsid w:val="00B768A2"/>
    <w:rsid w:val="00B822B1"/>
    <w:rsid w:val="00B83003"/>
    <w:rsid w:val="00B831FE"/>
    <w:rsid w:val="00B8372C"/>
    <w:rsid w:val="00B84D83"/>
    <w:rsid w:val="00B9236C"/>
    <w:rsid w:val="00B92E7E"/>
    <w:rsid w:val="00B92FF9"/>
    <w:rsid w:val="00B93AF2"/>
    <w:rsid w:val="00B94C4E"/>
    <w:rsid w:val="00B95667"/>
    <w:rsid w:val="00B96BA2"/>
    <w:rsid w:val="00BA3C1C"/>
    <w:rsid w:val="00BA3F47"/>
    <w:rsid w:val="00BA703E"/>
    <w:rsid w:val="00BB0C26"/>
    <w:rsid w:val="00BB3832"/>
    <w:rsid w:val="00BB528C"/>
    <w:rsid w:val="00BB6692"/>
    <w:rsid w:val="00BC19F7"/>
    <w:rsid w:val="00BC202B"/>
    <w:rsid w:val="00BC4534"/>
    <w:rsid w:val="00BC515F"/>
    <w:rsid w:val="00BC6316"/>
    <w:rsid w:val="00BC6BB4"/>
    <w:rsid w:val="00BC6C9C"/>
    <w:rsid w:val="00BD1F9A"/>
    <w:rsid w:val="00BD230A"/>
    <w:rsid w:val="00BD3545"/>
    <w:rsid w:val="00BD3885"/>
    <w:rsid w:val="00BD3942"/>
    <w:rsid w:val="00BD6458"/>
    <w:rsid w:val="00BD7A10"/>
    <w:rsid w:val="00BD7B61"/>
    <w:rsid w:val="00BE111C"/>
    <w:rsid w:val="00BE2822"/>
    <w:rsid w:val="00BE725A"/>
    <w:rsid w:val="00BE75B9"/>
    <w:rsid w:val="00BF009B"/>
    <w:rsid w:val="00BF1717"/>
    <w:rsid w:val="00BF1E20"/>
    <w:rsid w:val="00BF2E42"/>
    <w:rsid w:val="00BF4507"/>
    <w:rsid w:val="00BF4661"/>
    <w:rsid w:val="00BF6981"/>
    <w:rsid w:val="00BF6F19"/>
    <w:rsid w:val="00C04E3C"/>
    <w:rsid w:val="00C05482"/>
    <w:rsid w:val="00C05E84"/>
    <w:rsid w:val="00C11E77"/>
    <w:rsid w:val="00C12DA9"/>
    <w:rsid w:val="00C1477B"/>
    <w:rsid w:val="00C15028"/>
    <w:rsid w:val="00C20C44"/>
    <w:rsid w:val="00C24328"/>
    <w:rsid w:val="00C24DBF"/>
    <w:rsid w:val="00C25466"/>
    <w:rsid w:val="00C2676C"/>
    <w:rsid w:val="00C30BEF"/>
    <w:rsid w:val="00C31844"/>
    <w:rsid w:val="00C36333"/>
    <w:rsid w:val="00C36E50"/>
    <w:rsid w:val="00C372EA"/>
    <w:rsid w:val="00C374C9"/>
    <w:rsid w:val="00C4064C"/>
    <w:rsid w:val="00C43B14"/>
    <w:rsid w:val="00C47C34"/>
    <w:rsid w:val="00C516CF"/>
    <w:rsid w:val="00C53798"/>
    <w:rsid w:val="00C54E10"/>
    <w:rsid w:val="00C56D80"/>
    <w:rsid w:val="00C571F6"/>
    <w:rsid w:val="00C60E68"/>
    <w:rsid w:val="00C61320"/>
    <w:rsid w:val="00C64AD3"/>
    <w:rsid w:val="00C65131"/>
    <w:rsid w:val="00C66836"/>
    <w:rsid w:val="00C67DF1"/>
    <w:rsid w:val="00C67EBC"/>
    <w:rsid w:val="00C7101F"/>
    <w:rsid w:val="00C713D8"/>
    <w:rsid w:val="00C717B1"/>
    <w:rsid w:val="00C72558"/>
    <w:rsid w:val="00C75A0E"/>
    <w:rsid w:val="00C75A8A"/>
    <w:rsid w:val="00C77048"/>
    <w:rsid w:val="00C807A7"/>
    <w:rsid w:val="00C81BD5"/>
    <w:rsid w:val="00C82FF5"/>
    <w:rsid w:val="00C833DF"/>
    <w:rsid w:val="00C84C78"/>
    <w:rsid w:val="00C85844"/>
    <w:rsid w:val="00C87D80"/>
    <w:rsid w:val="00C952DB"/>
    <w:rsid w:val="00C95F5D"/>
    <w:rsid w:val="00C97DE2"/>
    <w:rsid w:val="00C97DE3"/>
    <w:rsid w:val="00CA0E75"/>
    <w:rsid w:val="00CA40CE"/>
    <w:rsid w:val="00CA421B"/>
    <w:rsid w:val="00CA4E6A"/>
    <w:rsid w:val="00CA5BB0"/>
    <w:rsid w:val="00CA7673"/>
    <w:rsid w:val="00CA784D"/>
    <w:rsid w:val="00CB286A"/>
    <w:rsid w:val="00CB4DD7"/>
    <w:rsid w:val="00CB692D"/>
    <w:rsid w:val="00CB6F54"/>
    <w:rsid w:val="00CB7450"/>
    <w:rsid w:val="00CC0AE4"/>
    <w:rsid w:val="00CC2A21"/>
    <w:rsid w:val="00CC59C3"/>
    <w:rsid w:val="00CC7234"/>
    <w:rsid w:val="00CC7D28"/>
    <w:rsid w:val="00CD344C"/>
    <w:rsid w:val="00CD41A2"/>
    <w:rsid w:val="00CD6261"/>
    <w:rsid w:val="00CD638B"/>
    <w:rsid w:val="00CE1C98"/>
    <w:rsid w:val="00CE2302"/>
    <w:rsid w:val="00CE6848"/>
    <w:rsid w:val="00CF04C1"/>
    <w:rsid w:val="00CF0982"/>
    <w:rsid w:val="00CF2586"/>
    <w:rsid w:val="00CF4543"/>
    <w:rsid w:val="00CF5342"/>
    <w:rsid w:val="00CF54CA"/>
    <w:rsid w:val="00CF5ACB"/>
    <w:rsid w:val="00CF5D37"/>
    <w:rsid w:val="00CF6B39"/>
    <w:rsid w:val="00D0067C"/>
    <w:rsid w:val="00D00DBB"/>
    <w:rsid w:val="00D013AA"/>
    <w:rsid w:val="00D02203"/>
    <w:rsid w:val="00D0294D"/>
    <w:rsid w:val="00D035FB"/>
    <w:rsid w:val="00D105F3"/>
    <w:rsid w:val="00D1294D"/>
    <w:rsid w:val="00D15189"/>
    <w:rsid w:val="00D16704"/>
    <w:rsid w:val="00D2128F"/>
    <w:rsid w:val="00D21F38"/>
    <w:rsid w:val="00D232F3"/>
    <w:rsid w:val="00D23453"/>
    <w:rsid w:val="00D26A66"/>
    <w:rsid w:val="00D312A9"/>
    <w:rsid w:val="00D3162E"/>
    <w:rsid w:val="00D33A1E"/>
    <w:rsid w:val="00D35928"/>
    <w:rsid w:val="00D35D0A"/>
    <w:rsid w:val="00D40F9E"/>
    <w:rsid w:val="00D42CC7"/>
    <w:rsid w:val="00D43B2A"/>
    <w:rsid w:val="00D45FB9"/>
    <w:rsid w:val="00D52631"/>
    <w:rsid w:val="00D550FB"/>
    <w:rsid w:val="00D560A9"/>
    <w:rsid w:val="00D61B7C"/>
    <w:rsid w:val="00D6236A"/>
    <w:rsid w:val="00D62CD3"/>
    <w:rsid w:val="00D64C5D"/>
    <w:rsid w:val="00D678F3"/>
    <w:rsid w:val="00D7016D"/>
    <w:rsid w:val="00D71691"/>
    <w:rsid w:val="00D725BE"/>
    <w:rsid w:val="00D75DE4"/>
    <w:rsid w:val="00D800B1"/>
    <w:rsid w:val="00D819C1"/>
    <w:rsid w:val="00D847C6"/>
    <w:rsid w:val="00D8627A"/>
    <w:rsid w:val="00D87216"/>
    <w:rsid w:val="00D87961"/>
    <w:rsid w:val="00D87962"/>
    <w:rsid w:val="00D90022"/>
    <w:rsid w:val="00D90734"/>
    <w:rsid w:val="00D91B03"/>
    <w:rsid w:val="00D92ABF"/>
    <w:rsid w:val="00D94099"/>
    <w:rsid w:val="00D94D30"/>
    <w:rsid w:val="00D95666"/>
    <w:rsid w:val="00D95FB4"/>
    <w:rsid w:val="00DA206C"/>
    <w:rsid w:val="00DA2890"/>
    <w:rsid w:val="00DA3212"/>
    <w:rsid w:val="00DA39D6"/>
    <w:rsid w:val="00DA4104"/>
    <w:rsid w:val="00DA4744"/>
    <w:rsid w:val="00DA70B3"/>
    <w:rsid w:val="00DB0B0F"/>
    <w:rsid w:val="00DB31D5"/>
    <w:rsid w:val="00DB32E6"/>
    <w:rsid w:val="00DB3E03"/>
    <w:rsid w:val="00DB5F26"/>
    <w:rsid w:val="00DC7607"/>
    <w:rsid w:val="00DC7F0E"/>
    <w:rsid w:val="00DD195E"/>
    <w:rsid w:val="00DD33B6"/>
    <w:rsid w:val="00DD7556"/>
    <w:rsid w:val="00DE0C05"/>
    <w:rsid w:val="00DE2A6D"/>
    <w:rsid w:val="00DE467B"/>
    <w:rsid w:val="00DE79DC"/>
    <w:rsid w:val="00DF3E5D"/>
    <w:rsid w:val="00DF4CCC"/>
    <w:rsid w:val="00E020D7"/>
    <w:rsid w:val="00E025DF"/>
    <w:rsid w:val="00E032CB"/>
    <w:rsid w:val="00E03D4A"/>
    <w:rsid w:val="00E04EDE"/>
    <w:rsid w:val="00E05D08"/>
    <w:rsid w:val="00E078C8"/>
    <w:rsid w:val="00E10692"/>
    <w:rsid w:val="00E16EF7"/>
    <w:rsid w:val="00E17BC6"/>
    <w:rsid w:val="00E21953"/>
    <w:rsid w:val="00E23318"/>
    <w:rsid w:val="00E2366E"/>
    <w:rsid w:val="00E25E8F"/>
    <w:rsid w:val="00E2743D"/>
    <w:rsid w:val="00E30B5F"/>
    <w:rsid w:val="00E32DB7"/>
    <w:rsid w:val="00E3322F"/>
    <w:rsid w:val="00E34345"/>
    <w:rsid w:val="00E35CDC"/>
    <w:rsid w:val="00E40F29"/>
    <w:rsid w:val="00E45E3B"/>
    <w:rsid w:val="00E47AD9"/>
    <w:rsid w:val="00E47E1F"/>
    <w:rsid w:val="00E53CA4"/>
    <w:rsid w:val="00E5600C"/>
    <w:rsid w:val="00E61097"/>
    <w:rsid w:val="00E6310E"/>
    <w:rsid w:val="00E63E6B"/>
    <w:rsid w:val="00E64A78"/>
    <w:rsid w:val="00E65F5E"/>
    <w:rsid w:val="00E66603"/>
    <w:rsid w:val="00E67421"/>
    <w:rsid w:val="00E7597A"/>
    <w:rsid w:val="00E7753F"/>
    <w:rsid w:val="00E80550"/>
    <w:rsid w:val="00E81116"/>
    <w:rsid w:val="00E843A1"/>
    <w:rsid w:val="00E84EDE"/>
    <w:rsid w:val="00E854DE"/>
    <w:rsid w:val="00E865FA"/>
    <w:rsid w:val="00E8743D"/>
    <w:rsid w:val="00E91201"/>
    <w:rsid w:val="00E9420C"/>
    <w:rsid w:val="00E94E86"/>
    <w:rsid w:val="00E9702F"/>
    <w:rsid w:val="00EA0689"/>
    <w:rsid w:val="00EA375C"/>
    <w:rsid w:val="00EA3A6F"/>
    <w:rsid w:val="00EA682B"/>
    <w:rsid w:val="00EB1E89"/>
    <w:rsid w:val="00EB2881"/>
    <w:rsid w:val="00EB5CE3"/>
    <w:rsid w:val="00EC0F16"/>
    <w:rsid w:val="00EC4645"/>
    <w:rsid w:val="00EC4E71"/>
    <w:rsid w:val="00EC54F6"/>
    <w:rsid w:val="00EC74E3"/>
    <w:rsid w:val="00ED1D15"/>
    <w:rsid w:val="00ED327C"/>
    <w:rsid w:val="00ED493C"/>
    <w:rsid w:val="00ED5C9A"/>
    <w:rsid w:val="00ED68CD"/>
    <w:rsid w:val="00ED6AC0"/>
    <w:rsid w:val="00EE0E88"/>
    <w:rsid w:val="00EE4291"/>
    <w:rsid w:val="00EE6386"/>
    <w:rsid w:val="00EF30C8"/>
    <w:rsid w:val="00EF5BB8"/>
    <w:rsid w:val="00EF5BE4"/>
    <w:rsid w:val="00EF6C7F"/>
    <w:rsid w:val="00EF70D5"/>
    <w:rsid w:val="00F02C8C"/>
    <w:rsid w:val="00F03F49"/>
    <w:rsid w:val="00F04BA9"/>
    <w:rsid w:val="00F04C38"/>
    <w:rsid w:val="00F05597"/>
    <w:rsid w:val="00F05B5E"/>
    <w:rsid w:val="00F07C36"/>
    <w:rsid w:val="00F07EE3"/>
    <w:rsid w:val="00F1047B"/>
    <w:rsid w:val="00F13E09"/>
    <w:rsid w:val="00F14C81"/>
    <w:rsid w:val="00F15484"/>
    <w:rsid w:val="00F1604C"/>
    <w:rsid w:val="00F17556"/>
    <w:rsid w:val="00F17C64"/>
    <w:rsid w:val="00F17F73"/>
    <w:rsid w:val="00F20A62"/>
    <w:rsid w:val="00F22DB3"/>
    <w:rsid w:val="00F23A4B"/>
    <w:rsid w:val="00F24C22"/>
    <w:rsid w:val="00F25663"/>
    <w:rsid w:val="00F2614A"/>
    <w:rsid w:val="00F27907"/>
    <w:rsid w:val="00F307EA"/>
    <w:rsid w:val="00F32E9C"/>
    <w:rsid w:val="00F33E51"/>
    <w:rsid w:val="00F347FB"/>
    <w:rsid w:val="00F365D7"/>
    <w:rsid w:val="00F45F9F"/>
    <w:rsid w:val="00F4797F"/>
    <w:rsid w:val="00F5281D"/>
    <w:rsid w:val="00F53CDC"/>
    <w:rsid w:val="00F53E1C"/>
    <w:rsid w:val="00F54C9B"/>
    <w:rsid w:val="00F558F0"/>
    <w:rsid w:val="00F61703"/>
    <w:rsid w:val="00F63E4F"/>
    <w:rsid w:val="00F64185"/>
    <w:rsid w:val="00F643FA"/>
    <w:rsid w:val="00F64FB1"/>
    <w:rsid w:val="00F667A0"/>
    <w:rsid w:val="00F667B7"/>
    <w:rsid w:val="00F67481"/>
    <w:rsid w:val="00F70937"/>
    <w:rsid w:val="00F7094C"/>
    <w:rsid w:val="00F71995"/>
    <w:rsid w:val="00F723CD"/>
    <w:rsid w:val="00F77502"/>
    <w:rsid w:val="00F81985"/>
    <w:rsid w:val="00F81C44"/>
    <w:rsid w:val="00F82D9C"/>
    <w:rsid w:val="00F84894"/>
    <w:rsid w:val="00F864D2"/>
    <w:rsid w:val="00F865C3"/>
    <w:rsid w:val="00F9022B"/>
    <w:rsid w:val="00F9030A"/>
    <w:rsid w:val="00F909CC"/>
    <w:rsid w:val="00F9171F"/>
    <w:rsid w:val="00F92F88"/>
    <w:rsid w:val="00F94405"/>
    <w:rsid w:val="00F948D1"/>
    <w:rsid w:val="00F97FBC"/>
    <w:rsid w:val="00FA2147"/>
    <w:rsid w:val="00FA2218"/>
    <w:rsid w:val="00FA4B60"/>
    <w:rsid w:val="00FA56CD"/>
    <w:rsid w:val="00FA7283"/>
    <w:rsid w:val="00FB3F0F"/>
    <w:rsid w:val="00FB5E39"/>
    <w:rsid w:val="00FB66BC"/>
    <w:rsid w:val="00FB6A28"/>
    <w:rsid w:val="00FB7909"/>
    <w:rsid w:val="00FC0662"/>
    <w:rsid w:val="00FC06C0"/>
    <w:rsid w:val="00FC0ACD"/>
    <w:rsid w:val="00FC2799"/>
    <w:rsid w:val="00FC3A79"/>
    <w:rsid w:val="00FC42DB"/>
    <w:rsid w:val="00FC4647"/>
    <w:rsid w:val="00FC6EF1"/>
    <w:rsid w:val="00FC72B6"/>
    <w:rsid w:val="00FD0D74"/>
    <w:rsid w:val="00FD3F5D"/>
    <w:rsid w:val="00FD6D48"/>
    <w:rsid w:val="00FD6E4A"/>
    <w:rsid w:val="00FD7A0F"/>
    <w:rsid w:val="00FE3C74"/>
    <w:rsid w:val="00FE5ECA"/>
    <w:rsid w:val="00FF1E7B"/>
    <w:rsid w:val="00FF2526"/>
    <w:rsid w:val="00FF2DB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686397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765C"/>
    <w:rPr>
      <w:rFonts w:ascii="Times" w:hAnsi="Times"/>
      <w:szCs w:val="24"/>
      <w:lang w:val="en-GB"/>
    </w:rPr>
  </w:style>
  <w:style w:type="paragraph" w:styleId="Heading1">
    <w:name w:val="heading 1"/>
    <w:next w:val="JAuthorList"/>
    <w:link w:val="Heading1Char"/>
    <w:uiPriority w:val="9"/>
    <w:qFormat/>
    <w:rsid w:val="00497C61"/>
    <w:pPr>
      <w:keepNext/>
      <w:spacing w:after="60"/>
      <w:jc w:val="center"/>
      <w:outlineLvl w:val="0"/>
    </w:pPr>
    <w:rPr>
      <w:rFonts w:cs="Arial"/>
      <w:b/>
      <w:bCs/>
      <w:caps/>
      <w:kern w:val="32"/>
      <w:sz w:val="28"/>
      <w:szCs w:val="32"/>
      <w:lang w:val="en-GB"/>
    </w:rPr>
  </w:style>
  <w:style w:type="paragraph" w:styleId="Heading2">
    <w:name w:val="heading 2"/>
    <w:next w:val="BodyTextIndent"/>
    <w:uiPriority w:val="99"/>
    <w:semiHidden/>
    <w:qFormat/>
    <w:rsid w:val="00497C61"/>
    <w:pPr>
      <w:keepNext/>
      <w:spacing w:before="240" w:after="60"/>
      <w:jc w:val="center"/>
      <w:outlineLvl w:val="1"/>
    </w:pPr>
    <w:rPr>
      <w:rFonts w:cs="Arial"/>
      <w:b/>
      <w:bCs/>
      <w:iCs/>
      <w:caps/>
      <w:kern w:val="16"/>
      <w:sz w:val="24"/>
      <w:szCs w:val="28"/>
      <w:lang w:val="en-GB"/>
    </w:rPr>
  </w:style>
  <w:style w:type="paragraph" w:styleId="Heading3">
    <w:name w:val="heading 3"/>
    <w:next w:val="BodyTextIndent"/>
    <w:uiPriority w:val="99"/>
    <w:semiHidden/>
    <w:qFormat/>
    <w:rsid w:val="00497C61"/>
    <w:pPr>
      <w:keepNext/>
      <w:spacing w:before="120" w:after="60"/>
      <w:outlineLvl w:val="2"/>
    </w:pPr>
    <w:rPr>
      <w:rFonts w:cs="Arial"/>
      <w:bCs/>
      <w:i/>
      <w:sz w:val="24"/>
      <w:szCs w:val="26"/>
      <w:lang w:val="en-GB"/>
    </w:rPr>
  </w:style>
  <w:style w:type="paragraph" w:styleId="Heading4">
    <w:name w:val="heading 4"/>
    <w:basedOn w:val="Normal"/>
    <w:next w:val="Normal"/>
    <w:link w:val="Heading4Char"/>
    <w:uiPriority w:val="9"/>
    <w:semiHidden/>
    <w:unhideWhenUsed/>
    <w:qFormat/>
    <w:rsid w:val="00042B7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A0E7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A0E7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A0E7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A0E75"/>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A0E75"/>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link w:val="FootnoteTextChar"/>
    <w:rsid w:val="00BA703E"/>
    <w:rPr>
      <w:sz w:val="16"/>
      <w:lang w:val="en-GB"/>
    </w:rPr>
  </w:style>
  <w:style w:type="paragraph" w:customStyle="1" w:styleId="JAbstractTitle">
    <w:name w:val="J_Abstract Title"/>
    <w:next w:val="BodyTextIndent"/>
    <w:rsid w:val="00BA703E"/>
    <w:rPr>
      <w:i/>
      <w:sz w:val="24"/>
      <w:szCs w:val="24"/>
      <w:lang w:val="en-GB"/>
    </w:rPr>
  </w:style>
  <w:style w:type="paragraph" w:customStyle="1" w:styleId="JAuthorList">
    <w:name w:val="J_Author List"/>
    <w:next w:val="JAbstractTitle"/>
    <w:autoRedefine/>
    <w:rsid w:val="00A2164D"/>
    <w:pPr>
      <w:spacing w:before="180" w:after="240"/>
      <w:jc w:val="center"/>
    </w:pPr>
    <w:rPr>
      <w:sz w:val="24"/>
      <w:szCs w:val="24"/>
      <w:lang w:val="fr-FR"/>
    </w:rPr>
  </w:style>
  <w:style w:type="paragraph" w:customStyle="1" w:styleId="FigureCaption">
    <w:name w:val="Figure Caption"/>
    <w:next w:val="BodyTextIndent"/>
    <w:link w:val="FigureCaptionChar"/>
    <w:rsid w:val="00BA703E"/>
    <w:pPr>
      <w:spacing w:before="60" w:after="120"/>
      <w:jc w:val="center"/>
    </w:pPr>
    <w:rPr>
      <w:szCs w:val="24"/>
      <w:lang w:val="en-GB"/>
    </w:rPr>
  </w:style>
  <w:style w:type="paragraph" w:customStyle="1" w:styleId="TableCaption">
    <w:name w:val="Table Caption"/>
    <w:next w:val="BodyTextIndent"/>
    <w:rsid w:val="00BA703E"/>
    <w:pPr>
      <w:spacing w:before="60" w:after="60"/>
      <w:jc w:val="center"/>
    </w:pPr>
    <w:rPr>
      <w:szCs w:val="24"/>
      <w:lang w:val="en-GB"/>
    </w:rPr>
  </w:style>
  <w:style w:type="character" w:styleId="FootnoteReference">
    <w:name w:val="footnote reference"/>
    <w:rsid w:val="00BA703E"/>
    <w:rPr>
      <w:rFonts w:ascii="Times New Roman" w:hAnsi="Times New Roman"/>
      <w:sz w:val="20"/>
      <w:vertAlign w:val="superscript"/>
    </w:rPr>
  </w:style>
  <w:style w:type="paragraph" w:customStyle="1" w:styleId="Equation">
    <w:name w:val="Equation"/>
    <w:basedOn w:val="BodyTextNoIndent"/>
    <w:next w:val="BodyTextNoIndent"/>
    <w:autoRedefine/>
    <w:rsid w:val="00551C35"/>
    <w:pPr>
      <w:spacing w:before="240" w:after="240"/>
      <w:jc w:val="right"/>
    </w:pPr>
    <w:rPr>
      <w:kern w:val="16"/>
    </w:rPr>
  </w:style>
  <w:style w:type="paragraph" w:customStyle="1" w:styleId="JReference">
    <w:name w:val="J_Reference"/>
    <w:basedOn w:val="Normal"/>
    <w:link w:val="JReferenceChar"/>
    <w:qFormat/>
    <w:rsid w:val="00BA703E"/>
    <w:pPr>
      <w:tabs>
        <w:tab w:val="left" w:pos="360"/>
      </w:tabs>
      <w:ind w:left="360" w:hanging="360"/>
    </w:pPr>
  </w:style>
  <w:style w:type="paragraph" w:styleId="BodyTextIndent">
    <w:name w:val="Body Text Indent"/>
    <w:link w:val="BodyTextIndentChar"/>
    <w:rsid w:val="00BA703E"/>
    <w:pPr>
      <w:ind w:firstLine="187"/>
      <w:jc w:val="both"/>
    </w:pPr>
    <w:rPr>
      <w:lang w:val="en-GB"/>
    </w:rPr>
  </w:style>
  <w:style w:type="character" w:styleId="Hyperlink">
    <w:name w:val="Hyperlink"/>
    <w:rsid w:val="00BA703E"/>
    <w:rPr>
      <w:color w:val="0000FF"/>
      <w:u w:val="single"/>
    </w:rPr>
  </w:style>
  <w:style w:type="paragraph" w:customStyle="1" w:styleId="JBulletedList">
    <w:name w:val="J_Bulleted List"/>
    <w:rsid w:val="00BA703E"/>
    <w:pPr>
      <w:numPr>
        <w:numId w:val="21"/>
      </w:numPr>
      <w:tabs>
        <w:tab w:val="clear" w:pos="344"/>
        <w:tab w:val="num" w:pos="389"/>
      </w:tabs>
      <w:ind w:left="389"/>
      <w:jc w:val="both"/>
    </w:pPr>
    <w:rPr>
      <w:szCs w:val="24"/>
      <w:lang w:val="en-GB"/>
    </w:rPr>
  </w:style>
  <w:style w:type="character" w:customStyle="1" w:styleId="JReferenceChar">
    <w:name w:val="J_Reference Char"/>
    <w:link w:val="JReference"/>
    <w:rsid w:val="00BA703E"/>
    <w:rPr>
      <w:rFonts w:ascii="Times" w:hAnsi="Times"/>
      <w:szCs w:val="24"/>
      <w:lang w:val="en-GB"/>
    </w:rPr>
  </w:style>
  <w:style w:type="paragraph" w:styleId="Caption">
    <w:name w:val="caption"/>
    <w:basedOn w:val="Normal"/>
    <w:next w:val="Normal"/>
    <w:link w:val="CaptionChar"/>
    <w:autoRedefine/>
    <w:qFormat/>
    <w:rsid w:val="004D15C1"/>
    <w:pPr>
      <w:spacing w:before="60" w:after="60"/>
      <w:jc w:val="both"/>
    </w:pPr>
    <w:rPr>
      <w:bCs/>
      <w:szCs w:val="20"/>
    </w:rPr>
  </w:style>
  <w:style w:type="paragraph" w:customStyle="1" w:styleId="BodyTextNoIndent">
    <w:name w:val="Body Text No Indent"/>
    <w:basedOn w:val="BodyTextIndent"/>
    <w:rsid w:val="00BA703E"/>
    <w:pPr>
      <w:ind w:firstLine="0"/>
    </w:pPr>
  </w:style>
  <w:style w:type="paragraph" w:customStyle="1" w:styleId="FigureCaptionMultiLine">
    <w:name w:val="Figure Caption Multi Line"/>
    <w:basedOn w:val="FigureCaption"/>
    <w:next w:val="BodyTextIndent"/>
    <w:rsid w:val="00BA703E"/>
    <w:pPr>
      <w:jc w:val="both"/>
    </w:pPr>
    <w:rPr>
      <w:szCs w:val="20"/>
    </w:rPr>
  </w:style>
  <w:style w:type="paragraph" w:customStyle="1" w:styleId="TableCaptionMultiLine">
    <w:name w:val="Table Caption Multi Line"/>
    <w:basedOn w:val="TableCaption"/>
    <w:next w:val="BodyTextIndent"/>
    <w:rsid w:val="00BA703E"/>
    <w:pPr>
      <w:jc w:val="both"/>
    </w:pPr>
    <w:rPr>
      <w:szCs w:val="20"/>
    </w:rPr>
  </w:style>
  <w:style w:type="paragraph" w:styleId="BalloonText">
    <w:name w:val="Balloon Text"/>
    <w:basedOn w:val="Normal"/>
    <w:link w:val="BalloonTextChar"/>
    <w:uiPriority w:val="99"/>
    <w:semiHidden/>
    <w:unhideWhenUsed/>
    <w:rsid w:val="00BA703E"/>
    <w:rPr>
      <w:rFonts w:ascii="Tahoma" w:hAnsi="Tahoma" w:cs="Tahoma"/>
      <w:sz w:val="16"/>
      <w:szCs w:val="16"/>
    </w:rPr>
  </w:style>
  <w:style w:type="character" w:customStyle="1" w:styleId="BalloonTextChar">
    <w:name w:val="Balloon Text Char"/>
    <w:link w:val="BalloonText"/>
    <w:uiPriority w:val="99"/>
    <w:semiHidden/>
    <w:rsid w:val="00BA703E"/>
    <w:rPr>
      <w:rFonts w:ascii="Tahoma" w:hAnsi="Tahoma" w:cs="Tahoma"/>
      <w:sz w:val="16"/>
      <w:szCs w:val="16"/>
      <w:lang w:val="en-GB"/>
    </w:rPr>
  </w:style>
  <w:style w:type="character" w:styleId="CommentReference">
    <w:name w:val="annotation reference"/>
    <w:uiPriority w:val="99"/>
    <w:semiHidden/>
    <w:unhideWhenUsed/>
    <w:rsid w:val="00BA703E"/>
    <w:rPr>
      <w:sz w:val="16"/>
      <w:szCs w:val="16"/>
    </w:rPr>
  </w:style>
  <w:style w:type="paragraph" w:styleId="CommentText">
    <w:name w:val="annotation text"/>
    <w:basedOn w:val="Normal"/>
    <w:link w:val="CommentTextChar"/>
    <w:uiPriority w:val="99"/>
    <w:semiHidden/>
    <w:unhideWhenUsed/>
    <w:rsid w:val="00BA703E"/>
    <w:rPr>
      <w:szCs w:val="20"/>
    </w:rPr>
  </w:style>
  <w:style w:type="character" w:customStyle="1" w:styleId="CommentTextChar">
    <w:name w:val="Comment Text Char"/>
    <w:link w:val="CommentText"/>
    <w:uiPriority w:val="99"/>
    <w:semiHidden/>
    <w:rsid w:val="00BA703E"/>
    <w:rPr>
      <w:rFonts w:ascii="Times" w:hAnsi="Times"/>
      <w:lang w:val="en-GB"/>
    </w:rPr>
  </w:style>
  <w:style w:type="paragraph" w:styleId="CommentSubject">
    <w:name w:val="annotation subject"/>
    <w:basedOn w:val="CommentText"/>
    <w:next w:val="CommentText"/>
    <w:link w:val="CommentSubjectChar"/>
    <w:uiPriority w:val="99"/>
    <w:semiHidden/>
    <w:unhideWhenUsed/>
    <w:rsid w:val="00BA703E"/>
    <w:rPr>
      <w:b/>
      <w:bCs/>
    </w:rPr>
  </w:style>
  <w:style w:type="character" w:customStyle="1" w:styleId="CommentSubjectChar">
    <w:name w:val="Comment Subject Char"/>
    <w:link w:val="CommentSubject"/>
    <w:uiPriority w:val="99"/>
    <w:semiHidden/>
    <w:rsid w:val="00BA703E"/>
    <w:rPr>
      <w:rFonts w:ascii="Times" w:hAnsi="Times"/>
      <w:b/>
      <w:bCs/>
      <w:lang w:val="en-GB"/>
    </w:rPr>
  </w:style>
  <w:style w:type="paragraph" w:customStyle="1" w:styleId="JPaperTitle">
    <w:name w:val="J_Paper Title"/>
    <w:basedOn w:val="Heading1"/>
    <w:qFormat/>
    <w:rsid w:val="00497C61"/>
  </w:style>
  <w:style w:type="paragraph" w:customStyle="1" w:styleId="JSectionHeading">
    <w:name w:val="J_Section Heading"/>
    <w:basedOn w:val="Heading2"/>
    <w:uiPriority w:val="3"/>
    <w:qFormat/>
    <w:rsid w:val="00103192"/>
    <w:pPr>
      <w:spacing w:before="180"/>
    </w:pPr>
  </w:style>
  <w:style w:type="paragraph" w:customStyle="1" w:styleId="JSubsectionHeading">
    <w:name w:val="J_Subsection Heading"/>
    <w:basedOn w:val="Heading3"/>
    <w:uiPriority w:val="4"/>
    <w:qFormat/>
    <w:rsid w:val="00497C61"/>
    <w:rPr>
      <w:kern w:val="16"/>
    </w:rPr>
  </w:style>
  <w:style w:type="paragraph" w:styleId="TableofFigures">
    <w:name w:val="table of figures"/>
    <w:basedOn w:val="Normal"/>
    <w:next w:val="Normal"/>
    <w:uiPriority w:val="99"/>
    <w:unhideWhenUsed/>
    <w:rsid w:val="005F1707"/>
  </w:style>
  <w:style w:type="paragraph" w:styleId="NormalWeb">
    <w:name w:val="Normal (Web)"/>
    <w:basedOn w:val="Normal"/>
    <w:uiPriority w:val="99"/>
    <w:semiHidden/>
    <w:unhideWhenUsed/>
    <w:rsid w:val="003D4DD7"/>
    <w:rPr>
      <w:rFonts w:ascii="Times New Roman" w:hAnsi="Times New Roman"/>
      <w:sz w:val="24"/>
    </w:rPr>
  </w:style>
  <w:style w:type="character" w:customStyle="1" w:styleId="Heading1Char">
    <w:name w:val="Heading 1 Char"/>
    <w:basedOn w:val="DefaultParagraphFont"/>
    <w:link w:val="Heading1"/>
    <w:uiPriority w:val="9"/>
    <w:rsid w:val="00497C61"/>
    <w:rPr>
      <w:rFonts w:cs="Arial"/>
      <w:b/>
      <w:bCs/>
      <w:caps/>
      <w:kern w:val="32"/>
      <w:sz w:val="28"/>
      <w:szCs w:val="32"/>
      <w:lang w:val="en-GB"/>
    </w:rPr>
  </w:style>
  <w:style w:type="character" w:customStyle="1" w:styleId="BodyTextIndentChar">
    <w:name w:val="Body Text Indent Char"/>
    <w:link w:val="BodyTextIndent"/>
    <w:rsid w:val="00BA703E"/>
    <w:rPr>
      <w:lang w:val="en-GB"/>
    </w:rPr>
  </w:style>
  <w:style w:type="character" w:styleId="PlaceholderText">
    <w:name w:val="Placeholder Text"/>
    <w:basedOn w:val="DefaultParagraphFont"/>
    <w:uiPriority w:val="99"/>
    <w:semiHidden/>
    <w:rsid w:val="00726E9D"/>
    <w:rPr>
      <w:color w:val="808080"/>
    </w:rPr>
  </w:style>
  <w:style w:type="character" w:customStyle="1" w:styleId="FootnoteTextChar">
    <w:name w:val="Footnote Text Char"/>
    <w:link w:val="FootnoteText"/>
    <w:rsid w:val="00BA703E"/>
    <w:rPr>
      <w:sz w:val="16"/>
      <w:lang w:val="en-GB"/>
    </w:rPr>
  </w:style>
  <w:style w:type="character" w:customStyle="1" w:styleId="FigureCaptionChar">
    <w:name w:val="Figure Caption Char"/>
    <w:basedOn w:val="DefaultParagraphFont"/>
    <w:link w:val="FigureCaption"/>
    <w:rsid w:val="006F6BAA"/>
    <w:rPr>
      <w:szCs w:val="24"/>
      <w:lang w:val="en-GB"/>
    </w:rPr>
  </w:style>
  <w:style w:type="character" w:customStyle="1" w:styleId="CaptionChar">
    <w:name w:val="Caption Char"/>
    <w:basedOn w:val="FigureCaptionChar"/>
    <w:link w:val="Caption"/>
    <w:rsid w:val="004D15C1"/>
    <w:rPr>
      <w:rFonts w:ascii="Times" w:hAnsi="Times"/>
      <w:bCs/>
      <w:szCs w:val="24"/>
      <w:lang w:val="en-GB"/>
    </w:rPr>
  </w:style>
  <w:style w:type="table" w:styleId="TableGrid">
    <w:name w:val="Table Grid"/>
    <w:basedOn w:val="TableNormal"/>
    <w:uiPriority w:val="59"/>
    <w:rsid w:val="00AB5D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Normal"/>
    <w:link w:val="ClosingChar"/>
    <w:uiPriority w:val="99"/>
    <w:semiHidden/>
    <w:unhideWhenUsed/>
    <w:rsid w:val="00617974"/>
    <w:pPr>
      <w:ind w:left="4252"/>
    </w:pPr>
  </w:style>
  <w:style w:type="character" w:customStyle="1" w:styleId="ClosingChar">
    <w:name w:val="Closing Char"/>
    <w:basedOn w:val="DefaultParagraphFont"/>
    <w:link w:val="Closing"/>
    <w:uiPriority w:val="99"/>
    <w:semiHidden/>
    <w:rsid w:val="00617974"/>
    <w:rPr>
      <w:rFonts w:ascii="Times" w:hAnsi="Times"/>
      <w:szCs w:val="24"/>
      <w:lang w:val="en-GB"/>
    </w:rPr>
  </w:style>
  <w:style w:type="paragraph" w:customStyle="1" w:styleId="Style1">
    <w:name w:val="Style1"/>
    <w:basedOn w:val="Caption"/>
    <w:qFormat/>
    <w:rsid w:val="00B10A73"/>
  </w:style>
  <w:style w:type="paragraph" w:customStyle="1" w:styleId="Style2">
    <w:name w:val="Style2"/>
    <w:basedOn w:val="Caption"/>
    <w:qFormat/>
    <w:rsid w:val="00B10A73"/>
    <w:rPr>
      <w:b/>
    </w:rPr>
  </w:style>
  <w:style w:type="paragraph" w:customStyle="1" w:styleId="Style3">
    <w:name w:val="Style3"/>
    <w:basedOn w:val="Caption"/>
    <w:autoRedefine/>
    <w:qFormat/>
    <w:rsid w:val="00B10A73"/>
    <w:rPr>
      <w:b/>
    </w:rPr>
  </w:style>
  <w:style w:type="character" w:styleId="Emphasis">
    <w:name w:val="Emphasis"/>
    <w:basedOn w:val="DefaultParagraphFont"/>
    <w:uiPriority w:val="20"/>
    <w:qFormat/>
    <w:rsid w:val="00000DB8"/>
    <w:rPr>
      <w:i/>
      <w:iCs/>
    </w:rPr>
  </w:style>
  <w:style w:type="character" w:customStyle="1" w:styleId="Heading4Char">
    <w:name w:val="Heading 4 Char"/>
    <w:basedOn w:val="DefaultParagraphFont"/>
    <w:link w:val="Heading4"/>
    <w:uiPriority w:val="9"/>
    <w:semiHidden/>
    <w:rsid w:val="00042B73"/>
    <w:rPr>
      <w:rFonts w:asciiTheme="majorHAnsi" w:eastAsiaTheme="majorEastAsia" w:hAnsiTheme="majorHAnsi" w:cstheme="majorBidi"/>
      <w:b/>
      <w:bCs/>
      <w:i/>
      <w:iCs/>
      <w:color w:val="4F81BD" w:themeColor="accent1"/>
      <w:szCs w:val="24"/>
      <w:lang w:val="en-GB"/>
    </w:rPr>
  </w:style>
  <w:style w:type="paragraph" w:customStyle="1" w:styleId="JBodyTextIndent">
    <w:name w:val="J_Body Text Indent"/>
    <w:basedOn w:val="BodyTextIndent"/>
    <w:link w:val="JBodyTextIndentChar"/>
    <w:qFormat/>
    <w:rsid w:val="002E3F0A"/>
    <w:rPr>
      <w:kern w:val="16"/>
    </w:rPr>
  </w:style>
  <w:style w:type="paragraph" w:customStyle="1" w:styleId="JBodyTextNoIndent">
    <w:name w:val="J_Body Text No Indent"/>
    <w:basedOn w:val="JBodyTextIndent"/>
    <w:link w:val="JBodyTextNoIndentChar"/>
    <w:rsid w:val="002E3F0A"/>
    <w:pPr>
      <w:ind w:firstLine="0"/>
    </w:pPr>
  </w:style>
  <w:style w:type="character" w:customStyle="1" w:styleId="JBodyTextIndentChar">
    <w:name w:val="J_Body Text Indent Char"/>
    <w:basedOn w:val="BodyTextIndentChar"/>
    <w:link w:val="JBodyTextIndent"/>
    <w:rsid w:val="002E3F0A"/>
    <w:rPr>
      <w:kern w:val="16"/>
      <w:lang w:val="en-GB"/>
    </w:rPr>
  </w:style>
  <w:style w:type="character" w:customStyle="1" w:styleId="JBodyTextNoIndentChar">
    <w:name w:val="J_Body Text No Indent Char"/>
    <w:basedOn w:val="JBodyTextIndentChar"/>
    <w:link w:val="JBodyTextNoIndent"/>
    <w:rsid w:val="002E3F0A"/>
    <w:rPr>
      <w:kern w:val="16"/>
      <w:lang w:val="en-GB"/>
    </w:rPr>
  </w:style>
  <w:style w:type="paragraph" w:customStyle="1" w:styleId="JThird-levelHeading">
    <w:name w:val="J_Third-level Heading"/>
    <w:basedOn w:val="BodyTextIndent"/>
    <w:link w:val="JThird-levelHeadingChar"/>
    <w:qFormat/>
    <w:rsid w:val="000C7727"/>
    <w:pPr>
      <w:spacing w:before="120"/>
    </w:pPr>
    <w:rPr>
      <w:b/>
    </w:rPr>
  </w:style>
  <w:style w:type="character" w:customStyle="1" w:styleId="JThird-levelHeadingChar">
    <w:name w:val="J_Third-level Heading Char"/>
    <w:basedOn w:val="BodyTextIndentChar"/>
    <w:link w:val="JThird-levelHeading"/>
    <w:rsid w:val="000C7727"/>
    <w:rPr>
      <w:b/>
      <w:lang w:val="en-GB"/>
    </w:rPr>
  </w:style>
  <w:style w:type="paragraph" w:styleId="Bibliography">
    <w:name w:val="Bibliography"/>
    <w:basedOn w:val="Normal"/>
    <w:next w:val="Normal"/>
    <w:uiPriority w:val="37"/>
    <w:semiHidden/>
    <w:unhideWhenUsed/>
    <w:rsid w:val="00CA0E75"/>
  </w:style>
  <w:style w:type="paragraph" w:styleId="BlockText">
    <w:name w:val="Block Text"/>
    <w:basedOn w:val="Normal"/>
    <w:uiPriority w:val="99"/>
    <w:semiHidden/>
    <w:unhideWhenUsed/>
    <w:rsid w:val="00CA0E7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CA0E75"/>
    <w:pPr>
      <w:spacing w:after="120"/>
    </w:pPr>
  </w:style>
  <w:style w:type="character" w:customStyle="1" w:styleId="BodyTextChar">
    <w:name w:val="Body Text Char"/>
    <w:basedOn w:val="DefaultParagraphFont"/>
    <w:link w:val="BodyText"/>
    <w:uiPriority w:val="99"/>
    <w:semiHidden/>
    <w:rsid w:val="00CA0E75"/>
    <w:rPr>
      <w:rFonts w:ascii="Times" w:hAnsi="Times"/>
      <w:szCs w:val="24"/>
      <w:lang w:val="en-GB"/>
    </w:rPr>
  </w:style>
  <w:style w:type="paragraph" w:styleId="BodyText2">
    <w:name w:val="Body Text 2"/>
    <w:basedOn w:val="Normal"/>
    <w:link w:val="BodyText2Char"/>
    <w:uiPriority w:val="99"/>
    <w:semiHidden/>
    <w:unhideWhenUsed/>
    <w:rsid w:val="00CA0E75"/>
    <w:pPr>
      <w:spacing w:after="120" w:line="480" w:lineRule="auto"/>
    </w:pPr>
  </w:style>
  <w:style w:type="character" w:customStyle="1" w:styleId="BodyText2Char">
    <w:name w:val="Body Text 2 Char"/>
    <w:basedOn w:val="DefaultParagraphFont"/>
    <w:link w:val="BodyText2"/>
    <w:uiPriority w:val="99"/>
    <w:semiHidden/>
    <w:rsid w:val="00CA0E75"/>
    <w:rPr>
      <w:rFonts w:ascii="Times" w:hAnsi="Times"/>
      <w:szCs w:val="24"/>
      <w:lang w:val="en-GB"/>
    </w:rPr>
  </w:style>
  <w:style w:type="paragraph" w:styleId="BodyText3">
    <w:name w:val="Body Text 3"/>
    <w:basedOn w:val="Normal"/>
    <w:link w:val="BodyText3Char"/>
    <w:uiPriority w:val="99"/>
    <w:semiHidden/>
    <w:unhideWhenUsed/>
    <w:rsid w:val="00CA0E75"/>
    <w:pPr>
      <w:spacing w:after="120"/>
    </w:pPr>
    <w:rPr>
      <w:sz w:val="16"/>
      <w:szCs w:val="16"/>
    </w:rPr>
  </w:style>
  <w:style w:type="character" w:customStyle="1" w:styleId="BodyText3Char">
    <w:name w:val="Body Text 3 Char"/>
    <w:basedOn w:val="DefaultParagraphFont"/>
    <w:link w:val="BodyText3"/>
    <w:uiPriority w:val="99"/>
    <w:semiHidden/>
    <w:rsid w:val="00CA0E75"/>
    <w:rPr>
      <w:rFonts w:ascii="Times" w:hAnsi="Times"/>
      <w:sz w:val="16"/>
      <w:szCs w:val="16"/>
      <w:lang w:val="en-GB"/>
    </w:rPr>
  </w:style>
  <w:style w:type="paragraph" w:styleId="BodyTextFirstIndent">
    <w:name w:val="Body Text First Indent"/>
    <w:basedOn w:val="BodyText"/>
    <w:link w:val="BodyTextFirstIndentChar"/>
    <w:uiPriority w:val="99"/>
    <w:semiHidden/>
    <w:unhideWhenUsed/>
    <w:rsid w:val="00CA0E75"/>
    <w:pPr>
      <w:spacing w:after="0"/>
      <w:ind w:firstLine="360"/>
    </w:pPr>
  </w:style>
  <w:style w:type="character" w:customStyle="1" w:styleId="BodyTextFirstIndentChar">
    <w:name w:val="Body Text First Indent Char"/>
    <w:basedOn w:val="BodyTextChar"/>
    <w:link w:val="BodyTextFirstIndent"/>
    <w:uiPriority w:val="99"/>
    <w:semiHidden/>
    <w:rsid w:val="00CA0E75"/>
    <w:rPr>
      <w:rFonts w:ascii="Times" w:hAnsi="Times"/>
      <w:szCs w:val="24"/>
      <w:lang w:val="en-GB"/>
    </w:rPr>
  </w:style>
  <w:style w:type="paragraph" w:styleId="BodyTextFirstIndent2">
    <w:name w:val="Body Text First Indent 2"/>
    <w:basedOn w:val="BodyTextIndent"/>
    <w:link w:val="BodyTextFirstIndent2Char"/>
    <w:uiPriority w:val="99"/>
    <w:semiHidden/>
    <w:unhideWhenUsed/>
    <w:rsid w:val="00CA0E75"/>
    <w:pPr>
      <w:ind w:left="360" w:firstLine="360"/>
      <w:jc w:val="left"/>
    </w:pPr>
    <w:rPr>
      <w:rFonts w:ascii="Times" w:hAnsi="Times"/>
      <w:szCs w:val="24"/>
    </w:rPr>
  </w:style>
  <w:style w:type="character" w:customStyle="1" w:styleId="BodyTextFirstIndent2Char">
    <w:name w:val="Body Text First Indent 2 Char"/>
    <w:basedOn w:val="BodyTextIndentChar"/>
    <w:link w:val="BodyTextFirstIndent2"/>
    <w:uiPriority w:val="99"/>
    <w:semiHidden/>
    <w:rsid w:val="00CA0E75"/>
    <w:rPr>
      <w:rFonts w:ascii="Times" w:hAnsi="Times"/>
      <w:szCs w:val="24"/>
      <w:lang w:val="en-GB"/>
    </w:rPr>
  </w:style>
  <w:style w:type="paragraph" w:styleId="BodyTextIndent2">
    <w:name w:val="Body Text Indent 2"/>
    <w:basedOn w:val="Normal"/>
    <w:link w:val="BodyTextIndent2Char"/>
    <w:uiPriority w:val="99"/>
    <w:semiHidden/>
    <w:unhideWhenUsed/>
    <w:rsid w:val="00CA0E75"/>
    <w:pPr>
      <w:spacing w:after="120" w:line="480" w:lineRule="auto"/>
      <w:ind w:left="283"/>
    </w:pPr>
  </w:style>
  <w:style w:type="character" w:customStyle="1" w:styleId="BodyTextIndent2Char">
    <w:name w:val="Body Text Indent 2 Char"/>
    <w:basedOn w:val="DefaultParagraphFont"/>
    <w:link w:val="BodyTextIndent2"/>
    <w:uiPriority w:val="99"/>
    <w:semiHidden/>
    <w:rsid w:val="00CA0E75"/>
    <w:rPr>
      <w:rFonts w:ascii="Times" w:hAnsi="Times"/>
      <w:szCs w:val="24"/>
      <w:lang w:val="en-GB"/>
    </w:rPr>
  </w:style>
  <w:style w:type="paragraph" w:styleId="BodyTextIndent3">
    <w:name w:val="Body Text Indent 3"/>
    <w:basedOn w:val="Normal"/>
    <w:link w:val="BodyTextIndent3Char"/>
    <w:uiPriority w:val="99"/>
    <w:semiHidden/>
    <w:unhideWhenUsed/>
    <w:rsid w:val="00CA0E7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A0E75"/>
    <w:rPr>
      <w:rFonts w:ascii="Times" w:hAnsi="Times"/>
      <w:sz w:val="16"/>
      <w:szCs w:val="16"/>
      <w:lang w:val="en-GB"/>
    </w:rPr>
  </w:style>
  <w:style w:type="paragraph" w:styleId="Date">
    <w:name w:val="Date"/>
    <w:basedOn w:val="Normal"/>
    <w:next w:val="Normal"/>
    <w:link w:val="DateChar"/>
    <w:uiPriority w:val="99"/>
    <w:semiHidden/>
    <w:unhideWhenUsed/>
    <w:rsid w:val="00CA0E75"/>
  </w:style>
  <w:style w:type="character" w:customStyle="1" w:styleId="DateChar">
    <w:name w:val="Date Char"/>
    <w:basedOn w:val="DefaultParagraphFont"/>
    <w:link w:val="Date"/>
    <w:uiPriority w:val="99"/>
    <w:semiHidden/>
    <w:rsid w:val="00CA0E75"/>
    <w:rPr>
      <w:rFonts w:ascii="Times" w:hAnsi="Times"/>
      <w:szCs w:val="24"/>
      <w:lang w:val="en-GB"/>
    </w:rPr>
  </w:style>
  <w:style w:type="paragraph" w:styleId="DocumentMap">
    <w:name w:val="Document Map"/>
    <w:basedOn w:val="Normal"/>
    <w:link w:val="DocumentMapChar"/>
    <w:uiPriority w:val="99"/>
    <w:semiHidden/>
    <w:unhideWhenUsed/>
    <w:rsid w:val="00CA0E75"/>
    <w:rPr>
      <w:rFonts w:ascii="Tahoma" w:hAnsi="Tahoma" w:cs="Tahoma"/>
      <w:sz w:val="16"/>
      <w:szCs w:val="16"/>
    </w:rPr>
  </w:style>
  <w:style w:type="character" w:customStyle="1" w:styleId="DocumentMapChar">
    <w:name w:val="Document Map Char"/>
    <w:basedOn w:val="DefaultParagraphFont"/>
    <w:link w:val="DocumentMap"/>
    <w:uiPriority w:val="99"/>
    <w:semiHidden/>
    <w:rsid w:val="00CA0E75"/>
    <w:rPr>
      <w:rFonts w:ascii="Tahoma" w:hAnsi="Tahoma" w:cs="Tahoma"/>
      <w:sz w:val="16"/>
      <w:szCs w:val="16"/>
      <w:lang w:val="en-GB"/>
    </w:rPr>
  </w:style>
  <w:style w:type="paragraph" w:styleId="E-mailSignature">
    <w:name w:val="E-mail Signature"/>
    <w:basedOn w:val="Normal"/>
    <w:link w:val="E-mailSignatureChar"/>
    <w:uiPriority w:val="99"/>
    <w:semiHidden/>
    <w:unhideWhenUsed/>
    <w:rsid w:val="00CA0E75"/>
  </w:style>
  <w:style w:type="character" w:customStyle="1" w:styleId="E-mailSignatureChar">
    <w:name w:val="E-mail Signature Char"/>
    <w:basedOn w:val="DefaultParagraphFont"/>
    <w:link w:val="E-mailSignature"/>
    <w:uiPriority w:val="99"/>
    <w:semiHidden/>
    <w:rsid w:val="00CA0E75"/>
    <w:rPr>
      <w:rFonts w:ascii="Times" w:hAnsi="Times"/>
      <w:szCs w:val="24"/>
      <w:lang w:val="en-GB"/>
    </w:rPr>
  </w:style>
  <w:style w:type="paragraph" w:styleId="EndnoteText">
    <w:name w:val="endnote text"/>
    <w:basedOn w:val="Normal"/>
    <w:link w:val="EndnoteTextChar"/>
    <w:uiPriority w:val="99"/>
    <w:semiHidden/>
    <w:unhideWhenUsed/>
    <w:rsid w:val="00CA0E75"/>
    <w:rPr>
      <w:szCs w:val="20"/>
    </w:rPr>
  </w:style>
  <w:style w:type="character" w:customStyle="1" w:styleId="EndnoteTextChar">
    <w:name w:val="Endnote Text Char"/>
    <w:basedOn w:val="DefaultParagraphFont"/>
    <w:link w:val="EndnoteText"/>
    <w:uiPriority w:val="99"/>
    <w:semiHidden/>
    <w:rsid w:val="00CA0E75"/>
    <w:rPr>
      <w:rFonts w:ascii="Times" w:hAnsi="Times"/>
      <w:lang w:val="en-GB"/>
    </w:rPr>
  </w:style>
  <w:style w:type="paragraph" w:styleId="EnvelopeAddress">
    <w:name w:val="envelope address"/>
    <w:basedOn w:val="Normal"/>
    <w:uiPriority w:val="99"/>
    <w:semiHidden/>
    <w:unhideWhenUsed/>
    <w:rsid w:val="00CA0E75"/>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CA0E75"/>
    <w:rPr>
      <w:rFonts w:asciiTheme="majorHAnsi" w:eastAsiaTheme="majorEastAsia" w:hAnsiTheme="majorHAnsi" w:cstheme="majorBidi"/>
      <w:szCs w:val="20"/>
    </w:rPr>
  </w:style>
  <w:style w:type="paragraph" w:styleId="Footer">
    <w:name w:val="footer"/>
    <w:basedOn w:val="Normal"/>
    <w:link w:val="FooterChar"/>
    <w:uiPriority w:val="99"/>
    <w:unhideWhenUsed/>
    <w:rsid w:val="00CA0E75"/>
    <w:pPr>
      <w:tabs>
        <w:tab w:val="center" w:pos="4680"/>
        <w:tab w:val="right" w:pos="9360"/>
      </w:tabs>
    </w:pPr>
  </w:style>
  <w:style w:type="character" w:customStyle="1" w:styleId="FooterChar">
    <w:name w:val="Footer Char"/>
    <w:basedOn w:val="DefaultParagraphFont"/>
    <w:link w:val="Footer"/>
    <w:uiPriority w:val="99"/>
    <w:rsid w:val="00CA0E75"/>
    <w:rPr>
      <w:rFonts w:ascii="Times" w:hAnsi="Times"/>
      <w:szCs w:val="24"/>
      <w:lang w:val="en-GB"/>
    </w:rPr>
  </w:style>
  <w:style w:type="paragraph" w:styleId="Header">
    <w:name w:val="header"/>
    <w:basedOn w:val="Normal"/>
    <w:link w:val="HeaderChar"/>
    <w:uiPriority w:val="99"/>
    <w:unhideWhenUsed/>
    <w:rsid w:val="00CA0E75"/>
    <w:pPr>
      <w:tabs>
        <w:tab w:val="center" w:pos="4680"/>
        <w:tab w:val="right" w:pos="9360"/>
      </w:tabs>
    </w:pPr>
  </w:style>
  <w:style w:type="character" w:customStyle="1" w:styleId="HeaderChar">
    <w:name w:val="Header Char"/>
    <w:basedOn w:val="DefaultParagraphFont"/>
    <w:link w:val="Header"/>
    <w:uiPriority w:val="99"/>
    <w:rsid w:val="00CA0E75"/>
    <w:rPr>
      <w:rFonts w:ascii="Times" w:hAnsi="Times"/>
      <w:szCs w:val="24"/>
      <w:lang w:val="en-GB"/>
    </w:rPr>
  </w:style>
  <w:style w:type="character" w:customStyle="1" w:styleId="Heading5Char">
    <w:name w:val="Heading 5 Char"/>
    <w:basedOn w:val="DefaultParagraphFont"/>
    <w:link w:val="Heading5"/>
    <w:uiPriority w:val="9"/>
    <w:semiHidden/>
    <w:rsid w:val="00CA0E75"/>
    <w:rPr>
      <w:rFonts w:asciiTheme="majorHAnsi" w:eastAsiaTheme="majorEastAsia" w:hAnsiTheme="majorHAnsi" w:cstheme="majorBidi"/>
      <w:color w:val="243F60" w:themeColor="accent1" w:themeShade="7F"/>
      <w:szCs w:val="24"/>
      <w:lang w:val="en-GB"/>
    </w:rPr>
  </w:style>
  <w:style w:type="character" w:customStyle="1" w:styleId="Heading6Char">
    <w:name w:val="Heading 6 Char"/>
    <w:basedOn w:val="DefaultParagraphFont"/>
    <w:link w:val="Heading6"/>
    <w:uiPriority w:val="9"/>
    <w:semiHidden/>
    <w:rsid w:val="00CA0E75"/>
    <w:rPr>
      <w:rFonts w:asciiTheme="majorHAnsi" w:eastAsiaTheme="majorEastAsia" w:hAnsiTheme="majorHAnsi" w:cstheme="majorBidi"/>
      <w:i/>
      <w:iCs/>
      <w:color w:val="243F60" w:themeColor="accent1" w:themeShade="7F"/>
      <w:szCs w:val="24"/>
      <w:lang w:val="en-GB"/>
    </w:rPr>
  </w:style>
  <w:style w:type="character" w:customStyle="1" w:styleId="Heading7Char">
    <w:name w:val="Heading 7 Char"/>
    <w:basedOn w:val="DefaultParagraphFont"/>
    <w:link w:val="Heading7"/>
    <w:uiPriority w:val="9"/>
    <w:semiHidden/>
    <w:rsid w:val="00CA0E75"/>
    <w:rPr>
      <w:rFonts w:asciiTheme="majorHAnsi" w:eastAsiaTheme="majorEastAsia" w:hAnsiTheme="majorHAnsi" w:cstheme="majorBidi"/>
      <w:i/>
      <w:iCs/>
      <w:color w:val="404040" w:themeColor="text1" w:themeTint="BF"/>
      <w:szCs w:val="24"/>
      <w:lang w:val="en-GB"/>
    </w:rPr>
  </w:style>
  <w:style w:type="character" w:customStyle="1" w:styleId="Heading8Char">
    <w:name w:val="Heading 8 Char"/>
    <w:basedOn w:val="DefaultParagraphFont"/>
    <w:link w:val="Heading8"/>
    <w:uiPriority w:val="9"/>
    <w:semiHidden/>
    <w:rsid w:val="00CA0E75"/>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uiPriority w:val="9"/>
    <w:semiHidden/>
    <w:rsid w:val="00CA0E75"/>
    <w:rPr>
      <w:rFonts w:asciiTheme="majorHAnsi" w:eastAsiaTheme="majorEastAsia" w:hAnsiTheme="majorHAnsi" w:cstheme="majorBidi"/>
      <w:i/>
      <w:iCs/>
      <w:color w:val="404040" w:themeColor="text1" w:themeTint="BF"/>
      <w:lang w:val="en-GB"/>
    </w:rPr>
  </w:style>
  <w:style w:type="paragraph" w:styleId="HTMLAddress">
    <w:name w:val="HTML Address"/>
    <w:basedOn w:val="Normal"/>
    <w:link w:val="HTMLAddressChar"/>
    <w:uiPriority w:val="99"/>
    <w:semiHidden/>
    <w:unhideWhenUsed/>
    <w:rsid w:val="00CA0E75"/>
    <w:rPr>
      <w:i/>
      <w:iCs/>
    </w:rPr>
  </w:style>
  <w:style w:type="character" w:customStyle="1" w:styleId="HTMLAddressChar">
    <w:name w:val="HTML Address Char"/>
    <w:basedOn w:val="DefaultParagraphFont"/>
    <w:link w:val="HTMLAddress"/>
    <w:uiPriority w:val="99"/>
    <w:semiHidden/>
    <w:rsid w:val="00CA0E75"/>
    <w:rPr>
      <w:rFonts w:ascii="Times" w:hAnsi="Times"/>
      <w:i/>
      <w:iCs/>
      <w:szCs w:val="24"/>
      <w:lang w:val="en-GB"/>
    </w:rPr>
  </w:style>
  <w:style w:type="paragraph" w:styleId="HTMLPreformatted">
    <w:name w:val="HTML Preformatted"/>
    <w:basedOn w:val="Normal"/>
    <w:link w:val="HTMLPreformattedChar"/>
    <w:uiPriority w:val="99"/>
    <w:semiHidden/>
    <w:unhideWhenUsed/>
    <w:rsid w:val="00CA0E75"/>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CA0E75"/>
    <w:rPr>
      <w:rFonts w:ascii="Consolas" w:hAnsi="Consolas" w:cs="Consolas"/>
      <w:lang w:val="en-GB"/>
    </w:rPr>
  </w:style>
  <w:style w:type="paragraph" w:styleId="Index1">
    <w:name w:val="index 1"/>
    <w:basedOn w:val="Normal"/>
    <w:next w:val="Normal"/>
    <w:autoRedefine/>
    <w:uiPriority w:val="99"/>
    <w:semiHidden/>
    <w:unhideWhenUsed/>
    <w:rsid w:val="00CA0E75"/>
    <w:pPr>
      <w:ind w:left="200" w:hanging="200"/>
    </w:pPr>
  </w:style>
  <w:style w:type="paragraph" w:styleId="Index2">
    <w:name w:val="index 2"/>
    <w:basedOn w:val="Normal"/>
    <w:next w:val="Normal"/>
    <w:autoRedefine/>
    <w:uiPriority w:val="99"/>
    <w:semiHidden/>
    <w:unhideWhenUsed/>
    <w:rsid w:val="00CA0E75"/>
    <w:pPr>
      <w:ind w:left="400" w:hanging="200"/>
    </w:pPr>
  </w:style>
  <w:style w:type="paragraph" w:styleId="Index3">
    <w:name w:val="index 3"/>
    <w:basedOn w:val="Normal"/>
    <w:next w:val="Normal"/>
    <w:autoRedefine/>
    <w:uiPriority w:val="99"/>
    <w:semiHidden/>
    <w:unhideWhenUsed/>
    <w:rsid w:val="00CA0E75"/>
    <w:pPr>
      <w:ind w:left="600" w:hanging="200"/>
    </w:pPr>
  </w:style>
  <w:style w:type="paragraph" w:styleId="Index4">
    <w:name w:val="index 4"/>
    <w:basedOn w:val="Normal"/>
    <w:next w:val="Normal"/>
    <w:autoRedefine/>
    <w:uiPriority w:val="99"/>
    <w:semiHidden/>
    <w:unhideWhenUsed/>
    <w:rsid w:val="00CA0E75"/>
    <w:pPr>
      <w:ind w:left="800" w:hanging="200"/>
    </w:pPr>
  </w:style>
  <w:style w:type="paragraph" w:styleId="Index5">
    <w:name w:val="index 5"/>
    <w:basedOn w:val="Normal"/>
    <w:next w:val="Normal"/>
    <w:autoRedefine/>
    <w:uiPriority w:val="99"/>
    <w:semiHidden/>
    <w:unhideWhenUsed/>
    <w:rsid w:val="00CA0E75"/>
    <w:pPr>
      <w:ind w:left="1000" w:hanging="200"/>
    </w:pPr>
  </w:style>
  <w:style w:type="paragraph" w:styleId="Index6">
    <w:name w:val="index 6"/>
    <w:basedOn w:val="Normal"/>
    <w:next w:val="Normal"/>
    <w:autoRedefine/>
    <w:uiPriority w:val="99"/>
    <w:semiHidden/>
    <w:unhideWhenUsed/>
    <w:rsid w:val="00CA0E75"/>
    <w:pPr>
      <w:ind w:left="1200" w:hanging="200"/>
    </w:pPr>
  </w:style>
  <w:style w:type="paragraph" w:styleId="Index7">
    <w:name w:val="index 7"/>
    <w:basedOn w:val="Normal"/>
    <w:next w:val="Normal"/>
    <w:autoRedefine/>
    <w:uiPriority w:val="99"/>
    <w:semiHidden/>
    <w:unhideWhenUsed/>
    <w:rsid w:val="00CA0E75"/>
    <w:pPr>
      <w:ind w:left="1400" w:hanging="200"/>
    </w:pPr>
  </w:style>
  <w:style w:type="paragraph" w:styleId="Index8">
    <w:name w:val="index 8"/>
    <w:basedOn w:val="Normal"/>
    <w:next w:val="Normal"/>
    <w:autoRedefine/>
    <w:uiPriority w:val="99"/>
    <w:semiHidden/>
    <w:unhideWhenUsed/>
    <w:rsid w:val="00CA0E75"/>
    <w:pPr>
      <w:ind w:left="1600" w:hanging="200"/>
    </w:pPr>
  </w:style>
  <w:style w:type="paragraph" w:styleId="Index9">
    <w:name w:val="index 9"/>
    <w:basedOn w:val="Normal"/>
    <w:next w:val="Normal"/>
    <w:autoRedefine/>
    <w:uiPriority w:val="99"/>
    <w:semiHidden/>
    <w:unhideWhenUsed/>
    <w:rsid w:val="00CA0E75"/>
    <w:pPr>
      <w:ind w:left="1800" w:hanging="200"/>
    </w:pPr>
  </w:style>
  <w:style w:type="paragraph" w:styleId="IndexHeading">
    <w:name w:val="index heading"/>
    <w:basedOn w:val="Normal"/>
    <w:next w:val="Index1"/>
    <w:uiPriority w:val="99"/>
    <w:semiHidden/>
    <w:unhideWhenUsed/>
    <w:rsid w:val="00CA0E75"/>
    <w:rPr>
      <w:rFonts w:asciiTheme="majorHAnsi" w:eastAsiaTheme="majorEastAsia" w:hAnsiTheme="majorHAnsi" w:cstheme="majorBidi"/>
      <w:b/>
      <w:bCs/>
    </w:rPr>
  </w:style>
  <w:style w:type="paragraph" w:styleId="IntenseQuote">
    <w:name w:val="Intense Quote"/>
    <w:basedOn w:val="Normal"/>
    <w:next w:val="Normal"/>
    <w:link w:val="IntenseQuoteChar"/>
    <w:uiPriority w:val="99"/>
    <w:semiHidden/>
    <w:qFormat/>
    <w:rsid w:val="00CA0E7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99"/>
    <w:semiHidden/>
    <w:rsid w:val="00CA0E75"/>
    <w:rPr>
      <w:rFonts w:ascii="Times" w:hAnsi="Times"/>
      <w:b/>
      <w:bCs/>
      <w:i/>
      <w:iCs/>
      <w:color w:val="4F81BD" w:themeColor="accent1"/>
      <w:szCs w:val="24"/>
      <w:lang w:val="en-GB"/>
    </w:rPr>
  </w:style>
  <w:style w:type="paragraph" w:styleId="List">
    <w:name w:val="List"/>
    <w:basedOn w:val="Normal"/>
    <w:uiPriority w:val="99"/>
    <w:semiHidden/>
    <w:unhideWhenUsed/>
    <w:rsid w:val="00CA0E75"/>
    <w:pPr>
      <w:ind w:left="283" w:hanging="283"/>
      <w:contextualSpacing/>
    </w:pPr>
  </w:style>
  <w:style w:type="paragraph" w:styleId="List2">
    <w:name w:val="List 2"/>
    <w:basedOn w:val="Normal"/>
    <w:uiPriority w:val="99"/>
    <w:semiHidden/>
    <w:unhideWhenUsed/>
    <w:rsid w:val="00CA0E75"/>
    <w:pPr>
      <w:ind w:left="566" w:hanging="283"/>
      <w:contextualSpacing/>
    </w:pPr>
  </w:style>
  <w:style w:type="paragraph" w:styleId="List3">
    <w:name w:val="List 3"/>
    <w:basedOn w:val="Normal"/>
    <w:uiPriority w:val="99"/>
    <w:semiHidden/>
    <w:unhideWhenUsed/>
    <w:rsid w:val="00CA0E75"/>
    <w:pPr>
      <w:ind w:left="849" w:hanging="283"/>
      <w:contextualSpacing/>
    </w:pPr>
  </w:style>
  <w:style w:type="paragraph" w:styleId="List4">
    <w:name w:val="List 4"/>
    <w:basedOn w:val="Normal"/>
    <w:uiPriority w:val="99"/>
    <w:semiHidden/>
    <w:unhideWhenUsed/>
    <w:rsid w:val="00CA0E75"/>
    <w:pPr>
      <w:ind w:left="1132" w:hanging="283"/>
      <w:contextualSpacing/>
    </w:pPr>
  </w:style>
  <w:style w:type="paragraph" w:styleId="List5">
    <w:name w:val="List 5"/>
    <w:basedOn w:val="Normal"/>
    <w:uiPriority w:val="99"/>
    <w:semiHidden/>
    <w:unhideWhenUsed/>
    <w:rsid w:val="00CA0E75"/>
    <w:pPr>
      <w:ind w:left="1415" w:hanging="283"/>
      <w:contextualSpacing/>
    </w:pPr>
  </w:style>
  <w:style w:type="paragraph" w:styleId="ListBullet">
    <w:name w:val="List Bullet"/>
    <w:basedOn w:val="Normal"/>
    <w:uiPriority w:val="99"/>
    <w:semiHidden/>
    <w:unhideWhenUsed/>
    <w:rsid w:val="00CA0E75"/>
    <w:pPr>
      <w:numPr>
        <w:numId w:val="4"/>
      </w:numPr>
      <w:contextualSpacing/>
    </w:pPr>
  </w:style>
  <w:style w:type="paragraph" w:styleId="ListBullet2">
    <w:name w:val="List Bullet 2"/>
    <w:basedOn w:val="Normal"/>
    <w:uiPriority w:val="99"/>
    <w:semiHidden/>
    <w:unhideWhenUsed/>
    <w:rsid w:val="00CA0E75"/>
    <w:pPr>
      <w:numPr>
        <w:numId w:val="5"/>
      </w:numPr>
      <w:contextualSpacing/>
    </w:pPr>
  </w:style>
  <w:style w:type="paragraph" w:styleId="ListBullet3">
    <w:name w:val="List Bullet 3"/>
    <w:basedOn w:val="Normal"/>
    <w:uiPriority w:val="99"/>
    <w:semiHidden/>
    <w:unhideWhenUsed/>
    <w:rsid w:val="00CA0E75"/>
    <w:pPr>
      <w:numPr>
        <w:numId w:val="6"/>
      </w:numPr>
      <w:contextualSpacing/>
    </w:pPr>
  </w:style>
  <w:style w:type="paragraph" w:styleId="ListBullet4">
    <w:name w:val="List Bullet 4"/>
    <w:basedOn w:val="Normal"/>
    <w:uiPriority w:val="99"/>
    <w:semiHidden/>
    <w:unhideWhenUsed/>
    <w:rsid w:val="00CA0E75"/>
    <w:pPr>
      <w:numPr>
        <w:numId w:val="7"/>
      </w:numPr>
      <w:contextualSpacing/>
    </w:pPr>
  </w:style>
  <w:style w:type="paragraph" w:styleId="ListBullet5">
    <w:name w:val="List Bullet 5"/>
    <w:basedOn w:val="Normal"/>
    <w:uiPriority w:val="99"/>
    <w:semiHidden/>
    <w:unhideWhenUsed/>
    <w:rsid w:val="00CA0E75"/>
    <w:pPr>
      <w:numPr>
        <w:numId w:val="8"/>
      </w:numPr>
      <w:contextualSpacing/>
    </w:pPr>
  </w:style>
  <w:style w:type="paragraph" w:styleId="ListContinue">
    <w:name w:val="List Continue"/>
    <w:basedOn w:val="Normal"/>
    <w:uiPriority w:val="99"/>
    <w:semiHidden/>
    <w:unhideWhenUsed/>
    <w:rsid w:val="00CA0E75"/>
    <w:pPr>
      <w:spacing w:after="120"/>
      <w:ind w:left="283"/>
      <w:contextualSpacing/>
    </w:pPr>
  </w:style>
  <w:style w:type="paragraph" w:styleId="ListContinue2">
    <w:name w:val="List Continue 2"/>
    <w:basedOn w:val="Normal"/>
    <w:uiPriority w:val="99"/>
    <w:semiHidden/>
    <w:unhideWhenUsed/>
    <w:rsid w:val="00CA0E75"/>
    <w:pPr>
      <w:spacing w:after="120"/>
      <w:ind w:left="566"/>
      <w:contextualSpacing/>
    </w:pPr>
  </w:style>
  <w:style w:type="paragraph" w:styleId="ListContinue3">
    <w:name w:val="List Continue 3"/>
    <w:basedOn w:val="Normal"/>
    <w:uiPriority w:val="99"/>
    <w:semiHidden/>
    <w:unhideWhenUsed/>
    <w:rsid w:val="00CA0E75"/>
    <w:pPr>
      <w:spacing w:after="120"/>
      <w:ind w:left="849"/>
      <w:contextualSpacing/>
    </w:pPr>
  </w:style>
  <w:style w:type="paragraph" w:styleId="ListContinue4">
    <w:name w:val="List Continue 4"/>
    <w:basedOn w:val="Normal"/>
    <w:uiPriority w:val="99"/>
    <w:semiHidden/>
    <w:unhideWhenUsed/>
    <w:rsid w:val="00CA0E75"/>
    <w:pPr>
      <w:spacing w:after="120"/>
      <w:ind w:left="1132"/>
      <w:contextualSpacing/>
    </w:pPr>
  </w:style>
  <w:style w:type="paragraph" w:styleId="ListContinue5">
    <w:name w:val="List Continue 5"/>
    <w:basedOn w:val="Normal"/>
    <w:uiPriority w:val="99"/>
    <w:semiHidden/>
    <w:unhideWhenUsed/>
    <w:rsid w:val="00CA0E75"/>
    <w:pPr>
      <w:spacing w:after="120"/>
      <w:ind w:left="1415"/>
      <w:contextualSpacing/>
    </w:pPr>
  </w:style>
  <w:style w:type="paragraph" w:styleId="ListNumber">
    <w:name w:val="List Number"/>
    <w:basedOn w:val="Normal"/>
    <w:uiPriority w:val="99"/>
    <w:semiHidden/>
    <w:unhideWhenUsed/>
    <w:rsid w:val="00CA0E75"/>
    <w:pPr>
      <w:numPr>
        <w:numId w:val="9"/>
      </w:numPr>
      <w:contextualSpacing/>
    </w:pPr>
  </w:style>
  <w:style w:type="paragraph" w:styleId="ListNumber2">
    <w:name w:val="List Number 2"/>
    <w:basedOn w:val="Normal"/>
    <w:uiPriority w:val="99"/>
    <w:semiHidden/>
    <w:unhideWhenUsed/>
    <w:rsid w:val="00CA0E75"/>
    <w:pPr>
      <w:numPr>
        <w:numId w:val="10"/>
      </w:numPr>
      <w:contextualSpacing/>
    </w:pPr>
  </w:style>
  <w:style w:type="paragraph" w:styleId="ListNumber3">
    <w:name w:val="List Number 3"/>
    <w:basedOn w:val="Normal"/>
    <w:uiPriority w:val="99"/>
    <w:semiHidden/>
    <w:unhideWhenUsed/>
    <w:rsid w:val="00CA0E75"/>
    <w:pPr>
      <w:numPr>
        <w:numId w:val="11"/>
      </w:numPr>
      <w:contextualSpacing/>
    </w:pPr>
  </w:style>
  <w:style w:type="paragraph" w:styleId="ListNumber4">
    <w:name w:val="List Number 4"/>
    <w:basedOn w:val="Normal"/>
    <w:uiPriority w:val="99"/>
    <w:semiHidden/>
    <w:unhideWhenUsed/>
    <w:rsid w:val="00CA0E75"/>
    <w:pPr>
      <w:numPr>
        <w:numId w:val="12"/>
      </w:numPr>
      <w:contextualSpacing/>
    </w:pPr>
  </w:style>
  <w:style w:type="paragraph" w:styleId="ListNumber5">
    <w:name w:val="List Number 5"/>
    <w:basedOn w:val="Normal"/>
    <w:uiPriority w:val="99"/>
    <w:semiHidden/>
    <w:unhideWhenUsed/>
    <w:rsid w:val="00CA0E75"/>
    <w:pPr>
      <w:numPr>
        <w:numId w:val="13"/>
      </w:numPr>
      <w:contextualSpacing/>
    </w:pPr>
  </w:style>
  <w:style w:type="paragraph" w:styleId="ListParagraph">
    <w:name w:val="List Paragraph"/>
    <w:basedOn w:val="Normal"/>
    <w:uiPriority w:val="99"/>
    <w:semiHidden/>
    <w:qFormat/>
    <w:rsid w:val="00CA0E75"/>
    <w:pPr>
      <w:ind w:left="720"/>
      <w:contextualSpacing/>
    </w:pPr>
  </w:style>
  <w:style w:type="paragraph" w:styleId="MacroText">
    <w:name w:val="macro"/>
    <w:link w:val="MacroTextChar"/>
    <w:uiPriority w:val="99"/>
    <w:semiHidden/>
    <w:unhideWhenUsed/>
    <w:rsid w:val="00CA0E7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rPr>
  </w:style>
  <w:style w:type="character" w:customStyle="1" w:styleId="MacroTextChar">
    <w:name w:val="Macro Text Char"/>
    <w:basedOn w:val="DefaultParagraphFont"/>
    <w:link w:val="MacroText"/>
    <w:uiPriority w:val="99"/>
    <w:semiHidden/>
    <w:rsid w:val="00CA0E75"/>
    <w:rPr>
      <w:rFonts w:ascii="Consolas" w:hAnsi="Consolas" w:cs="Consolas"/>
      <w:lang w:val="en-GB"/>
    </w:rPr>
  </w:style>
  <w:style w:type="paragraph" w:styleId="MessageHeader">
    <w:name w:val="Message Header"/>
    <w:basedOn w:val="Normal"/>
    <w:link w:val="MessageHeaderChar"/>
    <w:uiPriority w:val="99"/>
    <w:semiHidden/>
    <w:unhideWhenUsed/>
    <w:rsid w:val="00CA0E7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CA0E75"/>
    <w:rPr>
      <w:rFonts w:asciiTheme="majorHAnsi" w:eastAsiaTheme="majorEastAsia" w:hAnsiTheme="majorHAnsi" w:cstheme="majorBidi"/>
      <w:sz w:val="24"/>
      <w:szCs w:val="24"/>
      <w:shd w:val="pct20" w:color="auto" w:fill="auto"/>
      <w:lang w:val="en-GB"/>
    </w:rPr>
  </w:style>
  <w:style w:type="paragraph" w:styleId="NoSpacing">
    <w:name w:val="No Spacing"/>
    <w:uiPriority w:val="99"/>
    <w:semiHidden/>
    <w:qFormat/>
    <w:rsid w:val="00CA0E75"/>
    <w:rPr>
      <w:rFonts w:ascii="Times" w:hAnsi="Times"/>
      <w:szCs w:val="24"/>
      <w:lang w:val="en-GB"/>
    </w:rPr>
  </w:style>
  <w:style w:type="paragraph" w:styleId="NormalIndent">
    <w:name w:val="Normal Indent"/>
    <w:basedOn w:val="Normal"/>
    <w:uiPriority w:val="99"/>
    <w:semiHidden/>
    <w:unhideWhenUsed/>
    <w:rsid w:val="00CA0E75"/>
    <w:pPr>
      <w:ind w:left="708"/>
    </w:pPr>
  </w:style>
  <w:style w:type="paragraph" w:styleId="NoteHeading">
    <w:name w:val="Note Heading"/>
    <w:basedOn w:val="Normal"/>
    <w:next w:val="Normal"/>
    <w:link w:val="NoteHeadingChar"/>
    <w:uiPriority w:val="99"/>
    <w:semiHidden/>
    <w:unhideWhenUsed/>
    <w:rsid w:val="00CA0E75"/>
  </w:style>
  <w:style w:type="character" w:customStyle="1" w:styleId="NoteHeadingChar">
    <w:name w:val="Note Heading Char"/>
    <w:basedOn w:val="DefaultParagraphFont"/>
    <w:link w:val="NoteHeading"/>
    <w:uiPriority w:val="99"/>
    <w:semiHidden/>
    <w:rsid w:val="00CA0E75"/>
    <w:rPr>
      <w:rFonts w:ascii="Times" w:hAnsi="Times"/>
      <w:szCs w:val="24"/>
      <w:lang w:val="en-GB"/>
    </w:rPr>
  </w:style>
  <w:style w:type="paragraph" w:styleId="PlainText">
    <w:name w:val="Plain Text"/>
    <w:basedOn w:val="Normal"/>
    <w:link w:val="PlainTextChar"/>
    <w:uiPriority w:val="99"/>
    <w:semiHidden/>
    <w:unhideWhenUsed/>
    <w:rsid w:val="00CA0E75"/>
    <w:rPr>
      <w:rFonts w:ascii="Consolas" w:hAnsi="Consolas" w:cs="Consolas"/>
      <w:sz w:val="21"/>
      <w:szCs w:val="21"/>
    </w:rPr>
  </w:style>
  <w:style w:type="character" w:customStyle="1" w:styleId="PlainTextChar">
    <w:name w:val="Plain Text Char"/>
    <w:basedOn w:val="DefaultParagraphFont"/>
    <w:link w:val="PlainText"/>
    <w:uiPriority w:val="99"/>
    <w:semiHidden/>
    <w:rsid w:val="00CA0E75"/>
    <w:rPr>
      <w:rFonts w:ascii="Consolas" w:hAnsi="Consolas" w:cs="Consolas"/>
      <w:sz w:val="21"/>
      <w:szCs w:val="21"/>
      <w:lang w:val="en-GB"/>
    </w:rPr>
  </w:style>
  <w:style w:type="paragraph" w:styleId="Quote">
    <w:name w:val="Quote"/>
    <w:basedOn w:val="Normal"/>
    <w:next w:val="Normal"/>
    <w:link w:val="QuoteChar"/>
    <w:uiPriority w:val="99"/>
    <w:semiHidden/>
    <w:qFormat/>
    <w:rsid w:val="00CA0E75"/>
    <w:rPr>
      <w:i/>
      <w:iCs/>
      <w:color w:val="000000" w:themeColor="text1"/>
    </w:rPr>
  </w:style>
  <w:style w:type="character" w:customStyle="1" w:styleId="QuoteChar">
    <w:name w:val="Quote Char"/>
    <w:basedOn w:val="DefaultParagraphFont"/>
    <w:link w:val="Quote"/>
    <w:uiPriority w:val="99"/>
    <w:semiHidden/>
    <w:rsid w:val="00CA0E75"/>
    <w:rPr>
      <w:rFonts w:ascii="Times" w:hAnsi="Times"/>
      <w:i/>
      <w:iCs/>
      <w:color w:val="000000" w:themeColor="text1"/>
      <w:szCs w:val="24"/>
      <w:lang w:val="en-GB"/>
    </w:rPr>
  </w:style>
  <w:style w:type="paragraph" w:styleId="Salutation">
    <w:name w:val="Salutation"/>
    <w:basedOn w:val="Normal"/>
    <w:next w:val="Normal"/>
    <w:link w:val="SalutationChar"/>
    <w:uiPriority w:val="99"/>
    <w:semiHidden/>
    <w:unhideWhenUsed/>
    <w:rsid w:val="00CA0E75"/>
  </w:style>
  <w:style w:type="character" w:customStyle="1" w:styleId="SalutationChar">
    <w:name w:val="Salutation Char"/>
    <w:basedOn w:val="DefaultParagraphFont"/>
    <w:link w:val="Salutation"/>
    <w:uiPriority w:val="99"/>
    <w:semiHidden/>
    <w:rsid w:val="00CA0E75"/>
    <w:rPr>
      <w:rFonts w:ascii="Times" w:hAnsi="Times"/>
      <w:szCs w:val="24"/>
      <w:lang w:val="en-GB"/>
    </w:rPr>
  </w:style>
  <w:style w:type="paragraph" w:styleId="Signature">
    <w:name w:val="Signature"/>
    <w:basedOn w:val="Normal"/>
    <w:link w:val="SignatureChar"/>
    <w:uiPriority w:val="99"/>
    <w:semiHidden/>
    <w:unhideWhenUsed/>
    <w:rsid w:val="00CA0E75"/>
    <w:pPr>
      <w:ind w:left="4252"/>
    </w:pPr>
  </w:style>
  <w:style w:type="character" w:customStyle="1" w:styleId="SignatureChar">
    <w:name w:val="Signature Char"/>
    <w:basedOn w:val="DefaultParagraphFont"/>
    <w:link w:val="Signature"/>
    <w:uiPriority w:val="99"/>
    <w:semiHidden/>
    <w:rsid w:val="00CA0E75"/>
    <w:rPr>
      <w:rFonts w:ascii="Times" w:hAnsi="Times"/>
      <w:szCs w:val="24"/>
      <w:lang w:val="en-GB"/>
    </w:rPr>
  </w:style>
  <w:style w:type="paragraph" w:styleId="Subtitle">
    <w:name w:val="Subtitle"/>
    <w:basedOn w:val="Normal"/>
    <w:next w:val="Normal"/>
    <w:link w:val="SubtitleChar"/>
    <w:uiPriority w:val="99"/>
    <w:semiHidden/>
    <w:qFormat/>
    <w:rsid w:val="00CA0E75"/>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99"/>
    <w:semiHidden/>
    <w:rsid w:val="00CA0E75"/>
    <w:rPr>
      <w:rFonts w:asciiTheme="majorHAnsi" w:eastAsiaTheme="majorEastAsia" w:hAnsiTheme="majorHAnsi" w:cstheme="majorBidi"/>
      <w:i/>
      <w:iCs/>
      <w:color w:val="4F81BD" w:themeColor="accent1"/>
      <w:spacing w:val="15"/>
      <w:sz w:val="24"/>
      <w:szCs w:val="24"/>
      <w:lang w:val="en-GB"/>
    </w:rPr>
  </w:style>
  <w:style w:type="paragraph" w:styleId="TableofAuthorities">
    <w:name w:val="table of authorities"/>
    <w:basedOn w:val="Normal"/>
    <w:next w:val="Normal"/>
    <w:uiPriority w:val="99"/>
    <w:semiHidden/>
    <w:unhideWhenUsed/>
    <w:rsid w:val="00CA0E75"/>
    <w:pPr>
      <w:ind w:left="200" w:hanging="200"/>
    </w:pPr>
  </w:style>
  <w:style w:type="paragraph" w:styleId="Title">
    <w:name w:val="Title"/>
    <w:basedOn w:val="Normal"/>
    <w:next w:val="Normal"/>
    <w:link w:val="TitleChar"/>
    <w:uiPriority w:val="99"/>
    <w:semiHidden/>
    <w:qFormat/>
    <w:rsid w:val="00CA0E7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semiHidden/>
    <w:rsid w:val="00CA0E75"/>
    <w:rPr>
      <w:rFonts w:asciiTheme="majorHAnsi" w:eastAsiaTheme="majorEastAsia" w:hAnsiTheme="majorHAnsi" w:cstheme="majorBidi"/>
      <w:color w:val="17365D" w:themeColor="text2" w:themeShade="BF"/>
      <w:spacing w:val="5"/>
      <w:kern w:val="28"/>
      <w:sz w:val="52"/>
      <w:szCs w:val="52"/>
      <w:lang w:val="en-GB"/>
    </w:rPr>
  </w:style>
  <w:style w:type="paragraph" w:styleId="TOAHeading">
    <w:name w:val="toa heading"/>
    <w:basedOn w:val="Normal"/>
    <w:next w:val="Normal"/>
    <w:uiPriority w:val="99"/>
    <w:semiHidden/>
    <w:unhideWhenUsed/>
    <w:rsid w:val="00CA0E75"/>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semiHidden/>
    <w:unhideWhenUsed/>
    <w:rsid w:val="00CA0E75"/>
    <w:pPr>
      <w:spacing w:after="100"/>
    </w:pPr>
  </w:style>
  <w:style w:type="paragraph" w:styleId="TOC2">
    <w:name w:val="toc 2"/>
    <w:basedOn w:val="Normal"/>
    <w:next w:val="Normal"/>
    <w:autoRedefine/>
    <w:uiPriority w:val="39"/>
    <w:semiHidden/>
    <w:unhideWhenUsed/>
    <w:rsid w:val="00CA0E75"/>
    <w:pPr>
      <w:spacing w:after="100"/>
      <w:ind w:left="200"/>
    </w:pPr>
  </w:style>
  <w:style w:type="paragraph" w:styleId="TOC3">
    <w:name w:val="toc 3"/>
    <w:basedOn w:val="Normal"/>
    <w:next w:val="Normal"/>
    <w:autoRedefine/>
    <w:uiPriority w:val="39"/>
    <w:semiHidden/>
    <w:unhideWhenUsed/>
    <w:rsid w:val="00CA0E75"/>
    <w:pPr>
      <w:spacing w:after="100"/>
      <w:ind w:left="400"/>
    </w:pPr>
  </w:style>
  <w:style w:type="paragraph" w:styleId="TOC4">
    <w:name w:val="toc 4"/>
    <w:basedOn w:val="Normal"/>
    <w:next w:val="Normal"/>
    <w:autoRedefine/>
    <w:uiPriority w:val="39"/>
    <w:semiHidden/>
    <w:unhideWhenUsed/>
    <w:rsid w:val="00CA0E75"/>
    <w:pPr>
      <w:spacing w:after="100"/>
      <w:ind w:left="600"/>
    </w:pPr>
  </w:style>
  <w:style w:type="paragraph" w:styleId="TOC5">
    <w:name w:val="toc 5"/>
    <w:basedOn w:val="Normal"/>
    <w:next w:val="Normal"/>
    <w:autoRedefine/>
    <w:uiPriority w:val="39"/>
    <w:semiHidden/>
    <w:unhideWhenUsed/>
    <w:rsid w:val="00CA0E75"/>
    <w:pPr>
      <w:spacing w:after="100"/>
      <w:ind w:left="800"/>
    </w:pPr>
  </w:style>
  <w:style w:type="paragraph" w:styleId="TOC6">
    <w:name w:val="toc 6"/>
    <w:basedOn w:val="Normal"/>
    <w:next w:val="Normal"/>
    <w:autoRedefine/>
    <w:uiPriority w:val="39"/>
    <w:semiHidden/>
    <w:unhideWhenUsed/>
    <w:rsid w:val="00CA0E75"/>
    <w:pPr>
      <w:spacing w:after="100"/>
      <w:ind w:left="1000"/>
    </w:pPr>
  </w:style>
  <w:style w:type="paragraph" w:styleId="TOC7">
    <w:name w:val="toc 7"/>
    <w:basedOn w:val="Normal"/>
    <w:next w:val="Normal"/>
    <w:autoRedefine/>
    <w:uiPriority w:val="39"/>
    <w:semiHidden/>
    <w:unhideWhenUsed/>
    <w:rsid w:val="00CA0E75"/>
    <w:pPr>
      <w:spacing w:after="100"/>
      <w:ind w:left="1200"/>
    </w:pPr>
  </w:style>
  <w:style w:type="paragraph" w:styleId="TOC8">
    <w:name w:val="toc 8"/>
    <w:basedOn w:val="Normal"/>
    <w:next w:val="Normal"/>
    <w:autoRedefine/>
    <w:uiPriority w:val="39"/>
    <w:semiHidden/>
    <w:unhideWhenUsed/>
    <w:rsid w:val="00CA0E75"/>
    <w:pPr>
      <w:spacing w:after="100"/>
      <w:ind w:left="1400"/>
    </w:pPr>
  </w:style>
  <w:style w:type="paragraph" w:styleId="TOC9">
    <w:name w:val="toc 9"/>
    <w:basedOn w:val="Normal"/>
    <w:next w:val="Normal"/>
    <w:autoRedefine/>
    <w:uiPriority w:val="39"/>
    <w:semiHidden/>
    <w:unhideWhenUsed/>
    <w:rsid w:val="00CA0E75"/>
    <w:pPr>
      <w:spacing w:after="100"/>
      <w:ind w:left="1600"/>
    </w:pPr>
  </w:style>
  <w:style w:type="paragraph" w:styleId="TOCHeading">
    <w:name w:val="TOC Heading"/>
    <w:basedOn w:val="Heading1"/>
    <w:next w:val="Normal"/>
    <w:uiPriority w:val="39"/>
    <w:semiHidden/>
    <w:unhideWhenUsed/>
    <w:qFormat/>
    <w:rsid w:val="00CA0E75"/>
    <w:pPr>
      <w:keepLines/>
      <w:spacing w:before="480" w:after="0"/>
      <w:jc w:val="left"/>
      <w:outlineLvl w:val="9"/>
    </w:pPr>
    <w:rPr>
      <w:rFonts w:asciiTheme="majorHAnsi" w:eastAsiaTheme="majorEastAsia" w:hAnsiTheme="majorHAnsi" w:cstheme="majorBidi"/>
      <w:caps w:val="0"/>
      <w:color w:val="365F91" w:themeColor="accent1" w:themeShade="BF"/>
      <w:kern w:val="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76218">
      <w:bodyDiv w:val="1"/>
      <w:marLeft w:val="0"/>
      <w:marRight w:val="0"/>
      <w:marTop w:val="0"/>
      <w:marBottom w:val="0"/>
      <w:divBdr>
        <w:top w:val="none" w:sz="0" w:space="0" w:color="auto"/>
        <w:left w:val="none" w:sz="0" w:space="0" w:color="auto"/>
        <w:bottom w:val="none" w:sz="0" w:space="0" w:color="auto"/>
        <w:right w:val="none" w:sz="0" w:space="0" w:color="auto"/>
      </w:divBdr>
    </w:div>
    <w:div w:id="49350821">
      <w:bodyDiv w:val="1"/>
      <w:marLeft w:val="0"/>
      <w:marRight w:val="0"/>
      <w:marTop w:val="0"/>
      <w:marBottom w:val="0"/>
      <w:divBdr>
        <w:top w:val="none" w:sz="0" w:space="0" w:color="auto"/>
        <w:left w:val="none" w:sz="0" w:space="0" w:color="auto"/>
        <w:bottom w:val="none" w:sz="0" w:space="0" w:color="auto"/>
        <w:right w:val="none" w:sz="0" w:space="0" w:color="auto"/>
      </w:divBdr>
    </w:div>
    <w:div w:id="252855729">
      <w:bodyDiv w:val="1"/>
      <w:marLeft w:val="0"/>
      <w:marRight w:val="0"/>
      <w:marTop w:val="0"/>
      <w:marBottom w:val="0"/>
      <w:divBdr>
        <w:top w:val="none" w:sz="0" w:space="0" w:color="auto"/>
        <w:left w:val="none" w:sz="0" w:space="0" w:color="auto"/>
        <w:bottom w:val="none" w:sz="0" w:space="0" w:color="auto"/>
        <w:right w:val="none" w:sz="0" w:space="0" w:color="auto"/>
      </w:divBdr>
    </w:div>
    <w:div w:id="1681200824">
      <w:bodyDiv w:val="1"/>
      <w:marLeft w:val="0"/>
      <w:marRight w:val="0"/>
      <w:marTop w:val="0"/>
      <w:marBottom w:val="0"/>
      <w:divBdr>
        <w:top w:val="none" w:sz="0" w:space="0" w:color="auto"/>
        <w:left w:val="none" w:sz="0" w:space="0" w:color="auto"/>
        <w:bottom w:val="none" w:sz="0" w:space="0" w:color="auto"/>
        <w:right w:val="none" w:sz="0" w:space="0" w:color="auto"/>
      </w:divBdr>
    </w:div>
    <w:div w:id="1781142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JCh15</b:Tag>
    <b:SourceType>ConferenceProceedings</b:SourceType>
    <b:Guid>{45316F22-FB22-4E2F-94CC-E64FF2C6AB1F}</b:Guid>
    <b:Title>Investiation of The</b:Title>
    <b:Year>2015</b:Year>
    <b:City>Melbourne, Australia</b:City>
    <b:Publisher>jacow.org</b:Publisher>
    <b:Author>
      <b:Author>
        <b:Corporate>J. Chirn</b:Corporate>
      </b:Author>
    </b:Author>
    <b:Pages>1--5</b:Pages>
    <b:ConferenceName>2015</b:ConferenceName>
    <b:LCID>en-US</b:LCID>
    <b:RefOrder>1</b:RefOrder>
  </b:Source>
</b:Sources>
</file>

<file path=customXml/itemProps1.xml><?xml version="1.0" encoding="utf-8"?>
<ds:datastoreItem xmlns:ds="http://schemas.openxmlformats.org/officeDocument/2006/customXml" ds:itemID="{8C723559-B418-4D29-B701-F9FABC4F9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1885</Words>
  <Characters>10746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Lekomtsev, Konstantin</dc:creator>
  <cp:lastModifiedBy>Brzozowska-Szczecina, Emilia</cp:lastModifiedBy>
  <cp:revision>2</cp:revision>
  <cp:lastPrinted>2017-05-09T13:59:00Z</cp:lastPrinted>
  <dcterms:created xsi:type="dcterms:W3CDTF">2017-08-08T07:54:00Z</dcterms:created>
  <dcterms:modified xsi:type="dcterms:W3CDTF">2017-08-08T07:54:00Z</dcterms:modified>
</cp:coreProperties>
</file>