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FD3F5" w14:textId="62FFA650" w:rsidR="00956F14" w:rsidRPr="00955C42" w:rsidRDefault="00956F14" w:rsidP="00081C94">
      <w:pPr>
        <w:pStyle w:val="NormalWeb"/>
        <w:shd w:val="clear" w:color="auto" w:fill="FFFFFF"/>
        <w:spacing w:before="0" w:beforeAutospacing="0" w:after="0" w:afterAutospacing="0" w:line="360" w:lineRule="auto"/>
        <w:ind w:firstLine="720"/>
        <w:jc w:val="center"/>
        <w:rPr>
          <w:rStyle w:val="Strong"/>
          <w:rFonts w:ascii="Arial" w:hAnsi="Arial" w:cs="Arial"/>
        </w:rPr>
      </w:pPr>
      <w:bookmarkStart w:id="0" w:name="_GoBack"/>
      <w:bookmarkEnd w:id="0"/>
      <w:r w:rsidRPr="00955C42">
        <w:rPr>
          <w:rStyle w:val="Strong"/>
          <w:rFonts w:ascii="Arial" w:hAnsi="Arial" w:cs="Arial"/>
        </w:rPr>
        <w:t xml:space="preserve">Putting </w:t>
      </w:r>
      <w:r w:rsidR="005C641F" w:rsidRPr="00955C42">
        <w:rPr>
          <w:rStyle w:val="Strong"/>
          <w:rFonts w:ascii="Arial" w:hAnsi="Arial" w:cs="Arial"/>
        </w:rPr>
        <w:t>P</w:t>
      </w:r>
      <w:r w:rsidRPr="00955C42">
        <w:rPr>
          <w:rStyle w:val="Strong"/>
          <w:rFonts w:ascii="Arial" w:hAnsi="Arial" w:cs="Arial"/>
        </w:rPr>
        <w:t xml:space="preserve">eople on the </w:t>
      </w:r>
      <w:r w:rsidR="005C641F" w:rsidRPr="00955C42">
        <w:rPr>
          <w:rStyle w:val="Strong"/>
          <w:rFonts w:ascii="Arial" w:hAnsi="Arial" w:cs="Arial"/>
        </w:rPr>
        <w:t>P</w:t>
      </w:r>
      <w:r w:rsidRPr="00955C42">
        <w:rPr>
          <w:rStyle w:val="Strong"/>
          <w:rFonts w:ascii="Arial" w:hAnsi="Arial" w:cs="Arial"/>
        </w:rPr>
        <w:t>age</w:t>
      </w:r>
      <w:r w:rsidR="00955C42" w:rsidRPr="00955C42">
        <w:rPr>
          <w:rStyle w:val="Strong"/>
          <w:rFonts w:ascii="Arial" w:hAnsi="Arial" w:cs="Arial"/>
        </w:rPr>
        <w:t xml:space="preserve">: </w:t>
      </w:r>
      <w:r w:rsidR="00955C42">
        <w:rPr>
          <w:rStyle w:val="Strong"/>
          <w:rFonts w:ascii="Arial" w:hAnsi="Arial" w:cs="Arial"/>
        </w:rPr>
        <w:t>M</w:t>
      </w:r>
      <w:r w:rsidR="00955C42" w:rsidRPr="00955C42">
        <w:rPr>
          <w:rStyle w:val="Strong"/>
          <w:rFonts w:ascii="Arial" w:hAnsi="Arial" w:cs="Arial"/>
        </w:rPr>
        <w:t xml:space="preserve">aterial </w:t>
      </w:r>
      <w:r w:rsidR="00955C42">
        <w:rPr>
          <w:rStyle w:val="Strong"/>
          <w:rFonts w:ascii="Arial" w:hAnsi="Arial" w:cs="Arial"/>
        </w:rPr>
        <w:t>C</w:t>
      </w:r>
      <w:r w:rsidR="00955C42" w:rsidRPr="00955C42">
        <w:rPr>
          <w:rStyle w:val="Strong"/>
          <w:rFonts w:ascii="Arial" w:hAnsi="Arial" w:cs="Arial"/>
        </w:rPr>
        <w:t xml:space="preserve">ulture </w:t>
      </w:r>
      <w:r w:rsidR="00955C42">
        <w:rPr>
          <w:rStyle w:val="Strong"/>
          <w:rFonts w:ascii="Arial" w:hAnsi="Arial" w:cs="Arial"/>
        </w:rPr>
        <w:t xml:space="preserve">as a </w:t>
      </w:r>
      <w:r w:rsidR="00E25951">
        <w:rPr>
          <w:rStyle w:val="Strong"/>
          <w:rFonts w:ascii="Arial" w:hAnsi="Arial" w:cs="Arial"/>
        </w:rPr>
        <w:t>way in</w:t>
      </w:r>
      <w:r w:rsidR="00955C42">
        <w:rPr>
          <w:rStyle w:val="Strong"/>
          <w:rFonts w:ascii="Arial" w:hAnsi="Arial" w:cs="Arial"/>
        </w:rPr>
        <w:t xml:space="preserve"> to E</w:t>
      </w:r>
      <w:r w:rsidR="00955C42" w:rsidRPr="00955C42">
        <w:rPr>
          <w:rStyle w:val="Strong"/>
          <w:rFonts w:ascii="Arial" w:hAnsi="Arial" w:cs="Arial"/>
        </w:rPr>
        <w:t xml:space="preserve">veryday </w:t>
      </w:r>
      <w:r w:rsidR="00955C42">
        <w:rPr>
          <w:rStyle w:val="Strong"/>
          <w:rFonts w:ascii="Arial" w:hAnsi="Arial" w:cs="Arial"/>
        </w:rPr>
        <w:t>L</w:t>
      </w:r>
      <w:r w:rsidR="00955C42" w:rsidRPr="00955C42">
        <w:rPr>
          <w:rStyle w:val="Strong"/>
          <w:rFonts w:ascii="Arial" w:hAnsi="Arial" w:cs="Arial"/>
        </w:rPr>
        <w:t xml:space="preserve">ife </w:t>
      </w:r>
      <w:r w:rsidR="00955C42">
        <w:rPr>
          <w:rStyle w:val="Strong"/>
          <w:rFonts w:ascii="Arial" w:hAnsi="Arial" w:cs="Arial"/>
        </w:rPr>
        <w:t>behind the Facades of</w:t>
      </w:r>
      <w:r w:rsidR="00955C42" w:rsidRPr="00955C42">
        <w:rPr>
          <w:rStyle w:val="Strong"/>
          <w:rFonts w:ascii="Arial" w:hAnsi="Arial" w:cs="Arial"/>
        </w:rPr>
        <w:t xml:space="preserve"> </w:t>
      </w:r>
      <w:r w:rsidR="00955C42" w:rsidRPr="00955C42">
        <w:rPr>
          <w:rFonts w:ascii="Arial" w:eastAsiaTheme="minorEastAsia" w:hAnsi="Arial" w:cs="Arial"/>
          <w:b/>
          <w:bCs/>
          <w:szCs w:val="28"/>
        </w:rPr>
        <w:t xml:space="preserve">Tallis’s </w:t>
      </w:r>
      <w:r w:rsidR="00955C42" w:rsidRPr="00955C42">
        <w:rPr>
          <w:rFonts w:ascii="Arial" w:eastAsiaTheme="minorEastAsia" w:hAnsi="Arial" w:cs="Arial"/>
          <w:b/>
          <w:bCs/>
          <w:i/>
          <w:szCs w:val="28"/>
        </w:rPr>
        <w:t xml:space="preserve">London Street Views </w:t>
      </w:r>
      <w:r w:rsidR="00092077" w:rsidRPr="00955C42">
        <w:rPr>
          <w:rStyle w:val="FootnoteReference"/>
          <w:rFonts w:ascii="Arial" w:hAnsi="Arial" w:cs="Arial"/>
          <w:b/>
          <w:bCs/>
        </w:rPr>
        <w:footnoteReference w:id="1"/>
      </w:r>
    </w:p>
    <w:p w14:paraId="7A031ED0" w14:textId="77777777" w:rsidR="00CE30F9" w:rsidRDefault="00CE30F9" w:rsidP="00081C94">
      <w:pPr>
        <w:pStyle w:val="NormalWeb"/>
        <w:shd w:val="clear" w:color="auto" w:fill="FFFFFF"/>
        <w:spacing w:before="0" w:beforeAutospacing="0" w:after="0" w:afterAutospacing="0" w:line="360" w:lineRule="auto"/>
        <w:ind w:firstLine="720"/>
        <w:jc w:val="center"/>
        <w:rPr>
          <w:rStyle w:val="Strong"/>
          <w:rFonts w:ascii="Arial" w:hAnsi="Arial" w:cs="Arial"/>
        </w:rPr>
      </w:pPr>
      <w:r>
        <w:rPr>
          <w:rStyle w:val="Strong"/>
          <w:rFonts w:ascii="Arial" w:hAnsi="Arial" w:cs="Arial"/>
        </w:rPr>
        <w:t>Lesley Hoskins</w:t>
      </w:r>
    </w:p>
    <w:p w14:paraId="18CAC744" w14:textId="77777777" w:rsidR="00BF483A" w:rsidRPr="000D0AE5" w:rsidRDefault="00BF483A" w:rsidP="00081C94">
      <w:pPr>
        <w:pStyle w:val="NormalWeb"/>
        <w:shd w:val="clear" w:color="auto" w:fill="FFFFFF"/>
        <w:spacing w:before="0" w:beforeAutospacing="0" w:after="0" w:afterAutospacing="0" w:line="360" w:lineRule="auto"/>
        <w:ind w:firstLine="720"/>
        <w:rPr>
          <w:rStyle w:val="Strong"/>
          <w:rFonts w:ascii="Arial" w:hAnsi="Arial" w:cs="Arial"/>
        </w:rPr>
      </w:pPr>
    </w:p>
    <w:p w14:paraId="364B371F" w14:textId="77777777" w:rsidR="00450BE9" w:rsidRPr="000D0AE5" w:rsidRDefault="00450BE9" w:rsidP="00081C94">
      <w:pPr>
        <w:autoSpaceDE w:val="0"/>
        <w:autoSpaceDN w:val="0"/>
        <w:adjustRightInd w:val="0"/>
        <w:rPr>
          <w:b/>
        </w:rPr>
      </w:pPr>
      <w:r w:rsidRPr="000D0AE5">
        <w:rPr>
          <w:b/>
        </w:rPr>
        <w:t>Introduction</w:t>
      </w:r>
    </w:p>
    <w:p w14:paraId="7E8E7BAC" w14:textId="3C23BB65" w:rsidR="0071428B" w:rsidRDefault="00993917" w:rsidP="007F1F2B">
      <w:pPr>
        <w:autoSpaceDE w:val="0"/>
        <w:autoSpaceDN w:val="0"/>
        <w:adjustRightInd w:val="0"/>
      </w:pPr>
      <w:r>
        <w:t xml:space="preserve">Elizabeth Grant has recently discussed </w:t>
      </w:r>
      <w:r w:rsidR="00955C42">
        <w:t xml:space="preserve">the contribution of </w:t>
      </w:r>
      <w:r>
        <w:t xml:space="preserve">John Tallis’s </w:t>
      </w:r>
      <w:r w:rsidRPr="00993917">
        <w:rPr>
          <w:i/>
        </w:rPr>
        <w:t>London Street Views</w:t>
      </w:r>
      <w:r>
        <w:t xml:space="preserve"> </w:t>
      </w:r>
      <w:r w:rsidR="00BF483A">
        <w:t xml:space="preserve">to </w:t>
      </w:r>
      <w:r w:rsidR="00E25951">
        <w:t>constructing</w:t>
      </w:r>
      <w:r w:rsidR="0025505E">
        <w:t xml:space="preserve"> </w:t>
      </w:r>
      <w:r w:rsidR="00454F7B">
        <w:t xml:space="preserve">the </w:t>
      </w:r>
      <w:r w:rsidR="008870AB">
        <w:t xml:space="preserve">mid-century </w:t>
      </w:r>
      <w:r w:rsidR="00454F7B">
        <w:t xml:space="preserve">metropolis </w:t>
      </w:r>
      <w:r w:rsidR="00A54488">
        <w:t xml:space="preserve">as a modern </w:t>
      </w:r>
      <w:r w:rsidR="00A13F52">
        <w:t xml:space="preserve">commercial </w:t>
      </w:r>
      <w:r w:rsidR="00A54488">
        <w:t xml:space="preserve">city </w:t>
      </w:r>
      <w:r w:rsidR="007A65C5">
        <w:t xml:space="preserve">and </w:t>
      </w:r>
      <w:r w:rsidR="00BF483A">
        <w:t>to</w:t>
      </w:r>
      <w:r w:rsidR="007A65C5">
        <w:t xml:space="preserve"> </w:t>
      </w:r>
      <w:r w:rsidR="00E25951">
        <w:t>forming</w:t>
      </w:r>
      <w:r w:rsidR="007A65C5">
        <w:t xml:space="preserve"> the social identities of its inhabitants, visitors</w:t>
      </w:r>
      <w:r w:rsidR="0071428B">
        <w:t>,</w:t>
      </w:r>
      <w:r w:rsidR="007A65C5">
        <w:t xml:space="preserve"> and would-be visitors. </w:t>
      </w:r>
      <w:r w:rsidR="007A65C5" w:rsidRPr="004F1327">
        <w:rPr>
          <w:i/>
        </w:rPr>
        <w:t>Views</w:t>
      </w:r>
      <w:r w:rsidR="007A65C5">
        <w:t xml:space="preserve"> </w:t>
      </w:r>
      <w:r w:rsidR="00BF483A">
        <w:t>presents</w:t>
      </w:r>
      <w:r w:rsidR="007A65C5">
        <w:t xml:space="preserve"> streets ‘densely packed with shops, warehouses, and manufacturers’</w:t>
      </w:r>
      <w:r w:rsidR="004F1327">
        <w:t xml:space="preserve"> and ‘in taking a virtual stroll through the capital’s great shopping precincts, viewers were able to engage in practices of consumption that produced London’s streets as lived spaces’. </w:t>
      </w:r>
      <w:r w:rsidR="0071428B">
        <w:t>She argues that, for contemporaries, t</w:t>
      </w:r>
      <w:r w:rsidR="004F1327">
        <w:t xml:space="preserve">he </w:t>
      </w:r>
      <w:r w:rsidR="0071428B">
        <w:t xml:space="preserve">stylised shop windows </w:t>
      </w:r>
      <w:r w:rsidR="00415356">
        <w:t xml:space="preserve">of </w:t>
      </w:r>
      <w:r w:rsidR="00415356" w:rsidRPr="00415356">
        <w:rPr>
          <w:i/>
        </w:rPr>
        <w:t>Views</w:t>
      </w:r>
      <w:r w:rsidR="00415356">
        <w:t xml:space="preserve"> </w:t>
      </w:r>
      <w:r w:rsidR="0071428B">
        <w:t>were an active encouragement to virtual consumption and that ‘far from being lifeless, Tallis’s empty streetscapes offer a stage on which the viewer’s imagination can play’.</w:t>
      </w:r>
      <w:r w:rsidR="006557FB">
        <w:rPr>
          <w:rStyle w:val="FootnoteReference"/>
        </w:rPr>
        <w:footnoteReference w:id="2"/>
      </w:r>
    </w:p>
    <w:p w14:paraId="15571A66" w14:textId="1A325255" w:rsidR="00356BB7" w:rsidRDefault="00BF483A" w:rsidP="00081C94">
      <w:pPr>
        <w:ind w:firstLine="720"/>
      </w:pPr>
      <w:r>
        <w:t>If</w:t>
      </w:r>
      <w:r w:rsidR="00145651">
        <w:t xml:space="preserve"> the blank shop windows </w:t>
      </w:r>
      <w:r w:rsidR="006557FB">
        <w:t xml:space="preserve">of </w:t>
      </w:r>
      <w:r w:rsidR="006557FB" w:rsidRPr="006557FB">
        <w:rPr>
          <w:i/>
        </w:rPr>
        <w:t>Views</w:t>
      </w:r>
      <w:r w:rsidR="006557FB">
        <w:t xml:space="preserve"> </w:t>
      </w:r>
      <w:r w:rsidR="00145651">
        <w:t xml:space="preserve">encourage imaginative entry, the blank frontages of the other premises </w:t>
      </w:r>
      <w:r w:rsidR="00852D9E">
        <w:t>–</w:t>
      </w:r>
      <w:r w:rsidR="00145651">
        <w:t xml:space="preserve"> the businesses, the warehouses and the manufactories</w:t>
      </w:r>
      <w:r w:rsidR="009E124C">
        <w:t xml:space="preserve"> – </w:t>
      </w:r>
      <w:r w:rsidR="008029BF">
        <w:t xml:space="preserve">also </w:t>
      </w:r>
      <w:r w:rsidR="009E124C">
        <w:t>encourage imaginative engagement with their interiors and activities</w:t>
      </w:r>
      <w:r w:rsidR="00145651">
        <w:t xml:space="preserve">. This, in itself, is a kind of pleasurable </w:t>
      </w:r>
      <w:r>
        <w:t xml:space="preserve">historical </w:t>
      </w:r>
      <w:r w:rsidR="00852D9E">
        <w:t>window-shopping but</w:t>
      </w:r>
      <w:r w:rsidR="00145651">
        <w:t xml:space="preserve"> </w:t>
      </w:r>
      <w:r w:rsidR="00852D9E">
        <w:t xml:space="preserve">the internal spaces of the buildings are of serious interest because here too </w:t>
      </w:r>
      <w:r w:rsidR="00145651">
        <w:t>identities were forged</w:t>
      </w:r>
      <w:r w:rsidR="00852D9E">
        <w:t>. The</w:t>
      </w:r>
      <w:r w:rsidR="003954DD">
        <w:t xml:space="preserve"> shape and nature of the environment</w:t>
      </w:r>
      <w:r w:rsidR="00145651">
        <w:t xml:space="preserve"> </w:t>
      </w:r>
      <w:r w:rsidR="00640FF3" w:rsidRPr="000D0AE5">
        <w:t>contribute</w:t>
      </w:r>
      <w:r w:rsidR="00145651">
        <w:t>d</w:t>
      </w:r>
      <w:r w:rsidR="00640FF3" w:rsidRPr="000D0AE5">
        <w:t xml:space="preserve"> to</w:t>
      </w:r>
      <w:r>
        <w:t xml:space="preserve">, and </w:t>
      </w:r>
      <w:r w:rsidR="00E25951">
        <w:t>was</w:t>
      </w:r>
      <w:r>
        <w:t xml:space="preserve"> employed in</w:t>
      </w:r>
      <w:r w:rsidR="007E1138">
        <w:t>,</w:t>
      </w:r>
      <w:r w:rsidR="00640FF3" w:rsidRPr="000D0AE5">
        <w:t xml:space="preserve"> </w:t>
      </w:r>
      <w:r w:rsidR="000A35E7">
        <w:t>as Lynda Nead has written, ‘</w:t>
      </w:r>
      <w:r w:rsidR="00640FF3" w:rsidRPr="000D0AE5">
        <w:t>an active ordering of social and cultural relations</w:t>
      </w:r>
      <w:r w:rsidR="0053677B">
        <w:t>’; this</w:t>
      </w:r>
      <w:r w:rsidR="000A35E7">
        <w:t xml:space="preserve"> applies indoors as </w:t>
      </w:r>
      <w:r w:rsidR="004B2DBD">
        <w:t xml:space="preserve">well as </w:t>
      </w:r>
      <w:r w:rsidR="000A35E7">
        <w:t>on the streets</w:t>
      </w:r>
      <w:r w:rsidR="00640FF3" w:rsidRPr="000D0AE5">
        <w:t>.</w:t>
      </w:r>
      <w:r w:rsidR="000A35E7">
        <w:rPr>
          <w:rStyle w:val="FootnoteReference"/>
        </w:rPr>
        <w:footnoteReference w:id="3"/>
      </w:r>
      <w:r w:rsidR="00640FF3" w:rsidRPr="000D0AE5">
        <w:t xml:space="preserve"> </w:t>
      </w:r>
      <w:r w:rsidR="007E1138">
        <w:t xml:space="preserve">Tallis stimulates our curiosity </w:t>
      </w:r>
      <w:r w:rsidR="003954DD">
        <w:t>about th</w:t>
      </w:r>
      <w:r w:rsidR="00E25951">
        <w:t>e</w:t>
      </w:r>
      <w:r w:rsidR="003954DD">
        <w:t xml:space="preserve"> life behind doors </w:t>
      </w:r>
      <w:r>
        <w:t xml:space="preserve">but readers today </w:t>
      </w:r>
      <w:r w:rsidR="007E1138">
        <w:t>h</w:t>
      </w:r>
      <w:r w:rsidR="00006F76" w:rsidRPr="000D0AE5">
        <w:t>ave to t</w:t>
      </w:r>
      <w:r w:rsidR="008A5C0D" w:rsidRPr="000D0AE5">
        <w:t>u</w:t>
      </w:r>
      <w:r w:rsidR="00006F76" w:rsidRPr="000D0AE5">
        <w:t>rn t</w:t>
      </w:r>
      <w:r w:rsidR="008A5C0D" w:rsidRPr="000D0AE5">
        <w:t>o</w:t>
      </w:r>
      <w:r w:rsidR="00006F76" w:rsidRPr="000D0AE5">
        <w:t xml:space="preserve"> other sources </w:t>
      </w:r>
      <w:r w:rsidR="003954DD">
        <w:t>to glimpse it</w:t>
      </w:r>
      <w:r w:rsidR="00006F76" w:rsidRPr="000D0AE5">
        <w:t xml:space="preserve">. </w:t>
      </w:r>
      <w:r w:rsidR="009B7C51">
        <w:t>Baldwin Hamey’s ‘London Street Views’ blog</w:t>
      </w:r>
      <w:r w:rsidR="006557FB">
        <w:t>, for example,</w:t>
      </w:r>
      <w:r w:rsidR="009B7C51">
        <w:t xml:space="preserve"> </w:t>
      </w:r>
      <w:r w:rsidR="00EC07F3">
        <w:t xml:space="preserve">helpfully </w:t>
      </w:r>
      <w:r w:rsidR="009372A6">
        <w:t>uses sources such as the census and newspaper accounts to trace</w:t>
      </w:r>
      <w:r w:rsidR="009B7C51">
        <w:t xml:space="preserve"> the biographies of many of the </w:t>
      </w:r>
      <w:r w:rsidR="004A68F9" w:rsidRPr="004A68F9">
        <w:rPr>
          <w:i/>
        </w:rPr>
        <w:t>Views</w:t>
      </w:r>
      <w:r w:rsidR="008361A0">
        <w:rPr>
          <w:i/>
        </w:rPr>
        <w:t>’</w:t>
      </w:r>
      <w:r w:rsidR="004A68F9">
        <w:t xml:space="preserve"> </w:t>
      </w:r>
      <w:r w:rsidR="009B7C51">
        <w:t>businesses and their occupants.</w:t>
      </w:r>
      <w:r w:rsidR="004A68F9">
        <w:rPr>
          <w:rStyle w:val="FootnoteReference"/>
        </w:rPr>
        <w:footnoteReference w:id="4"/>
      </w:r>
      <w:r w:rsidR="009B7C51">
        <w:t xml:space="preserve"> </w:t>
      </w:r>
      <w:r w:rsidR="008029BF">
        <w:t xml:space="preserve">Material culture is another </w:t>
      </w:r>
      <w:r w:rsidR="008029BF">
        <w:lastRenderedPageBreak/>
        <w:t>avenue. H</w:t>
      </w:r>
      <w:r w:rsidR="009E124C">
        <w:t>istorians often use household inventories</w:t>
      </w:r>
      <w:r w:rsidR="008029BF">
        <w:t xml:space="preserve">, with their listing of goods and spaces, </w:t>
      </w:r>
      <w:r w:rsidR="009E124C">
        <w:t xml:space="preserve">to throw light on </w:t>
      </w:r>
      <w:r w:rsidR="005B53CB">
        <w:t xml:space="preserve">the use and conceptualisation of </w:t>
      </w:r>
      <w:r w:rsidR="009E124C">
        <w:t xml:space="preserve">domestic </w:t>
      </w:r>
      <w:r w:rsidR="005B53CB">
        <w:t>space</w:t>
      </w:r>
      <w:r w:rsidR="00E25951">
        <w:t>;</w:t>
      </w:r>
      <w:r w:rsidR="008029BF">
        <w:t xml:space="preserve"> the </w:t>
      </w:r>
      <w:r w:rsidR="00C70333" w:rsidRPr="000D0AE5">
        <w:t xml:space="preserve">lucky chance of finding </w:t>
      </w:r>
      <w:r w:rsidR="005B53CB">
        <w:t>the</w:t>
      </w:r>
      <w:r w:rsidR="00C70333" w:rsidRPr="000D0AE5">
        <w:t xml:space="preserve"> inventory</w:t>
      </w:r>
      <w:r w:rsidR="005B53CB">
        <w:t xml:space="preserve"> of </w:t>
      </w:r>
      <w:r w:rsidR="009372A6">
        <w:t xml:space="preserve">a dentist who advertised in </w:t>
      </w:r>
      <w:r w:rsidR="005B53CB" w:rsidRPr="005B53CB">
        <w:rPr>
          <w:i/>
        </w:rPr>
        <w:t>Views</w:t>
      </w:r>
      <w:r w:rsidR="005B53CB">
        <w:t xml:space="preserve"> </w:t>
      </w:r>
      <w:r w:rsidR="00C70333" w:rsidRPr="000D0AE5">
        <w:t>gives the opportunity to populate and enliven one of Tallis’s ‘blank’ fa</w:t>
      </w:r>
      <w:r w:rsidR="008D0BA8">
        <w:t>c</w:t>
      </w:r>
      <w:r w:rsidR="00C70333" w:rsidRPr="000D0AE5">
        <w:t>ades</w:t>
      </w:r>
      <w:r w:rsidR="000A35E7">
        <w:t>.</w:t>
      </w:r>
      <w:r w:rsidR="00133414" w:rsidRPr="000D0AE5">
        <w:rPr>
          <w:rStyle w:val="FootnoteReference"/>
        </w:rPr>
        <w:footnoteReference w:id="5"/>
      </w:r>
      <w:r w:rsidR="00133414" w:rsidRPr="000D0AE5">
        <w:t xml:space="preserve"> </w:t>
      </w:r>
      <w:r w:rsidR="00235AAA">
        <w:t xml:space="preserve">In this article, the </w:t>
      </w:r>
      <w:r w:rsidR="009372A6">
        <w:t xml:space="preserve">dentist’s </w:t>
      </w:r>
      <w:r w:rsidR="00235AAA">
        <w:t xml:space="preserve">inventory is used </w:t>
      </w:r>
      <w:r w:rsidR="00235AAA" w:rsidRPr="000D0AE5">
        <w:t xml:space="preserve">to think about </w:t>
      </w:r>
      <w:r w:rsidR="000A35E7">
        <w:t>how the interior spaces were used, and by whom</w:t>
      </w:r>
      <w:r w:rsidR="00454F7B">
        <w:t xml:space="preserve"> –</w:t>
      </w:r>
      <w:r w:rsidR="004B2DBD">
        <w:t xml:space="preserve"> </w:t>
      </w:r>
      <w:r w:rsidR="00235AAA">
        <w:t xml:space="preserve">about </w:t>
      </w:r>
      <w:r w:rsidR="00356BB7" w:rsidRPr="000D0AE5">
        <w:t xml:space="preserve">the </w:t>
      </w:r>
      <w:r w:rsidR="00235AAA" w:rsidRPr="000D0AE5">
        <w:t>spatial</w:t>
      </w:r>
      <w:r w:rsidR="00454F7B">
        <w:t xml:space="preserve">, </w:t>
      </w:r>
      <w:r w:rsidR="00356BB7">
        <w:t>conceptual</w:t>
      </w:r>
      <w:r w:rsidR="0053677B">
        <w:t>,</w:t>
      </w:r>
      <w:r w:rsidR="00356BB7">
        <w:t xml:space="preserve"> </w:t>
      </w:r>
      <w:r w:rsidR="00454F7B">
        <w:t xml:space="preserve">and practical </w:t>
      </w:r>
      <w:r w:rsidR="00356BB7" w:rsidRPr="000D0AE5">
        <w:t xml:space="preserve">organisation </w:t>
      </w:r>
      <w:r w:rsidR="004B2DBD">
        <w:t xml:space="preserve">of </w:t>
      </w:r>
      <w:r w:rsidR="004B2DBD" w:rsidRPr="000D0AE5">
        <w:t xml:space="preserve">this </w:t>
      </w:r>
      <w:r w:rsidR="004B2DBD">
        <w:t xml:space="preserve">and similar </w:t>
      </w:r>
      <w:r w:rsidR="004B2DBD" w:rsidRPr="000D0AE5">
        <w:t>building</w:t>
      </w:r>
      <w:r w:rsidR="004B2DBD">
        <w:t xml:space="preserve">s </w:t>
      </w:r>
      <w:r w:rsidR="0054078F">
        <w:t xml:space="preserve">and </w:t>
      </w:r>
      <w:r w:rsidR="00454F7B">
        <w:t xml:space="preserve">about </w:t>
      </w:r>
      <w:r w:rsidR="0054078F">
        <w:t>the</w:t>
      </w:r>
      <w:r w:rsidR="00C24747">
        <w:t xml:space="preserve"> social and cultural relations</w:t>
      </w:r>
      <w:r w:rsidR="004B2DBD">
        <w:t xml:space="preserve"> thereby fostered and enacted</w:t>
      </w:r>
      <w:r w:rsidR="005B6269">
        <w:t>.</w:t>
      </w:r>
      <w:r w:rsidR="00BB3777">
        <w:t xml:space="preserve"> </w:t>
      </w:r>
      <w:r w:rsidR="00CB02D2">
        <w:t>I</w:t>
      </w:r>
      <w:r w:rsidR="005B6269">
        <w:t xml:space="preserve">n London’s commercial </w:t>
      </w:r>
      <w:r w:rsidR="00622DCA">
        <w:t>areas</w:t>
      </w:r>
      <w:r w:rsidR="00CB02D2">
        <w:t xml:space="preserve"> </w:t>
      </w:r>
      <w:r w:rsidR="00622DCA">
        <w:t xml:space="preserve">many </w:t>
      </w:r>
      <w:r w:rsidR="00447D04">
        <w:t>people resided above their shops or businesses. This was the case for the dentist</w:t>
      </w:r>
      <w:r w:rsidR="00622DCA">
        <w:t xml:space="preserve">, whose inventory </w:t>
      </w:r>
      <w:r w:rsidR="008870AB">
        <w:t>allows us to consider</w:t>
      </w:r>
      <w:r w:rsidR="00C24747">
        <w:t xml:space="preserve"> the </w:t>
      </w:r>
      <w:r w:rsidR="00622DCA">
        <w:t>relationship</w:t>
      </w:r>
      <w:r w:rsidR="00C24747">
        <w:t xml:space="preserve"> between domestic and business life at a time when social identity </w:t>
      </w:r>
      <w:r w:rsidR="0054078F">
        <w:t>is considered to have been</w:t>
      </w:r>
      <w:r w:rsidR="00C24747">
        <w:t xml:space="preserve"> </w:t>
      </w:r>
      <w:r w:rsidR="0054078F">
        <w:t>particularly</w:t>
      </w:r>
      <w:r w:rsidR="00C24747">
        <w:t xml:space="preserve"> closely linked with domestic arrangements </w:t>
      </w:r>
      <w:r w:rsidR="0054078F">
        <w:t xml:space="preserve">and when dentistry was more of a specialised service than a fully professionalised science. </w:t>
      </w:r>
      <w:r w:rsidR="004B2DBD">
        <w:t>The modernity of the city</w:t>
      </w:r>
      <w:r w:rsidR="004B2DBD" w:rsidRPr="00622DCA">
        <w:t xml:space="preserve"> </w:t>
      </w:r>
      <w:r w:rsidR="004B2DBD">
        <w:t xml:space="preserve">took place behind the facades as well as on the </w:t>
      </w:r>
      <w:r w:rsidR="00454F7B">
        <w:t>thoroughfares.</w:t>
      </w:r>
      <w:r w:rsidR="004B2DBD">
        <w:t xml:space="preserve"> Indeed, </w:t>
      </w:r>
      <w:r w:rsidR="00454F7B">
        <w:t xml:space="preserve">using the inventory in combination with Tallis’ carefully delineated streets, it can be seen that </w:t>
      </w:r>
      <w:r w:rsidR="004B2DBD">
        <w:t>outdoors and indoors were not entirely discrete.</w:t>
      </w:r>
    </w:p>
    <w:p w14:paraId="7F7E888F" w14:textId="700EE35D" w:rsidR="00901E1A" w:rsidRDefault="00CF18DF" w:rsidP="00081C94">
      <w:pPr>
        <w:ind w:firstLine="720"/>
      </w:pPr>
      <w:r w:rsidRPr="000D0AE5">
        <w:t xml:space="preserve">There are well-known problems with using </w:t>
      </w:r>
      <w:r w:rsidR="001F5D80">
        <w:t xml:space="preserve">household </w:t>
      </w:r>
      <w:r w:rsidRPr="000D0AE5">
        <w:t>inventor</w:t>
      </w:r>
      <w:r w:rsidR="001C4636" w:rsidRPr="000D0AE5">
        <w:t>ies</w:t>
      </w:r>
      <w:r w:rsidR="00433418" w:rsidRPr="000D0AE5">
        <w:t xml:space="preserve"> </w:t>
      </w:r>
      <w:r w:rsidR="005951C0" w:rsidRPr="000D0AE5">
        <w:t>as evidence for</w:t>
      </w:r>
      <w:r w:rsidR="00433418" w:rsidRPr="000D0AE5">
        <w:t xml:space="preserve"> daily life</w:t>
      </w:r>
      <w:r w:rsidRPr="000D0AE5">
        <w:t>.</w:t>
      </w:r>
      <w:r w:rsidRPr="000D0AE5">
        <w:rPr>
          <w:rStyle w:val="FootnoteReference"/>
        </w:rPr>
        <w:footnoteReference w:id="6"/>
      </w:r>
      <w:r w:rsidRPr="000D0AE5">
        <w:t xml:space="preserve"> </w:t>
      </w:r>
      <w:r w:rsidR="001C4636" w:rsidRPr="000D0AE5">
        <w:t>Nonetheless</w:t>
      </w:r>
      <w:r w:rsidR="003C529B" w:rsidRPr="000D0AE5">
        <w:t xml:space="preserve"> </w:t>
      </w:r>
      <w:r w:rsidR="001C4636" w:rsidRPr="000D0AE5">
        <w:t xml:space="preserve">the </w:t>
      </w:r>
      <w:r w:rsidR="003C529B" w:rsidRPr="000D0AE5">
        <w:t xml:space="preserve">goods </w:t>
      </w:r>
      <w:r w:rsidR="001F5D80">
        <w:t xml:space="preserve">that are listed </w:t>
      </w:r>
      <w:r w:rsidR="008361A0">
        <w:t xml:space="preserve">suggest </w:t>
      </w:r>
      <w:r w:rsidR="008D0BA8">
        <w:t xml:space="preserve">where items were kept and </w:t>
      </w:r>
      <w:r w:rsidR="006557FB">
        <w:t>wh</w:t>
      </w:r>
      <w:r w:rsidR="00D645E1">
        <w:t>at</w:t>
      </w:r>
      <w:r w:rsidR="006557FB">
        <w:t xml:space="preserve"> other objects they </w:t>
      </w:r>
      <w:r w:rsidR="007B6A68">
        <w:t>were associated with.</w:t>
      </w:r>
      <w:r w:rsidR="000D0AE5" w:rsidRPr="000D0AE5">
        <w:rPr>
          <w:rStyle w:val="FootnoteReference"/>
        </w:rPr>
        <w:footnoteReference w:id="7"/>
      </w:r>
      <w:r w:rsidR="000D0AE5" w:rsidRPr="000D0AE5">
        <w:rPr>
          <w:rStyle w:val="FootnoteReference"/>
        </w:rPr>
        <w:t xml:space="preserve"> </w:t>
      </w:r>
      <w:r w:rsidR="00A74334" w:rsidRPr="008935A0">
        <w:t>H</w:t>
      </w:r>
      <w:r w:rsidR="001C4636" w:rsidRPr="008935A0">
        <w:t xml:space="preserve">istorians have been increasingly turning </w:t>
      </w:r>
      <w:r w:rsidR="008870AB">
        <w:t xml:space="preserve">to </w:t>
      </w:r>
      <w:r w:rsidR="00E26D0E">
        <w:t>material culture</w:t>
      </w:r>
      <w:r w:rsidR="00DF76D2" w:rsidRPr="008935A0">
        <w:t xml:space="preserve"> </w:t>
      </w:r>
      <w:r w:rsidR="00244C18">
        <w:t xml:space="preserve">both </w:t>
      </w:r>
      <w:r w:rsidR="008361A0" w:rsidRPr="008935A0">
        <w:t xml:space="preserve">as </w:t>
      </w:r>
      <w:r w:rsidR="001C4636" w:rsidRPr="008935A0">
        <w:t xml:space="preserve">evidence of complex social relationships </w:t>
      </w:r>
      <w:r w:rsidR="00282873" w:rsidRPr="008935A0">
        <w:t>but</w:t>
      </w:r>
      <w:r w:rsidR="001C4636" w:rsidRPr="008935A0">
        <w:t xml:space="preserve"> </w:t>
      </w:r>
      <w:r w:rsidR="00DF76D2" w:rsidRPr="008935A0">
        <w:t xml:space="preserve">also </w:t>
      </w:r>
      <w:r w:rsidR="001C4636" w:rsidRPr="008935A0">
        <w:t xml:space="preserve">as </w:t>
      </w:r>
      <w:r w:rsidR="00DF76D2" w:rsidRPr="008935A0">
        <w:t>shap</w:t>
      </w:r>
      <w:r w:rsidR="00E25951">
        <w:t>ers of</w:t>
      </w:r>
      <w:r w:rsidR="001C4636" w:rsidRPr="008935A0">
        <w:t xml:space="preserve"> human experience</w:t>
      </w:r>
      <w:r w:rsidR="006557FB" w:rsidRPr="008935A0">
        <w:t>.</w:t>
      </w:r>
      <w:r w:rsidR="007B6A68" w:rsidRPr="008935A0">
        <w:rPr>
          <w:rStyle w:val="FootnoteReference"/>
        </w:rPr>
        <w:footnoteReference w:id="8"/>
      </w:r>
      <w:r w:rsidR="007B6A68" w:rsidRPr="008935A0">
        <w:rPr>
          <w:rStyle w:val="FootnoteReference"/>
        </w:rPr>
        <w:t xml:space="preserve"> </w:t>
      </w:r>
      <w:r w:rsidR="008A28EC" w:rsidRPr="000D0AE5">
        <w:t xml:space="preserve">The inventory </w:t>
      </w:r>
      <w:r w:rsidR="008361A0">
        <w:t xml:space="preserve">used here </w:t>
      </w:r>
      <w:r w:rsidR="008A28EC" w:rsidRPr="000D0AE5">
        <w:t>is very detailed</w:t>
      </w:r>
      <w:r w:rsidR="00674A52">
        <w:t xml:space="preserve">, </w:t>
      </w:r>
      <w:r w:rsidR="00674A52" w:rsidRPr="000D0AE5">
        <w:t>list</w:t>
      </w:r>
      <w:r w:rsidR="00674A52">
        <w:t>ing</w:t>
      </w:r>
      <w:r w:rsidR="00674A52" w:rsidRPr="000D0AE5">
        <w:t xml:space="preserve"> the possessions according to </w:t>
      </w:r>
      <w:r w:rsidR="006557FB">
        <w:t>their locations</w:t>
      </w:r>
      <w:r w:rsidR="000D0AE5">
        <w:t xml:space="preserve">. </w:t>
      </w:r>
      <w:r w:rsidR="007B6A68">
        <w:t xml:space="preserve">Drawing </w:t>
      </w:r>
      <w:r w:rsidR="0053677B">
        <w:t>on</w:t>
      </w:r>
      <w:r w:rsidR="007A3AA6" w:rsidRPr="000D0AE5">
        <w:t xml:space="preserve"> </w:t>
      </w:r>
      <w:r w:rsidR="0053677B">
        <w:t>additional</w:t>
      </w:r>
      <w:r w:rsidR="007A3AA6" w:rsidRPr="000D0AE5">
        <w:t xml:space="preserve"> documentary </w:t>
      </w:r>
      <w:r w:rsidR="008A28EC" w:rsidRPr="000D0AE5">
        <w:t xml:space="preserve">and </w:t>
      </w:r>
      <w:r w:rsidR="008A28EC" w:rsidRPr="000D0AE5">
        <w:lastRenderedPageBreak/>
        <w:t xml:space="preserve">contextual </w:t>
      </w:r>
      <w:r w:rsidR="007A3AA6" w:rsidRPr="000D0AE5">
        <w:t>information</w:t>
      </w:r>
      <w:r w:rsidR="007B6A68">
        <w:t>,</w:t>
      </w:r>
      <w:r w:rsidR="000D0AE5">
        <w:t xml:space="preserve"> </w:t>
      </w:r>
      <w:r w:rsidR="00244C18">
        <w:t>it</w:t>
      </w:r>
      <w:r w:rsidR="000D0AE5">
        <w:t xml:space="preserve"> </w:t>
      </w:r>
      <w:r w:rsidR="007A3AA6" w:rsidRPr="000D0AE5">
        <w:t xml:space="preserve">can be interpreted to build a </w:t>
      </w:r>
      <w:r w:rsidR="006F2CE1">
        <w:t xml:space="preserve">plausible – though not definitive – </w:t>
      </w:r>
      <w:r w:rsidR="007A3AA6" w:rsidRPr="000D0AE5">
        <w:t xml:space="preserve">picture of </w:t>
      </w:r>
      <w:r w:rsidR="007B6A68">
        <w:t xml:space="preserve">the owner’s </w:t>
      </w:r>
      <w:r w:rsidR="007A3AA6" w:rsidRPr="000D0AE5">
        <w:t xml:space="preserve">everyday life, </w:t>
      </w:r>
      <w:r w:rsidR="000D0AE5">
        <w:t xml:space="preserve">in </w:t>
      </w:r>
      <w:r w:rsidR="007A3AA6" w:rsidRPr="000D0AE5">
        <w:t xml:space="preserve">both </w:t>
      </w:r>
      <w:r w:rsidR="000D0AE5">
        <w:t xml:space="preserve">its </w:t>
      </w:r>
      <w:r w:rsidR="007A3AA6" w:rsidRPr="000D0AE5">
        <w:t xml:space="preserve">professional and </w:t>
      </w:r>
      <w:r w:rsidR="00955717" w:rsidRPr="000D0AE5">
        <w:t>familial household</w:t>
      </w:r>
      <w:r w:rsidR="000D0AE5">
        <w:t xml:space="preserve"> aspects</w:t>
      </w:r>
      <w:r w:rsidR="00674A52">
        <w:t xml:space="preserve">, with glimpses of </w:t>
      </w:r>
      <w:r w:rsidR="00C70333" w:rsidRPr="000D0AE5">
        <w:t xml:space="preserve">his patients, </w:t>
      </w:r>
      <w:r w:rsidR="00132A1E" w:rsidRPr="000D0AE5">
        <w:t xml:space="preserve">his </w:t>
      </w:r>
      <w:r w:rsidR="00C70333" w:rsidRPr="000D0AE5">
        <w:t xml:space="preserve">family, </w:t>
      </w:r>
      <w:r w:rsidR="00132A1E" w:rsidRPr="000D0AE5">
        <w:t xml:space="preserve">his </w:t>
      </w:r>
      <w:r w:rsidR="00C70333" w:rsidRPr="000D0AE5">
        <w:t xml:space="preserve">servants, </w:t>
      </w:r>
      <w:r w:rsidR="00132A1E" w:rsidRPr="000D0AE5">
        <w:t xml:space="preserve">his </w:t>
      </w:r>
      <w:r w:rsidR="00C70333" w:rsidRPr="000D0AE5">
        <w:t xml:space="preserve">apprentice, and </w:t>
      </w:r>
      <w:r w:rsidR="00132A1E" w:rsidRPr="000D0AE5">
        <w:t xml:space="preserve">his </w:t>
      </w:r>
      <w:r w:rsidR="00C70333" w:rsidRPr="000D0AE5">
        <w:t>neighbours</w:t>
      </w:r>
      <w:r w:rsidR="00674A52">
        <w:t>.</w:t>
      </w:r>
      <w:r w:rsidR="00132A1E" w:rsidRPr="000D0AE5">
        <w:t xml:space="preserve"> </w:t>
      </w:r>
    </w:p>
    <w:p w14:paraId="11C8AF66" w14:textId="4F4AA563" w:rsidR="00955717" w:rsidRDefault="00740B74" w:rsidP="00081C94">
      <w:pPr>
        <w:ind w:firstLine="720"/>
      </w:pPr>
      <w:r w:rsidRPr="000D0AE5">
        <w:t>Increasing s</w:t>
      </w:r>
      <w:r w:rsidR="006B3414" w:rsidRPr="000D0AE5">
        <w:t>pecialisation and segregation ha</w:t>
      </w:r>
      <w:r w:rsidR="001F5D80">
        <w:t>ve</w:t>
      </w:r>
      <w:r w:rsidR="006B3414" w:rsidRPr="000D0AE5">
        <w:t xml:space="preserve"> been identified </w:t>
      </w:r>
      <w:r w:rsidRPr="000D0AE5">
        <w:t xml:space="preserve">as </w:t>
      </w:r>
      <w:r w:rsidR="00674A52">
        <w:t xml:space="preserve">key </w:t>
      </w:r>
      <w:r w:rsidRPr="000D0AE5">
        <w:t>feature</w:t>
      </w:r>
      <w:r w:rsidR="001F5D80">
        <w:t>s</w:t>
      </w:r>
      <w:r w:rsidRPr="000D0AE5">
        <w:t xml:space="preserve"> </w:t>
      </w:r>
      <w:r w:rsidR="0012629C">
        <w:t xml:space="preserve">of </w:t>
      </w:r>
      <w:r w:rsidR="00674A52">
        <w:t xml:space="preserve">nineteenth-century </w:t>
      </w:r>
      <w:r w:rsidRPr="000D0AE5">
        <w:t xml:space="preserve">residential </w:t>
      </w:r>
      <w:r w:rsidR="00244C18">
        <w:t>life</w:t>
      </w:r>
      <w:r w:rsidRPr="000D0AE5">
        <w:t>.</w:t>
      </w:r>
      <w:r w:rsidRPr="000D0AE5">
        <w:rPr>
          <w:rStyle w:val="FootnoteReference"/>
        </w:rPr>
        <w:footnoteReference w:id="9"/>
      </w:r>
      <w:r w:rsidRPr="000D0AE5">
        <w:t xml:space="preserve"> </w:t>
      </w:r>
      <w:r w:rsidR="00244C18">
        <w:t>Particular</w:t>
      </w:r>
      <w:r w:rsidR="007B6A68">
        <w:t xml:space="preserve"> </w:t>
      </w:r>
      <w:r w:rsidR="00435AF3">
        <w:t xml:space="preserve">domestic </w:t>
      </w:r>
      <w:r w:rsidR="007B6A68">
        <w:t xml:space="preserve">spatial arrangements have been seen as fundamental to </w:t>
      </w:r>
      <w:r w:rsidR="003954DD">
        <w:t xml:space="preserve">the formation of </w:t>
      </w:r>
      <w:r w:rsidR="007B6A68">
        <w:t xml:space="preserve">a new shared </w:t>
      </w:r>
      <w:r w:rsidR="003954DD">
        <w:t>middle</w:t>
      </w:r>
      <w:r w:rsidR="007B6A68">
        <w:t>-</w:t>
      </w:r>
      <w:r w:rsidR="003954DD">
        <w:t xml:space="preserve">class </w:t>
      </w:r>
      <w:r w:rsidR="007B6A68">
        <w:t xml:space="preserve">cultural and social </w:t>
      </w:r>
      <w:r w:rsidR="003954DD">
        <w:t xml:space="preserve">identity </w:t>
      </w:r>
      <w:r w:rsidR="007B6A68">
        <w:t>in the late eighteenth and early nineteenth centuries</w:t>
      </w:r>
      <w:r w:rsidR="008E2D29">
        <w:t>.</w:t>
      </w:r>
      <w:r w:rsidR="003954DD">
        <w:rPr>
          <w:rStyle w:val="FootnoteReference"/>
        </w:rPr>
        <w:footnoteReference w:id="10"/>
      </w:r>
      <w:r w:rsidR="003954DD">
        <w:t xml:space="preserve"> </w:t>
      </w:r>
      <w:r w:rsidRPr="000D0AE5">
        <w:t xml:space="preserve">One </w:t>
      </w:r>
      <w:r w:rsidR="0012629C">
        <w:t xml:space="preserve">important </w:t>
      </w:r>
      <w:r w:rsidR="0025505E">
        <w:t>division</w:t>
      </w:r>
      <w:r w:rsidR="00DF76D2" w:rsidRPr="000D0AE5">
        <w:t xml:space="preserve"> </w:t>
      </w:r>
      <w:r w:rsidR="0012629C">
        <w:t xml:space="preserve">was </w:t>
      </w:r>
      <w:r w:rsidR="00761A4D">
        <w:t xml:space="preserve">that </w:t>
      </w:r>
      <w:r w:rsidR="00244C18">
        <w:t>between</w:t>
      </w:r>
      <w:r w:rsidRPr="000D0AE5">
        <w:t xml:space="preserve"> ‘home’ and ‘work’</w:t>
      </w:r>
      <w:r w:rsidR="0012629C">
        <w:t xml:space="preserve">, most effectively achieved where the two were </w:t>
      </w:r>
      <w:r w:rsidR="007B6A68">
        <w:t xml:space="preserve">located </w:t>
      </w:r>
      <w:r w:rsidR="0012629C">
        <w:t>in physically separate premises</w:t>
      </w:r>
      <w:r w:rsidRPr="000D0AE5">
        <w:t xml:space="preserve">. </w:t>
      </w:r>
      <w:r w:rsidR="0012629C">
        <w:t>But w</w:t>
      </w:r>
      <w:r w:rsidR="006B3414" w:rsidRPr="000D0AE5">
        <w:t>hen</w:t>
      </w:r>
      <w:r w:rsidRPr="000D0AE5">
        <w:t>,</w:t>
      </w:r>
      <w:r w:rsidR="006B3414" w:rsidRPr="000D0AE5">
        <w:t xml:space="preserve"> as </w:t>
      </w:r>
      <w:r w:rsidR="0012629C">
        <w:t xml:space="preserve">often </w:t>
      </w:r>
      <w:r w:rsidR="006B3414" w:rsidRPr="000D0AE5">
        <w:t>continued to be the case</w:t>
      </w:r>
      <w:r w:rsidR="0012629C">
        <w:t xml:space="preserve"> – and as was the case for our dentist – economically productive </w:t>
      </w:r>
      <w:r w:rsidR="006B3414" w:rsidRPr="000D0AE5">
        <w:t xml:space="preserve">work and </w:t>
      </w:r>
      <w:r w:rsidR="0012629C">
        <w:t>residence</w:t>
      </w:r>
      <w:r w:rsidR="006B3414" w:rsidRPr="000D0AE5">
        <w:t xml:space="preserve"> </w:t>
      </w:r>
      <w:r w:rsidR="0012629C">
        <w:t>were located in the same building</w:t>
      </w:r>
      <w:r w:rsidR="006B3414" w:rsidRPr="000D0AE5">
        <w:t xml:space="preserve">, it has been </w:t>
      </w:r>
      <w:r w:rsidR="0012629C">
        <w:t xml:space="preserve">argued </w:t>
      </w:r>
      <w:r w:rsidR="006B3414" w:rsidRPr="000D0AE5">
        <w:t xml:space="preserve">that, at least for the middle classes, work and home </w:t>
      </w:r>
      <w:r w:rsidR="0012629C">
        <w:t xml:space="preserve">were allocated </w:t>
      </w:r>
      <w:r w:rsidR="006B3414" w:rsidRPr="000D0AE5">
        <w:t>distinct spaces.</w:t>
      </w:r>
      <w:r w:rsidR="006B3414" w:rsidRPr="000D0AE5">
        <w:rPr>
          <w:rStyle w:val="FootnoteReference"/>
        </w:rPr>
        <w:footnoteReference w:id="11"/>
      </w:r>
      <w:r w:rsidR="006B3414" w:rsidRPr="000D0AE5">
        <w:t xml:space="preserve"> </w:t>
      </w:r>
      <w:r w:rsidR="0054625D">
        <w:t xml:space="preserve">The home/work </w:t>
      </w:r>
      <w:r w:rsidR="00761A4D">
        <w:t xml:space="preserve">separation </w:t>
      </w:r>
      <w:r w:rsidR="00931537">
        <w:t>has been</w:t>
      </w:r>
      <w:r w:rsidR="0054625D">
        <w:t xml:space="preserve"> </w:t>
      </w:r>
      <w:r w:rsidR="00931537">
        <w:t xml:space="preserve">understood, by both contemporaries and historians, </w:t>
      </w:r>
      <w:r w:rsidR="0054625D">
        <w:t xml:space="preserve">in terms of </w:t>
      </w:r>
      <w:r w:rsidR="00A27F15">
        <w:t>a</w:t>
      </w:r>
      <w:r w:rsidR="00A27F15" w:rsidRPr="000D0AE5">
        <w:t xml:space="preserve"> continuum of ‘public’ and ‘private’</w:t>
      </w:r>
      <w:r w:rsidR="00A27F15">
        <w:t xml:space="preserve"> space </w:t>
      </w:r>
      <w:r w:rsidR="0054625D">
        <w:t xml:space="preserve">– the </w:t>
      </w:r>
      <w:r w:rsidR="00A27F15">
        <w:t xml:space="preserve">extent to which </w:t>
      </w:r>
      <w:r w:rsidR="00A14A48">
        <w:t xml:space="preserve">access to </w:t>
      </w:r>
      <w:r w:rsidR="0054625D">
        <w:t xml:space="preserve">the residence or parts of the residence </w:t>
      </w:r>
      <w:r w:rsidR="00A27F15">
        <w:t xml:space="preserve">could be </w:t>
      </w:r>
      <w:r w:rsidR="00A14A48">
        <w:t>controlled</w:t>
      </w:r>
      <w:r w:rsidR="00435AF3">
        <w:t xml:space="preserve"> by a household member</w:t>
      </w:r>
      <w:r w:rsidR="00761A4D">
        <w:t xml:space="preserve">, with the </w:t>
      </w:r>
      <w:r w:rsidR="005D7573" w:rsidRPr="000D0AE5">
        <w:t xml:space="preserve">private nature of </w:t>
      </w:r>
      <w:r w:rsidR="00A27F15">
        <w:t>a</w:t>
      </w:r>
      <w:r w:rsidR="00761A4D">
        <w:t xml:space="preserve"> room or area </w:t>
      </w:r>
      <w:r w:rsidR="005D7573" w:rsidRPr="000D0AE5">
        <w:t>increas</w:t>
      </w:r>
      <w:r w:rsidR="00761A4D">
        <w:t>ing</w:t>
      </w:r>
      <w:r w:rsidR="005D7573" w:rsidRPr="000D0AE5">
        <w:t xml:space="preserve"> as invitation to it became more restricted</w:t>
      </w:r>
      <w:r w:rsidR="0054625D">
        <w:t>.</w:t>
      </w:r>
      <w:r w:rsidR="005D7573" w:rsidRPr="000D0AE5">
        <w:rPr>
          <w:rStyle w:val="FootnoteReference"/>
        </w:rPr>
        <w:footnoteReference w:id="12"/>
      </w:r>
      <w:r w:rsidR="006F2CE1" w:rsidRPr="000D0AE5">
        <w:t xml:space="preserve"> </w:t>
      </w:r>
      <w:r w:rsidR="00A27F15">
        <w:t>P</w:t>
      </w:r>
      <w:r w:rsidR="00B85CA8">
        <w:t xml:space="preserve">rivacy could also </w:t>
      </w:r>
      <w:r w:rsidR="00A27F15">
        <w:t xml:space="preserve">be invoked as the principle </w:t>
      </w:r>
      <w:r w:rsidR="00DF76D2" w:rsidRPr="000D0AE5">
        <w:t>limit</w:t>
      </w:r>
      <w:r w:rsidR="00A27F15">
        <w:t>ing</w:t>
      </w:r>
      <w:r w:rsidR="00DF76D2" w:rsidRPr="000D0AE5">
        <w:t xml:space="preserve"> </w:t>
      </w:r>
      <w:r w:rsidR="00B85CA8">
        <w:t xml:space="preserve">the </w:t>
      </w:r>
      <w:r w:rsidR="00DF76D2" w:rsidRPr="000D0AE5">
        <w:t xml:space="preserve">access </w:t>
      </w:r>
      <w:r w:rsidR="00B85CA8">
        <w:t xml:space="preserve">of </w:t>
      </w:r>
      <w:r w:rsidR="00A27F15">
        <w:t>particular</w:t>
      </w:r>
      <w:r w:rsidR="00B85CA8" w:rsidRPr="000D0AE5">
        <w:t xml:space="preserve"> </w:t>
      </w:r>
      <w:r w:rsidR="008361A0">
        <w:t>groups</w:t>
      </w:r>
      <w:r w:rsidR="00B85CA8" w:rsidRPr="000D0AE5">
        <w:t xml:space="preserve"> of </w:t>
      </w:r>
      <w:r w:rsidR="00B85CA8">
        <w:t xml:space="preserve">household members, such as servants and children, </w:t>
      </w:r>
      <w:r w:rsidR="00DF76D2" w:rsidRPr="000D0AE5">
        <w:t>to particular areas</w:t>
      </w:r>
      <w:r w:rsidR="00852D9E">
        <w:t>, sometimes at particular times</w:t>
      </w:r>
      <w:r w:rsidR="00DF76D2" w:rsidRPr="000D0AE5">
        <w:t>.</w:t>
      </w:r>
      <w:r w:rsidR="00A27F15">
        <w:rPr>
          <w:rStyle w:val="FootnoteReference"/>
        </w:rPr>
        <w:footnoteReference w:id="13"/>
      </w:r>
      <w:r w:rsidR="00DF76D2" w:rsidRPr="000D0AE5">
        <w:t xml:space="preserve"> </w:t>
      </w:r>
      <w:r w:rsidR="00931537">
        <w:t>Even though the rules and restrictions on access might have been inconsistently applied, residential</w:t>
      </w:r>
      <w:r w:rsidR="00A27F15">
        <w:t xml:space="preserve"> space </w:t>
      </w:r>
      <w:r w:rsidR="00931537">
        <w:t>nevertheless</w:t>
      </w:r>
      <w:r w:rsidR="00761A4D">
        <w:t xml:space="preserve"> </w:t>
      </w:r>
      <w:r w:rsidR="00A27F15">
        <w:t>categorised individuals and activities.</w:t>
      </w:r>
      <w:r w:rsidR="00931537">
        <w:rPr>
          <w:rStyle w:val="FootnoteReference"/>
        </w:rPr>
        <w:footnoteReference w:id="14"/>
      </w:r>
      <w:r w:rsidR="00A27F15">
        <w:t xml:space="preserve"> </w:t>
      </w:r>
    </w:p>
    <w:p w14:paraId="2654F9FD" w14:textId="77777777" w:rsidR="000C1DB4" w:rsidRDefault="000C1DB4" w:rsidP="00081C94">
      <w:pPr>
        <w:ind w:firstLine="720"/>
      </w:pPr>
    </w:p>
    <w:p w14:paraId="5AFDA9D4" w14:textId="575E9123" w:rsidR="00C70333" w:rsidRPr="00081C94" w:rsidRDefault="00081C94" w:rsidP="00081C94">
      <w:pPr>
        <w:rPr>
          <w:b/>
        </w:rPr>
      </w:pPr>
      <w:r w:rsidRPr="00081C94">
        <w:rPr>
          <w:b/>
        </w:rPr>
        <w:t>Mr Henry Orme, dental surgeon</w:t>
      </w:r>
    </w:p>
    <w:p w14:paraId="506918AF" w14:textId="242D479C" w:rsidR="00A8453B" w:rsidRPr="000D0AE5" w:rsidRDefault="001013BE" w:rsidP="007F1F2B">
      <w:pPr>
        <w:pStyle w:val="NormalWeb"/>
        <w:shd w:val="clear" w:color="auto" w:fill="FFFFFF"/>
        <w:spacing w:before="0" w:beforeAutospacing="0" w:after="0" w:afterAutospacing="0" w:line="360" w:lineRule="auto"/>
      </w:pPr>
      <w:r w:rsidRPr="000D0AE5">
        <w:rPr>
          <w:rFonts w:ascii="Arial" w:hAnsi="Arial" w:cs="Arial"/>
        </w:rPr>
        <w:lastRenderedPageBreak/>
        <w:t xml:space="preserve">The </w:t>
      </w:r>
      <w:r w:rsidR="001F5D80">
        <w:rPr>
          <w:rFonts w:ascii="Arial" w:hAnsi="Arial" w:cs="Arial"/>
        </w:rPr>
        <w:t>premises now i</w:t>
      </w:r>
      <w:r w:rsidR="003A535D" w:rsidRPr="000D0AE5">
        <w:rPr>
          <w:rFonts w:ascii="Arial" w:hAnsi="Arial" w:cs="Arial"/>
        </w:rPr>
        <w:t xml:space="preserve">n question </w:t>
      </w:r>
      <w:r w:rsidR="00BB7831" w:rsidRPr="000D3872">
        <w:rPr>
          <w:rFonts w:ascii="Arial" w:hAnsi="Arial" w:cs="Arial"/>
        </w:rPr>
        <w:t>are</w:t>
      </w:r>
      <w:r w:rsidR="003A535D" w:rsidRPr="000D3872">
        <w:rPr>
          <w:rFonts w:ascii="Arial" w:hAnsi="Arial" w:cs="Arial"/>
        </w:rPr>
        <w:t xml:space="preserve"> </w:t>
      </w:r>
      <w:r w:rsidR="009A47DC" w:rsidRPr="000D0AE5">
        <w:rPr>
          <w:rFonts w:ascii="Arial" w:hAnsi="Arial" w:cs="Arial"/>
        </w:rPr>
        <w:t>th</w:t>
      </w:r>
      <w:r w:rsidR="0053677B">
        <w:rPr>
          <w:rFonts w:ascii="Arial" w:hAnsi="Arial" w:cs="Arial"/>
        </w:rPr>
        <w:t>ose</w:t>
      </w:r>
      <w:r w:rsidR="009A47DC" w:rsidRPr="000D0AE5">
        <w:rPr>
          <w:rFonts w:ascii="Arial" w:hAnsi="Arial" w:cs="Arial"/>
        </w:rPr>
        <w:t xml:space="preserve"> of Mr Henry Orme, dental surgeon, at 5 Charles Street</w:t>
      </w:r>
      <w:r w:rsidR="00CC19E9">
        <w:rPr>
          <w:rFonts w:ascii="Arial" w:hAnsi="Arial" w:cs="Arial"/>
        </w:rPr>
        <w:t>, Marylebone, in an area then dominated by the Middlesex Hospital</w:t>
      </w:r>
      <w:r w:rsidR="009A47DC" w:rsidRPr="000D0AE5">
        <w:rPr>
          <w:rFonts w:ascii="Arial" w:hAnsi="Arial" w:cs="Arial"/>
        </w:rPr>
        <w:t xml:space="preserve">. </w:t>
      </w:r>
      <w:r w:rsidR="009A47DC" w:rsidRPr="000D0AE5">
        <w:rPr>
          <w:rFonts w:ascii="Arial" w:hAnsi="Arial" w:cs="Arial"/>
          <w:i/>
        </w:rPr>
        <w:t>London Street Views</w:t>
      </w:r>
      <w:r w:rsidR="00FF6F0C">
        <w:rPr>
          <w:rFonts w:ascii="Arial" w:hAnsi="Arial" w:cs="Arial"/>
          <w:i/>
        </w:rPr>
        <w:t xml:space="preserve">, </w:t>
      </w:r>
      <w:r w:rsidR="00FF6F0C" w:rsidRPr="00190270">
        <w:rPr>
          <w:rFonts w:ascii="Arial" w:hAnsi="Arial" w:cs="Arial"/>
        </w:rPr>
        <w:t xml:space="preserve">part </w:t>
      </w:r>
      <w:r w:rsidR="00190270" w:rsidRPr="00190270">
        <w:rPr>
          <w:rFonts w:ascii="Arial" w:hAnsi="Arial" w:cs="Arial"/>
        </w:rPr>
        <w:t>65</w:t>
      </w:r>
      <w:r w:rsidR="00FF6F0C" w:rsidRPr="00190270">
        <w:rPr>
          <w:rFonts w:ascii="Arial" w:hAnsi="Arial" w:cs="Arial"/>
        </w:rPr>
        <w:t>,</w:t>
      </w:r>
      <w:r w:rsidR="00FF6F0C" w:rsidRPr="00190270">
        <w:rPr>
          <w:rFonts w:ascii="Arial" w:hAnsi="Arial" w:cs="Arial"/>
          <w:i/>
        </w:rPr>
        <w:t xml:space="preserve"> </w:t>
      </w:r>
      <w:r w:rsidR="009A47DC" w:rsidRPr="000D0AE5">
        <w:rPr>
          <w:rFonts w:ascii="Arial" w:hAnsi="Arial" w:cs="Arial"/>
        </w:rPr>
        <w:t>describes Charles Street as ‘a considerable thoroughfare, consist</w:t>
      </w:r>
      <w:r w:rsidR="003A18FB">
        <w:rPr>
          <w:rFonts w:ascii="Arial" w:hAnsi="Arial" w:cs="Arial"/>
        </w:rPr>
        <w:t>[ing]</w:t>
      </w:r>
      <w:r w:rsidR="009A47DC" w:rsidRPr="000D0AE5">
        <w:rPr>
          <w:rFonts w:ascii="Arial" w:hAnsi="Arial" w:cs="Arial"/>
        </w:rPr>
        <w:t xml:space="preserve"> chiefly of highly respectable shops.’</w:t>
      </w:r>
      <w:r w:rsidR="001F5D80">
        <w:rPr>
          <w:rStyle w:val="FootnoteReference"/>
          <w:rFonts w:ascii="Arial" w:hAnsi="Arial" w:cs="Arial"/>
        </w:rPr>
        <w:footnoteReference w:id="15"/>
      </w:r>
      <w:r w:rsidR="001F5D80">
        <w:rPr>
          <w:rFonts w:ascii="Arial" w:hAnsi="Arial" w:cs="Arial"/>
        </w:rPr>
        <w:t xml:space="preserve"> </w:t>
      </w:r>
      <w:r w:rsidR="005B53CB">
        <w:rPr>
          <w:rFonts w:ascii="Arial" w:hAnsi="Arial" w:cs="Arial"/>
        </w:rPr>
        <w:t>Mr Orme died in 1850, aged about 50, and the inventory of his premises was made shortly afterwards as part of the process of assessing his worth for death</w:t>
      </w:r>
      <w:r w:rsidR="0053677B">
        <w:rPr>
          <w:rFonts w:ascii="Arial" w:hAnsi="Arial" w:cs="Arial"/>
        </w:rPr>
        <w:t>-</w:t>
      </w:r>
      <w:r w:rsidR="005B53CB">
        <w:rPr>
          <w:rFonts w:ascii="Arial" w:hAnsi="Arial" w:cs="Arial"/>
        </w:rPr>
        <w:t>duty purposes. He</w:t>
      </w:r>
      <w:r w:rsidR="001F5D80" w:rsidRPr="00AC3B5B">
        <w:rPr>
          <w:rFonts w:ascii="Arial" w:hAnsi="Arial" w:cs="Arial"/>
        </w:rPr>
        <w:t xml:space="preserve"> was not wealthy; his </w:t>
      </w:r>
      <w:r w:rsidR="003A18FB">
        <w:rPr>
          <w:rFonts w:ascii="Arial" w:hAnsi="Arial" w:cs="Arial"/>
        </w:rPr>
        <w:t xml:space="preserve">net </w:t>
      </w:r>
      <w:r w:rsidR="00E12EAA">
        <w:rPr>
          <w:rFonts w:ascii="Arial" w:hAnsi="Arial" w:cs="Arial"/>
        </w:rPr>
        <w:t>worth</w:t>
      </w:r>
      <w:r w:rsidR="00E12EAA" w:rsidRPr="00AC3B5B">
        <w:rPr>
          <w:rFonts w:ascii="Arial" w:hAnsi="Arial" w:cs="Arial"/>
        </w:rPr>
        <w:t xml:space="preserve"> </w:t>
      </w:r>
      <w:r w:rsidR="003A18FB">
        <w:rPr>
          <w:rFonts w:ascii="Arial" w:hAnsi="Arial" w:cs="Arial"/>
        </w:rPr>
        <w:t>was</w:t>
      </w:r>
      <w:r w:rsidR="001F5D80" w:rsidRPr="00AC3B5B">
        <w:rPr>
          <w:rFonts w:ascii="Arial" w:hAnsi="Arial" w:cs="Arial"/>
        </w:rPr>
        <w:t xml:space="preserve"> </w:t>
      </w:r>
      <w:r w:rsidR="003A18FB">
        <w:rPr>
          <w:rFonts w:ascii="Arial" w:hAnsi="Arial" w:cs="Arial"/>
        </w:rPr>
        <w:t>a mere</w:t>
      </w:r>
      <w:r w:rsidR="00A27F15">
        <w:rPr>
          <w:rFonts w:ascii="Arial" w:hAnsi="Arial" w:cs="Arial"/>
        </w:rPr>
        <w:t xml:space="preserve"> </w:t>
      </w:r>
      <w:r w:rsidR="001F5D80" w:rsidRPr="00AC3B5B">
        <w:rPr>
          <w:rFonts w:ascii="Arial" w:hAnsi="Arial" w:cs="Arial"/>
        </w:rPr>
        <w:t>£</w:t>
      </w:r>
      <w:r w:rsidR="00A27F15">
        <w:rPr>
          <w:rFonts w:ascii="Arial" w:hAnsi="Arial" w:cs="Arial"/>
        </w:rPr>
        <w:t>44</w:t>
      </w:r>
      <w:r w:rsidR="003A18FB">
        <w:rPr>
          <w:rFonts w:ascii="Arial" w:hAnsi="Arial" w:cs="Arial"/>
        </w:rPr>
        <w:t xml:space="preserve"> and </w:t>
      </w:r>
      <w:r w:rsidR="003A18FB" w:rsidRPr="003A18FB">
        <w:rPr>
          <w:rFonts w:ascii="Arial" w:hAnsi="Arial" w:cs="Arial"/>
        </w:rPr>
        <w:t xml:space="preserve">comprised only his </w:t>
      </w:r>
      <w:r w:rsidR="00EC190A" w:rsidRPr="003A18FB">
        <w:rPr>
          <w:rFonts w:ascii="Arial" w:hAnsi="Arial" w:cs="Arial"/>
        </w:rPr>
        <w:t xml:space="preserve">household and surgery possessions, the value of the lease on </w:t>
      </w:r>
      <w:r w:rsidR="003A18FB">
        <w:rPr>
          <w:rFonts w:ascii="Arial" w:hAnsi="Arial" w:cs="Arial"/>
        </w:rPr>
        <w:t xml:space="preserve">Number </w:t>
      </w:r>
      <w:r w:rsidR="00EC190A" w:rsidRPr="003A18FB">
        <w:rPr>
          <w:rFonts w:ascii="Arial" w:hAnsi="Arial" w:cs="Arial"/>
        </w:rPr>
        <w:t>5</w:t>
      </w:r>
      <w:r w:rsidR="003A18FB" w:rsidRPr="003A18FB">
        <w:rPr>
          <w:rFonts w:ascii="Arial" w:hAnsi="Arial" w:cs="Arial"/>
        </w:rPr>
        <w:t>,</w:t>
      </w:r>
      <w:r w:rsidR="00EC190A" w:rsidRPr="003A18FB">
        <w:rPr>
          <w:rFonts w:ascii="Arial" w:hAnsi="Arial" w:cs="Arial"/>
        </w:rPr>
        <w:t xml:space="preserve"> and the goodwill of </w:t>
      </w:r>
      <w:r w:rsidR="003A18FB" w:rsidRPr="003A18FB">
        <w:rPr>
          <w:rFonts w:ascii="Arial" w:hAnsi="Arial" w:cs="Arial"/>
        </w:rPr>
        <w:t>his share in a further dental practi</w:t>
      </w:r>
      <w:r w:rsidR="00761A4D">
        <w:rPr>
          <w:rFonts w:ascii="Arial" w:hAnsi="Arial" w:cs="Arial"/>
        </w:rPr>
        <w:t>c</w:t>
      </w:r>
      <w:r w:rsidR="003A18FB" w:rsidRPr="003A18FB">
        <w:rPr>
          <w:rFonts w:ascii="Arial" w:hAnsi="Arial" w:cs="Arial"/>
        </w:rPr>
        <w:t xml:space="preserve">e at </w:t>
      </w:r>
      <w:r w:rsidR="00EC190A" w:rsidRPr="003A18FB">
        <w:rPr>
          <w:rFonts w:ascii="Arial" w:hAnsi="Arial" w:cs="Arial"/>
        </w:rPr>
        <w:t>61 St. Martin’s Lane.</w:t>
      </w:r>
      <w:r w:rsidR="00EC190A" w:rsidRPr="003A18FB">
        <w:rPr>
          <w:rStyle w:val="FootnoteReference"/>
          <w:rFonts w:ascii="Arial" w:hAnsi="Arial" w:cs="Arial"/>
        </w:rPr>
        <w:footnoteReference w:id="16"/>
      </w:r>
      <w:r w:rsidR="00EC190A" w:rsidRPr="003A18FB">
        <w:rPr>
          <w:rFonts w:ascii="Arial" w:hAnsi="Arial" w:cs="Arial"/>
        </w:rPr>
        <w:t xml:space="preserve"> </w:t>
      </w:r>
      <w:r w:rsidR="001F5D80" w:rsidRPr="00AC3B5B">
        <w:rPr>
          <w:rFonts w:ascii="Arial" w:hAnsi="Arial" w:cs="Arial"/>
        </w:rPr>
        <w:t xml:space="preserve">However, we would consider him to have been </w:t>
      </w:r>
      <w:r w:rsidR="00E12EAA">
        <w:rPr>
          <w:rFonts w:ascii="Arial" w:hAnsi="Arial" w:cs="Arial"/>
        </w:rPr>
        <w:t xml:space="preserve">professionally </w:t>
      </w:r>
      <w:r w:rsidR="001F5D80" w:rsidRPr="00AC3B5B">
        <w:rPr>
          <w:rFonts w:ascii="Arial" w:hAnsi="Arial" w:cs="Arial"/>
        </w:rPr>
        <w:t>middle</w:t>
      </w:r>
      <w:r w:rsidR="003A18FB">
        <w:rPr>
          <w:rFonts w:ascii="Arial" w:hAnsi="Arial" w:cs="Arial"/>
        </w:rPr>
        <w:t>-</w:t>
      </w:r>
      <w:r w:rsidR="001F5D80" w:rsidRPr="00AC3B5B">
        <w:rPr>
          <w:rFonts w:ascii="Arial" w:hAnsi="Arial" w:cs="Arial"/>
        </w:rPr>
        <w:t>class and</w:t>
      </w:r>
      <w:r w:rsidR="00BB7831">
        <w:rPr>
          <w:rFonts w:ascii="Arial" w:hAnsi="Arial" w:cs="Arial"/>
        </w:rPr>
        <w:t xml:space="preserve"> </w:t>
      </w:r>
      <w:r w:rsidR="00BB7831" w:rsidRPr="00F12C7F">
        <w:rPr>
          <w:rFonts w:ascii="Arial" w:hAnsi="Arial" w:cs="Arial"/>
        </w:rPr>
        <w:t>Christine Hillam has argued that</w:t>
      </w:r>
      <w:r w:rsidR="001F5D80" w:rsidRPr="00F12C7F">
        <w:rPr>
          <w:rFonts w:ascii="Arial" w:hAnsi="Arial" w:cs="Arial"/>
        </w:rPr>
        <w:t>,</w:t>
      </w:r>
      <w:r w:rsidR="001F5D80" w:rsidRPr="00AC3B5B">
        <w:rPr>
          <w:rFonts w:ascii="Arial" w:hAnsi="Arial" w:cs="Arial"/>
        </w:rPr>
        <w:t xml:space="preserve"> as a dentist, his social status was </w:t>
      </w:r>
      <w:r w:rsidR="00AC3B5B" w:rsidRPr="00AC3B5B">
        <w:rPr>
          <w:rFonts w:ascii="Arial" w:hAnsi="Arial" w:cs="Arial"/>
        </w:rPr>
        <w:t xml:space="preserve">similar to that of </w:t>
      </w:r>
      <w:r w:rsidR="00F12C7F">
        <w:rPr>
          <w:rFonts w:ascii="Arial" w:hAnsi="Arial" w:cs="Arial"/>
        </w:rPr>
        <w:t>some</w:t>
      </w:r>
      <w:r w:rsidR="001F5D80" w:rsidRPr="00AC3B5B">
        <w:rPr>
          <w:rFonts w:ascii="Arial" w:hAnsi="Arial" w:cs="Arial"/>
        </w:rPr>
        <w:t xml:space="preserve"> doctor</w:t>
      </w:r>
      <w:r w:rsidR="00F12C7F">
        <w:rPr>
          <w:rFonts w:ascii="Arial" w:hAnsi="Arial" w:cs="Arial"/>
        </w:rPr>
        <w:t>s</w:t>
      </w:r>
      <w:r w:rsidR="001F5D80" w:rsidRPr="00AC3B5B">
        <w:rPr>
          <w:rFonts w:ascii="Arial" w:hAnsi="Arial" w:cs="Arial"/>
        </w:rPr>
        <w:t xml:space="preserve"> at the time</w:t>
      </w:r>
      <w:r w:rsidR="00AC3B5B" w:rsidRPr="00AC3B5B">
        <w:rPr>
          <w:rFonts w:ascii="Arial" w:hAnsi="Arial" w:cs="Arial"/>
        </w:rPr>
        <w:t>.</w:t>
      </w:r>
      <w:r w:rsidR="003A18FB">
        <w:rPr>
          <w:rStyle w:val="FootnoteReference"/>
          <w:rFonts w:ascii="Arial" w:hAnsi="Arial" w:cs="Arial"/>
        </w:rPr>
        <w:footnoteReference w:id="17"/>
      </w:r>
      <w:r w:rsidR="00AC3B5B" w:rsidRPr="00AC3B5B">
        <w:rPr>
          <w:rFonts w:ascii="Arial" w:hAnsi="Arial" w:cs="Arial"/>
        </w:rPr>
        <w:t xml:space="preserve"> His surgery was at 5 Charles Street</w:t>
      </w:r>
      <w:r w:rsidR="00852D9E">
        <w:rPr>
          <w:rFonts w:ascii="Arial" w:hAnsi="Arial" w:cs="Arial"/>
        </w:rPr>
        <w:t>,</w:t>
      </w:r>
      <w:r w:rsidR="00AC3B5B" w:rsidRPr="00AC3B5B">
        <w:rPr>
          <w:rFonts w:ascii="Arial" w:hAnsi="Arial" w:cs="Arial"/>
        </w:rPr>
        <w:t xml:space="preserve"> where he </w:t>
      </w:r>
      <w:r w:rsidR="00852D9E">
        <w:rPr>
          <w:rFonts w:ascii="Arial" w:hAnsi="Arial" w:cs="Arial"/>
        </w:rPr>
        <w:t xml:space="preserve">also resided </w:t>
      </w:r>
      <w:r w:rsidR="00AC3B5B" w:rsidRPr="00AC3B5B">
        <w:rPr>
          <w:rFonts w:ascii="Arial" w:hAnsi="Arial" w:cs="Arial"/>
        </w:rPr>
        <w:t xml:space="preserve">with his wife, probably three daughters </w:t>
      </w:r>
      <w:r w:rsidR="00430C40">
        <w:rPr>
          <w:rFonts w:ascii="Arial" w:hAnsi="Arial" w:cs="Arial"/>
        </w:rPr>
        <w:t>(</w:t>
      </w:r>
      <w:r w:rsidR="00AC3B5B" w:rsidRPr="00430C40">
        <w:rPr>
          <w:rFonts w:ascii="Arial" w:hAnsi="Arial" w:cs="Arial"/>
        </w:rPr>
        <w:t>in their late teens</w:t>
      </w:r>
      <w:r w:rsidR="00430C40" w:rsidRPr="00430C40">
        <w:rPr>
          <w:rFonts w:ascii="Arial" w:hAnsi="Arial" w:cs="Arial"/>
        </w:rPr>
        <w:t xml:space="preserve"> at the time of his death</w:t>
      </w:r>
      <w:r w:rsidR="00430C40">
        <w:rPr>
          <w:rFonts w:ascii="Arial" w:hAnsi="Arial" w:cs="Arial"/>
        </w:rPr>
        <w:t>)</w:t>
      </w:r>
      <w:r w:rsidR="00AC3B5B" w:rsidRPr="00AC3B5B">
        <w:rPr>
          <w:rFonts w:ascii="Arial" w:hAnsi="Arial" w:cs="Arial"/>
        </w:rPr>
        <w:t xml:space="preserve">, maybe three younger sons, and one or two female servants. In the census taken six months after </w:t>
      </w:r>
      <w:r w:rsidR="00430C40">
        <w:rPr>
          <w:rFonts w:ascii="Arial" w:hAnsi="Arial" w:cs="Arial"/>
        </w:rPr>
        <w:t>he died</w:t>
      </w:r>
      <w:r w:rsidR="00AC3B5B" w:rsidRPr="00AC3B5B">
        <w:rPr>
          <w:rFonts w:ascii="Arial" w:hAnsi="Arial" w:cs="Arial"/>
        </w:rPr>
        <w:t xml:space="preserve">, a young dental assistant </w:t>
      </w:r>
      <w:r w:rsidR="00852D9E">
        <w:rPr>
          <w:rFonts w:ascii="Arial" w:hAnsi="Arial" w:cs="Arial"/>
        </w:rPr>
        <w:t>was shown as</w:t>
      </w:r>
      <w:r w:rsidR="00AC3B5B" w:rsidRPr="00AC3B5B">
        <w:rPr>
          <w:rFonts w:ascii="Arial" w:hAnsi="Arial" w:cs="Arial"/>
        </w:rPr>
        <w:t xml:space="preserve"> resident; if he was there while Orme was alive</w:t>
      </w:r>
      <w:r w:rsidR="00E12EAA">
        <w:rPr>
          <w:rFonts w:ascii="Arial" w:hAnsi="Arial" w:cs="Arial"/>
        </w:rPr>
        <w:t>,</w:t>
      </w:r>
      <w:r w:rsidR="00AC3B5B" w:rsidRPr="00AC3B5B">
        <w:rPr>
          <w:rFonts w:ascii="Arial" w:hAnsi="Arial" w:cs="Arial"/>
        </w:rPr>
        <w:t xml:space="preserve"> his position is likely to have been equivocal between servant and family member.</w:t>
      </w:r>
      <w:r w:rsidR="00AC3B5B" w:rsidRPr="00AC3B5B">
        <w:rPr>
          <w:rStyle w:val="FootnoteReference"/>
          <w:rFonts w:ascii="Arial" w:hAnsi="Arial" w:cs="Arial"/>
        </w:rPr>
        <w:footnoteReference w:id="18"/>
      </w:r>
      <w:r w:rsidR="00AC3B5B" w:rsidRPr="00AC3B5B">
        <w:t xml:space="preserve"> </w:t>
      </w:r>
    </w:p>
    <w:p w14:paraId="1970208A" w14:textId="54C64EE5" w:rsidR="00A32B15" w:rsidRDefault="00952F9D" w:rsidP="003005FE">
      <w:pPr>
        <w:pStyle w:val="NormalWeb"/>
        <w:shd w:val="clear" w:color="auto" w:fill="FFFFFF"/>
        <w:spacing w:before="0" w:beforeAutospacing="0" w:after="0" w:afterAutospacing="0" w:line="360" w:lineRule="auto"/>
        <w:ind w:firstLine="720"/>
        <w:rPr>
          <w:rFonts w:ascii="Arial" w:hAnsi="Arial" w:cs="Arial"/>
        </w:rPr>
      </w:pPr>
      <w:r w:rsidRPr="00952F9D">
        <w:rPr>
          <w:rFonts w:ascii="Arial" w:hAnsi="Arial" w:cs="Arial"/>
          <w:noProof/>
        </w:rPr>
        <w:lastRenderedPageBreak/>
        <w:drawing>
          <wp:inline distT="0" distB="0" distL="0" distR="0" wp14:anchorId="7401B3B2" wp14:editId="404170C7">
            <wp:extent cx="5731086" cy="2705735"/>
            <wp:effectExtent l="0" t="0" r="3175" b="0"/>
            <wp:docPr id="3" name="Picture 3" descr="C:\Users\RHUL\Dropbox\Articles\Tallis\Orme in Talli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UL\Dropbox\Articles\Tallis\Orme in Tallis - Copy.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7051"/>
                    <a:stretch/>
                  </pic:blipFill>
                  <pic:spPr bwMode="auto">
                    <a:xfrm rot="10800000">
                      <a:off x="0" y="0"/>
                      <a:ext cx="5731510" cy="2705935"/>
                    </a:xfrm>
                    <a:prstGeom prst="rect">
                      <a:avLst/>
                    </a:prstGeom>
                    <a:noFill/>
                    <a:ln>
                      <a:noFill/>
                    </a:ln>
                    <a:extLst>
                      <a:ext uri="{53640926-AAD7-44D8-BBD7-CCE9431645EC}">
                        <a14:shadowObscured xmlns:a14="http://schemas.microsoft.com/office/drawing/2010/main"/>
                      </a:ext>
                    </a:extLst>
                  </pic:spPr>
                </pic:pic>
              </a:graphicData>
            </a:graphic>
          </wp:inline>
        </w:drawing>
      </w:r>
      <w:r w:rsidR="00A32B15">
        <w:rPr>
          <w:rFonts w:ascii="Arial" w:hAnsi="Arial" w:cs="Arial"/>
        </w:rPr>
        <w:t xml:space="preserve">Figure1. Detail from </w:t>
      </w:r>
      <w:r w:rsidR="00A32B15" w:rsidRPr="00011459">
        <w:rPr>
          <w:rFonts w:ascii="Arial" w:hAnsi="Arial" w:cs="Arial"/>
          <w:i/>
        </w:rPr>
        <w:t>London Street Views</w:t>
      </w:r>
      <w:r w:rsidR="00A32B15">
        <w:rPr>
          <w:rFonts w:ascii="Arial" w:hAnsi="Arial" w:cs="Arial"/>
        </w:rPr>
        <w:t xml:space="preserve">, part 65, showing Mr Orme’s named premises. </w:t>
      </w:r>
      <w:r w:rsidR="002C4097" w:rsidRPr="002C4097">
        <w:rPr>
          <w:rFonts w:ascii="Arial" w:hAnsi="Arial" w:cs="Arial"/>
          <w:bCs/>
        </w:rPr>
        <w:t>Courtesy, The Lilly Library, Indiana University, Bloomington, Indiana.</w:t>
      </w:r>
    </w:p>
    <w:p w14:paraId="0EC33EC7" w14:textId="77777777" w:rsidR="00A32B15" w:rsidRDefault="00A32B15" w:rsidP="00081C94">
      <w:pPr>
        <w:pStyle w:val="NormalWeb"/>
        <w:shd w:val="clear" w:color="auto" w:fill="FFFFFF"/>
        <w:spacing w:before="0" w:beforeAutospacing="0" w:after="0" w:afterAutospacing="0" w:line="360" w:lineRule="auto"/>
        <w:ind w:firstLine="720"/>
        <w:rPr>
          <w:rFonts w:ascii="Arial" w:hAnsi="Arial" w:cs="Arial"/>
        </w:rPr>
      </w:pPr>
    </w:p>
    <w:p w14:paraId="67FD406D" w14:textId="06625F82" w:rsidR="005D7097" w:rsidRDefault="009A47DC" w:rsidP="00081C94">
      <w:pPr>
        <w:pStyle w:val="NormalWeb"/>
        <w:shd w:val="clear" w:color="auto" w:fill="FFFFFF"/>
        <w:spacing w:before="0" w:beforeAutospacing="0" w:after="0" w:afterAutospacing="0" w:line="360" w:lineRule="auto"/>
        <w:ind w:firstLine="720"/>
        <w:rPr>
          <w:rFonts w:ascii="Arial" w:hAnsi="Arial" w:cs="Arial"/>
        </w:rPr>
      </w:pPr>
      <w:r w:rsidRPr="000D0AE5">
        <w:rPr>
          <w:rFonts w:ascii="Arial" w:hAnsi="Arial" w:cs="Arial"/>
        </w:rPr>
        <w:t xml:space="preserve">Mr Orme had paid the fee to have his </w:t>
      </w:r>
      <w:r w:rsidR="00AC3B5B">
        <w:rPr>
          <w:rFonts w:ascii="Arial" w:hAnsi="Arial" w:cs="Arial"/>
        </w:rPr>
        <w:t>business</w:t>
      </w:r>
      <w:r w:rsidRPr="000D0AE5">
        <w:rPr>
          <w:rFonts w:ascii="Arial" w:hAnsi="Arial" w:cs="Arial"/>
        </w:rPr>
        <w:t xml:space="preserve"> </w:t>
      </w:r>
      <w:r w:rsidR="00AC3B5B">
        <w:rPr>
          <w:rFonts w:ascii="Arial" w:hAnsi="Arial" w:cs="Arial"/>
        </w:rPr>
        <w:t>indicated</w:t>
      </w:r>
      <w:r w:rsidRPr="000D0AE5">
        <w:rPr>
          <w:rFonts w:ascii="Arial" w:hAnsi="Arial" w:cs="Arial"/>
        </w:rPr>
        <w:t xml:space="preserve"> in the </w:t>
      </w:r>
      <w:r w:rsidR="0053677B">
        <w:rPr>
          <w:rFonts w:ascii="Arial" w:hAnsi="Arial" w:cs="Arial"/>
        </w:rPr>
        <w:t>street elevation</w:t>
      </w:r>
      <w:r w:rsidRPr="000D0AE5">
        <w:rPr>
          <w:rFonts w:ascii="Arial" w:hAnsi="Arial" w:cs="Arial"/>
        </w:rPr>
        <w:t xml:space="preserve">, </w:t>
      </w:r>
      <w:r w:rsidR="00E400B4" w:rsidRPr="000D0AE5">
        <w:rPr>
          <w:rFonts w:ascii="Arial" w:hAnsi="Arial" w:cs="Arial"/>
        </w:rPr>
        <w:t xml:space="preserve">leaving </w:t>
      </w:r>
      <w:r w:rsidRPr="000D0AE5">
        <w:rPr>
          <w:rFonts w:ascii="Arial" w:hAnsi="Arial" w:cs="Arial"/>
        </w:rPr>
        <w:t xml:space="preserve">us </w:t>
      </w:r>
      <w:r w:rsidR="00E400B4" w:rsidRPr="000D0AE5">
        <w:rPr>
          <w:rFonts w:ascii="Arial" w:hAnsi="Arial" w:cs="Arial"/>
        </w:rPr>
        <w:t xml:space="preserve">with </w:t>
      </w:r>
      <w:r w:rsidRPr="000D0AE5">
        <w:rPr>
          <w:rFonts w:ascii="Arial" w:hAnsi="Arial" w:cs="Arial"/>
        </w:rPr>
        <w:t xml:space="preserve">a picture of the </w:t>
      </w:r>
      <w:r w:rsidR="00244C18">
        <w:rPr>
          <w:rFonts w:ascii="Arial" w:hAnsi="Arial" w:cs="Arial"/>
        </w:rPr>
        <w:t>front</w:t>
      </w:r>
      <w:r w:rsidRPr="000D0AE5">
        <w:rPr>
          <w:rFonts w:ascii="Arial" w:hAnsi="Arial" w:cs="Arial"/>
        </w:rPr>
        <w:t xml:space="preserve"> of his premises</w:t>
      </w:r>
      <w:r w:rsidR="00693A03">
        <w:rPr>
          <w:rFonts w:ascii="Arial" w:hAnsi="Arial" w:cs="Arial"/>
        </w:rPr>
        <w:t xml:space="preserve"> (</w:t>
      </w:r>
      <w:r w:rsidR="00693A03" w:rsidRPr="00011459">
        <w:rPr>
          <w:rFonts w:ascii="Arial" w:hAnsi="Arial" w:cs="Arial"/>
        </w:rPr>
        <w:t xml:space="preserve">Figure </w:t>
      </w:r>
      <w:r w:rsidR="007F1F2B" w:rsidRPr="00011459">
        <w:rPr>
          <w:rFonts w:ascii="Arial" w:hAnsi="Arial" w:cs="Arial"/>
        </w:rPr>
        <w:t>1</w:t>
      </w:r>
      <w:r w:rsidR="00693A03" w:rsidRPr="00011459">
        <w:rPr>
          <w:rFonts w:ascii="Arial" w:hAnsi="Arial" w:cs="Arial"/>
        </w:rPr>
        <w:t>)</w:t>
      </w:r>
      <w:r w:rsidRPr="00011459">
        <w:rPr>
          <w:rFonts w:ascii="Arial" w:hAnsi="Arial" w:cs="Arial"/>
        </w:rPr>
        <w:t>.</w:t>
      </w:r>
      <w:r w:rsidR="003A535D" w:rsidRPr="00011459">
        <w:rPr>
          <w:rFonts w:ascii="Arial" w:hAnsi="Arial" w:cs="Arial"/>
        </w:rPr>
        <w:t xml:space="preserve"> </w:t>
      </w:r>
      <w:r w:rsidR="00E400B4" w:rsidRPr="000D0AE5">
        <w:rPr>
          <w:rFonts w:ascii="Arial" w:hAnsi="Arial" w:cs="Arial"/>
        </w:rPr>
        <w:t xml:space="preserve">On one side </w:t>
      </w:r>
      <w:r w:rsidR="000219C5" w:rsidRPr="000D0AE5">
        <w:rPr>
          <w:rFonts w:ascii="Arial" w:hAnsi="Arial" w:cs="Arial"/>
        </w:rPr>
        <w:t>Number</w:t>
      </w:r>
      <w:r w:rsidR="003A535D" w:rsidRPr="000D0AE5">
        <w:rPr>
          <w:rFonts w:ascii="Arial" w:hAnsi="Arial" w:cs="Arial"/>
        </w:rPr>
        <w:t xml:space="preserve"> </w:t>
      </w:r>
      <w:r w:rsidR="000C32EF" w:rsidRPr="000D0AE5">
        <w:rPr>
          <w:rFonts w:ascii="Arial" w:hAnsi="Arial" w:cs="Arial"/>
        </w:rPr>
        <w:t xml:space="preserve">5 </w:t>
      </w:r>
      <w:r w:rsidR="005D7097" w:rsidRPr="000D0AE5">
        <w:rPr>
          <w:rFonts w:ascii="Arial" w:hAnsi="Arial" w:cs="Arial"/>
        </w:rPr>
        <w:t>adjoins</w:t>
      </w:r>
      <w:r w:rsidR="003A535D" w:rsidRPr="000D0AE5">
        <w:rPr>
          <w:rFonts w:ascii="Arial" w:hAnsi="Arial" w:cs="Arial"/>
        </w:rPr>
        <w:t xml:space="preserve"> the </w:t>
      </w:r>
      <w:r w:rsidR="00B76BDB" w:rsidRPr="000D0AE5">
        <w:rPr>
          <w:rFonts w:ascii="Arial" w:hAnsi="Arial" w:cs="Arial"/>
        </w:rPr>
        <w:t xml:space="preserve">imposing </w:t>
      </w:r>
      <w:r w:rsidR="00226D7F" w:rsidRPr="000D0AE5">
        <w:rPr>
          <w:rFonts w:ascii="Arial" w:hAnsi="Arial" w:cs="Arial"/>
        </w:rPr>
        <w:t>front</w:t>
      </w:r>
      <w:r w:rsidR="00B76BDB" w:rsidRPr="000D0AE5">
        <w:rPr>
          <w:rFonts w:ascii="Arial" w:hAnsi="Arial" w:cs="Arial"/>
        </w:rPr>
        <w:t xml:space="preserve"> of Middlesex Hospital</w:t>
      </w:r>
      <w:r w:rsidR="008F1A7E" w:rsidRPr="000D0AE5">
        <w:rPr>
          <w:rFonts w:ascii="Arial" w:hAnsi="Arial" w:cs="Arial"/>
        </w:rPr>
        <w:t xml:space="preserve">; on the other side, at </w:t>
      </w:r>
      <w:r w:rsidR="00147CF1">
        <w:rPr>
          <w:rFonts w:ascii="Arial" w:hAnsi="Arial" w:cs="Arial"/>
        </w:rPr>
        <w:t>n</w:t>
      </w:r>
      <w:r w:rsidR="008F1A7E" w:rsidRPr="000D0AE5">
        <w:rPr>
          <w:rFonts w:ascii="Arial" w:hAnsi="Arial" w:cs="Arial"/>
        </w:rPr>
        <w:t xml:space="preserve">umber 4, was </w:t>
      </w:r>
      <w:r w:rsidR="008F1A7E" w:rsidRPr="00E92E12">
        <w:rPr>
          <w:rFonts w:ascii="Arial" w:hAnsi="Arial" w:cs="Arial"/>
        </w:rPr>
        <w:t>Woolfe’s Eating House</w:t>
      </w:r>
      <w:r w:rsidR="000C32EF" w:rsidRPr="000D0AE5">
        <w:rPr>
          <w:rFonts w:ascii="Arial" w:hAnsi="Arial" w:cs="Arial"/>
        </w:rPr>
        <w:t>.</w:t>
      </w:r>
      <w:r w:rsidR="00B76BDB" w:rsidRPr="000D0AE5">
        <w:rPr>
          <w:rFonts w:ascii="Arial" w:hAnsi="Arial" w:cs="Arial"/>
        </w:rPr>
        <w:t xml:space="preserve"> </w:t>
      </w:r>
      <w:r w:rsidR="002D56A7" w:rsidRPr="000D0AE5">
        <w:rPr>
          <w:rFonts w:ascii="Arial" w:hAnsi="Arial" w:cs="Arial"/>
        </w:rPr>
        <w:t xml:space="preserve">The </w:t>
      </w:r>
      <w:r w:rsidR="008870AB">
        <w:rPr>
          <w:rFonts w:ascii="Arial" w:hAnsi="Arial" w:cs="Arial"/>
        </w:rPr>
        <w:t>image</w:t>
      </w:r>
      <w:r w:rsidR="002D56A7" w:rsidRPr="000D0AE5">
        <w:rPr>
          <w:rFonts w:ascii="Arial" w:hAnsi="Arial" w:cs="Arial"/>
        </w:rPr>
        <w:t xml:space="preserve"> suggests that Orme ha</w:t>
      </w:r>
      <w:r w:rsidR="000219C5" w:rsidRPr="000D0AE5">
        <w:rPr>
          <w:rFonts w:ascii="Arial" w:hAnsi="Arial" w:cs="Arial"/>
        </w:rPr>
        <w:t>d</w:t>
      </w:r>
      <w:r w:rsidR="002D56A7" w:rsidRPr="000D0AE5">
        <w:rPr>
          <w:rFonts w:ascii="Arial" w:hAnsi="Arial" w:cs="Arial"/>
        </w:rPr>
        <w:t xml:space="preserve"> </w:t>
      </w:r>
      <w:r w:rsidR="008F1A7E" w:rsidRPr="000D0AE5">
        <w:rPr>
          <w:rFonts w:ascii="Arial" w:hAnsi="Arial" w:cs="Arial"/>
        </w:rPr>
        <w:t xml:space="preserve">Number 5 </w:t>
      </w:r>
      <w:r w:rsidR="002D56A7" w:rsidRPr="000D0AE5">
        <w:rPr>
          <w:rFonts w:ascii="Arial" w:hAnsi="Arial" w:cs="Arial"/>
        </w:rPr>
        <w:t xml:space="preserve">to himself but the attached directory also lists </w:t>
      </w:r>
      <w:r w:rsidR="00B76BDB" w:rsidRPr="000D0AE5">
        <w:rPr>
          <w:rFonts w:ascii="Arial" w:hAnsi="Arial" w:cs="Arial"/>
        </w:rPr>
        <w:t>Browning Tobacconist</w:t>
      </w:r>
      <w:r w:rsidR="00AC3B5B">
        <w:rPr>
          <w:rFonts w:ascii="Arial" w:hAnsi="Arial" w:cs="Arial"/>
        </w:rPr>
        <w:t>,</w:t>
      </w:r>
      <w:r w:rsidR="00B76BDB" w:rsidRPr="000D0AE5">
        <w:rPr>
          <w:rFonts w:ascii="Arial" w:hAnsi="Arial" w:cs="Arial"/>
        </w:rPr>
        <w:t xml:space="preserve"> Middlesex Hospital</w:t>
      </w:r>
      <w:r w:rsidR="00AC3B5B">
        <w:rPr>
          <w:rFonts w:ascii="Arial" w:hAnsi="Arial" w:cs="Arial"/>
        </w:rPr>
        <w:t>,</w:t>
      </w:r>
      <w:r w:rsidR="00B76BDB" w:rsidRPr="000D0AE5">
        <w:rPr>
          <w:rFonts w:ascii="Arial" w:hAnsi="Arial" w:cs="Arial"/>
        </w:rPr>
        <w:t xml:space="preserve"> and Middlesex Bait Stables</w:t>
      </w:r>
      <w:r w:rsidR="002D56A7" w:rsidRPr="000D0AE5">
        <w:rPr>
          <w:rFonts w:ascii="Arial" w:hAnsi="Arial" w:cs="Arial"/>
        </w:rPr>
        <w:t xml:space="preserve"> at</w:t>
      </w:r>
      <w:r w:rsidR="008F1A7E" w:rsidRPr="000D0AE5">
        <w:rPr>
          <w:rFonts w:ascii="Arial" w:hAnsi="Arial" w:cs="Arial"/>
        </w:rPr>
        <w:t xml:space="preserve"> the same address</w:t>
      </w:r>
      <w:r w:rsidR="00B76BDB" w:rsidRPr="000D0AE5">
        <w:rPr>
          <w:rFonts w:ascii="Arial" w:hAnsi="Arial" w:cs="Arial"/>
        </w:rPr>
        <w:t xml:space="preserve">. </w:t>
      </w:r>
      <w:r w:rsidR="00AC3B5B">
        <w:rPr>
          <w:rFonts w:ascii="Arial" w:hAnsi="Arial" w:cs="Arial"/>
        </w:rPr>
        <w:t>Number 5</w:t>
      </w:r>
      <w:r w:rsidR="00587571" w:rsidRPr="000D0AE5">
        <w:rPr>
          <w:rFonts w:ascii="Arial" w:hAnsi="Arial" w:cs="Arial"/>
        </w:rPr>
        <w:t xml:space="preserve"> and the other houses flanking the Hospital had been built in the 1760s but were </w:t>
      </w:r>
      <w:r w:rsidRPr="000D0AE5">
        <w:rPr>
          <w:rFonts w:ascii="Arial" w:hAnsi="Arial" w:cs="Arial"/>
        </w:rPr>
        <w:t xml:space="preserve">demolished for the </w:t>
      </w:r>
      <w:r w:rsidR="00587571" w:rsidRPr="000D0AE5">
        <w:rPr>
          <w:rFonts w:ascii="Arial" w:hAnsi="Arial" w:cs="Arial"/>
        </w:rPr>
        <w:t>H</w:t>
      </w:r>
      <w:r w:rsidRPr="000D0AE5">
        <w:rPr>
          <w:rFonts w:ascii="Arial" w:hAnsi="Arial" w:cs="Arial"/>
        </w:rPr>
        <w:t>ospital’s expansion from the 1860s onwards.</w:t>
      </w:r>
      <w:r w:rsidRPr="000D0AE5">
        <w:rPr>
          <w:rStyle w:val="FootnoteReference"/>
          <w:rFonts w:ascii="Arial" w:hAnsi="Arial" w:cs="Arial"/>
        </w:rPr>
        <w:footnoteReference w:id="19"/>
      </w:r>
      <w:r w:rsidRPr="000D0AE5">
        <w:rPr>
          <w:rFonts w:ascii="Arial" w:hAnsi="Arial" w:cs="Arial"/>
        </w:rPr>
        <w:t xml:space="preserve"> </w:t>
      </w:r>
      <w:r w:rsidR="00587571" w:rsidRPr="000D0AE5">
        <w:rPr>
          <w:rFonts w:ascii="Arial" w:hAnsi="Arial" w:cs="Arial"/>
          <w:i/>
        </w:rPr>
        <w:t>Views</w:t>
      </w:r>
      <w:r w:rsidR="00587571" w:rsidRPr="000D0AE5">
        <w:rPr>
          <w:rFonts w:ascii="Arial" w:hAnsi="Arial" w:cs="Arial"/>
        </w:rPr>
        <w:t xml:space="preserve"> shows </w:t>
      </w:r>
      <w:r w:rsidR="000219C5" w:rsidRPr="000D0AE5">
        <w:rPr>
          <w:rFonts w:ascii="Arial" w:hAnsi="Arial" w:cs="Arial"/>
        </w:rPr>
        <w:t>Number 5 as being a semi-detached house of four floors and two bays</w:t>
      </w:r>
      <w:r w:rsidR="00D85D3B">
        <w:rPr>
          <w:rFonts w:ascii="Arial" w:hAnsi="Arial" w:cs="Arial"/>
        </w:rPr>
        <w:t xml:space="preserve">, </w:t>
      </w:r>
      <w:r w:rsidR="00587571" w:rsidRPr="000D0AE5">
        <w:rPr>
          <w:rFonts w:ascii="Arial" w:hAnsi="Arial" w:cs="Arial"/>
        </w:rPr>
        <w:t>flush with the street, without any railings</w:t>
      </w:r>
      <w:r w:rsidR="005D7097" w:rsidRPr="000D0AE5">
        <w:rPr>
          <w:rFonts w:ascii="Arial" w:hAnsi="Arial" w:cs="Arial"/>
        </w:rPr>
        <w:t>.</w:t>
      </w:r>
      <w:r w:rsidR="00587571" w:rsidRPr="000D0AE5">
        <w:rPr>
          <w:rFonts w:ascii="Arial" w:hAnsi="Arial" w:cs="Arial"/>
        </w:rPr>
        <w:t xml:space="preserve"> </w:t>
      </w:r>
      <w:r w:rsidR="00147CF1">
        <w:rPr>
          <w:rFonts w:ascii="Arial" w:hAnsi="Arial" w:cs="Arial"/>
        </w:rPr>
        <w:t xml:space="preserve">Comparisons between the </w:t>
      </w:r>
      <w:r w:rsidR="0053677B">
        <w:rPr>
          <w:rFonts w:ascii="Arial" w:hAnsi="Arial" w:cs="Arial"/>
        </w:rPr>
        <w:t>elevations</w:t>
      </w:r>
      <w:r w:rsidR="00147CF1">
        <w:rPr>
          <w:rFonts w:ascii="Arial" w:hAnsi="Arial" w:cs="Arial"/>
        </w:rPr>
        <w:t xml:space="preserve"> and the more detailed </w:t>
      </w:r>
      <w:r w:rsidR="0053677B">
        <w:rPr>
          <w:rFonts w:ascii="Arial" w:hAnsi="Arial" w:cs="Arial"/>
        </w:rPr>
        <w:t>vignettes</w:t>
      </w:r>
      <w:r w:rsidR="00147CF1">
        <w:rPr>
          <w:rFonts w:ascii="Arial" w:hAnsi="Arial" w:cs="Arial"/>
        </w:rPr>
        <w:t xml:space="preserve"> </w:t>
      </w:r>
      <w:r w:rsidR="005D7097" w:rsidRPr="000D0AE5">
        <w:rPr>
          <w:rFonts w:ascii="Arial" w:hAnsi="Arial" w:cs="Arial"/>
        </w:rPr>
        <w:t>suggests that the fa</w:t>
      </w:r>
      <w:r w:rsidR="00372C7C">
        <w:rPr>
          <w:rFonts w:ascii="Arial" w:hAnsi="Arial" w:cs="Arial"/>
        </w:rPr>
        <w:t>c</w:t>
      </w:r>
      <w:r w:rsidR="005D7097" w:rsidRPr="000D0AE5">
        <w:rPr>
          <w:rFonts w:ascii="Arial" w:hAnsi="Arial" w:cs="Arial"/>
        </w:rPr>
        <w:t xml:space="preserve">ade pictures were </w:t>
      </w:r>
      <w:r w:rsidR="0053677B">
        <w:rPr>
          <w:rFonts w:ascii="Arial" w:hAnsi="Arial" w:cs="Arial"/>
        </w:rPr>
        <w:t>broadly</w:t>
      </w:r>
      <w:r w:rsidR="005D7097" w:rsidRPr="000D0AE5">
        <w:rPr>
          <w:rFonts w:ascii="Arial" w:hAnsi="Arial" w:cs="Arial"/>
        </w:rPr>
        <w:t xml:space="preserve"> reliable</w:t>
      </w:r>
      <w:r w:rsidR="0053677B">
        <w:rPr>
          <w:rFonts w:ascii="Arial" w:hAnsi="Arial" w:cs="Arial"/>
        </w:rPr>
        <w:t xml:space="preserve"> although, as Charlotte Newman and Matthew Jenkins point out in their contribution to this roundtable</w:t>
      </w:r>
      <w:r w:rsidR="00B613B9">
        <w:rPr>
          <w:rFonts w:ascii="Arial" w:hAnsi="Arial" w:cs="Arial"/>
        </w:rPr>
        <w:t>, Tallis often simplified the architectural details. In this case, then, t</w:t>
      </w:r>
      <w:r w:rsidR="006F2CE1">
        <w:rPr>
          <w:rFonts w:ascii="Arial" w:hAnsi="Arial" w:cs="Arial"/>
        </w:rPr>
        <w:t>he front</w:t>
      </w:r>
      <w:r w:rsidR="00B613B9">
        <w:rPr>
          <w:rFonts w:ascii="Arial" w:hAnsi="Arial" w:cs="Arial"/>
        </w:rPr>
        <w:t xml:space="preserve"> of the premises</w:t>
      </w:r>
      <w:r w:rsidR="006F2CE1">
        <w:rPr>
          <w:rFonts w:ascii="Arial" w:hAnsi="Arial" w:cs="Arial"/>
        </w:rPr>
        <w:t xml:space="preserve"> </w:t>
      </w:r>
      <w:r w:rsidR="00147CF1">
        <w:rPr>
          <w:rFonts w:ascii="Arial" w:hAnsi="Arial" w:cs="Arial"/>
        </w:rPr>
        <w:t xml:space="preserve">was </w:t>
      </w:r>
      <w:r w:rsidR="006F2CE1">
        <w:rPr>
          <w:rFonts w:ascii="Arial" w:hAnsi="Arial" w:cs="Arial"/>
        </w:rPr>
        <w:t xml:space="preserve">not </w:t>
      </w:r>
      <w:r w:rsidR="005D7097" w:rsidRPr="000D0AE5">
        <w:rPr>
          <w:rFonts w:ascii="Arial" w:hAnsi="Arial" w:cs="Arial"/>
        </w:rPr>
        <w:t xml:space="preserve">distanced or protected from </w:t>
      </w:r>
      <w:r w:rsidR="008F1A7E" w:rsidRPr="000D0AE5">
        <w:rPr>
          <w:rFonts w:ascii="Arial" w:hAnsi="Arial" w:cs="Arial"/>
        </w:rPr>
        <w:t xml:space="preserve">passers-by </w:t>
      </w:r>
      <w:r w:rsidR="00147CF1">
        <w:rPr>
          <w:rFonts w:ascii="Arial" w:hAnsi="Arial" w:cs="Arial"/>
        </w:rPr>
        <w:t>on this busy part of the street.</w:t>
      </w:r>
      <w:r w:rsidR="008F1A7E" w:rsidRPr="000D0AE5">
        <w:rPr>
          <w:rFonts w:ascii="Arial" w:hAnsi="Arial" w:cs="Arial"/>
        </w:rPr>
        <w:t xml:space="preserve"> </w:t>
      </w:r>
      <w:r w:rsidR="00147CF1">
        <w:rPr>
          <w:rFonts w:ascii="Arial" w:hAnsi="Arial" w:cs="Arial"/>
        </w:rPr>
        <w:t xml:space="preserve">Mr Orme did not want or need </w:t>
      </w:r>
      <w:r w:rsidR="00A02407">
        <w:rPr>
          <w:rFonts w:ascii="Arial" w:hAnsi="Arial" w:cs="Arial"/>
        </w:rPr>
        <w:t xml:space="preserve">withdrawal to a </w:t>
      </w:r>
      <w:r w:rsidR="00147CF1">
        <w:rPr>
          <w:rFonts w:ascii="Arial" w:hAnsi="Arial" w:cs="Arial"/>
        </w:rPr>
        <w:t>private</w:t>
      </w:r>
      <w:r w:rsidR="00A02407">
        <w:rPr>
          <w:rFonts w:ascii="Arial" w:hAnsi="Arial" w:cs="Arial"/>
        </w:rPr>
        <w:t xml:space="preserve"> domestic enclave</w:t>
      </w:r>
      <w:r w:rsidR="00147CF1">
        <w:rPr>
          <w:rFonts w:ascii="Arial" w:hAnsi="Arial" w:cs="Arial"/>
        </w:rPr>
        <w:t>; instead h</w:t>
      </w:r>
      <w:r w:rsidR="00A02407">
        <w:rPr>
          <w:rFonts w:ascii="Arial" w:hAnsi="Arial" w:cs="Arial"/>
        </w:rPr>
        <w:t xml:space="preserve">e encouraged easy access to his premises, paying to have </w:t>
      </w:r>
      <w:r w:rsidR="00852D9E">
        <w:rPr>
          <w:rFonts w:ascii="Arial" w:hAnsi="Arial" w:cs="Arial"/>
        </w:rPr>
        <w:t xml:space="preserve">it identified </w:t>
      </w:r>
      <w:r w:rsidR="00A02407" w:rsidRPr="000D0AE5">
        <w:rPr>
          <w:rFonts w:ascii="Arial" w:hAnsi="Arial" w:cs="Arial"/>
        </w:rPr>
        <w:t xml:space="preserve">in </w:t>
      </w:r>
      <w:r w:rsidR="00A02407" w:rsidRPr="00A02407">
        <w:rPr>
          <w:rFonts w:ascii="Arial" w:hAnsi="Arial" w:cs="Arial"/>
          <w:i/>
        </w:rPr>
        <w:t>Views</w:t>
      </w:r>
      <w:r w:rsidR="00147CF1">
        <w:rPr>
          <w:rFonts w:ascii="Arial" w:hAnsi="Arial" w:cs="Arial"/>
          <w:i/>
        </w:rPr>
        <w:t>,</w:t>
      </w:r>
      <w:r w:rsidR="00A02407">
        <w:rPr>
          <w:rFonts w:ascii="Arial" w:hAnsi="Arial" w:cs="Arial"/>
        </w:rPr>
        <w:t xml:space="preserve"> </w:t>
      </w:r>
      <w:r w:rsidR="008870AB">
        <w:rPr>
          <w:rFonts w:ascii="Arial" w:hAnsi="Arial" w:cs="Arial"/>
        </w:rPr>
        <w:t xml:space="preserve">and </w:t>
      </w:r>
      <w:r w:rsidR="00A02407">
        <w:rPr>
          <w:rFonts w:ascii="Arial" w:hAnsi="Arial" w:cs="Arial"/>
        </w:rPr>
        <w:t>even taking a</w:t>
      </w:r>
      <w:r w:rsidR="008361A0">
        <w:rPr>
          <w:rFonts w:ascii="Arial" w:hAnsi="Arial" w:cs="Arial"/>
        </w:rPr>
        <w:t xml:space="preserve"> large </w:t>
      </w:r>
      <w:r w:rsidR="00852D9E">
        <w:rPr>
          <w:rFonts w:ascii="Arial" w:hAnsi="Arial" w:cs="Arial"/>
        </w:rPr>
        <w:t>additional</w:t>
      </w:r>
      <w:r w:rsidR="008361A0">
        <w:rPr>
          <w:rFonts w:ascii="Arial" w:hAnsi="Arial" w:cs="Arial"/>
        </w:rPr>
        <w:t xml:space="preserve"> </w:t>
      </w:r>
      <w:r w:rsidR="00A02407" w:rsidRPr="000D0AE5">
        <w:rPr>
          <w:rFonts w:ascii="Arial" w:hAnsi="Arial" w:cs="Arial"/>
        </w:rPr>
        <w:t>advertisement</w:t>
      </w:r>
      <w:r w:rsidR="00E12EAA">
        <w:rPr>
          <w:rFonts w:ascii="Arial" w:hAnsi="Arial" w:cs="Arial"/>
        </w:rPr>
        <w:t xml:space="preserve"> (</w:t>
      </w:r>
      <w:r w:rsidR="00E12EAA" w:rsidRPr="00011459">
        <w:rPr>
          <w:rFonts w:ascii="Arial" w:hAnsi="Arial" w:cs="Arial"/>
        </w:rPr>
        <w:t>Figure</w:t>
      </w:r>
      <w:r w:rsidR="00CC19E9" w:rsidRPr="00011459">
        <w:rPr>
          <w:rFonts w:ascii="Arial" w:hAnsi="Arial" w:cs="Arial"/>
        </w:rPr>
        <w:t xml:space="preserve"> </w:t>
      </w:r>
      <w:r w:rsidR="007F1F2B" w:rsidRPr="00011459">
        <w:rPr>
          <w:rFonts w:ascii="Arial" w:hAnsi="Arial" w:cs="Arial"/>
        </w:rPr>
        <w:t>2</w:t>
      </w:r>
      <w:r w:rsidR="00E12EAA">
        <w:rPr>
          <w:rFonts w:ascii="Arial" w:hAnsi="Arial" w:cs="Arial"/>
        </w:rPr>
        <w:t>)</w:t>
      </w:r>
      <w:r w:rsidR="00A02407">
        <w:rPr>
          <w:rFonts w:ascii="Arial" w:hAnsi="Arial" w:cs="Arial"/>
        </w:rPr>
        <w:t>.</w:t>
      </w:r>
      <w:r w:rsidR="00A02407" w:rsidRPr="000D0AE5">
        <w:rPr>
          <w:rFonts w:ascii="Arial" w:hAnsi="Arial" w:cs="Arial"/>
        </w:rPr>
        <w:t xml:space="preserve"> </w:t>
      </w:r>
    </w:p>
    <w:p w14:paraId="2A2A51F2" w14:textId="6746DCA4" w:rsidR="00F13DA0" w:rsidRPr="000D0AE5" w:rsidRDefault="00604B95" w:rsidP="00081C94">
      <w:pPr>
        <w:pStyle w:val="NormalWeb"/>
        <w:shd w:val="clear" w:color="auto" w:fill="FFFFFF"/>
        <w:spacing w:before="0" w:beforeAutospacing="0" w:after="0" w:afterAutospacing="0" w:line="360" w:lineRule="auto"/>
        <w:ind w:firstLine="720"/>
        <w:rPr>
          <w:rFonts w:ascii="Arial" w:hAnsi="Arial" w:cs="Arial"/>
        </w:rPr>
      </w:pPr>
      <w:r w:rsidRPr="000D0AE5">
        <w:rPr>
          <w:rFonts w:ascii="Arial" w:hAnsi="Arial" w:cs="Arial"/>
        </w:rPr>
        <w:lastRenderedPageBreak/>
        <w:t>Two</w:t>
      </w:r>
      <w:r w:rsidR="000D29B7" w:rsidRPr="000D0AE5">
        <w:rPr>
          <w:rFonts w:ascii="Arial" w:hAnsi="Arial" w:cs="Arial"/>
        </w:rPr>
        <w:t xml:space="preserve"> front entrances</w:t>
      </w:r>
      <w:r w:rsidR="000C7CC9" w:rsidRPr="000D0AE5">
        <w:rPr>
          <w:rFonts w:ascii="Arial" w:hAnsi="Arial" w:cs="Arial"/>
        </w:rPr>
        <w:t xml:space="preserve"> </w:t>
      </w:r>
      <w:r w:rsidRPr="000D0AE5">
        <w:rPr>
          <w:rFonts w:ascii="Arial" w:hAnsi="Arial" w:cs="Arial"/>
        </w:rPr>
        <w:t xml:space="preserve">are shown for </w:t>
      </w:r>
      <w:r w:rsidR="003F162F">
        <w:rPr>
          <w:rFonts w:ascii="Arial" w:hAnsi="Arial" w:cs="Arial"/>
        </w:rPr>
        <w:t>N</w:t>
      </w:r>
      <w:r w:rsidR="000C7CC9" w:rsidRPr="000D0AE5">
        <w:rPr>
          <w:rFonts w:ascii="Arial" w:hAnsi="Arial" w:cs="Arial"/>
        </w:rPr>
        <w:t>umber 5</w:t>
      </w:r>
      <w:r w:rsidR="000D29B7" w:rsidRPr="000D0AE5">
        <w:rPr>
          <w:rFonts w:ascii="Arial" w:hAnsi="Arial" w:cs="Arial"/>
        </w:rPr>
        <w:t xml:space="preserve">: </w:t>
      </w:r>
      <w:r w:rsidR="00A02407">
        <w:rPr>
          <w:rFonts w:ascii="Arial" w:hAnsi="Arial" w:cs="Arial"/>
        </w:rPr>
        <w:t>a</w:t>
      </w:r>
      <w:r w:rsidR="00B515EE" w:rsidRPr="000D0AE5">
        <w:rPr>
          <w:rFonts w:ascii="Arial" w:hAnsi="Arial" w:cs="Arial"/>
        </w:rPr>
        <w:t xml:space="preserve"> smaller doorway</w:t>
      </w:r>
      <w:r w:rsidR="003F162F">
        <w:rPr>
          <w:rFonts w:ascii="Arial" w:hAnsi="Arial" w:cs="Arial"/>
        </w:rPr>
        <w:t xml:space="preserve">, which </w:t>
      </w:r>
      <w:r w:rsidR="00B515EE" w:rsidRPr="000D0AE5">
        <w:rPr>
          <w:rFonts w:ascii="Arial" w:hAnsi="Arial" w:cs="Arial"/>
        </w:rPr>
        <w:t>led</w:t>
      </w:r>
      <w:r w:rsidR="000D29B7" w:rsidRPr="000D0AE5">
        <w:rPr>
          <w:rFonts w:ascii="Arial" w:hAnsi="Arial" w:cs="Arial"/>
        </w:rPr>
        <w:t xml:space="preserve"> into the tobacconist’s</w:t>
      </w:r>
      <w:r w:rsidR="00B515EE" w:rsidRPr="000D0AE5">
        <w:rPr>
          <w:rFonts w:ascii="Arial" w:hAnsi="Arial" w:cs="Arial"/>
        </w:rPr>
        <w:t xml:space="preserve"> shop</w:t>
      </w:r>
      <w:r w:rsidR="000D29B7" w:rsidRPr="000D0AE5">
        <w:rPr>
          <w:rFonts w:ascii="Arial" w:hAnsi="Arial" w:cs="Arial"/>
        </w:rPr>
        <w:t xml:space="preserve">, with </w:t>
      </w:r>
      <w:r w:rsidR="000C7CC9" w:rsidRPr="000D0AE5">
        <w:rPr>
          <w:rFonts w:ascii="Arial" w:hAnsi="Arial" w:cs="Arial"/>
        </w:rPr>
        <w:t>its</w:t>
      </w:r>
      <w:r w:rsidR="000D29B7" w:rsidRPr="000D0AE5">
        <w:rPr>
          <w:rFonts w:ascii="Arial" w:hAnsi="Arial" w:cs="Arial"/>
        </w:rPr>
        <w:t xml:space="preserve"> display window</w:t>
      </w:r>
      <w:r w:rsidR="00A02407">
        <w:rPr>
          <w:rFonts w:ascii="Arial" w:hAnsi="Arial" w:cs="Arial"/>
        </w:rPr>
        <w:t xml:space="preserve">; and the </w:t>
      </w:r>
      <w:r w:rsidR="000C7CC9" w:rsidRPr="000D0AE5">
        <w:rPr>
          <w:rFonts w:ascii="Arial" w:hAnsi="Arial" w:cs="Arial"/>
        </w:rPr>
        <w:t xml:space="preserve">main front door, </w:t>
      </w:r>
      <w:r w:rsidR="003F162F">
        <w:rPr>
          <w:rFonts w:ascii="Arial" w:hAnsi="Arial" w:cs="Arial"/>
        </w:rPr>
        <w:t xml:space="preserve">whose height and canopy </w:t>
      </w:r>
      <w:r w:rsidR="000C7CC9" w:rsidRPr="000D0AE5">
        <w:rPr>
          <w:rFonts w:ascii="Arial" w:hAnsi="Arial" w:cs="Arial"/>
        </w:rPr>
        <w:t xml:space="preserve">marked </w:t>
      </w:r>
      <w:r w:rsidR="003F162F">
        <w:rPr>
          <w:rFonts w:ascii="Arial" w:hAnsi="Arial" w:cs="Arial"/>
        </w:rPr>
        <w:t xml:space="preserve">it </w:t>
      </w:r>
      <w:r w:rsidR="000C7CC9" w:rsidRPr="000D0AE5">
        <w:rPr>
          <w:rFonts w:ascii="Arial" w:hAnsi="Arial" w:cs="Arial"/>
        </w:rPr>
        <w:t>as superior to the tobacconist’s</w:t>
      </w:r>
      <w:r w:rsidR="000D29B7" w:rsidRPr="000D0AE5">
        <w:rPr>
          <w:rFonts w:ascii="Arial" w:hAnsi="Arial" w:cs="Arial"/>
        </w:rPr>
        <w:t xml:space="preserve">. </w:t>
      </w:r>
      <w:r w:rsidR="00B515EE" w:rsidRPr="000D0AE5">
        <w:rPr>
          <w:rFonts w:ascii="Arial" w:hAnsi="Arial" w:cs="Arial"/>
        </w:rPr>
        <w:t>It is hard to know whether there was a back entrance as well.</w:t>
      </w:r>
      <w:r w:rsidR="00D85D3B">
        <w:rPr>
          <w:rFonts w:ascii="Arial" w:hAnsi="Arial" w:cs="Arial"/>
        </w:rPr>
        <w:t xml:space="preserve"> Street maps do not help.</w:t>
      </w:r>
      <w:r w:rsidR="00B515EE" w:rsidRPr="000D0AE5">
        <w:rPr>
          <w:rFonts w:ascii="Arial" w:hAnsi="Arial" w:cs="Arial"/>
        </w:rPr>
        <w:t xml:space="preserve"> The inventory </w:t>
      </w:r>
      <w:r w:rsidR="000C7CC9" w:rsidRPr="000D0AE5">
        <w:rPr>
          <w:rFonts w:ascii="Arial" w:hAnsi="Arial" w:cs="Arial"/>
        </w:rPr>
        <w:t>names</w:t>
      </w:r>
      <w:r w:rsidR="00B515EE" w:rsidRPr="000D0AE5">
        <w:rPr>
          <w:rFonts w:ascii="Arial" w:hAnsi="Arial" w:cs="Arial"/>
        </w:rPr>
        <w:t xml:space="preserve"> a wash house, which suggests an outside space of some sort and </w:t>
      </w:r>
      <w:r w:rsidR="00B515EE" w:rsidRPr="000D0AE5">
        <w:rPr>
          <w:rFonts w:ascii="Arial" w:hAnsi="Arial" w:cs="Arial"/>
          <w:i/>
        </w:rPr>
        <w:t>Views</w:t>
      </w:r>
      <w:r w:rsidR="00B515EE" w:rsidRPr="000D0AE5">
        <w:rPr>
          <w:rFonts w:ascii="Arial" w:hAnsi="Arial" w:cs="Arial"/>
        </w:rPr>
        <w:t xml:space="preserve"> shows what </w:t>
      </w:r>
      <w:r w:rsidR="000C7CC9" w:rsidRPr="000D0AE5">
        <w:rPr>
          <w:rFonts w:ascii="Arial" w:hAnsi="Arial" w:cs="Arial"/>
        </w:rPr>
        <w:t>was perhaps</w:t>
      </w:r>
      <w:r w:rsidR="00B515EE" w:rsidRPr="000D0AE5">
        <w:rPr>
          <w:rFonts w:ascii="Arial" w:hAnsi="Arial" w:cs="Arial"/>
        </w:rPr>
        <w:t xml:space="preserve"> an archway behind the </w:t>
      </w:r>
      <w:r w:rsidR="003F162F">
        <w:rPr>
          <w:rFonts w:ascii="Arial" w:hAnsi="Arial" w:cs="Arial"/>
        </w:rPr>
        <w:t>eating</w:t>
      </w:r>
      <w:r w:rsidR="00B515EE" w:rsidRPr="000D0AE5">
        <w:rPr>
          <w:rFonts w:ascii="Arial" w:hAnsi="Arial" w:cs="Arial"/>
          <w:i/>
        </w:rPr>
        <w:t xml:space="preserve"> </w:t>
      </w:r>
      <w:r w:rsidR="00B515EE" w:rsidRPr="000D0AE5">
        <w:rPr>
          <w:rFonts w:ascii="Arial" w:hAnsi="Arial" w:cs="Arial"/>
        </w:rPr>
        <w:t>house which might have</w:t>
      </w:r>
      <w:r w:rsidR="00B515EE" w:rsidRPr="000D0AE5">
        <w:rPr>
          <w:rFonts w:ascii="Arial" w:hAnsi="Arial" w:cs="Arial"/>
          <w:i/>
        </w:rPr>
        <w:t xml:space="preserve"> </w:t>
      </w:r>
      <w:r w:rsidR="00B515EE" w:rsidRPr="000D0AE5">
        <w:rPr>
          <w:rFonts w:ascii="Arial" w:hAnsi="Arial" w:cs="Arial"/>
        </w:rPr>
        <w:t>given access</w:t>
      </w:r>
      <w:r w:rsidR="00D85D3B">
        <w:rPr>
          <w:rFonts w:ascii="Arial" w:hAnsi="Arial" w:cs="Arial"/>
        </w:rPr>
        <w:t>.</w:t>
      </w:r>
      <w:r w:rsidR="00B515EE" w:rsidRPr="000D0AE5">
        <w:rPr>
          <w:rFonts w:ascii="Arial" w:hAnsi="Arial" w:cs="Arial"/>
        </w:rPr>
        <w:t xml:space="preserve"> </w:t>
      </w:r>
      <w:r w:rsidR="00D85D3B">
        <w:rPr>
          <w:rFonts w:ascii="Arial" w:hAnsi="Arial" w:cs="Arial"/>
        </w:rPr>
        <w:t>But</w:t>
      </w:r>
      <w:r w:rsidR="00B515EE" w:rsidRPr="000D0AE5">
        <w:rPr>
          <w:rFonts w:ascii="Arial" w:hAnsi="Arial" w:cs="Arial"/>
        </w:rPr>
        <w:t xml:space="preserve"> this would have been unlikely to </w:t>
      </w:r>
      <w:r w:rsidR="00A02407">
        <w:rPr>
          <w:rFonts w:ascii="Arial" w:hAnsi="Arial" w:cs="Arial"/>
        </w:rPr>
        <w:t xml:space="preserve">be the entrance for </w:t>
      </w:r>
      <w:r w:rsidR="00B515EE" w:rsidRPr="000D0AE5">
        <w:rPr>
          <w:rFonts w:ascii="Arial" w:hAnsi="Arial" w:cs="Arial"/>
        </w:rPr>
        <w:t xml:space="preserve">anyone except servants and tradesmen. </w:t>
      </w:r>
      <w:r w:rsidRPr="000D0AE5">
        <w:rPr>
          <w:rFonts w:ascii="Arial" w:hAnsi="Arial" w:cs="Arial"/>
        </w:rPr>
        <w:t xml:space="preserve">The main front door would have </w:t>
      </w:r>
      <w:r w:rsidR="00457B59" w:rsidRPr="000D0AE5">
        <w:rPr>
          <w:rFonts w:ascii="Arial" w:hAnsi="Arial" w:cs="Arial"/>
        </w:rPr>
        <w:t xml:space="preserve">opened </w:t>
      </w:r>
      <w:r w:rsidR="000C2866" w:rsidRPr="000D0AE5">
        <w:rPr>
          <w:rFonts w:ascii="Arial" w:hAnsi="Arial" w:cs="Arial"/>
        </w:rPr>
        <w:t xml:space="preserve">from the street </w:t>
      </w:r>
      <w:r w:rsidR="00457B59" w:rsidRPr="000D0AE5">
        <w:rPr>
          <w:rFonts w:ascii="Arial" w:hAnsi="Arial" w:cs="Arial"/>
        </w:rPr>
        <w:t xml:space="preserve">onto </w:t>
      </w:r>
      <w:r w:rsidR="00A02407">
        <w:rPr>
          <w:rFonts w:ascii="Arial" w:hAnsi="Arial" w:cs="Arial"/>
        </w:rPr>
        <w:t xml:space="preserve">what the inventory called </w:t>
      </w:r>
      <w:r w:rsidR="003F162F">
        <w:rPr>
          <w:rFonts w:ascii="Arial" w:hAnsi="Arial" w:cs="Arial"/>
        </w:rPr>
        <w:t xml:space="preserve">the </w:t>
      </w:r>
      <w:r w:rsidR="00A02407">
        <w:rPr>
          <w:rFonts w:ascii="Arial" w:hAnsi="Arial" w:cs="Arial"/>
        </w:rPr>
        <w:t>‘</w:t>
      </w:r>
      <w:r w:rsidR="00457B59" w:rsidRPr="000D0AE5">
        <w:rPr>
          <w:rFonts w:ascii="Arial" w:hAnsi="Arial" w:cs="Arial"/>
        </w:rPr>
        <w:t>hall</w:t>
      </w:r>
      <w:r w:rsidR="00A02407">
        <w:rPr>
          <w:rFonts w:ascii="Arial" w:hAnsi="Arial" w:cs="Arial"/>
        </w:rPr>
        <w:t>’ – probably a passage running along the</w:t>
      </w:r>
      <w:r w:rsidR="00550F63">
        <w:rPr>
          <w:rFonts w:ascii="Arial" w:hAnsi="Arial" w:cs="Arial"/>
        </w:rPr>
        <w:t xml:space="preserve"> </w:t>
      </w:r>
      <w:r w:rsidR="00A02407">
        <w:rPr>
          <w:rFonts w:ascii="Arial" w:hAnsi="Arial" w:cs="Arial"/>
        </w:rPr>
        <w:t>side</w:t>
      </w:r>
      <w:r w:rsidR="00550F63">
        <w:rPr>
          <w:rFonts w:ascii="Arial" w:hAnsi="Arial" w:cs="Arial"/>
        </w:rPr>
        <w:t xml:space="preserve"> of the </w:t>
      </w:r>
      <w:r w:rsidR="00A02407">
        <w:rPr>
          <w:rFonts w:ascii="Arial" w:hAnsi="Arial" w:cs="Arial"/>
        </w:rPr>
        <w:t xml:space="preserve">tobacconist’s </w:t>
      </w:r>
      <w:r w:rsidR="00550F63">
        <w:rPr>
          <w:rFonts w:ascii="Arial" w:hAnsi="Arial" w:cs="Arial"/>
        </w:rPr>
        <w:t xml:space="preserve">shop. </w:t>
      </w:r>
      <w:r w:rsidR="000C2866" w:rsidRPr="000D0AE5">
        <w:rPr>
          <w:rFonts w:ascii="Arial" w:hAnsi="Arial" w:cs="Arial"/>
        </w:rPr>
        <w:t xml:space="preserve">As well as admitting </w:t>
      </w:r>
      <w:r w:rsidR="00F0459F" w:rsidRPr="000D0AE5">
        <w:rPr>
          <w:rFonts w:ascii="Arial" w:hAnsi="Arial" w:cs="Arial"/>
        </w:rPr>
        <w:t xml:space="preserve">Mr Orme and his family, his visitors, perhaps the servants, an apprentice if there was one, </w:t>
      </w:r>
      <w:r w:rsidR="00457B59" w:rsidRPr="000D0AE5">
        <w:rPr>
          <w:rFonts w:ascii="Arial" w:hAnsi="Arial" w:cs="Arial"/>
        </w:rPr>
        <w:t xml:space="preserve">and the people who had </w:t>
      </w:r>
      <w:r w:rsidR="00E400B4" w:rsidRPr="000D0AE5">
        <w:rPr>
          <w:rFonts w:ascii="Arial" w:hAnsi="Arial" w:cs="Arial"/>
        </w:rPr>
        <w:t xml:space="preserve">separate </w:t>
      </w:r>
      <w:r w:rsidR="00457B59" w:rsidRPr="000D0AE5">
        <w:rPr>
          <w:rFonts w:ascii="Arial" w:hAnsi="Arial" w:cs="Arial"/>
        </w:rPr>
        <w:t>lodgings in the house</w:t>
      </w:r>
      <w:r w:rsidR="000C2866" w:rsidRPr="000D0AE5">
        <w:rPr>
          <w:rFonts w:ascii="Arial" w:hAnsi="Arial" w:cs="Arial"/>
        </w:rPr>
        <w:t xml:space="preserve">, </w:t>
      </w:r>
      <w:r w:rsidR="00550F63">
        <w:rPr>
          <w:rFonts w:ascii="Arial" w:hAnsi="Arial" w:cs="Arial"/>
        </w:rPr>
        <w:t>this door</w:t>
      </w:r>
      <w:r w:rsidR="000C2866" w:rsidRPr="000D0AE5">
        <w:rPr>
          <w:rFonts w:ascii="Arial" w:hAnsi="Arial" w:cs="Arial"/>
        </w:rPr>
        <w:t xml:space="preserve"> also </w:t>
      </w:r>
      <w:r w:rsidR="00550F63">
        <w:rPr>
          <w:rFonts w:ascii="Arial" w:hAnsi="Arial" w:cs="Arial"/>
        </w:rPr>
        <w:t>gave access</w:t>
      </w:r>
      <w:r w:rsidR="00457B59" w:rsidRPr="000D0AE5">
        <w:rPr>
          <w:rFonts w:ascii="Arial" w:hAnsi="Arial" w:cs="Arial"/>
        </w:rPr>
        <w:t xml:space="preserve"> to </w:t>
      </w:r>
      <w:r w:rsidR="00550F63">
        <w:rPr>
          <w:rFonts w:ascii="Arial" w:hAnsi="Arial" w:cs="Arial"/>
        </w:rPr>
        <w:t xml:space="preserve">the </w:t>
      </w:r>
      <w:r w:rsidR="00457B59" w:rsidRPr="000D0AE5">
        <w:rPr>
          <w:rFonts w:ascii="Arial" w:hAnsi="Arial" w:cs="Arial"/>
        </w:rPr>
        <w:t xml:space="preserve">dentist’s surgery, which </w:t>
      </w:r>
      <w:r w:rsidR="002178D0">
        <w:rPr>
          <w:rFonts w:ascii="Arial" w:hAnsi="Arial" w:cs="Arial"/>
        </w:rPr>
        <w:t>likely</w:t>
      </w:r>
      <w:r w:rsidR="00457B59" w:rsidRPr="000D0AE5">
        <w:rPr>
          <w:rFonts w:ascii="Arial" w:hAnsi="Arial" w:cs="Arial"/>
        </w:rPr>
        <w:t xml:space="preserve"> accounts for the nature of the </w:t>
      </w:r>
      <w:r w:rsidR="000C2866" w:rsidRPr="000D0AE5">
        <w:rPr>
          <w:rFonts w:ascii="Arial" w:hAnsi="Arial" w:cs="Arial"/>
        </w:rPr>
        <w:t xml:space="preserve">hall’s </w:t>
      </w:r>
      <w:r w:rsidR="00457B59" w:rsidRPr="000D0AE5">
        <w:rPr>
          <w:rFonts w:ascii="Arial" w:hAnsi="Arial" w:cs="Arial"/>
        </w:rPr>
        <w:t>furnishings</w:t>
      </w:r>
      <w:r w:rsidR="00D85D3B">
        <w:rPr>
          <w:rFonts w:ascii="Arial" w:hAnsi="Arial" w:cs="Arial"/>
        </w:rPr>
        <w:t>, listed in the inventory as:</w:t>
      </w:r>
      <w:r w:rsidR="00457B59" w:rsidRPr="000D0AE5">
        <w:rPr>
          <w:rFonts w:ascii="Arial" w:hAnsi="Arial" w:cs="Arial"/>
        </w:rPr>
        <w:t xml:space="preserve"> oil cloth on the floor; two hall chairs; and four plaster figures. This </w:t>
      </w:r>
      <w:r w:rsidR="00A90E99" w:rsidRPr="000D0AE5">
        <w:rPr>
          <w:rFonts w:ascii="Arial" w:hAnsi="Arial" w:cs="Arial"/>
        </w:rPr>
        <w:t>might sound</w:t>
      </w:r>
      <w:r w:rsidR="00457B59" w:rsidRPr="000D0AE5">
        <w:rPr>
          <w:rFonts w:ascii="Arial" w:hAnsi="Arial" w:cs="Arial"/>
        </w:rPr>
        <w:t xml:space="preserve"> meagre but specifying the chairs as ‘hall chairs’ gives them a special meaning: hard-</w:t>
      </w:r>
      <w:r w:rsidR="00EC0DEA" w:rsidRPr="000D0AE5">
        <w:rPr>
          <w:rFonts w:ascii="Arial" w:hAnsi="Arial" w:cs="Arial"/>
        </w:rPr>
        <w:t>bottomed</w:t>
      </w:r>
      <w:r w:rsidR="00D85D3B">
        <w:rPr>
          <w:rFonts w:ascii="Arial" w:hAnsi="Arial" w:cs="Arial"/>
        </w:rPr>
        <w:t>,</w:t>
      </w:r>
      <w:r w:rsidR="00457B59" w:rsidRPr="000D0AE5">
        <w:rPr>
          <w:rFonts w:ascii="Arial" w:hAnsi="Arial" w:cs="Arial"/>
        </w:rPr>
        <w:t xml:space="preserve"> flat-backed seats </w:t>
      </w:r>
      <w:r w:rsidR="00B15DB8" w:rsidRPr="000D0AE5">
        <w:rPr>
          <w:rFonts w:ascii="Arial" w:hAnsi="Arial" w:cs="Arial"/>
        </w:rPr>
        <w:t xml:space="preserve">were conventionally </w:t>
      </w:r>
      <w:r w:rsidR="00EC0DEA" w:rsidRPr="000D0AE5">
        <w:rPr>
          <w:rFonts w:ascii="Arial" w:hAnsi="Arial" w:cs="Arial"/>
        </w:rPr>
        <w:t>placed</w:t>
      </w:r>
      <w:r w:rsidR="00457B59" w:rsidRPr="000D0AE5">
        <w:rPr>
          <w:rFonts w:ascii="Arial" w:hAnsi="Arial" w:cs="Arial"/>
        </w:rPr>
        <w:t xml:space="preserve"> in </w:t>
      </w:r>
      <w:r w:rsidR="00EC0DEA" w:rsidRPr="000D0AE5">
        <w:rPr>
          <w:rFonts w:ascii="Arial" w:hAnsi="Arial" w:cs="Arial"/>
        </w:rPr>
        <w:t xml:space="preserve">the </w:t>
      </w:r>
      <w:r w:rsidR="00457B59" w:rsidRPr="000D0AE5">
        <w:rPr>
          <w:rFonts w:ascii="Arial" w:hAnsi="Arial" w:cs="Arial"/>
        </w:rPr>
        <w:t>halls of big houses</w:t>
      </w:r>
      <w:r w:rsidR="00B15DB8" w:rsidRPr="000D0AE5">
        <w:rPr>
          <w:rFonts w:ascii="Arial" w:hAnsi="Arial" w:cs="Arial"/>
        </w:rPr>
        <w:t>,</w:t>
      </w:r>
      <w:r w:rsidR="00457B59" w:rsidRPr="000D0AE5">
        <w:rPr>
          <w:rFonts w:ascii="Arial" w:hAnsi="Arial" w:cs="Arial"/>
        </w:rPr>
        <w:t xml:space="preserve"> clubs</w:t>
      </w:r>
      <w:r w:rsidR="00B15DB8" w:rsidRPr="000D0AE5">
        <w:rPr>
          <w:rFonts w:ascii="Arial" w:hAnsi="Arial" w:cs="Arial"/>
        </w:rPr>
        <w:t xml:space="preserve"> or other institutions</w:t>
      </w:r>
      <w:r w:rsidR="00457B59" w:rsidRPr="000D0AE5">
        <w:rPr>
          <w:rFonts w:ascii="Arial" w:hAnsi="Arial" w:cs="Arial"/>
        </w:rPr>
        <w:t xml:space="preserve"> to accommodate</w:t>
      </w:r>
      <w:r w:rsidR="00EC0DEA" w:rsidRPr="000D0AE5">
        <w:rPr>
          <w:rFonts w:ascii="Arial" w:hAnsi="Arial" w:cs="Arial"/>
        </w:rPr>
        <w:t>, with</w:t>
      </w:r>
      <w:r w:rsidR="00B15DB8" w:rsidRPr="000D0AE5">
        <w:rPr>
          <w:rFonts w:ascii="Arial" w:hAnsi="Arial" w:cs="Arial"/>
        </w:rPr>
        <w:t>out too much comfort,</w:t>
      </w:r>
      <w:r w:rsidR="00457B59" w:rsidRPr="000D0AE5">
        <w:rPr>
          <w:rFonts w:ascii="Arial" w:hAnsi="Arial" w:cs="Arial"/>
        </w:rPr>
        <w:t xml:space="preserve"> people waiting to be admitted</w:t>
      </w:r>
      <w:r w:rsidR="00EC0DEA" w:rsidRPr="000D0AE5">
        <w:rPr>
          <w:rFonts w:ascii="Arial" w:hAnsi="Arial" w:cs="Arial"/>
        </w:rPr>
        <w:t>. T</w:t>
      </w:r>
      <w:r w:rsidR="00457B59" w:rsidRPr="000D0AE5">
        <w:rPr>
          <w:rFonts w:ascii="Arial" w:hAnsi="Arial" w:cs="Arial"/>
        </w:rPr>
        <w:t xml:space="preserve">he plaster figures, too, reference statues </w:t>
      </w:r>
      <w:r w:rsidR="00EC0DEA" w:rsidRPr="000D0AE5">
        <w:rPr>
          <w:rFonts w:ascii="Arial" w:hAnsi="Arial" w:cs="Arial"/>
        </w:rPr>
        <w:t>in</w:t>
      </w:r>
      <w:r w:rsidR="00457B59" w:rsidRPr="000D0AE5">
        <w:rPr>
          <w:rFonts w:ascii="Arial" w:hAnsi="Arial" w:cs="Arial"/>
        </w:rPr>
        <w:t xml:space="preserve"> similar locations.</w:t>
      </w:r>
      <w:r w:rsidR="003927B8" w:rsidRPr="000D0AE5">
        <w:rPr>
          <w:rStyle w:val="FootnoteReference"/>
          <w:rFonts w:ascii="Arial" w:hAnsi="Arial" w:cs="Arial"/>
        </w:rPr>
        <w:footnoteReference w:id="20"/>
      </w:r>
    </w:p>
    <w:p w14:paraId="09D81385" w14:textId="42DAE33E" w:rsidR="00A02407" w:rsidRPr="000D0AE5" w:rsidRDefault="001E46EB" w:rsidP="00081C94">
      <w:pPr>
        <w:pStyle w:val="NormalWeb"/>
        <w:shd w:val="clear" w:color="auto" w:fill="FFFFFF"/>
        <w:spacing w:before="0" w:beforeAutospacing="0" w:after="0" w:afterAutospacing="0" w:line="360" w:lineRule="auto"/>
        <w:ind w:firstLine="720"/>
        <w:rPr>
          <w:rFonts w:ascii="Arial" w:hAnsi="Arial" w:cs="Arial"/>
        </w:rPr>
      </w:pPr>
      <w:r w:rsidRPr="000D0AE5">
        <w:rPr>
          <w:rFonts w:ascii="Arial" w:hAnsi="Arial" w:cs="Arial"/>
        </w:rPr>
        <w:t xml:space="preserve">This kind of formal furnishing in the introductory environment of the hall </w:t>
      </w:r>
      <w:r w:rsidR="00B76BDB" w:rsidRPr="000D0AE5">
        <w:rPr>
          <w:rFonts w:ascii="Arial" w:hAnsi="Arial" w:cs="Arial"/>
        </w:rPr>
        <w:t xml:space="preserve">was not just a matter of Mr Orme’s own </w:t>
      </w:r>
      <w:r w:rsidRPr="000D0AE5">
        <w:rPr>
          <w:rFonts w:ascii="Arial" w:hAnsi="Arial" w:cs="Arial"/>
        </w:rPr>
        <w:t>taste</w:t>
      </w:r>
      <w:r w:rsidR="00B76BDB" w:rsidRPr="000D0AE5">
        <w:rPr>
          <w:rFonts w:ascii="Arial" w:hAnsi="Arial" w:cs="Arial"/>
        </w:rPr>
        <w:t xml:space="preserve"> </w:t>
      </w:r>
      <w:r w:rsidRPr="000D0AE5">
        <w:rPr>
          <w:rFonts w:ascii="Arial" w:hAnsi="Arial" w:cs="Arial"/>
        </w:rPr>
        <w:t xml:space="preserve">(of which more shortly) </w:t>
      </w:r>
      <w:r w:rsidR="00B76BDB" w:rsidRPr="000D0AE5">
        <w:rPr>
          <w:rFonts w:ascii="Arial" w:hAnsi="Arial" w:cs="Arial"/>
        </w:rPr>
        <w:t xml:space="preserve">but </w:t>
      </w:r>
      <w:r w:rsidR="00A90E99" w:rsidRPr="000D0AE5">
        <w:rPr>
          <w:rFonts w:ascii="Arial" w:hAnsi="Arial" w:cs="Arial"/>
        </w:rPr>
        <w:t xml:space="preserve">can be read as </w:t>
      </w:r>
      <w:r w:rsidR="00B76BDB" w:rsidRPr="000D0AE5">
        <w:rPr>
          <w:rFonts w:ascii="Arial" w:hAnsi="Arial" w:cs="Arial"/>
        </w:rPr>
        <w:t xml:space="preserve">a professional necessity. </w:t>
      </w:r>
      <w:r w:rsidR="002C5A80" w:rsidRPr="000D0AE5">
        <w:rPr>
          <w:rFonts w:ascii="Arial" w:hAnsi="Arial" w:cs="Arial"/>
        </w:rPr>
        <w:t xml:space="preserve">Dentistry at this date </w:t>
      </w:r>
      <w:r w:rsidR="003F162F" w:rsidRPr="000D0AE5">
        <w:rPr>
          <w:rFonts w:ascii="Arial" w:hAnsi="Arial" w:cs="Arial"/>
        </w:rPr>
        <w:t xml:space="preserve">was </w:t>
      </w:r>
      <w:r w:rsidR="002C5A80" w:rsidRPr="000D0AE5">
        <w:rPr>
          <w:rFonts w:ascii="Arial" w:hAnsi="Arial" w:cs="Arial"/>
        </w:rPr>
        <w:t xml:space="preserve">a </w:t>
      </w:r>
      <w:r w:rsidR="003F162F">
        <w:rPr>
          <w:rFonts w:ascii="Arial" w:hAnsi="Arial" w:cs="Arial"/>
        </w:rPr>
        <w:t xml:space="preserve">relatively </w:t>
      </w:r>
      <w:r w:rsidR="002C5A80" w:rsidRPr="000D0AE5">
        <w:rPr>
          <w:rFonts w:ascii="Arial" w:hAnsi="Arial" w:cs="Arial"/>
        </w:rPr>
        <w:t>new, expanding sector</w:t>
      </w:r>
      <w:r w:rsidR="00B613B9">
        <w:rPr>
          <w:rFonts w:ascii="Arial" w:hAnsi="Arial" w:cs="Arial"/>
        </w:rPr>
        <w:t>,</w:t>
      </w:r>
      <w:r w:rsidR="002C5A80" w:rsidRPr="000D0AE5">
        <w:rPr>
          <w:rFonts w:ascii="Arial" w:hAnsi="Arial" w:cs="Arial"/>
        </w:rPr>
        <w:t xml:space="preserve"> offering exciting entrepreneurial possibilities.</w:t>
      </w:r>
      <w:r w:rsidR="002C5A80" w:rsidRPr="000D0AE5">
        <w:rPr>
          <w:rStyle w:val="FootnoteReference"/>
          <w:rFonts w:ascii="Arial" w:hAnsi="Arial" w:cs="Arial"/>
        </w:rPr>
        <w:footnoteReference w:id="21"/>
      </w:r>
      <w:r w:rsidR="002C5A80" w:rsidRPr="000D0AE5">
        <w:rPr>
          <w:rFonts w:ascii="Arial" w:hAnsi="Arial" w:cs="Arial"/>
        </w:rPr>
        <w:t xml:space="preserve"> </w:t>
      </w:r>
      <w:r w:rsidR="000A7624">
        <w:rPr>
          <w:rFonts w:ascii="Arial" w:hAnsi="Arial" w:cs="Arial"/>
        </w:rPr>
        <w:t>Until the late 1850s it</w:t>
      </w:r>
      <w:r w:rsidRPr="000D0AE5">
        <w:rPr>
          <w:rFonts w:ascii="Arial" w:hAnsi="Arial" w:cs="Arial"/>
        </w:rPr>
        <w:t xml:space="preserve"> was a</w:t>
      </w:r>
      <w:r w:rsidR="003F162F">
        <w:rPr>
          <w:rFonts w:ascii="Arial" w:hAnsi="Arial" w:cs="Arial"/>
        </w:rPr>
        <w:t>n</w:t>
      </w:r>
      <w:r w:rsidRPr="000D0AE5">
        <w:rPr>
          <w:rFonts w:ascii="Arial" w:hAnsi="Arial" w:cs="Arial"/>
        </w:rPr>
        <w:t xml:space="preserve"> easy profession to enter since, unlike medicine, which required a lengthy and expensive training, there was no regulated course of dental study. </w:t>
      </w:r>
      <w:r w:rsidR="008C66E3" w:rsidRPr="000D0AE5">
        <w:rPr>
          <w:rFonts w:ascii="Arial" w:hAnsi="Arial" w:cs="Arial"/>
        </w:rPr>
        <w:t xml:space="preserve">Treatment in the first half of the century could be expensive; Mr Orme advertised complete sets of artificial teeth, which could be had for as little as £5.0.0 but a </w:t>
      </w:r>
      <w:r w:rsidR="008870AB">
        <w:rPr>
          <w:rFonts w:ascii="Arial" w:hAnsi="Arial" w:cs="Arial"/>
        </w:rPr>
        <w:t>single</w:t>
      </w:r>
      <w:r w:rsidR="008C66E3" w:rsidRPr="000D0AE5">
        <w:rPr>
          <w:rFonts w:ascii="Arial" w:hAnsi="Arial" w:cs="Arial"/>
        </w:rPr>
        <w:t xml:space="preserve"> ‘incorrodible composition’ artificial tooth cost £1.1.0</w:t>
      </w:r>
      <w:r w:rsidR="00E12EAA">
        <w:rPr>
          <w:rFonts w:ascii="Arial" w:hAnsi="Arial" w:cs="Arial"/>
        </w:rPr>
        <w:t xml:space="preserve"> (</w:t>
      </w:r>
      <w:r w:rsidR="00E12EAA" w:rsidRPr="00011459">
        <w:rPr>
          <w:rFonts w:ascii="Arial" w:hAnsi="Arial" w:cs="Arial"/>
        </w:rPr>
        <w:t xml:space="preserve">Figure </w:t>
      </w:r>
      <w:r w:rsidR="00A32B15" w:rsidRPr="00011459">
        <w:rPr>
          <w:rFonts w:ascii="Arial" w:hAnsi="Arial" w:cs="Arial"/>
        </w:rPr>
        <w:t>2</w:t>
      </w:r>
      <w:r w:rsidR="00E12EAA">
        <w:rPr>
          <w:rFonts w:ascii="Arial" w:hAnsi="Arial" w:cs="Arial"/>
        </w:rPr>
        <w:t>)</w:t>
      </w:r>
      <w:r w:rsidR="008C66E3" w:rsidRPr="000D0AE5">
        <w:rPr>
          <w:rFonts w:ascii="Arial" w:hAnsi="Arial" w:cs="Arial"/>
        </w:rPr>
        <w:t>. D</w:t>
      </w:r>
      <w:r w:rsidR="002C5A80" w:rsidRPr="000D0AE5">
        <w:rPr>
          <w:rFonts w:ascii="Arial" w:hAnsi="Arial" w:cs="Arial"/>
        </w:rPr>
        <w:t xml:space="preserve">entists set up where they could be reached by a wealthy population. Patients came to the dental surgery for treatment and élite </w:t>
      </w:r>
      <w:r w:rsidR="002C5A80" w:rsidRPr="000D0AE5">
        <w:rPr>
          <w:rFonts w:ascii="Arial" w:hAnsi="Arial" w:cs="Arial"/>
        </w:rPr>
        <w:lastRenderedPageBreak/>
        <w:t xml:space="preserve">diaries make references to trips to the dentist, </w:t>
      </w:r>
      <w:r w:rsidR="003F162F">
        <w:rPr>
          <w:rFonts w:ascii="Arial" w:hAnsi="Arial" w:cs="Arial"/>
        </w:rPr>
        <w:t>frequently</w:t>
      </w:r>
      <w:r w:rsidR="002C5A80" w:rsidRPr="000D0AE5">
        <w:rPr>
          <w:rFonts w:ascii="Arial" w:hAnsi="Arial" w:cs="Arial"/>
        </w:rPr>
        <w:t xml:space="preserve"> combined with shopping or social events, either in London or a nearby town.</w:t>
      </w:r>
      <w:r w:rsidR="002C5A80" w:rsidRPr="000D0AE5">
        <w:rPr>
          <w:rStyle w:val="FootnoteReference"/>
          <w:rFonts w:ascii="Arial" w:hAnsi="Arial" w:cs="Arial"/>
        </w:rPr>
        <w:footnoteReference w:id="22"/>
      </w:r>
      <w:r w:rsidR="002C5A80" w:rsidRPr="000D0AE5">
        <w:rPr>
          <w:rFonts w:ascii="Arial" w:hAnsi="Arial" w:cs="Arial"/>
        </w:rPr>
        <w:t xml:space="preserve"> </w:t>
      </w:r>
    </w:p>
    <w:p w14:paraId="41718725" w14:textId="77777777" w:rsidR="00E400B4" w:rsidRPr="000D0AE5" w:rsidRDefault="00E400B4" w:rsidP="00081C94">
      <w:pPr>
        <w:pStyle w:val="NormalWeb"/>
        <w:shd w:val="clear" w:color="auto" w:fill="FFFFFF"/>
        <w:spacing w:before="0" w:beforeAutospacing="0" w:after="0" w:afterAutospacing="0" w:line="360" w:lineRule="auto"/>
        <w:ind w:firstLine="720"/>
        <w:rPr>
          <w:rFonts w:ascii="Arial" w:hAnsi="Arial" w:cs="Arial"/>
        </w:rPr>
      </w:pPr>
    </w:p>
    <w:p w14:paraId="3B5A6844" w14:textId="77777777" w:rsidR="00E400B4" w:rsidRPr="000D0AE5" w:rsidRDefault="00E400B4" w:rsidP="00081C94">
      <w:pPr>
        <w:pStyle w:val="NormalWeb"/>
        <w:shd w:val="clear" w:color="auto" w:fill="FFFFFF"/>
        <w:spacing w:before="0" w:beforeAutospacing="0" w:after="0" w:afterAutospacing="0" w:line="360" w:lineRule="auto"/>
        <w:ind w:firstLine="720"/>
        <w:rPr>
          <w:rFonts w:ascii="Arial" w:hAnsi="Arial" w:cs="Arial"/>
        </w:rPr>
      </w:pPr>
      <w:r w:rsidRPr="000D0AE5">
        <w:rPr>
          <w:rFonts w:ascii="Arial" w:hAnsi="Arial" w:cs="Arial"/>
          <w:noProof/>
        </w:rPr>
        <w:drawing>
          <wp:inline distT="0" distB="0" distL="0" distR="0" wp14:anchorId="119A5813" wp14:editId="69318247">
            <wp:extent cx="4892040" cy="3475610"/>
            <wp:effectExtent l="0" t="0" r="3810" b="0"/>
            <wp:docPr id="1" name="Picture 1" descr="C:\Users\RHUL\Dropbox\Articles\Tallis\File 22-12-2016, 09 20 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UL\Dropbox\Articles\Tallis\File 22-12-2016, 09 20 50.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5" t="30138" r="42429" b="18097"/>
                    <a:stretch/>
                  </pic:blipFill>
                  <pic:spPr bwMode="auto">
                    <a:xfrm>
                      <a:off x="0" y="0"/>
                      <a:ext cx="4900193" cy="3481402"/>
                    </a:xfrm>
                    <a:prstGeom prst="rect">
                      <a:avLst/>
                    </a:prstGeom>
                    <a:noFill/>
                    <a:ln>
                      <a:noFill/>
                    </a:ln>
                    <a:extLst>
                      <a:ext uri="{53640926-AAD7-44D8-BBD7-CCE9431645EC}">
                        <a14:shadowObscured xmlns:a14="http://schemas.microsoft.com/office/drawing/2010/main"/>
                      </a:ext>
                    </a:extLst>
                  </pic:spPr>
                </pic:pic>
              </a:graphicData>
            </a:graphic>
          </wp:inline>
        </w:drawing>
      </w:r>
    </w:p>
    <w:p w14:paraId="165EB9AB" w14:textId="56CD866D" w:rsidR="00E400B4" w:rsidRDefault="00A32B15" w:rsidP="002C4097">
      <w:pPr>
        <w:pStyle w:val="NormalWeb"/>
        <w:shd w:val="clear" w:color="auto" w:fill="FFFFFF"/>
        <w:spacing w:before="0" w:beforeAutospacing="0" w:after="0" w:afterAutospacing="0" w:line="360" w:lineRule="auto"/>
        <w:rPr>
          <w:rFonts w:ascii="Arial" w:hAnsi="Arial" w:cs="Arial"/>
        </w:rPr>
      </w:pPr>
      <w:r w:rsidRPr="00A32B15">
        <w:rPr>
          <w:rFonts w:ascii="Arial" w:hAnsi="Arial" w:cs="Arial"/>
        </w:rPr>
        <w:t xml:space="preserve">Figure 2. Mr Orme’s advertisement in </w:t>
      </w:r>
      <w:r w:rsidRPr="00A32B15">
        <w:rPr>
          <w:rFonts w:ascii="Arial" w:hAnsi="Arial" w:cs="Arial"/>
          <w:i/>
        </w:rPr>
        <w:t>London Street Views</w:t>
      </w:r>
      <w:r w:rsidRPr="00A32B15">
        <w:rPr>
          <w:rFonts w:ascii="Arial" w:hAnsi="Arial" w:cs="Arial"/>
        </w:rPr>
        <w:t>, part 65</w:t>
      </w:r>
      <w:r>
        <w:rPr>
          <w:rFonts w:ascii="Arial" w:hAnsi="Arial" w:cs="Arial"/>
        </w:rPr>
        <w:t>.</w:t>
      </w:r>
      <w:r w:rsidR="002C4097">
        <w:rPr>
          <w:rFonts w:ascii="Arial" w:hAnsi="Arial" w:cs="Arial"/>
        </w:rPr>
        <w:t xml:space="preserve"> </w:t>
      </w:r>
      <w:r w:rsidR="002C4097" w:rsidRPr="002C4097">
        <w:rPr>
          <w:rFonts w:ascii="Arial" w:hAnsi="Arial" w:cs="Arial"/>
          <w:bCs/>
        </w:rPr>
        <w:t>Courtesy, The Lilly Library, Indiana University, Bloomington, Indiana.</w:t>
      </w:r>
    </w:p>
    <w:p w14:paraId="5F1C1C03" w14:textId="77777777" w:rsidR="00A32B15" w:rsidRPr="00A32B15" w:rsidRDefault="00A32B15" w:rsidP="00081C94">
      <w:pPr>
        <w:pStyle w:val="NormalWeb"/>
        <w:shd w:val="clear" w:color="auto" w:fill="FFFFFF"/>
        <w:spacing w:before="0" w:beforeAutospacing="0" w:after="0" w:afterAutospacing="0" w:line="360" w:lineRule="auto"/>
        <w:ind w:firstLine="720"/>
        <w:rPr>
          <w:rFonts w:ascii="Arial" w:hAnsi="Arial" w:cs="Arial"/>
        </w:rPr>
      </w:pPr>
    </w:p>
    <w:p w14:paraId="4B059B1B" w14:textId="27D06660" w:rsidR="002C5A80" w:rsidRPr="000D0AE5" w:rsidRDefault="002C5A80" w:rsidP="00081C94">
      <w:pPr>
        <w:pStyle w:val="NormalWeb"/>
        <w:shd w:val="clear" w:color="auto" w:fill="FFFFFF"/>
        <w:spacing w:before="0" w:beforeAutospacing="0" w:after="0" w:afterAutospacing="0" w:line="360" w:lineRule="auto"/>
        <w:ind w:firstLine="720"/>
        <w:rPr>
          <w:rFonts w:ascii="Arial" w:hAnsi="Arial" w:cs="Arial"/>
        </w:rPr>
      </w:pPr>
      <w:r w:rsidRPr="000D0AE5">
        <w:rPr>
          <w:rFonts w:ascii="Arial" w:hAnsi="Arial" w:cs="Arial"/>
        </w:rPr>
        <w:t xml:space="preserve">Dentists, like doctors, </w:t>
      </w:r>
      <w:r w:rsidR="00CB3659" w:rsidRPr="000D0AE5">
        <w:rPr>
          <w:rFonts w:ascii="Arial" w:hAnsi="Arial" w:cs="Arial"/>
        </w:rPr>
        <w:t xml:space="preserve">would </w:t>
      </w:r>
      <w:r w:rsidRPr="000D0AE5">
        <w:rPr>
          <w:rFonts w:ascii="Arial" w:hAnsi="Arial" w:cs="Arial"/>
        </w:rPr>
        <w:t>have been more successful at attracting and keeping wealthy and genteel patients if they were able to manifest an air of knowledge, substance and gentility.</w:t>
      </w:r>
      <w:r w:rsidRPr="000D0AE5">
        <w:rPr>
          <w:rStyle w:val="FootnoteReference"/>
          <w:rFonts w:ascii="Arial" w:hAnsi="Arial" w:cs="Arial"/>
        </w:rPr>
        <w:footnoteReference w:id="23"/>
      </w:r>
      <w:r w:rsidRPr="000D0AE5">
        <w:rPr>
          <w:rFonts w:ascii="Arial" w:hAnsi="Arial" w:cs="Arial"/>
        </w:rPr>
        <w:t xml:space="preserve"> </w:t>
      </w:r>
      <w:r w:rsidR="00B613B9">
        <w:rPr>
          <w:rFonts w:ascii="Arial" w:hAnsi="Arial" w:cs="Arial"/>
        </w:rPr>
        <w:t xml:space="preserve">Perhaps Mr Orme used </w:t>
      </w:r>
      <w:r w:rsidR="00F12C7F">
        <w:rPr>
          <w:rFonts w:ascii="Arial" w:hAnsi="Arial" w:cs="Arial"/>
        </w:rPr>
        <w:t xml:space="preserve">an </w:t>
      </w:r>
      <w:r w:rsidR="001E2183">
        <w:rPr>
          <w:rFonts w:ascii="Arial" w:hAnsi="Arial" w:cs="Arial"/>
        </w:rPr>
        <w:t>image of a leather-bound book in his advertisement</w:t>
      </w:r>
      <w:r w:rsidR="00B613B9">
        <w:rPr>
          <w:rFonts w:ascii="Arial" w:hAnsi="Arial" w:cs="Arial"/>
        </w:rPr>
        <w:t xml:space="preserve"> to suggest </w:t>
      </w:r>
      <w:r w:rsidR="00F12C7F">
        <w:rPr>
          <w:rFonts w:ascii="Arial" w:hAnsi="Arial" w:cs="Arial"/>
        </w:rPr>
        <w:t xml:space="preserve">that </w:t>
      </w:r>
      <w:r w:rsidR="001E2183">
        <w:rPr>
          <w:rFonts w:ascii="Arial" w:hAnsi="Arial" w:cs="Arial"/>
        </w:rPr>
        <w:t>his practice was permanen</w:t>
      </w:r>
      <w:r w:rsidR="00F12C7F">
        <w:rPr>
          <w:rFonts w:ascii="Arial" w:hAnsi="Arial" w:cs="Arial"/>
        </w:rPr>
        <w:t>t</w:t>
      </w:r>
      <w:r w:rsidR="001E2183">
        <w:rPr>
          <w:rFonts w:ascii="Arial" w:hAnsi="Arial" w:cs="Arial"/>
        </w:rPr>
        <w:t xml:space="preserve"> and that he </w:t>
      </w:r>
      <w:r w:rsidR="00F12C7F">
        <w:rPr>
          <w:rFonts w:ascii="Arial" w:hAnsi="Arial" w:cs="Arial"/>
        </w:rPr>
        <w:t>possessed</w:t>
      </w:r>
      <w:r w:rsidR="001E2183">
        <w:rPr>
          <w:rFonts w:ascii="Arial" w:hAnsi="Arial" w:cs="Arial"/>
        </w:rPr>
        <w:t xml:space="preserve"> authority and learning. </w:t>
      </w:r>
      <w:r w:rsidRPr="000D0AE5">
        <w:rPr>
          <w:rFonts w:ascii="Arial" w:hAnsi="Arial" w:cs="Arial"/>
        </w:rPr>
        <w:t>Simon Szreter argues that</w:t>
      </w:r>
      <w:r w:rsidR="00B613B9">
        <w:rPr>
          <w:rFonts w:ascii="Arial" w:hAnsi="Arial" w:cs="Arial"/>
        </w:rPr>
        <w:t>,</w:t>
      </w:r>
      <w:r w:rsidRPr="000D0AE5">
        <w:rPr>
          <w:rFonts w:ascii="Arial" w:hAnsi="Arial" w:cs="Arial"/>
        </w:rPr>
        <w:t xml:space="preserve"> whereas the manufacturers or retailers of goods were judged by their products, professionals relied on ‘metonymic signalling’ because their clients could not judge their services in advance.</w:t>
      </w:r>
      <w:r w:rsidRPr="000D0AE5">
        <w:rPr>
          <w:rStyle w:val="FootnoteReference"/>
          <w:rFonts w:ascii="Arial" w:hAnsi="Arial" w:cs="Arial"/>
        </w:rPr>
        <w:footnoteReference w:id="24"/>
      </w:r>
      <w:r w:rsidRPr="000D0AE5">
        <w:rPr>
          <w:rFonts w:ascii="Arial" w:hAnsi="Arial" w:cs="Arial"/>
        </w:rPr>
        <w:t xml:space="preserve"> </w:t>
      </w:r>
      <w:r w:rsidR="00F12C7F">
        <w:rPr>
          <w:rFonts w:ascii="Arial" w:hAnsi="Arial" w:cs="Arial"/>
        </w:rPr>
        <w:t xml:space="preserve">This was partly a material matter and </w:t>
      </w:r>
      <w:r w:rsidR="00CB3659" w:rsidRPr="000D0AE5">
        <w:rPr>
          <w:rFonts w:ascii="Arial" w:hAnsi="Arial" w:cs="Arial"/>
        </w:rPr>
        <w:t>Mr Orme’s respectable, slightly grand, middle-class hall furnishings</w:t>
      </w:r>
      <w:r w:rsidR="001E46EB" w:rsidRPr="000D0AE5">
        <w:rPr>
          <w:rFonts w:ascii="Arial" w:hAnsi="Arial" w:cs="Arial"/>
        </w:rPr>
        <w:t>, then,</w:t>
      </w:r>
      <w:r w:rsidR="00CB3659" w:rsidRPr="000D0AE5">
        <w:rPr>
          <w:rFonts w:ascii="Arial" w:hAnsi="Arial" w:cs="Arial"/>
        </w:rPr>
        <w:t xml:space="preserve"> indicated that he was a good dentist. </w:t>
      </w:r>
    </w:p>
    <w:p w14:paraId="201CED00" w14:textId="273A5B89" w:rsidR="00BE3C29" w:rsidRPr="000D0AE5" w:rsidRDefault="001E46EB" w:rsidP="00081C94">
      <w:pPr>
        <w:ind w:firstLine="720"/>
      </w:pPr>
      <w:r w:rsidRPr="000D0AE5">
        <w:lastRenderedPageBreak/>
        <w:t xml:space="preserve">The same applies to the </w:t>
      </w:r>
      <w:r w:rsidR="00BC46CD" w:rsidRPr="000D0AE5">
        <w:t>furnishing of the dental practice itself</w:t>
      </w:r>
      <w:r w:rsidRPr="000D0AE5">
        <w:t xml:space="preserve">, </w:t>
      </w:r>
      <w:r w:rsidR="00637013" w:rsidRPr="000D0AE5">
        <w:t>probably at the rear of the ground floor</w:t>
      </w:r>
      <w:r w:rsidR="00637013">
        <w:t>,</w:t>
      </w:r>
      <w:r w:rsidR="00637013" w:rsidRPr="000D0AE5">
        <w:t xml:space="preserve"> </w:t>
      </w:r>
      <w:r w:rsidRPr="000D0AE5">
        <w:t xml:space="preserve">which was reached from </w:t>
      </w:r>
      <w:r w:rsidR="00BC46CD" w:rsidRPr="000D0AE5">
        <w:t>the main entrance to the house</w:t>
      </w:r>
      <w:r w:rsidR="00FB72C2" w:rsidRPr="000D0AE5">
        <w:t xml:space="preserve">. It was arranged as three spaces: </w:t>
      </w:r>
      <w:r w:rsidR="00133414" w:rsidRPr="000D0AE5">
        <w:t>a ‘parlour’, a ‘work room’ and a ‘room adjoining [the work room]’. Judging by its contents</w:t>
      </w:r>
      <w:r w:rsidR="008C66E3" w:rsidRPr="000D0AE5">
        <w:t>,</w:t>
      </w:r>
      <w:r w:rsidR="00133414" w:rsidRPr="000D0AE5">
        <w:t xml:space="preserve"> the ‘parlour’ was the waiting room. There </w:t>
      </w:r>
      <w:r w:rsidR="00FB72C2" w:rsidRPr="000D0AE5">
        <w:t>were twelve cane</w:t>
      </w:r>
      <w:r w:rsidR="003F162F">
        <w:t>-</w:t>
      </w:r>
      <w:r w:rsidR="00FB72C2" w:rsidRPr="000D0AE5">
        <w:t xml:space="preserve">seated chairs with cushions and a small library of books. The ‘marble-topped mahogany table with fittings’ and the ‘sundry glass &amp;c for the use of patients’ perhaps had some dental use. But there </w:t>
      </w:r>
      <w:r w:rsidR="004B313F" w:rsidRPr="000D0AE5">
        <w:t>w</w:t>
      </w:r>
      <w:r w:rsidR="000A7624">
        <w:t xml:space="preserve">ere </w:t>
      </w:r>
      <w:r w:rsidR="00FB72C2" w:rsidRPr="000D0AE5">
        <w:t xml:space="preserve">also </w:t>
      </w:r>
      <w:r w:rsidR="000A7624">
        <w:t>many</w:t>
      </w:r>
      <w:r w:rsidR="00133414" w:rsidRPr="000D0AE5">
        <w:t xml:space="preserve"> </w:t>
      </w:r>
      <w:r w:rsidR="004B313F" w:rsidRPr="000D0AE5">
        <w:t>less directly useful</w:t>
      </w:r>
      <w:r w:rsidR="00FB72C2" w:rsidRPr="000D0AE5">
        <w:t xml:space="preserve"> </w:t>
      </w:r>
      <w:r w:rsidR="00222F53" w:rsidRPr="000D0AE5">
        <w:t>items</w:t>
      </w:r>
      <w:r w:rsidR="004B313F" w:rsidRPr="000D0AE5">
        <w:t>: prints</w:t>
      </w:r>
      <w:r w:rsidR="003F162F">
        <w:t>;</w:t>
      </w:r>
      <w:r w:rsidR="004B313F" w:rsidRPr="000D0AE5">
        <w:t xml:space="preserve"> plaster figures; wax flower arrangements; a stuffed squirrel</w:t>
      </w:r>
      <w:r w:rsidR="003F162F">
        <w:t>;</w:t>
      </w:r>
      <w:r w:rsidR="004B313F" w:rsidRPr="000D0AE5">
        <w:t xml:space="preserve"> and a model of a hand. </w:t>
      </w:r>
      <w:r w:rsidR="006561CE" w:rsidRPr="000D0AE5">
        <w:t>These distinctly ‘domestic’ items p</w:t>
      </w:r>
      <w:r w:rsidR="004B313F" w:rsidRPr="000D0AE5">
        <w:t xml:space="preserve">erhaps offered </w:t>
      </w:r>
      <w:r w:rsidR="003F162F">
        <w:t xml:space="preserve">a </w:t>
      </w:r>
      <w:r w:rsidR="00133414" w:rsidRPr="000D0AE5">
        <w:t>distract</w:t>
      </w:r>
      <w:r w:rsidR="003F162F">
        <w:t>ion</w:t>
      </w:r>
      <w:r w:rsidR="00133414" w:rsidRPr="000D0AE5">
        <w:t xml:space="preserve"> from the forthcoming </w:t>
      </w:r>
      <w:r w:rsidR="00722BFD">
        <w:t>treatment</w:t>
      </w:r>
      <w:r w:rsidR="004B313F" w:rsidRPr="000D0AE5">
        <w:t xml:space="preserve"> but they probably also aimed to </w:t>
      </w:r>
      <w:r w:rsidR="002335B8" w:rsidRPr="000D0AE5">
        <w:t xml:space="preserve">reassure </w:t>
      </w:r>
      <w:r w:rsidR="004B313F" w:rsidRPr="000D0AE5">
        <w:t>patients that the</w:t>
      </w:r>
      <w:r w:rsidR="006561CE" w:rsidRPr="000D0AE5">
        <w:t>i</w:t>
      </w:r>
      <w:r w:rsidR="004B313F" w:rsidRPr="000D0AE5">
        <w:t xml:space="preserve">r dentist was a man of substance and knowledge. </w:t>
      </w:r>
      <w:r w:rsidR="00BE3C29" w:rsidRPr="000D0AE5">
        <w:t>Katherine Grier</w:t>
      </w:r>
      <w:r w:rsidR="00B127F1">
        <w:t xml:space="preserve"> has argued that American </w:t>
      </w:r>
      <w:r w:rsidR="00B127F1" w:rsidRPr="000D0AE5">
        <w:t>‘commercial parlours’</w:t>
      </w:r>
      <w:r w:rsidR="00BE3C29" w:rsidRPr="000D0AE5">
        <w:t>, such as photographers’ waiting rooms and hotel reception rooms</w:t>
      </w:r>
      <w:r w:rsidR="00B127F1">
        <w:t>,</w:t>
      </w:r>
      <w:r w:rsidR="00BE3C29" w:rsidRPr="000D0AE5">
        <w:t xml:space="preserve"> were </w:t>
      </w:r>
      <w:r w:rsidR="00B127F1">
        <w:t xml:space="preserve">intended to flatter </w:t>
      </w:r>
      <w:r w:rsidR="00BE3C29" w:rsidRPr="000D0AE5">
        <w:t>customers</w:t>
      </w:r>
      <w:r w:rsidR="00B127F1">
        <w:t xml:space="preserve"> by providing them with a better environment than the</w:t>
      </w:r>
      <w:r w:rsidR="00E92E12">
        <w:t>ir own</w:t>
      </w:r>
      <w:r w:rsidR="00BE3C29" w:rsidRPr="000D0AE5">
        <w:t>.</w:t>
      </w:r>
      <w:r w:rsidR="00BE3C29" w:rsidRPr="000D0AE5">
        <w:rPr>
          <w:rStyle w:val="FootnoteReference"/>
        </w:rPr>
        <w:footnoteReference w:id="25"/>
      </w:r>
      <w:r w:rsidR="00BE3C29" w:rsidRPr="000D0AE5">
        <w:t xml:space="preserve"> But in the present case, the patients were likely to have been wealthier and more fashionable than the dentist.</w:t>
      </w:r>
    </w:p>
    <w:p w14:paraId="369E2EC0" w14:textId="3FF67715" w:rsidR="00450BE9" w:rsidRPr="000D0AE5" w:rsidRDefault="00133414" w:rsidP="00081C94">
      <w:pPr>
        <w:ind w:firstLine="720"/>
      </w:pPr>
      <w:r w:rsidRPr="000D0AE5">
        <w:t xml:space="preserve">The </w:t>
      </w:r>
      <w:r w:rsidR="006561CE" w:rsidRPr="000D0AE5">
        <w:t xml:space="preserve">treatment </w:t>
      </w:r>
      <w:r w:rsidRPr="000D0AE5">
        <w:t xml:space="preserve">room </w:t>
      </w:r>
      <w:r w:rsidR="00222F53" w:rsidRPr="000D0AE5">
        <w:t xml:space="preserve">itself </w:t>
      </w:r>
      <w:r w:rsidR="006561CE" w:rsidRPr="000D0AE5">
        <w:t>contained equipment, such as the ‘japanned stand for sponging the mouth’</w:t>
      </w:r>
      <w:r w:rsidR="00222F53" w:rsidRPr="000D0AE5">
        <w:t>,</w:t>
      </w:r>
      <w:r w:rsidR="006561CE" w:rsidRPr="000D0AE5">
        <w:t xml:space="preserve"> which had a straightforwardly functional dental use. </w:t>
      </w:r>
      <w:r w:rsidR="00DF1844" w:rsidRPr="000D0AE5">
        <w:t xml:space="preserve">But </w:t>
      </w:r>
      <w:r w:rsidR="006561CE" w:rsidRPr="000D0AE5">
        <w:t>here, too, there w</w:t>
      </w:r>
      <w:r w:rsidR="00A90E99" w:rsidRPr="000D0AE5">
        <w:t xml:space="preserve">ere some furnishings </w:t>
      </w:r>
      <w:r w:rsidR="00B613B9">
        <w:t>that</w:t>
      </w:r>
      <w:r w:rsidR="00A90E99" w:rsidRPr="000D0AE5">
        <w:t xml:space="preserve"> were ‘domestic’ in type, </w:t>
      </w:r>
      <w:r w:rsidR="00B613B9">
        <w:t>such as</w:t>
      </w:r>
      <w:r w:rsidR="00A90E99" w:rsidRPr="000D0AE5">
        <w:t xml:space="preserve"> </w:t>
      </w:r>
      <w:r w:rsidR="006561CE" w:rsidRPr="000D0AE5">
        <w:t xml:space="preserve">a </w:t>
      </w:r>
      <w:r w:rsidR="00DF1844" w:rsidRPr="000D0AE5">
        <w:t>Brussels carpet and prints on the walls</w:t>
      </w:r>
      <w:r w:rsidR="006561CE" w:rsidRPr="000D0AE5">
        <w:t>.</w:t>
      </w:r>
      <w:r w:rsidR="00DF1844" w:rsidRPr="000D0AE5">
        <w:t xml:space="preserve"> In the early days of professional dentistry, a surgery </w:t>
      </w:r>
      <w:r w:rsidR="006561CE" w:rsidRPr="000D0AE5">
        <w:t>had often been</w:t>
      </w:r>
      <w:r w:rsidR="00DF1844" w:rsidRPr="000D0AE5">
        <w:t xml:space="preserve"> </w:t>
      </w:r>
      <w:r w:rsidR="00B613B9">
        <w:t xml:space="preserve">located </w:t>
      </w:r>
      <w:r w:rsidR="00DF1844" w:rsidRPr="000D0AE5">
        <w:t xml:space="preserve">in the front room of a respectable house; </w:t>
      </w:r>
      <w:r w:rsidR="006561CE" w:rsidRPr="000D0AE5">
        <w:t>by</w:t>
      </w:r>
      <w:r w:rsidR="00DF1844" w:rsidRPr="000D0AE5">
        <w:t xml:space="preserve"> the 1850s specialised equipment and furniture </w:t>
      </w:r>
      <w:r w:rsidR="006561CE" w:rsidRPr="000D0AE5">
        <w:t>was becoming</w:t>
      </w:r>
      <w:r w:rsidR="00DF1844" w:rsidRPr="000D0AE5">
        <w:t xml:space="preserve"> available but it was finished and deployed in a manner which was reminiscent of the equipment of domestic living-rooms</w:t>
      </w:r>
      <w:r w:rsidR="006561CE" w:rsidRPr="000D0AE5">
        <w:t xml:space="preserve">. </w:t>
      </w:r>
      <w:r w:rsidR="00DF1844" w:rsidRPr="000D0AE5">
        <w:t>It was not until the later nineteenth century that dental surgeries were presented as hygienic, scientific, unhomelike spaces.</w:t>
      </w:r>
      <w:r w:rsidR="002335B8">
        <w:t xml:space="preserve"> </w:t>
      </w:r>
      <w:r w:rsidR="00722BFD">
        <w:t>The t</w:t>
      </w:r>
      <w:r w:rsidR="00415DFE" w:rsidRPr="000D0AE5">
        <w:t>hird room in the dental suite was the</w:t>
      </w:r>
      <w:r w:rsidR="00450BE9" w:rsidRPr="000D0AE5">
        <w:t xml:space="preserve"> ‘work room’</w:t>
      </w:r>
      <w:r w:rsidR="006561CE" w:rsidRPr="000D0AE5">
        <w:t>,</w:t>
      </w:r>
      <w:r w:rsidR="00450BE9" w:rsidRPr="000D0AE5">
        <w:t xml:space="preserve"> </w:t>
      </w:r>
      <w:r w:rsidR="00415DFE" w:rsidRPr="000D0AE5">
        <w:t xml:space="preserve">which </w:t>
      </w:r>
      <w:r w:rsidR="00450BE9" w:rsidRPr="000D0AE5">
        <w:t>appears to have been a utilitari</w:t>
      </w:r>
      <w:r w:rsidR="00722BFD">
        <w:t xml:space="preserve">an room for the dentist himself, where the artificial teeth </w:t>
      </w:r>
      <w:r w:rsidR="00450BE9" w:rsidRPr="000D0AE5">
        <w:t xml:space="preserve">were made. </w:t>
      </w:r>
    </w:p>
    <w:p w14:paraId="22DC1557" w14:textId="6CF2E95C" w:rsidR="00DD4175" w:rsidRPr="000D0AE5" w:rsidRDefault="00222F53" w:rsidP="00081C94">
      <w:pPr>
        <w:ind w:firstLine="720"/>
      </w:pPr>
      <w:r w:rsidRPr="000D0AE5">
        <w:t xml:space="preserve">Although the hall was shared, the surgery </w:t>
      </w:r>
      <w:r w:rsidR="00EB33FA" w:rsidRPr="000D0AE5">
        <w:t xml:space="preserve">itself </w:t>
      </w:r>
      <w:r w:rsidRPr="000D0AE5">
        <w:t xml:space="preserve">appears to have been spatially separate from the domestic parts of the house on the floors above, </w:t>
      </w:r>
      <w:r w:rsidR="00EB33FA" w:rsidRPr="000D0AE5">
        <w:t xml:space="preserve">which were </w:t>
      </w:r>
      <w:r w:rsidRPr="000D0AE5">
        <w:t xml:space="preserve">furnished for the use of the immediate family, other household members such as servants, and visitors. </w:t>
      </w:r>
      <w:r w:rsidR="00DF1844" w:rsidRPr="000D0AE5">
        <w:t>The Ormes</w:t>
      </w:r>
      <w:r w:rsidR="00A8453B" w:rsidRPr="000D0AE5">
        <w:t xml:space="preserve">’ ‘private’ ‘domestic’ area </w:t>
      </w:r>
      <w:r w:rsidR="00722BFD">
        <w:t>was</w:t>
      </w:r>
      <w:r w:rsidR="00A8453B" w:rsidRPr="000D0AE5">
        <w:t xml:space="preserve"> </w:t>
      </w:r>
      <w:r w:rsidR="002335B8" w:rsidRPr="000D0AE5">
        <w:t>categorised</w:t>
      </w:r>
      <w:r w:rsidR="002335B8">
        <w:t>,</w:t>
      </w:r>
      <w:r w:rsidR="002335B8" w:rsidRPr="000D0AE5">
        <w:t xml:space="preserve"> </w:t>
      </w:r>
      <w:r w:rsidR="00A8453B" w:rsidRPr="000D0AE5">
        <w:t>spatially organised</w:t>
      </w:r>
      <w:r w:rsidR="002335B8">
        <w:t>,</w:t>
      </w:r>
      <w:r w:rsidR="00A8453B" w:rsidRPr="000D0AE5">
        <w:t xml:space="preserve"> and furnished in the way we would expect of </w:t>
      </w:r>
      <w:r w:rsidR="002335B8">
        <w:t xml:space="preserve">the </w:t>
      </w:r>
      <w:r w:rsidR="00DF1844" w:rsidRPr="000D0AE5">
        <w:t>early</w:t>
      </w:r>
      <w:r w:rsidR="002335B8">
        <w:t>-</w:t>
      </w:r>
      <w:r w:rsidR="00DF1844" w:rsidRPr="000D0AE5">
        <w:t>Victorian middle</w:t>
      </w:r>
      <w:r w:rsidR="002335B8">
        <w:t xml:space="preserve"> </w:t>
      </w:r>
      <w:r w:rsidR="00DF1844" w:rsidRPr="000D0AE5">
        <w:lastRenderedPageBreak/>
        <w:t>class</w:t>
      </w:r>
      <w:r w:rsidR="00722BFD">
        <w:t>, as described in contemporary advice manuals and in historical accounts</w:t>
      </w:r>
      <w:r w:rsidR="002335B8">
        <w:t>.</w:t>
      </w:r>
      <w:r w:rsidR="00722BFD" w:rsidRPr="001A4A41">
        <w:rPr>
          <w:rStyle w:val="FootnoteReference"/>
        </w:rPr>
        <w:footnoteReference w:id="26"/>
      </w:r>
      <w:r w:rsidR="002335B8" w:rsidRPr="001A4A41">
        <w:t xml:space="preserve"> </w:t>
      </w:r>
      <w:r w:rsidR="00A8453B" w:rsidRPr="000D0AE5">
        <w:t xml:space="preserve">There was a </w:t>
      </w:r>
      <w:r w:rsidR="00BE7323" w:rsidRPr="000D0AE5">
        <w:t xml:space="preserve">drawing-room </w:t>
      </w:r>
      <w:r w:rsidR="00A8453B" w:rsidRPr="000D0AE5">
        <w:t>running</w:t>
      </w:r>
      <w:r w:rsidR="00DD4175" w:rsidRPr="000D0AE5">
        <w:t xml:space="preserve"> across the front of the house </w:t>
      </w:r>
      <w:r w:rsidR="002335B8">
        <w:t xml:space="preserve">on the first floor, </w:t>
      </w:r>
      <w:r w:rsidR="00DD4175" w:rsidRPr="000D0AE5">
        <w:t>in the usual position for a town house.</w:t>
      </w:r>
      <w:r w:rsidR="00722BFD" w:rsidRPr="00EC66E4">
        <w:rPr>
          <w:rStyle w:val="FootnoteReference"/>
        </w:rPr>
        <w:footnoteReference w:id="27"/>
      </w:r>
      <w:r w:rsidR="00DD4175" w:rsidRPr="00EC66E4">
        <w:t xml:space="preserve"> </w:t>
      </w:r>
      <w:r w:rsidR="00372C7C">
        <w:t>It</w:t>
      </w:r>
      <w:r w:rsidR="00BE7323" w:rsidRPr="000D0AE5">
        <w:t xml:space="preserve"> was furnished with items</w:t>
      </w:r>
      <w:r w:rsidR="00DD4175" w:rsidRPr="000D0AE5">
        <w:t xml:space="preserve"> of the sort described in advice literature and found in a survey of almost 500 inventories to be </w:t>
      </w:r>
      <w:r w:rsidR="00BE7323" w:rsidRPr="000D0AE5">
        <w:t xml:space="preserve">typical of this room </w:t>
      </w:r>
      <w:r w:rsidR="00DD4175" w:rsidRPr="000D0AE5">
        <w:t>amongst</w:t>
      </w:r>
      <w:r w:rsidR="00BE7323" w:rsidRPr="000D0AE5">
        <w:t xml:space="preserve"> people of wealth or high status</w:t>
      </w:r>
      <w:r w:rsidR="00DD4175" w:rsidRPr="00EC66E4">
        <w:t>.</w:t>
      </w:r>
      <w:r w:rsidR="00A8453B" w:rsidRPr="00EC66E4">
        <w:rPr>
          <w:rStyle w:val="FootnoteReference"/>
        </w:rPr>
        <w:footnoteReference w:id="28"/>
      </w:r>
      <w:r w:rsidR="00DD4175" w:rsidRPr="00EC66E4">
        <w:t xml:space="preserve"> </w:t>
      </w:r>
      <w:r w:rsidR="00DD4175" w:rsidRPr="000D0AE5">
        <w:t xml:space="preserve">There was, for example, </w:t>
      </w:r>
      <w:r w:rsidR="00BE7323" w:rsidRPr="000D0AE5">
        <w:t xml:space="preserve">a fitted Brussels carpet; rosewood furniture; </w:t>
      </w:r>
      <w:r w:rsidR="00DD4175" w:rsidRPr="000D0AE5">
        <w:t>plenty of seating; display and storage furniture</w:t>
      </w:r>
      <w:r w:rsidR="00BE7323" w:rsidRPr="000D0AE5">
        <w:t xml:space="preserve">; and </w:t>
      </w:r>
      <w:r w:rsidR="0078323C" w:rsidRPr="000D0AE5">
        <w:t>many</w:t>
      </w:r>
      <w:r w:rsidR="00BE7323" w:rsidRPr="000D0AE5">
        <w:t xml:space="preserve"> ornaments and pictures.</w:t>
      </w:r>
      <w:r w:rsidR="003B69A6" w:rsidRPr="000D0AE5">
        <w:t xml:space="preserve"> </w:t>
      </w:r>
      <w:r w:rsidR="00DD4175" w:rsidRPr="000D0AE5">
        <w:t>There was a piano</w:t>
      </w:r>
      <w:r w:rsidR="0078323C" w:rsidRPr="000D0AE5">
        <w:t>, which</w:t>
      </w:r>
      <w:r w:rsidR="00722BFD">
        <w:t>,</w:t>
      </w:r>
      <w:r w:rsidR="0078323C" w:rsidRPr="000D0AE5">
        <w:t xml:space="preserve"> with all the </w:t>
      </w:r>
      <w:r w:rsidR="00900BB7" w:rsidRPr="000D0AE5">
        <w:t>decorative items</w:t>
      </w:r>
      <w:r w:rsidR="00722BFD">
        <w:t>,</w:t>
      </w:r>
      <w:r w:rsidR="00900BB7" w:rsidRPr="000D0AE5">
        <w:t xml:space="preserve"> mark</w:t>
      </w:r>
      <w:r w:rsidR="0078323C" w:rsidRPr="000D0AE5">
        <w:t>s</w:t>
      </w:r>
      <w:r w:rsidR="00900BB7" w:rsidRPr="000D0AE5">
        <w:t xml:space="preserve"> this room out as a location of ceremonial provision for company. The adjacent, smaller, ‘back room’ was less showily and less expensively furnished – mahogany </w:t>
      </w:r>
      <w:r w:rsidR="00A657A7" w:rsidRPr="000D0AE5">
        <w:t xml:space="preserve">and cane </w:t>
      </w:r>
      <w:r w:rsidR="00900BB7" w:rsidRPr="000D0AE5">
        <w:t xml:space="preserve">rather than rosewood; no wax flowers or glass shades – </w:t>
      </w:r>
      <w:r w:rsidR="00A657A7" w:rsidRPr="000D0AE5">
        <w:t xml:space="preserve">and </w:t>
      </w:r>
      <w:r w:rsidR="00900BB7" w:rsidRPr="000D0AE5">
        <w:t>seems to have served as a more informal family living</w:t>
      </w:r>
      <w:r w:rsidR="00722BFD">
        <w:t>-</w:t>
      </w:r>
      <w:r w:rsidR="00900BB7" w:rsidRPr="000D0AE5">
        <w:t xml:space="preserve"> </w:t>
      </w:r>
      <w:r w:rsidR="00A657A7" w:rsidRPr="000D0AE5">
        <w:t>and dining</w:t>
      </w:r>
      <w:r w:rsidR="00722BFD">
        <w:t>-</w:t>
      </w:r>
      <w:r w:rsidR="00A657A7" w:rsidRPr="000D0AE5">
        <w:t>r</w:t>
      </w:r>
      <w:r w:rsidR="00900BB7" w:rsidRPr="000D0AE5">
        <w:t>oom</w:t>
      </w:r>
      <w:r w:rsidR="00A657A7" w:rsidRPr="000D0AE5">
        <w:t xml:space="preserve">. </w:t>
      </w:r>
    </w:p>
    <w:p w14:paraId="4D997CB6" w14:textId="35B62875" w:rsidR="00A657A7" w:rsidRPr="000D0AE5" w:rsidRDefault="00051F46" w:rsidP="00081C94">
      <w:pPr>
        <w:ind w:firstLine="720"/>
      </w:pPr>
      <w:r w:rsidRPr="000D0AE5">
        <w:t xml:space="preserve">Five bedrooms were listed. The three </w:t>
      </w:r>
      <w:r w:rsidR="00A657A7" w:rsidRPr="000D0AE5">
        <w:t xml:space="preserve">on the second floor </w:t>
      </w:r>
      <w:r w:rsidR="0078323C" w:rsidRPr="000D0AE5">
        <w:t xml:space="preserve">and the one on the fourth </w:t>
      </w:r>
      <w:r w:rsidRPr="000D0AE5">
        <w:t xml:space="preserve">included </w:t>
      </w:r>
      <w:r w:rsidR="00A657A7" w:rsidRPr="000D0AE5">
        <w:t xml:space="preserve">the wash stands that were considered necessary for people </w:t>
      </w:r>
      <w:r w:rsidR="0078323C" w:rsidRPr="000D0AE5">
        <w:t xml:space="preserve">who were able to employ </w:t>
      </w:r>
      <w:r w:rsidR="00A657A7" w:rsidRPr="000D0AE5">
        <w:t>servants to carry the water</w:t>
      </w:r>
      <w:r w:rsidR="0078323C" w:rsidRPr="000D0AE5">
        <w:t xml:space="preserve"> </w:t>
      </w:r>
      <w:r w:rsidR="00722BFD">
        <w:t xml:space="preserve">up </w:t>
      </w:r>
      <w:r w:rsidR="0078323C" w:rsidRPr="000D0AE5">
        <w:t>from the kitchen</w:t>
      </w:r>
      <w:r w:rsidR="00A657A7" w:rsidRPr="000D0AE5">
        <w:t xml:space="preserve">. </w:t>
      </w:r>
      <w:r w:rsidR="0078323C" w:rsidRPr="000D0AE5">
        <w:t>The inventory does not name the occupants of these rooms but the respectable and comfortable furnishings suggest that they were family rooms</w:t>
      </w:r>
      <w:r w:rsidR="002335B8">
        <w:t>,</w:t>
      </w:r>
      <w:r w:rsidR="0078323C" w:rsidRPr="000D0AE5">
        <w:t xml:space="preserve"> whereas the less well-equipped bedroom at the back of the first floor, with two ‘old bedsteads’ and no washstand</w:t>
      </w:r>
      <w:r w:rsidR="00EC66E4">
        <w:t>,</w:t>
      </w:r>
      <w:r w:rsidR="0078323C" w:rsidRPr="000D0AE5">
        <w:t xml:space="preserve"> was more likely to have been where the servants slept. Although the family bedrooms included some pieces of carpet, some pictures and ornaments, chairs and</w:t>
      </w:r>
      <w:r w:rsidR="002335B8">
        <w:t>,</w:t>
      </w:r>
      <w:r w:rsidR="0078323C" w:rsidRPr="000D0AE5">
        <w:t xml:space="preserve"> in some, a table or a bookshelf, </w:t>
      </w:r>
      <w:r w:rsidR="00A204EF" w:rsidRPr="000D0AE5">
        <w:t>and might have been offered to visitors, they do not appear to be formal entertaining rooms. They were less ‘public’ than the drawing</w:t>
      </w:r>
      <w:r w:rsidR="00372C7C">
        <w:t>-</w:t>
      </w:r>
      <w:r w:rsidR="00A204EF" w:rsidRPr="000D0AE5">
        <w:t>room.</w:t>
      </w:r>
      <w:r w:rsidRPr="000D0AE5">
        <w:t xml:space="preserve"> </w:t>
      </w:r>
      <w:r w:rsidR="00A204EF" w:rsidRPr="000D0AE5">
        <w:t>The service rooms</w:t>
      </w:r>
      <w:r w:rsidR="00ED0C6B" w:rsidRPr="000D0AE5">
        <w:t xml:space="preserve"> </w:t>
      </w:r>
      <w:r w:rsidR="00722BFD">
        <w:t>–</w:t>
      </w:r>
      <w:r w:rsidR="00A204EF" w:rsidRPr="000D0AE5">
        <w:t xml:space="preserve"> t</w:t>
      </w:r>
      <w:r w:rsidR="00A657A7" w:rsidRPr="000D0AE5">
        <w:t xml:space="preserve">he kitchen and the wash-house, probably </w:t>
      </w:r>
      <w:r w:rsidR="00EC66E4">
        <w:t>in the basement</w:t>
      </w:r>
      <w:r w:rsidR="00A657A7" w:rsidRPr="000D0AE5">
        <w:t xml:space="preserve"> </w:t>
      </w:r>
      <w:r w:rsidR="00A204EF" w:rsidRPr="000D0AE5">
        <w:t xml:space="preserve">– </w:t>
      </w:r>
      <w:r w:rsidR="00A657A7" w:rsidRPr="000D0AE5">
        <w:t xml:space="preserve">were </w:t>
      </w:r>
      <w:r w:rsidR="00A204EF" w:rsidRPr="000D0AE5">
        <w:t xml:space="preserve">functionally </w:t>
      </w:r>
      <w:r w:rsidR="00A657A7" w:rsidRPr="000D0AE5">
        <w:t>equipped</w:t>
      </w:r>
      <w:r w:rsidR="00A204EF" w:rsidRPr="000D0AE5">
        <w:t xml:space="preserve">. </w:t>
      </w:r>
      <w:r w:rsidR="00A657A7" w:rsidRPr="000D0AE5">
        <w:t>In a household of this size, with just one or two servants, it is very likely that there were interactions in the kitchen between the servants and the children and that Mrs Orme took part in the housework.</w:t>
      </w:r>
      <w:r w:rsidR="00A657A7" w:rsidRPr="000D0AE5">
        <w:rPr>
          <w:rStyle w:val="FootnoteReference"/>
        </w:rPr>
        <w:footnoteReference w:id="29"/>
      </w:r>
      <w:r w:rsidR="00A657A7" w:rsidRPr="000D0AE5">
        <w:t xml:space="preserve"> And it is quite likely that the servants extended hospitality there, to friends and tradespeople, but </w:t>
      </w:r>
      <w:r w:rsidR="00372C7C">
        <w:t>it</w:t>
      </w:r>
      <w:r w:rsidR="00A204EF" w:rsidRPr="000D0AE5">
        <w:t xml:space="preserve"> </w:t>
      </w:r>
      <w:r w:rsidR="00372C7C">
        <w:t>was</w:t>
      </w:r>
      <w:r w:rsidR="00A204EF" w:rsidRPr="000D0AE5">
        <w:t xml:space="preserve"> not furnished as </w:t>
      </w:r>
      <w:r w:rsidR="00372C7C">
        <w:t xml:space="preserve">a </w:t>
      </w:r>
      <w:r w:rsidR="00A204EF" w:rsidRPr="000D0AE5">
        <w:t>‘public’ space.</w:t>
      </w:r>
      <w:r w:rsidR="00A657A7" w:rsidRPr="000D0AE5">
        <w:t xml:space="preserve"> </w:t>
      </w:r>
    </w:p>
    <w:p w14:paraId="6EEA8EF2" w14:textId="77777777" w:rsidR="00173193" w:rsidRDefault="00A657A7" w:rsidP="00173193">
      <w:pPr>
        <w:ind w:firstLine="720"/>
      </w:pPr>
      <w:r w:rsidRPr="000D0AE5">
        <w:lastRenderedPageBreak/>
        <w:t>The room names, furnishings</w:t>
      </w:r>
      <w:r w:rsidR="00EC66E4">
        <w:t>,</w:t>
      </w:r>
      <w:r w:rsidRPr="000D0AE5">
        <w:t xml:space="preserve"> and equipment listed in the inventory make it clear that different areas were intended for different categories of people and different types of interaction. </w:t>
      </w:r>
      <w:r w:rsidR="00ED0C6B" w:rsidRPr="000D0AE5">
        <w:t>The</w:t>
      </w:r>
      <w:r w:rsidR="002335B8">
        <w:t>y</w:t>
      </w:r>
      <w:r w:rsidR="00ED0C6B" w:rsidRPr="000D0AE5">
        <w:t xml:space="preserve"> accord with many prescriptions for </w:t>
      </w:r>
      <w:r w:rsidR="00EC66E4">
        <w:t xml:space="preserve">middle-class residential </w:t>
      </w:r>
      <w:r w:rsidR="00ED0C6B" w:rsidRPr="000D0AE5">
        <w:t>arrangement</w:t>
      </w:r>
      <w:r w:rsidR="00EC66E4">
        <w:t>s</w:t>
      </w:r>
      <w:r w:rsidR="00ED0C6B" w:rsidRPr="000D0AE5">
        <w:t>. The</w:t>
      </w:r>
      <w:r w:rsidR="00244C18">
        <w:t>re was</w:t>
      </w:r>
      <w:r w:rsidR="00ED0C6B" w:rsidRPr="000D0AE5">
        <w:t xml:space="preserve"> space for ‘public’ entertaining, with other areas available for more informal or more intimate or private interactions. </w:t>
      </w:r>
      <w:r w:rsidR="00722BFD">
        <w:t xml:space="preserve">The </w:t>
      </w:r>
      <w:r w:rsidR="00372C7C">
        <w:t>professional area</w:t>
      </w:r>
      <w:r w:rsidRPr="000D0AE5">
        <w:t xml:space="preserve"> was kept as separate from the domestic region as the layout of the house would allow. </w:t>
      </w:r>
      <w:r w:rsidR="00EC66E4">
        <w:t>The</w:t>
      </w:r>
      <w:r w:rsidRPr="000D0AE5">
        <w:t xml:space="preserve"> more ‘public’ spaces were</w:t>
      </w:r>
      <w:r w:rsidR="00EC66E4">
        <w:t>, on the whole,</w:t>
      </w:r>
      <w:r w:rsidRPr="000D0AE5">
        <w:t xml:space="preserve"> closer to the street</w:t>
      </w:r>
      <w:r w:rsidR="00637013">
        <w:t xml:space="preserve">. </w:t>
      </w:r>
      <w:r w:rsidR="00ED0C6B" w:rsidRPr="000D0AE5">
        <w:t>The architectural form of the house and the inventory can be read, then, as a</w:t>
      </w:r>
      <w:r w:rsidR="00D82187" w:rsidRPr="000D0AE5">
        <w:t xml:space="preserve"> </w:t>
      </w:r>
      <w:r w:rsidR="00ED0C6B" w:rsidRPr="000D0AE5">
        <w:t>n</w:t>
      </w:r>
      <w:r w:rsidR="00D82187" w:rsidRPr="000D0AE5">
        <w:t>ice</w:t>
      </w:r>
      <w:r w:rsidR="00ED0C6B" w:rsidRPr="000D0AE5">
        <w:t xml:space="preserve"> example of the crisp, clear</w:t>
      </w:r>
      <w:r w:rsidR="002335B8">
        <w:t>,</w:t>
      </w:r>
      <w:r w:rsidR="00ED0C6B" w:rsidRPr="000D0AE5">
        <w:t xml:space="preserve"> differentiation of residential space into </w:t>
      </w:r>
      <w:r w:rsidR="00CD29F2">
        <w:t>discrete</w:t>
      </w:r>
      <w:r w:rsidR="00ED0C6B" w:rsidRPr="000D0AE5">
        <w:t xml:space="preserve"> areas</w:t>
      </w:r>
      <w:r w:rsidR="00EC66E4">
        <w:t xml:space="preserve">. </w:t>
      </w:r>
    </w:p>
    <w:p w14:paraId="2121F747" w14:textId="20FE0764" w:rsidR="00ED0C6B" w:rsidRPr="000D0AE5" w:rsidRDefault="00EC66E4" w:rsidP="00173193">
      <w:pPr>
        <w:ind w:firstLine="720"/>
      </w:pPr>
      <w:r>
        <w:t>This can be likened to the</w:t>
      </w:r>
      <w:r w:rsidR="002B5AA6" w:rsidRPr="000D0AE5">
        <w:t xml:space="preserve"> specialisation of </w:t>
      </w:r>
      <w:r>
        <w:t xml:space="preserve">city </w:t>
      </w:r>
      <w:r w:rsidR="002B5AA6" w:rsidRPr="000D0AE5">
        <w:t xml:space="preserve">space </w:t>
      </w:r>
      <w:r>
        <w:t xml:space="preserve">that </w:t>
      </w:r>
      <w:r w:rsidR="002B5AA6" w:rsidRPr="000D0AE5">
        <w:t xml:space="preserve">has been identified as </w:t>
      </w:r>
      <w:r w:rsidR="00244C18" w:rsidRPr="000D0AE5">
        <w:t xml:space="preserve">increasing </w:t>
      </w:r>
      <w:r w:rsidR="00244C18">
        <w:t>during</w:t>
      </w:r>
      <w:r w:rsidR="002B5AA6" w:rsidRPr="000D0AE5">
        <w:t xml:space="preserve"> </w:t>
      </w:r>
      <w:r>
        <w:t xml:space="preserve">the </w:t>
      </w:r>
      <w:r w:rsidR="002B5AA6" w:rsidRPr="000D0AE5">
        <w:t>nineteenth century.</w:t>
      </w:r>
      <w:r w:rsidR="00415356" w:rsidRPr="00415356">
        <w:rPr>
          <w:rStyle w:val="FootnoteReference"/>
        </w:rPr>
        <w:footnoteReference w:id="30"/>
      </w:r>
      <w:r w:rsidR="00CD29F2" w:rsidRPr="00415356">
        <w:t xml:space="preserve"> </w:t>
      </w:r>
      <w:r w:rsidR="002B5AA6" w:rsidRPr="000D0AE5">
        <w:t xml:space="preserve">Donald Olsen </w:t>
      </w:r>
      <w:r w:rsidR="002B5AA6">
        <w:t>wrote</w:t>
      </w:r>
      <w:r w:rsidR="002B5AA6" w:rsidRPr="000D0AE5">
        <w:t xml:space="preserve"> that London was systematically sorted out into ‘single-purpose, homogenous, specialized neighbourhoods’.</w:t>
      </w:r>
      <w:r w:rsidR="002B5AA6" w:rsidRPr="000D0AE5">
        <w:rPr>
          <w:rStyle w:val="FootnoteReference"/>
        </w:rPr>
        <w:footnoteReference w:id="31"/>
      </w:r>
      <w:r w:rsidR="002B5AA6" w:rsidRPr="000D0AE5">
        <w:t xml:space="preserve"> Lynda Nead and Richard Dennis have </w:t>
      </w:r>
      <w:r w:rsidR="002B5AA6">
        <w:t xml:space="preserve">also </w:t>
      </w:r>
      <w:r w:rsidR="002B5AA6" w:rsidRPr="000D0AE5">
        <w:t>discussed the imposition of spatial order and segregation as a crucial aspect of the modernity of later-nineteenth- and twentieth-century cities</w:t>
      </w:r>
      <w:r w:rsidR="002B5AA6">
        <w:t xml:space="preserve"> </w:t>
      </w:r>
      <w:r w:rsidR="002B5AA6" w:rsidRPr="000D0AE5">
        <w:t xml:space="preserve">but </w:t>
      </w:r>
      <w:r>
        <w:t xml:space="preserve">they </w:t>
      </w:r>
      <w:r w:rsidR="002B5AA6" w:rsidRPr="000D0AE5">
        <w:t>have also demonstrated that it was a partial project and that, in any case, people’s use and experience of space often deviated from the plan.</w:t>
      </w:r>
      <w:r w:rsidR="002B5AA6" w:rsidRPr="000D0AE5">
        <w:rPr>
          <w:rStyle w:val="FootnoteReference"/>
        </w:rPr>
        <w:footnoteReference w:id="32"/>
      </w:r>
      <w:r>
        <w:t xml:space="preserve"> </w:t>
      </w:r>
      <w:r w:rsidR="00824008">
        <w:t xml:space="preserve">And, with further investigation, </w:t>
      </w:r>
      <w:r w:rsidR="002B5AA6">
        <w:t xml:space="preserve">Mr Orme’s inventory, too, </w:t>
      </w:r>
      <w:r w:rsidR="00824008">
        <w:t>suggests</w:t>
      </w:r>
      <w:r w:rsidR="002B5AA6">
        <w:t xml:space="preserve"> that the orderly segregation</w:t>
      </w:r>
      <w:r w:rsidR="00824008">
        <w:t xml:space="preserve"> </w:t>
      </w:r>
      <w:r w:rsidR="002B5AA6">
        <w:t xml:space="preserve">of space </w:t>
      </w:r>
      <w:r w:rsidR="00824008">
        <w:t xml:space="preserve">was not the whole story. </w:t>
      </w:r>
      <w:r w:rsidR="008D16A0">
        <w:t>I</w:t>
      </w:r>
      <w:r w:rsidR="008D16A0" w:rsidRPr="008D16A0">
        <w:t>t is possible that some of the hospitality facilitated by the first-floor rooms was</w:t>
      </w:r>
      <w:r w:rsidR="008D16A0" w:rsidRPr="000D0AE5">
        <w:t xml:space="preserve"> professionally related. </w:t>
      </w:r>
      <w:r w:rsidR="008D16A0">
        <w:t>The</w:t>
      </w:r>
      <w:r w:rsidR="00BD7CD5" w:rsidRPr="000D0AE5">
        <w:t xml:space="preserve"> servants</w:t>
      </w:r>
      <w:r w:rsidR="00637013">
        <w:t xml:space="preserve"> </w:t>
      </w:r>
      <w:r w:rsidR="00CC38D8">
        <w:t>had their ‘own’ spaces – the kitchen and an inferior bedroom</w:t>
      </w:r>
      <w:r w:rsidR="00824008">
        <w:t xml:space="preserve"> – </w:t>
      </w:r>
      <w:r w:rsidR="008D16A0">
        <w:t xml:space="preserve">but </w:t>
      </w:r>
      <w:r w:rsidR="00CC38D8">
        <w:t xml:space="preserve">they also </w:t>
      </w:r>
      <w:r w:rsidR="00BD7CD5" w:rsidRPr="000D0AE5">
        <w:t>of necessity shared space</w:t>
      </w:r>
      <w:r w:rsidR="00CC38D8" w:rsidRPr="00CC38D8">
        <w:t xml:space="preserve"> </w:t>
      </w:r>
      <w:r w:rsidR="00CC38D8">
        <w:t xml:space="preserve">with </w:t>
      </w:r>
      <w:r w:rsidR="00CC38D8" w:rsidRPr="000D0AE5">
        <w:t xml:space="preserve">the </w:t>
      </w:r>
      <w:r w:rsidR="00CC38D8">
        <w:t>family</w:t>
      </w:r>
      <w:r w:rsidR="00BD7CD5" w:rsidRPr="000D0AE5">
        <w:t>, although on different terms.</w:t>
      </w:r>
      <w:r w:rsidR="00B62806">
        <w:rPr>
          <w:rStyle w:val="FootnoteReference"/>
        </w:rPr>
        <w:footnoteReference w:id="33"/>
      </w:r>
      <w:r w:rsidR="00BD7CD5" w:rsidRPr="000D0AE5">
        <w:t xml:space="preserve"> </w:t>
      </w:r>
      <w:r w:rsidR="00824008">
        <w:t>There</w:t>
      </w:r>
      <w:r w:rsidR="00BD7CD5" w:rsidRPr="000D0AE5">
        <w:t xml:space="preserve"> </w:t>
      </w:r>
      <w:r w:rsidR="00ED0C6B" w:rsidRPr="000D0AE5">
        <w:t xml:space="preserve">is no evidence that the upper rooms </w:t>
      </w:r>
      <w:r w:rsidR="00824008">
        <w:t xml:space="preserve">of Orme’s house </w:t>
      </w:r>
      <w:r w:rsidR="00ED0C6B" w:rsidRPr="000D0AE5">
        <w:t xml:space="preserve">were directly used for work </w:t>
      </w:r>
      <w:r w:rsidR="00ED0C6B" w:rsidRPr="008D16A0">
        <w:t>purposes</w:t>
      </w:r>
      <w:r w:rsidR="00824008" w:rsidRPr="008D16A0">
        <w:t xml:space="preserve"> but</w:t>
      </w:r>
      <w:r w:rsidR="00ED0C6B" w:rsidRPr="008D16A0">
        <w:t>, if there was a</w:t>
      </w:r>
      <w:r w:rsidR="00D82187" w:rsidRPr="008D16A0">
        <w:t xml:space="preserve"> live-in</w:t>
      </w:r>
      <w:r w:rsidR="00ED0C6B" w:rsidRPr="008D16A0">
        <w:t xml:space="preserve"> assistant</w:t>
      </w:r>
      <w:r w:rsidR="00824008" w:rsidRPr="008D16A0">
        <w:t>,</w:t>
      </w:r>
      <w:r w:rsidR="00ED0C6B" w:rsidRPr="008D16A0">
        <w:t xml:space="preserve"> he would have had one of the bedrooms</w:t>
      </w:r>
      <w:r w:rsidR="00244C18" w:rsidRPr="008D16A0">
        <w:t xml:space="preserve"> (probably that on the fourth floor)</w:t>
      </w:r>
      <w:r w:rsidR="000C1DB4" w:rsidRPr="008D16A0">
        <w:t>.</w:t>
      </w:r>
      <w:r w:rsidR="00ED0C6B" w:rsidRPr="008D16A0">
        <w:t xml:space="preserve"> </w:t>
      </w:r>
      <w:r w:rsidR="000C1DB4" w:rsidRPr="008D16A0">
        <w:t xml:space="preserve">Hannah Barker and Jane Hamlett </w:t>
      </w:r>
      <w:r w:rsidR="008D16A0">
        <w:t xml:space="preserve">have found that, especially in shopkeepers’ houses in northern towns in </w:t>
      </w:r>
      <w:r w:rsidR="00B62806">
        <w:t xml:space="preserve">the </w:t>
      </w:r>
      <w:r w:rsidR="008D16A0">
        <w:t>previous decades, there was a</w:t>
      </w:r>
      <w:r w:rsidR="008D16A0" w:rsidRPr="008D16A0">
        <w:t xml:space="preserve"> complex sharing and segregation of </w:t>
      </w:r>
      <w:r w:rsidR="008D16A0" w:rsidRPr="008D16A0">
        <w:lastRenderedPageBreak/>
        <w:t>domestic space between family, apprentices and servants</w:t>
      </w:r>
      <w:r w:rsidR="008D16A0">
        <w:t>.</w:t>
      </w:r>
      <w:r w:rsidR="00B62806">
        <w:rPr>
          <w:rStyle w:val="FootnoteReference"/>
        </w:rPr>
        <w:footnoteReference w:id="34"/>
      </w:r>
      <w:r w:rsidR="008D16A0">
        <w:t xml:space="preserve"> </w:t>
      </w:r>
      <w:r w:rsidR="00BD7CD5" w:rsidRPr="000D0AE5">
        <w:t xml:space="preserve">The inventory makes no mention of a third floor, skipping from the </w:t>
      </w:r>
      <w:r w:rsidR="006D561E" w:rsidRPr="000D0AE5">
        <w:t>fourth</w:t>
      </w:r>
      <w:r w:rsidR="00BD32AD">
        <w:t xml:space="preserve"> floor</w:t>
      </w:r>
      <w:r w:rsidR="006D561E" w:rsidRPr="000D0AE5">
        <w:t xml:space="preserve"> straight to the second. </w:t>
      </w:r>
      <w:r w:rsidR="002B6403" w:rsidRPr="000D0AE5">
        <w:t>This can be explained by reference to the census</w:t>
      </w:r>
      <w:r w:rsidR="004B5D88">
        <w:t xml:space="preserve">es of 1841 and 1851, which show two or three other households or lodgers </w:t>
      </w:r>
      <w:r w:rsidR="006D561E" w:rsidRPr="000D0AE5">
        <w:t>at</w:t>
      </w:r>
      <w:r w:rsidR="002B6403" w:rsidRPr="000D0AE5">
        <w:t xml:space="preserve"> </w:t>
      </w:r>
      <w:r w:rsidR="004B5D88">
        <w:t>N</w:t>
      </w:r>
      <w:r w:rsidR="002B6403" w:rsidRPr="000D0AE5">
        <w:t>umber 5.</w:t>
      </w:r>
      <w:r w:rsidR="002B6403" w:rsidRPr="000D0AE5">
        <w:rPr>
          <w:rStyle w:val="FootnoteReference"/>
        </w:rPr>
        <w:footnoteReference w:id="35"/>
      </w:r>
      <w:r w:rsidR="002B6403" w:rsidRPr="000D0AE5">
        <w:t xml:space="preserve"> </w:t>
      </w:r>
      <w:r w:rsidR="002178D0" w:rsidRPr="000D0AE5">
        <w:t>In Victorian London many houses</w:t>
      </w:r>
      <w:r w:rsidR="002178D0">
        <w:t>, especially</w:t>
      </w:r>
      <w:r w:rsidR="002178D0" w:rsidRPr="000D0AE5">
        <w:t xml:space="preserve"> larger, older houses in the central areas and inner suburbs were subdivided or accommodated lodgers.</w:t>
      </w:r>
      <w:r w:rsidR="002178D0" w:rsidRPr="000D0AE5">
        <w:rPr>
          <w:rStyle w:val="FootnoteReference"/>
        </w:rPr>
        <w:footnoteReference w:id="36"/>
      </w:r>
      <w:r w:rsidR="002178D0" w:rsidRPr="000D0AE5">
        <w:t xml:space="preserve"> </w:t>
      </w:r>
      <w:r w:rsidR="002B6403" w:rsidRPr="000D0AE5">
        <w:t xml:space="preserve">Mr Orme was the main tenant and he sub-let </w:t>
      </w:r>
      <w:r w:rsidR="002178D0">
        <w:t>some</w:t>
      </w:r>
      <w:r w:rsidR="002B6403" w:rsidRPr="000D0AE5">
        <w:t xml:space="preserve"> rooms. The</w:t>
      </w:r>
      <w:r w:rsidR="002178D0">
        <w:t>ir</w:t>
      </w:r>
      <w:r w:rsidR="002B6403" w:rsidRPr="000D0AE5">
        <w:t xml:space="preserve"> occupants, while not directly part of his familial household would, in the likely absence of back stairs, have used </w:t>
      </w:r>
      <w:r w:rsidR="002335B8">
        <w:t>the</w:t>
      </w:r>
      <w:r w:rsidR="002B6403" w:rsidRPr="000D0AE5">
        <w:t xml:space="preserve"> main staircase, walking past the family’s drawing-room and bedrooms, to get to their </w:t>
      </w:r>
      <w:r w:rsidR="006D561E" w:rsidRPr="000D0AE5">
        <w:t>own ‘private’ accommodation</w:t>
      </w:r>
      <w:r w:rsidR="002B6403" w:rsidRPr="000D0AE5">
        <w:t xml:space="preserve">. </w:t>
      </w:r>
      <w:r w:rsidR="00A8162D">
        <w:t xml:space="preserve">Amanda Vickery has examined the various types of thresholds and boundaries within the multi-occupied houses of eighteenth-century London, revealing that some people – especially lodgers and servants – </w:t>
      </w:r>
      <w:r w:rsidR="00147A29">
        <w:t>had</w:t>
      </w:r>
      <w:r w:rsidR="00A8162D">
        <w:t xml:space="preserve"> little defensible, secure, </w:t>
      </w:r>
      <w:r w:rsidR="00147A29">
        <w:t xml:space="preserve">and separate </w:t>
      </w:r>
      <w:r w:rsidR="00A8162D">
        <w:t>space of their own. Equally</w:t>
      </w:r>
      <w:r w:rsidR="00147A29">
        <w:t>,</w:t>
      </w:r>
      <w:r w:rsidR="00A8162D">
        <w:t xml:space="preserve"> </w:t>
      </w:r>
      <w:r w:rsidR="00147A29">
        <w:t>even the householder, though he or she might have had more lockable space and broader rights of entry, would have been overlooked and overheard by the less privileged co-occupants of the house.</w:t>
      </w:r>
      <w:r w:rsidR="00171F1C">
        <w:t xml:space="preserve"> As Vickery suggests, this is likely to have continued into the complex households of Victorian commercial London.</w:t>
      </w:r>
      <w:r w:rsidR="00171F1C">
        <w:rPr>
          <w:rStyle w:val="FootnoteReference"/>
        </w:rPr>
        <w:footnoteReference w:id="37"/>
      </w:r>
    </w:p>
    <w:p w14:paraId="4B421E90" w14:textId="4891F9CD" w:rsidR="00BC46CD" w:rsidRPr="000D0AE5" w:rsidRDefault="006D561E" w:rsidP="008D16A0">
      <w:pPr>
        <w:ind w:firstLine="720"/>
      </w:pPr>
      <w:r w:rsidRPr="000D0AE5">
        <w:t xml:space="preserve">The </w:t>
      </w:r>
      <w:r w:rsidR="00824008" w:rsidRPr="000D0AE5">
        <w:t xml:space="preserve">boundaries </w:t>
      </w:r>
      <w:r w:rsidRPr="000D0AE5">
        <w:t>were also more subtl</w:t>
      </w:r>
      <w:r w:rsidR="00824008">
        <w:t>y</w:t>
      </w:r>
      <w:r w:rsidRPr="000D0AE5">
        <w:t xml:space="preserve"> blurr</w:t>
      </w:r>
      <w:r w:rsidR="00824008">
        <w:t>ed. The</w:t>
      </w:r>
      <w:r w:rsidRPr="000D0AE5">
        <w:t xml:space="preserve"> </w:t>
      </w:r>
      <w:r w:rsidR="004B5D88">
        <w:t xml:space="preserve">dental surgery was </w:t>
      </w:r>
      <w:r w:rsidRPr="000D0AE5">
        <w:t xml:space="preserve">physically distinct from the domestic </w:t>
      </w:r>
      <w:r w:rsidR="004B5D88">
        <w:t>parts</w:t>
      </w:r>
      <w:r w:rsidRPr="000D0AE5">
        <w:t xml:space="preserve"> of the residence, </w:t>
      </w:r>
      <w:r w:rsidR="00824008">
        <w:t xml:space="preserve">but </w:t>
      </w:r>
      <w:r w:rsidR="004B5D88">
        <w:t>it was</w:t>
      </w:r>
      <w:r w:rsidRPr="000D0AE5">
        <w:t xml:space="preserve"> </w:t>
      </w:r>
      <w:r w:rsidR="00AD2ACC" w:rsidRPr="000D0AE5">
        <w:t>divided up</w:t>
      </w:r>
      <w:r w:rsidR="00377B6A" w:rsidRPr="000D0AE5">
        <w:t xml:space="preserve"> and furnished in a manner which mirrored the Ormes’ </w:t>
      </w:r>
      <w:r w:rsidRPr="000D0AE5">
        <w:t>non-</w:t>
      </w:r>
      <w:r w:rsidR="00BD32AD">
        <w:t>business</w:t>
      </w:r>
      <w:r w:rsidRPr="000D0AE5">
        <w:t xml:space="preserve"> </w:t>
      </w:r>
      <w:r w:rsidR="00377B6A" w:rsidRPr="000D0AE5">
        <w:t>spaces</w:t>
      </w:r>
      <w:r w:rsidRPr="000D0AE5">
        <w:t xml:space="preserve"> upstairs</w:t>
      </w:r>
      <w:r w:rsidR="002335B8">
        <w:t>:</w:t>
      </w:r>
      <w:r w:rsidRPr="000D0AE5">
        <w:t xml:space="preserve"> the parlour or waiting room was decorated in a similar manner to the drawing-room, while the work-room can be seen as a service room, like the kitchen. </w:t>
      </w:r>
      <w:r w:rsidR="00AD2ACC" w:rsidRPr="000D0AE5">
        <w:t xml:space="preserve">The </w:t>
      </w:r>
      <w:r w:rsidR="004B5D88">
        <w:t>surgery</w:t>
      </w:r>
      <w:r w:rsidR="00AD2ACC" w:rsidRPr="000D0AE5">
        <w:t xml:space="preserve"> was ‘domesticated’ and allowed the patients to feel at home; later on it would have provided a different</w:t>
      </w:r>
      <w:r w:rsidR="00637013">
        <w:t>,</w:t>
      </w:r>
      <w:r w:rsidR="00AD2ACC" w:rsidRPr="000D0AE5">
        <w:t xml:space="preserve"> scientific or medical</w:t>
      </w:r>
      <w:r w:rsidR="00637013">
        <w:t>,</w:t>
      </w:r>
      <w:r w:rsidR="00AD2ACC" w:rsidRPr="000D0AE5">
        <w:t xml:space="preserve"> ambience. </w:t>
      </w:r>
    </w:p>
    <w:p w14:paraId="5D4B5E94" w14:textId="1C63095C" w:rsidR="00EC190A" w:rsidRPr="000D0AE5" w:rsidRDefault="00C91C7C" w:rsidP="00081C94">
      <w:pPr>
        <w:ind w:firstLine="720"/>
      </w:pPr>
      <w:r>
        <w:t>It</w:t>
      </w:r>
      <w:r w:rsidR="00E07D25" w:rsidRPr="000D0AE5">
        <w:t xml:space="preserve"> </w:t>
      </w:r>
      <w:r w:rsidR="002335B8">
        <w:t>can be suggested</w:t>
      </w:r>
      <w:r w:rsidR="00E07D25" w:rsidRPr="000D0AE5">
        <w:t xml:space="preserve"> that </w:t>
      </w:r>
      <w:r w:rsidR="00AD2ACC" w:rsidRPr="000D0AE5">
        <w:t xml:space="preserve">Mr Orme’s profession </w:t>
      </w:r>
      <w:r w:rsidR="00E07D25" w:rsidRPr="000D0AE5">
        <w:t xml:space="preserve">had some effect on </w:t>
      </w:r>
      <w:r w:rsidR="00AD2ACC" w:rsidRPr="000D0AE5">
        <w:t xml:space="preserve">his domestic spaces. </w:t>
      </w:r>
      <w:r w:rsidR="00EC190A">
        <w:t xml:space="preserve">He needed, as </w:t>
      </w:r>
      <w:r>
        <w:t>argued</w:t>
      </w:r>
      <w:r w:rsidR="00EC190A">
        <w:t xml:space="preserve"> above, </w:t>
      </w:r>
      <w:r w:rsidR="00AD2ACC" w:rsidRPr="000D0AE5">
        <w:t xml:space="preserve">to maintain a good middle-class front in order to attract and gain the confidence of his patients. This can be seen in the furnishings of the </w:t>
      </w:r>
      <w:r w:rsidR="00E07D25" w:rsidRPr="000D0AE5">
        <w:t>practi</w:t>
      </w:r>
      <w:r>
        <w:t>c</w:t>
      </w:r>
      <w:r w:rsidR="00E07D25" w:rsidRPr="000D0AE5">
        <w:t xml:space="preserve">e </w:t>
      </w:r>
      <w:r w:rsidR="00AD2ACC" w:rsidRPr="000D0AE5">
        <w:t>and hall</w:t>
      </w:r>
      <w:r w:rsidR="005334A4" w:rsidRPr="000D0AE5">
        <w:t xml:space="preserve">. </w:t>
      </w:r>
      <w:r w:rsidR="00EA336E" w:rsidRPr="000D0AE5">
        <w:t xml:space="preserve">However, </w:t>
      </w:r>
      <w:r w:rsidR="00131BE7" w:rsidRPr="000D0AE5">
        <w:t xml:space="preserve">he </w:t>
      </w:r>
      <w:r w:rsidR="00E07D25" w:rsidRPr="000D0AE5">
        <w:t>w</w:t>
      </w:r>
      <w:r w:rsidR="00131BE7" w:rsidRPr="000D0AE5">
        <w:t xml:space="preserve">ould </w:t>
      </w:r>
      <w:r w:rsidR="006F26CC" w:rsidRPr="000D0AE5">
        <w:t xml:space="preserve">have </w:t>
      </w:r>
      <w:r w:rsidR="00131BE7" w:rsidRPr="000D0AE5">
        <w:t>be</w:t>
      </w:r>
      <w:r w:rsidR="006F26CC" w:rsidRPr="000D0AE5">
        <w:t>en</w:t>
      </w:r>
      <w:r w:rsidR="00131BE7" w:rsidRPr="000D0AE5">
        <w:t xml:space="preserve"> </w:t>
      </w:r>
      <w:r w:rsidR="00E07D25" w:rsidRPr="000D0AE5">
        <w:t xml:space="preserve">even </w:t>
      </w:r>
      <w:r w:rsidR="00131BE7" w:rsidRPr="000D0AE5">
        <w:t xml:space="preserve">more convincing if his </w:t>
      </w:r>
      <w:r w:rsidR="00EA336E" w:rsidRPr="000D0AE5">
        <w:t>‘front’ was not</w:t>
      </w:r>
      <w:r w:rsidR="006F26CC" w:rsidRPr="000D0AE5">
        <w:t xml:space="preserve"> </w:t>
      </w:r>
      <w:r w:rsidR="00EA336E" w:rsidRPr="000D0AE5">
        <w:t xml:space="preserve">only put </w:t>
      </w:r>
      <w:r w:rsidR="004B5D88">
        <w:t xml:space="preserve">on </w:t>
      </w:r>
      <w:r w:rsidR="00E07D25" w:rsidRPr="000D0AE5">
        <w:t>as an</w:t>
      </w:r>
      <w:r w:rsidR="00EA336E" w:rsidRPr="000D0AE5">
        <w:t xml:space="preserve"> immediate performance </w:t>
      </w:r>
      <w:r w:rsidR="00131BE7" w:rsidRPr="000D0AE5">
        <w:t xml:space="preserve">in the </w:t>
      </w:r>
      <w:r w:rsidR="00131BE7" w:rsidRPr="000D0AE5">
        <w:lastRenderedPageBreak/>
        <w:t xml:space="preserve">surgery but </w:t>
      </w:r>
      <w:r w:rsidR="00E07D25" w:rsidRPr="000D0AE5">
        <w:t xml:space="preserve">was carried through into </w:t>
      </w:r>
      <w:r>
        <w:t>an</w:t>
      </w:r>
      <w:r w:rsidR="00E07D25" w:rsidRPr="000D0AE5">
        <w:t xml:space="preserve"> </w:t>
      </w:r>
      <w:r w:rsidR="006F26CC" w:rsidRPr="000D0AE5">
        <w:t xml:space="preserve">internalised and </w:t>
      </w:r>
      <w:r w:rsidR="00E07D25" w:rsidRPr="000D0AE5">
        <w:t>materialised lifestyle.</w:t>
      </w:r>
      <w:r w:rsidR="00131BE7" w:rsidRPr="000D0AE5">
        <w:rPr>
          <w:rStyle w:val="FootnoteReference"/>
        </w:rPr>
        <w:footnoteReference w:id="38"/>
      </w:r>
      <w:r w:rsidR="00EA336E" w:rsidRPr="000D0AE5">
        <w:t xml:space="preserve"> </w:t>
      </w:r>
      <w:r w:rsidR="00637013">
        <w:t>But</w:t>
      </w:r>
      <w:r w:rsidR="006F26CC" w:rsidRPr="000D0AE5">
        <w:t xml:space="preserve"> there are some indications that Mr Orme might have struggled with </w:t>
      </w:r>
      <w:r w:rsidR="006F26CC" w:rsidRPr="00C91C7C">
        <w:t>this</w:t>
      </w:r>
      <w:r w:rsidR="006F26CC" w:rsidRPr="000D0AE5">
        <w:t xml:space="preserve">. He seems to have been reasonably successful and he certainly was not one of the many dentists whose businesses failed since he </w:t>
      </w:r>
      <w:r w:rsidR="00B72D1E">
        <w:t>practised</w:t>
      </w:r>
      <w:r w:rsidR="006F26CC" w:rsidRPr="000D0AE5">
        <w:t xml:space="preserve"> at the same address since at least 184</w:t>
      </w:r>
      <w:r w:rsidR="004D450F">
        <w:t>0</w:t>
      </w:r>
      <w:r w:rsidR="006F26CC" w:rsidRPr="000D0AE5">
        <w:t>. But he did not die wealthy</w:t>
      </w:r>
      <w:r w:rsidR="00EC190A">
        <w:t xml:space="preserve"> and his </w:t>
      </w:r>
      <w:r w:rsidR="00D928C4" w:rsidRPr="000D0AE5">
        <w:t xml:space="preserve">money went into his business, not into a bank or into shares. </w:t>
      </w:r>
      <w:r w:rsidR="00450148" w:rsidRPr="000D0AE5">
        <w:t xml:space="preserve">The decorative items in his </w:t>
      </w:r>
      <w:r w:rsidR="00D928C4" w:rsidRPr="000D0AE5">
        <w:t>drawing-room</w:t>
      </w:r>
      <w:r>
        <w:t xml:space="preserve"> </w:t>
      </w:r>
      <w:r w:rsidR="00450148" w:rsidRPr="000D0AE5">
        <w:t>– the glass girandole, the four-light glass chandelier, the copper coal scuttle and bronze fender and the glass shades – suggest a sparkly, shiny room. If kept competently it would have demonstrated cleanliness, which was extremely important in middle-class culture, serving as a differentiation from those who could not or would not maintain such standards</w:t>
      </w:r>
      <w:r w:rsidR="00450148" w:rsidRPr="003B01AD">
        <w:t>.</w:t>
      </w:r>
      <w:r w:rsidR="00450148" w:rsidRPr="003B01AD">
        <w:rPr>
          <w:rStyle w:val="FootnoteReference"/>
        </w:rPr>
        <w:footnoteReference w:id="39"/>
      </w:r>
      <w:r w:rsidR="00450148" w:rsidRPr="003B01AD">
        <w:t xml:space="preserve"> B</w:t>
      </w:r>
      <w:r w:rsidR="00450148" w:rsidRPr="000D0AE5">
        <w:t xml:space="preserve">ut too much shine and sparkle could be an indicator of newness and aspiration rather than the </w:t>
      </w:r>
      <w:r w:rsidR="00B72D1E">
        <w:t>soft</w:t>
      </w:r>
      <w:r w:rsidR="00E616C7">
        <w:t xml:space="preserve"> polish and </w:t>
      </w:r>
      <w:r w:rsidR="00450148" w:rsidRPr="000D0AE5">
        <w:t xml:space="preserve">patina of inherited and internalised </w:t>
      </w:r>
      <w:r w:rsidR="00CE4291">
        <w:t>long-standing gentility</w:t>
      </w:r>
      <w:r w:rsidR="00450148" w:rsidRPr="000D0AE5">
        <w:t>.</w:t>
      </w:r>
      <w:r w:rsidR="00EC190A" w:rsidRPr="00190270">
        <w:rPr>
          <w:rStyle w:val="FootnoteReference"/>
        </w:rPr>
        <w:footnoteReference w:id="40"/>
      </w:r>
      <w:r w:rsidR="00450148" w:rsidRPr="00190270">
        <w:t xml:space="preserve"> </w:t>
      </w:r>
      <w:r>
        <w:t>Mr Orme, then, perhaps betrayed a less thorough grounding in upper</w:t>
      </w:r>
      <w:r w:rsidR="004D450F">
        <w:t>-</w:t>
      </w:r>
      <w:r w:rsidR="00E616C7">
        <w:t>middle-</w:t>
      </w:r>
      <w:r>
        <w:t xml:space="preserve">class </w:t>
      </w:r>
      <w:r w:rsidR="00092077">
        <w:t>practices than his patients.</w:t>
      </w:r>
    </w:p>
    <w:p w14:paraId="3246504A" w14:textId="68DEF847" w:rsidR="00EA2CD6" w:rsidRDefault="00637013" w:rsidP="00081C94">
      <w:pPr>
        <w:ind w:firstLine="720"/>
      </w:pPr>
      <w:r>
        <w:t>In this interpretation</w:t>
      </w:r>
      <w:r w:rsidR="00CC38D8">
        <w:t xml:space="preserve"> of Mr Orme’s </w:t>
      </w:r>
      <w:r w:rsidR="00873D75" w:rsidRPr="000D0AE5">
        <w:t xml:space="preserve">inventory </w:t>
      </w:r>
      <w:r>
        <w:t>we</w:t>
      </w:r>
      <w:r w:rsidR="00CC38D8">
        <w:t xml:space="preserve"> can see some clear, and expected, distinctions in the arrangement and use of space</w:t>
      </w:r>
      <w:r w:rsidR="00C64C36">
        <w:t>. Work and home, household and patients, were separately located;</w:t>
      </w:r>
      <w:r w:rsidR="00CC38D8">
        <w:t xml:space="preserve"> </w:t>
      </w:r>
      <w:r w:rsidR="00C64C36">
        <w:t>servants and family members had different spaces and different qualities of furnishing; the residential areas were ‘private’</w:t>
      </w:r>
      <w:r w:rsidR="004D450F">
        <w:t>,</w:t>
      </w:r>
      <w:r w:rsidR="00C64C36">
        <w:t xml:space="preserve"> albeit with more and less ‘public’ areas. </w:t>
      </w:r>
      <w:r w:rsidR="00EA2CD6" w:rsidRPr="000D0AE5">
        <w:t xml:space="preserve">But </w:t>
      </w:r>
      <w:r w:rsidR="00C64C36">
        <w:t xml:space="preserve">we can also see that those distinctions were not watertight and that there was both fundamental, as well as incidental, seepage between categories. </w:t>
      </w:r>
      <w:r w:rsidR="002178D0">
        <w:t>R</w:t>
      </w:r>
      <w:r w:rsidR="00C03F96">
        <w:t xml:space="preserve">ecent scholars have found that the increasing segregation and specialisation of the </w:t>
      </w:r>
      <w:r w:rsidR="00092077">
        <w:t xml:space="preserve">outdoor spaces of the </w:t>
      </w:r>
      <w:r w:rsidR="00C03F96">
        <w:t xml:space="preserve">metropolis was </w:t>
      </w:r>
      <w:r w:rsidR="00244C18">
        <w:t xml:space="preserve">practically </w:t>
      </w:r>
      <w:r w:rsidR="00C03F96">
        <w:t xml:space="preserve">impossible to achieve and challenged in everyday use, </w:t>
      </w:r>
      <w:r w:rsidR="002178D0">
        <w:t xml:space="preserve">and </w:t>
      </w:r>
      <w:r w:rsidR="00C03F96">
        <w:t>so it was behind the orderly fa</w:t>
      </w:r>
      <w:r w:rsidR="00190270">
        <w:t>c</w:t>
      </w:r>
      <w:r w:rsidR="00C03F96">
        <w:t>ades of Tallis’ orderly streets.</w:t>
      </w:r>
      <w:r w:rsidR="0071428B">
        <w:t xml:space="preserve"> </w:t>
      </w:r>
    </w:p>
    <w:p w14:paraId="53E2C018" w14:textId="77777777" w:rsidR="00546CC3" w:rsidRDefault="00546CC3" w:rsidP="00081C94">
      <w:pPr>
        <w:ind w:firstLine="720"/>
      </w:pPr>
    </w:p>
    <w:p w14:paraId="16A0E6B7" w14:textId="4D46870A" w:rsidR="00683316" w:rsidRPr="00081C94" w:rsidRDefault="00081C94" w:rsidP="00081C94">
      <w:pPr>
        <w:rPr>
          <w:b/>
        </w:rPr>
      </w:pPr>
      <w:r w:rsidRPr="00081C94">
        <w:rPr>
          <w:b/>
        </w:rPr>
        <w:t>Conclusion</w:t>
      </w:r>
    </w:p>
    <w:p w14:paraId="310C6C2A" w14:textId="3AB57299" w:rsidR="00C6038D" w:rsidRDefault="00803C3B" w:rsidP="00081C94">
      <w:pPr>
        <w:ind w:firstLine="720"/>
      </w:pPr>
      <w:r>
        <w:t>Alison O’Byrne</w:t>
      </w:r>
      <w:r w:rsidR="00BB740E">
        <w:t>’s essay</w:t>
      </w:r>
      <w:r>
        <w:t xml:space="preserve"> </w:t>
      </w:r>
      <w:r w:rsidR="00BB740E">
        <w:t>shows that</w:t>
      </w:r>
      <w:r>
        <w:t xml:space="preserve"> the advertisements and descriptive text in the </w:t>
      </w:r>
      <w:r w:rsidRPr="00803C3B">
        <w:rPr>
          <w:i/>
        </w:rPr>
        <w:t>Street Views</w:t>
      </w:r>
      <w:r>
        <w:rPr>
          <w:i/>
        </w:rPr>
        <w:t xml:space="preserve"> </w:t>
      </w:r>
      <w:r w:rsidRPr="00BB740E">
        <w:t xml:space="preserve">offer the reader a </w:t>
      </w:r>
      <w:r w:rsidR="00BB740E">
        <w:t>sense</w:t>
      </w:r>
      <w:r w:rsidRPr="00BB740E">
        <w:t xml:space="preserve"> of the beating heart of </w:t>
      </w:r>
      <w:r w:rsidR="00BB740E" w:rsidRPr="00BB740E">
        <w:t>commercial London</w:t>
      </w:r>
      <w:r w:rsidR="00BB740E">
        <w:t>,</w:t>
      </w:r>
      <w:r w:rsidR="00BB740E">
        <w:rPr>
          <w:i/>
        </w:rPr>
        <w:t xml:space="preserve"> </w:t>
      </w:r>
      <w:r w:rsidR="00BB740E" w:rsidRPr="00BB740E">
        <w:lastRenderedPageBreak/>
        <w:t xml:space="preserve">but the </w:t>
      </w:r>
      <w:r w:rsidR="00BB740E">
        <w:t xml:space="preserve">visual representations of the </w:t>
      </w:r>
      <w:r w:rsidR="00BB740E" w:rsidRPr="00BB740E">
        <w:t xml:space="preserve">street elevations </w:t>
      </w:r>
      <w:r w:rsidR="00BB740E">
        <w:t xml:space="preserve">nonetheless </w:t>
      </w:r>
      <w:r w:rsidR="00BB740E" w:rsidRPr="00BB740E">
        <w:t xml:space="preserve">present a still and empty city of orderly streets and </w:t>
      </w:r>
      <w:r w:rsidR="00BB740E">
        <w:t xml:space="preserve">placid </w:t>
      </w:r>
      <w:r w:rsidR="00BB740E" w:rsidRPr="00BB740E">
        <w:t>business frontages</w:t>
      </w:r>
      <w:r w:rsidR="00BB740E">
        <w:rPr>
          <w:i/>
        </w:rPr>
        <w:t xml:space="preserve">. </w:t>
      </w:r>
      <w:r w:rsidR="0094236E">
        <w:t xml:space="preserve">An interpretive reading of Mr Orme’s belongings, disposed around the spaces of his house, provides </w:t>
      </w:r>
      <w:r w:rsidR="00106A5E">
        <w:t>some</w:t>
      </w:r>
      <w:r w:rsidR="0094236E">
        <w:t xml:space="preserve"> sense of </w:t>
      </w:r>
      <w:r w:rsidR="00012D53">
        <w:t>the</w:t>
      </w:r>
      <w:r w:rsidR="0094236E">
        <w:t xml:space="preserve"> </w:t>
      </w:r>
      <w:r w:rsidR="00BB740E">
        <w:t xml:space="preserve">activity, </w:t>
      </w:r>
      <w:r w:rsidR="0094236E">
        <w:t xml:space="preserve">complexity and struggle at a daily level behind </w:t>
      </w:r>
      <w:r w:rsidR="00BB740E">
        <w:t xml:space="preserve">one of </w:t>
      </w:r>
      <w:r w:rsidR="0094236E">
        <w:t>those professional</w:t>
      </w:r>
      <w:r w:rsidR="00ED6147">
        <w:t xml:space="preserve"> or </w:t>
      </w:r>
      <w:r w:rsidR="0094236E">
        <w:t xml:space="preserve">commercial facades. </w:t>
      </w:r>
      <w:r w:rsidR="00B72D1E">
        <w:t xml:space="preserve">As </w:t>
      </w:r>
      <w:r w:rsidR="00ED6147">
        <w:t xml:space="preserve">Newman and Jenkins’ </w:t>
      </w:r>
      <w:r w:rsidR="00BB740E">
        <w:t>paper</w:t>
      </w:r>
      <w:r w:rsidR="00ED6147">
        <w:t xml:space="preserve"> in this collection </w:t>
      </w:r>
      <w:r w:rsidR="00BB740E">
        <w:t>further</w:t>
      </w:r>
      <w:r w:rsidR="00ED6147">
        <w:t xml:space="preserve"> </w:t>
      </w:r>
      <w:r w:rsidR="00B72D1E">
        <w:t>demonstrate</w:t>
      </w:r>
      <w:r w:rsidR="00ED6147">
        <w:t>s</w:t>
      </w:r>
      <w:r w:rsidR="00B72D1E">
        <w:t>, w</w:t>
      </w:r>
      <w:r w:rsidR="0094236E">
        <w:t xml:space="preserve">e </w:t>
      </w:r>
      <w:r w:rsidR="00DF18EF">
        <w:t>can</w:t>
      </w:r>
      <w:r w:rsidR="0094236E">
        <w:t xml:space="preserve"> usefully look to </w:t>
      </w:r>
      <w:r w:rsidR="000041CA">
        <w:t xml:space="preserve">material culture </w:t>
      </w:r>
      <w:r w:rsidR="0094236E">
        <w:t xml:space="preserve">to </w:t>
      </w:r>
      <w:r w:rsidR="00BF13DA">
        <w:t xml:space="preserve">provide a deeper understanding of people’s actual everyday life in a multifarious city. </w:t>
      </w:r>
      <w:r w:rsidR="00ED6147">
        <w:t>Such</w:t>
      </w:r>
      <w:r w:rsidR="00106A5E">
        <w:t xml:space="preserve"> material </w:t>
      </w:r>
      <w:r w:rsidR="000041CA">
        <w:t xml:space="preserve">culture </w:t>
      </w:r>
      <w:r w:rsidR="00106A5E">
        <w:t xml:space="preserve">can be found in textual </w:t>
      </w:r>
      <w:r w:rsidR="00AB4EAB">
        <w:t xml:space="preserve">or visual </w:t>
      </w:r>
      <w:r w:rsidR="00106A5E">
        <w:t xml:space="preserve">representations of </w:t>
      </w:r>
      <w:r w:rsidR="000041CA">
        <w:t>people’s</w:t>
      </w:r>
      <w:r w:rsidR="00106A5E">
        <w:t xml:space="preserve"> </w:t>
      </w:r>
      <w:r w:rsidR="000041CA">
        <w:t>belongings</w:t>
      </w:r>
      <w:r w:rsidR="00106A5E">
        <w:t xml:space="preserve"> and spaces</w:t>
      </w:r>
      <w:r w:rsidR="00BB740E">
        <w:t>,</w:t>
      </w:r>
      <w:r w:rsidR="00107FB1">
        <w:t xml:space="preserve"> o</w:t>
      </w:r>
      <w:r w:rsidR="00106A5E">
        <w:t>r</w:t>
      </w:r>
      <w:r w:rsidR="00ED6147">
        <w:t xml:space="preserve"> </w:t>
      </w:r>
      <w:r w:rsidR="000041CA">
        <w:t xml:space="preserve">in </w:t>
      </w:r>
      <w:r w:rsidR="00ED6147">
        <w:t>architectural elements</w:t>
      </w:r>
      <w:r w:rsidR="00BB740E">
        <w:t>,</w:t>
      </w:r>
      <w:r w:rsidR="00ED6147">
        <w:t xml:space="preserve"> or </w:t>
      </w:r>
      <w:r w:rsidR="00BB740E">
        <w:t xml:space="preserve">in </w:t>
      </w:r>
      <w:r w:rsidR="00CA1FD1">
        <w:t xml:space="preserve">the remains of </w:t>
      </w:r>
      <w:r w:rsidR="00BF13DA">
        <w:t xml:space="preserve">household </w:t>
      </w:r>
      <w:r w:rsidR="000041CA">
        <w:t>goods</w:t>
      </w:r>
      <w:r w:rsidR="00ED6147">
        <w:t>. Th</w:t>
      </w:r>
      <w:r w:rsidR="00BB740E">
        <w:t>ese too</w:t>
      </w:r>
      <w:r w:rsidR="00CA1FD1">
        <w:t xml:space="preserve">, as Alastair Owens and Nigel Jeffries have recently shown, can </w:t>
      </w:r>
      <w:r w:rsidR="00BB740E">
        <w:t xml:space="preserve">be interpreted to </w:t>
      </w:r>
      <w:r w:rsidR="00CA1FD1">
        <w:t xml:space="preserve">reveal the </w:t>
      </w:r>
      <w:r w:rsidR="00ED6147">
        <w:t>‘mobility and restlessness of urban life’</w:t>
      </w:r>
      <w:r w:rsidR="00CA1FD1">
        <w:t>.</w:t>
      </w:r>
      <w:r w:rsidR="00BF13DA">
        <w:rPr>
          <w:rStyle w:val="FootnoteReference"/>
        </w:rPr>
        <w:footnoteReference w:id="41"/>
      </w:r>
      <w:r w:rsidR="000041CA">
        <w:t xml:space="preserve"> </w:t>
      </w:r>
    </w:p>
    <w:p w14:paraId="5270BB45" w14:textId="0825AE9B" w:rsidR="00683316" w:rsidRDefault="00683316" w:rsidP="00081C94">
      <w:pPr>
        <w:ind w:firstLine="720"/>
      </w:pPr>
    </w:p>
    <w:p w14:paraId="37E57F34" w14:textId="77777777" w:rsidR="00081C94" w:rsidRDefault="00081C94" w:rsidP="00081C94">
      <w:pPr>
        <w:ind w:firstLine="720"/>
      </w:pPr>
    </w:p>
    <w:p w14:paraId="127E9EEE" w14:textId="77777777" w:rsidR="00081C94" w:rsidRPr="00081C94" w:rsidRDefault="00081C94" w:rsidP="00081C94">
      <w:pPr>
        <w:pStyle w:val="NormalWeb"/>
        <w:shd w:val="clear" w:color="auto" w:fill="FFFFFF"/>
        <w:spacing w:before="0" w:beforeAutospacing="0" w:after="0" w:afterAutospacing="0" w:line="360" w:lineRule="auto"/>
        <w:ind w:firstLine="720"/>
        <w:jc w:val="right"/>
        <w:rPr>
          <w:rStyle w:val="Strong"/>
          <w:rFonts w:ascii="Arial" w:hAnsi="Arial" w:cs="Arial"/>
          <w:b w:val="0"/>
        </w:rPr>
      </w:pPr>
      <w:r w:rsidRPr="00081C94">
        <w:rPr>
          <w:rStyle w:val="Strong"/>
          <w:rFonts w:ascii="Arial" w:hAnsi="Arial" w:cs="Arial"/>
          <w:b w:val="0"/>
        </w:rPr>
        <w:t>Department of History</w:t>
      </w:r>
    </w:p>
    <w:p w14:paraId="1EA3D7B8" w14:textId="77777777" w:rsidR="00081C94" w:rsidRPr="00081C94" w:rsidRDefault="00081C94" w:rsidP="00081C94">
      <w:pPr>
        <w:pStyle w:val="NormalWeb"/>
        <w:shd w:val="clear" w:color="auto" w:fill="FFFFFF"/>
        <w:spacing w:before="0" w:beforeAutospacing="0" w:after="0" w:afterAutospacing="0" w:line="360" w:lineRule="auto"/>
        <w:ind w:firstLine="720"/>
        <w:jc w:val="right"/>
        <w:rPr>
          <w:rStyle w:val="Strong"/>
          <w:rFonts w:ascii="Arial" w:hAnsi="Arial" w:cs="Arial"/>
          <w:b w:val="0"/>
          <w:i/>
        </w:rPr>
      </w:pPr>
      <w:r w:rsidRPr="00081C94">
        <w:rPr>
          <w:rStyle w:val="Strong"/>
          <w:rFonts w:ascii="Arial" w:hAnsi="Arial" w:cs="Arial"/>
          <w:b w:val="0"/>
          <w:i/>
        </w:rPr>
        <w:t>Royal Holloway, University of London</w:t>
      </w:r>
    </w:p>
    <w:p w14:paraId="4E82F914" w14:textId="1A442F6B" w:rsidR="00BC46CD" w:rsidRPr="000D0AE5" w:rsidRDefault="00081C94" w:rsidP="00637013">
      <w:pPr>
        <w:ind w:firstLine="720"/>
        <w:jc w:val="right"/>
      </w:pPr>
      <w:r w:rsidRPr="00081C94">
        <w:rPr>
          <w:i/>
        </w:rPr>
        <w:t>lesley.hoskins@rhul.ac.uk</w:t>
      </w:r>
    </w:p>
    <w:sectPr w:rsidR="00BC46CD" w:rsidRPr="000D0AE5">
      <w:footerReference w:type="even"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1143B" w14:textId="77777777" w:rsidR="00132804" w:rsidRDefault="00132804" w:rsidP="00BE7323">
      <w:pPr>
        <w:spacing w:line="240" w:lineRule="auto"/>
      </w:pPr>
      <w:r>
        <w:separator/>
      </w:r>
    </w:p>
  </w:endnote>
  <w:endnote w:type="continuationSeparator" w:id="0">
    <w:p w14:paraId="160160B7" w14:textId="77777777" w:rsidR="00132804" w:rsidRDefault="00132804" w:rsidP="00BE7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3C01A" w14:textId="77777777" w:rsidR="00B62806" w:rsidRDefault="00B62806" w:rsidP="007848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FD5ADF" w14:textId="77777777" w:rsidR="00B62806" w:rsidRDefault="00B62806" w:rsidP="0078485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05B55" w14:textId="77777777" w:rsidR="00B62806" w:rsidRPr="0074100A" w:rsidRDefault="00B62806" w:rsidP="00784850">
    <w:pPr>
      <w:pStyle w:val="Footer"/>
      <w:framePr w:wrap="around" w:vAnchor="text" w:hAnchor="margin" w:xAlign="right" w:y="1"/>
      <w:rPr>
        <w:rStyle w:val="PageNumber"/>
        <w:sz w:val="23"/>
        <w:szCs w:val="23"/>
      </w:rPr>
    </w:pPr>
    <w:r w:rsidRPr="0074100A">
      <w:rPr>
        <w:rStyle w:val="PageNumber"/>
        <w:sz w:val="23"/>
        <w:szCs w:val="23"/>
      </w:rPr>
      <w:fldChar w:fldCharType="begin"/>
    </w:r>
    <w:r w:rsidRPr="0074100A">
      <w:rPr>
        <w:rStyle w:val="PageNumber"/>
        <w:sz w:val="23"/>
        <w:szCs w:val="23"/>
      </w:rPr>
      <w:instrText xml:space="preserve">PAGE  </w:instrText>
    </w:r>
    <w:r w:rsidRPr="0074100A">
      <w:rPr>
        <w:rStyle w:val="PageNumber"/>
        <w:sz w:val="23"/>
        <w:szCs w:val="23"/>
      </w:rPr>
      <w:fldChar w:fldCharType="separate"/>
    </w:r>
    <w:r w:rsidR="001027C9">
      <w:rPr>
        <w:rStyle w:val="PageNumber"/>
        <w:noProof/>
        <w:sz w:val="23"/>
        <w:szCs w:val="23"/>
      </w:rPr>
      <w:t>1</w:t>
    </w:r>
    <w:r w:rsidRPr="0074100A">
      <w:rPr>
        <w:rStyle w:val="PageNumber"/>
        <w:sz w:val="23"/>
        <w:szCs w:val="23"/>
      </w:rPr>
      <w:fldChar w:fldCharType="end"/>
    </w:r>
  </w:p>
  <w:p w14:paraId="43DC7D7B" w14:textId="77777777" w:rsidR="00B62806" w:rsidRDefault="00B62806" w:rsidP="00784850">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3CF3C" w14:textId="77777777" w:rsidR="00132804" w:rsidRDefault="00132804" w:rsidP="00BE7323">
      <w:pPr>
        <w:spacing w:line="240" w:lineRule="auto"/>
      </w:pPr>
      <w:r>
        <w:separator/>
      </w:r>
    </w:p>
  </w:footnote>
  <w:footnote w:type="continuationSeparator" w:id="0">
    <w:p w14:paraId="6B6F468F" w14:textId="77777777" w:rsidR="00132804" w:rsidRDefault="00132804" w:rsidP="00BE7323">
      <w:pPr>
        <w:spacing w:line="240" w:lineRule="auto"/>
      </w:pPr>
      <w:r>
        <w:continuationSeparator/>
      </w:r>
    </w:p>
  </w:footnote>
  <w:footnote w:id="1">
    <w:p w14:paraId="5687FB4F" w14:textId="600DDCC0" w:rsidR="00B62806" w:rsidRPr="008D5ED9" w:rsidRDefault="00B62806">
      <w:pPr>
        <w:pStyle w:val="FootnoteText"/>
        <w:rPr>
          <w:lang w:val="en-GB"/>
        </w:rPr>
      </w:pPr>
      <w:r w:rsidRPr="008D5ED9">
        <w:rPr>
          <w:rStyle w:val="FootnoteReference"/>
        </w:rPr>
        <w:footnoteRef/>
      </w:r>
      <w:r w:rsidRPr="008D5ED9">
        <w:t xml:space="preserve"> </w:t>
      </w:r>
      <w:r w:rsidRPr="008D5ED9">
        <w:rPr>
          <w:lang w:val="en-GB"/>
        </w:rPr>
        <w:t>This contribution draws on my PhD thesis, ‘</w:t>
      </w:r>
      <w:r w:rsidRPr="008D5ED9">
        <w:rPr>
          <w:bCs/>
        </w:rPr>
        <w:t xml:space="preserve">Reading the Inventory: Household Goods, Domestic Cultures and Difference in England and Wales, 1841–81’, (2011), </w:t>
      </w:r>
      <w:r w:rsidRPr="008D5ED9">
        <w:rPr>
          <w:lang w:val="en-GB"/>
        </w:rPr>
        <w:t xml:space="preserve">funded and supported by: the </w:t>
      </w:r>
      <w:r w:rsidRPr="008D5ED9">
        <w:t>Economic and Social Research Council; The Geffrye, Museum of the Home; and the School of Geography, Queen Mary, University of London. I owe special thanks to Professor Alastair Owens for his advice.</w:t>
      </w:r>
    </w:p>
  </w:footnote>
  <w:footnote w:id="2">
    <w:p w14:paraId="39C0DCD7" w14:textId="02B9A0A8" w:rsidR="00B62806" w:rsidRPr="008D5ED9" w:rsidRDefault="00B62806" w:rsidP="004A68F9">
      <w:pPr>
        <w:autoSpaceDE w:val="0"/>
        <w:autoSpaceDN w:val="0"/>
        <w:adjustRightInd w:val="0"/>
        <w:spacing w:line="240" w:lineRule="auto"/>
        <w:rPr>
          <w:sz w:val="20"/>
          <w:szCs w:val="20"/>
        </w:rPr>
      </w:pPr>
      <w:r w:rsidRPr="008D5ED9">
        <w:rPr>
          <w:rStyle w:val="FootnoteReference"/>
          <w:sz w:val="20"/>
          <w:szCs w:val="20"/>
        </w:rPr>
        <w:footnoteRef/>
      </w:r>
      <w:r w:rsidRPr="008D5ED9">
        <w:rPr>
          <w:sz w:val="20"/>
          <w:szCs w:val="20"/>
        </w:rPr>
        <w:t xml:space="preserve"> Elizabeth Grant, ‘John Tallis’s </w:t>
      </w:r>
      <w:r w:rsidRPr="008D5ED9">
        <w:rPr>
          <w:i/>
          <w:sz w:val="20"/>
          <w:szCs w:val="20"/>
        </w:rPr>
        <w:t>London Street Views</w:t>
      </w:r>
      <w:r w:rsidRPr="008D5ED9">
        <w:rPr>
          <w:sz w:val="20"/>
          <w:szCs w:val="20"/>
        </w:rPr>
        <w:t xml:space="preserve">’, </w:t>
      </w:r>
      <w:r w:rsidRPr="008D5ED9">
        <w:rPr>
          <w:i/>
          <w:sz w:val="20"/>
          <w:szCs w:val="20"/>
        </w:rPr>
        <w:t>The London Journal</w:t>
      </w:r>
      <w:r w:rsidRPr="008D5ED9">
        <w:rPr>
          <w:sz w:val="20"/>
          <w:szCs w:val="20"/>
        </w:rPr>
        <w:t>, 37.3 (2012), 234–51, (pp. 237 and 239).</w:t>
      </w:r>
    </w:p>
  </w:footnote>
  <w:footnote w:id="3">
    <w:p w14:paraId="6C4FDE2E" w14:textId="6CEE70B4" w:rsidR="00B62806" w:rsidRPr="008D5ED9" w:rsidRDefault="00B62806" w:rsidP="000A35E7">
      <w:pPr>
        <w:autoSpaceDE w:val="0"/>
        <w:autoSpaceDN w:val="0"/>
        <w:adjustRightInd w:val="0"/>
        <w:spacing w:line="240" w:lineRule="auto"/>
        <w:rPr>
          <w:sz w:val="20"/>
          <w:szCs w:val="20"/>
        </w:rPr>
      </w:pPr>
      <w:r w:rsidRPr="008D5ED9">
        <w:rPr>
          <w:rStyle w:val="FootnoteReference"/>
          <w:sz w:val="20"/>
          <w:szCs w:val="20"/>
        </w:rPr>
        <w:footnoteRef/>
      </w:r>
      <w:r w:rsidRPr="008D5ED9">
        <w:rPr>
          <w:sz w:val="20"/>
          <w:szCs w:val="20"/>
        </w:rPr>
        <w:t xml:space="preserve"> Lynda Nead, ‘Mapping the Self: Gender, Space, and Modernity in mid-Victorian London’, </w:t>
      </w:r>
      <w:r w:rsidRPr="008D5ED9">
        <w:rPr>
          <w:i/>
          <w:iCs/>
          <w:sz w:val="20"/>
          <w:szCs w:val="20"/>
        </w:rPr>
        <w:t xml:space="preserve">Environment and Planning A, </w:t>
      </w:r>
      <w:r w:rsidRPr="008D5ED9">
        <w:rPr>
          <w:sz w:val="20"/>
          <w:szCs w:val="20"/>
        </w:rPr>
        <w:t>29</w:t>
      </w:r>
      <w:r w:rsidRPr="008D5ED9">
        <w:rPr>
          <w:i/>
          <w:iCs/>
          <w:sz w:val="20"/>
          <w:szCs w:val="20"/>
        </w:rPr>
        <w:t xml:space="preserve"> (</w:t>
      </w:r>
      <w:r w:rsidRPr="008D5ED9">
        <w:rPr>
          <w:sz w:val="20"/>
          <w:szCs w:val="20"/>
        </w:rPr>
        <w:t>1997), 659–672, p. 659.</w:t>
      </w:r>
    </w:p>
  </w:footnote>
  <w:footnote w:id="4">
    <w:p w14:paraId="36E50776" w14:textId="77777777" w:rsidR="00B62806" w:rsidRPr="008D5ED9" w:rsidRDefault="00B62806">
      <w:pPr>
        <w:pStyle w:val="FootnoteText"/>
        <w:rPr>
          <w:lang w:val="en-GB"/>
        </w:rPr>
      </w:pPr>
      <w:r w:rsidRPr="008D5ED9">
        <w:rPr>
          <w:rStyle w:val="FootnoteReference"/>
        </w:rPr>
        <w:footnoteRef/>
      </w:r>
      <w:r w:rsidRPr="008D5ED9">
        <w:t xml:space="preserve"> </w:t>
      </w:r>
      <w:hyperlink r:id="rId1" w:history="1">
        <w:r w:rsidRPr="008D5ED9">
          <w:rPr>
            <w:rStyle w:val="Hyperlink"/>
          </w:rPr>
          <w:t>https://londonstreetviews.wordpress.com/author/baldwinhamey</w:t>
        </w:r>
      </w:hyperlink>
      <w:r w:rsidRPr="008D5ED9">
        <w:t xml:space="preserve"> [accessed 27 December 2016].</w:t>
      </w:r>
    </w:p>
  </w:footnote>
  <w:footnote w:id="5">
    <w:p w14:paraId="0B5C0E2A" w14:textId="77777777" w:rsidR="00B62806" w:rsidRPr="008D5ED9" w:rsidRDefault="00B62806" w:rsidP="001A2AA2">
      <w:pPr>
        <w:pStyle w:val="FootnoteText"/>
      </w:pPr>
      <w:r w:rsidRPr="008D5ED9">
        <w:rPr>
          <w:rStyle w:val="FootnoteReference"/>
        </w:rPr>
        <w:footnoteRef/>
      </w:r>
      <w:r w:rsidRPr="008D5ED9">
        <w:t xml:space="preserve"> Henry Orme’s Legacy Duty papers, The National Archives IR 19/96. </w:t>
      </w:r>
    </w:p>
  </w:footnote>
  <w:footnote w:id="6">
    <w:p w14:paraId="659821FE" w14:textId="2A08BA4D" w:rsidR="00B62806" w:rsidRPr="008D5ED9" w:rsidRDefault="00B62806" w:rsidP="00D645E1">
      <w:pPr>
        <w:spacing w:line="240" w:lineRule="auto"/>
        <w:rPr>
          <w:sz w:val="20"/>
          <w:szCs w:val="20"/>
        </w:rPr>
      </w:pPr>
      <w:r w:rsidRPr="008D5ED9">
        <w:rPr>
          <w:rStyle w:val="FootnoteReference"/>
          <w:sz w:val="20"/>
          <w:szCs w:val="20"/>
        </w:rPr>
        <w:footnoteRef/>
      </w:r>
      <w:r w:rsidRPr="008D5ED9">
        <w:rPr>
          <w:sz w:val="20"/>
          <w:szCs w:val="20"/>
        </w:rPr>
        <w:t xml:space="preserve"> G. Riello, ‘“Things Seen and Unseen”: the Material Culture of Early Modern Inventories and their Representation of Domestic Interiors’, in </w:t>
      </w:r>
      <w:r w:rsidRPr="008D5ED9">
        <w:rPr>
          <w:i/>
          <w:sz w:val="20"/>
          <w:szCs w:val="20"/>
        </w:rPr>
        <w:t>Early Modern Things: Objects and their Histories, 1500-1800,</w:t>
      </w:r>
      <w:r w:rsidRPr="008D5ED9">
        <w:rPr>
          <w:sz w:val="20"/>
          <w:szCs w:val="20"/>
        </w:rPr>
        <w:t xml:space="preserve"> ed. by P. Findlen (Abingdon: Routledge, 2013), pp. 125-50.</w:t>
      </w:r>
    </w:p>
  </w:footnote>
  <w:footnote w:id="7">
    <w:p w14:paraId="185D0B15" w14:textId="77777777" w:rsidR="00B62806" w:rsidRPr="008D5ED9" w:rsidRDefault="00B62806" w:rsidP="00A14A48">
      <w:pPr>
        <w:pStyle w:val="FootnoteText"/>
      </w:pPr>
      <w:r w:rsidRPr="008D5ED9">
        <w:rPr>
          <w:rStyle w:val="FootnoteReference"/>
        </w:rPr>
        <w:footnoteRef/>
      </w:r>
      <w:r w:rsidRPr="008D5ED9">
        <w:t xml:space="preserve"> L. Wilkie, ‘Documentary archaeology’ in Dan Hicks, and Mary C. Beaudry, eds. </w:t>
      </w:r>
      <w:r w:rsidRPr="008D5ED9">
        <w:rPr>
          <w:i/>
        </w:rPr>
        <w:t>The Cambridge Companion to Historical Archaeology</w:t>
      </w:r>
      <w:r w:rsidRPr="008D5ED9">
        <w:t xml:space="preserve"> (Cambridge: Cambridge University Press, 2006).</w:t>
      </w:r>
    </w:p>
  </w:footnote>
  <w:footnote w:id="8">
    <w:p w14:paraId="447ED721" w14:textId="534CE217" w:rsidR="00B62806" w:rsidRPr="008D5ED9" w:rsidRDefault="00B62806" w:rsidP="008D5ED9">
      <w:pPr>
        <w:spacing w:line="240" w:lineRule="auto"/>
        <w:rPr>
          <w:sz w:val="20"/>
          <w:szCs w:val="20"/>
        </w:rPr>
      </w:pPr>
      <w:r w:rsidRPr="008D5ED9">
        <w:rPr>
          <w:rStyle w:val="FootnoteReference"/>
          <w:sz w:val="20"/>
          <w:szCs w:val="20"/>
        </w:rPr>
        <w:footnoteRef/>
      </w:r>
      <w:r w:rsidRPr="008D5ED9">
        <w:rPr>
          <w:sz w:val="20"/>
          <w:szCs w:val="20"/>
        </w:rPr>
        <w:t xml:space="preserve"> </w:t>
      </w:r>
      <w:r w:rsidR="008D5ED9" w:rsidRPr="008D5ED9">
        <w:rPr>
          <w:sz w:val="20"/>
          <w:szCs w:val="20"/>
        </w:rPr>
        <w:t xml:space="preserve">Karen Harvey, ed. </w:t>
      </w:r>
      <w:r w:rsidR="008D5ED9" w:rsidRPr="008D5ED9">
        <w:rPr>
          <w:i/>
          <w:sz w:val="20"/>
          <w:szCs w:val="20"/>
        </w:rPr>
        <w:t>History</w:t>
      </w:r>
      <w:r w:rsidR="008D5ED9" w:rsidRPr="008D5ED9">
        <w:rPr>
          <w:sz w:val="20"/>
          <w:szCs w:val="20"/>
        </w:rPr>
        <w:t xml:space="preserve"> </w:t>
      </w:r>
      <w:r w:rsidR="008D5ED9" w:rsidRPr="008D5ED9">
        <w:rPr>
          <w:i/>
          <w:sz w:val="20"/>
          <w:szCs w:val="20"/>
        </w:rPr>
        <w:t xml:space="preserve">and Material Culture: a Student’s Guide to Approaching Alternative Sources </w:t>
      </w:r>
      <w:r w:rsidR="008D5ED9" w:rsidRPr="008D5ED9">
        <w:rPr>
          <w:sz w:val="20"/>
          <w:szCs w:val="20"/>
        </w:rPr>
        <w:t xml:space="preserve">(London and New York: Routledge, 2009), pp. 2-3. </w:t>
      </w:r>
      <w:r w:rsidR="008D5ED9" w:rsidRPr="00011459">
        <w:rPr>
          <w:rStyle w:val="pages"/>
          <w:sz w:val="20"/>
          <w:szCs w:val="20"/>
          <w:bdr w:val="none" w:sz="0" w:space="0" w:color="auto" w:frame="1"/>
          <w:shd w:val="clear" w:color="auto" w:fill="FFFFFF"/>
        </w:rPr>
        <w:t xml:space="preserve">Key contributions to a material culture approach to nineteenth-century history include Jane Hamlett, </w:t>
      </w:r>
      <w:hyperlink r:id="rId2" w:history="1">
        <w:r w:rsidR="008D5ED9" w:rsidRPr="00011459">
          <w:rPr>
            <w:rStyle w:val="Hyperlink"/>
            <w:i/>
            <w:color w:val="auto"/>
            <w:sz w:val="20"/>
            <w:szCs w:val="20"/>
            <w:u w:val="none"/>
            <w:bdr w:val="none" w:sz="0" w:space="0" w:color="auto" w:frame="1"/>
          </w:rPr>
          <w:t>Material Relations: Domestic Interiors and Middle-Class Families in England, 1850-1910</w:t>
        </w:r>
      </w:hyperlink>
      <w:r w:rsidR="008D5ED9" w:rsidRPr="00011459">
        <w:rPr>
          <w:i/>
          <w:sz w:val="20"/>
          <w:szCs w:val="20"/>
        </w:rPr>
        <w:t xml:space="preserve"> </w:t>
      </w:r>
      <w:r w:rsidR="008D5ED9" w:rsidRPr="00011459">
        <w:rPr>
          <w:sz w:val="20"/>
          <w:szCs w:val="20"/>
        </w:rPr>
        <w:t>(</w:t>
      </w:r>
      <w:r w:rsidR="008D5ED9" w:rsidRPr="00011459">
        <w:rPr>
          <w:sz w:val="20"/>
          <w:szCs w:val="20"/>
          <w:shd w:val="clear" w:color="auto" w:fill="FFFFFF"/>
        </w:rPr>
        <w:t>Manchester:</w:t>
      </w:r>
      <w:r w:rsidR="008D5ED9" w:rsidRPr="00011459">
        <w:rPr>
          <w:rStyle w:val="apple-converted-space"/>
          <w:sz w:val="20"/>
          <w:szCs w:val="20"/>
          <w:shd w:val="clear" w:color="auto" w:fill="FFFFFF"/>
        </w:rPr>
        <w:t xml:space="preserve"> </w:t>
      </w:r>
      <w:r w:rsidR="008D5ED9" w:rsidRPr="00011459">
        <w:rPr>
          <w:sz w:val="20"/>
          <w:szCs w:val="20"/>
          <w:bdr w:val="none" w:sz="0" w:space="0" w:color="auto" w:frame="1"/>
          <w:shd w:val="clear" w:color="auto" w:fill="FFFFFF"/>
        </w:rPr>
        <w:t>Manchester University Press, 2010) and</w:t>
      </w:r>
      <w:r w:rsidR="008D5ED9" w:rsidRPr="00011459">
        <w:rPr>
          <w:rFonts w:eastAsia="Times New Roman"/>
          <w:bCs/>
          <w:sz w:val="20"/>
          <w:szCs w:val="20"/>
          <w:lang w:eastAsia="en-GB"/>
        </w:rPr>
        <w:t xml:space="preserve"> </w:t>
      </w:r>
      <w:hyperlink r:id="rId3" w:history="1">
        <w:r w:rsidR="008D5ED9" w:rsidRPr="00011459">
          <w:rPr>
            <w:rFonts w:eastAsia="Times New Roman"/>
            <w:bCs/>
            <w:i/>
            <w:sz w:val="20"/>
            <w:szCs w:val="20"/>
            <w:bdr w:val="none" w:sz="0" w:space="0" w:color="auto" w:frame="1"/>
            <w:lang w:eastAsia="en-GB"/>
          </w:rPr>
          <w:t xml:space="preserve">At Home in the Institution Material Life in Asylums, Lodging Houses and Schools in Victorian and Edwardian England </w:t>
        </w:r>
        <w:r w:rsidR="008D5ED9" w:rsidRPr="00011459">
          <w:rPr>
            <w:rFonts w:eastAsia="Times New Roman"/>
            <w:bCs/>
            <w:sz w:val="20"/>
            <w:szCs w:val="20"/>
            <w:bdr w:val="none" w:sz="0" w:space="0" w:color="auto" w:frame="1"/>
            <w:lang w:eastAsia="en-GB"/>
          </w:rPr>
          <w:t>(</w:t>
        </w:r>
      </w:hyperlink>
      <w:r w:rsidR="008D5ED9" w:rsidRPr="00011459">
        <w:rPr>
          <w:rFonts w:eastAsia="Times New Roman"/>
          <w:bCs/>
          <w:sz w:val="20"/>
          <w:szCs w:val="20"/>
          <w:lang w:eastAsia="en-GB"/>
        </w:rPr>
        <w:t>Hampshire</w:t>
      </w:r>
      <w:r w:rsidR="00011459" w:rsidRPr="00011459">
        <w:rPr>
          <w:rFonts w:eastAsia="Times New Roman"/>
          <w:bCs/>
          <w:sz w:val="20"/>
          <w:szCs w:val="20"/>
          <w:lang w:eastAsia="en-GB"/>
        </w:rPr>
        <w:t>:</w:t>
      </w:r>
      <w:r w:rsidR="008D5ED9" w:rsidRPr="00011459">
        <w:rPr>
          <w:rFonts w:eastAsia="Times New Roman"/>
          <w:bCs/>
          <w:sz w:val="20"/>
          <w:szCs w:val="20"/>
          <w:lang w:eastAsia="en-GB"/>
        </w:rPr>
        <w:t xml:space="preserve"> </w:t>
      </w:r>
      <w:r w:rsidR="008D5ED9" w:rsidRPr="00011459">
        <w:rPr>
          <w:rFonts w:eastAsia="Times New Roman"/>
          <w:sz w:val="20"/>
          <w:szCs w:val="20"/>
          <w:bdr w:val="none" w:sz="0" w:space="0" w:color="auto" w:frame="1"/>
          <w:lang w:eastAsia="en-GB"/>
        </w:rPr>
        <w:t>Palgrave Macmillan, 2014).</w:t>
      </w:r>
      <w:r w:rsidR="008D5ED9" w:rsidRPr="00011459">
        <w:rPr>
          <w:rFonts w:eastAsia="Times New Roman"/>
          <w:sz w:val="20"/>
          <w:szCs w:val="20"/>
          <w:lang w:eastAsia="en-GB"/>
        </w:rPr>
        <w:t xml:space="preserve"> </w:t>
      </w:r>
      <w:r w:rsidR="008D5ED9" w:rsidRPr="00011459">
        <w:rPr>
          <w:rStyle w:val="pages"/>
          <w:sz w:val="20"/>
          <w:szCs w:val="20"/>
          <w:bdr w:val="none" w:sz="0" w:space="0" w:color="auto" w:frame="1"/>
          <w:shd w:val="clear" w:color="auto" w:fill="FFFFFF"/>
        </w:rPr>
        <w:t xml:space="preserve">Recent articles in the </w:t>
      </w:r>
      <w:r w:rsidR="008D5ED9" w:rsidRPr="00011459">
        <w:rPr>
          <w:rStyle w:val="pages"/>
          <w:i/>
          <w:sz w:val="20"/>
          <w:szCs w:val="20"/>
          <w:bdr w:val="none" w:sz="0" w:space="0" w:color="auto" w:frame="1"/>
          <w:shd w:val="clear" w:color="auto" w:fill="FFFFFF"/>
        </w:rPr>
        <w:t>Journal of Victorian Culture</w:t>
      </w:r>
      <w:r w:rsidR="008D5ED9" w:rsidRPr="00011459">
        <w:rPr>
          <w:rStyle w:val="pages"/>
          <w:sz w:val="20"/>
          <w:szCs w:val="20"/>
          <w:bdr w:val="none" w:sz="0" w:space="0" w:color="auto" w:frame="1"/>
          <w:shd w:val="clear" w:color="auto" w:fill="FFFFFF"/>
        </w:rPr>
        <w:t xml:space="preserve"> include: </w:t>
      </w:r>
      <w:r w:rsidR="008D5ED9" w:rsidRPr="00011459">
        <w:rPr>
          <w:sz w:val="20"/>
          <w:szCs w:val="20"/>
        </w:rPr>
        <w:t>Jim Cheshire, ‘</w:t>
      </w:r>
      <w:r w:rsidR="008D5ED9" w:rsidRPr="00011459">
        <w:rPr>
          <w:bCs/>
          <w:sz w:val="20"/>
          <w:szCs w:val="20"/>
        </w:rPr>
        <w:t xml:space="preserve">Material Culture and the “Backstage”: A Response to Peter K. Andersson’s “How Civilized Were the Victorians?”’, </w:t>
      </w:r>
      <w:r w:rsidR="008D5ED9" w:rsidRPr="00011459">
        <w:rPr>
          <w:sz w:val="20"/>
          <w:szCs w:val="20"/>
        </w:rPr>
        <w:t xml:space="preserve">22, 1 (2017), p.2; </w:t>
      </w:r>
      <w:r w:rsidR="008D5ED9" w:rsidRPr="00011459">
        <w:rPr>
          <w:rStyle w:val="nlmarticle-title"/>
          <w:sz w:val="20"/>
          <w:szCs w:val="20"/>
        </w:rPr>
        <w:t xml:space="preserve">Jane </w:t>
      </w:r>
      <w:r w:rsidR="008D5ED9" w:rsidRPr="00011459">
        <w:rPr>
          <w:sz w:val="20"/>
          <w:szCs w:val="20"/>
          <w:bdr w:val="none" w:sz="0" w:space="0" w:color="auto" w:frame="1"/>
          <w:shd w:val="clear" w:color="auto" w:fill="FFFFFF"/>
        </w:rPr>
        <w:t>Hamlett and Lesley Hoskins</w:t>
      </w:r>
      <w:r w:rsidR="008D5ED9" w:rsidRPr="00011459">
        <w:rPr>
          <w:sz w:val="20"/>
          <w:szCs w:val="20"/>
        </w:rPr>
        <w:t>, ‘</w:t>
      </w:r>
      <w:hyperlink r:id="rId4" w:history="1">
        <w:r w:rsidR="008D5ED9" w:rsidRPr="00011459">
          <w:rPr>
            <w:rStyle w:val="Hyperlink"/>
            <w:color w:val="auto"/>
            <w:sz w:val="20"/>
            <w:szCs w:val="20"/>
            <w:u w:val="none"/>
            <w:bdr w:val="none" w:sz="0" w:space="0" w:color="auto" w:frame="1"/>
          </w:rPr>
          <w:t>Comfort in Small Things? Clothing, Control and Agency in County Lunatic Asylums in Nineteenth- and Early Twentieth-Century England</w:t>
        </w:r>
      </w:hyperlink>
      <w:r w:rsidR="008D5ED9" w:rsidRPr="00011459">
        <w:rPr>
          <w:sz w:val="20"/>
          <w:szCs w:val="20"/>
        </w:rPr>
        <w:t xml:space="preserve">’, </w:t>
      </w:r>
      <w:r w:rsidR="008D5ED9" w:rsidRPr="00011459">
        <w:rPr>
          <w:rStyle w:val="journal"/>
          <w:sz w:val="20"/>
          <w:szCs w:val="20"/>
          <w:bdr w:val="none" w:sz="0" w:space="0" w:color="auto" w:frame="1"/>
          <w:shd w:val="clear" w:color="auto" w:fill="FFFFFF"/>
        </w:rPr>
        <w:t>I</w:t>
      </w:r>
      <w:r w:rsidR="008D5ED9" w:rsidRPr="00011459">
        <w:rPr>
          <w:rStyle w:val="volume"/>
          <w:sz w:val="20"/>
          <w:szCs w:val="20"/>
          <w:bdr w:val="none" w:sz="0" w:space="0" w:color="auto" w:frame="1"/>
          <w:shd w:val="clear" w:color="auto" w:fill="FFFFFF"/>
        </w:rPr>
        <w:t>8</w:t>
      </w:r>
      <w:r w:rsidR="008D5ED9" w:rsidRPr="00011459">
        <w:rPr>
          <w:sz w:val="20"/>
          <w:szCs w:val="20"/>
          <w:shd w:val="clear" w:color="auto" w:fill="FFFFFF"/>
        </w:rPr>
        <w:t xml:space="preserve">, </w:t>
      </w:r>
      <w:r w:rsidR="008D5ED9" w:rsidRPr="00011459">
        <w:rPr>
          <w:rStyle w:val="journalnumber"/>
          <w:sz w:val="20"/>
          <w:szCs w:val="20"/>
          <w:bdr w:val="none" w:sz="0" w:space="0" w:color="auto" w:frame="1"/>
          <w:shd w:val="clear" w:color="auto" w:fill="FFFFFF"/>
        </w:rPr>
        <w:t>1 (</w:t>
      </w:r>
      <w:r w:rsidR="008D5ED9" w:rsidRPr="00011459">
        <w:rPr>
          <w:rStyle w:val="Date1"/>
          <w:sz w:val="20"/>
          <w:szCs w:val="20"/>
          <w:bdr w:val="none" w:sz="0" w:space="0" w:color="auto" w:frame="1"/>
          <w:shd w:val="clear" w:color="auto" w:fill="FFFFFF"/>
        </w:rPr>
        <w:t>2013)</w:t>
      </w:r>
      <w:r w:rsidR="008D5ED9" w:rsidRPr="00011459">
        <w:rPr>
          <w:rStyle w:val="journalnumber"/>
          <w:sz w:val="20"/>
          <w:szCs w:val="20"/>
          <w:bdr w:val="none" w:sz="0" w:space="0" w:color="auto" w:frame="1"/>
          <w:shd w:val="clear" w:color="auto" w:fill="FFFFFF"/>
        </w:rPr>
        <w:t>;</w:t>
      </w:r>
      <w:r w:rsidR="008D5ED9" w:rsidRPr="00011459">
        <w:rPr>
          <w:rStyle w:val="pages"/>
          <w:sz w:val="20"/>
          <w:szCs w:val="20"/>
          <w:bdr w:val="none" w:sz="0" w:space="0" w:color="auto" w:frame="1"/>
          <w:shd w:val="clear" w:color="auto" w:fill="FFFFFF"/>
        </w:rPr>
        <w:t xml:space="preserve"> Simon Morgan ‘</w:t>
      </w:r>
      <w:r w:rsidR="008D5ED9" w:rsidRPr="00011459">
        <w:rPr>
          <w:rFonts w:eastAsia="Times New Roman"/>
          <w:bCs/>
          <w:kern w:val="36"/>
          <w:sz w:val="20"/>
          <w:szCs w:val="20"/>
          <w:lang w:eastAsia="en-GB"/>
        </w:rPr>
        <w:t xml:space="preserve">Material Culture and the Politics of Personality in Early Victorian England’, 17, 2 (2012); </w:t>
      </w:r>
      <w:r w:rsidR="008D5ED9" w:rsidRPr="00011459">
        <w:rPr>
          <w:rStyle w:val="contribdegrees"/>
          <w:bCs/>
          <w:sz w:val="20"/>
          <w:szCs w:val="20"/>
        </w:rPr>
        <w:t xml:space="preserve">Alastair </w:t>
      </w:r>
      <w:r w:rsidR="008D5ED9" w:rsidRPr="00011459">
        <w:rPr>
          <w:rStyle w:val="singlehighlightclass"/>
          <w:bCs/>
          <w:sz w:val="20"/>
          <w:szCs w:val="20"/>
        </w:rPr>
        <w:t>Owens</w:t>
      </w:r>
      <w:r w:rsidR="008D5ED9" w:rsidRPr="00011459">
        <w:rPr>
          <w:rStyle w:val="contribdegrees"/>
          <w:sz w:val="20"/>
          <w:szCs w:val="20"/>
        </w:rPr>
        <w:t xml:space="preserve">, </w:t>
      </w:r>
      <w:hyperlink r:id="rId5" w:history="1">
        <w:r w:rsidR="008D5ED9" w:rsidRPr="00011459">
          <w:rPr>
            <w:rStyle w:val="Hyperlink"/>
            <w:color w:val="auto"/>
            <w:sz w:val="20"/>
            <w:szCs w:val="20"/>
            <w:u w:val="none"/>
          </w:rPr>
          <w:t>Nigel Jeffries</w:t>
        </w:r>
      </w:hyperlink>
      <w:r w:rsidR="008D5ED9" w:rsidRPr="00011459">
        <w:rPr>
          <w:rStyle w:val="contribdegrees"/>
          <w:sz w:val="20"/>
          <w:szCs w:val="20"/>
        </w:rPr>
        <w:t xml:space="preserve">, </w:t>
      </w:r>
      <w:hyperlink r:id="rId6" w:history="1">
        <w:r w:rsidR="008D5ED9" w:rsidRPr="00011459">
          <w:rPr>
            <w:rStyle w:val="Hyperlink"/>
            <w:color w:val="auto"/>
            <w:sz w:val="20"/>
            <w:szCs w:val="20"/>
            <w:u w:val="none"/>
          </w:rPr>
          <w:t>Karen Wehner</w:t>
        </w:r>
      </w:hyperlink>
      <w:r w:rsidR="008D5ED9" w:rsidRPr="00011459">
        <w:rPr>
          <w:rStyle w:val="contribdegrees"/>
          <w:sz w:val="20"/>
          <w:szCs w:val="20"/>
        </w:rPr>
        <w:t xml:space="preserve"> and </w:t>
      </w:r>
      <w:hyperlink r:id="rId7" w:history="1">
        <w:r w:rsidR="008D5ED9" w:rsidRPr="00011459">
          <w:rPr>
            <w:rStyle w:val="Hyperlink"/>
            <w:color w:val="auto"/>
            <w:sz w:val="20"/>
            <w:szCs w:val="20"/>
            <w:u w:val="none"/>
          </w:rPr>
          <w:t>Rupert Featherby</w:t>
        </w:r>
      </w:hyperlink>
      <w:r w:rsidR="008D5ED9" w:rsidRPr="00011459">
        <w:rPr>
          <w:rStyle w:val="contribdegrees"/>
          <w:sz w:val="20"/>
          <w:szCs w:val="20"/>
        </w:rPr>
        <w:t>, ‘</w:t>
      </w:r>
      <w:r w:rsidR="008D5ED9" w:rsidRPr="00011459">
        <w:rPr>
          <w:rStyle w:val="nlmarticle-title"/>
          <w:sz w:val="20"/>
          <w:szCs w:val="20"/>
        </w:rPr>
        <w:t xml:space="preserve">Fragments of the Modern City: Material Culture and the Rhythms of Everyday Life in Victorian London’, 15, 2 (2010). </w:t>
      </w:r>
    </w:p>
  </w:footnote>
  <w:footnote w:id="9">
    <w:p w14:paraId="6C89C87E" w14:textId="77777777" w:rsidR="00B62806" w:rsidRPr="008D5ED9" w:rsidRDefault="00B62806" w:rsidP="00A14A48">
      <w:pPr>
        <w:spacing w:line="240" w:lineRule="auto"/>
        <w:rPr>
          <w:sz w:val="20"/>
          <w:szCs w:val="20"/>
        </w:rPr>
      </w:pPr>
      <w:r w:rsidRPr="008D5ED9">
        <w:rPr>
          <w:rStyle w:val="FootnoteReference"/>
          <w:sz w:val="20"/>
          <w:szCs w:val="20"/>
        </w:rPr>
        <w:footnoteRef/>
      </w:r>
      <w:r w:rsidRPr="008D5ED9">
        <w:rPr>
          <w:sz w:val="20"/>
          <w:szCs w:val="20"/>
        </w:rPr>
        <w:t xml:space="preserve"> S. Muthesius, </w:t>
      </w:r>
      <w:r w:rsidRPr="008D5ED9">
        <w:rPr>
          <w:i/>
          <w:sz w:val="20"/>
          <w:szCs w:val="20"/>
        </w:rPr>
        <w:t>The English Terraced House</w:t>
      </w:r>
      <w:r w:rsidRPr="008D5ED9">
        <w:rPr>
          <w:sz w:val="20"/>
          <w:szCs w:val="20"/>
        </w:rPr>
        <w:t xml:space="preserve"> (New Haven and London: Yale University Press, 1982), p. 45.</w:t>
      </w:r>
    </w:p>
  </w:footnote>
  <w:footnote w:id="10">
    <w:p w14:paraId="7CDD797D" w14:textId="7EF822E4" w:rsidR="00B62806" w:rsidRPr="008D5ED9" w:rsidRDefault="00B62806" w:rsidP="00A14A48">
      <w:pPr>
        <w:pStyle w:val="FootnoteText"/>
        <w:rPr>
          <w:lang w:val="en-GB"/>
        </w:rPr>
      </w:pPr>
      <w:r w:rsidRPr="008D5ED9">
        <w:rPr>
          <w:rStyle w:val="FootnoteReference"/>
        </w:rPr>
        <w:footnoteRef/>
      </w:r>
      <w:r w:rsidRPr="008D5ED9">
        <w:t xml:space="preserve"> Leonore Davidoff and Catherine Hall, </w:t>
      </w:r>
      <w:r w:rsidRPr="008D5ED9">
        <w:rPr>
          <w:i/>
        </w:rPr>
        <w:t>Family Fortunes</w:t>
      </w:r>
      <w:r w:rsidRPr="008D5ED9">
        <w:t xml:space="preserve"> (London: Routledge, 2002, 2</w:t>
      </w:r>
      <w:r w:rsidRPr="008D5ED9">
        <w:rPr>
          <w:vertAlign w:val="superscript"/>
        </w:rPr>
        <w:t>nd</w:t>
      </w:r>
      <w:r w:rsidRPr="008D5ED9">
        <w:t xml:space="preserve"> edition), chapter 8.</w:t>
      </w:r>
    </w:p>
  </w:footnote>
  <w:footnote w:id="11">
    <w:p w14:paraId="578AAA05" w14:textId="45B880A8" w:rsidR="00B62806" w:rsidRPr="008D5ED9" w:rsidRDefault="00B62806" w:rsidP="00A14A48">
      <w:pPr>
        <w:pStyle w:val="FootnoteText"/>
      </w:pPr>
      <w:r w:rsidRPr="008D5ED9">
        <w:rPr>
          <w:rStyle w:val="FootnoteReference"/>
        </w:rPr>
        <w:footnoteRef/>
      </w:r>
      <w:r w:rsidRPr="008D5ED9">
        <w:t xml:space="preserve"> Davidoff and Hall, </w:t>
      </w:r>
      <w:r w:rsidRPr="008D5ED9">
        <w:rPr>
          <w:i/>
        </w:rPr>
        <w:t>Family Fortunes</w:t>
      </w:r>
      <w:r w:rsidRPr="008D5ED9">
        <w:t>, introduction and pp. 364-9.</w:t>
      </w:r>
    </w:p>
  </w:footnote>
  <w:footnote w:id="12">
    <w:p w14:paraId="7DA95429" w14:textId="0C41E5A4" w:rsidR="00B62806" w:rsidRPr="008D5ED9" w:rsidRDefault="00B62806" w:rsidP="00A14A48">
      <w:pPr>
        <w:spacing w:line="240" w:lineRule="auto"/>
        <w:rPr>
          <w:sz w:val="20"/>
          <w:szCs w:val="20"/>
        </w:rPr>
      </w:pPr>
      <w:r w:rsidRPr="008D5ED9">
        <w:rPr>
          <w:rStyle w:val="FootnoteReference"/>
          <w:sz w:val="20"/>
          <w:szCs w:val="20"/>
        </w:rPr>
        <w:footnoteRef/>
      </w:r>
      <w:r w:rsidRPr="008D5ED9">
        <w:rPr>
          <w:sz w:val="20"/>
          <w:szCs w:val="20"/>
        </w:rPr>
        <w:t xml:space="preserve"> Robert Kerr, </w:t>
      </w:r>
      <w:r w:rsidRPr="008D5ED9">
        <w:rPr>
          <w:i/>
          <w:sz w:val="20"/>
          <w:szCs w:val="20"/>
        </w:rPr>
        <w:t>The Gentleman’s House</w:t>
      </w:r>
      <w:r w:rsidRPr="008D5ED9">
        <w:rPr>
          <w:sz w:val="20"/>
          <w:szCs w:val="20"/>
        </w:rPr>
        <w:t xml:space="preserve"> </w:t>
      </w:r>
      <w:r w:rsidRPr="008D5ED9">
        <w:rPr>
          <w:i/>
          <w:color w:val="000000"/>
          <w:sz w:val="20"/>
          <w:szCs w:val="20"/>
        </w:rPr>
        <w:t>or, How to Plan English Residences from the Parsonage to the Palace</w:t>
      </w:r>
      <w:r w:rsidRPr="008D5ED9">
        <w:rPr>
          <w:color w:val="000000"/>
          <w:sz w:val="20"/>
          <w:szCs w:val="20"/>
        </w:rPr>
        <w:t xml:space="preserve"> (</w:t>
      </w:r>
      <w:r w:rsidRPr="008D5ED9">
        <w:rPr>
          <w:sz w:val="20"/>
          <w:szCs w:val="20"/>
        </w:rPr>
        <w:t xml:space="preserve">London: John Murray, 1871, first edition 1864), p. 112; J. Melville, ‘The Use and Organisation of Domestic Space in Late Seventeenth-century London’ (PhD thesis, University of Cambridge, 1999), pp. 126-47; Jon Stobart, Andrew Hann, and Victoria Morgan, </w:t>
      </w:r>
      <w:r w:rsidRPr="008D5ED9">
        <w:rPr>
          <w:i/>
          <w:sz w:val="20"/>
          <w:szCs w:val="20"/>
        </w:rPr>
        <w:t>Spaces of Consumption: Leisure and Shopping in the English Town, c.1680-1830</w:t>
      </w:r>
      <w:r w:rsidRPr="008D5ED9">
        <w:rPr>
          <w:sz w:val="20"/>
          <w:szCs w:val="20"/>
        </w:rPr>
        <w:t xml:space="preserve"> (London &amp; New York: Routledge, 2007), pp. 112-8.</w:t>
      </w:r>
    </w:p>
  </w:footnote>
  <w:footnote w:id="13">
    <w:p w14:paraId="640E9AA2" w14:textId="77777777" w:rsidR="00B62806" w:rsidRPr="008D5ED9" w:rsidRDefault="00B62806" w:rsidP="00A14A48">
      <w:pPr>
        <w:pStyle w:val="FootnoteText"/>
        <w:rPr>
          <w:lang w:val="en-GB"/>
        </w:rPr>
      </w:pPr>
      <w:r w:rsidRPr="008D5ED9">
        <w:rPr>
          <w:rStyle w:val="FootnoteReference"/>
        </w:rPr>
        <w:footnoteRef/>
      </w:r>
      <w:r w:rsidRPr="008D5ED9">
        <w:t xml:space="preserve"> Kerr, </w:t>
      </w:r>
      <w:r w:rsidRPr="008D5ED9">
        <w:rPr>
          <w:i/>
        </w:rPr>
        <w:t>The Gentleman’s House</w:t>
      </w:r>
      <w:r w:rsidRPr="008D5ED9">
        <w:t>, p. 143.</w:t>
      </w:r>
    </w:p>
  </w:footnote>
  <w:footnote w:id="14">
    <w:p w14:paraId="7DB7993C" w14:textId="1620BE0D" w:rsidR="00B62806" w:rsidRPr="008D5ED9" w:rsidRDefault="00B62806" w:rsidP="000C1DB4">
      <w:pPr>
        <w:pStyle w:val="Heading4"/>
        <w:shd w:val="clear" w:color="auto" w:fill="FFFFFF"/>
        <w:spacing w:before="0" w:beforeAutospacing="0" w:after="0" w:afterAutospacing="0"/>
        <w:rPr>
          <w:rFonts w:ascii="Arial" w:hAnsi="Arial" w:cs="Arial"/>
          <w:b w:val="0"/>
          <w:sz w:val="20"/>
          <w:szCs w:val="20"/>
        </w:rPr>
      </w:pPr>
      <w:r w:rsidRPr="008D5ED9">
        <w:rPr>
          <w:rStyle w:val="FootnoteReference"/>
          <w:rFonts w:ascii="Arial" w:hAnsi="Arial" w:cs="Arial"/>
          <w:b w:val="0"/>
          <w:sz w:val="20"/>
          <w:szCs w:val="20"/>
        </w:rPr>
        <w:footnoteRef/>
      </w:r>
      <w:r w:rsidRPr="008D5ED9">
        <w:rPr>
          <w:rFonts w:ascii="Arial" w:hAnsi="Arial" w:cs="Arial"/>
          <w:b w:val="0"/>
          <w:sz w:val="20"/>
          <w:szCs w:val="20"/>
        </w:rPr>
        <w:t xml:space="preserve"> Hannah Barker and Jane Hamlett, ‘Living above the Shop: Home, Business, and Family in the English ‘‘Industrial Revolution”’, </w:t>
      </w:r>
      <w:r w:rsidRPr="008D5ED9">
        <w:rPr>
          <w:rFonts w:ascii="Arial" w:hAnsi="Arial" w:cs="Arial"/>
          <w:b w:val="0"/>
          <w:i/>
          <w:iCs/>
          <w:sz w:val="20"/>
          <w:szCs w:val="20"/>
        </w:rPr>
        <w:t xml:space="preserve">Journal of Family History, </w:t>
      </w:r>
      <w:r w:rsidRPr="008D5ED9">
        <w:rPr>
          <w:rFonts w:ascii="Arial" w:hAnsi="Arial" w:cs="Arial"/>
          <w:b w:val="0"/>
          <w:sz w:val="20"/>
          <w:szCs w:val="20"/>
        </w:rPr>
        <w:t>35: 4 (2010), 311–28.</w:t>
      </w:r>
    </w:p>
  </w:footnote>
  <w:footnote w:id="15">
    <w:p w14:paraId="1F4F2EDE" w14:textId="77777777" w:rsidR="00B62806" w:rsidRPr="008D5ED9" w:rsidRDefault="00B62806">
      <w:pPr>
        <w:pStyle w:val="FootnoteText"/>
        <w:rPr>
          <w:lang w:val="en-GB"/>
        </w:rPr>
      </w:pPr>
      <w:r w:rsidRPr="008D5ED9">
        <w:rPr>
          <w:rStyle w:val="FootnoteReference"/>
        </w:rPr>
        <w:footnoteRef/>
      </w:r>
      <w:r w:rsidRPr="008D5ED9">
        <w:t xml:space="preserve"> This part of Charles Street was merged with Mortimer Street in 1879. Volumes 51 and 52 of the </w:t>
      </w:r>
      <w:r w:rsidRPr="008D5ED9">
        <w:rPr>
          <w:i/>
        </w:rPr>
        <w:t>Survey of London</w:t>
      </w:r>
      <w:r w:rsidRPr="008D5ED9">
        <w:t xml:space="preserve">, on </w:t>
      </w:r>
      <w:r w:rsidRPr="008D5ED9">
        <w:rPr>
          <w:rStyle w:val="Emphasis"/>
          <w:rFonts w:ascii="Arial" w:hAnsi="Arial"/>
          <w:b w:val="0"/>
          <w:i w:val="0"/>
        </w:rPr>
        <w:t>South-East Marylebone (</w:t>
      </w:r>
      <w:r w:rsidRPr="008D5ED9">
        <w:t xml:space="preserve">to be published by Yale University Press, 2017), draft chapter 26, p. 20, </w:t>
      </w:r>
      <w:hyperlink r:id="rId8" w:history="1">
        <w:r w:rsidRPr="008D5ED9">
          <w:rPr>
            <w:rStyle w:val="Hyperlink"/>
          </w:rPr>
          <w:t>https://www.bartlett.ucl.ac.uk/architecture/research/survey-of-london/eastern-marylebone/vols51and52</w:t>
        </w:r>
      </w:hyperlink>
      <w:r w:rsidRPr="008D5ED9">
        <w:t xml:space="preserve"> [accessed 4.12.2016].</w:t>
      </w:r>
    </w:p>
  </w:footnote>
  <w:footnote w:id="16">
    <w:p w14:paraId="3BC5B159" w14:textId="77777777" w:rsidR="00B62806" w:rsidRPr="008D5ED9" w:rsidRDefault="00B62806" w:rsidP="00EC190A">
      <w:pPr>
        <w:spacing w:line="240" w:lineRule="auto"/>
        <w:rPr>
          <w:sz w:val="20"/>
          <w:szCs w:val="20"/>
        </w:rPr>
      </w:pPr>
      <w:r w:rsidRPr="008D5ED9">
        <w:rPr>
          <w:rStyle w:val="FootnoteReference"/>
          <w:sz w:val="20"/>
          <w:szCs w:val="20"/>
        </w:rPr>
        <w:footnoteRef/>
      </w:r>
      <w:r w:rsidRPr="008D5ED9">
        <w:rPr>
          <w:sz w:val="20"/>
          <w:szCs w:val="20"/>
        </w:rPr>
        <w:t xml:space="preserve"> Henry Orme’s Legacy Duty papers, The National Archives IR 19/96.</w:t>
      </w:r>
    </w:p>
  </w:footnote>
  <w:footnote w:id="17">
    <w:p w14:paraId="2A316DBD" w14:textId="77777777" w:rsidR="00B62806" w:rsidRPr="008D5ED9" w:rsidRDefault="00B62806">
      <w:pPr>
        <w:pStyle w:val="FootnoteText"/>
        <w:rPr>
          <w:lang w:val="en-GB"/>
        </w:rPr>
      </w:pPr>
      <w:r w:rsidRPr="008D5ED9">
        <w:rPr>
          <w:rStyle w:val="FootnoteReference"/>
        </w:rPr>
        <w:footnoteRef/>
      </w:r>
      <w:r w:rsidRPr="008D5ED9">
        <w:t xml:space="preserve"> C. Hillam, ‘The Development of Dental Practice before 1850’, </w:t>
      </w:r>
      <w:r w:rsidRPr="008D5ED9">
        <w:rPr>
          <w:i/>
        </w:rPr>
        <w:t>Medical Historian</w:t>
      </w:r>
      <w:r w:rsidRPr="008D5ED9">
        <w:t>, 1 (July 1988), 10-16, p. 15.</w:t>
      </w:r>
    </w:p>
  </w:footnote>
  <w:footnote w:id="18">
    <w:p w14:paraId="454BAD4C" w14:textId="77777777" w:rsidR="00B62806" w:rsidRPr="008D5ED9" w:rsidRDefault="00B62806" w:rsidP="00AC3B5B">
      <w:pPr>
        <w:pStyle w:val="FootnoteText"/>
      </w:pPr>
      <w:r w:rsidRPr="008D5ED9">
        <w:rPr>
          <w:rStyle w:val="FootnoteReference"/>
        </w:rPr>
        <w:footnoteRef/>
      </w:r>
      <w:r w:rsidRPr="008D5ED9">
        <w:t xml:space="preserve"> Derived from the census enumerators’ books for 1841 (HO107, 675, 7, 26, 44) and 1851 (HO107, 1486, 546, 4). </w:t>
      </w:r>
    </w:p>
  </w:footnote>
  <w:footnote w:id="19">
    <w:p w14:paraId="03441AF3" w14:textId="77777777" w:rsidR="00B62806" w:rsidRPr="008D5ED9" w:rsidRDefault="00B62806" w:rsidP="009A47DC">
      <w:pPr>
        <w:pStyle w:val="FootnoteText"/>
        <w:rPr>
          <w:lang w:val="en-GB"/>
        </w:rPr>
      </w:pPr>
      <w:r w:rsidRPr="008D5ED9">
        <w:rPr>
          <w:rStyle w:val="FootnoteReference"/>
        </w:rPr>
        <w:footnoteRef/>
      </w:r>
      <w:r w:rsidRPr="008D5ED9">
        <w:t xml:space="preserve"> </w:t>
      </w:r>
      <w:hyperlink r:id="rId9" w:history="1">
        <w:r w:rsidRPr="008D5ED9">
          <w:rPr>
            <w:rStyle w:val="Hyperlink"/>
          </w:rPr>
          <w:t>https://www.bartlett.ucl.ac.uk/architecture/research/survey-of-london/eastern-marylebone/vols51and52</w:t>
        </w:r>
      </w:hyperlink>
      <w:r w:rsidRPr="008D5ED9">
        <w:t xml:space="preserve"> [accessed 4.12.2016], chapter 26, p. 20.</w:t>
      </w:r>
    </w:p>
  </w:footnote>
  <w:footnote w:id="20">
    <w:p w14:paraId="66CA83B0" w14:textId="77777777" w:rsidR="00B62806" w:rsidRPr="008D5ED9" w:rsidRDefault="00B62806" w:rsidP="003927B8">
      <w:pPr>
        <w:pStyle w:val="FootnoteText"/>
      </w:pPr>
      <w:r w:rsidRPr="008D5ED9">
        <w:rPr>
          <w:rStyle w:val="FootnoteReference"/>
        </w:rPr>
        <w:footnoteRef/>
      </w:r>
      <w:r w:rsidRPr="008D5ED9">
        <w:t xml:space="preserve"> Thomas Webster, T. assisted by the late Mrs. Parkes </w:t>
      </w:r>
      <w:r w:rsidRPr="008D5ED9">
        <w:rPr>
          <w:i/>
        </w:rPr>
        <w:t>An Encyclopaedia of Domestic Economy</w:t>
      </w:r>
      <w:r w:rsidRPr="008D5ED9">
        <w:t xml:space="preserve"> (London: Longman, Brown, Green, and Longmans, 1844), p. 288; Kerr, </w:t>
      </w:r>
      <w:r w:rsidRPr="008D5ED9">
        <w:rPr>
          <w:i/>
        </w:rPr>
        <w:t>Gentleman’s House</w:t>
      </w:r>
      <w:r w:rsidRPr="008D5ED9">
        <w:t>, p. 160.</w:t>
      </w:r>
    </w:p>
  </w:footnote>
  <w:footnote w:id="21">
    <w:p w14:paraId="022AE59D" w14:textId="7EE6BC94" w:rsidR="00B62806" w:rsidRPr="008D5ED9" w:rsidRDefault="00B62806" w:rsidP="001A2AA2">
      <w:pPr>
        <w:spacing w:line="240" w:lineRule="auto"/>
        <w:rPr>
          <w:sz w:val="20"/>
          <w:szCs w:val="20"/>
        </w:rPr>
      </w:pPr>
      <w:r w:rsidRPr="008D5ED9">
        <w:rPr>
          <w:rStyle w:val="FootnoteReference"/>
          <w:sz w:val="20"/>
          <w:szCs w:val="20"/>
        </w:rPr>
        <w:footnoteRef/>
      </w:r>
      <w:r w:rsidRPr="008D5ED9">
        <w:rPr>
          <w:sz w:val="20"/>
          <w:szCs w:val="20"/>
        </w:rPr>
        <w:t xml:space="preserve"> Information about the history of the dental profession is drawn from Hillam, ‘The Development of Dental Practice before 1850’</w:t>
      </w:r>
      <w:r w:rsidR="00B613B9">
        <w:rPr>
          <w:sz w:val="20"/>
          <w:szCs w:val="20"/>
        </w:rPr>
        <w:t xml:space="preserve"> </w:t>
      </w:r>
      <w:r w:rsidRPr="008D5ED9">
        <w:rPr>
          <w:sz w:val="20"/>
          <w:szCs w:val="20"/>
        </w:rPr>
        <w:t xml:space="preserve">and </w:t>
      </w:r>
      <w:r w:rsidRPr="008D5ED9">
        <w:rPr>
          <w:i/>
          <w:sz w:val="20"/>
          <w:szCs w:val="20"/>
        </w:rPr>
        <w:t>Oral Histories: a Pictorial History of Dentistry from the BDA Museum Collections</w:t>
      </w:r>
      <w:r w:rsidRPr="008D5ED9">
        <w:rPr>
          <w:sz w:val="20"/>
          <w:szCs w:val="20"/>
        </w:rPr>
        <w:t xml:space="preserve"> (London: British Dental Association, 2002), electronic resource.</w:t>
      </w:r>
    </w:p>
  </w:footnote>
  <w:footnote w:id="22">
    <w:p w14:paraId="42B76704" w14:textId="77777777" w:rsidR="00B62806" w:rsidRPr="008D5ED9" w:rsidRDefault="00B62806" w:rsidP="001A2AA2">
      <w:pPr>
        <w:pStyle w:val="FootnoteText"/>
      </w:pPr>
      <w:r w:rsidRPr="008D5ED9">
        <w:rPr>
          <w:rStyle w:val="FootnoteReference"/>
        </w:rPr>
        <w:footnoteRef/>
      </w:r>
      <w:r w:rsidRPr="008D5ED9">
        <w:t xml:space="preserve"> For example, the diaries of Henrietta Thornhill 1864-1875, Lambeth Archives Department, IV/81.</w:t>
      </w:r>
    </w:p>
  </w:footnote>
  <w:footnote w:id="23">
    <w:p w14:paraId="10F7DA07" w14:textId="77777777" w:rsidR="00B62806" w:rsidRPr="008D5ED9" w:rsidRDefault="00B62806" w:rsidP="001A2AA2">
      <w:pPr>
        <w:spacing w:line="240" w:lineRule="auto"/>
        <w:rPr>
          <w:sz w:val="20"/>
          <w:szCs w:val="20"/>
        </w:rPr>
      </w:pPr>
      <w:r w:rsidRPr="008D5ED9">
        <w:rPr>
          <w:rStyle w:val="FootnoteReference"/>
          <w:sz w:val="20"/>
          <w:szCs w:val="20"/>
        </w:rPr>
        <w:footnoteRef/>
      </w:r>
      <w:r w:rsidRPr="008D5ED9">
        <w:rPr>
          <w:sz w:val="20"/>
          <w:szCs w:val="20"/>
        </w:rPr>
        <w:t xml:space="preserve"> Anne Digby, </w:t>
      </w:r>
      <w:r w:rsidRPr="008D5ED9">
        <w:rPr>
          <w:i/>
          <w:sz w:val="20"/>
          <w:szCs w:val="20"/>
        </w:rPr>
        <w:t>Making a Medical Living: Doctors and Patients in the English Market for Medicine, 1720-1911</w:t>
      </w:r>
      <w:r w:rsidRPr="008D5ED9">
        <w:rPr>
          <w:sz w:val="20"/>
          <w:szCs w:val="20"/>
        </w:rPr>
        <w:t xml:space="preserve"> (Cambridge: Cambridge University Press, 1994).</w:t>
      </w:r>
    </w:p>
  </w:footnote>
  <w:footnote w:id="24">
    <w:p w14:paraId="0F73F34C" w14:textId="77777777" w:rsidR="00B62806" w:rsidRPr="008D5ED9" w:rsidRDefault="00B62806" w:rsidP="001A2AA2">
      <w:pPr>
        <w:pStyle w:val="FootnoteText"/>
      </w:pPr>
      <w:r w:rsidRPr="008D5ED9">
        <w:rPr>
          <w:rStyle w:val="FootnoteReference"/>
        </w:rPr>
        <w:footnoteRef/>
      </w:r>
      <w:r w:rsidRPr="008D5ED9">
        <w:t xml:space="preserve"> Simon </w:t>
      </w:r>
      <w:r w:rsidRPr="008D5ED9">
        <w:rPr>
          <w:rStyle w:val="apple-style-span"/>
          <w:rFonts w:eastAsia="Arial Unicode MS"/>
        </w:rPr>
        <w:t xml:space="preserve">Szreter, </w:t>
      </w:r>
      <w:r w:rsidRPr="008D5ED9">
        <w:rPr>
          <w:rStyle w:val="apple-style-span"/>
          <w:rFonts w:eastAsia="Arial Unicode MS"/>
          <w:i/>
        </w:rPr>
        <w:t>Fertility, Class and Gender in Britain, 1860-1940</w:t>
      </w:r>
      <w:r w:rsidRPr="008D5ED9">
        <w:rPr>
          <w:rStyle w:val="apple-style-span"/>
          <w:rFonts w:eastAsia="Arial Unicode MS"/>
        </w:rPr>
        <w:t xml:space="preserve"> (Cambridge: Cambridge University Press, 1996), pp. 472-4.</w:t>
      </w:r>
    </w:p>
  </w:footnote>
  <w:footnote w:id="25">
    <w:p w14:paraId="6E49594A" w14:textId="77777777" w:rsidR="00B62806" w:rsidRPr="008D5ED9" w:rsidRDefault="00B62806" w:rsidP="00B127F1">
      <w:pPr>
        <w:spacing w:line="240" w:lineRule="auto"/>
        <w:rPr>
          <w:sz w:val="20"/>
          <w:szCs w:val="20"/>
        </w:rPr>
      </w:pPr>
      <w:r w:rsidRPr="008D5ED9">
        <w:rPr>
          <w:rStyle w:val="FootnoteReference"/>
          <w:sz w:val="20"/>
          <w:szCs w:val="20"/>
        </w:rPr>
        <w:footnoteRef/>
      </w:r>
      <w:r w:rsidRPr="008D5ED9">
        <w:rPr>
          <w:sz w:val="20"/>
          <w:szCs w:val="20"/>
        </w:rPr>
        <w:t xml:space="preserve"> Katherine Grier, </w:t>
      </w:r>
      <w:r w:rsidRPr="008D5ED9">
        <w:rPr>
          <w:i/>
          <w:sz w:val="20"/>
          <w:szCs w:val="20"/>
        </w:rPr>
        <w:t>Culture and Comfort: People, Parlors and Upholstery, 1850-1930</w:t>
      </w:r>
      <w:r w:rsidRPr="008D5ED9">
        <w:rPr>
          <w:sz w:val="20"/>
          <w:szCs w:val="20"/>
        </w:rPr>
        <w:t xml:space="preserve"> (Rochester: Strong Museum, 1988), pp. 28-53.</w:t>
      </w:r>
    </w:p>
  </w:footnote>
  <w:footnote w:id="26">
    <w:p w14:paraId="0EF34BF2" w14:textId="77777777" w:rsidR="00B62806" w:rsidRPr="008D5ED9" w:rsidRDefault="00B62806">
      <w:pPr>
        <w:pStyle w:val="FootnoteText"/>
        <w:rPr>
          <w:lang w:val="en-GB"/>
        </w:rPr>
      </w:pPr>
      <w:r w:rsidRPr="008D5ED9">
        <w:rPr>
          <w:rStyle w:val="FootnoteReference"/>
        </w:rPr>
        <w:footnoteRef/>
      </w:r>
      <w:r w:rsidRPr="008D5ED9">
        <w:t xml:space="preserve"> Juliet Kinchin, ‘Interiors: Nineteenth-century Essays on the “Masculine” and the “Feminine” Room’ in Pat Kirkham, ed. </w:t>
      </w:r>
      <w:r w:rsidRPr="008D5ED9">
        <w:rPr>
          <w:i/>
        </w:rPr>
        <w:t xml:space="preserve">The Gendered Object </w:t>
      </w:r>
      <w:r w:rsidRPr="008D5ED9">
        <w:t>(Manchester: Manchester University Press, 1996).</w:t>
      </w:r>
    </w:p>
  </w:footnote>
  <w:footnote w:id="27">
    <w:p w14:paraId="26B5314C" w14:textId="77777777" w:rsidR="00B62806" w:rsidRPr="008D5ED9" w:rsidRDefault="00B62806" w:rsidP="00EC66E4">
      <w:pPr>
        <w:spacing w:line="240" w:lineRule="auto"/>
        <w:rPr>
          <w:sz w:val="20"/>
          <w:szCs w:val="20"/>
        </w:rPr>
      </w:pPr>
      <w:r w:rsidRPr="008D5ED9">
        <w:rPr>
          <w:rStyle w:val="FootnoteReference"/>
          <w:sz w:val="20"/>
          <w:szCs w:val="20"/>
        </w:rPr>
        <w:footnoteRef/>
      </w:r>
      <w:r w:rsidRPr="008D5ED9">
        <w:rPr>
          <w:sz w:val="20"/>
          <w:szCs w:val="20"/>
        </w:rPr>
        <w:t xml:space="preserve"> Dan Cruickshank and Neil Burton, </w:t>
      </w:r>
      <w:r w:rsidRPr="008D5ED9">
        <w:rPr>
          <w:i/>
          <w:sz w:val="20"/>
          <w:szCs w:val="20"/>
        </w:rPr>
        <w:t>Life in the Georgian City</w:t>
      </w:r>
      <w:r w:rsidRPr="008D5ED9">
        <w:rPr>
          <w:sz w:val="20"/>
          <w:szCs w:val="20"/>
        </w:rPr>
        <w:t xml:space="preserve"> (London: Viking, 1990), pp. 51-58. </w:t>
      </w:r>
    </w:p>
  </w:footnote>
  <w:footnote w:id="28">
    <w:p w14:paraId="1030F4CC" w14:textId="77777777" w:rsidR="00B62806" w:rsidRPr="008D5ED9" w:rsidRDefault="00B62806" w:rsidP="00EC66E4">
      <w:pPr>
        <w:autoSpaceDE w:val="0"/>
        <w:autoSpaceDN w:val="0"/>
        <w:adjustRightInd w:val="0"/>
        <w:spacing w:line="240" w:lineRule="auto"/>
        <w:rPr>
          <w:sz w:val="20"/>
          <w:szCs w:val="20"/>
        </w:rPr>
      </w:pPr>
      <w:r w:rsidRPr="008D5ED9">
        <w:rPr>
          <w:rStyle w:val="FootnoteReference"/>
          <w:sz w:val="20"/>
          <w:szCs w:val="20"/>
        </w:rPr>
        <w:footnoteRef/>
      </w:r>
      <w:r w:rsidRPr="008D5ED9">
        <w:rPr>
          <w:sz w:val="20"/>
          <w:szCs w:val="20"/>
        </w:rPr>
        <w:t xml:space="preserve"> Lesley Hoskins, ‘Social, Economic and Geographical Differences in Mid-Nineteenth-Century Homes: The Evidence from Inventories’ </w:t>
      </w:r>
      <w:r w:rsidRPr="008D5ED9">
        <w:rPr>
          <w:i/>
          <w:iCs/>
          <w:sz w:val="20"/>
          <w:szCs w:val="20"/>
        </w:rPr>
        <w:t>Regional Furniture</w:t>
      </w:r>
      <w:r w:rsidRPr="008D5ED9">
        <w:rPr>
          <w:sz w:val="20"/>
          <w:szCs w:val="20"/>
        </w:rPr>
        <w:t>, xxvii, 2013, 93-119.</w:t>
      </w:r>
    </w:p>
  </w:footnote>
  <w:footnote w:id="29">
    <w:p w14:paraId="412BF4D3" w14:textId="77777777" w:rsidR="00B62806" w:rsidRPr="008D5ED9" w:rsidRDefault="00B62806" w:rsidP="00EC66E4">
      <w:pPr>
        <w:spacing w:line="240" w:lineRule="auto"/>
        <w:rPr>
          <w:sz w:val="20"/>
          <w:szCs w:val="20"/>
        </w:rPr>
      </w:pPr>
      <w:r w:rsidRPr="008D5ED9">
        <w:rPr>
          <w:rStyle w:val="FootnoteReference"/>
          <w:sz w:val="20"/>
          <w:szCs w:val="20"/>
        </w:rPr>
        <w:footnoteRef/>
      </w:r>
      <w:r w:rsidRPr="008D5ED9">
        <w:rPr>
          <w:sz w:val="20"/>
          <w:szCs w:val="20"/>
        </w:rPr>
        <w:t xml:space="preserve"> Y. Draznin, </w:t>
      </w:r>
      <w:r w:rsidRPr="008D5ED9">
        <w:rPr>
          <w:i/>
          <w:sz w:val="20"/>
          <w:szCs w:val="20"/>
        </w:rPr>
        <w:t xml:space="preserve">Victorian London’s Middle-class Housewife: What she Did all Day </w:t>
      </w:r>
      <w:r w:rsidRPr="008D5ED9">
        <w:rPr>
          <w:sz w:val="20"/>
          <w:szCs w:val="20"/>
        </w:rPr>
        <w:t>(London: Greenwood, 2001), pp. 47-69.</w:t>
      </w:r>
    </w:p>
  </w:footnote>
  <w:footnote w:id="30">
    <w:p w14:paraId="4E5C1DC4" w14:textId="77777777" w:rsidR="00B62806" w:rsidRPr="008D5ED9" w:rsidRDefault="00B62806" w:rsidP="00415356">
      <w:pPr>
        <w:pStyle w:val="FootnoteText"/>
      </w:pPr>
      <w:r w:rsidRPr="008D5ED9">
        <w:rPr>
          <w:rStyle w:val="FootnoteReference"/>
        </w:rPr>
        <w:footnoteRef/>
      </w:r>
      <w:r w:rsidRPr="008D5ED9">
        <w:t xml:space="preserve"> Simon Gunn, </w:t>
      </w:r>
      <w:r w:rsidRPr="008D5ED9">
        <w:rPr>
          <w:i/>
        </w:rPr>
        <w:t xml:space="preserve">The Public Culture of the Victorian Middle Class: Ritual and Authority and the English Industrial City 1840-1914 </w:t>
      </w:r>
      <w:r w:rsidRPr="008D5ED9">
        <w:t xml:space="preserve">(Manchester: Manchester University Press, 2000), pp. 28-9; Richard Dennis, </w:t>
      </w:r>
      <w:r w:rsidRPr="008D5ED9">
        <w:rPr>
          <w:i/>
        </w:rPr>
        <w:t>Cities in Modernity: Representations and Productions of Metropolitan Space, 1840-1930</w:t>
      </w:r>
      <w:r w:rsidRPr="008D5ED9">
        <w:t xml:space="preserve"> (Cambridge: Cambridge University Press, 2008), p. 12.</w:t>
      </w:r>
    </w:p>
  </w:footnote>
  <w:footnote w:id="31">
    <w:p w14:paraId="3EEEBD3F" w14:textId="24DDBB31" w:rsidR="00B62806" w:rsidRPr="008D5ED9" w:rsidRDefault="00B62806" w:rsidP="002B5AA6">
      <w:pPr>
        <w:pStyle w:val="FootnoteText"/>
      </w:pPr>
      <w:r w:rsidRPr="008D5ED9">
        <w:rPr>
          <w:rStyle w:val="FootnoteReference"/>
        </w:rPr>
        <w:footnoteRef/>
      </w:r>
      <w:r w:rsidRPr="008D5ED9">
        <w:t xml:space="preserve"> Donald Olsen, ‘Victorian London: Specialization, Segregation, and Privacy’, </w:t>
      </w:r>
      <w:r w:rsidRPr="008D5ED9">
        <w:rPr>
          <w:i/>
        </w:rPr>
        <w:t>Victorian Studies</w:t>
      </w:r>
      <w:r w:rsidRPr="008D5ED9">
        <w:t xml:space="preserve"> (March 1974), 265-278, pp. 267 and 268.</w:t>
      </w:r>
    </w:p>
  </w:footnote>
  <w:footnote w:id="32">
    <w:p w14:paraId="67DEF9F1" w14:textId="77777777" w:rsidR="00B62806" w:rsidRPr="008D5ED9" w:rsidRDefault="00B62806" w:rsidP="00CD29F2">
      <w:pPr>
        <w:spacing w:line="240" w:lineRule="auto"/>
        <w:rPr>
          <w:sz w:val="20"/>
          <w:szCs w:val="20"/>
        </w:rPr>
      </w:pPr>
      <w:r w:rsidRPr="008D5ED9">
        <w:rPr>
          <w:rStyle w:val="FootnoteReference"/>
          <w:sz w:val="20"/>
          <w:szCs w:val="20"/>
        </w:rPr>
        <w:footnoteRef/>
      </w:r>
      <w:r w:rsidRPr="008D5ED9">
        <w:rPr>
          <w:sz w:val="20"/>
          <w:szCs w:val="20"/>
        </w:rPr>
        <w:t xml:space="preserve"> Dennis, </w:t>
      </w:r>
      <w:r w:rsidRPr="008D5ED9">
        <w:rPr>
          <w:i/>
          <w:sz w:val="20"/>
          <w:szCs w:val="20"/>
        </w:rPr>
        <w:t xml:space="preserve">Cities in Modernity, </w:t>
      </w:r>
      <w:r w:rsidRPr="008D5ED9">
        <w:rPr>
          <w:sz w:val="20"/>
          <w:szCs w:val="20"/>
        </w:rPr>
        <w:t xml:space="preserve">pp. 142-3 and chapter 6; Lynda </w:t>
      </w:r>
      <w:r w:rsidRPr="008D5ED9">
        <w:rPr>
          <w:rStyle w:val="apple-style-span"/>
          <w:rFonts w:eastAsia="Arial Unicode MS"/>
          <w:color w:val="000000"/>
          <w:sz w:val="20"/>
          <w:szCs w:val="20"/>
        </w:rPr>
        <w:t xml:space="preserve">Nead, </w:t>
      </w:r>
      <w:r w:rsidRPr="008D5ED9">
        <w:rPr>
          <w:rStyle w:val="apple-style-span"/>
          <w:rFonts w:eastAsia="Arial Unicode MS"/>
          <w:i/>
          <w:sz w:val="20"/>
          <w:szCs w:val="20"/>
        </w:rPr>
        <w:t>Victorian Babylon: People, Streets, and Images in Nineteenth-century</w:t>
      </w:r>
      <w:r w:rsidRPr="008D5ED9">
        <w:rPr>
          <w:rStyle w:val="apple-style-span"/>
          <w:rFonts w:eastAsia="Arial Unicode MS"/>
          <w:sz w:val="20"/>
          <w:szCs w:val="20"/>
        </w:rPr>
        <w:t xml:space="preserve"> </w:t>
      </w:r>
      <w:r w:rsidRPr="008D5ED9">
        <w:rPr>
          <w:rStyle w:val="apple-style-span"/>
          <w:rFonts w:eastAsia="Arial Unicode MS"/>
          <w:i/>
          <w:sz w:val="20"/>
          <w:szCs w:val="20"/>
        </w:rPr>
        <w:t>London</w:t>
      </w:r>
      <w:r w:rsidRPr="008D5ED9">
        <w:rPr>
          <w:rStyle w:val="apple-style-span"/>
          <w:rFonts w:eastAsia="Arial Unicode MS"/>
          <w:sz w:val="20"/>
          <w:szCs w:val="20"/>
        </w:rPr>
        <w:t xml:space="preserve"> </w:t>
      </w:r>
      <w:r w:rsidRPr="008D5ED9">
        <w:rPr>
          <w:rStyle w:val="apple-style-span"/>
          <w:rFonts w:eastAsia="Arial Unicode MS"/>
          <w:color w:val="000000"/>
          <w:sz w:val="20"/>
          <w:szCs w:val="20"/>
        </w:rPr>
        <w:t xml:space="preserve">(London and New Haven: Yale University Press, 2000). </w:t>
      </w:r>
    </w:p>
  </w:footnote>
  <w:footnote w:id="33">
    <w:p w14:paraId="371EF716" w14:textId="3B59A418" w:rsidR="00B62806" w:rsidRPr="008D5ED9" w:rsidRDefault="00B62806" w:rsidP="00B62806">
      <w:pPr>
        <w:spacing w:line="240" w:lineRule="auto"/>
        <w:rPr>
          <w:sz w:val="20"/>
          <w:szCs w:val="20"/>
        </w:rPr>
      </w:pPr>
      <w:r w:rsidRPr="008D5ED9">
        <w:rPr>
          <w:rStyle w:val="FootnoteReference"/>
          <w:sz w:val="20"/>
          <w:szCs w:val="20"/>
        </w:rPr>
        <w:footnoteRef/>
      </w:r>
      <w:r w:rsidRPr="008D5ED9">
        <w:rPr>
          <w:sz w:val="20"/>
          <w:szCs w:val="20"/>
        </w:rPr>
        <w:t xml:space="preserve"> </w:t>
      </w:r>
      <w:r w:rsidRPr="008D5ED9">
        <w:rPr>
          <w:bCs/>
          <w:sz w:val="20"/>
          <w:szCs w:val="20"/>
        </w:rPr>
        <w:t xml:space="preserve">M. Donald, ‘Tranquil Havens? Critiquing the Idea of Home as the Middle-class Sanctuary’ in </w:t>
      </w:r>
      <w:r w:rsidRPr="008D5ED9">
        <w:rPr>
          <w:bCs/>
          <w:i/>
          <w:iCs/>
          <w:sz w:val="20"/>
          <w:szCs w:val="20"/>
        </w:rPr>
        <w:t>Domestic Space: Reading the Nineteenth-century Interior</w:t>
      </w:r>
      <w:r w:rsidRPr="008D5ED9">
        <w:rPr>
          <w:bCs/>
          <w:sz w:val="20"/>
          <w:szCs w:val="20"/>
        </w:rPr>
        <w:t xml:space="preserve">, ed. by I. Bryden, I. and J. Floyd (Manchester: Manchester University Press, 1999), pp. 103–20. </w:t>
      </w:r>
    </w:p>
  </w:footnote>
  <w:footnote w:id="34">
    <w:p w14:paraId="025562EF" w14:textId="3A48386A" w:rsidR="00B62806" w:rsidRPr="008D5ED9" w:rsidRDefault="00B62806" w:rsidP="00B62806">
      <w:pPr>
        <w:pStyle w:val="Heading4"/>
        <w:shd w:val="clear" w:color="auto" w:fill="FFFFFF"/>
        <w:spacing w:before="0" w:beforeAutospacing="0" w:after="0" w:afterAutospacing="0"/>
        <w:rPr>
          <w:rFonts w:ascii="Arial" w:hAnsi="Arial" w:cs="Arial"/>
          <w:b w:val="0"/>
          <w:sz w:val="20"/>
          <w:szCs w:val="20"/>
        </w:rPr>
      </w:pPr>
      <w:r w:rsidRPr="008D5ED9">
        <w:rPr>
          <w:rStyle w:val="FootnoteReference"/>
          <w:rFonts w:ascii="Arial" w:hAnsi="Arial" w:cs="Arial"/>
          <w:b w:val="0"/>
          <w:sz w:val="20"/>
          <w:szCs w:val="20"/>
        </w:rPr>
        <w:footnoteRef/>
      </w:r>
      <w:r w:rsidRPr="008D5ED9">
        <w:rPr>
          <w:rFonts w:ascii="Arial" w:hAnsi="Arial" w:cs="Arial"/>
          <w:b w:val="0"/>
          <w:sz w:val="20"/>
          <w:szCs w:val="20"/>
        </w:rPr>
        <w:t xml:space="preserve"> Barker and Hamlett, ‘Living above the Shop’. </w:t>
      </w:r>
    </w:p>
  </w:footnote>
  <w:footnote w:id="35">
    <w:p w14:paraId="70278D81" w14:textId="77777777" w:rsidR="00B62806" w:rsidRPr="008D5ED9" w:rsidRDefault="00B62806" w:rsidP="00B62806">
      <w:pPr>
        <w:pStyle w:val="FootnoteText"/>
        <w:rPr>
          <w:lang w:val="en-GB"/>
        </w:rPr>
      </w:pPr>
      <w:r w:rsidRPr="008D5ED9">
        <w:rPr>
          <w:rStyle w:val="FootnoteReference"/>
        </w:rPr>
        <w:footnoteRef/>
      </w:r>
      <w:r w:rsidRPr="008D5ED9">
        <w:t xml:space="preserve"> Census enumerators’ books for 1841 (HO107, 675, 7, 26, 44) and 1851 (HO107, 1486, 546, 4).</w:t>
      </w:r>
    </w:p>
  </w:footnote>
  <w:footnote w:id="36">
    <w:p w14:paraId="781A14BA" w14:textId="77777777" w:rsidR="00B62806" w:rsidRPr="008D5ED9" w:rsidRDefault="00B62806" w:rsidP="00B62806">
      <w:pPr>
        <w:pStyle w:val="FootnoteText"/>
      </w:pPr>
      <w:r w:rsidRPr="008D5ED9">
        <w:rPr>
          <w:rStyle w:val="FootnoteReference"/>
        </w:rPr>
        <w:footnoteRef/>
      </w:r>
      <w:r w:rsidRPr="008D5ED9">
        <w:t xml:space="preserve"> Cruickshank and Burton, </w:t>
      </w:r>
      <w:r w:rsidRPr="008D5ED9">
        <w:rPr>
          <w:i/>
        </w:rPr>
        <w:t>Life in the Georgian City</w:t>
      </w:r>
      <w:r w:rsidRPr="008D5ED9">
        <w:t xml:space="preserve">, pp. 60-1; Dennis, </w:t>
      </w:r>
      <w:r w:rsidRPr="008D5ED9">
        <w:rPr>
          <w:i/>
        </w:rPr>
        <w:t xml:space="preserve">Cities in Modernity, </w:t>
      </w:r>
      <w:r w:rsidRPr="008D5ED9">
        <w:t>pp. 221-3.</w:t>
      </w:r>
    </w:p>
  </w:footnote>
  <w:footnote w:id="37">
    <w:p w14:paraId="27EFADD1" w14:textId="741F6449" w:rsidR="00171F1C" w:rsidRPr="008D5ED9" w:rsidRDefault="00171F1C" w:rsidP="00171F1C">
      <w:pPr>
        <w:spacing w:line="240" w:lineRule="auto"/>
        <w:rPr>
          <w:sz w:val="20"/>
          <w:szCs w:val="20"/>
        </w:rPr>
      </w:pPr>
      <w:r w:rsidRPr="008D5ED9">
        <w:rPr>
          <w:rStyle w:val="FootnoteReference"/>
          <w:sz w:val="20"/>
          <w:szCs w:val="20"/>
        </w:rPr>
        <w:footnoteRef/>
      </w:r>
      <w:r w:rsidRPr="008D5ED9">
        <w:rPr>
          <w:sz w:val="20"/>
          <w:szCs w:val="20"/>
        </w:rPr>
        <w:t xml:space="preserve"> Amanda Vickery, ‘Thresholds and Boundaries at Home’, in </w:t>
      </w:r>
      <w:r w:rsidRPr="008D5ED9">
        <w:rPr>
          <w:i/>
          <w:sz w:val="20"/>
          <w:szCs w:val="20"/>
        </w:rPr>
        <w:t>Behind Closed Doors: at Home in Georgian England</w:t>
      </w:r>
      <w:r w:rsidRPr="008D5ED9">
        <w:rPr>
          <w:sz w:val="20"/>
          <w:szCs w:val="20"/>
        </w:rPr>
        <w:t xml:space="preserve"> (New Haven &amp; London: Yale University Press, 2009), pp. 25–48.</w:t>
      </w:r>
    </w:p>
  </w:footnote>
  <w:footnote w:id="38">
    <w:p w14:paraId="37FD4F10" w14:textId="77777777" w:rsidR="00B62806" w:rsidRPr="008D5ED9" w:rsidRDefault="00B62806" w:rsidP="00131BE7">
      <w:pPr>
        <w:spacing w:line="240" w:lineRule="auto"/>
        <w:rPr>
          <w:sz w:val="20"/>
          <w:szCs w:val="20"/>
        </w:rPr>
      </w:pPr>
      <w:r w:rsidRPr="008D5ED9">
        <w:rPr>
          <w:rStyle w:val="FootnoteReference"/>
          <w:sz w:val="20"/>
          <w:szCs w:val="20"/>
        </w:rPr>
        <w:footnoteRef/>
      </w:r>
      <w:r w:rsidRPr="008D5ED9">
        <w:rPr>
          <w:rStyle w:val="apple-style-span"/>
          <w:rFonts w:eastAsia="Arial Unicode MS"/>
          <w:sz w:val="20"/>
          <w:szCs w:val="20"/>
        </w:rPr>
        <w:t xml:space="preserve"> Erving Goffman</w:t>
      </w:r>
      <w:r w:rsidRPr="008D5ED9">
        <w:rPr>
          <w:rStyle w:val="apple-style-span"/>
          <w:rFonts w:eastAsia="Arial Unicode MS"/>
          <w:color w:val="000000"/>
          <w:sz w:val="20"/>
          <w:szCs w:val="20"/>
        </w:rPr>
        <w:t xml:space="preserve">, </w:t>
      </w:r>
      <w:r w:rsidRPr="008D5ED9">
        <w:rPr>
          <w:rStyle w:val="apple-style-span"/>
          <w:rFonts w:eastAsia="Arial Unicode MS"/>
          <w:i/>
          <w:color w:val="000000"/>
          <w:sz w:val="20"/>
          <w:szCs w:val="20"/>
        </w:rPr>
        <w:t>The Presentation of Self in Everyday Life</w:t>
      </w:r>
      <w:r w:rsidRPr="008D5ED9">
        <w:rPr>
          <w:rStyle w:val="apple-style-span"/>
          <w:rFonts w:eastAsia="Arial Unicode MS"/>
          <w:color w:val="000000"/>
          <w:sz w:val="20"/>
          <w:szCs w:val="20"/>
        </w:rPr>
        <w:t xml:space="preserve"> (</w:t>
      </w:r>
      <w:r w:rsidRPr="008D5ED9">
        <w:rPr>
          <w:rStyle w:val="apple-style-span"/>
          <w:rFonts w:eastAsia="Arial Unicode MS"/>
          <w:sz w:val="20"/>
          <w:szCs w:val="20"/>
        </w:rPr>
        <w:t xml:space="preserve">London: Penguin, </w:t>
      </w:r>
      <w:r w:rsidRPr="008D5ED9">
        <w:rPr>
          <w:rStyle w:val="apple-style-span"/>
          <w:rFonts w:eastAsia="Arial Unicode MS"/>
          <w:color w:val="000000"/>
          <w:sz w:val="20"/>
          <w:szCs w:val="20"/>
        </w:rPr>
        <w:t xml:space="preserve">1990, first published 1959) pp. </w:t>
      </w:r>
      <w:r w:rsidRPr="008D5ED9">
        <w:rPr>
          <w:rStyle w:val="apple-style-span"/>
          <w:rFonts w:eastAsia="Arial Unicode MS"/>
          <w:sz w:val="20"/>
          <w:szCs w:val="20"/>
        </w:rPr>
        <w:t xml:space="preserve">28-82; Pierre Bourdieu, </w:t>
      </w:r>
      <w:r w:rsidRPr="008D5ED9">
        <w:rPr>
          <w:rStyle w:val="apple-style-span"/>
          <w:rFonts w:eastAsia="Arial Unicode MS"/>
          <w:i/>
          <w:sz w:val="20"/>
          <w:szCs w:val="20"/>
        </w:rPr>
        <w:t>Distinction: a Social Critique of the Judgement of Taste,</w:t>
      </w:r>
      <w:r w:rsidRPr="008D5ED9">
        <w:rPr>
          <w:rStyle w:val="apple-style-span"/>
          <w:rFonts w:eastAsia="Arial Unicode MS"/>
          <w:sz w:val="20"/>
          <w:szCs w:val="20"/>
        </w:rPr>
        <w:t xml:space="preserve"> trans. R. Nice, (London: Routledge &amp; Kegan Paul, 1984), Chapter 1, ‘The Aristocracy of Culture’, pp. 11-63.</w:t>
      </w:r>
    </w:p>
  </w:footnote>
  <w:footnote w:id="39">
    <w:p w14:paraId="0BCEF32E" w14:textId="77777777" w:rsidR="00B62806" w:rsidRPr="008D5ED9" w:rsidRDefault="00B62806" w:rsidP="00450148">
      <w:pPr>
        <w:spacing w:line="240" w:lineRule="auto"/>
        <w:rPr>
          <w:sz w:val="20"/>
          <w:szCs w:val="20"/>
        </w:rPr>
      </w:pPr>
      <w:r w:rsidRPr="008D5ED9">
        <w:rPr>
          <w:rStyle w:val="FootnoteReference"/>
          <w:sz w:val="20"/>
          <w:szCs w:val="20"/>
        </w:rPr>
        <w:footnoteRef/>
      </w:r>
      <w:r w:rsidRPr="008D5ED9">
        <w:rPr>
          <w:sz w:val="20"/>
          <w:szCs w:val="20"/>
        </w:rPr>
        <w:t xml:space="preserve"> Victoria Kelley, ‘Housekeeping: Shine, Polish, Gloss and Glaze as Surface Strategies in the Domestic Interior’ in D. McMahon and J. Myers, eds. </w:t>
      </w:r>
      <w:r w:rsidRPr="008D5ED9">
        <w:rPr>
          <w:i/>
          <w:sz w:val="20"/>
          <w:szCs w:val="20"/>
        </w:rPr>
        <w:t xml:space="preserve">Material Possessions: the Objects and Textures of Everyday Life in Imperial Britain </w:t>
      </w:r>
      <w:r w:rsidRPr="008D5ED9">
        <w:rPr>
          <w:sz w:val="20"/>
          <w:szCs w:val="20"/>
        </w:rPr>
        <w:t>(London: Routledge, 2015).</w:t>
      </w:r>
    </w:p>
  </w:footnote>
  <w:footnote w:id="40">
    <w:p w14:paraId="1D53E170" w14:textId="77777777" w:rsidR="00B62806" w:rsidRPr="008D5ED9" w:rsidRDefault="00B62806" w:rsidP="00190270">
      <w:pPr>
        <w:shd w:val="clear" w:color="auto" w:fill="FFFFFF"/>
        <w:spacing w:line="240" w:lineRule="auto"/>
        <w:rPr>
          <w:sz w:val="20"/>
          <w:szCs w:val="20"/>
        </w:rPr>
      </w:pPr>
      <w:r w:rsidRPr="008D5ED9">
        <w:rPr>
          <w:rStyle w:val="FootnoteReference"/>
          <w:sz w:val="20"/>
          <w:szCs w:val="20"/>
        </w:rPr>
        <w:footnoteRef/>
      </w:r>
      <w:r w:rsidRPr="008D5ED9">
        <w:rPr>
          <w:sz w:val="20"/>
          <w:szCs w:val="20"/>
        </w:rPr>
        <w:t xml:space="preserve"> </w:t>
      </w:r>
      <w:r w:rsidRPr="008D5ED9">
        <w:rPr>
          <w:rStyle w:val="entryauthor"/>
          <w:sz w:val="20"/>
          <w:szCs w:val="20"/>
        </w:rPr>
        <w:t>Jon Stobart and Mark Rothery,</w:t>
      </w:r>
      <w:r w:rsidRPr="008D5ED9">
        <w:rPr>
          <w:sz w:val="20"/>
          <w:szCs w:val="20"/>
        </w:rPr>
        <w:t xml:space="preserve"> ‘Fashion, Heritance and Family’, </w:t>
      </w:r>
      <w:r w:rsidRPr="008D5ED9">
        <w:rPr>
          <w:rStyle w:val="journalname"/>
          <w:i/>
          <w:sz w:val="20"/>
          <w:szCs w:val="20"/>
        </w:rPr>
        <w:t>Cultural and Social History</w:t>
      </w:r>
      <w:r w:rsidRPr="008D5ED9">
        <w:rPr>
          <w:rStyle w:val="apple-converted-space"/>
          <w:sz w:val="20"/>
          <w:szCs w:val="20"/>
        </w:rPr>
        <w:t>,</w:t>
      </w:r>
      <w:r w:rsidRPr="008D5ED9">
        <w:rPr>
          <w:sz w:val="20"/>
          <w:szCs w:val="20"/>
        </w:rPr>
        <w:t xml:space="preserve"> </w:t>
      </w:r>
      <w:r w:rsidRPr="008D5ED9">
        <w:rPr>
          <w:rStyle w:val="volume"/>
          <w:sz w:val="20"/>
          <w:szCs w:val="20"/>
        </w:rPr>
        <w:t xml:space="preserve">11: 3 (2014), 385-406; </w:t>
      </w:r>
      <w:r w:rsidRPr="008D5ED9">
        <w:rPr>
          <w:sz w:val="20"/>
          <w:szCs w:val="20"/>
        </w:rPr>
        <w:t xml:space="preserve">Margaret </w:t>
      </w:r>
      <w:r w:rsidRPr="008D5ED9">
        <w:rPr>
          <w:sz w:val="20"/>
          <w:szCs w:val="20"/>
          <w:lang w:val="en"/>
        </w:rPr>
        <w:t xml:space="preserve">Ponsonby, </w:t>
      </w:r>
      <w:r w:rsidRPr="008D5ED9">
        <w:rPr>
          <w:i/>
          <w:sz w:val="20"/>
          <w:szCs w:val="20"/>
          <w:lang w:val="en"/>
        </w:rPr>
        <w:t xml:space="preserve">Stories from Home: English Domestic Interiors 1750-1850 </w:t>
      </w:r>
      <w:r w:rsidRPr="008D5ED9">
        <w:rPr>
          <w:sz w:val="20"/>
          <w:szCs w:val="20"/>
          <w:lang w:val="en"/>
        </w:rPr>
        <w:t>(Aldershot: Ashgate,</w:t>
      </w:r>
      <w:r w:rsidRPr="008D5ED9">
        <w:rPr>
          <w:sz w:val="20"/>
          <w:szCs w:val="20"/>
        </w:rPr>
        <w:t xml:space="preserve"> </w:t>
      </w:r>
      <w:r w:rsidRPr="008D5ED9">
        <w:rPr>
          <w:sz w:val="20"/>
          <w:szCs w:val="20"/>
          <w:lang w:val="en"/>
        </w:rPr>
        <w:t>2007), pp. 96-7</w:t>
      </w:r>
      <w:r w:rsidRPr="008D5ED9">
        <w:rPr>
          <w:sz w:val="20"/>
          <w:szCs w:val="20"/>
        </w:rPr>
        <w:t>.</w:t>
      </w:r>
    </w:p>
  </w:footnote>
  <w:footnote w:id="41">
    <w:p w14:paraId="4E05FDEF" w14:textId="31583B03" w:rsidR="00107FB1" w:rsidRPr="008D5ED9" w:rsidRDefault="00BF13DA">
      <w:pPr>
        <w:pStyle w:val="FootnoteText"/>
        <w:rPr>
          <w:lang w:val="en-GB"/>
        </w:rPr>
      </w:pPr>
      <w:r w:rsidRPr="008D5ED9">
        <w:rPr>
          <w:rStyle w:val="FootnoteReference"/>
        </w:rPr>
        <w:footnoteRef/>
      </w:r>
      <w:r w:rsidRPr="008D5ED9">
        <w:t xml:space="preserve"> </w:t>
      </w:r>
      <w:r w:rsidR="00107FB1" w:rsidRPr="008D5ED9">
        <w:t xml:space="preserve">Alastair </w:t>
      </w:r>
      <w:r w:rsidRPr="008D5ED9">
        <w:rPr>
          <w:rFonts w:eastAsiaTheme="minorHAnsi"/>
          <w:bCs/>
          <w:lang w:val="en-GB" w:bidi="ar-SA"/>
        </w:rPr>
        <w:t xml:space="preserve">Owens </w:t>
      </w:r>
      <w:r w:rsidRPr="008D5ED9">
        <w:rPr>
          <w:rFonts w:eastAsiaTheme="minorHAnsi"/>
          <w:lang w:val="en-GB" w:bidi="ar-SA"/>
        </w:rPr>
        <w:t xml:space="preserve">and </w:t>
      </w:r>
      <w:r w:rsidR="00107FB1" w:rsidRPr="008D5ED9">
        <w:rPr>
          <w:rFonts w:eastAsiaTheme="minorHAnsi"/>
          <w:lang w:val="en-GB" w:bidi="ar-SA"/>
        </w:rPr>
        <w:t xml:space="preserve">Nigel </w:t>
      </w:r>
      <w:r w:rsidRPr="008D5ED9">
        <w:rPr>
          <w:rFonts w:eastAsiaTheme="minorHAnsi"/>
          <w:lang w:val="en-GB" w:bidi="ar-SA"/>
        </w:rPr>
        <w:t>Jeffries</w:t>
      </w:r>
      <w:r w:rsidR="00107FB1" w:rsidRPr="008D5ED9">
        <w:rPr>
          <w:rFonts w:eastAsiaTheme="minorHAnsi"/>
          <w:lang w:val="en-GB" w:bidi="ar-SA"/>
        </w:rPr>
        <w:t xml:space="preserve">, </w:t>
      </w:r>
      <w:r w:rsidRPr="008D5ED9">
        <w:rPr>
          <w:rFonts w:eastAsiaTheme="minorHAnsi"/>
          <w:lang w:val="en-GB" w:bidi="ar-SA"/>
        </w:rPr>
        <w:t xml:space="preserve">‘People and </w:t>
      </w:r>
      <w:r w:rsidR="00107FB1" w:rsidRPr="008D5ED9">
        <w:rPr>
          <w:rFonts w:eastAsiaTheme="minorHAnsi"/>
          <w:lang w:val="en-GB" w:bidi="ar-SA"/>
        </w:rPr>
        <w:t>T</w:t>
      </w:r>
      <w:r w:rsidRPr="008D5ED9">
        <w:rPr>
          <w:rFonts w:eastAsiaTheme="minorHAnsi"/>
          <w:lang w:val="en-GB" w:bidi="ar-SA"/>
        </w:rPr>
        <w:t xml:space="preserve">hings on the </w:t>
      </w:r>
      <w:r w:rsidR="00107FB1" w:rsidRPr="008D5ED9">
        <w:rPr>
          <w:rFonts w:eastAsiaTheme="minorHAnsi"/>
          <w:lang w:val="en-GB" w:bidi="ar-SA"/>
        </w:rPr>
        <w:t>M</w:t>
      </w:r>
      <w:r w:rsidRPr="008D5ED9">
        <w:rPr>
          <w:rFonts w:eastAsiaTheme="minorHAnsi"/>
          <w:lang w:val="en-GB" w:bidi="ar-SA"/>
        </w:rPr>
        <w:t xml:space="preserve">ove: </w:t>
      </w:r>
      <w:r w:rsidR="00107FB1" w:rsidRPr="008D5ED9">
        <w:rPr>
          <w:rFonts w:eastAsiaTheme="minorHAnsi"/>
          <w:lang w:val="en-GB" w:bidi="ar-SA"/>
        </w:rPr>
        <w:t>D</w:t>
      </w:r>
      <w:r w:rsidRPr="008D5ED9">
        <w:rPr>
          <w:rFonts w:eastAsiaTheme="minorHAnsi"/>
          <w:lang w:val="en-GB" w:bidi="ar-SA"/>
        </w:rPr>
        <w:t xml:space="preserve">omestic </w:t>
      </w:r>
      <w:r w:rsidR="00107FB1" w:rsidRPr="008D5ED9">
        <w:rPr>
          <w:rFonts w:eastAsiaTheme="minorHAnsi"/>
          <w:lang w:val="en-GB" w:bidi="ar-SA"/>
        </w:rPr>
        <w:t>M</w:t>
      </w:r>
      <w:r w:rsidRPr="008D5ED9">
        <w:rPr>
          <w:rFonts w:eastAsiaTheme="minorHAnsi"/>
          <w:lang w:val="en-GB" w:bidi="ar-SA"/>
        </w:rPr>
        <w:t xml:space="preserve">aterial </w:t>
      </w:r>
      <w:r w:rsidR="00107FB1" w:rsidRPr="008D5ED9">
        <w:rPr>
          <w:rFonts w:eastAsiaTheme="minorHAnsi"/>
          <w:lang w:val="en-GB" w:bidi="ar-SA"/>
        </w:rPr>
        <w:t>C</w:t>
      </w:r>
      <w:r w:rsidRPr="008D5ED9">
        <w:rPr>
          <w:rFonts w:eastAsiaTheme="minorHAnsi"/>
          <w:lang w:val="en-GB" w:bidi="ar-SA"/>
        </w:rPr>
        <w:t xml:space="preserve">ulture, </w:t>
      </w:r>
      <w:r w:rsidR="00107FB1" w:rsidRPr="008D5ED9">
        <w:rPr>
          <w:rFonts w:eastAsiaTheme="minorHAnsi"/>
          <w:lang w:val="en-GB" w:bidi="ar-SA"/>
        </w:rPr>
        <w:t>P</w:t>
      </w:r>
      <w:r w:rsidRPr="008D5ED9">
        <w:rPr>
          <w:rFonts w:eastAsiaTheme="minorHAnsi"/>
          <w:lang w:val="en-GB" w:bidi="ar-SA"/>
        </w:rPr>
        <w:t xml:space="preserve">overty and </w:t>
      </w:r>
      <w:r w:rsidR="00107FB1" w:rsidRPr="008D5ED9">
        <w:rPr>
          <w:rFonts w:eastAsiaTheme="minorHAnsi"/>
          <w:lang w:val="en-GB" w:bidi="ar-SA"/>
        </w:rPr>
        <w:t>M</w:t>
      </w:r>
      <w:r w:rsidRPr="008D5ED9">
        <w:rPr>
          <w:rFonts w:eastAsiaTheme="minorHAnsi"/>
          <w:lang w:val="en-GB" w:bidi="ar-SA"/>
        </w:rPr>
        <w:t>obility in Victorian London’,</w:t>
      </w:r>
      <w:r w:rsidR="00107FB1" w:rsidRPr="008D5ED9">
        <w:rPr>
          <w:rFonts w:eastAsiaTheme="minorHAnsi"/>
          <w:lang w:val="en-GB" w:bidi="ar-SA"/>
        </w:rPr>
        <w:t xml:space="preserve"> in </w:t>
      </w:r>
      <w:r w:rsidR="00107FB1" w:rsidRPr="008D5ED9">
        <w:rPr>
          <w:i/>
          <w:shd w:val="clear" w:color="auto" w:fill="FFFFFF"/>
        </w:rPr>
        <w:t xml:space="preserve">Small Finds, Big Implications: The Cultural Meaning of the Littlest Artifacts, </w:t>
      </w:r>
      <w:r w:rsidR="00107FB1" w:rsidRPr="008D5ED9">
        <w:rPr>
          <w:shd w:val="clear" w:color="auto" w:fill="FFFFFF"/>
        </w:rPr>
        <w:t>ed.</w:t>
      </w:r>
      <w:r w:rsidR="00107FB1" w:rsidRPr="008D5ED9">
        <w:rPr>
          <w:i/>
          <w:shd w:val="clear" w:color="auto" w:fill="FFFFFF"/>
        </w:rPr>
        <w:t xml:space="preserve"> </w:t>
      </w:r>
      <w:r w:rsidR="00107FB1" w:rsidRPr="008D5ED9">
        <w:rPr>
          <w:bdr w:val="none" w:sz="0" w:space="0" w:color="auto" w:frame="1"/>
          <w:shd w:val="clear" w:color="auto" w:fill="FFFFFF"/>
        </w:rPr>
        <w:t>Eva M. MacDonald</w:t>
      </w:r>
      <w:r w:rsidR="00107FB1" w:rsidRPr="008D5ED9">
        <w:rPr>
          <w:rFonts w:eastAsiaTheme="minorHAnsi"/>
          <w:i/>
          <w:iCs/>
          <w:lang w:val="en-GB" w:bidi="ar-SA"/>
        </w:rPr>
        <w:t xml:space="preserve"> (</w:t>
      </w:r>
      <w:r w:rsidRPr="008D5ED9">
        <w:rPr>
          <w:rFonts w:eastAsiaTheme="minorHAnsi"/>
          <w:i/>
          <w:iCs/>
          <w:lang w:val="en-GB" w:bidi="ar-SA"/>
        </w:rPr>
        <w:t>International Journal of Historical Archaeology</w:t>
      </w:r>
      <w:r w:rsidRPr="008D5ED9">
        <w:rPr>
          <w:rFonts w:eastAsiaTheme="minorHAnsi"/>
          <w:lang w:val="en-GB" w:bidi="ar-SA"/>
        </w:rPr>
        <w:t xml:space="preserve">, </w:t>
      </w:r>
      <w:r w:rsidR="00107FB1" w:rsidRPr="008D5ED9">
        <w:rPr>
          <w:rFonts w:eastAsiaTheme="minorHAnsi"/>
          <w:lang w:val="en-GB" w:bidi="ar-SA"/>
        </w:rPr>
        <w:t>20 (2016)), 804-27, p. 806.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14"/>
    <w:rsid w:val="000041CA"/>
    <w:rsid w:val="00006F76"/>
    <w:rsid w:val="00011459"/>
    <w:rsid w:val="00012D53"/>
    <w:rsid w:val="000219C5"/>
    <w:rsid w:val="000318AE"/>
    <w:rsid w:val="00051F46"/>
    <w:rsid w:val="0007538C"/>
    <w:rsid w:val="00080BC0"/>
    <w:rsid w:val="00081C94"/>
    <w:rsid w:val="00092077"/>
    <w:rsid w:val="000923EA"/>
    <w:rsid w:val="00094666"/>
    <w:rsid w:val="000A35E7"/>
    <w:rsid w:val="000A7624"/>
    <w:rsid w:val="000B58D6"/>
    <w:rsid w:val="000C1DB4"/>
    <w:rsid w:val="000C2866"/>
    <w:rsid w:val="000C32EF"/>
    <w:rsid w:val="000C7CC9"/>
    <w:rsid w:val="000D0AE5"/>
    <w:rsid w:val="000D29B7"/>
    <w:rsid w:val="000D3872"/>
    <w:rsid w:val="000D3935"/>
    <w:rsid w:val="000E29A7"/>
    <w:rsid w:val="000F3D65"/>
    <w:rsid w:val="001013BE"/>
    <w:rsid w:val="001023A3"/>
    <w:rsid w:val="001027C9"/>
    <w:rsid w:val="00106A5E"/>
    <w:rsid w:val="00107D43"/>
    <w:rsid w:val="00107FB1"/>
    <w:rsid w:val="00110377"/>
    <w:rsid w:val="001124F1"/>
    <w:rsid w:val="0012629C"/>
    <w:rsid w:val="00131BE7"/>
    <w:rsid w:val="00131F6E"/>
    <w:rsid w:val="00132804"/>
    <w:rsid w:val="00132A1E"/>
    <w:rsid w:val="00133414"/>
    <w:rsid w:val="00145651"/>
    <w:rsid w:val="00147423"/>
    <w:rsid w:val="00147A29"/>
    <w:rsid w:val="00147CF1"/>
    <w:rsid w:val="00165E30"/>
    <w:rsid w:val="001665EE"/>
    <w:rsid w:val="00171BDA"/>
    <w:rsid w:val="00171F1C"/>
    <w:rsid w:val="00173193"/>
    <w:rsid w:val="0017660D"/>
    <w:rsid w:val="00190270"/>
    <w:rsid w:val="001A240C"/>
    <w:rsid w:val="001A2AA2"/>
    <w:rsid w:val="001A4A41"/>
    <w:rsid w:val="001A61A3"/>
    <w:rsid w:val="001C4636"/>
    <w:rsid w:val="001E2183"/>
    <w:rsid w:val="001E46EB"/>
    <w:rsid w:val="001F5D80"/>
    <w:rsid w:val="002178D0"/>
    <w:rsid w:val="00222F53"/>
    <w:rsid w:val="00226D7F"/>
    <w:rsid w:val="002335B8"/>
    <w:rsid w:val="00235AAA"/>
    <w:rsid w:val="00244C18"/>
    <w:rsid w:val="00250CE7"/>
    <w:rsid w:val="0025505E"/>
    <w:rsid w:val="002808C9"/>
    <w:rsid w:val="00282873"/>
    <w:rsid w:val="0029586A"/>
    <w:rsid w:val="002B5AA6"/>
    <w:rsid w:val="002B6403"/>
    <w:rsid w:val="002C2C53"/>
    <w:rsid w:val="002C4097"/>
    <w:rsid w:val="002C5A80"/>
    <w:rsid w:val="002C6597"/>
    <w:rsid w:val="002D090F"/>
    <w:rsid w:val="002D56A7"/>
    <w:rsid w:val="002D6C4E"/>
    <w:rsid w:val="003005FE"/>
    <w:rsid w:val="00313B65"/>
    <w:rsid w:val="00341C0A"/>
    <w:rsid w:val="00345F47"/>
    <w:rsid w:val="00347624"/>
    <w:rsid w:val="003505F9"/>
    <w:rsid w:val="00352CD1"/>
    <w:rsid w:val="00356BB7"/>
    <w:rsid w:val="00372C7C"/>
    <w:rsid w:val="00375FA0"/>
    <w:rsid w:val="00377B6A"/>
    <w:rsid w:val="003927B8"/>
    <w:rsid w:val="003954DD"/>
    <w:rsid w:val="003A18FB"/>
    <w:rsid w:val="003A535D"/>
    <w:rsid w:val="003B01AD"/>
    <w:rsid w:val="003B3256"/>
    <w:rsid w:val="003B69A6"/>
    <w:rsid w:val="003C529B"/>
    <w:rsid w:val="003C5B2F"/>
    <w:rsid w:val="003C648B"/>
    <w:rsid w:val="003D0915"/>
    <w:rsid w:val="003E1762"/>
    <w:rsid w:val="003F162F"/>
    <w:rsid w:val="003F733B"/>
    <w:rsid w:val="00415356"/>
    <w:rsid w:val="00415DFE"/>
    <w:rsid w:val="00430C40"/>
    <w:rsid w:val="00433418"/>
    <w:rsid w:val="00435AF3"/>
    <w:rsid w:val="00447D04"/>
    <w:rsid w:val="00450148"/>
    <w:rsid w:val="00450BE9"/>
    <w:rsid w:val="00454F7B"/>
    <w:rsid w:val="00457B59"/>
    <w:rsid w:val="004A68F9"/>
    <w:rsid w:val="004B2DBD"/>
    <w:rsid w:val="004B313F"/>
    <w:rsid w:val="004B5D88"/>
    <w:rsid w:val="004D450F"/>
    <w:rsid w:val="004E7FEF"/>
    <w:rsid w:val="004F1327"/>
    <w:rsid w:val="0050191E"/>
    <w:rsid w:val="005334A4"/>
    <w:rsid w:val="0053677B"/>
    <w:rsid w:val="0054078F"/>
    <w:rsid w:val="0054625D"/>
    <w:rsid w:val="00546CC3"/>
    <w:rsid w:val="00550F63"/>
    <w:rsid w:val="00566034"/>
    <w:rsid w:val="00576D80"/>
    <w:rsid w:val="00587571"/>
    <w:rsid w:val="005951C0"/>
    <w:rsid w:val="005B53CB"/>
    <w:rsid w:val="005B6269"/>
    <w:rsid w:val="005C641F"/>
    <w:rsid w:val="005D7097"/>
    <w:rsid w:val="005D7573"/>
    <w:rsid w:val="005E5C06"/>
    <w:rsid w:val="00600788"/>
    <w:rsid w:val="0060327F"/>
    <w:rsid w:val="00604B95"/>
    <w:rsid w:val="00622DCA"/>
    <w:rsid w:val="00637013"/>
    <w:rsid w:val="00640FF3"/>
    <w:rsid w:val="0065291E"/>
    <w:rsid w:val="006557FB"/>
    <w:rsid w:val="006561CE"/>
    <w:rsid w:val="0066566B"/>
    <w:rsid w:val="00667566"/>
    <w:rsid w:val="00674A52"/>
    <w:rsid w:val="00675600"/>
    <w:rsid w:val="00683316"/>
    <w:rsid w:val="00693A03"/>
    <w:rsid w:val="0069502B"/>
    <w:rsid w:val="006A4FCF"/>
    <w:rsid w:val="006B3414"/>
    <w:rsid w:val="006B4A4B"/>
    <w:rsid w:val="006D561E"/>
    <w:rsid w:val="006F26CC"/>
    <w:rsid w:val="006F2CE1"/>
    <w:rsid w:val="007000F6"/>
    <w:rsid w:val="0071428B"/>
    <w:rsid w:val="00722BFD"/>
    <w:rsid w:val="00731230"/>
    <w:rsid w:val="00731FCA"/>
    <w:rsid w:val="00740B74"/>
    <w:rsid w:val="00750A6E"/>
    <w:rsid w:val="007548BB"/>
    <w:rsid w:val="00761A4D"/>
    <w:rsid w:val="0078323C"/>
    <w:rsid w:val="00784850"/>
    <w:rsid w:val="00786152"/>
    <w:rsid w:val="007A3AA6"/>
    <w:rsid w:val="007A65C5"/>
    <w:rsid w:val="007B6A68"/>
    <w:rsid w:val="007C2823"/>
    <w:rsid w:val="007C362D"/>
    <w:rsid w:val="007C5E44"/>
    <w:rsid w:val="007E1138"/>
    <w:rsid w:val="007E5740"/>
    <w:rsid w:val="007F1F2B"/>
    <w:rsid w:val="008029BF"/>
    <w:rsid w:val="00803C3B"/>
    <w:rsid w:val="00824008"/>
    <w:rsid w:val="008361A0"/>
    <w:rsid w:val="00852D9E"/>
    <w:rsid w:val="00854F6A"/>
    <w:rsid w:val="00873D75"/>
    <w:rsid w:val="008870AB"/>
    <w:rsid w:val="0089098A"/>
    <w:rsid w:val="008935A0"/>
    <w:rsid w:val="00894B9D"/>
    <w:rsid w:val="008A28EC"/>
    <w:rsid w:val="008A5C0D"/>
    <w:rsid w:val="008A76EA"/>
    <w:rsid w:val="008B20B9"/>
    <w:rsid w:val="008C0268"/>
    <w:rsid w:val="008C66E3"/>
    <w:rsid w:val="008D0BA8"/>
    <w:rsid w:val="008D16A0"/>
    <w:rsid w:val="008D5ED9"/>
    <w:rsid w:val="008E2D29"/>
    <w:rsid w:val="008F1A7E"/>
    <w:rsid w:val="0090006B"/>
    <w:rsid w:val="00900BB7"/>
    <w:rsid w:val="00901E1A"/>
    <w:rsid w:val="009024C8"/>
    <w:rsid w:val="0092105B"/>
    <w:rsid w:val="00923359"/>
    <w:rsid w:val="00931537"/>
    <w:rsid w:val="00932DE3"/>
    <w:rsid w:val="009372A6"/>
    <w:rsid w:val="0094236E"/>
    <w:rsid w:val="00952F9D"/>
    <w:rsid w:val="00955717"/>
    <w:rsid w:val="00955C42"/>
    <w:rsid w:val="00956F14"/>
    <w:rsid w:val="00993917"/>
    <w:rsid w:val="009A47DC"/>
    <w:rsid w:val="009B3C09"/>
    <w:rsid w:val="009B7C51"/>
    <w:rsid w:val="009C2768"/>
    <w:rsid w:val="009E124C"/>
    <w:rsid w:val="00A02407"/>
    <w:rsid w:val="00A13F52"/>
    <w:rsid w:val="00A14A48"/>
    <w:rsid w:val="00A204EF"/>
    <w:rsid w:val="00A27F15"/>
    <w:rsid w:val="00A32B15"/>
    <w:rsid w:val="00A54488"/>
    <w:rsid w:val="00A657A7"/>
    <w:rsid w:val="00A7158B"/>
    <w:rsid w:val="00A74334"/>
    <w:rsid w:val="00A8162D"/>
    <w:rsid w:val="00A8453B"/>
    <w:rsid w:val="00A90E99"/>
    <w:rsid w:val="00A97833"/>
    <w:rsid w:val="00AA3411"/>
    <w:rsid w:val="00AA4C96"/>
    <w:rsid w:val="00AA5501"/>
    <w:rsid w:val="00AB4EAB"/>
    <w:rsid w:val="00AC3B5B"/>
    <w:rsid w:val="00AD2ACC"/>
    <w:rsid w:val="00B127F1"/>
    <w:rsid w:val="00B15DB8"/>
    <w:rsid w:val="00B15E8B"/>
    <w:rsid w:val="00B231CE"/>
    <w:rsid w:val="00B515EE"/>
    <w:rsid w:val="00B613B9"/>
    <w:rsid w:val="00B62806"/>
    <w:rsid w:val="00B71290"/>
    <w:rsid w:val="00B72D1E"/>
    <w:rsid w:val="00B76BDB"/>
    <w:rsid w:val="00B85CA8"/>
    <w:rsid w:val="00BA0165"/>
    <w:rsid w:val="00BA41E7"/>
    <w:rsid w:val="00BB3777"/>
    <w:rsid w:val="00BB740E"/>
    <w:rsid w:val="00BB7831"/>
    <w:rsid w:val="00BC46CD"/>
    <w:rsid w:val="00BD3145"/>
    <w:rsid w:val="00BD32AD"/>
    <w:rsid w:val="00BD7CD5"/>
    <w:rsid w:val="00BE3C29"/>
    <w:rsid w:val="00BE7323"/>
    <w:rsid w:val="00BF13DA"/>
    <w:rsid w:val="00BF187A"/>
    <w:rsid w:val="00BF483A"/>
    <w:rsid w:val="00C03F96"/>
    <w:rsid w:val="00C1098E"/>
    <w:rsid w:val="00C24747"/>
    <w:rsid w:val="00C333DE"/>
    <w:rsid w:val="00C6038D"/>
    <w:rsid w:val="00C63EE1"/>
    <w:rsid w:val="00C64C36"/>
    <w:rsid w:val="00C65152"/>
    <w:rsid w:val="00C70333"/>
    <w:rsid w:val="00C71CB4"/>
    <w:rsid w:val="00C8796C"/>
    <w:rsid w:val="00C91C7C"/>
    <w:rsid w:val="00CA1FD1"/>
    <w:rsid w:val="00CB02D2"/>
    <w:rsid w:val="00CB3659"/>
    <w:rsid w:val="00CC183D"/>
    <w:rsid w:val="00CC19E9"/>
    <w:rsid w:val="00CC38D8"/>
    <w:rsid w:val="00CD21CC"/>
    <w:rsid w:val="00CD29F2"/>
    <w:rsid w:val="00CE30F9"/>
    <w:rsid w:val="00CE4291"/>
    <w:rsid w:val="00CE66D1"/>
    <w:rsid w:val="00CF18DF"/>
    <w:rsid w:val="00D14605"/>
    <w:rsid w:val="00D233AE"/>
    <w:rsid w:val="00D31CF4"/>
    <w:rsid w:val="00D37178"/>
    <w:rsid w:val="00D4199E"/>
    <w:rsid w:val="00D46845"/>
    <w:rsid w:val="00D50488"/>
    <w:rsid w:val="00D52BF0"/>
    <w:rsid w:val="00D645E1"/>
    <w:rsid w:val="00D82187"/>
    <w:rsid w:val="00D85D3B"/>
    <w:rsid w:val="00D928C4"/>
    <w:rsid w:val="00D932D0"/>
    <w:rsid w:val="00D9470D"/>
    <w:rsid w:val="00DD4175"/>
    <w:rsid w:val="00DF1844"/>
    <w:rsid w:val="00DF18EF"/>
    <w:rsid w:val="00DF76D2"/>
    <w:rsid w:val="00E05197"/>
    <w:rsid w:val="00E078D9"/>
    <w:rsid w:val="00E07D25"/>
    <w:rsid w:val="00E12EAA"/>
    <w:rsid w:val="00E20608"/>
    <w:rsid w:val="00E25951"/>
    <w:rsid w:val="00E26D0E"/>
    <w:rsid w:val="00E400B4"/>
    <w:rsid w:val="00E45AA2"/>
    <w:rsid w:val="00E616C7"/>
    <w:rsid w:val="00E65B16"/>
    <w:rsid w:val="00E7683D"/>
    <w:rsid w:val="00E85566"/>
    <w:rsid w:val="00E92E12"/>
    <w:rsid w:val="00EA2CD6"/>
    <w:rsid w:val="00EA336E"/>
    <w:rsid w:val="00EA49FA"/>
    <w:rsid w:val="00EB33FA"/>
    <w:rsid w:val="00EC07F3"/>
    <w:rsid w:val="00EC0DEA"/>
    <w:rsid w:val="00EC190A"/>
    <w:rsid w:val="00EC66E4"/>
    <w:rsid w:val="00ED0C6B"/>
    <w:rsid w:val="00ED2D7E"/>
    <w:rsid w:val="00ED4CF5"/>
    <w:rsid w:val="00ED6147"/>
    <w:rsid w:val="00EF7C08"/>
    <w:rsid w:val="00F00860"/>
    <w:rsid w:val="00F0459F"/>
    <w:rsid w:val="00F06F34"/>
    <w:rsid w:val="00F12C7F"/>
    <w:rsid w:val="00F13DA0"/>
    <w:rsid w:val="00F25958"/>
    <w:rsid w:val="00F40CAD"/>
    <w:rsid w:val="00F51448"/>
    <w:rsid w:val="00F6263A"/>
    <w:rsid w:val="00F7335E"/>
    <w:rsid w:val="00F73B8C"/>
    <w:rsid w:val="00F742D7"/>
    <w:rsid w:val="00F75FF2"/>
    <w:rsid w:val="00F8020B"/>
    <w:rsid w:val="00FB72C2"/>
    <w:rsid w:val="00FF6F0C"/>
    <w:rsid w:val="00FF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53FB"/>
  <w15:chartTrackingRefBased/>
  <w15:docId w15:val="{C21D8907-A3A6-40E6-8753-52DA7C27C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931537"/>
    <w:pPr>
      <w:spacing w:before="100" w:beforeAutospacing="1" w:after="100" w:afterAutospacing="1" w:line="240" w:lineRule="auto"/>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6F14"/>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956F14"/>
    <w:rPr>
      <w:b/>
      <w:bCs/>
    </w:rPr>
  </w:style>
  <w:style w:type="paragraph" w:customStyle="1" w:styleId="Default">
    <w:name w:val="Default"/>
    <w:rsid w:val="00BE7323"/>
    <w:pPr>
      <w:autoSpaceDE w:val="0"/>
      <w:autoSpaceDN w:val="0"/>
      <w:adjustRightInd w:val="0"/>
      <w:spacing w:line="240" w:lineRule="auto"/>
    </w:pPr>
    <w:rPr>
      <w:color w:val="000000"/>
    </w:rPr>
  </w:style>
  <w:style w:type="paragraph" w:styleId="FootnoteText">
    <w:name w:val="footnote text"/>
    <w:basedOn w:val="Normal"/>
    <w:link w:val="FootnoteTextChar"/>
    <w:semiHidden/>
    <w:rsid w:val="00BE7323"/>
    <w:pPr>
      <w:spacing w:line="240" w:lineRule="auto"/>
    </w:pPr>
    <w:rPr>
      <w:rFonts w:eastAsia="Times New Roman"/>
      <w:sz w:val="20"/>
      <w:szCs w:val="20"/>
      <w:lang w:val="en-US" w:bidi="en-US"/>
    </w:rPr>
  </w:style>
  <w:style w:type="character" w:customStyle="1" w:styleId="FootnoteTextChar">
    <w:name w:val="Footnote Text Char"/>
    <w:basedOn w:val="DefaultParagraphFont"/>
    <w:link w:val="FootnoteText"/>
    <w:semiHidden/>
    <w:rsid w:val="00BE7323"/>
    <w:rPr>
      <w:rFonts w:eastAsia="Times New Roman"/>
      <w:sz w:val="20"/>
      <w:szCs w:val="20"/>
      <w:lang w:val="en-US" w:bidi="en-US"/>
    </w:rPr>
  </w:style>
  <w:style w:type="character" w:styleId="FootnoteReference">
    <w:name w:val="footnote reference"/>
    <w:basedOn w:val="DefaultParagraphFont"/>
    <w:semiHidden/>
    <w:rsid w:val="00BE7323"/>
    <w:rPr>
      <w:vertAlign w:val="superscript"/>
    </w:rPr>
  </w:style>
  <w:style w:type="character" w:styleId="CommentReference">
    <w:name w:val="annotation reference"/>
    <w:basedOn w:val="DefaultParagraphFont"/>
    <w:semiHidden/>
    <w:rsid w:val="00BE7323"/>
    <w:rPr>
      <w:sz w:val="16"/>
      <w:szCs w:val="16"/>
    </w:rPr>
  </w:style>
  <w:style w:type="paragraph" w:styleId="Footer">
    <w:name w:val="footer"/>
    <w:basedOn w:val="Normal"/>
    <w:link w:val="FooterChar"/>
    <w:rsid w:val="00BE7323"/>
    <w:pPr>
      <w:tabs>
        <w:tab w:val="center" w:pos="4153"/>
        <w:tab w:val="right" w:pos="8306"/>
      </w:tabs>
      <w:spacing w:line="240" w:lineRule="auto"/>
    </w:pPr>
    <w:rPr>
      <w:rFonts w:eastAsia="Times New Roman"/>
      <w:lang w:val="en-US" w:bidi="en-US"/>
    </w:rPr>
  </w:style>
  <w:style w:type="character" w:customStyle="1" w:styleId="FooterChar">
    <w:name w:val="Footer Char"/>
    <w:basedOn w:val="DefaultParagraphFont"/>
    <w:link w:val="Footer"/>
    <w:rsid w:val="00BE7323"/>
    <w:rPr>
      <w:rFonts w:eastAsia="Times New Roman"/>
      <w:lang w:val="en-US" w:bidi="en-US"/>
    </w:rPr>
  </w:style>
  <w:style w:type="character" w:styleId="PageNumber">
    <w:name w:val="page number"/>
    <w:basedOn w:val="DefaultParagraphFont"/>
    <w:rsid w:val="00BE7323"/>
  </w:style>
  <w:style w:type="character" w:styleId="Hyperlink">
    <w:name w:val="Hyperlink"/>
    <w:basedOn w:val="DefaultParagraphFont"/>
    <w:rsid w:val="00BE7323"/>
    <w:rPr>
      <w:color w:val="0000FF"/>
      <w:u w:val="single"/>
    </w:rPr>
  </w:style>
  <w:style w:type="paragraph" w:styleId="HTMLPreformatted">
    <w:name w:val="HTML Preformatted"/>
    <w:basedOn w:val="Normal"/>
    <w:link w:val="HTMLPreformattedChar"/>
    <w:rsid w:val="00BE7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bidi="en-US"/>
    </w:rPr>
  </w:style>
  <w:style w:type="character" w:customStyle="1" w:styleId="HTMLPreformattedChar">
    <w:name w:val="HTML Preformatted Char"/>
    <w:basedOn w:val="DefaultParagraphFont"/>
    <w:link w:val="HTMLPreformatted"/>
    <w:rsid w:val="00BE7323"/>
    <w:rPr>
      <w:rFonts w:ascii="Courier New" w:eastAsia="Times New Roman" w:hAnsi="Courier New" w:cs="Courier New"/>
      <w:sz w:val="20"/>
      <w:szCs w:val="20"/>
      <w:lang w:val="en-US" w:bidi="en-US"/>
    </w:rPr>
  </w:style>
  <w:style w:type="character" w:customStyle="1" w:styleId="apple-style-span">
    <w:name w:val="apple-style-span"/>
    <w:basedOn w:val="DefaultParagraphFont"/>
    <w:rsid w:val="00BE7323"/>
  </w:style>
  <w:style w:type="character" w:styleId="Emphasis">
    <w:name w:val="Emphasis"/>
    <w:basedOn w:val="DefaultParagraphFont"/>
    <w:uiPriority w:val="20"/>
    <w:qFormat/>
    <w:rsid w:val="00BE7323"/>
    <w:rPr>
      <w:rFonts w:ascii="Calibri" w:hAnsi="Calibri"/>
      <w:b/>
      <w:i/>
      <w:iCs/>
    </w:rPr>
  </w:style>
  <w:style w:type="paragraph" w:styleId="Header">
    <w:name w:val="header"/>
    <w:basedOn w:val="Normal"/>
    <w:link w:val="HeaderChar"/>
    <w:rsid w:val="00BE7323"/>
    <w:pPr>
      <w:tabs>
        <w:tab w:val="center" w:pos="4153"/>
        <w:tab w:val="right" w:pos="8306"/>
      </w:tabs>
      <w:spacing w:line="240" w:lineRule="auto"/>
    </w:pPr>
    <w:rPr>
      <w:rFonts w:eastAsia="Times New Roman"/>
      <w:lang w:val="en-US" w:bidi="en-US"/>
    </w:rPr>
  </w:style>
  <w:style w:type="character" w:customStyle="1" w:styleId="HeaderChar">
    <w:name w:val="Header Char"/>
    <w:basedOn w:val="DefaultParagraphFont"/>
    <w:link w:val="Header"/>
    <w:rsid w:val="00BE7323"/>
    <w:rPr>
      <w:rFonts w:eastAsia="Times New Roman"/>
      <w:lang w:val="en-US" w:bidi="en-US"/>
    </w:rPr>
  </w:style>
  <w:style w:type="character" w:styleId="FollowedHyperlink">
    <w:name w:val="FollowedHyperlink"/>
    <w:basedOn w:val="DefaultParagraphFont"/>
    <w:uiPriority w:val="99"/>
    <w:semiHidden/>
    <w:unhideWhenUsed/>
    <w:rsid w:val="00E7683D"/>
    <w:rPr>
      <w:color w:val="954F72" w:themeColor="followedHyperlink"/>
      <w:u w:val="single"/>
    </w:rPr>
  </w:style>
  <w:style w:type="character" w:customStyle="1" w:styleId="apple-converted-space">
    <w:name w:val="apple-converted-space"/>
    <w:basedOn w:val="DefaultParagraphFont"/>
    <w:rsid w:val="0060327F"/>
  </w:style>
  <w:style w:type="character" w:customStyle="1" w:styleId="entryauthor">
    <w:name w:val="entryauthor"/>
    <w:basedOn w:val="DefaultParagraphFont"/>
    <w:rsid w:val="000F3D65"/>
  </w:style>
  <w:style w:type="character" w:customStyle="1" w:styleId="journalname">
    <w:name w:val="journalname"/>
    <w:basedOn w:val="DefaultParagraphFont"/>
    <w:rsid w:val="000F3D65"/>
  </w:style>
  <w:style w:type="character" w:customStyle="1" w:styleId="volume">
    <w:name w:val="volume"/>
    <w:basedOn w:val="DefaultParagraphFont"/>
    <w:rsid w:val="000F3D65"/>
  </w:style>
  <w:style w:type="paragraph" w:styleId="BalloonText">
    <w:name w:val="Balloon Text"/>
    <w:basedOn w:val="Normal"/>
    <w:link w:val="BalloonTextChar"/>
    <w:uiPriority w:val="99"/>
    <w:semiHidden/>
    <w:unhideWhenUsed/>
    <w:rsid w:val="00244C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C18"/>
    <w:rPr>
      <w:rFonts w:ascii="Segoe UI" w:hAnsi="Segoe UI" w:cs="Segoe UI"/>
      <w:sz w:val="18"/>
      <w:szCs w:val="18"/>
    </w:rPr>
  </w:style>
  <w:style w:type="paragraph" w:styleId="CommentText">
    <w:name w:val="annotation text"/>
    <w:basedOn w:val="Normal"/>
    <w:link w:val="CommentTextChar"/>
    <w:uiPriority w:val="99"/>
    <w:unhideWhenUsed/>
    <w:rsid w:val="00D52BF0"/>
    <w:pPr>
      <w:spacing w:line="240" w:lineRule="auto"/>
    </w:pPr>
    <w:rPr>
      <w:sz w:val="20"/>
      <w:szCs w:val="20"/>
    </w:rPr>
  </w:style>
  <w:style w:type="character" w:customStyle="1" w:styleId="CommentTextChar">
    <w:name w:val="Comment Text Char"/>
    <w:basedOn w:val="DefaultParagraphFont"/>
    <w:link w:val="CommentText"/>
    <w:uiPriority w:val="99"/>
    <w:rsid w:val="00D52BF0"/>
    <w:rPr>
      <w:sz w:val="20"/>
      <w:szCs w:val="20"/>
    </w:rPr>
  </w:style>
  <w:style w:type="paragraph" w:styleId="CommentSubject">
    <w:name w:val="annotation subject"/>
    <w:basedOn w:val="CommentText"/>
    <w:next w:val="CommentText"/>
    <w:link w:val="CommentSubjectChar"/>
    <w:uiPriority w:val="99"/>
    <w:semiHidden/>
    <w:unhideWhenUsed/>
    <w:rsid w:val="00D52BF0"/>
    <w:rPr>
      <w:b/>
      <w:bCs/>
    </w:rPr>
  </w:style>
  <w:style w:type="character" w:customStyle="1" w:styleId="CommentSubjectChar">
    <w:name w:val="Comment Subject Char"/>
    <w:basedOn w:val="CommentTextChar"/>
    <w:link w:val="CommentSubject"/>
    <w:uiPriority w:val="99"/>
    <w:semiHidden/>
    <w:rsid w:val="00D52BF0"/>
    <w:rPr>
      <w:b/>
      <w:bCs/>
      <w:sz w:val="20"/>
      <w:szCs w:val="20"/>
    </w:rPr>
  </w:style>
  <w:style w:type="character" w:customStyle="1" w:styleId="Heading4Char">
    <w:name w:val="Heading 4 Char"/>
    <w:basedOn w:val="DefaultParagraphFont"/>
    <w:link w:val="Heading4"/>
    <w:uiPriority w:val="9"/>
    <w:rsid w:val="00931537"/>
    <w:rPr>
      <w:rFonts w:ascii="Times New Roman" w:eastAsia="Times New Roman" w:hAnsi="Times New Roman" w:cs="Times New Roman"/>
      <w:b/>
      <w:bCs/>
      <w:lang w:eastAsia="en-GB"/>
    </w:rPr>
  </w:style>
  <w:style w:type="character" w:customStyle="1" w:styleId="Date1">
    <w:name w:val="Date1"/>
    <w:basedOn w:val="DefaultParagraphFont"/>
    <w:rsid w:val="008D5ED9"/>
  </w:style>
  <w:style w:type="character" w:customStyle="1" w:styleId="nlmarticle-title">
    <w:name w:val="nlm_article-title"/>
    <w:basedOn w:val="DefaultParagraphFont"/>
    <w:rsid w:val="008D5ED9"/>
  </w:style>
  <w:style w:type="character" w:customStyle="1" w:styleId="contribdegrees">
    <w:name w:val="contribdegrees"/>
    <w:basedOn w:val="DefaultParagraphFont"/>
    <w:rsid w:val="008D5ED9"/>
  </w:style>
  <w:style w:type="character" w:customStyle="1" w:styleId="singlehighlightclass">
    <w:name w:val="single_highlight_class"/>
    <w:basedOn w:val="DefaultParagraphFont"/>
    <w:rsid w:val="008D5ED9"/>
  </w:style>
  <w:style w:type="character" w:customStyle="1" w:styleId="journal">
    <w:name w:val="journal"/>
    <w:basedOn w:val="DefaultParagraphFont"/>
    <w:rsid w:val="008D5ED9"/>
  </w:style>
  <w:style w:type="character" w:customStyle="1" w:styleId="journalnumber">
    <w:name w:val="journalnumber"/>
    <w:basedOn w:val="DefaultParagraphFont"/>
    <w:rsid w:val="008D5ED9"/>
  </w:style>
  <w:style w:type="character" w:customStyle="1" w:styleId="pages">
    <w:name w:val="pages"/>
    <w:basedOn w:val="DefaultParagraphFont"/>
    <w:rsid w:val="008D5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34939">
      <w:bodyDiv w:val="1"/>
      <w:marLeft w:val="0"/>
      <w:marRight w:val="0"/>
      <w:marTop w:val="0"/>
      <w:marBottom w:val="0"/>
      <w:divBdr>
        <w:top w:val="none" w:sz="0" w:space="0" w:color="auto"/>
        <w:left w:val="none" w:sz="0" w:space="0" w:color="auto"/>
        <w:bottom w:val="none" w:sz="0" w:space="0" w:color="auto"/>
        <w:right w:val="none" w:sz="0" w:space="0" w:color="auto"/>
      </w:divBdr>
      <w:divsChild>
        <w:div w:id="752312186">
          <w:marLeft w:val="0"/>
          <w:marRight w:val="0"/>
          <w:marTop w:val="0"/>
          <w:marBottom w:val="75"/>
          <w:divBdr>
            <w:top w:val="none" w:sz="0" w:space="0" w:color="auto"/>
            <w:left w:val="none" w:sz="0" w:space="0" w:color="auto"/>
            <w:bottom w:val="none" w:sz="0" w:space="0" w:color="auto"/>
            <w:right w:val="none" w:sz="0" w:space="0" w:color="auto"/>
          </w:divBdr>
        </w:div>
        <w:div w:id="1631593580">
          <w:marLeft w:val="0"/>
          <w:marRight w:val="0"/>
          <w:marTop w:val="0"/>
          <w:marBottom w:val="0"/>
          <w:divBdr>
            <w:top w:val="none" w:sz="0" w:space="0" w:color="auto"/>
            <w:left w:val="none" w:sz="0" w:space="0" w:color="auto"/>
            <w:bottom w:val="none" w:sz="0" w:space="0" w:color="auto"/>
            <w:right w:val="none" w:sz="0" w:space="0" w:color="auto"/>
          </w:divBdr>
        </w:div>
        <w:div w:id="1181360220">
          <w:marLeft w:val="0"/>
          <w:marRight w:val="0"/>
          <w:marTop w:val="60"/>
          <w:marBottom w:val="0"/>
          <w:divBdr>
            <w:top w:val="none" w:sz="0" w:space="0" w:color="auto"/>
            <w:left w:val="none" w:sz="0" w:space="0" w:color="auto"/>
            <w:bottom w:val="none" w:sz="0" w:space="0" w:color="auto"/>
            <w:right w:val="none" w:sz="0" w:space="0" w:color="auto"/>
          </w:divBdr>
        </w:div>
      </w:divsChild>
    </w:div>
    <w:div w:id="552617214">
      <w:bodyDiv w:val="1"/>
      <w:marLeft w:val="0"/>
      <w:marRight w:val="0"/>
      <w:marTop w:val="0"/>
      <w:marBottom w:val="0"/>
      <w:divBdr>
        <w:top w:val="none" w:sz="0" w:space="0" w:color="auto"/>
        <w:left w:val="none" w:sz="0" w:space="0" w:color="auto"/>
        <w:bottom w:val="none" w:sz="0" w:space="0" w:color="auto"/>
        <w:right w:val="none" w:sz="0" w:space="0" w:color="auto"/>
      </w:divBdr>
    </w:div>
    <w:div w:id="1499468722">
      <w:bodyDiv w:val="1"/>
      <w:marLeft w:val="0"/>
      <w:marRight w:val="0"/>
      <w:marTop w:val="0"/>
      <w:marBottom w:val="0"/>
      <w:divBdr>
        <w:top w:val="none" w:sz="0" w:space="0" w:color="auto"/>
        <w:left w:val="none" w:sz="0" w:space="0" w:color="auto"/>
        <w:bottom w:val="none" w:sz="0" w:space="0" w:color="auto"/>
        <w:right w:val="none" w:sz="0" w:space="0" w:color="auto"/>
      </w:divBdr>
      <w:divsChild>
        <w:div w:id="661278688">
          <w:marLeft w:val="0"/>
          <w:marRight w:val="0"/>
          <w:marTop w:val="0"/>
          <w:marBottom w:val="0"/>
          <w:divBdr>
            <w:top w:val="none" w:sz="0" w:space="0" w:color="auto"/>
            <w:left w:val="none" w:sz="0" w:space="0" w:color="auto"/>
            <w:bottom w:val="none" w:sz="0" w:space="0" w:color="auto"/>
            <w:right w:val="none" w:sz="0" w:space="0" w:color="auto"/>
          </w:divBdr>
        </w:div>
        <w:div w:id="1691756097">
          <w:marLeft w:val="0"/>
          <w:marRight w:val="0"/>
          <w:marTop w:val="0"/>
          <w:marBottom w:val="0"/>
          <w:divBdr>
            <w:top w:val="none" w:sz="0" w:space="0" w:color="auto"/>
            <w:left w:val="none" w:sz="0" w:space="0" w:color="auto"/>
            <w:bottom w:val="none" w:sz="0" w:space="0" w:color="auto"/>
            <w:right w:val="none" w:sz="0" w:space="0" w:color="auto"/>
          </w:divBdr>
        </w:div>
        <w:div w:id="519247875">
          <w:marLeft w:val="0"/>
          <w:marRight w:val="0"/>
          <w:marTop w:val="0"/>
          <w:marBottom w:val="0"/>
          <w:divBdr>
            <w:top w:val="none" w:sz="0" w:space="0" w:color="auto"/>
            <w:left w:val="none" w:sz="0" w:space="0" w:color="auto"/>
            <w:bottom w:val="none" w:sz="0" w:space="0" w:color="auto"/>
            <w:right w:val="none" w:sz="0" w:space="0" w:color="auto"/>
          </w:divBdr>
        </w:div>
        <w:div w:id="521675010">
          <w:marLeft w:val="0"/>
          <w:marRight w:val="0"/>
          <w:marTop w:val="0"/>
          <w:marBottom w:val="0"/>
          <w:divBdr>
            <w:top w:val="none" w:sz="0" w:space="0" w:color="auto"/>
            <w:left w:val="none" w:sz="0" w:space="0" w:color="auto"/>
            <w:bottom w:val="none" w:sz="0" w:space="0" w:color="auto"/>
            <w:right w:val="none" w:sz="0" w:space="0" w:color="auto"/>
          </w:divBdr>
          <w:divsChild>
            <w:div w:id="89890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bartlett.ucl.ac.uk/architecture/research/survey-of-london/eastern-marylebone/vols51and52" TargetMode="External"/><Relationship Id="rId3" Type="http://schemas.openxmlformats.org/officeDocument/2006/relationships/hyperlink" Target="https://pure.royalholloway.ac.uk/portal/en/publications/at-home-in-the-institution-material-life-in-asylums-lodging-houses-and-schools-in-victorian-and-edwardian-england(fde7c9e8-d903-4f77-9c6a-3d473d9157fd).html" TargetMode="External"/><Relationship Id="rId7" Type="http://schemas.openxmlformats.org/officeDocument/2006/relationships/hyperlink" Target="http://www.tandfonline.com.ezproxy01.rhul.ac.uk/author/Featherby%2C+Rupert" TargetMode="External"/><Relationship Id="rId2" Type="http://schemas.openxmlformats.org/officeDocument/2006/relationships/hyperlink" Target="https://pure.royalholloway.ac.uk/portal/en/publications/material-relations(21a3436d-773c-4643-9656-b15630af4a3c).html" TargetMode="External"/><Relationship Id="rId1" Type="http://schemas.openxmlformats.org/officeDocument/2006/relationships/hyperlink" Target="https://londonstreetviews.wordpress.com/author/baldwinhamey" TargetMode="External"/><Relationship Id="rId6" Type="http://schemas.openxmlformats.org/officeDocument/2006/relationships/hyperlink" Target="http://www.tandfonline.com.ezproxy01.rhul.ac.uk/author/Wehner%2C+Karen" TargetMode="External"/><Relationship Id="rId5" Type="http://schemas.openxmlformats.org/officeDocument/2006/relationships/hyperlink" Target="http://www.tandfonline.com.ezproxy01.rhul.ac.uk/author/Jeffries%2C+Nigel" TargetMode="External"/><Relationship Id="rId4" Type="http://schemas.openxmlformats.org/officeDocument/2006/relationships/hyperlink" Target="https://pure.royalholloway.ac.uk/portal/en/publications/comfort-in-small-things-clothing-control-and-agency-in-county-lunatic-asylums-in-nineteenth-and-early-twentiethcentury-england(2f1b4ca7-b39c-4ce1-8ea8-3af961d9ca90).html" TargetMode="External"/><Relationship Id="rId9" Type="http://schemas.openxmlformats.org/officeDocument/2006/relationships/hyperlink" Target="https://www.bartlett.ucl.ac.uk/architecture/research/survey-of-london/eastern-marylebone/vols51and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4C0E8-B032-414D-A4D7-57772337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3530</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23610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RHUL</dc:creator>
  <cp:keywords/>
  <dc:description/>
  <cp:lastModifiedBy>Hoskins, Lesley</cp:lastModifiedBy>
  <cp:revision>2</cp:revision>
  <cp:lastPrinted>2016-12-30T10:28:00Z</cp:lastPrinted>
  <dcterms:created xsi:type="dcterms:W3CDTF">2017-04-20T13:49:00Z</dcterms:created>
  <dcterms:modified xsi:type="dcterms:W3CDTF">2017-04-20T13:49:00Z</dcterms:modified>
</cp:coreProperties>
</file>